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0E214" w14:textId="4E583E66" w:rsidR="00961D55" w:rsidRPr="00961D55" w:rsidRDefault="00961D55" w:rsidP="00961D55">
      <w:pPr>
        <w:spacing w:after="0" w:line="270" w:lineRule="atLeast"/>
        <w:jc w:val="center"/>
        <w:rPr>
          <w:rFonts w:eastAsia="Times New Roman"/>
          <w:b/>
          <w:sz w:val="28"/>
          <w:szCs w:val="28"/>
          <w:lang w:eastAsia="lv-LV"/>
        </w:rPr>
      </w:pPr>
      <w:r w:rsidRPr="00961D55">
        <w:rPr>
          <w:rFonts w:eastAsia="Times New Roman"/>
          <w:b/>
          <w:sz w:val="28"/>
          <w:szCs w:val="28"/>
          <w:lang w:eastAsia="lv-LV"/>
        </w:rPr>
        <w:t>Ministru kabineta noteikumu projekta “</w:t>
      </w:r>
      <w:r w:rsidR="00EA234E">
        <w:rPr>
          <w:rFonts w:eastAsia="Times New Roman"/>
          <w:b/>
          <w:sz w:val="28"/>
          <w:szCs w:val="28"/>
          <w:lang w:eastAsia="lv-LV"/>
        </w:rPr>
        <w:t>Grozījum</w:t>
      </w:r>
      <w:r w:rsidR="002F6EE3">
        <w:rPr>
          <w:rFonts w:eastAsia="Times New Roman"/>
          <w:b/>
          <w:sz w:val="28"/>
          <w:szCs w:val="28"/>
          <w:lang w:eastAsia="lv-LV"/>
        </w:rPr>
        <w:t>s</w:t>
      </w:r>
      <w:r w:rsidR="00EA234E">
        <w:rPr>
          <w:rFonts w:eastAsia="Times New Roman"/>
          <w:b/>
          <w:sz w:val="28"/>
          <w:szCs w:val="28"/>
          <w:lang w:eastAsia="lv-LV"/>
        </w:rPr>
        <w:t xml:space="preserve"> </w:t>
      </w:r>
      <w:r w:rsidR="001C2002">
        <w:rPr>
          <w:rFonts w:eastAsia="Times New Roman"/>
          <w:b/>
          <w:bCs/>
          <w:sz w:val="28"/>
          <w:szCs w:val="28"/>
          <w:lang w:eastAsia="lv-LV"/>
        </w:rPr>
        <w:t>Ministru kabineta 2005</w:t>
      </w:r>
      <w:r w:rsidR="00EA234E" w:rsidRPr="00EA234E">
        <w:rPr>
          <w:rFonts w:eastAsia="Times New Roman"/>
          <w:b/>
          <w:bCs/>
          <w:sz w:val="28"/>
          <w:szCs w:val="28"/>
          <w:lang w:eastAsia="lv-LV"/>
        </w:rPr>
        <w:t>.g</w:t>
      </w:r>
      <w:r w:rsidR="001C2002">
        <w:rPr>
          <w:rFonts w:eastAsia="Times New Roman"/>
          <w:b/>
          <w:bCs/>
          <w:sz w:val="28"/>
          <w:szCs w:val="28"/>
          <w:lang w:eastAsia="lv-LV"/>
        </w:rPr>
        <w:t>ada 30.augusta noteikumos Nr.662</w:t>
      </w:r>
      <w:r w:rsidR="00EA234E" w:rsidRPr="00EA234E">
        <w:rPr>
          <w:rFonts w:eastAsia="Times New Roman"/>
          <w:b/>
          <w:bCs/>
          <w:sz w:val="28"/>
          <w:szCs w:val="28"/>
          <w:lang w:eastAsia="lv-LV"/>
        </w:rPr>
        <w:t xml:space="preserve"> “</w:t>
      </w:r>
      <w:r w:rsidR="001C2002">
        <w:rPr>
          <w:rFonts w:eastAsia="Times New Roman"/>
          <w:b/>
          <w:bCs/>
          <w:sz w:val="28"/>
          <w:szCs w:val="28"/>
          <w:lang w:eastAsia="lv-LV"/>
        </w:rPr>
        <w:t>Akcīzes preču aprites kārtība”</w:t>
      </w:r>
      <w:r w:rsidRPr="00961D55">
        <w:rPr>
          <w:rFonts w:eastAsia="Times New Roman"/>
          <w:b/>
          <w:sz w:val="28"/>
          <w:szCs w:val="28"/>
          <w:lang w:eastAsia="lv-LV"/>
        </w:rPr>
        <w:t>” sākotnējās ietekmes novērtējuma ziņojums (anotācija)</w:t>
      </w:r>
    </w:p>
    <w:p w14:paraId="5FADD6A2" w14:textId="77777777" w:rsidR="00961D55" w:rsidRPr="00961D55" w:rsidRDefault="00961D55" w:rsidP="00961D55">
      <w:pPr>
        <w:spacing w:after="0" w:line="270" w:lineRule="atLeast"/>
        <w:jc w:val="both"/>
        <w:rPr>
          <w:rFonts w:eastAsia="Times New Roman"/>
          <w:color w:val="000000"/>
          <w:sz w:val="28"/>
          <w:szCs w:val="28"/>
          <w:lang w:eastAsia="lv-LV"/>
        </w:rPr>
      </w:pPr>
    </w:p>
    <w:tbl>
      <w:tblPr>
        <w:tblW w:w="5162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09"/>
        <w:gridCol w:w="6718"/>
      </w:tblGrid>
      <w:tr w:rsidR="00C21779" w:rsidRPr="00961D55" w14:paraId="0907FF12" w14:textId="77777777" w:rsidTr="00DF4405"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C40479C" w14:textId="77777777" w:rsidR="00C21779" w:rsidRPr="00961D55" w:rsidRDefault="00C21779" w:rsidP="00DF4405">
            <w:pPr>
              <w:spacing w:before="100" w:beforeAutospacing="1" w:after="100" w:afterAutospacing="1" w:line="360" w:lineRule="auto"/>
              <w:ind w:firstLine="300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961D55">
              <w:rPr>
                <w:rFonts w:eastAsia="Times New Roman"/>
                <w:b/>
                <w:bCs/>
                <w:lang w:eastAsia="lv-LV"/>
              </w:rPr>
              <w:t>Tiesību akta projekta anotācijas kopsavilkums</w:t>
            </w:r>
          </w:p>
        </w:tc>
      </w:tr>
      <w:tr w:rsidR="00C21779" w:rsidRPr="008A4DE8" w14:paraId="39F02A10" w14:textId="77777777" w:rsidTr="006872B0">
        <w:tc>
          <w:tcPr>
            <w:tcW w:w="14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2D10F63" w14:textId="77777777" w:rsidR="00C21779" w:rsidRPr="008A4DE8" w:rsidRDefault="00C21779" w:rsidP="00DF4405">
            <w:pPr>
              <w:spacing w:after="0" w:line="240" w:lineRule="auto"/>
              <w:jc w:val="both"/>
              <w:rPr>
                <w:rFonts w:eastAsia="Times New Roman"/>
                <w:lang w:eastAsia="lv-LV"/>
              </w:rPr>
            </w:pPr>
            <w:r w:rsidRPr="008A4DE8">
              <w:rPr>
                <w:rFonts w:eastAsia="Times New Roman"/>
                <w:lang w:eastAsia="lv-LV"/>
              </w:rPr>
              <w:t>Mērķis, risinājums un projekta spēkā stāšanās laiks (500 zīmes bez atstarpēm)</w:t>
            </w:r>
          </w:p>
        </w:tc>
        <w:tc>
          <w:tcPr>
            <w:tcW w:w="356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AF9BDB8" w14:textId="01B50746" w:rsidR="00C21779" w:rsidRPr="008A4DE8" w:rsidRDefault="00C21779" w:rsidP="00DF4405">
            <w:pPr>
              <w:spacing w:after="0" w:line="240" w:lineRule="auto"/>
              <w:ind w:firstLine="532"/>
              <w:jc w:val="both"/>
              <w:rPr>
                <w:rFonts w:eastAsia="Times New Roman"/>
                <w:lang w:eastAsia="lv-LV"/>
              </w:rPr>
            </w:pPr>
            <w:r w:rsidRPr="00C21779">
              <w:rPr>
                <w:rFonts w:eastAsia="Times New Roman"/>
                <w:lang w:eastAsia="lv-LV"/>
              </w:rPr>
              <w:t>Nav attiecināms.</w:t>
            </w:r>
          </w:p>
        </w:tc>
      </w:tr>
    </w:tbl>
    <w:p w14:paraId="2B0FE120" w14:textId="52560F9F" w:rsidR="00961D55" w:rsidRDefault="00961D55" w:rsidP="00961D55">
      <w:pPr>
        <w:spacing w:after="0" w:line="270" w:lineRule="atLeast"/>
        <w:jc w:val="both"/>
        <w:rPr>
          <w:rFonts w:eastAsia="Times New Roman"/>
          <w:color w:val="000000"/>
          <w:sz w:val="28"/>
          <w:szCs w:val="28"/>
          <w:lang w:eastAsia="lv-LV"/>
        </w:rPr>
      </w:pPr>
    </w:p>
    <w:p w14:paraId="4AA21536" w14:textId="77777777" w:rsidR="00C21779" w:rsidRPr="008A4DE8" w:rsidRDefault="00C21779" w:rsidP="00961D55">
      <w:pPr>
        <w:spacing w:after="0" w:line="270" w:lineRule="atLeast"/>
        <w:jc w:val="both"/>
        <w:rPr>
          <w:rFonts w:eastAsia="Times New Roman"/>
          <w:color w:val="000000"/>
          <w:sz w:val="28"/>
          <w:szCs w:val="28"/>
          <w:lang w:eastAsia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2193"/>
        <w:gridCol w:w="6633"/>
      </w:tblGrid>
      <w:tr w:rsidR="00961D55" w:rsidRPr="008A4DE8" w14:paraId="74417BEE" w14:textId="77777777" w:rsidTr="00FD206F">
        <w:trPr>
          <w:trHeight w:val="427"/>
        </w:trPr>
        <w:tc>
          <w:tcPr>
            <w:tcW w:w="9322" w:type="dxa"/>
            <w:gridSpan w:val="3"/>
            <w:hideMark/>
          </w:tcPr>
          <w:p w14:paraId="1B3C52CE" w14:textId="77777777" w:rsidR="00961D55" w:rsidRPr="008A4DE8" w:rsidRDefault="00961D55" w:rsidP="00961D5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8A4DE8">
              <w:rPr>
                <w:rFonts w:eastAsia="Times New Roman"/>
                <w:b/>
                <w:bCs/>
                <w:lang w:eastAsia="lv-LV"/>
              </w:rPr>
              <w:t>Tiesību akta projekta izstrādes nepieciešamība</w:t>
            </w:r>
          </w:p>
        </w:tc>
      </w:tr>
      <w:tr w:rsidR="00961D55" w:rsidRPr="008A4DE8" w14:paraId="74F7E1B9" w14:textId="77777777" w:rsidTr="00FD206F">
        <w:tc>
          <w:tcPr>
            <w:tcW w:w="496" w:type="dxa"/>
            <w:hideMark/>
          </w:tcPr>
          <w:p w14:paraId="0F3C442A" w14:textId="77777777" w:rsidR="00961D55" w:rsidRPr="008A4DE8" w:rsidRDefault="00961D55" w:rsidP="00961D55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8A4DE8">
              <w:rPr>
                <w:rFonts w:eastAsia="Times New Roman"/>
                <w:lang w:eastAsia="lv-LV"/>
              </w:rPr>
              <w:t>1.</w:t>
            </w:r>
          </w:p>
        </w:tc>
        <w:tc>
          <w:tcPr>
            <w:tcW w:w="2193" w:type="dxa"/>
            <w:hideMark/>
          </w:tcPr>
          <w:p w14:paraId="160FA58D" w14:textId="77777777" w:rsidR="00961D55" w:rsidRPr="008A4DE8" w:rsidRDefault="00961D55" w:rsidP="00961D55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8A4DE8">
              <w:rPr>
                <w:rFonts w:eastAsia="Times New Roman"/>
                <w:lang w:eastAsia="lv-LV"/>
              </w:rPr>
              <w:t>Pamatojums</w:t>
            </w:r>
          </w:p>
        </w:tc>
        <w:tc>
          <w:tcPr>
            <w:tcW w:w="6633" w:type="dxa"/>
            <w:hideMark/>
          </w:tcPr>
          <w:p w14:paraId="714EBEBA" w14:textId="77777777" w:rsidR="00B42D00" w:rsidRPr="008A4DE8" w:rsidRDefault="00A91633" w:rsidP="00A91633">
            <w:pPr>
              <w:spacing w:after="0" w:line="240" w:lineRule="auto"/>
              <w:ind w:left="-108"/>
              <w:jc w:val="both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 xml:space="preserve"> Finanšu ministrijas un Valsts ieņēmumu dienesta iniciatīva</w:t>
            </w:r>
          </w:p>
        </w:tc>
      </w:tr>
      <w:tr w:rsidR="00961D55" w:rsidRPr="00961D55" w14:paraId="2ACA2F07" w14:textId="77777777" w:rsidTr="002F6EE3">
        <w:trPr>
          <w:trHeight w:val="7084"/>
        </w:trPr>
        <w:tc>
          <w:tcPr>
            <w:tcW w:w="496" w:type="dxa"/>
            <w:hideMark/>
          </w:tcPr>
          <w:p w14:paraId="649B75A8" w14:textId="77777777" w:rsidR="00961D55" w:rsidRPr="008A4DE8" w:rsidRDefault="00961D55" w:rsidP="00961D55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8A4DE8">
              <w:rPr>
                <w:rFonts w:eastAsia="Times New Roman"/>
                <w:lang w:eastAsia="lv-LV"/>
              </w:rPr>
              <w:t>2.</w:t>
            </w:r>
          </w:p>
        </w:tc>
        <w:tc>
          <w:tcPr>
            <w:tcW w:w="2193" w:type="dxa"/>
            <w:hideMark/>
          </w:tcPr>
          <w:p w14:paraId="3AFDAD2F" w14:textId="77777777" w:rsidR="00961D55" w:rsidRPr="008A4DE8" w:rsidRDefault="00961D55" w:rsidP="00961D55">
            <w:pPr>
              <w:spacing w:after="0" w:line="240" w:lineRule="auto"/>
              <w:jc w:val="both"/>
              <w:rPr>
                <w:rFonts w:eastAsia="Times New Roman"/>
                <w:lang w:eastAsia="lv-LV"/>
              </w:rPr>
            </w:pPr>
            <w:r w:rsidRPr="008A4DE8">
              <w:rPr>
                <w:rFonts w:eastAsia="Times New Roman"/>
                <w:color w:val="000000"/>
                <w:lang w:eastAsia="lv-LV"/>
              </w:rPr>
              <w:t>Pašreizējā situācija un problēmas, kuru risināšanai tiesību akta projekts izstrādāts, tiesiskā regulējuma mērķis un būtība</w:t>
            </w:r>
          </w:p>
          <w:p w14:paraId="30E9C748" w14:textId="77777777" w:rsidR="009E74C3" w:rsidRPr="008A4DE8" w:rsidRDefault="009E74C3" w:rsidP="00961D55">
            <w:pPr>
              <w:spacing w:after="0" w:line="240" w:lineRule="auto"/>
              <w:rPr>
                <w:rFonts w:eastAsia="Times New Roman"/>
                <w:lang w:eastAsia="lv-LV"/>
              </w:rPr>
            </w:pPr>
          </w:p>
          <w:p w14:paraId="138EDB84" w14:textId="77777777" w:rsidR="009E74C3" w:rsidRPr="008A4DE8" w:rsidRDefault="009E74C3" w:rsidP="009E74C3">
            <w:pPr>
              <w:rPr>
                <w:rFonts w:eastAsia="Times New Roman"/>
                <w:lang w:eastAsia="lv-LV"/>
              </w:rPr>
            </w:pPr>
          </w:p>
          <w:p w14:paraId="6A881FEE" w14:textId="77777777" w:rsidR="009E74C3" w:rsidRPr="008A4DE8" w:rsidRDefault="009E74C3" w:rsidP="009E74C3">
            <w:pPr>
              <w:rPr>
                <w:rFonts w:eastAsia="Times New Roman"/>
                <w:lang w:eastAsia="lv-LV"/>
              </w:rPr>
            </w:pPr>
          </w:p>
          <w:p w14:paraId="033DEA85" w14:textId="77777777" w:rsidR="009E74C3" w:rsidRPr="008A4DE8" w:rsidRDefault="009E74C3" w:rsidP="009E74C3">
            <w:pPr>
              <w:rPr>
                <w:rFonts w:eastAsia="Times New Roman"/>
                <w:lang w:eastAsia="lv-LV"/>
              </w:rPr>
            </w:pPr>
          </w:p>
          <w:p w14:paraId="795AA9DC" w14:textId="77777777" w:rsidR="009E74C3" w:rsidRPr="008A4DE8" w:rsidRDefault="009E74C3" w:rsidP="009E74C3">
            <w:pPr>
              <w:rPr>
                <w:rFonts w:eastAsia="Times New Roman"/>
                <w:lang w:eastAsia="lv-LV"/>
              </w:rPr>
            </w:pPr>
          </w:p>
          <w:p w14:paraId="263349F2" w14:textId="77777777" w:rsidR="009E74C3" w:rsidRPr="008A4DE8" w:rsidRDefault="009E74C3" w:rsidP="009E74C3">
            <w:pPr>
              <w:rPr>
                <w:rFonts w:eastAsia="Times New Roman"/>
                <w:lang w:eastAsia="lv-LV"/>
              </w:rPr>
            </w:pPr>
          </w:p>
          <w:p w14:paraId="18A89E69" w14:textId="77777777" w:rsidR="009E74C3" w:rsidRPr="008A4DE8" w:rsidRDefault="009E74C3" w:rsidP="009E74C3">
            <w:pPr>
              <w:rPr>
                <w:rFonts w:eastAsia="Times New Roman"/>
                <w:lang w:eastAsia="lv-LV"/>
              </w:rPr>
            </w:pPr>
          </w:p>
          <w:p w14:paraId="17D1DF4A" w14:textId="77777777" w:rsidR="009E74C3" w:rsidRPr="008A4DE8" w:rsidRDefault="009E74C3" w:rsidP="009E74C3">
            <w:pPr>
              <w:rPr>
                <w:rFonts w:eastAsia="Times New Roman"/>
                <w:lang w:eastAsia="lv-LV"/>
              </w:rPr>
            </w:pPr>
          </w:p>
          <w:p w14:paraId="696FD5C0" w14:textId="77777777" w:rsidR="009E74C3" w:rsidRPr="008A4DE8" w:rsidRDefault="009E74C3" w:rsidP="009E74C3">
            <w:pPr>
              <w:rPr>
                <w:rFonts w:eastAsia="Times New Roman"/>
                <w:lang w:eastAsia="lv-LV"/>
              </w:rPr>
            </w:pPr>
          </w:p>
          <w:p w14:paraId="10194B37" w14:textId="77777777" w:rsidR="00961D55" w:rsidRPr="008A4DE8" w:rsidRDefault="00961D55" w:rsidP="00166CC0">
            <w:pPr>
              <w:rPr>
                <w:rFonts w:eastAsia="Times New Roman"/>
                <w:lang w:eastAsia="lv-LV"/>
              </w:rPr>
            </w:pPr>
          </w:p>
        </w:tc>
        <w:tc>
          <w:tcPr>
            <w:tcW w:w="6633" w:type="dxa"/>
          </w:tcPr>
          <w:p w14:paraId="356740DE" w14:textId="2A5EAA3E" w:rsidR="006E1E88" w:rsidRDefault="00A91633" w:rsidP="002669D8">
            <w:pPr>
              <w:shd w:val="clear" w:color="auto" w:fill="FFFFFF"/>
              <w:spacing w:after="0" w:line="0" w:lineRule="atLeast"/>
              <w:ind w:firstLine="459"/>
              <w:jc w:val="both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 xml:space="preserve">Šobrīd </w:t>
            </w:r>
            <w:r w:rsidR="00DC14E1">
              <w:rPr>
                <w:rFonts w:eastAsia="Times New Roman"/>
                <w:lang w:eastAsia="lv-LV"/>
              </w:rPr>
              <w:t xml:space="preserve">Ministru kabineta 2005.gada 30.augusta noteikumi Nr.662 “Akcīzes preču aprites kārtība” paredz iespēju veikt degvielas mazumtirdzniecību tikai tādiem komersantiem, kuri ir saņēmuši speciālo atļauju (licenci) </w:t>
            </w:r>
            <w:r w:rsidR="00F777E7">
              <w:rPr>
                <w:rFonts w:eastAsia="Times New Roman"/>
                <w:lang w:eastAsia="lv-LV"/>
              </w:rPr>
              <w:t xml:space="preserve">(turpmāk – licence) </w:t>
            </w:r>
            <w:r w:rsidR="00DC14E1">
              <w:rPr>
                <w:rFonts w:eastAsia="Times New Roman"/>
                <w:lang w:eastAsia="lv-LV"/>
              </w:rPr>
              <w:t xml:space="preserve">naftas produktu mazumtirdzniecībai un kuru valdījumā ir </w:t>
            </w:r>
            <w:r w:rsidR="00DC14E1" w:rsidRPr="00DC14E1">
              <w:rPr>
                <w:rFonts w:eastAsia="Times New Roman"/>
                <w:lang w:eastAsia="lv-LV"/>
              </w:rPr>
              <w:t>īpaši ierīkot</w:t>
            </w:r>
            <w:r w:rsidR="00E84508">
              <w:rPr>
                <w:rFonts w:eastAsia="Times New Roman"/>
                <w:lang w:eastAsia="lv-LV"/>
              </w:rPr>
              <w:t>a</w:t>
            </w:r>
            <w:r w:rsidR="00DC14E1" w:rsidRPr="00DC14E1">
              <w:rPr>
                <w:rFonts w:eastAsia="Times New Roman"/>
                <w:lang w:eastAsia="lv-LV"/>
              </w:rPr>
              <w:t>s stacionārās (arī konteiner</w:t>
            </w:r>
            <w:r w:rsidR="006E1E88">
              <w:rPr>
                <w:rFonts w:eastAsia="Times New Roman"/>
                <w:lang w:eastAsia="lv-LV"/>
              </w:rPr>
              <w:t>tipa) degvielas uzpildes stacija</w:t>
            </w:r>
            <w:r w:rsidR="00C037BB">
              <w:rPr>
                <w:rFonts w:eastAsia="Times New Roman"/>
                <w:lang w:eastAsia="lv-LV"/>
              </w:rPr>
              <w:t>s, kas tiek norādītas licencē.</w:t>
            </w:r>
          </w:p>
          <w:p w14:paraId="55304DDA" w14:textId="23C3A165" w:rsidR="006E1E88" w:rsidRDefault="006E1E88" w:rsidP="002669D8">
            <w:pPr>
              <w:shd w:val="clear" w:color="auto" w:fill="FFFFFF"/>
              <w:spacing w:after="0" w:line="0" w:lineRule="atLeast"/>
              <w:ind w:firstLine="459"/>
              <w:jc w:val="both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 xml:space="preserve">Tādējādi šobrīd noteikumi neparedz iespēju </w:t>
            </w:r>
            <w:r w:rsidRPr="006872B0">
              <w:rPr>
                <w:rFonts w:eastAsia="Times New Roman"/>
                <w:lang w:eastAsia="lv-LV"/>
              </w:rPr>
              <w:t>komersantiem</w:t>
            </w:r>
            <w:r>
              <w:rPr>
                <w:rFonts w:eastAsia="Times New Roman"/>
                <w:lang w:eastAsia="lv-LV"/>
              </w:rPr>
              <w:t>, kas ir degvielas kar</w:t>
            </w:r>
            <w:r w:rsidR="00C520A3">
              <w:rPr>
                <w:rFonts w:eastAsia="Times New Roman"/>
                <w:lang w:eastAsia="lv-LV"/>
              </w:rPr>
              <w:t>šu izdevēji</w:t>
            </w:r>
            <w:r>
              <w:rPr>
                <w:rFonts w:eastAsia="Times New Roman"/>
                <w:lang w:eastAsia="lv-LV"/>
              </w:rPr>
              <w:t xml:space="preserve"> un </w:t>
            </w:r>
            <w:r w:rsidR="00E31633">
              <w:rPr>
                <w:rFonts w:eastAsia="Times New Roman"/>
                <w:lang w:eastAsia="lv-LV"/>
              </w:rPr>
              <w:t>sadarbojas ar deg</w:t>
            </w:r>
            <w:r w:rsidR="00C520A3">
              <w:rPr>
                <w:rFonts w:eastAsia="Times New Roman"/>
                <w:lang w:eastAsia="lv-LV"/>
              </w:rPr>
              <w:t>vielas uzpildes stacijām Latvijā</w:t>
            </w:r>
            <w:r w:rsidR="00E55A0E">
              <w:rPr>
                <w:rFonts w:eastAsia="Times New Roman"/>
                <w:lang w:eastAsia="lv-LV"/>
              </w:rPr>
              <w:t xml:space="preserve">, </w:t>
            </w:r>
            <w:r w:rsidR="00E31633">
              <w:rPr>
                <w:rFonts w:eastAsia="Times New Roman"/>
                <w:lang w:eastAsia="lv-LV"/>
              </w:rPr>
              <w:t>izrakstīt attaisnojuma dokumentus par degvielas realizāciju k</w:t>
            </w:r>
            <w:r w:rsidR="00E55A0E">
              <w:rPr>
                <w:rFonts w:eastAsia="Times New Roman"/>
                <w:lang w:eastAsia="lv-LV"/>
              </w:rPr>
              <w:t>lientiem</w:t>
            </w:r>
            <w:r w:rsidR="00E31633">
              <w:rPr>
                <w:rFonts w:eastAsia="Times New Roman"/>
                <w:lang w:eastAsia="lv-LV"/>
              </w:rPr>
              <w:t xml:space="preserve">, tādējādi </w:t>
            </w:r>
            <w:r w:rsidR="00F777E7">
              <w:rPr>
                <w:rFonts w:eastAsia="Times New Roman"/>
                <w:lang w:eastAsia="lv-LV"/>
              </w:rPr>
              <w:t xml:space="preserve">aizliedzot </w:t>
            </w:r>
            <w:r w:rsidR="00E31633">
              <w:rPr>
                <w:rFonts w:eastAsia="Times New Roman"/>
                <w:lang w:eastAsia="lv-LV"/>
              </w:rPr>
              <w:t xml:space="preserve">realizēt degvielu </w:t>
            </w:r>
            <w:r w:rsidR="00F777E7">
              <w:rPr>
                <w:rFonts w:eastAsia="Times New Roman"/>
                <w:lang w:eastAsia="lv-LV"/>
              </w:rPr>
              <w:t xml:space="preserve">cita </w:t>
            </w:r>
            <w:r>
              <w:rPr>
                <w:rFonts w:eastAsia="Times New Roman"/>
                <w:lang w:eastAsia="lv-LV"/>
              </w:rPr>
              <w:t>komersant</w:t>
            </w:r>
            <w:r w:rsidR="00F777E7">
              <w:rPr>
                <w:rFonts w:eastAsia="Times New Roman"/>
                <w:lang w:eastAsia="lv-LV"/>
              </w:rPr>
              <w:t>a</w:t>
            </w:r>
            <w:r>
              <w:rPr>
                <w:rFonts w:eastAsia="Times New Roman"/>
                <w:lang w:eastAsia="lv-LV"/>
              </w:rPr>
              <w:t>, k</w:t>
            </w:r>
            <w:r w:rsidR="00F777E7">
              <w:rPr>
                <w:rFonts w:eastAsia="Times New Roman"/>
                <w:lang w:eastAsia="lv-LV"/>
              </w:rPr>
              <w:t>uram</w:t>
            </w:r>
            <w:r>
              <w:rPr>
                <w:rFonts w:eastAsia="Times New Roman"/>
                <w:lang w:eastAsia="lv-LV"/>
              </w:rPr>
              <w:t xml:space="preserve"> ir licence degvielas mazumtirdzniec</w:t>
            </w:r>
            <w:r w:rsidR="00E55A0E">
              <w:rPr>
                <w:rFonts w:eastAsia="Times New Roman"/>
                <w:lang w:eastAsia="lv-LV"/>
              </w:rPr>
              <w:t>ībai</w:t>
            </w:r>
            <w:r w:rsidR="00C037BB">
              <w:rPr>
                <w:rFonts w:eastAsia="Times New Roman"/>
                <w:lang w:eastAsia="lv-LV"/>
              </w:rPr>
              <w:t>,</w:t>
            </w:r>
            <w:r w:rsidR="00E55A0E">
              <w:rPr>
                <w:rFonts w:eastAsia="Times New Roman"/>
                <w:lang w:eastAsia="lv-LV"/>
              </w:rPr>
              <w:t xml:space="preserve"> degvielas uzpildes stacijā.</w:t>
            </w:r>
          </w:p>
          <w:p w14:paraId="39278FCB" w14:textId="5B60E583" w:rsidR="00C037BB" w:rsidRPr="008A4DE8" w:rsidRDefault="006E1E88" w:rsidP="00C037BB">
            <w:pPr>
              <w:shd w:val="clear" w:color="auto" w:fill="FFFFFF"/>
              <w:spacing w:after="0" w:line="0" w:lineRule="atLeast"/>
              <w:ind w:firstLine="459"/>
              <w:jc w:val="both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 xml:space="preserve">Ņemot </w:t>
            </w:r>
            <w:r w:rsidR="00E31633">
              <w:rPr>
                <w:rFonts w:eastAsia="Times New Roman"/>
                <w:lang w:eastAsia="lv-LV"/>
              </w:rPr>
              <w:t xml:space="preserve">vērā, </w:t>
            </w:r>
            <w:r w:rsidR="009566DD">
              <w:rPr>
                <w:rFonts w:eastAsia="Times New Roman"/>
                <w:lang w:eastAsia="lv-LV"/>
              </w:rPr>
              <w:t>ka arī Eiropā šis</w:t>
            </w:r>
            <w:r>
              <w:rPr>
                <w:rFonts w:eastAsia="Times New Roman"/>
                <w:lang w:eastAsia="lv-LV"/>
              </w:rPr>
              <w:t xml:space="preserve"> biznesa modelis degvielas darījumiem, izmantojot degvielas kartes, </w:t>
            </w:r>
            <w:r w:rsidR="009566DD">
              <w:rPr>
                <w:rFonts w:eastAsia="Times New Roman"/>
                <w:lang w:eastAsia="lv-LV"/>
              </w:rPr>
              <w:t xml:space="preserve">ir izplatīts, </w:t>
            </w:r>
            <w:r w:rsidR="00C037BB">
              <w:rPr>
                <w:rFonts w:eastAsia="Times New Roman"/>
                <w:lang w:eastAsia="lv-LV"/>
              </w:rPr>
              <w:t>kā arī šie darījumi notiks komersantu, kuriem ir izsniegta</w:t>
            </w:r>
            <w:r w:rsidR="00F777E7">
              <w:rPr>
                <w:rFonts w:eastAsia="Times New Roman"/>
                <w:lang w:eastAsia="lv-LV"/>
              </w:rPr>
              <w:t xml:space="preserve"> </w:t>
            </w:r>
            <w:r w:rsidR="00C037BB">
              <w:rPr>
                <w:rFonts w:eastAsia="Times New Roman"/>
                <w:lang w:eastAsia="lv-LV"/>
              </w:rPr>
              <w:t>licence naftas produktu mazumtirdzniecībai</w:t>
            </w:r>
            <w:r w:rsidR="00F777E7">
              <w:rPr>
                <w:rFonts w:eastAsia="Times New Roman"/>
                <w:lang w:eastAsia="lv-LV"/>
              </w:rPr>
              <w:t>,</w:t>
            </w:r>
            <w:r w:rsidR="00C037BB">
              <w:rPr>
                <w:rFonts w:eastAsia="Times New Roman"/>
                <w:lang w:eastAsia="lv-LV"/>
              </w:rPr>
              <w:t xml:space="preserve"> norādītajās </w:t>
            </w:r>
            <w:r w:rsidR="00F777E7">
              <w:rPr>
                <w:rFonts w:eastAsia="Times New Roman"/>
                <w:lang w:eastAsia="lv-LV"/>
              </w:rPr>
              <w:t xml:space="preserve">darbības </w:t>
            </w:r>
            <w:r w:rsidR="00C037BB">
              <w:rPr>
                <w:rFonts w:eastAsia="Times New Roman"/>
                <w:lang w:eastAsia="lv-LV"/>
              </w:rPr>
              <w:t xml:space="preserve">vietās, tad, </w:t>
            </w:r>
            <w:r w:rsidR="00E55A0E">
              <w:rPr>
                <w:rFonts w:eastAsia="Times New Roman"/>
                <w:lang w:eastAsia="lv-LV"/>
              </w:rPr>
              <w:t>lai veicinātu degvielas realizācijas darījumus Latvijā un neradītu šķēršļus komersantiem veikt šādus darījumus arī Latvijā, noteikumu projekts</w:t>
            </w:r>
            <w:r w:rsidR="00C037BB">
              <w:rPr>
                <w:rFonts w:eastAsia="Times New Roman"/>
                <w:lang w:eastAsia="lv-LV"/>
              </w:rPr>
              <w:t xml:space="preserve"> paredz noteikt, ka </w:t>
            </w:r>
            <w:r w:rsidR="006872B0">
              <w:rPr>
                <w:rFonts w:cstheme="minorBidi"/>
              </w:rPr>
              <w:t>k</w:t>
            </w:r>
            <w:r w:rsidR="006872B0" w:rsidRPr="006872B0">
              <w:rPr>
                <w:rFonts w:cstheme="minorBidi"/>
              </w:rPr>
              <w:t>omersants bez speciālas atļaujas (licences) degvielas mazumtirdzniecībai saņemšanas ir tiesīgs realizēt no tāda komersanta speciālajā atļaujā (licencē) degvielas mazumtirdzniecībai</w:t>
            </w:r>
            <w:r w:rsidR="006872B0" w:rsidRPr="006872B0">
              <w:t xml:space="preserve"> </w:t>
            </w:r>
            <w:r w:rsidR="006872B0" w:rsidRPr="006872B0">
              <w:rPr>
                <w:rFonts w:cstheme="minorBidi"/>
              </w:rPr>
              <w:t>norādītās darbības vietas šajā darbības vietā iegādāto degvielu, kuram ir speciālā atļauja (licence) degvielas mazumtirdzniecībai un kurš šī komersanta vārdā un interesēs nodrošina pircēja iegādātās degvielas uzpildi</w:t>
            </w:r>
            <w:r w:rsidR="006872B0">
              <w:rPr>
                <w:rFonts w:cstheme="minorBidi"/>
              </w:rPr>
              <w:t>.</w:t>
            </w:r>
          </w:p>
          <w:p w14:paraId="3DC4324B" w14:textId="77777777" w:rsidR="00B42D00" w:rsidRPr="008A4DE8" w:rsidRDefault="00B42D00" w:rsidP="002434B9">
            <w:pPr>
              <w:shd w:val="clear" w:color="auto" w:fill="FFFFFF"/>
              <w:spacing w:before="100" w:beforeAutospacing="1" w:after="100" w:afterAutospacing="1" w:line="0" w:lineRule="atLeast"/>
              <w:ind w:firstLine="459"/>
              <w:contextualSpacing/>
              <w:jc w:val="both"/>
              <w:rPr>
                <w:rFonts w:eastAsia="Times New Roman"/>
                <w:lang w:eastAsia="lv-LV"/>
              </w:rPr>
            </w:pPr>
          </w:p>
        </w:tc>
      </w:tr>
      <w:tr w:rsidR="00961D55" w:rsidRPr="00961D55" w14:paraId="6FF88BCE" w14:textId="77777777" w:rsidTr="00FD206F">
        <w:tc>
          <w:tcPr>
            <w:tcW w:w="496" w:type="dxa"/>
            <w:hideMark/>
          </w:tcPr>
          <w:p w14:paraId="297AF9D5" w14:textId="77777777" w:rsidR="00961D55" w:rsidRPr="00961D55" w:rsidRDefault="00961D55" w:rsidP="00961D55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961D55">
              <w:rPr>
                <w:rFonts w:eastAsia="Times New Roman"/>
                <w:lang w:eastAsia="lv-LV"/>
              </w:rPr>
              <w:t>3.</w:t>
            </w:r>
          </w:p>
        </w:tc>
        <w:tc>
          <w:tcPr>
            <w:tcW w:w="2193" w:type="dxa"/>
            <w:hideMark/>
          </w:tcPr>
          <w:p w14:paraId="6DCF357F" w14:textId="77777777" w:rsidR="00961D55" w:rsidRPr="00961D55" w:rsidRDefault="00961D55" w:rsidP="00961D55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961D55">
              <w:rPr>
                <w:rFonts w:eastAsia="Times New Roman"/>
                <w:color w:val="000000"/>
                <w:lang w:eastAsia="lv-LV"/>
              </w:rPr>
              <w:t>Projekta izstrādē iesaistītās institūcijas</w:t>
            </w:r>
          </w:p>
        </w:tc>
        <w:tc>
          <w:tcPr>
            <w:tcW w:w="6633" w:type="dxa"/>
          </w:tcPr>
          <w:p w14:paraId="4144302A" w14:textId="77777777" w:rsidR="00961D55" w:rsidRPr="00961D55" w:rsidRDefault="00961D55" w:rsidP="00961D55">
            <w:pPr>
              <w:spacing w:after="0" w:line="240" w:lineRule="auto"/>
              <w:ind w:left="-108"/>
              <w:jc w:val="both"/>
              <w:rPr>
                <w:rFonts w:eastAsia="Times New Roman"/>
                <w:lang w:eastAsia="lv-LV"/>
              </w:rPr>
            </w:pPr>
            <w:r w:rsidRPr="00961D55">
              <w:rPr>
                <w:rFonts w:eastAsia="Times New Roman"/>
                <w:lang w:eastAsia="lv-LV"/>
              </w:rPr>
              <w:t>Finanšu ministrija un VID.</w:t>
            </w:r>
          </w:p>
        </w:tc>
      </w:tr>
      <w:tr w:rsidR="00961D55" w:rsidRPr="00961D55" w14:paraId="3C879922" w14:textId="77777777" w:rsidTr="00FD206F">
        <w:tc>
          <w:tcPr>
            <w:tcW w:w="496" w:type="dxa"/>
            <w:hideMark/>
          </w:tcPr>
          <w:p w14:paraId="2D1841CB" w14:textId="77777777" w:rsidR="00961D55" w:rsidRPr="00961D55" w:rsidRDefault="00961D55" w:rsidP="00961D55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961D55">
              <w:rPr>
                <w:rFonts w:eastAsia="Times New Roman"/>
                <w:lang w:eastAsia="lv-LV"/>
              </w:rPr>
              <w:t>4.</w:t>
            </w:r>
          </w:p>
        </w:tc>
        <w:tc>
          <w:tcPr>
            <w:tcW w:w="2193" w:type="dxa"/>
            <w:hideMark/>
          </w:tcPr>
          <w:p w14:paraId="16A0C837" w14:textId="77777777" w:rsidR="00961D55" w:rsidRPr="00961D55" w:rsidRDefault="00961D55" w:rsidP="00961D55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961D55">
              <w:rPr>
                <w:rFonts w:eastAsia="Times New Roman"/>
                <w:lang w:eastAsia="lv-LV"/>
              </w:rPr>
              <w:t>Cita informācija</w:t>
            </w:r>
          </w:p>
        </w:tc>
        <w:tc>
          <w:tcPr>
            <w:tcW w:w="6633" w:type="dxa"/>
          </w:tcPr>
          <w:p w14:paraId="312D93B0" w14:textId="77777777" w:rsidR="00961D55" w:rsidRPr="00961D55" w:rsidRDefault="00961D55" w:rsidP="00961D55">
            <w:pPr>
              <w:spacing w:after="0" w:line="240" w:lineRule="auto"/>
              <w:ind w:left="-108"/>
              <w:jc w:val="both"/>
              <w:rPr>
                <w:rFonts w:eastAsia="Times New Roman"/>
                <w:lang w:eastAsia="lv-LV"/>
              </w:rPr>
            </w:pPr>
            <w:r w:rsidRPr="00961D55">
              <w:rPr>
                <w:rFonts w:eastAsia="Times New Roman"/>
                <w:lang w:eastAsia="lv-LV"/>
              </w:rPr>
              <w:t>Nav.</w:t>
            </w:r>
          </w:p>
        </w:tc>
      </w:tr>
    </w:tbl>
    <w:p w14:paraId="390A9128" w14:textId="77777777" w:rsidR="00961D55" w:rsidRPr="00961D55" w:rsidRDefault="00961D55" w:rsidP="00961D55">
      <w:pPr>
        <w:spacing w:after="0" w:line="270" w:lineRule="atLeast"/>
        <w:jc w:val="both"/>
        <w:rPr>
          <w:rFonts w:eastAsia="Times New Roman"/>
          <w:color w:val="000000"/>
          <w:lang w:eastAsia="lv-LV"/>
        </w:rPr>
      </w:pPr>
    </w:p>
    <w:tbl>
      <w:tblPr>
        <w:tblW w:w="5066" w:type="pct"/>
        <w:tblInd w:w="-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64"/>
        <w:gridCol w:w="3403"/>
        <w:gridCol w:w="5385"/>
      </w:tblGrid>
      <w:tr w:rsidR="00961D55" w:rsidRPr="00961D55" w14:paraId="020BE2CF" w14:textId="77777777" w:rsidTr="002F6EE3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outset" w:sz="6" w:space="0" w:color="000000"/>
              <w:right w:val="single" w:sz="6" w:space="0" w:color="000000"/>
            </w:tcBorders>
            <w:vAlign w:val="center"/>
          </w:tcPr>
          <w:p w14:paraId="656F8345" w14:textId="77777777" w:rsidR="00961D55" w:rsidRPr="00961D55" w:rsidRDefault="00961D55" w:rsidP="00961D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961D55">
              <w:rPr>
                <w:rFonts w:eastAsia="Times New Roman"/>
                <w:b/>
                <w:bCs/>
                <w:lang w:eastAsia="lv-LV"/>
              </w:rPr>
              <w:t>II. Tiesību akta projekta ietekme uz sabiedrību, tautsaimniecības attīstību un administratīvo slogu</w:t>
            </w:r>
          </w:p>
        </w:tc>
      </w:tr>
      <w:tr w:rsidR="00961D55" w:rsidRPr="00961D55" w14:paraId="76A0F65F" w14:textId="77777777" w:rsidTr="002F6EE3">
        <w:trPr>
          <w:trHeight w:val="1227"/>
        </w:trPr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08D287" w14:textId="77777777" w:rsidR="00961D55" w:rsidRPr="00961D55" w:rsidRDefault="00961D55" w:rsidP="00961D55">
            <w:pPr>
              <w:spacing w:before="100" w:beforeAutospacing="1" w:after="100" w:afterAutospacing="1" w:line="240" w:lineRule="auto"/>
              <w:rPr>
                <w:rFonts w:eastAsia="Times New Roman"/>
                <w:lang w:eastAsia="lv-LV"/>
              </w:rPr>
            </w:pPr>
            <w:r w:rsidRPr="00961D55">
              <w:rPr>
                <w:rFonts w:eastAsia="Times New Roman"/>
                <w:lang w:eastAsia="lv-LV"/>
              </w:rPr>
              <w:lastRenderedPageBreak/>
              <w:t>1.</w:t>
            </w:r>
          </w:p>
        </w:tc>
        <w:tc>
          <w:tcPr>
            <w:tcW w:w="18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8148C7" w14:textId="77777777" w:rsidR="00961D55" w:rsidRPr="00961D55" w:rsidRDefault="00961D55" w:rsidP="00961D55">
            <w:pPr>
              <w:spacing w:before="100" w:beforeAutospacing="1" w:after="100" w:afterAutospacing="1" w:line="240" w:lineRule="auto"/>
              <w:ind w:right="113"/>
              <w:rPr>
                <w:rFonts w:eastAsia="Times New Roman"/>
                <w:lang w:eastAsia="lv-LV"/>
              </w:rPr>
            </w:pPr>
            <w:r w:rsidRPr="00961D55">
              <w:rPr>
                <w:rFonts w:eastAsia="Times New Roman"/>
                <w:lang w:eastAsia="lv-LV"/>
              </w:rPr>
              <w:t>Sabiedrības mērķgrupas, kuras tiesiskais regulējums ietekmē vai varētu ietekmēt</w:t>
            </w:r>
          </w:p>
        </w:tc>
        <w:tc>
          <w:tcPr>
            <w:tcW w:w="29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615906" w14:textId="2687D673" w:rsidR="00990A1F" w:rsidRPr="00961D55" w:rsidRDefault="00961D55" w:rsidP="002F6EE3">
            <w:pPr>
              <w:spacing w:after="0" w:line="240" w:lineRule="auto"/>
              <w:ind w:right="113" w:firstLine="396"/>
              <w:jc w:val="both"/>
              <w:rPr>
                <w:rFonts w:eastAsia="Times New Roman"/>
                <w:lang w:eastAsia="lv-LV"/>
              </w:rPr>
            </w:pPr>
            <w:r w:rsidRPr="008A4DE8">
              <w:rPr>
                <w:rFonts w:eastAsia="Times New Roman"/>
                <w:lang w:eastAsia="lv-LV"/>
              </w:rPr>
              <w:t xml:space="preserve">Noteikumu projekts attiecas uz </w:t>
            </w:r>
            <w:r w:rsidRPr="006872B0">
              <w:rPr>
                <w:rFonts w:eastAsia="Times New Roman"/>
                <w:lang w:eastAsia="lv-LV"/>
              </w:rPr>
              <w:t>komersantiem</w:t>
            </w:r>
            <w:r w:rsidRPr="008A4DE8">
              <w:rPr>
                <w:rFonts w:eastAsia="Times New Roman"/>
                <w:lang w:eastAsia="lv-LV"/>
              </w:rPr>
              <w:t>, kas</w:t>
            </w:r>
            <w:r w:rsidR="00990A1F">
              <w:rPr>
                <w:rFonts w:eastAsia="Times New Roman"/>
                <w:lang w:eastAsia="lv-LV"/>
              </w:rPr>
              <w:t xml:space="preserve"> realiz</w:t>
            </w:r>
            <w:r w:rsidR="008762CC">
              <w:rPr>
                <w:rFonts w:eastAsia="Times New Roman"/>
                <w:lang w:eastAsia="lv-LV"/>
              </w:rPr>
              <w:t xml:space="preserve">ēs degvielu </w:t>
            </w:r>
            <w:r w:rsidR="00A01D05">
              <w:rPr>
                <w:rFonts w:eastAsia="Times New Roman"/>
                <w:lang w:eastAsia="lv-LV"/>
              </w:rPr>
              <w:t xml:space="preserve">no cita komersanta licencē naftas produktu mazumtirdzniecībai norādītās </w:t>
            </w:r>
            <w:r w:rsidR="00C21779">
              <w:rPr>
                <w:rFonts w:eastAsia="Times New Roman"/>
                <w:lang w:eastAsia="lv-LV"/>
              </w:rPr>
              <w:t xml:space="preserve">darbības </w:t>
            </w:r>
            <w:r w:rsidR="00A01D05">
              <w:rPr>
                <w:rFonts w:eastAsia="Times New Roman"/>
                <w:lang w:eastAsia="lv-LV"/>
              </w:rPr>
              <w:t>vietas,</w:t>
            </w:r>
            <w:r w:rsidR="00990A1F">
              <w:rPr>
                <w:rFonts w:eastAsia="Times New Roman"/>
                <w:lang w:eastAsia="lv-LV"/>
              </w:rPr>
              <w:t xml:space="preserve"> pamatojoties uz </w:t>
            </w:r>
            <w:r w:rsidR="00A01D05">
              <w:rPr>
                <w:rFonts w:eastAsia="Times New Roman"/>
                <w:lang w:eastAsia="lv-LV"/>
              </w:rPr>
              <w:t xml:space="preserve">starp </w:t>
            </w:r>
            <w:r w:rsidR="00E84508">
              <w:rPr>
                <w:rFonts w:eastAsia="Times New Roman"/>
                <w:lang w:eastAsia="lv-LV"/>
              </w:rPr>
              <w:t>tiem</w:t>
            </w:r>
            <w:r w:rsidR="00A01D05">
              <w:rPr>
                <w:rFonts w:eastAsia="Times New Roman"/>
                <w:lang w:eastAsia="lv-LV"/>
              </w:rPr>
              <w:t xml:space="preserve"> </w:t>
            </w:r>
            <w:r w:rsidR="00990A1F">
              <w:rPr>
                <w:rFonts w:eastAsia="Times New Roman"/>
                <w:lang w:eastAsia="lv-LV"/>
              </w:rPr>
              <w:t>noslēgtajiem līgumiem</w:t>
            </w:r>
            <w:r w:rsidR="002F6EE3">
              <w:rPr>
                <w:rFonts w:eastAsia="Times New Roman"/>
                <w:lang w:eastAsia="lv-LV"/>
              </w:rPr>
              <w:t>.</w:t>
            </w:r>
          </w:p>
        </w:tc>
      </w:tr>
      <w:tr w:rsidR="00961D55" w:rsidRPr="00961D55" w14:paraId="3BB9CEC1" w14:textId="77777777" w:rsidTr="002F6EE3"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188763" w14:textId="77777777" w:rsidR="00961D55" w:rsidRPr="00961D55" w:rsidRDefault="00961D55" w:rsidP="00961D55">
            <w:pPr>
              <w:spacing w:before="100" w:beforeAutospacing="1" w:after="100" w:afterAutospacing="1" w:line="240" w:lineRule="auto"/>
              <w:rPr>
                <w:rFonts w:eastAsia="Times New Roman"/>
                <w:lang w:eastAsia="lv-LV"/>
              </w:rPr>
            </w:pPr>
            <w:r w:rsidRPr="00961D55">
              <w:rPr>
                <w:rFonts w:eastAsia="Times New Roman"/>
                <w:lang w:eastAsia="lv-LV"/>
              </w:rPr>
              <w:t>2.</w:t>
            </w:r>
          </w:p>
        </w:tc>
        <w:tc>
          <w:tcPr>
            <w:tcW w:w="18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0E9199" w14:textId="77777777" w:rsidR="00961D55" w:rsidRPr="00961D55" w:rsidRDefault="00961D55" w:rsidP="00961D55">
            <w:pPr>
              <w:spacing w:before="100" w:beforeAutospacing="1" w:after="100" w:afterAutospacing="1" w:line="240" w:lineRule="auto"/>
              <w:ind w:right="113"/>
              <w:jc w:val="both"/>
              <w:rPr>
                <w:rFonts w:eastAsia="Times New Roman"/>
                <w:lang w:eastAsia="lv-LV"/>
              </w:rPr>
            </w:pPr>
            <w:r w:rsidRPr="00961D55">
              <w:rPr>
                <w:rFonts w:eastAsia="Times New Roman"/>
                <w:lang w:eastAsia="lv-LV"/>
              </w:rPr>
              <w:t>Tiesiskā regulējuma ietekme uz tautsaimniecību un administratīvo slogu</w:t>
            </w:r>
          </w:p>
        </w:tc>
        <w:tc>
          <w:tcPr>
            <w:tcW w:w="29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F449A3" w14:textId="77777777" w:rsidR="00961D55" w:rsidRPr="00961D55" w:rsidRDefault="008466DD" w:rsidP="00990A1F">
            <w:pPr>
              <w:spacing w:after="0" w:line="240" w:lineRule="auto"/>
              <w:ind w:firstLine="396"/>
              <w:jc w:val="both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 xml:space="preserve">Noteikumu projekts </w:t>
            </w:r>
            <w:r w:rsidRPr="008466DD">
              <w:rPr>
                <w:rFonts w:eastAsia="Times New Roman"/>
                <w:lang w:eastAsia="lv-LV"/>
              </w:rPr>
              <w:t>nodrošinā</w:t>
            </w:r>
            <w:r>
              <w:rPr>
                <w:rFonts w:eastAsia="Times New Roman"/>
                <w:lang w:eastAsia="lv-LV"/>
              </w:rPr>
              <w:t>s</w:t>
            </w:r>
            <w:r w:rsidR="00115E7D">
              <w:rPr>
                <w:rFonts w:eastAsia="Times New Roman"/>
                <w:lang w:eastAsia="lv-LV"/>
              </w:rPr>
              <w:t xml:space="preserve"> </w:t>
            </w:r>
            <w:r w:rsidR="00990A1F">
              <w:rPr>
                <w:rFonts w:eastAsia="Times New Roman"/>
                <w:lang w:eastAsia="lv-LV"/>
              </w:rPr>
              <w:t>iespēju komersantiem īstenot biznesa modeli realizācijas darījumiem ar degvielas kartēm Latvij</w:t>
            </w:r>
            <w:r w:rsidR="008762CC">
              <w:rPr>
                <w:rFonts w:eastAsia="Times New Roman"/>
                <w:lang w:eastAsia="lv-LV"/>
              </w:rPr>
              <w:t>ā, veicinot degvielas apgrozījuma pieaugumu degvielas uzpildes stacijās.</w:t>
            </w:r>
          </w:p>
        </w:tc>
      </w:tr>
      <w:tr w:rsidR="00961D55" w:rsidRPr="00961D55" w14:paraId="43BCD677" w14:textId="77777777" w:rsidTr="002F6EE3"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3D8FBD" w14:textId="77777777" w:rsidR="00961D55" w:rsidRPr="00961D55" w:rsidRDefault="00961D55" w:rsidP="00961D55">
            <w:pPr>
              <w:spacing w:before="100" w:beforeAutospacing="1" w:after="100" w:afterAutospacing="1" w:line="240" w:lineRule="auto"/>
              <w:rPr>
                <w:rFonts w:eastAsia="Times New Roman"/>
                <w:lang w:eastAsia="lv-LV"/>
              </w:rPr>
            </w:pPr>
            <w:r w:rsidRPr="00961D55">
              <w:rPr>
                <w:rFonts w:eastAsia="Times New Roman"/>
                <w:lang w:eastAsia="lv-LV"/>
              </w:rPr>
              <w:t>3.</w:t>
            </w:r>
          </w:p>
        </w:tc>
        <w:tc>
          <w:tcPr>
            <w:tcW w:w="18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C02664" w14:textId="77777777" w:rsidR="00961D55" w:rsidRPr="00961D55" w:rsidRDefault="00961D55" w:rsidP="00961D55">
            <w:pPr>
              <w:spacing w:before="100" w:beforeAutospacing="1" w:after="100" w:afterAutospacing="1" w:line="240" w:lineRule="auto"/>
              <w:ind w:right="113"/>
              <w:rPr>
                <w:rFonts w:eastAsia="Times New Roman"/>
                <w:lang w:eastAsia="lv-LV"/>
              </w:rPr>
            </w:pPr>
            <w:r w:rsidRPr="00961D55">
              <w:rPr>
                <w:rFonts w:eastAsia="Times New Roman"/>
                <w:lang w:eastAsia="lv-LV"/>
              </w:rPr>
              <w:t>Administratīvo izmaksu monetārs novērtējums</w:t>
            </w:r>
          </w:p>
        </w:tc>
        <w:tc>
          <w:tcPr>
            <w:tcW w:w="29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8DB746" w14:textId="77777777" w:rsidR="00992EA4" w:rsidRPr="00961D55" w:rsidRDefault="00395C7B" w:rsidP="00990A1F">
            <w:pPr>
              <w:spacing w:after="0" w:line="240" w:lineRule="auto"/>
              <w:ind w:firstLine="396"/>
              <w:jc w:val="both"/>
              <w:rPr>
                <w:rFonts w:eastAsia="Times New Roman"/>
                <w:lang w:eastAsia="lv-LV"/>
              </w:rPr>
            </w:pPr>
            <w:r w:rsidRPr="00395C7B">
              <w:rPr>
                <w:rFonts w:eastAsia="Times New Roman"/>
                <w:lang w:eastAsia="lv-LV"/>
              </w:rPr>
              <w:t xml:space="preserve">Noteikumu projektā ietvertajam regulējumam nav ietekmes uz administratīvajām izmaksām (naudas </w:t>
            </w:r>
            <w:r w:rsidR="00990A1F">
              <w:rPr>
                <w:rFonts w:eastAsia="Times New Roman"/>
                <w:lang w:eastAsia="lv-LV"/>
              </w:rPr>
              <w:t>izteiksmē).</w:t>
            </w:r>
          </w:p>
        </w:tc>
      </w:tr>
      <w:tr w:rsidR="00961D55" w:rsidRPr="00961D55" w14:paraId="3C64D8B2" w14:textId="77777777" w:rsidTr="002F6EE3"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7C6B7F" w14:textId="77777777" w:rsidR="00961D55" w:rsidRPr="00961D55" w:rsidRDefault="00961D55" w:rsidP="00961D55">
            <w:pPr>
              <w:spacing w:before="100" w:beforeAutospacing="1" w:after="100" w:afterAutospacing="1" w:line="240" w:lineRule="auto"/>
              <w:rPr>
                <w:rFonts w:eastAsia="Times New Roman"/>
                <w:lang w:eastAsia="lv-LV"/>
              </w:rPr>
            </w:pPr>
            <w:r w:rsidRPr="00961D55">
              <w:rPr>
                <w:rFonts w:eastAsia="Times New Roman"/>
                <w:lang w:eastAsia="lv-LV"/>
              </w:rPr>
              <w:t>4.</w:t>
            </w:r>
          </w:p>
        </w:tc>
        <w:tc>
          <w:tcPr>
            <w:tcW w:w="18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34BFED" w14:textId="77777777" w:rsidR="00961D55" w:rsidRPr="00961D55" w:rsidRDefault="00961D55" w:rsidP="00961D55">
            <w:pPr>
              <w:spacing w:before="100" w:beforeAutospacing="1" w:after="100" w:afterAutospacing="1" w:line="240" w:lineRule="auto"/>
              <w:ind w:right="113"/>
              <w:rPr>
                <w:rFonts w:eastAsia="Times New Roman"/>
                <w:lang w:eastAsia="lv-LV"/>
              </w:rPr>
            </w:pPr>
            <w:r w:rsidRPr="00961D55">
              <w:rPr>
                <w:rFonts w:eastAsia="Times New Roman"/>
                <w:lang w:eastAsia="lv-LV"/>
              </w:rPr>
              <w:t xml:space="preserve">Atbilstības izmaksu monetārais novērtējums </w:t>
            </w:r>
          </w:p>
        </w:tc>
        <w:tc>
          <w:tcPr>
            <w:tcW w:w="29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B3CA4D" w14:textId="77777777" w:rsidR="00961D55" w:rsidRPr="00961D55" w:rsidRDefault="00961D55" w:rsidP="00961D55">
            <w:pPr>
              <w:spacing w:after="0" w:line="240" w:lineRule="auto"/>
              <w:jc w:val="both"/>
              <w:rPr>
                <w:rFonts w:eastAsia="Times New Roman"/>
                <w:lang w:eastAsia="lv-LV"/>
              </w:rPr>
            </w:pPr>
            <w:r w:rsidRPr="00961D55">
              <w:rPr>
                <w:rFonts w:eastAsia="Times New Roman"/>
                <w:lang w:eastAsia="lv-LV"/>
              </w:rPr>
              <w:t>Projekts šo jomu neskar.</w:t>
            </w:r>
          </w:p>
        </w:tc>
      </w:tr>
      <w:tr w:rsidR="00961D55" w:rsidRPr="00961D55" w14:paraId="25D0CEB4" w14:textId="77777777" w:rsidTr="002F6EE3"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D9EDB9" w14:textId="77777777" w:rsidR="00961D55" w:rsidRPr="00961D55" w:rsidRDefault="00961D55" w:rsidP="00961D55">
            <w:pPr>
              <w:spacing w:before="100" w:beforeAutospacing="1" w:after="100" w:afterAutospacing="1" w:line="240" w:lineRule="auto"/>
              <w:rPr>
                <w:rFonts w:eastAsia="Times New Roman"/>
                <w:lang w:eastAsia="lv-LV"/>
              </w:rPr>
            </w:pPr>
            <w:r w:rsidRPr="00961D55">
              <w:rPr>
                <w:rFonts w:eastAsia="Times New Roman"/>
                <w:lang w:eastAsia="lv-LV"/>
              </w:rPr>
              <w:t>5.</w:t>
            </w:r>
          </w:p>
        </w:tc>
        <w:tc>
          <w:tcPr>
            <w:tcW w:w="18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818981" w14:textId="77777777" w:rsidR="00961D55" w:rsidRPr="00961D55" w:rsidRDefault="00961D55" w:rsidP="00961D55">
            <w:pPr>
              <w:spacing w:before="100" w:beforeAutospacing="1" w:after="100" w:afterAutospacing="1" w:line="240" w:lineRule="auto"/>
              <w:ind w:right="113"/>
              <w:rPr>
                <w:rFonts w:eastAsia="Times New Roman"/>
                <w:lang w:eastAsia="lv-LV"/>
              </w:rPr>
            </w:pPr>
            <w:r w:rsidRPr="00961D55">
              <w:rPr>
                <w:rFonts w:eastAsia="Times New Roman"/>
                <w:lang w:eastAsia="lv-LV"/>
              </w:rPr>
              <w:t>Cita informācija</w:t>
            </w:r>
          </w:p>
        </w:tc>
        <w:tc>
          <w:tcPr>
            <w:tcW w:w="29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84F5A7" w14:textId="77777777" w:rsidR="00961D55" w:rsidRPr="00961D55" w:rsidRDefault="00961D55" w:rsidP="00961D55">
            <w:pPr>
              <w:spacing w:before="100" w:beforeAutospacing="1" w:after="100" w:afterAutospacing="1" w:line="240" w:lineRule="auto"/>
              <w:rPr>
                <w:rFonts w:eastAsia="Times New Roman"/>
                <w:lang w:eastAsia="lv-LV"/>
              </w:rPr>
            </w:pPr>
            <w:r w:rsidRPr="00961D55">
              <w:rPr>
                <w:rFonts w:eastAsia="Times New Roman"/>
                <w:lang w:eastAsia="lv-LV"/>
              </w:rPr>
              <w:t>Nav.</w:t>
            </w:r>
          </w:p>
        </w:tc>
      </w:tr>
    </w:tbl>
    <w:p w14:paraId="56968A5C" w14:textId="77777777" w:rsidR="00961D55" w:rsidRPr="00961D55" w:rsidRDefault="00961D55" w:rsidP="00961D55">
      <w:pPr>
        <w:spacing w:after="0" w:line="240" w:lineRule="auto"/>
        <w:rPr>
          <w:rFonts w:eastAsia="Times New Roman"/>
          <w:lang w:eastAsia="lv-LV"/>
        </w:rPr>
      </w:pPr>
    </w:p>
    <w:tbl>
      <w:tblPr>
        <w:tblW w:w="5088" w:type="pct"/>
        <w:tblInd w:w="-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292"/>
      </w:tblGrid>
      <w:tr w:rsidR="00990A1F" w:rsidRPr="00961D55" w14:paraId="7DC2903E" w14:textId="77777777" w:rsidTr="005D696C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outset" w:sz="6" w:space="0" w:color="000000"/>
              <w:right w:val="single" w:sz="6" w:space="0" w:color="auto"/>
            </w:tcBorders>
            <w:vAlign w:val="center"/>
            <w:hideMark/>
          </w:tcPr>
          <w:p w14:paraId="6846C363" w14:textId="77777777" w:rsidR="00990A1F" w:rsidRPr="00961D55" w:rsidRDefault="00990A1F" w:rsidP="005D696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lang w:eastAsia="lv-LV"/>
              </w:rPr>
            </w:pPr>
            <w:r>
              <w:rPr>
                <w:rFonts w:eastAsia="Calibri"/>
                <w:b/>
                <w:bCs/>
                <w:szCs w:val="22"/>
              </w:rPr>
              <w:t>III</w:t>
            </w:r>
            <w:r w:rsidR="0001798F">
              <w:rPr>
                <w:rFonts w:eastAsia="Calibri"/>
                <w:b/>
                <w:bCs/>
                <w:szCs w:val="22"/>
              </w:rPr>
              <w:t xml:space="preserve">. </w:t>
            </w:r>
            <w:r w:rsidR="0001798F" w:rsidRPr="0001798F">
              <w:rPr>
                <w:rFonts w:eastAsia="Calibri"/>
                <w:b/>
                <w:bCs/>
                <w:szCs w:val="22"/>
              </w:rPr>
              <w:t>Tiesību akta projekta ietekme uz valsts budžetu un pašvaldību budžetiem</w:t>
            </w:r>
          </w:p>
        </w:tc>
      </w:tr>
      <w:tr w:rsidR="00990A1F" w:rsidRPr="00961D55" w14:paraId="117098D8" w14:textId="77777777" w:rsidTr="005D696C"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248E37" w14:textId="77777777" w:rsidR="00990A1F" w:rsidRPr="00961D55" w:rsidRDefault="00990A1F" w:rsidP="005D696C">
            <w:pPr>
              <w:spacing w:after="0" w:line="240" w:lineRule="auto"/>
              <w:ind w:right="113"/>
              <w:jc w:val="center"/>
              <w:rPr>
                <w:rFonts w:eastAsia="Times New Roman"/>
                <w:lang w:eastAsia="lv-LV"/>
              </w:rPr>
            </w:pPr>
            <w:r w:rsidRPr="00961D55">
              <w:rPr>
                <w:rFonts w:eastAsia="Times New Roman"/>
                <w:lang w:eastAsia="lv-LV"/>
              </w:rPr>
              <w:t>Projekts šo jomu neskar</w:t>
            </w:r>
          </w:p>
        </w:tc>
      </w:tr>
    </w:tbl>
    <w:p w14:paraId="27A4472D" w14:textId="77777777" w:rsidR="00990A1F" w:rsidRPr="00961D55" w:rsidRDefault="00990A1F" w:rsidP="00961D55">
      <w:pPr>
        <w:spacing w:after="0" w:line="240" w:lineRule="auto"/>
        <w:rPr>
          <w:rFonts w:eastAsia="Times New Roman"/>
          <w:lang w:eastAsia="lv-LV"/>
        </w:rPr>
      </w:pPr>
    </w:p>
    <w:tbl>
      <w:tblPr>
        <w:tblW w:w="5088" w:type="pct"/>
        <w:tblInd w:w="-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292"/>
      </w:tblGrid>
      <w:tr w:rsidR="00961D55" w:rsidRPr="00961D55" w14:paraId="35CAF7EE" w14:textId="77777777" w:rsidTr="00FD206F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outset" w:sz="6" w:space="0" w:color="000000"/>
              <w:right w:val="single" w:sz="6" w:space="0" w:color="auto"/>
            </w:tcBorders>
            <w:vAlign w:val="center"/>
            <w:hideMark/>
          </w:tcPr>
          <w:p w14:paraId="644B3F5E" w14:textId="77777777" w:rsidR="00961D55" w:rsidRPr="00961D55" w:rsidRDefault="00961D55" w:rsidP="00961D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961D55">
              <w:rPr>
                <w:rFonts w:eastAsia="Calibri"/>
                <w:b/>
                <w:bCs/>
                <w:szCs w:val="22"/>
              </w:rPr>
              <w:t>IV. Tiesību akta projekta ietekme uz spēkā esošo tiesību normu sistēmu</w:t>
            </w:r>
          </w:p>
        </w:tc>
      </w:tr>
      <w:tr w:rsidR="00961D55" w:rsidRPr="00961D55" w14:paraId="0935EA9E" w14:textId="77777777" w:rsidTr="00FD206F"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9625D3" w14:textId="77777777" w:rsidR="00961D55" w:rsidRPr="00961D55" w:rsidRDefault="00961D55" w:rsidP="00961D55">
            <w:pPr>
              <w:spacing w:after="0" w:line="240" w:lineRule="auto"/>
              <w:ind w:right="113"/>
              <w:jc w:val="center"/>
              <w:rPr>
                <w:rFonts w:eastAsia="Times New Roman"/>
                <w:lang w:eastAsia="lv-LV"/>
              </w:rPr>
            </w:pPr>
            <w:r w:rsidRPr="00961D55">
              <w:rPr>
                <w:rFonts w:eastAsia="Times New Roman"/>
                <w:lang w:eastAsia="lv-LV"/>
              </w:rPr>
              <w:t>Projekts šo jomu neskar</w:t>
            </w:r>
          </w:p>
        </w:tc>
      </w:tr>
    </w:tbl>
    <w:p w14:paraId="74767681" w14:textId="77777777" w:rsidR="00961D55" w:rsidRPr="00961D55" w:rsidRDefault="00961D55" w:rsidP="00961D55">
      <w:pPr>
        <w:spacing w:after="0" w:line="240" w:lineRule="auto"/>
        <w:rPr>
          <w:rFonts w:eastAsia="Times New Roman"/>
          <w:lang w:eastAsia="lv-LV"/>
        </w:rPr>
      </w:pPr>
    </w:p>
    <w:tbl>
      <w:tblPr>
        <w:tblW w:w="502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8"/>
      </w:tblGrid>
      <w:tr w:rsidR="00961D55" w:rsidRPr="00961D55" w14:paraId="2EF7EE1B" w14:textId="77777777" w:rsidTr="002F6EE3">
        <w:tc>
          <w:tcPr>
            <w:tcW w:w="5000" w:type="pct"/>
            <w:shd w:val="clear" w:color="auto" w:fill="auto"/>
            <w:hideMark/>
          </w:tcPr>
          <w:p w14:paraId="7FAD1B29" w14:textId="77777777" w:rsidR="00961D55" w:rsidRPr="00961D55" w:rsidRDefault="00961D55" w:rsidP="00961D55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961D55">
              <w:rPr>
                <w:rFonts w:eastAsia="Times New Roman"/>
                <w:b/>
                <w:bCs/>
                <w:lang w:eastAsia="lv-LV"/>
              </w:rPr>
              <w:t>V. Tiesību akta projekta atbilstība Latvijas Republikas starptautiskajām saistībām</w:t>
            </w:r>
          </w:p>
        </w:tc>
      </w:tr>
      <w:tr w:rsidR="008466DD" w:rsidRPr="00961D55" w14:paraId="6B62721E" w14:textId="77777777" w:rsidTr="002F6EE3">
        <w:tc>
          <w:tcPr>
            <w:tcW w:w="5000" w:type="pct"/>
            <w:shd w:val="clear" w:color="auto" w:fill="auto"/>
            <w:hideMark/>
          </w:tcPr>
          <w:p w14:paraId="78763F2C" w14:textId="77777777" w:rsidR="008466DD" w:rsidRPr="00961D55" w:rsidRDefault="008466DD" w:rsidP="008466DD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Projekts šo jomu neskar</w:t>
            </w:r>
          </w:p>
        </w:tc>
      </w:tr>
    </w:tbl>
    <w:p w14:paraId="3AC0E1E9" w14:textId="77777777" w:rsidR="00961D55" w:rsidRPr="00961D55" w:rsidRDefault="00961D55" w:rsidP="00961D55">
      <w:pPr>
        <w:spacing w:after="0" w:line="240" w:lineRule="auto"/>
        <w:rPr>
          <w:rFonts w:eastAsia="Times New Roman"/>
          <w:lang w:eastAsia="lv-LV"/>
        </w:rPr>
      </w:pPr>
      <w:r w:rsidRPr="00961D55">
        <w:rPr>
          <w:rFonts w:eastAsia="Times New Roman"/>
          <w:lang w:eastAsia="lv-LV"/>
        </w:rPr>
        <w:t xml:space="preserve">  </w:t>
      </w:r>
    </w:p>
    <w:tbl>
      <w:tblPr>
        <w:tblW w:w="5067" w:type="pct"/>
        <w:tblInd w:w="-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64"/>
        <w:gridCol w:w="3400"/>
        <w:gridCol w:w="5389"/>
      </w:tblGrid>
      <w:tr w:rsidR="00961D55" w:rsidRPr="00961D55" w14:paraId="7564EEA7" w14:textId="77777777" w:rsidTr="00FD206F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A7689C" w14:textId="77777777" w:rsidR="00961D55" w:rsidRPr="00961D55" w:rsidRDefault="00961D55" w:rsidP="00961D55">
            <w:pPr>
              <w:tabs>
                <w:tab w:val="center" w:pos="4648"/>
                <w:tab w:val="left" w:pos="8395"/>
              </w:tabs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lang w:eastAsia="lv-LV"/>
              </w:rPr>
            </w:pPr>
            <w:r w:rsidRPr="00961D55">
              <w:rPr>
                <w:rFonts w:eastAsia="Times New Roman"/>
                <w:b/>
                <w:bCs/>
                <w:lang w:eastAsia="lv-LV"/>
              </w:rPr>
              <w:tab/>
              <w:t>VI. Sabiedrības līdzdalība un komunikācijas aktivitātes</w:t>
            </w:r>
            <w:r w:rsidRPr="00961D55">
              <w:rPr>
                <w:rFonts w:eastAsia="Times New Roman"/>
                <w:b/>
                <w:bCs/>
                <w:lang w:eastAsia="lv-LV"/>
              </w:rPr>
              <w:tab/>
            </w:r>
          </w:p>
        </w:tc>
      </w:tr>
      <w:tr w:rsidR="00961D55" w:rsidRPr="00961D55" w14:paraId="43328A47" w14:textId="77777777" w:rsidTr="002B1EE3"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246F89" w14:textId="77777777" w:rsidR="00961D55" w:rsidRPr="00961D55" w:rsidRDefault="00961D55" w:rsidP="00961D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lang w:eastAsia="lv-LV"/>
              </w:rPr>
            </w:pPr>
            <w:r w:rsidRPr="00961D55">
              <w:rPr>
                <w:rFonts w:eastAsia="Times New Roman"/>
                <w:bCs/>
                <w:lang w:eastAsia="lv-LV"/>
              </w:rPr>
              <w:t>1.</w:t>
            </w:r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D79FC7" w14:textId="77777777" w:rsidR="00961D55" w:rsidRPr="00961D55" w:rsidRDefault="00961D55" w:rsidP="00961D55">
            <w:pPr>
              <w:spacing w:before="100" w:beforeAutospacing="1" w:after="100" w:afterAutospacing="1" w:line="240" w:lineRule="auto"/>
              <w:ind w:right="-31"/>
              <w:rPr>
                <w:rFonts w:eastAsia="Times New Roman"/>
                <w:bCs/>
                <w:lang w:eastAsia="lv-LV"/>
              </w:rPr>
            </w:pPr>
            <w:r w:rsidRPr="00961D55">
              <w:rPr>
                <w:rFonts w:eastAsia="Times New Roman"/>
                <w:bCs/>
                <w:lang w:eastAsia="lv-LV"/>
              </w:rPr>
              <w:t>Plānotās sabiedrības līdzdalības un komunikācijas aktivitātes saistībā ar projektu</w:t>
            </w:r>
          </w:p>
        </w:tc>
        <w:tc>
          <w:tcPr>
            <w:tcW w:w="2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197A4C" w14:textId="0909F90D" w:rsidR="00044AFB" w:rsidRDefault="00324528" w:rsidP="00044AFB">
            <w:pPr>
              <w:spacing w:after="0" w:line="240" w:lineRule="auto"/>
              <w:jc w:val="both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 xml:space="preserve">Par </w:t>
            </w:r>
            <w:r w:rsidRPr="00324528">
              <w:rPr>
                <w:rFonts w:eastAsia="Times New Roman"/>
                <w:lang w:eastAsia="lv-LV"/>
              </w:rPr>
              <w:t>degvielas darījumiem, izmantojot degvielas kartes</w:t>
            </w:r>
            <w:r>
              <w:rPr>
                <w:rFonts w:eastAsia="Times New Roman"/>
                <w:lang w:eastAsia="lv-LV"/>
              </w:rPr>
              <w:t xml:space="preserve">, tika organizētas vairākas sanāksmes, kurās piedalījās  </w:t>
            </w:r>
            <w:r w:rsidR="0001798F">
              <w:rPr>
                <w:rFonts w:eastAsia="Times New Roman"/>
                <w:lang w:eastAsia="lv-LV"/>
              </w:rPr>
              <w:t>Finanšu ministrija</w:t>
            </w:r>
            <w:r>
              <w:rPr>
                <w:rFonts w:eastAsia="Times New Roman"/>
                <w:lang w:eastAsia="lv-LV"/>
              </w:rPr>
              <w:t>s</w:t>
            </w:r>
            <w:r w:rsidR="0001798F">
              <w:rPr>
                <w:rFonts w:eastAsia="Times New Roman"/>
                <w:lang w:eastAsia="lv-LV"/>
              </w:rPr>
              <w:t xml:space="preserve"> un Valsts ieņēmumu dienest</w:t>
            </w:r>
            <w:r>
              <w:rPr>
                <w:rFonts w:eastAsia="Times New Roman"/>
                <w:lang w:eastAsia="lv-LV"/>
              </w:rPr>
              <w:t xml:space="preserve">a pārstāvji, </w:t>
            </w:r>
            <w:r w:rsidR="0001798F">
              <w:rPr>
                <w:rFonts w:eastAsia="Times New Roman"/>
                <w:lang w:eastAsia="lv-LV"/>
              </w:rPr>
              <w:t>komersanti, k</w:t>
            </w:r>
            <w:r>
              <w:rPr>
                <w:rFonts w:eastAsia="Times New Roman"/>
                <w:lang w:eastAsia="lv-LV"/>
              </w:rPr>
              <w:t xml:space="preserve">uriem </w:t>
            </w:r>
            <w:r w:rsidR="0001798F">
              <w:rPr>
                <w:rFonts w:eastAsia="Times New Roman"/>
                <w:lang w:eastAsia="lv-LV"/>
              </w:rPr>
              <w:t xml:space="preserve">ir </w:t>
            </w:r>
            <w:r w:rsidR="002F6EE3">
              <w:rPr>
                <w:rFonts w:eastAsia="Times New Roman"/>
                <w:lang w:eastAsia="lv-LV"/>
              </w:rPr>
              <w:t>licence</w:t>
            </w:r>
            <w:r w:rsidR="0001798F">
              <w:rPr>
                <w:rFonts w:eastAsia="Times New Roman"/>
                <w:lang w:eastAsia="lv-LV"/>
              </w:rPr>
              <w:t xml:space="preserve"> degvielas mazumtirdzniecībai, </w:t>
            </w:r>
            <w:r w:rsidR="00152EF3">
              <w:rPr>
                <w:rFonts w:eastAsia="Times New Roman"/>
                <w:lang w:eastAsia="lv-LV"/>
              </w:rPr>
              <w:t xml:space="preserve">nodokļu konsultanti, </w:t>
            </w:r>
            <w:r w:rsidR="0001798F">
              <w:rPr>
                <w:rFonts w:eastAsia="Times New Roman"/>
                <w:lang w:eastAsia="lv-LV"/>
              </w:rPr>
              <w:t>degvielas karšu izdevēji un to pārstāvji</w:t>
            </w:r>
            <w:r w:rsidR="00152EF3">
              <w:rPr>
                <w:rFonts w:eastAsia="Times New Roman"/>
                <w:lang w:eastAsia="lv-LV"/>
              </w:rPr>
              <w:t>. I</w:t>
            </w:r>
            <w:r w:rsidR="0001798F">
              <w:rPr>
                <w:rFonts w:eastAsia="Times New Roman"/>
                <w:lang w:eastAsia="lv-LV"/>
              </w:rPr>
              <w:t xml:space="preserve">r saņemtas </w:t>
            </w:r>
            <w:r>
              <w:rPr>
                <w:rFonts w:eastAsia="Times New Roman"/>
                <w:lang w:eastAsia="lv-LV"/>
              </w:rPr>
              <w:t xml:space="preserve">komersantu un starptautisku uzņēmumu </w:t>
            </w:r>
            <w:r w:rsidR="0001798F">
              <w:rPr>
                <w:rFonts w:eastAsia="Times New Roman"/>
                <w:lang w:eastAsia="lv-LV"/>
              </w:rPr>
              <w:t>rakstiskas vēstules</w:t>
            </w:r>
            <w:r w:rsidR="00A01D05">
              <w:rPr>
                <w:rFonts w:eastAsia="Times New Roman"/>
                <w:lang w:eastAsia="lv-LV"/>
              </w:rPr>
              <w:t xml:space="preserve"> ar jautājumiem </w:t>
            </w:r>
            <w:r w:rsidR="0001798F">
              <w:rPr>
                <w:rFonts w:eastAsia="Times New Roman"/>
                <w:lang w:eastAsia="lv-LV"/>
              </w:rPr>
              <w:t>par iespēju atļaut Latvijā degvielas karšu izdevējiem realizēt degvielu degvielas uzpildes stacijās, tādējādi veicinot degvielas apgroz</w:t>
            </w:r>
            <w:r w:rsidR="008762CC">
              <w:rPr>
                <w:rFonts w:eastAsia="Times New Roman"/>
                <w:lang w:eastAsia="lv-LV"/>
              </w:rPr>
              <w:t>ījuma pieaugumu</w:t>
            </w:r>
            <w:r w:rsidR="0001798F">
              <w:rPr>
                <w:rFonts w:eastAsia="Times New Roman"/>
                <w:lang w:eastAsia="lv-LV"/>
              </w:rPr>
              <w:t xml:space="preserve"> Latvijā. </w:t>
            </w:r>
            <w:r w:rsidR="00044AFB" w:rsidRPr="00572924">
              <w:rPr>
                <w:rFonts w:eastAsia="Times New Roman"/>
                <w:lang w:eastAsia="lv-LV"/>
              </w:rPr>
              <w:t>Līdz ar to sabiedrības pārstāvji varēja l</w:t>
            </w:r>
            <w:r w:rsidR="0001798F">
              <w:rPr>
                <w:rFonts w:eastAsia="Times New Roman"/>
                <w:lang w:eastAsia="lv-LV"/>
              </w:rPr>
              <w:t xml:space="preserve">īdzdarboties projekta izstrādē. </w:t>
            </w:r>
            <w:r w:rsidR="00044AFB" w:rsidRPr="00572924">
              <w:rPr>
                <w:rFonts w:eastAsia="Times New Roman"/>
                <w:lang w:eastAsia="lv-LV"/>
              </w:rPr>
              <w:t>Tāpat sabiedrības pārstāvji varēs sniegt viedokļus par projektu pēc tā izsludināšanas Valsts sekretāru sanāksmē.</w:t>
            </w:r>
          </w:p>
          <w:p w14:paraId="077589C2" w14:textId="77777777" w:rsidR="00961D55" w:rsidRPr="00961D55" w:rsidRDefault="00961D55" w:rsidP="00166CC0">
            <w:pPr>
              <w:spacing w:after="0" w:line="240" w:lineRule="auto"/>
              <w:jc w:val="both"/>
              <w:rPr>
                <w:rFonts w:eastAsia="Times New Roman"/>
                <w:lang w:eastAsia="lv-LV"/>
              </w:rPr>
            </w:pPr>
          </w:p>
        </w:tc>
      </w:tr>
      <w:tr w:rsidR="00961D55" w:rsidRPr="00961D55" w14:paraId="0B744EB0" w14:textId="77777777" w:rsidTr="002B1EE3"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EFA57B" w14:textId="77777777" w:rsidR="00961D55" w:rsidRPr="00961D55" w:rsidRDefault="00961D55" w:rsidP="00961D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lang w:eastAsia="lv-LV"/>
              </w:rPr>
            </w:pPr>
            <w:r w:rsidRPr="00961D55">
              <w:rPr>
                <w:rFonts w:eastAsia="Times New Roman"/>
                <w:bCs/>
                <w:color w:val="000000"/>
                <w:lang w:eastAsia="lv-LV"/>
              </w:rPr>
              <w:t>2.</w:t>
            </w:r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AC116F" w14:textId="77777777" w:rsidR="00961D55" w:rsidRPr="00961D55" w:rsidRDefault="00961D55" w:rsidP="00961D55">
            <w:pPr>
              <w:spacing w:before="100" w:beforeAutospacing="1" w:after="100" w:afterAutospacing="1" w:line="240" w:lineRule="auto"/>
              <w:ind w:right="-31"/>
              <w:rPr>
                <w:rFonts w:eastAsia="Times New Roman"/>
                <w:bCs/>
                <w:color w:val="000000"/>
                <w:lang w:eastAsia="lv-LV"/>
              </w:rPr>
            </w:pPr>
            <w:r w:rsidRPr="00961D55">
              <w:rPr>
                <w:rFonts w:eastAsia="Times New Roman"/>
                <w:bCs/>
                <w:color w:val="000000"/>
                <w:lang w:eastAsia="lv-LV"/>
              </w:rPr>
              <w:t>Sabiedrības līdzdalība projekta izstrādē</w:t>
            </w:r>
          </w:p>
        </w:tc>
        <w:tc>
          <w:tcPr>
            <w:tcW w:w="2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66E50C" w14:textId="667A7B25" w:rsidR="00BD5561" w:rsidRDefault="00BD5561" w:rsidP="005264CB">
            <w:pPr>
              <w:spacing w:before="100" w:beforeAutospacing="1" w:after="100" w:afterAutospacing="1" w:line="240" w:lineRule="auto"/>
              <w:ind w:right="113"/>
              <w:contextualSpacing/>
              <w:jc w:val="both"/>
              <w:rPr>
                <w:rFonts w:eastAsia="Times New Roman"/>
                <w:lang w:eastAsia="lv-LV"/>
              </w:rPr>
            </w:pPr>
            <w:r w:rsidRPr="00BD5561">
              <w:rPr>
                <w:rFonts w:eastAsia="Times New Roman"/>
                <w:lang w:eastAsia="lv-LV"/>
              </w:rPr>
              <w:t>Sabiedrības pārstāvji varēja līdzdarboties projekta izstrādē, rakstveidā sniedzot viedokļus par</w:t>
            </w:r>
            <w:r>
              <w:rPr>
                <w:rFonts w:eastAsia="Times New Roman"/>
                <w:lang w:eastAsia="lv-LV"/>
              </w:rPr>
              <w:t xml:space="preserve"> projektu, kas </w:t>
            </w:r>
            <w:r w:rsidRPr="00BD5561">
              <w:rPr>
                <w:rFonts w:eastAsia="Times New Roman"/>
                <w:lang w:eastAsia="lv-LV"/>
              </w:rPr>
              <w:t xml:space="preserve">publicēts </w:t>
            </w:r>
            <w:r>
              <w:rPr>
                <w:rFonts w:eastAsia="Times New Roman"/>
                <w:lang w:eastAsia="lv-LV"/>
              </w:rPr>
              <w:t xml:space="preserve">2021.gada 4.jūnijā </w:t>
            </w:r>
            <w:r w:rsidRPr="00BD5561">
              <w:rPr>
                <w:rFonts w:eastAsia="Times New Roman"/>
                <w:lang w:eastAsia="lv-LV"/>
              </w:rPr>
              <w:t>Finanšu ministrijas tīmekļvietnē sadaļā “Sabiedrības līdzdalīb</w:t>
            </w:r>
            <w:r>
              <w:rPr>
                <w:rFonts w:eastAsia="Times New Roman"/>
                <w:lang w:eastAsia="lv-LV"/>
              </w:rPr>
              <w:t>a” – “Tiesību aktu projekti”</w:t>
            </w:r>
            <w:r w:rsidRPr="00BD5561">
              <w:rPr>
                <w:rFonts w:eastAsia="Times New Roman"/>
                <w:lang w:eastAsia="lv-LV"/>
              </w:rPr>
              <w:t>, adrese</w:t>
            </w:r>
          </w:p>
          <w:p w14:paraId="06B822A7" w14:textId="25640A4E" w:rsidR="00BD5561" w:rsidRDefault="00FE043F" w:rsidP="005264CB">
            <w:pPr>
              <w:spacing w:before="100" w:beforeAutospacing="1" w:after="100" w:afterAutospacing="1" w:line="240" w:lineRule="auto"/>
              <w:ind w:right="113"/>
              <w:contextualSpacing/>
              <w:jc w:val="both"/>
              <w:rPr>
                <w:rFonts w:eastAsia="Times New Roman"/>
                <w:lang w:eastAsia="lv-LV"/>
              </w:rPr>
            </w:pPr>
            <w:hyperlink r:id="rId8" w:history="1">
              <w:r w:rsidR="00BD5561" w:rsidRPr="009B6E25">
                <w:rPr>
                  <w:rStyle w:val="Hyperlink"/>
                  <w:rFonts w:eastAsia="Times New Roman"/>
                  <w:lang w:eastAsia="lv-LV"/>
                </w:rPr>
                <w:t>https://www.fm.gov.lv/lv/ministru-kabineta-noteikumu-projekts-grozijums-ministru-kabineta-2005gada-30augusta-noteikumos-nr662-akcizes-precu-aprites-kartiba</w:t>
              </w:r>
            </w:hyperlink>
          </w:p>
          <w:p w14:paraId="010B9BA8" w14:textId="77777777" w:rsidR="00BD5561" w:rsidRDefault="00BD5561" w:rsidP="005264CB">
            <w:pPr>
              <w:spacing w:before="100" w:beforeAutospacing="1" w:after="100" w:afterAutospacing="1" w:line="240" w:lineRule="auto"/>
              <w:ind w:right="113"/>
              <w:contextualSpacing/>
              <w:jc w:val="both"/>
              <w:rPr>
                <w:rFonts w:eastAsia="Times New Roman"/>
                <w:lang w:eastAsia="lv-LV"/>
              </w:rPr>
            </w:pPr>
          </w:p>
          <w:p w14:paraId="7C25C08A" w14:textId="77777777" w:rsidR="00E83A72" w:rsidRDefault="00E83A72" w:rsidP="005264CB">
            <w:pPr>
              <w:spacing w:before="100" w:beforeAutospacing="1" w:after="100" w:afterAutospacing="1" w:line="240" w:lineRule="auto"/>
              <w:ind w:right="113"/>
              <w:contextualSpacing/>
              <w:jc w:val="both"/>
              <w:rPr>
                <w:rFonts w:eastAsia="Times New Roman"/>
                <w:lang w:eastAsia="lv-LV"/>
              </w:rPr>
            </w:pPr>
            <w:r w:rsidRPr="00E83A72">
              <w:rPr>
                <w:rFonts w:eastAsia="Times New Roman"/>
                <w:lang w:eastAsia="lv-LV"/>
              </w:rPr>
              <w:t xml:space="preserve">Ministru kabineta tīmekļvietnē sadaļā “Valsts kanceleja” – “Sabiedrības līdzdalība”, adrese: </w:t>
            </w:r>
            <w:hyperlink r:id="rId9" w:history="1">
              <w:r w:rsidRPr="00C575A5">
                <w:rPr>
                  <w:rStyle w:val="Hyperlink"/>
                  <w:rFonts w:eastAsia="Times New Roman"/>
                  <w:lang w:eastAsia="lv-LV"/>
                </w:rPr>
                <w:t>https://mk.gov.lv/content/ministru-kabineta-diskusiju-dokumenti</w:t>
              </w:r>
            </w:hyperlink>
            <w:r>
              <w:rPr>
                <w:rFonts w:eastAsia="Times New Roman"/>
                <w:lang w:eastAsia="lv-LV"/>
              </w:rPr>
              <w:t xml:space="preserve"> </w:t>
            </w:r>
          </w:p>
          <w:p w14:paraId="4F5859A8" w14:textId="77777777" w:rsidR="00044AFB" w:rsidRPr="00E83A72" w:rsidRDefault="00044AFB" w:rsidP="005264CB">
            <w:pPr>
              <w:spacing w:before="100" w:beforeAutospacing="1" w:after="100" w:afterAutospacing="1" w:line="240" w:lineRule="auto"/>
              <w:ind w:right="113"/>
              <w:contextualSpacing/>
              <w:jc w:val="both"/>
              <w:rPr>
                <w:rFonts w:eastAsia="Times New Roman"/>
                <w:lang w:eastAsia="lv-LV"/>
              </w:rPr>
            </w:pPr>
          </w:p>
        </w:tc>
      </w:tr>
      <w:tr w:rsidR="00961D55" w:rsidRPr="00961D55" w14:paraId="1015F7D1" w14:textId="77777777" w:rsidTr="002B1EE3"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outset" w:sz="6" w:space="0" w:color="000000"/>
              <w:right w:val="single" w:sz="4" w:space="0" w:color="auto"/>
            </w:tcBorders>
          </w:tcPr>
          <w:p w14:paraId="07FB6273" w14:textId="77777777" w:rsidR="00961D55" w:rsidRPr="00961D55" w:rsidRDefault="00961D55" w:rsidP="00961D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lang w:eastAsia="lv-LV"/>
              </w:rPr>
            </w:pPr>
            <w:r w:rsidRPr="00961D55">
              <w:rPr>
                <w:rFonts w:eastAsia="Times New Roman"/>
                <w:bCs/>
                <w:color w:val="000000"/>
                <w:lang w:eastAsia="lv-LV"/>
              </w:rPr>
              <w:lastRenderedPageBreak/>
              <w:t>3.</w:t>
            </w:r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1FC8535" w14:textId="77777777" w:rsidR="00961D55" w:rsidRPr="00961D55" w:rsidRDefault="00961D55" w:rsidP="00961D55">
            <w:pPr>
              <w:spacing w:before="100" w:beforeAutospacing="1" w:after="100" w:afterAutospacing="1" w:line="240" w:lineRule="auto"/>
              <w:ind w:right="-31"/>
              <w:rPr>
                <w:rFonts w:eastAsia="Times New Roman"/>
                <w:bCs/>
                <w:color w:val="000000"/>
                <w:lang w:eastAsia="lv-LV"/>
              </w:rPr>
            </w:pPr>
            <w:r w:rsidRPr="00961D55">
              <w:rPr>
                <w:rFonts w:eastAsia="Times New Roman"/>
                <w:bCs/>
                <w:color w:val="000000"/>
                <w:lang w:eastAsia="lv-LV"/>
              </w:rPr>
              <w:t>Sabiedrības līdzdalības rezultāti</w:t>
            </w:r>
          </w:p>
        </w:tc>
        <w:tc>
          <w:tcPr>
            <w:tcW w:w="2912" w:type="pct"/>
            <w:tcBorders>
              <w:top w:val="single" w:sz="6" w:space="0" w:color="auto"/>
              <w:left w:val="single" w:sz="4" w:space="0" w:color="auto"/>
              <w:bottom w:val="outset" w:sz="6" w:space="0" w:color="000000"/>
              <w:right w:val="single" w:sz="6" w:space="0" w:color="auto"/>
            </w:tcBorders>
          </w:tcPr>
          <w:p w14:paraId="5F8F1B44" w14:textId="77777777" w:rsidR="00961D55" w:rsidRPr="000010A5" w:rsidRDefault="000010A5" w:rsidP="00961D55">
            <w:pPr>
              <w:spacing w:before="100" w:beforeAutospacing="1" w:after="100" w:afterAutospacing="1" w:line="240" w:lineRule="auto"/>
              <w:ind w:right="113"/>
              <w:jc w:val="both"/>
              <w:rPr>
                <w:rFonts w:eastAsia="Times New Roman"/>
                <w:lang w:eastAsia="lv-LV"/>
              </w:rPr>
            </w:pPr>
            <w:r w:rsidRPr="000010A5">
              <w:rPr>
                <w:rFonts w:eastAsia="Times New Roman"/>
                <w:lang w:eastAsia="lv-LV"/>
              </w:rPr>
              <w:t>Iebildumi un priekšlikumi par noteikumu projektu nav saņemti</w:t>
            </w:r>
            <w:r>
              <w:rPr>
                <w:rFonts w:eastAsia="Times New Roman"/>
                <w:lang w:eastAsia="lv-LV"/>
              </w:rPr>
              <w:t>.</w:t>
            </w:r>
            <w:r w:rsidR="00CE4A03">
              <w:rPr>
                <w:rFonts w:eastAsia="Times New Roman"/>
                <w:lang w:eastAsia="lv-LV"/>
              </w:rPr>
              <w:t xml:space="preserve"> </w:t>
            </w:r>
          </w:p>
        </w:tc>
      </w:tr>
      <w:tr w:rsidR="00961D55" w:rsidRPr="00961D55" w14:paraId="0165B742" w14:textId="77777777" w:rsidTr="002B1EE3"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outset" w:sz="6" w:space="0" w:color="000000"/>
              <w:right w:val="single" w:sz="4" w:space="0" w:color="auto"/>
            </w:tcBorders>
          </w:tcPr>
          <w:p w14:paraId="35D0C6EC" w14:textId="77777777" w:rsidR="00961D55" w:rsidRPr="00961D55" w:rsidRDefault="00961D55" w:rsidP="00961D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lang w:eastAsia="lv-LV"/>
              </w:rPr>
            </w:pPr>
            <w:r w:rsidRPr="00961D55">
              <w:rPr>
                <w:rFonts w:eastAsia="Times New Roman"/>
                <w:bCs/>
                <w:color w:val="000000"/>
                <w:lang w:eastAsia="lv-LV"/>
              </w:rPr>
              <w:t>4.</w:t>
            </w:r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256C15D7" w14:textId="77777777" w:rsidR="00961D55" w:rsidRPr="00961D55" w:rsidRDefault="00961D55" w:rsidP="00961D5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lang w:eastAsia="lv-LV"/>
              </w:rPr>
            </w:pPr>
            <w:r w:rsidRPr="00961D55">
              <w:rPr>
                <w:rFonts w:eastAsia="Times New Roman"/>
                <w:bCs/>
                <w:color w:val="000000"/>
                <w:lang w:eastAsia="lv-LV"/>
              </w:rPr>
              <w:t>Cita informācija</w:t>
            </w:r>
          </w:p>
        </w:tc>
        <w:tc>
          <w:tcPr>
            <w:tcW w:w="2912" w:type="pct"/>
            <w:tcBorders>
              <w:top w:val="single" w:sz="6" w:space="0" w:color="auto"/>
              <w:left w:val="single" w:sz="4" w:space="0" w:color="auto"/>
              <w:bottom w:val="outset" w:sz="6" w:space="0" w:color="000000"/>
              <w:right w:val="single" w:sz="6" w:space="0" w:color="auto"/>
            </w:tcBorders>
          </w:tcPr>
          <w:p w14:paraId="3E8EA53C" w14:textId="77777777" w:rsidR="00961D55" w:rsidRPr="00961D55" w:rsidRDefault="00961D55" w:rsidP="00961D55">
            <w:pPr>
              <w:spacing w:before="100" w:beforeAutospacing="1" w:after="100" w:afterAutospacing="1" w:line="240" w:lineRule="auto"/>
              <w:rPr>
                <w:rFonts w:eastAsia="Times New Roman"/>
                <w:lang w:eastAsia="lv-LV"/>
              </w:rPr>
            </w:pPr>
            <w:r w:rsidRPr="00961D55">
              <w:rPr>
                <w:rFonts w:eastAsia="Times New Roman"/>
                <w:lang w:eastAsia="lv-LV"/>
              </w:rPr>
              <w:t>Nav.</w:t>
            </w:r>
          </w:p>
        </w:tc>
      </w:tr>
    </w:tbl>
    <w:p w14:paraId="363404E4" w14:textId="77777777" w:rsidR="00961D55" w:rsidRPr="00961D55" w:rsidRDefault="00961D55" w:rsidP="00961D55">
      <w:pPr>
        <w:spacing w:after="0" w:line="240" w:lineRule="auto"/>
        <w:rPr>
          <w:rFonts w:eastAsia="Times New Roman"/>
          <w:lang w:eastAsia="lv-LV"/>
        </w:rPr>
      </w:pPr>
      <w:r w:rsidRPr="00961D55">
        <w:rPr>
          <w:rFonts w:eastAsia="Times New Roman"/>
          <w:lang w:eastAsia="lv-LV"/>
        </w:rPr>
        <w:t> </w:t>
      </w:r>
    </w:p>
    <w:tbl>
      <w:tblPr>
        <w:tblW w:w="5088" w:type="pct"/>
        <w:tblInd w:w="-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2"/>
        <w:gridCol w:w="3373"/>
        <w:gridCol w:w="5427"/>
      </w:tblGrid>
      <w:tr w:rsidR="00961D55" w:rsidRPr="00961D55" w14:paraId="6719DB34" w14:textId="77777777" w:rsidTr="006964F9">
        <w:trPr>
          <w:trHeight w:val="288"/>
        </w:trPr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AC753A" w14:textId="77777777" w:rsidR="00961D55" w:rsidRPr="00961D55" w:rsidRDefault="00961D55" w:rsidP="00961D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961D55">
              <w:rPr>
                <w:rFonts w:eastAsia="Times New Roman"/>
                <w:b/>
                <w:bCs/>
                <w:lang w:eastAsia="lv-LV"/>
              </w:rPr>
              <w:t>VII. Tiesību akta projekta izpildes nodrošināšana un tās ietekme uz institūcijām</w:t>
            </w:r>
          </w:p>
        </w:tc>
      </w:tr>
      <w:tr w:rsidR="00961D55" w:rsidRPr="00961D55" w14:paraId="3C9FF139" w14:textId="77777777" w:rsidTr="006964F9">
        <w:trPr>
          <w:trHeight w:val="577"/>
        </w:trPr>
        <w:tc>
          <w:tcPr>
            <w:tcW w:w="2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65FB4F60" w14:textId="77777777" w:rsidR="00961D55" w:rsidRPr="00961D55" w:rsidRDefault="00961D55" w:rsidP="00961D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lv-LV"/>
              </w:rPr>
            </w:pPr>
            <w:r w:rsidRPr="00961D55">
              <w:rPr>
                <w:rFonts w:eastAsia="Times New Roman"/>
                <w:lang w:eastAsia="lv-LV"/>
              </w:rPr>
              <w:t>1.</w:t>
            </w:r>
          </w:p>
        </w:tc>
        <w:tc>
          <w:tcPr>
            <w:tcW w:w="181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5210EE2" w14:textId="77777777" w:rsidR="00961D55" w:rsidRPr="00961D55" w:rsidRDefault="00961D55" w:rsidP="00961D55">
            <w:pPr>
              <w:spacing w:before="100" w:beforeAutospacing="1" w:after="100" w:afterAutospacing="1" w:line="240" w:lineRule="auto"/>
              <w:rPr>
                <w:rFonts w:eastAsia="Times New Roman"/>
                <w:lang w:eastAsia="lv-LV"/>
              </w:rPr>
            </w:pPr>
            <w:r w:rsidRPr="00961D55">
              <w:rPr>
                <w:rFonts w:eastAsia="Times New Roman"/>
                <w:lang w:eastAsia="lv-LV"/>
              </w:rPr>
              <w:t>Projekta izpildē iesaistītās institūcijas</w:t>
            </w:r>
          </w:p>
        </w:tc>
        <w:tc>
          <w:tcPr>
            <w:tcW w:w="292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1044DB5B" w14:textId="575E3496" w:rsidR="00961D55" w:rsidRPr="00961D55" w:rsidRDefault="001F250F">
            <w:pPr>
              <w:spacing w:before="100" w:beforeAutospacing="1" w:after="100" w:afterAutospacing="1" w:line="240" w:lineRule="auto"/>
              <w:ind w:right="138"/>
              <w:jc w:val="both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Valsts ieņēmumu dienests</w:t>
            </w:r>
          </w:p>
        </w:tc>
      </w:tr>
      <w:tr w:rsidR="00961D55" w:rsidRPr="00961D55" w14:paraId="6EC1DAB8" w14:textId="77777777" w:rsidTr="006964F9">
        <w:trPr>
          <w:trHeight w:val="2050"/>
        </w:trPr>
        <w:tc>
          <w:tcPr>
            <w:tcW w:w="2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5EF5F644" w14:textId="77777777" w:rsidR="00961D55" w:rsidRPr="00961D55" w:rsidRDefault="00961D55" w:rsidP="00961D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lv-LV"/>
              </w:rPr>
            </w:pPr>
            <w:r w:rsidRPr="00961D55">
              <w:rPr>
                <w:rFonts w:eastAsia="Times New Roman"/>
                <w:lang w:eastAsia="lv-LV"/>
              </w:rPr>
              <w:t>2.</w:t>
            </w:r>
          </w:p>
        </w:tc>
        <w:tc>
          <w:tcPr>
            <w:tcW w:w="181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CF57163" w14:textId="77777777" w:rsidR="00961D55" w:rsidRPr="00961D55" w:rsidRDefault="00961D55" w:rsidP="00961D55">
            <w:pPr>
              <w:spacing w:after="0" w:line="240" w:lineRule="auto"/>
              <w:ind w:right="109"/>
              <w:jc w:val="both"/>
              <w:rPr>
                <w:rFonts w:eastAsia="Times New Roman"/>
                <w:lang w:eastAsia="lv-LV"/>
              </w:rPr>
            </w:pPr>
            <w:r w:rsidRPr="00961D55">
              <w:rPr>
                <w:rFonts w:eastAsia="Times New Roman"/>
                <w:lang w:eastAsia="lv-LV"/>
              </w:rPr>
              <w:t>Projekta izpildes ietekme uz pārvaldes funkcijām un institucionālo struktūru. Jaunu institūciju izveide, esošo institūciju likvidācija vai reorganizācija, to ietekme uz institūcijas cilvēkresursiem</w:t>
            </w:r>
          </w:p>
        </w:tc>
        <w:tc>
          <w:tcPr>
            <w:tcW w:w="292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F0B9EE9" w14:textId="77777777" w:rsidR="00961D55" w:rsidRPr="00961D55" w:rsidRDefault="00961D55" w:rsidP="00961D55">
            <w:pPr>
              <w:spacing w:after="0" w:line="240" w:lineRule="auto"/>
              <w:jc w:val="both"/>
              <w:rPr>
                <w:rFonts w:eastAsia="Times New Roman"/>
                <w:lang w:eastAsia="lv-LV"/>
              </w:rPr>
            </w:pPr>
            <w:r w:rsidRPr="00961D55">
              <w:rPr>
                <w:rFonts w:eastAsia="Times New Roman"/>
                <w:lang w:eastAsia="lv-LV"/>
              </w:rPr>
              <w:t>Projekta izpilde neietekmēs pārvaldes funkcijas.</w:t>
            </w:r>
          </w:p>
          <w:p w14:paraId="4BDC101C" w14:textId="77777777" w:rsidR="00961D55" w:rsidRPr="00961D55" w:rsidRDefault="00961D55" w:rsidP="00961D55">
            <w:pPr>
              <w:spacing w:after="0" w:line="240" w:lineRule="auto"/>
              <w:jc w:val="both"/>
              <w:rPr>
                <w:rFonts w:eastAsia="Times New Roman"/>
                <w:lang w:eastAsia="lv-LV"/>
              </w:rPr>
            </w:pPr>
            <w:r w:rsidRPr="00961D55">
              <w:rPr>
                <w:rFonts w:eastAsia="Times New Roman"/>
                <w:lang w:eastAsia="lv-LV"/>
              </w:rPr>
              <w:t>Projekta izpildei nav nepieciešama jaunu institūciju izveide, esošo institūciju likvidācija vai reorganizācija.</w:t>
            </w:r>
          </w:p>
          <w:p w14:paraId="5462D63E" w14:textId="77777777" w:rsidR="00961D55" w:rsidRPr="00961D55" w:rsidRDefault="00961D55" w:rsidP="00961D55">
            <w:pPr>
              <w:spacing w:after="0" w:line="240" w:lineRule="auto"/>
              <w:jc w:val="both"/>
              <w:rPr>
                <w:rFonts w:eastAsia="Times New Roman"/>
                <w:lang w:eastAsia="lv-LV"/>
              </w:rPr>
            </w:pPr>
            <w:r w:rsidRPr="00961D55">
              <w:rPr>
                <w:rFonts w:eastAsia="Times New Roman"/>
                <w:lang w:eastAsia="lv-LV"/>
              </w:rPr>
              <w:t>Projekta izpilde tiks nodrošināta esošo cilvēkresursu un finanšu līdzekļu ietvaros.</w:t>
            </w:r>
          </w:p>
        </w:tc>
      </w:tr>
      <w:tr w:rsidR="00961D55" w:rsidRPr="00961D55" w14:paraId="1CBBB7FD" w14:textId="77777777" w:rsidTr="006964F9">
        <w:trPr>
          <w:trHeight w:val="288"/>
        </w:trPr>
        <w:tc>
          <w:tcPr>
            <w:tcW w:w="265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</w:tcPr>
          <w:p w14:paraId="1DF0A8A7" w14:textId="77777777" w:rsidR="00961D55" w:rsidRPr="00961D55" w:rsidRDefault="00961D55" w:rsidP="00961D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lv-LV"/>
              </w:rPr>
            </w:pPr>
            <w:r w:rsidRPr="00961D55">
              <w:rPr>
                <w:rFonts w:eastAsia="Times New Roman"/>
                <w:lang w:eastAsia="lv-LV"/>
              </w:rPr>
              <w:t>3.</w:t>
            </w:r>
          </w:p>
        </w:tc>
        <w:tc>
          <w:tcPr>
            <w:tcW w:w="1815" w:type="pct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C00C" w14:textId="77777777" w:rsidR="00961D55" w:rsidRPr="00961D55" w:rsidRDefault="00961D55" w:rsidP="00961D55">
            <w:pPr>
              <w:spacing w:after="0" w:line="240" w:lineRule="auto"/>
              <w:jc w:val="both"/>
              <w:rPr>
                <w:rFonts w:eastAsia="Times New Roman"/>
                <w:lang w:eastAsia="lv-LV"/>
              </w:rPr>
            </w:pPr>
            <w:r w:rsidRPr="00961D55">
              <w:rPr>
                <w:rFonts w:eastAsia="Times New Roman"/>
                <w:lang w:eastAsia="lv-LV"/>
              </w:rPr>
              <w:t>Cita informācija</w:t>
            </w:r>
          </w:p>
        </w:tc>
        <w:tc>
          <w:tcPr>
            <w:tcW w:w="2920" w:type="pct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14:paraId="170E5ABD" w14:textId="77777777" w:rsidR="00166CC0" w:rsidRPr="00961D55" w:rsidRDefault="00961D55" w:rsidP="00961D5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lv-LV"/>
              </w:rPr>
            </w:pPr>
            <w:r w:rsidRPr="00961D55">
              <w:rPr>
                <w:rFonts w:eastAsia="Times New Roman"/>
                <w:lang w:eastAsia="lv-LV"/>
              </w:rPr>
              <w:t>Nav.</w:t>
            </w:r>
          </w:p>
        </w:tc>
      </w:tr>
      <w:tr w:rsidR="00961D55" w:rsidRPr="00961D55" w14:paraId="6D4A0988" w14:textId="77777777" w:rsidTr="002434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/>
        </w:trPr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14:paraId="688E28A5" w14:textId="77777777" w:rsidR="00961D55" w:rsidRPr="00961D55" w:rsidRDefault="00961D55" w:rsidP="00961D55">
            <w:pPr>
              <w:spacing w:after="0" w:line="240" w:lineRule="auto"/>
              <w:jc w:val="both"/>
              <w:rPr>
                <w:rFonts w:eastAsia="Times New Roman"/>
              </w:rPr>
            </w:pPr>
          </w:p>
          <w:p w14:paraId="30BA2393" w14:textId="77777777" w:rsidR="00961D55" w:rsidRPr="00961D55" w:rsidRDefault="00961D55" w:rsidP="00961D55">
            <w:pPr>
              <w:spacing w:after="0" w:line="240" w:lineRule="auto"/>
              <w:rPr>
                <w:rFonts w:eastAsia="Times New Roman"/>
              </w:rPr>
            </w:pPr>
          </w:p>
          <w:p w14:paraId="6FF38BE0" w14:textId="77777777" w:rsidR="00961D55" w:rsidRPr="00961D55" w:rsidRDefault="00961D55" w:rsidP="00961D55">
            <w:pPr>
              <w:spacing w:after="0" w:line="240" w:lineRule="auto"/>
              <w:rPr>
                <w:rFonts w:eastAsia="Times New Roman"/>
                <w:i/>
              </w:rPr>
            </w:pPr>
          </w:p>
        </w:tc>
      </w:tr>
    </w:tbl>
    <w:p w14:paraId="4C5C9BAB" w14:textId="77777777" w:rsidR="00961D55" w:rsidRPr="00961D55" w:rsidRDefault="00961D55" w:rsidP="00961D55">
      <w:pPr>
        <w:spacing w:after="0" w:line="240" w:lineRule="auto"/>
        <w:jc w:val="both"/>
        <w:rPr>
          <w:rFonts w:eastAsia="Times New Roman"/>
          <w:lang w:eastAsia="lv-LV"/>
        </w:rPr>
      </w:pPr>
      <w:r w:rsidRPr="00961D55">
        <w:rPr>
          <w:rFonts w:eastAsia="Times New Roman"/>
          <w:lang w:eastAsia="lv-LV"/>
        </w:rPr>
        <w:t xml:space="preserve">Finanšu ministrs </w:t>
      </w:r>
      <w:r w:rsidRPr="00961D55">
        <w:rPr>
          <w:rFonts w:eastAsia="Times New Roman"/>
          <w:lang w:eastAsia="lv-LV"/>
        </w:rPr>
        <w:tab/>
      </w:r>
      <w:r w:rsidRPr="00961D55">
        <w:rPr>
          <w:rFonts w:eastAsia="Times New Roman"/>
          <w:lang w:eastAsia="lv-LV"/>
        </w:rPr>
        <w:tab/>
      </w:r>
      <w:r w:rsidRPr="00961D55">
        <w:rPr>
          <w:rFonts w:eastAsia="Times New Roman"/>
          <w:lang w:eastAsia="lv-LV"/>
        </w:rPr>
        <w:tab/>
      </w:r>
      <w:r w:rsidRPr="00961D55">
        <w:rPr>
          <w:rFonts w:eastAsia="Times New Roman"/>
          <w:lang w:eastAsia="lv-LV"/>
        </w:rPr>
        <w:tab/>
      </w:r>
      <w:r w:rsidRPr="00961D55">
        <w:rPr>
          <w:rFonts w:eastAsia="Times New Roman"/>
          <w:lang w:eastAsia="lv-LV"/>
        </w:rPr>
        <w:tab/>
      </w:r>
      <w:r w:rsidRPr="00961D55">
        <w:rPr>
          <w:rFonts w:eastAsia="Times New Roman"/>
          <w:lang w:eastAsia="lv-LV"/>
        </w:rPr>
        <w:tab/>
      </w:r>
      <w:r w:rsidRPr="00961D55">
        <w:rPr>
          <w:rFonts w:eastAsia="Times New Roman"/>
          <w:lang w:eastAsia="lv-LV"/>
        </w:rPr>
        <w:tab/>
      </w:r>
      <w:r w:rsidRPr="00961D55">
        <w:rPr>
          <w:rFonts w:eastAsia="Times New Roman"/>
          <w:lang w:eastAsia="lv-LV"/>
        </w:rPr>
        <w:tab/>
        <w:t>J.Reirs</w:t>
      </w:r>
    </w:p>
    <w:p w14:paraId="17CCD34E" w14:textId="77777777" w:rsidR="00961D55" w:rsidRPr="00961D55" w:rsidRDefault="00961D55" w:rsidP="00961D55">
      <w:pPr>
        <w:spacing w:after="0" w:line="240" w:lineRule="auto"/>
        <w:rPr>
          <w:rFonts w:eastAsia="Times New Roman"/>
          <w:sz w:val="20"/>
          <w:szCs w:val="20"/>
          <w:lang w:eastAsia="lv-LV"/>
        </w:rPr>
      </w:pPr>
    </w:p>
    <w:p w14:paraId="27D30532" w14:textId="77777777" w:rsidR="00961D55" w:rsidRDefault="00961D55" w:rsidP="00961D55">
      <w:pPr>
        <w:spacing w:after="0" w:line="240" w:lineRule="auto"/>
        <w:contextualSpacing/>
        <w:jc w:val="both"/>
        <w:rPr>
          <w:rFonts w:eastAsia="Times New Roman"/>
          <w:sz w:val="20"/>
          <w:szCs w:val="20"/>
          <w:lang w:eastAsia="lv-LV"/>
        </w:rPr>
      </w:pPr>
    </w:p>
    <w:p w14:paraId="657B08EF" w14:textId="77777777" w:rsidR="003F4A63" w:rsidRDefault="003F4A63" w:rsidP="00961D55">
      <w:pPr>
        <w:spacing w:after="0" w:line="240" w:lineRule="auto"/>
        <w:contextualSpacing/>
        <w:jc w:val="both"/>
        <w:rPr>
          <w:rFonts w:eastAsia="Times New Roman"/>
          <w:sz w:val="20"/>
          <w:szCs w:val="20"/>
          <w:lang w:eastAsia="lv-LV"/>
        </w:rPr>
      </w:pPr>
    </w:p>
    <w:p w14:paraId="3C129463" w14:textId="77777777" w:rsidR="003F4A63" w:rsidRPr="00961D55" w:rsidRDefault="003F4A63" w:rsidP="00961D55">
      <w:pPr>
        <w:spacing w:after="0" w:line="240" w:lineRule="auto"/>
        <w:contextualSpacing/>
        <w:jc w:val="both"/>
        <w:rPr>
          <w:rFonts w:eastAsia="Times New Roman"/>
          <w:sz w:val="20"/>
          <w:szCs w:val="20"/>
          <w:lang w:eastAsia="lv-LV"/>
        </w:rPr>
      </w:pPr>
    </w:p>
    <w:p w14:paraId="2FD37275" w14:textId="77777777" w:rsidR="00961D55" w:rsidRPr="00961D55" w:rsidRDefault="00E31633" w:rsidP="00961D55">
      <w:pPr>
        <w:spacing w:after="0" w:line="240" w:lineRule="auto"/>
        <w:contextualSpacing/>
        <w:jc w:val="both"/>
        <w:rPr>
          <w:rFonts w:eastAsia="Times New Roman"/>
          <w:sz w:val="20"/>
          <w:szCs w:val="20"/>
          <w:lang w:eastAsia="lv-LV"/>
        </w:rPr>
      </w:pPr>
      <w:proofErr w:type="spellStart"/>
      <w:r>
        <w:rPr>
          <w:rFonts w:eastAsia="Times New Roman"/>
          <w:sz w:val="20"/>
          <w:szCs w:val="20"/>
          <w:lang w:eastAsia="lv-LV"/>
        </w:rPr>
        <w:t>I.Gertnere</w:t>
      </w:r>
      <w:proofErr w:type="spellEnd"/>
      <w:r>
        <w:rPr>
          <w:rFonts w:eastAsia="Times New Roman"/>
          <w:sz w:val="20"/>
          <w:szCs w:val="20"/>
          <w:lang w:eastAsia="lv-LV"/>
        </w:rPr>
        <w:t xml:space="preserve">, </w:t>
      </w:r>
      <w:r w:rsidRPr="00E31633">
        <w:rPr>
          <w:rFonts w:eastAsia="Times New Roman"/>
          <w:sz w:val="20"/>
          <w:szCs w:val="20"/>
          <w:lang w:eastAsia="lv-LV"/>
        </w:rPr>
        <w:t>67120147</w:t>
      </w:r>
    </w:p>
    <w:p w14:paraId="5DDAB9D6" w14:textId="77777777" w:rsidR="00961D55" w:rsidRPr="00961D55" w:rsidRDefault="00E31633" w:rsidP="00961D55">
      <w:pPr>
        <w:spacing w:after="0" w:line="240" w:lineRule="auto"/>
        <w:contextualSpacing/>
        <w:jc w:val="both"/>
        <w:rPr>
          <w:rFonts w:eastAsia="Times New Roman"/>
          <w:sz w:val="20"/>
          <w:szCs w:val="20"/>
          <w:lang w:eastAsia="lv-LV"/>
        </w:rPr>
      </w:pPr>
      <w:r>
        <w:rPr>
          <w:rFonts w:eastAsia="Times New Roman"/>
          <w:sz w:val="20"/>
          <w:szCs w:val="20"/>
          <w:lang w:eastAsia="lv-LV"/>
        </w:rPr>
        <w:t>inga.gertnere@vid.gov.lv</w:t>
      </w:r>
    </w:p>
    <w:p w14:paraId="2B181D96" w14:textId="77777777" w:rsidR="00961D55" w:rsidRPr="00961D55" w:rsidRDefault="00961D55" w:rsidP="00961D55">
      <w:pPr>
        <w:spacing w:after="0" w:line="240" w:lineRule="auto"/>
        <w:contextualSpacing/>
        <w:jc w:val="both"/>
        <w:rPr>
          <w:rFonts w:eastAsia="Times New Roman"/>
          <w:sz w:val="20"/>
          <w:szCs w:val="20"/>
          <w:lang w:eastAsia="lv-LV"/>
        </w:rPr>
      </w:pPr>
    </w:p>
    <w:sectPr w:rsidR="00961D55" w:rsidRPr="00961D55" w:rsidSect="00394311">
      <w:headerReference w:type="even" r:id="rId10"/>
      <w:headerReference w:type="default" r:id="rId11"/>
      <w:footerReference w:type="default" r:id="rId12"/>
      <w:footerReference w:type="first" r:id="rId13"/>
      <w:pgSz w:w="11906" w:h="16838" w:code="9"/>
      <w:pgMar w:top="1191" w:right="1134" w:bottom="1134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323AC4" w14:textId="77777777" w:rsidR="00ED5112" w:rsidRDefault="00ED5112" w:rsidP="005264CB">
      <w:pPr>
        <w:spacing w:after="0" w:line="240" w:lineRule="auto"/>
      </w:pPr>
      <w:r>
        <w:separator/>
      </w:r>
    </w:p>
  </w:endnote>
  <w:endnote w:type="continuationSeparator" w:id="0">
    <w:p w14:paraId="4530D5C3" w14:textId="77777777" w:rsidR="00ED5112" w:rsidRDefault="00ED5112" w:rsidP="00526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EAC49" w14:textId="4B8D505F" w:rsidR="00FD206F" w:rsidRPr="00F56B17" w:rsidRDefault="00F23DFB" w:rsidP="00FD206F">
    <w:pPr>
      <w:pStyle w:val="naislab"/>
      <w:jc w:val="both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FILENAME 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FMAnot_0</w:t>
    </w:r>
    <w:r w:rsidR="006872B0">
      <w:rPr>
        <w:noProof/>
        <w:sz w:val="20"/>
        <w:szCs w:val="20"/>
      </w:rPr>
      <w:t>7</w:t>
    </w:r>
    <w:r>
      <w:rPr>
        <w:noProof/>
        <w:sz w:val="20"/>
        <w:szCs w:val="20"/>
      </w:rPr>
      <w:t>0621_</w:t>
    </w:r>
    <w:r>
      <w:rPr>
        <w:sz w:val="20"/>
        <w:szCs w:val="20"/>
      </w:rPr>
      <w:fldChar w:fldCharType="end"/>
    </w:r>
    <w:r>
      <w:rPr>
        <w:sz w:val="20"/>
        <w:szCs w:val="20"/>
      </w:rPr>
      <w:t>groz662</w:t>
    </w:r>
    <w:r w:rsidR="00FD206F" w:rsidRPr="00F56B17">
      <w:rPr>
        <w:sz w:val="20"/>
        <w:szCs w:val="20"/>
      </w:rPr>
      <w:t xml:space="preserve"> </w:t>
    </w:r>
  </w:p>
  <w:p w14:paraId="02E45B91" w14:textId="77777777" w:rsidR="00FD206F" w:rsidRPr="0021135F" w:rsidRDefault="00FD206F" w:rsidP="00FD20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15188" w14:textId="0751295A" w:rsidR="00FD206F" w:rsidRPr="00F56B17" w:rsidRDefault="00FD206F" w:rsidP="00FD206F">
    <w:pPr>
      <w:pStyle w:val="naislab"/>
      <w:jc w:val="both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FILENAME   \* MERGEFORMAT </w:instrText>
    </w:r>
    <w:r>
      <w:rPr>
        <w:sz w:val="20"/>
        <w:szCs w:val="20"/>
      </w:rPr>
      <w:fldChar w:fldCharType="separate"/>
    </w:r>
    <w:r w:rsidR="002F6EE3">
      <w:rPr>
        <w:noProof/>
        <w:sz w:val="20"/>
        <w:szCs w:val="20"/>
      </w:rPr>
      <w:t>FMAnot_0</w:t>
    </w:r>
    <w:r w:rsidR="006872B0">
      <w:rPr>
        <w:noProof/>
        <w:sz w:val="20"/>
        <w:szCs w:val="20"/>
      </w:rPr>
      <w:t>7</w:t>
    </w:r>
    <w:r w:rsidR="002F6EE3">
      <w:rPr>
        <w:noProof/>
        <w:sz w:val="20"/>
        <w:szCs w:val="20"/>
      </w:rPr>
      <w:t>06</w:t>
    </w:r>
    <w:r w:rsidR="00FD4FF6">
      <w:rPr>
        <w:noProof/>
        <w:sz w:val="20"/>
        <w:szCs w:val="20"/>
      </w:rPr>
      <w:t>21_</w:t>
    </w:r>
    <w:r>
      <w:rPr>
        <w:sz w:val="20"/>
        <w:szCs w:val="20"/>
      </w:rPr>
      <w:fldChar w:fldCharType="end"/>
    </w:r>
    <w:r w:rsidR="002F6EE3">
      <w:rPr>
        <w:sz w:val="20"/>
        <w:szCs w:val="20"/>
      </w:rPr>
      <w:t>groz662</w:t>
    </w:r>
    <w:r>
      <w:rPr>
        <w:sz w:val="20"/>
        <w:szCs w:val="20"/>
      </w:rPr>
      <w:t xml:space="preserve">; </w:t>
    </w:r>
  </w:p>
  <w:p w14:paraId="24619B23" w14:textId="77777777" w:rsidR="00FD206F" w:rsidRPr="00F56B17" w:rsidRDefault="00FD206F" w:rsidP="00FD206F">
    <w:pPr>
      <w:pStyle w:val="naislab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5DDC4" w14:textId="77777777" w:rsidR="00ED5112" w:rsidRDefault="00ED5112" w:rsidP="005264CB">
      <w:pPr>
        <w:spacing w:after="0" w:line="240" w:lineRule="auto"/>
      </w:pPr>
      <w:r>
        <w:separator/>
      </w:r>
    </w:p>
  </w:footnote>
  <w:footnote w:type="continuationSeparator" w:id="0">
    <w:p w14:paraId="2BBCE596" w14:textId="77777777" w:rsidR="00ED5112" w:rsidRDefault="00ED5112" w:rsidP="00526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2F708E" w14:textId="77777777" w:rsidR="00FD206F" w:rsidRDefault="00FD206F" w:rsidP="00FD20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FDE8F4" w14:textId="77777777" w:rsidR="00FD206F" w:rsidRDefault="00FD20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F35FE" w14:textId="50F8F6D6" w:rsidR="00FD206F" w:rsidRDefault="00FD206F" w:rsidP="00FD20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736C">
      <w:rPr>
        <w:rStyle w:val="PageNumber"/>
        <w:noProof/>
      </w:rPr>
      <w:t>3</w:t>
    </w:r>
    <w:r>
      <w:rPr>
        <w:rStyle w:val="PageNumber"/>
      </w:rPr>
      <w:fldChar w:fldCharType="end"/>
    </w:r>
  </w:p>
  <w:p w14:paraId="6C774449" w14:textId="77777777" w:rsidR="00FD206F" w:rsidRDefault="00FD206F" w:rsidP="005E3B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DC79B1"/>
    <w:multiLevelType w:val="hybridMultilevel"/>
    <w:tmpl w:val="B3D6C7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C3A4B"/>
    <w:multiLevelType w:val="hybridMultilevel"/>
    <w:tmpl w:val="D8C21B5A"/>
    <w:lvl w:ilvl="0" w:tplc="E8DCFC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FF763C"/>
    <w:multiLevelType w:val="hybridMultilevel"/>
    <w:tmpl w:val="7174E5E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52559B"/>
    <w:multiLevelType w:val="hybridMultilevel"/>
    <w:tmpl w:val="BEE608F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C2640"/>
    <w:multiLevelType w:val="hybridMultilevel"/>
    <w:tmpl w:val="9CAAA1A4"/>
    <w:lvl w:ilvl="0" w:tplc="C7A24E98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D55"/>
    <w:rsid w:val="000010A5"/>
    <w:rsid w:val="0000229F"/>
    <w:rsid w:val="0001798F"/>
    <w:rsid w:val="00044AFB"/>
    <w:rsid w:val="00054F23"/>
    <w:rsid w:val="000555D2"/>
    <w:rsid w:val="00067341"/>
    <w:rsid w:val="00073300"/>
    <w:rsid w:val="0007339B"/>
    <w:rsid w:val="00073B02"/>
    <w:rsid w:val="0009720E"/>
    <w:rsid w:val="000A1DB3"/>
    <w:rsid w:val="000B4C52"/>
    <w:rsid w:val="000C3BAD"/>
    <w:rsid w:val="000E1D69"/>
    <w:rsid w:val="000F789A"/>
    <w:rsid w:val="001010F2"/>
    <w:rsid w:val="00111AD4"/>
    <w:rsid w:val="00115E7D"/>
    <w:rsid w:val="00121650"/>
    <w:rsid w:val="00152EF3"/>
    <w:rsid w:val="00153AF0"/>
    <w:rsid w:val="00156A95"/>
    <w:rsid w:val="0015785D"/>
    <w:rsid w:val="00166CC0"/>
    <w:rsid w:val="00174A5A"/>
    <w:rsid w:val="00185E57"/>
    <w:rsid w:val="001C2002"/>
    <w:rsid w:val="001D28F8"/>
    <w:rsid w:val="001F250F"/>
    <w:rsid w:val="00225F08"/>
    <w:rsid w:val="00237F60"/>
    <w:rsid w:val="00240256"/>
    <w:rsid w:val="002434B9"/>
    <w:rsid w:val="002523BD"/>
    <w:rsid w:val="002669D8"/>
    <w:rsid w:val="0026774E"/>
    <w:rsid w:val="00271D1D"/>
    <w:rsid w:val="002A0237"/>
    <w:rsid w:val="002B1EE3"/>
    <w:rsid w:val="002B5AF0"/>
    <w:rsid w:val="002F2699"/>
    <w:rsid w:val="002F2E08"/>
    <w:rsid w:val="002F6EE3"/>
    <w:rsid w:val="00311974"/>
    <w:rsid w:val="00324528"/>
    <w:rsid w:val="00364FF9"/>
    <w:rsid w:val="003653F4"/>
    <w:rsid w:val="00375394"/>
    <w:rsid w:val="00375530"/>
    <w:rsid w:val="00394311"/>
    <w:rsid w:val="00395C7B"/>
    <w:rsid w:val="003F4A63"/>
    <w:rsid w:val="0040789B"/>
    <w:rsid w:val="0043287B"/>
    <w:rsid w:val="00497AEA"/>
    <w:rsid w:val="004A01D5"/>
    <w:rsid w:val="004B4FC9"/>
    <w:rsid w:val="004C0A18"/>
    <w:rsid w:val="004C5554"/>
    <w:rsid w:val="004E4DB5"/>
    <w:rsid w:val="004F369E"/>
    <w:rsid w:val="005019B4"/>
    <w:rsid w:val="005264CB"/>
    <w:rsid w:val="0052763F"/>
    <w:rsid w:val="00532B43"/>
    <w:rsid w:val="0057043C"/>
    <w:rsid w:val="005B3737"/>
    <w:rsid w:val="005C4EFE"/>
    <w:rsid w:val="005E3B62"/>
    <w:rsid w:val="006039DE"/>
    <w:rsid w:val="00607DC0"/>
    <w:rsid w:val="00624E98"/>
    <w:rsid w:val="00661DB3"/>
    <w:rsid w:val="0066736C"/>
    <w:rsid w:val="00674C5F"/>
    <w:rsid w:val="0068472E"/>
    <w:rsid w:val="006872B0"/>
    <w:rsid w:val="00687546"/>
    <w:rsid w:val="0069144D"/>
    <w:rsid w:val="006964F9"/>
    <w:rsid w:val="0069696E"/>
    <w:rsid w:val="006C7A11"/>
    <w:rsid w:val="006D37A1"/>
    <w:rsid w:val="006E1E88"/>
    <w:rsid w:val="00721B2F"/>
    <w:rsid w:val="00757061"/>
    <w:rsid w:val="0076212F"/>
    <w:rsid w:val="007925DE"/>
    <w:rsid w:val="007E1C33"/>
    <w:rsid w:val="007F54F3"/>
    <w:rsid w:val="008023F7"/>
    <w:rsid w:val="00817C88"/>
    <w:rsid w:val="008439D4"/>
    <w:rsid w:val="00844CA4"/>
    <w:rsid w:val="008466DD"/>
    <w:rsid w:val="008577E9"/>
    <w:rsid w:val="00866587"/>
    <w:rsid w:val="008762CC"/>
    <w:rsid w:val="008A4DE8"/>
    <w:rsid w:val="008C0295"/>
    <w:rsid w:val="008C7BBF"/>
    <w:rsid w:val="008E029F"/>
    <w:rsid w:val="009155A6"/>
    <w:rsid w:val="00935A8E"/>
    <w:rsid w:val="00942BB5"/>
    <w:rsid w:val="0094661B"/>
    <w:rsid w:val="009566DD"/>
    <w:rsid w:val="00961D55"/>
    <w:rsid w:val="00964C34"/>
    <w:rsid w:val="009824CD"/>
    <w:rsid w:val="00990A1F"/>
    <w:rsid w:val="00991A38"/>
    <w:rsid w:val="00992EA4"/>
    <w:rsid w:val="009941EF"/>
    <w:rsid w:val="00994209"/>
    <w:rsid w:val="00997C91"/>
    <w:rsid w:val="009A3115"/>
    <w:rsid w:val="009B227E"/>
    <w:rsid w:val="009C094E"/>
    <w:rsid w:val="009C170C"/>
    <w:rsid w:val="009D74A6"/>
    <w:rsid w:val="009E74C3"/>
    <w:rsid w:val="009F19D3"/>
    <w:rsid w:val="009F3AE0"/>
    <w:rsid w:val="00A01D05"/>
    <w:rsid w:val="00A1789C"/>
    <w:rsid w:val="00A40847"/>
    <w:rsid w:val="00A47ADD"/>
    <w:rsid w:val="00A573D6"/>
    <w:rsid w:val="00A72C59"/>
    <w:rsid w:val="00A8354E"/>
    <w:rsid w:val="00A91633"/>
    <w:rsid w:val="00A969B7"/>
    <w:rsid w:val="00AB1102"/>
    <w:rsid w:val="00AC1E68"/>
    <w:rsid w:val="00AD15AA"/>
    <w:rsid w:val="00AD7579"/>
    <w:rsid w:val="00AE3479"/>
    <w:rsid w:val="00AF087B"/>
    <w:rsid w:val="00B42D00"/>
    <w:rsid w:val="00B57F1C"/>
    <w:rsid w:val="00B651E4"/>
    <w:rsid w:val="00B67FB7"/>
    <w:rsid w:val="00BC27BE"/>
    <w:rsid w:val="00BD4C26"/>
    <w:rsid w:val="00BD5561"/>
    <w:rsid w:val="00BD7DEF"/>
    <w:rsid w:val="00BF1C46"/>
    <w:rsid w:val="00C0257C"/>
    <w:rsid w:val="00C037BB"/>
    <w:rsid w:val="00C041E8"/>
    <w:rsid w:val="00C112DF"/>
    <w:rsid w:val="00C11811"/>
    <w:rsid w:val="00C21779"/>
    <w:rsid w:val="00C413E9"/>
    <w:rsid w:val="00C43D12"/>
    <w:rsid w:val="00C520A3"/>
    <w:rsid w:val="00C54B05"/>
    <w:rsid w:val="00C5635C"/>
    <w:rsid w:val="00C575A5"/>
    <w:rsid w:val="00C7128C"/>
    <w:rsid w:val="00C7177B"/>
    <w:rsid w:val="00C826D0"/>
    <w:rsid w:val="00C846D0"/>
    <w:rsid w:val="00C859CE"/>
    <w:rsid w:val="00CB4B01"/>
    <w:rsid w:val="00CC31E8"/>
    <w:rsid w:val="00CD31F4"/>
    <w:rsid w:val="00CE4A03"/>
    <w:rsid w:val="00D22EB6"/>
    <w:rsid w:val="00D24CF0"/>
    <w:rsid w:val="00D45294"/>
    <w:rsid w:val="00D72012"/>
    <w:rsid w:val="00D81166"/>
    <w:rsid w:val="00D8615C"/>
    <w:rsid w:val="00DB01AE"/>
    <w:rsid w:val="00DC13C5"/>
    <w:rsid w:val="00DC14E1"/>
    <w:rsid w:val="00DC2888"/>
    <w:rsid w:val="00DC6839"/>
    <w:rsid w:val="00DE110E"/>
    <w:rsid w:val="00DE306D"/>
    <w:rsid w:val="00DE52B7"/>
    <w:rsid w:val="00DE5488"/>
    <w:rsid w:val="00DE6F0A"/>
    <w:rsid w:val="00E076BB"/>
    <w:rsid w:val="00E106AE"/>
    <w:rsid w:val="00E119CE"/>
    <w:rsid w:val="00E143F2"/>
    <w:rsid w:val="00E250FF"/>
    <w:rsid w:val="00E26B94"/>
    <w:rsid w:val="00E31633"/>
    <w:rsid w:val="00E55A0E"/>
    <w:rsid w:val="00E62B42"/>
    <w:rsid w:val="00E63ADA"/>
    <w:rsid w:val="00E83A72"/>
    <w:rsid w:val="00E84508"/>
    <w:rsid w:val="00E93477"/>
    <w:rsid w:val="00EA234E"/>
    <w:rsid w:val="00EA70D4"/>
    <w:rsid w:val="00ED5112"/>
    <w:rsid w:val="00EE0D53"/>
    <w:rsid w:val="00F23DFB"/>
    <w:rsid w:val="00F34016"/>
    <w:rsid w:val="00F373F9"/>
    <w:rsid w:val="00F46073"/>
    <w:rsid w:val="00F52E96"/>
    <w:rsid w:val="00F777E7"/>
    <w:rsid w:val="00F81ACD"/>
    <w:rsid w:val="00FB110E"/>
    <w:rsid w:val="00FD0079"/>
    <w:rsid w:val="00FD206F"/>
    <w:rsid w:val="00FD28A5"/>
    <w:rsid w:val="00FD4FF6"/>
    <w:rsid w:val="00FE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2CC98F"/>
  <w15:docId w15:val="{D1BE9956-6622-4FB9-ADAB-7E374F17D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61D55"/>
    <w:pPr>
      <w:tabs>
        <w:tab w:val="center" w:pos="4153"/>
        <w:tab w:val="right" w:pos="8306"/>
      </w:tabs>
      <w:spacing w:after="0" w:line="240" w:lineRule="auto"/>
    </w:pPr>
    <w:rPr>
      <w:rFonts w:eastAsia="Times New Roman"/>
      <w:lang w:eastAsia="lv-LV"/>
    </w:rPr>
  </w:style>
  <w:style w:type="character" w:customStyle="1" w:styleId="HeaderChar">
    <w:name w:val="Header Char"/>
    <w:basedOn w:val="DefaultParagraphFont"/>
    <w:link w:val="Header"/>
    <w:rsid w:val="00961D55"/>
    <w:rPr>
      <w:rFonts w:eastAsia="Times New Roman"/>
      <w:lang w:eastAsia="lv-LV"/>
    </w:rPr>
  </w:style>
  <w:style w:type="character" w:styleId="PageNumber">
    <w:name w:val="page number"/>
    <w:basedOn w:val="DefaultParagraphFont"/>
    <w:rsid w:val="00961D55"/>
  </w:style>
  <w:style w:type="paragraph" w:customStyle="1" w:styleId="naislab">
    <w:name w:val="naislab"/>
    <w:basedOn w:val="Normal"/>
    <w:rsid w:val="00961D55"/>
    <w:pPr>
      <w:spacing w:before="75" w:after="75" w:line="240" w:lineRule="auto"/>
      <w:jc w:val="right"/>
    </w:pPr>
    <w:rPr>
      <w:rFonts w:eastAsia="Times New Roman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961D55"/>
    <w:pPr>
      <w:tabs>
        <w:tab w:val="center" w:pos="4153"/>
        <w:tab w:val="right" w:pos="8306"/>
      </w:tabs>
      <w:spacing w:after="0" w:line="240" w:lineRule="auto"/>
    </w:pPr>
    <w:rPr>
      <w:rFonts w:eastAsia="Times New Roman"/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rsid w:val="00961D55"/>
    <w:rPr>
      <w:rFonts w:eastAsia="Times New Roman"/>
      <w:lang w:eastAsia="lv-LV"/>
    </w:rPr>
  </w:style>
  <w:style w:type="table" w:customStyle="1" w:styleId="TableGridLight1">
    <w:name w:val="Table Grid Light1"/>
    <w:basedOn w:val="TableNormal"/>
    <w:uiPriority w:val="40"/>
    <w:rsid w:val="00961D55"/>
    <w:pPr>
      <w:spacing w:after="0" w:line="240" w:lineRule="auto"/>
    </w:pPr>
    <w:rPr>
      <w:rFonts w:eastAsia="Calibri"/>
      <w:sz w:val="20"/>
      <w:szCs w:val="20"/>
      <w:lang w:eastAsia="lv-LV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D20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20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20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20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20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0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264C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4C52"/>
    <w:pPr>
      <w:ind w:left="720"/>
      <w:contextualSpacing/>
    </w:pPr>
  </w:style>
  <w:style w:type="table" w:styleId="TableGrid">
    <w:name w:val="Table Grid"/>
    <w:basedOn w:val="TableNormal"/>
    <w:uiPriority w:val="59"/>
    <w:rsid w:val="00674C5F"/>
    <w:pPr>
      <w:spacing w:after="0" w:line="240" w:lineRule="auto"/>
    </w:pPr>
    <w:rPr>
      <w:rFonts w:ascii="Calibri" w:eastAsia="Calibri" w:hAnsi="Calibri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8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m.gov.lv/lv/ministru-kabineta-noteikumu-projekts-grozijums-ministru-kabineta-2005gada-30augusta-noteikumos-nr662-akcizes-precu-aprites-kartib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k.gov.lv/content/ministru-kabineta-diskusiju-dokument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5A27C-2820-4606-835D-F9A97C468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3849</Words>
  <Characters>2194</Characters>
  <Application>Microsoft Office Word</Application>
  <DocSecurity>4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Ministru kabineta noteikumu projekta “Grozījums Ministru kabineta 2005.gada 30.augusta noteikumos Nr.662 “Akcīzes preču aprites kārtība”” sākotnējās ietekmes novērtējuma ziņojums (anotācija)</vt:lpstr>
    </vt:vector>
  </TitlesOfParts>
  <Company>Finanšu Ministrija</Company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projekta “Grozījums Ministru kabineta 2005.gada 30.augusta noteikumos Nr.662 “Akcīzes preču aprites kārtība”” sākotnējās ietekmes novērtējuma ziņojums (anotācija)</dc:title>
  <dc:creator>I.Gertnere</dc:creator>
  <dc:description>I.Gertnere, 
T.67120147; inga.gertnere@vid.gov.lv</dc:description>
  <cp:lastModifiedBy>Inguna Dancīte</cp:lastModifiedBy>
  <cp:revision>2</cp:revision>
  <cp:lastPrinted>2020-11-04T12:42:00Z</cp:lastPrinted>
  <dcterms:created xsi:type="dcterms:W3CDTF">2021-06-08T05:48:00Z</dcterms:created>
  <dcterms:modified xsi:type="dcterms:W3CDTF">2021-06-08T05:48:00Z</dcterms:modified>
</cp:coreProperties>
</file>