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709CC" w14:textId="77777777" w:rsidR="00E06E67" w:rsidRPr="00EE5159" w:rsidRDefault="00E06E67" w:rsidP="00557B2E">
      <w:pPr>
        <w:spacing w:after="0" w:line="240" w:lineRule="auto"/>
        <w:jc w:val="right"/>
        <w:rPr>
          <w:i/>
          <w:sz w:val="26"/>
          <w:szCs w:val="26"/>
        </w:rPr>
      </w:pPr>
      <w:bookmarkStart w:id="0" w:name="_GoBack"/>
      <w:bookmarkEnd w:id="0"/>
      <w:r w:rsidRPr="00EE5159">
        <w:rPr>
          <w:i/>
          <w:sz w:val="26"/>
          <w:szCs w:val="26"/>
        </w:rPr>
        <w:t>Likumprojekts</w:t>
      </w:r>
    </w:p>
    <w:p w14:paraId="67FFD3B7" w14:textId="77777777" w:rsidR="00F9424B" w:rsidRPr="00325FCC" w:rsidRDefault="00F9424B" w:rsidP="00557B2E">
      <w:pPr>
        <w:spacing w:after="0" w:line="240" w:lineRule="auto"/>
        <w:ind w:firstLine="720"/>
        <w:jc w:val="center"/>
        <w:rPr>
          <w:b/>
          <w:sz w:val="26"/>
          <w:szCs w:val="26"/>
        </w:rPr>
      </w:pPr>
    </w:p>
    <w:p w14:paraId="5C69F004" w14:textId="77777777" w:rsidR="007E2AEF" w:rsidRDefault="007E2AEF" w:rsidP="00557B2E">
      <w:pPr>
        <w:spacing w:after="0" w:line="240" w:lineRule="auto"/>
        <w:ind w:firstLine="720"/>
        <w:jc w:val="center"/>
        <w:rPr>
          <w:b/>
          <w:sz w:val="26"/>
          <w:szCs w:val="26"/>
        </w:rPr>
      </w:pPr>
      <w:r w:rsidRPr="00325FCC">
        <w:rPr>
          <w:b/>
          <w:sz w:val="26"/>
          <w:szCs w:val="26"/>
        </w:rPr>
        <w:t xml:space="preserve">Grozījumi </w:t>
      </w:r>
      <w:r w:rsidR="00947055">
        <w:rPr>
          <w:b/>
          <w:sz w:val="26"/>
          <w:szCs w:val="26"/>
        </w:rPr>
        <w:t>Noguldījumu garantiju</w:t>
      </w:r>
      <w:r w:rsidR="003B6F32">
        <w:rPr>
          <w:b/>
          <w:sz w:val="26"/>
          <w:szCs w:val="26"/>
        </w:rPr>
        <w:t xml:space="preserve"> likumā</w:t>
      </w:r>
    </w:p>
    <w:p w14:paraId="6729AFCE" w14:textId="77777777" w:rsidR="00FD6A89" w:rsidRPr="00325FCC" w:rsidRDefault="00FD6A89" w:rsidP="00557B2E">
      <w:pPr>
        <w:spacing w:after="0" w:line="240" w:lineRule="auto"/>
        <w:ind w:firstLine="720"/>
        <w:jc w:val="center"/>
        <w:rPr>
          <w:b/>
          <w:bCs/>
          <w:sz w:val="26"/>
          <w:szCs w:val="26"/>
        </w:rPr>
      </w:pPr>
    </w:p>
    <w:p w14:paraId="454A5052" w14:textId="77777777" w:rsidR="00E06E67" w:rsidRDefault="00E06E67" w:rsidP="00557B2E">
      <w:pPr>
        <w:spacing w:after="0" w:line="240" w:lineRule="auto"/>
        <w:ind w:firstLine="720"/>
        <w:jc w:val="both"/>
        <w:rPr>
          <w:sz w:val="26"/>
          <w:szCs w:val="26"/>
        </w:rPr>
      </w:pPr>
      <w:r w:rsidRPr="00325FCC">
        <w:rPr>
          <w:sz w:val="26"/>
          <w:szCs w:val="26"/>
        </w:rPr>
        <w:t xml:space="preserve">Izdarīt </w:t>
      </w:r>
      <w:r w:rsidR="00947055">
        <w:rPr>
          <w:sz w:val="26"/>
          <w:szCs w:val="26"/>
        </w:rPr>
        <w:t>Noguldījumu garantiju</w:t>
      </w:r>
      <w:r w:rsidR="003B6F32">
        <w:rPr>
          <w:sz w:val="26"/>
          <w:szCs w:val="26"/>
        </w:rPr>
        <w:t xml:space="preserve"> </w:t>
      </w:r>
      <w:r w:rsidR="005C00F4">
        <w:rPr>
          <w:sz w:val="26"/>
          <w:szCs w:val="26"/>
        </w:rPr>
        <w:t xml:space="preserve">likumā  </w:t>
      </w:r>
      <w:r w:rsidR="003B6F32" w:rsidRPr="003B6F32">
        <w:rPr>
          <w:sz w:val="26"/>
          <w:szCs w:val="26"/>
        </w:rPr>
        <w:t>(</w:t>
      </w:r>
      <w:r w:rsidR="00947055" w:rsidRPr="00947055">
        <w:rPr>
          <w:sz w:val="26"/>
          <w:szCs w:val="26"/>
        </w:rPr>
        <w:t>Latvijas Vēstnesis, 2015, 118. nr; 2018, 17. nr.</w:t>
      </w:r>
      <w:r w:rsidR="00947055">
        <w:rPr>
          <w:sz w:val="26"/>
          <w:szCs w:val="26"/>
        </w:rPr>
        <w:t>)</w:t>
      </w:r>
      <w:r w:rsidRPr="00325FCC">
        <w:rPr>
          <w:sz w:val="26"/>
          <w:szCs w:val="26"/>
        </w:rPr>
        <w:t xml:space="preserve"> šādus grozījumus:</w:t>
      </w:r>
    </w:p>
    <w:p w14:paraId="4EF83580" w14:textId="77777777" w:rsidR="00462734" w:rsidRDefault="00462734" w:rsidP="00557B2E">
      <w:pPr>
        <w:spacing w:after="0" w:line="240" w:lineRule="auto"/>
        <w:ind w:firstLine="720"/>
        <w:jc w:val="both"/>
        <w:rPr>
          <w:sz w:val="26"/>
          <w:szCs w:val="26"/>
        </w:rPr>
      </w:pPr>
    </w:p>
    <w:p w14:paraId="232955EE" w14:textId="77777777" w:rsidR="00105084" w:rsidRDefault="00462734" w:rsidP="00557B2E">
      <w:pPr>
        <w:spacing w:after="0" w:line="240" w:lineRule="auto"/>
        <w:ind w:firstLine="720"/>
        <w:jc w:val="both"/>
        <w:rPr>
          <w:sz w:val="26"/>
          <w:szCs w:val="26"/>
        </w:rPr>
      </w:pPr>
      <w:r>
        <w:rPr>
          <w:sz w:val="26"/>
          <w:szCs w:val="26"/>
        </w:rPr>
        <w:t xml:space="preserve">1. </w:t>
      </w:r>
      <w:r w:rsidR="00105084">
        <w:rPr>
          <w:sz w:val="26"/>
          <w:szCs w:val="26"/>
        </w:rPr>
        <w:t>1.pantā:</w:t>
      </w:r>
    </w:p>
    <w:p w14:paraId="03D24A8E" w14:textId="77777777" w:rsidR="00E95306" w:rsidRDefault="00E95306" w:rsidP="00557B2E">
      <w:pPr>
        <w:spacing w:after="0" w:line="240" w:lineRule="auto"/>
        <w:ind w:firstLine="720"/>
        <w:jc w:val="both"/>
        <w:rPr>
          <w:sz w:val="26"/>
          <w:szCs w:val="26"/>
        </w:rPr>
      </w:pPr>
    </w:p>
    <w:p w14:paraId="3582DAD1" w14:textId="77777777" w:rsidR="00AE0C67" w:rsidRDefault="00105084" w:rsidP="00557B2E">
      <w:pPr>
        <w:spacing w:after="0" w:line="240" w:lineRule="auto"/>
        <w:ind w:firstLine="720"/>
        <w:jc w:val="both"/>
        <w:rPr>
          <w:sz w:val="26"/>
          <w:szCs w:val="26"/>
        </w:rPr>
      </w:pPr>
      <w:r>
        <w:rPr>
          <w:sz w:val="26"/>
          <w:szCs w:val="26"/>
        </w:rPr>
        <w:t>i</w:t>
      </w:r>
      <w:r w:rsidR="00462734" w:rsidRPr="00462734">
        <w:rPr>
          <w:sz w:val="26"/>
          <w:szCs w:val="26"/>
        </w:rPr>
        <w:t xml:space="preserve">zteikt pirmās daļas </w:t>
      </w:r>
      <w:r>
        <w:rPr>
          <w:sz w:val="26"/>
          <w:szCs w:val="26"/>
        </w:rPr>
        <w:t>6</w:t>
      </w:r>
      <w:r w:rsidR="00462734" w:rsidRPr="00462734">
        <w:rPr>
          <w:sz w:val="26"/>
          <w:szCs w:val="26"/>
        </w:rPr>
        <w:t>. punkta “</w:t>
      </w:r>
      <w:r>
        <w:rPr>
          <w:sz w:val="26"/>
          <w:szCs w:val="26"/>
        </w:rPr>
        <w:t>b)</w:t>
      </w:r>
      <w:r w:rsidR="00462734" w:rsidRPr="00462734">
        <w:rPr>
          <w:sz w:val="26"/>
          <w:szCs w:val="26"/>
        </w:rPr>
        <w:t xml:space="preserve">” apakšpunktu šādā redakcijā: </w:t>
      </w:r>
    </w:p>
    <w:p w14:paraId="7811445C" w14:textId="77777777" w:rsidR="00E95306" w:rsidRDefault="00E95306" w:rsidP="00557B2E">
      <w:pPr>
        <w:spacing w:after="0" w:line="240" w:lineRule="auto"/>
        <w:ind w:firstLine="720"/>
        <w:jc w:val="both"/>
        <w:rPr>
          <w:sz w:val="26"/>
          <w:szCs w:val="26"/>
        </w:rPr>
      </w:pPr>
    </w:p>
    <w:p w14:paraId="497885B7" w14:textId="77777777" w:rsidR="00462734" w:rsidRDefault="00462734" w:rsidP="00557B2E">
      <w:pPr>
        <w:spacing w:after="0" w:line="240" w:lineRule="auto"/>
        <w:ind w:firstLine="720"/>
        <w:jc w:val="both"/>
        <w:rPr>
          <w:sz w:val="26"/>
          <w:szCs w:val="26"/>
        </w:rPr>
      </w:pPr>
      <w:r>
        <w:rPr>
          <w:sz w:val="26"/>
          <w:szCs w:val="26"/>
        </w:rPr>
        <w:t>“</w:t>
      </w:r>
      <w:r w:rsidR="00105084" w:rsidRPr="00105084">
        <w:rPr>
          <w:sz w:val="26"/>
          <w:szCs w:val="26"/>
        </w:rPr>
        <w:t>b) kredītiestādei vai krājaizdevu sabiedrībai anulēta licence (atļauja) kredītiestādes vai krājaizdevu sabiedrības darbībai,</w:t>
      </w:r>
      <w:r w:rsidR="00105084">
        <w:rPr>
          <w:sz w:val="26"/>
          <w:szCs w:val="26"/>
        </w:rPr>
        <w:t>”;</w:t>
      </w:r>
    </w:p>
    <w:p w14:paraId="2FAEA6E8" w14:textId="77777777" w:rsidR="00105084" w:rsidRDefault="00105084" w:rsidP="00557B2E">
      <w:pPr>
        <w:spacing w:after="0" w:line="240" w:lineRule="auto"/>
        <w:ind w:firstLine="720"/>
        <w:jc w:val="both"/>
        <w:rPr>
          <w:sz w:val="26"/>
          <w:szCs w:val="26"/>
        </w:rPr>
      </w:pPr>
    </w:p>
    <w:p w14:paraId="5A45DB8F" w14:textId="77777777" w:rsidR="00105084" w:rsidRDefault="00105084" w:rsidP="00557B2E">
      <w:pPr>
        <w:spacing w:after="0" w:line="240" w:lineRule="auto"/>
        <w:ind w:firstLine="720"/>
        <w:jc w:val="both"/>
        <w:rPr>
          <w:sz w:val="26"/>
          <w:szCs w:val="26"/>
        </w:rPr>
      </w:pPr>
      <w:r>
        <w:rPr>
          <w:sz w:val="26"/>
          <w:szCs w:val="26"/>
        </w:rPr>
        <w:t xml:space="preserve">aizstāt pirmās daļas 6. punkta “c)” </w:t>
      </w:r>
      <w:r w:rsidRPr="00105084">
        <w:rPr>
          <w:sz w:val="26"/>
          <w:szCs w:val="26"/>
        </w:rPr>
        <w:t xml:space="preserve">apakšpunktā vārdu </w:t>
      </w:r>
      <w:r>
        <w:rPr>
          <w:sz w:val="26"/>
          <w:szCs w:val="26"/>
        </w:rPr>
        <w:t>“</w:t>
      </w:r>
      <w:r w:rsidRPr="00105084">
        <w:rPr>
          <w:sz w:val="26"/>
          <w:szCs w:val="26"/>
        </w:rPr>
        <w:t>Komisija</w:t>
      </w:r>
      <w:r>
        <w:rPr>
          <w:sz w:val="26"/>
          <w:szCs w:val="26"/>
        </w:rPr>
        <w:t>”</w:t>
      </w:r>
      <w:r w:rsidRPr="00105084">
        <w:rPr>
          <w:sz w:val="26"/>
          <w:szCs w:val="26"/>
        </w:rPr>
        <w:t xml:space="preserve"> ar vārdiem </w:t>
      </w:r>
      <w:r>
        <w:rPr>
          <w:sz w:val="26"/>
          <w:szCs w:val="26"/>
        </w:rPr>
        <w:t>“</w:t>
      </w:r>
      <w:r w:rsidRPr="00105084">
        <w:rPr>
          <w:sz w:val="26"/>
          <w:szCs w:val="26"/>
        </w:rPr>
        <w:t>Finanšu un kapitāla tirgus komisija (turpmāk – Komisija);</w:t>
      </w:r>
      <w:r>
        <w:rPr>
          <w:sz w:val="26"/>
          <w:szCs w:val="26"/>
        </w:rPr>
        <w:t>”.</w:t>
      </w:r>
    </w:p>
    <w:p w14:paraId="4504EF84" w14:textId="77777777" w:rsidR="008F4BD0" w:rsidRDefault="008F4BD0" w:rsidP="00557B2E">
      <w:pPr>
        <w:spacing w:after="0" w:line="240" w:lineRule="auto"/>
        <w:ind w:firstLine="720"/>
        <w:jc w:val="both"/>
        <w:rPr>
          <w:sz w:val="26"/>
          <w:szCs w:val="26"/>
        </w:rPr>
      </w:pPr>
    </w:p>
    <w:p w14:paraId="69656A60" w14:textId="77777777" w:rsidR="00462734" w:rsidRDefault="00462734" w:rsidP="00557B2E">
      <w:pPr>
        <w:spacing w:after="0" w:line="240" w:lineRule="auto"/>
        <w:ind w:firstLine="720"/>
        <w:jc w:val="both"/>
        <w:rPr>
          <w:sz w:val="26"/>
          <w:szCs w:val="26"/>
        </w:rPr>
      </w:pPr>
      <w:r>
        <w:rPr>
          <w:sz w:val="26"/>
          <w:szCs w:val="26"/>
        </w:rPr>
        <w:t>2. </w:t>
      </w:r>
      <w:r w:rsidR="00E95306">
        <w:rPr>
          <w:sz w:val="26"/>
          <w:szCs w:val="26"/>
        </w:rPr>
        <w:t>3</w:t>
      </w:r>
      <w:r>
        <w:rPr>
          <w:sz w:val="26"/>
          <w:szCs w:val="26"/>
        </w:rPr>
        <w:t>. pantā:</w:t>
      </w:r>
    </w:p>
    <w:p w14:paraId="72AED364" w14:textId="77777777" w:rsidR="00E95306" w:rsidRDefault="00E95306" w:rsidP="00557B2E">
      <w:pPr>
        <w:spacing w:after="0" w:line="240" w:lineRule="auto"/>
        <w:ind w:firstLine="720"/>
        <w:jc w:val="both"/>
        <w:rPr>
          <w:sz w:val="26"/>
          <w:szCs w:val="26"/>
        </w:rPr>
      </w:pPr>
    </w:p>
    <w:p w14:paraId="37F0A076" w14:textId="77777777" w:rsidR="00E95306" w:rsidRDefault="00E95306" w:rsidP="00557B2E">
      <w:pPr>
        <w:spacing w:after="0" w:line="240" w:lineRule="auto"/>
        <w:ind w:firstLine="720"/>
        <w:jc w:val="both"/>
        <w:rPr>
          <w:sz w:val="26"/>
          <w:szCs w:val="26"/>
        </w:rPr>
      </w:pPr>
      <w:r>
        <w:rPr>
          <w:sz w:val="26"/>
          <w:szCs w:val="26"/>
        </w:rPr>
        <w:t>izslēgt otrajā daļā vārdu “tās”;</w:t>
      </w:r>
    </w:p>
    <w:p w14:paraId="25488F88" w14:textId="77777777" w:rsidR="00E95306" w:rsidRDefault="00E95306" w:rsidP="00557B2E">
      <w:pPr>
        <w:spacing w:after="0" w:line="240" w:lineRule="auto"/>
        <w:ind w:firstLine="720"/>
        <w:jc w:val="both"/>
        <w:rPr>
          <w:sz w:val="26"/>
          <w:szCs w:val="26"/>
        </w:rPr>
      </w:pPr>
    </w:p>
    <w:p w14:paraId="6BB724E0" w14:textId="77777777" w:rsidR="00E95306" w:rsidRDefault="00E95306" w:rsidP="00557B2E">
      <w:pPr>
        <w:spacing w:after="0" w:line="240" w:lineRule="auto"/>
        <w:ind w:firstLine="720"/>
        <w:jc w:val="both"/>
        <w:rPr>
          <w:sz w:val="26"/>
          <w:szCs w:val="26"/>
        </w:rPr>
      </w:pPr>
      <w:r>
        <w:rPr>
          <w:sz w:val="26"/>
          <w:szCs w:val="26"/>
        </w:rPr>
        <w:t>aizstāt otrajā daļā vārdus “</w:t>
      </w:r>
      <w:r w:rsidRPr="00E95306">
        <w:rPr>
          <w:sz w:val="26"/>
          <w:szCs w:val="26"/>
        </w:rPr>
        <w:t>aprēķinot garantēto atlīdzību</w:t>
      </w:r>
      <w:r>
        <w:rPr>
          <w:sz w:val="26"/>
          <w:szCs w:val="26"/>
        </w:rPr>
        <w:t>”</w:t>
      </w:r>
      <w:r w:rsidRPr="00E95306">
        <w:rPr>
          <w:sz w:val="26"/>
          <w:szCs w:val="26"/>
        </w:rPr>
        <w:t xml:space="preserve"> ar vārdiem </w:t>
      </w:r>
      <w:r>
        <w:rPr>
          <w:sz w:val="26"/>
          <w:szCs w:val="26"/>
        </w:rPr>
        <w:t>“</w:t>
      </w:r>
      <w:r w:rsidRPr="00E95306">
        <w:rPr>
          <w:sz w:val="26"/>
          <w:szCs w:val="26"/>
        </w:rPr>
        <w:t>aprēķinot atbilstīgo noguldījumu.</w:t>
      </w:r>
      <w:r>
        <w:rPr>
          <w:sz w:val="26"/>
          <w:szCs w:val="26"/>
        </w:rPr>
        <w:t>”</w:t>
      </w:r>
      <w:r w:rsidRPr="00E95306">
        <w:rPr>
          <w:sz w:val="26"/>
          <w:szCs w:val="26"/>
        </w:rPr>
        <w:t>;</w:t>
      </w:r>
    </w:p>
    <w:p w14:paraId="6C0EA8B9" w14:textId="77777777" w:rsidR="00E95306" w:rsidRDefault="00E95306" w:rsidP="00557B2E">
      <w:pPr>
        <w:spacing w:after="0" w:line="240" w:lineRule="auto"/>
        <w:ind w:firstLine="720"/>
        <w:jc w:val="both"/>
        <w:rPr>
          <w:sz w:val="26"/>
          <w:szCs w:val="26"/>
        </w:rPr>
      </w:pPr>
    </w:p>
    <w:p w14:paraId="096BAB16" w14:textId="77777777" w:rsidR="00462734" w:rsidRDefault="00E95306" w:rsidP="00557B2E">
      <w:pPr>
        <w:spacing w:after="0" w:line="240" w:lineRule="auto"/>
        <w:ind w:firstLine="720"/>
        <w:jc w:val="both"/>
        <w:rPr>
          <w:sz w:val="26"/>
          <w:szCs w:val="26"/>
        </w:rPr>
      </w:pPr>
      <w:r>
        <w:rPr>
          <w:sz w:val="26"/>
          <w:szCs w:val="26"/>
        </w:rPr>
        <w:t>a</w:t>
      </w:r>
      <w:r w:rsidRPr="00E95306">
        <w:rPr>
          <w:sz w:val="26"/>
          <w:szCs w:val="26"/>
        </w:rPr>
        <w:t xml:space="preserve">izstāt ceturtajā daļā vārdus </w:t>
      </w:r>
      <w:r>
        <w:rPr>
          <w:sz w:val="26"/>
          <w:szCs w:val="26"/>
        </w:rPr>
        <w:t>“</w:t>
      </w:r>
      <w:r w:rsidRPr="00E95306">
        <w:rPr>
          <w:sz w:val="26"/>
          <w:szCs w:val="26"/>
        </w:rPr>
        <w:t>noteiktajam garantētās atlīdzības izmaksas atteikumam.</w:t>
      </w:r>
      <w:r>
        <w:rPr>
          <w:sz w:val="26"/>
          <w:szCs w:val="26"/>
        </w:rPr>
        <w:t>”</w:t>
      </w:r>
      <w:r w:rsidRPr="00E95306">
        <w:rPr>
          <w:sz w:val="26"/>
          <w:szCs w:val="26"/>
        </w:rPr>
        <w:t xml:space="preserve"> ar vārdiem </w:t>
      </w:r>
      <w:r>
        <w:rPr>
          <w:sz w:val="26"/>
          <w:szCs w:val="26"/>
        </w:rPr>
        <w:t>“</w:t>
      </w:r>
      <w:r w:rsidRPr="00E95306">
        <w:rPr>
          <w:sz w:val="26"/>
          <w:szCs w:val="26"/>
        </w:rPr>
        <w:t>noteiktajai garantētās atlīdzības izmaksas atlikšanai.</w:t>
      </w:r>
      <w:r>
        <w:rPr>
          <w:sz w:val="26"/>
          <w:szCs w:val="26"/>
        </w:rPr>
        <w:t>”.</w:t>
      </w:r>
    </w:p>
    <w:p w14:paraId="380D8DED" w14:textId="77777777" w:rsidR="00A95615" w:rsidRDefault="00A95615" w:rsidP="00557B2E">
      <w:pPr>
        <w:spacing w:after="0" w:line="240" w:lineRule="auto"/>
        <w:ind w:firstLine="720"/>
        <w:jc w:val="both"/>
        <w:rPr>
          <w:sz w:val="26"/>
          <w:szCs w:val="26"/>
        </w:rPr>
      </w:pPr>
    </w:p>
    <w:p w14:paraId="2710C1A1" w14:textId="79880936" w:rsidR="009D0432" w:rsidRDefault="002C5075" w:rsidP="00557B2E">
      <w:pPr>
        <w:spacing w:after="0" w:line="240" w:lineRule="auto"/>
        <w:ind w:firstLine="720"/>
        <w:jc w:val="both"/>
        <w:rPr>
          <w:sz w:val="26"/>
          <w:szCs w:val="26"/>
        </w:rPr>
      </w:pPr>
      <w:r>
        <w:rPr>
          <w:sz w:val="26"/>
          <w:szCs w:val="26"/>
        </w:rPr>
        <w:t>3</w:t>
      </w:r>
      <w:r w:rsidR="00F64875">
        <w:rPr>
          <w:sz w:val="26"/>
          <w:szCs w:val="26"/>
        </w:rPr>
        <w:t xml:space="preserve">. </w:t>
      </w:r>
      <w:r w:rsidR="009D0432" w:rsidRPr="009D0432">
        <w:rPr>
          <w:sz w:val="26"/>
          <w:szCs w:val="26"/>
        </w:rPr>
        <w:t>Papildināt 6.</w:t>
      </w:r>
      <w:r w:rsidR="009D0432">
        <w:rPr>
          <w:sz w:val="26"/>
          <w:szCs w:val="26"/>
        </w:rPr>
        <w:t> </w:t>
      </w:r>
      <w:r w:rsidR="009D0432" w:rsidRPr="009D0432">
        <w:rPr>
          <w:sz w:val="26"/>
          <w:szCs w:val="26"/>
        </w:rPr>
        <w:t>panta trešo daļu</w:t>
      </w:r>
      <w:r w:rsidR="009D0432">
        <w:rPr>
          <w:sz w:val="26"/>
          <w:szCs w:val="26"/>
        </w:rPr>
        <w:t xml:space="preserve"> aiz vārda “analīzei” ar vārdiem</w:t>
      </w:r>
      <w:r w:rsidR="009D0432" w:rsidRPr="009D0432">
        <w:rPr>
          <w:sz w:val="26"/>
          <w:szCs w:val="26"/>
        </w:rPr>
        <w:t xml:space="preserve"> </w:t>
      </w:r>
      <w:r w:rsidR="009D0432">
        <w:rPr>
          <w:sz w:val="26"/>
          <w:szCs w:val="26"/>
        </w:rPr>
        <w:t>“</w:t>
      </w:r>
      <w:r w:rsidR="009D0432" w:rsidRPr="009D0432">
        <w:rPr>
          <w:sz w:val="26"/>
          <w:szCs w:val="26"/>
        </w:rPr>
        <w:t>un glabājama ciktāl tas ir nepieciešams stresa testa vajadzībām.</w:t>
      </w:r>
      <w:r w:rsidR="009D0432">
        <w:rPr>
          <w:sz w:val="26"/>
          <w:szCs w:val="26"/>
        </w:rPr>
        <w:t>”</w:t>
      </w:r>
      <w:r w:rsidR="009D0432" w:rsidRPr="009D0432">
        <w:rPr>
          <w:sz w:val="26"/>
          <w:szCs w:val="26"/>
        </w:rPr>
        <w:t>.</w:t>
      </w:r>
    </w:p>
    <w:p w14:paraId="48E0F9F5" w14:textId="77777777" w:rsidR="00925D7B" w:rsidRDefault="00925D7B" w:rsidP="00557B2E">
      <w:pPr>
        <w:tabs>
          <w:tab w:val="left" w:pos="313"/>
        </w:tabs>
        <w:spacing w:after="0" w:line="240" w:lineRule="auto"/>
        <w:jc w:val="both"/>
        <w:rPr>
          <w:sz w:val="26"/>
          <w:szCs w:val="26"/>
        </w:rPr>
      </w:pPr>
      <w:r>
        <w:rPr>
          <w:sz w:val="26"/>
          <w:szCs w:val="26"/>
        </w:rPr>
        <w:tab/>
      </w:r>
      <w:r>
        <w:rPr>
          <w:sz w:val="26"/>
          <w:szCs w:val="26"/>
        </w:rPr>
        <w:tab/>
      </w:r>
    </w:p>
    <w:p w14:paraId="79E1F5E1" w14:textId="709CE8B7" w:rsidR="00484E41" w:rsidRDefault="00925D7B" w:rsidP="00557B2E">
      <w:pPr>
        <w:tabs>
          <w:tab w:val="left" w:pos="313"/>
        </w:tabs>
        <w:spacing w:after="0" w:line="240" w:lineRule="auto"/>
        <w:jc w:val="both"/>
        <w:rPr>
          <w:sz w:val="26"/>
          <w:szCs w:val="26"/>
        </w:rPr>
      </w:pPr>
      <w:r>
        <w:rPr>
          <w:sz w:val="26"/>
          <w:szCs w:val="26"/>
        </w:rPr>
        <w:tab/>
      </w:r>
      <w:r>
        <w:rPr>
          <w:sz w:val="26"/>
          <w:szCs w:val="26"/>
        </w:rPr>
        <w:tab/>
      </w:r>
      <w:r w:rsidR="00507A17">
        <w:rPr>
          <w:sz w:val="26"/>
          <w:szCs w:val="26"/>
        </w:rPr>
        <w:t>4</w:t>
      </w:r>
      <w:r>
        <w:rPr>
          <w:sz w:val="26"/>
          <w:szCs w:val="26"/>
        </w:rPr>
        <w:t xml:space="preserve">. Papildināt </w:t>
      </w:r>
      <w:r w:rsidR="009D0432">
        <w:rPr>
          <w:sz w:val="26"/>
          <w:szCs w:val="26"/>
        </w:rPr>
        <w:t>ar 6</w:t>
      </w:r>
      <w:r>
        <w:rPr>
          <w:sz w:val="26"/>
          <w:szCs w:val="26"/>
        </w:rPr>
        <w:t>.</w:t>
      </w:r>
      <w:r w:rsidR="009D0432" w:rsidRPr="009D0432">
        <w:rPr>
          <w:sz w:val="26"/>
          <w:szCs w:val="26"/>
          <w:vertAlign w:val="superscript"/>
        </w:rPr>
        <w:t>1</w:t>
      </w:r>
      <w:r w:rsidR="009D0432">
        <w:rPr>
          <w:sz w:val="26"/>
          <w:szCs w:val="26"/>
        </w:rPr>
        <w:t xml:space="preserve"> pantu šādā redakcijā:</w:t>
      </w:r>
    </w:p>
    <w:p w14:paraId="6CA2BCAF" w14:textId="77777777" w:rsidR="00484E41" w:rsidRDefault="00484E41" w:rsidP="00557B2E">
      <w:pPr>
        <w:tabs>
          <w:tab w:val="left" w:pos="313"/>
        </w:tabs>
        <w:spacing w:after="0" w:line="240" w:lineRule="auto"/>
        <w:jc w:val="both"/>
        <w:rPr>
          <w:sz w:val="26"/>
          <w:szCs w:val="26"/>
        </w:rPr>
      </w:pPr>
    </w:p>
    <w:p w14:paraId="3A2D80D5" w14:textId="77777777" w:rsidR="00447A6C" w:rsidRDefault="00484E41" w:rsidP="00557B2E">
      <w:pPr>
        <w:tabs>
          <w:tab w:val="left" w:pos="313"/>
        </w:tabs>
        <w:spacing w:after="0" w:line="240" w:lineRule="auto"/>
        <w:jc w:val="both"/>
        <w:rPr>
          <w:sz w:val="26"/>
          <w:szCs w:val="26"/>
        </w:rPr>
      </w:pPr>
      <w:r>
        <w:rPr>
          <w:sz w:val="26"/>
          <w:szCs w:val="26"/>
        </w:rPr>
        <w:tab/>
      </w:r>
      <w:r>
        <w:rPr>
          <w:sz w:val="26"/>
          <w:szCs w:val="26"/>
        </w:rPr>
        <w:tab/>
      </w:r>
      <w:r w:rsidR="00447A6C">
        <w:rPr>
          <w:sz w:val="26"/>
          <w:szCs w:val="26"/>
        </w:rPr>
        <w:t>“</w:t>
      </w:r>
      <w:r w:rsidR="009D0432" w:rsidRPr="00447A6C">
        <w:rPr>
          <w:b/>
          <w:bCs/>
          <w:sz w:val="26"/>
          <w:szCs w:val="26"/>
        </w:rPr>
        <w:t>6</w:t>
      </w:r>
      <w:r w:rsidR="00447A6C" w:rsidRPr="00447A6C">
        <w:rPr>
          <w:b/>
          <w:bCs/>
          <w:sz w:val="26"/>
          <w:szCs w:val="26"/>
        </w:rPr>
        <w:t>.</w:t>
      </w:r>
      <w:r w:rsidR="009D0432" w:rsidRPr="00447A6C">
        <w:rPr>
          <w:b/>
          <w:bCs/>
          <w:sz w:val="26"/>
          <w:szCs w:val="26"/>
          <w:vertAlign w:val="superscript"/>
        </w:rPr>
        <w:t>1</w:t>
      </w:r>
      <w:r w:rsidR="00447A6C" w:rsidRPr="00447A6C">
        <w:rPr>
          <w:b/>
          <w:bCs/>
          <w:sz w:val="26"/>
          <w:szCs w:val="26"/>
        </w:rPr>
        <w:t xml:space="preserve"> </w:t>
      </w:r>
      <w:r w:rsidR="009D0432" w:rsidRPr="00447A6C">
        <w:rPr>
          <w:b/>
          <w:bCs/>
          <w:sz w:val="26"/>
          <w:szCs w:val="26"/>
        </w:rPr>
        <w:t>pants. Komisijas īstenotā personas datu apstrāde</w:t>
      </w:r>
    </w:p>
    <w:p w14:paraId="7EB43D92" w14:textId="77777777" w:rsidR="00447A6C" w:rsidRDefault="009D0432" w:rsidP="00557B2E">
      <w:pPr>
        <w:spacing w:after="0" w:line="240" w:lineRule="auto"/>
        <w:ind w:firstLine="720"/>
        <w:jc w:val="both"/>
        <w:rPr>
          <w:sz w:val="26"/>
          <w:szCs w:val="26"/>
        </w:rPr>
      </w:pPr>
      <w:r w:rsidRPr="009D0432">
        <w:rPr>
          <w:sz w:val="26"/>
          <w:szCs w:val="26"/>
        </w:rPr>
        <w:t>(1) Komisija, nodrošinot šajā likumā paredzēto uzdevumu izpildi, veic personas datu apstrādi. Veicot personas datu apstrādi, Komisija ievēro samērīguma principu un veic personas datu apstrādi tikai tādā apmērā, kāds nepieciešams šajā likumā noteikto Komisijas uzdevumu izpildei.</w:t>
      </w:r>
    </w:p>
    <w:p w14:paraId="63AB1434" w14:textId="77777777" w:rsidR="00D4010C" w:rsidRDefault="009D0432" w:rsidP="00557B2E">
      <w:pPr>
        <w:spacing w:after="0" w:line="240" w:lineRule="auto"/>
        <w:ind w:firstLine="720"/>
        <w:jc w:val="both"/>
        <w:rPr>
          <w:sz w:val="26"/>
          <w:szCs w:val="26"/>
        </w:rPr>
      </w:pPr>
      <w:r w:rsidRPr="009D0432">
        <w:rPr>
          <w:sz w:val="26"/>
          <w:szCs w:val="26"/>
        </w:rPr>
        <w:t>(2) Pamatojoties uz Fizisko personu datu apstrādes likuma 27. panta pirmajā daļā noteikto, Komisija datu subjektam nesniedz Eiropas Parlamenta un Padomes 2016. gada 27. aprīļa regulas (ES) 2016/679 par fizisku personu aizsardzību attiecībā uz personas datu apstrādi un šādu datu brīvu apriti un ar ko atceļ direktīvu 95/46/EK 15. pantā norādīto informāciju, ko tā apstrādā, lai nodrošinātu šajā likumā paredzēto uzdevumu izpildi un nodrošinātu noguldījumu garantiju fonda un noregulējuma iestādes darbību.</w:t>
      </w:r>
      <w:r w:rsidR="00447A6C">
        <w:rPr>
          <w:sz w:val="26"/>
          <w:szCs w:val="26"/>
        </w:rPr>
        <w:t>”.</w:t>
      </w:r>
    </w:p>
    <w:p w14:paraId="35330CFF" w14:textId="77777777" w:rsidR="00263B1E" w:rsidRDefault="00263B1E" w:rsidP="00557B2E">
      <w:pPr>
        <w:spacing w:after="0" w:line="240" w:lineRule="auto"/>
        <w:ind w:firstLine="720"/>
        <w:jc w:val="both"/>
        <w:rPr>
          <w:sz w:val="26"/>
          <w:szCs w:val="26"/>
        </w:rPr>
      </w:pPr>
    </w:p>
    <w:p w14:paraId="02866104" w14:textId="4E35B602" w:rsidR="00D4010C" w:rsidRDefault="008657E6" w:rsidP="00557B2E">
      <w:pPr>
        <w:spacing w:after="0" w:line="240" w:lineRule="auto"/>
        <w:ind w:firstLine="720"/>
        <w:jc w:val="both"/>
        <w:rPr>
          <w:sz w:val="26"/>
          <w:szCs w:val="26"/>
        </w:rPr>
      </w:pPr>
      <w:r>
        <w:rPr>
          <w:sz w:val="26"/>
          <w:szCs w:val="26"/>
        </w:rPr>
        <w:t>5</w:t>
      </w:r>
      <w:r w:rsidR="00925D7B">
        <w:rPr>
          <w:sz w:val="26"/>
          <w:szCs w:val="26"/>
        </w:rPr>
        <w:t xml:space="preserve">. </w:t>
      </w:r>
      <w:r w:rsidR="00D4010C">
        <w:rPr>
          <w:sz w:val="26"/>
          <w:szCs w:val="26"/>
        </w:rPr>
        <w:t xml:space="preserve">Izslēgt 7. pantu. </w:t>
      </w:r>
    </w:p>
    <w:p w14:paraId="784489C7" w14:textId="77777777" w:rsidR="00925D7B" w:rsidRDefault="00925D7B" w:rsidP="00557B2E">
      <w:pPr>
        <w:spacing w:after="0" w:line="240" w:lineRule="auto"/>
        <w:jc w:val="both"/>
        <w:rPr>
          <w:sz w:val="26"/>
          <w:szCs w:val="26"/>
        </w:rPr>
      </w:pPr>
    </w:p>
    <w:p w14:paraId="78668164" w14:textId="67FBBD56" w:rsidR="00925D7B" w:rsidRPr="00E85F1C" w:rsidRDefault="00925D7B" w:rsidP="00557B2E">
      <w:pPr>
        <w:spacing w:after="0" w:line="240" w:lineRule="auto"/>
        <w:jc w:val="both"/>
        <w:rPr>
          <w:sz w:val="26"/>
          <w:szCs w:val="26"/>
        </w:rPr>
      </w:pPr>
      <w:r>
        <w:rPr>
          <w:sz w:val="26"/>
          <w:szCs w:val="26"/>
        </w:rPr>
        <w:tab/>
      </w:r>
      <w:r w:rsidR="00507A17">
        <w:rPr>
          <w:sz w:val="26"/>
          <w:szCs w:val="26"/>
        </w:rPr>
        <w:t>6</w:t>
      </w:r>
      <w:r w:rsidRPr="00E85F1C">
        <w:rPr>
          <w:sz w:val="26"/>
          <w:szCs w:val="26"/>
        </w:rPr>
        <w:t xml:space="preserve">. </w:t>
      </w:r>
      <w:r w:rsidR="00721F04">
        <w:rPr>
          <w:sz w:val="26"/>
          <w:szCs w:val="26"/>
        </w:rPr>
        <w:t>Izteikt 15. pantu šādā redakcijā:</w:t>
      </w:r>
    </w:p>
    <w:p w14:paraId="0F7ED20A" w14:textId="77777777" w:rsidR="00721F04" w:rsidRDefault="00721F04" w:rsidP="00557B2E">
      <w:pPr>
        <w:spacing w:after="0" w:line="240" w:lineRule="auto"/>
        <w:ind w:firstLine="720"/>
        <w:jc w:val="both"/>
        <w:rPr>
          <w:sz w:val="26"/>
          <w:szCs w:val="26"/>
        </w:rPr>
      </w:pPr>
    </w:p>
    <w:p w14:paraId="0F4C9517" w14:textId="77777777" w:rsidR="00107BA8" w:rsidRDefault="00721F04" w:rsidP="00557B2E">
      <w:pPr>
        <w:spacing w:after="0" w:line="240" w:lineRule="auto"/>
        <w:ind w:firstLine="720"/>
        <w:jc w:val="both"/>
        <w:rPr>
          <w:sz w:val="26"/>
          <w:szCs w:val="26"/>
        </w:rPr>
      </w:pPr>
      <w:r>
        <w:rPr>
          <w:sz w:val="26"/>
          <w:szCs w:val="26"/>
        </w:rPr>
        <w:t>“</w:t>
      </w:r>
      <w:r w:rsidRPr="00107BA8">
        <w:rPr>
          <w:b/>
          <w:bCs/>
          <w:sz w:val="26"/>
          <w:szCs w:val="26"/>
        </w:rPr>
        <w:t>15.pants. Atbildība par noguldījumu piesaistītājam uzlikto pienākumu neizpildi</w:t>
      </w:r>
    </w:p>
    <w:p w14:paraId="08004377" w14:textId="77777777" w:rsidR="00107BA8" w:rsidRDefault="00721F04" w:rsidP="00557B2E">
      <w:pPr>
        <w:spacing w:after="0" w:line="240" w:lineRule="auto"/>
        <w:ind w:firstLine="720"/>
        <w:jc w:val="both"/>
        <w:rPr>
          <w:sz w:val="26"/>
          <w:szCs w:val="26"/>
        </w:rPr>
      </w:pPr>
      <w:r w:rsidRPr="00721F04">
        <w:rPr>
          <w:sz w:val="26"/>
          <w:szCs w:val="26"/>
        </w:rPr>
        <w:t xml:space="preserve"> (1) Ja noguldījumu piesaistītājs pārkāpj šā likuma, tieši piemērojamo Eiropas Savienības institūciju izdoto normatīvo aktu vai Komisijas izdoto normatīvo noteikumu prasības, Komisija veic visus nepieciešamos pasākumus, lai nodrošinātu, ka noguldījumu piesaistītājs novērš konstatētos pārkāpumus.</w:t>
      </w:r>
    </w:p>
    <w:p w14:paraId="0D28D0E0" w14:textId="77777777" w:rsidR="00D65A7C" w:rsidRDefault="00721F04" w:rsidP="00557B2E">
      <w:pPr>
        <w:spacing w:after="0" w:line="240" w:lineRule="auto"/>
        <w:ind w:firstLine="720"/>
        <w:jc w:val="both"/>
        <w:rPr>
          <w:sz w:val="26"/>
          <w:szCs w:val="26"/>
        </w:rPr>
      </w:pPr>
      <w:r w:rsidRPr="00721F04">
        <w:rPr>
          <w:sz w:val="26"/>
          <w:szCs w:val="26"/>
        </w:rPr>
        <w:t xml:space="preserve">(2) Ja pasākumi, ko Komisija veic saskaņā ar šī panta pirmajā daļā noteikto, nenodrošina to, ka noguldījumu piesaistītājs novērš konstatētos pārkāpumus, Komisija ir tiesīga piemērot šajā pantā noteiktās sankcijas, tai skaitā izslēgt noguldījumu piesaistītāju no dalības noguldījumu garantiju fondā. Par noguldījumiem, kas noguldīti pirms noguldījumu piesaistītāja izslēgšanās no noguldījumu garantiju fonda, garantētā atlīdzība tiek aprēķināta un izmaksāta atbilstoši šajā likumā noteiktajam. </w:t>
      </w:r>
    </w:p>
    <w:p w14:paraId="71E1CE08" w14:textId="77777777" w:rsidR="00D65A7C" w:rsidRDefault="00721F04" w:rsidP="00557B2E">
      <w:pPr>
        <w:spacing w:after="0" w:line="240" w:lineRule="auto"/>
        <w:ind w:firstLine="720"/>
        <w:jc w:val="both"/>
        <w:rPr>
          <w:sz w:val="26"/>
          <w:szCs w:val="26"/>
        </w:rPr>
      </w:pPr>
      <w:r w:rsidRPr="00721F04">
        <w:rPr>
          <w:sz w:val="26"/>
          <w:szCs w:val="26"/>
        </w:rPr>
        <w:t>(3) Noguldījumu piesaistītājam ir pienākums aprēķināt un samaksāt soda naudu par summām, ko veido maksājumi, kas noteiktajā termiņā nav veikti noguldījumu garantiju fondā. Šī soda nauda iemaksājama kontā Latvijas Bankā.</w:t>
      </w:r>
    </w:p>
    <w:p w14:paraId="7EA9ECA2" w14:textId="77777777" w:rsidR="00D65A7C" w:rsidRDefault="00721F04" w:rsidP="00557B2E">
      <w:pPr>
        <w:spacing w:after="0" w:line="240" w:lineRule="auto"/>
        <w:ind w:firstLine="720"/>
        <w:jc w:val="both"/>
        <w:rPr>
          <w:sz w:val="26"/>
          <w:szCs w:val="26"/>
        </w:rPr>
      </w:pPr>
      <w:r w:rsidRPr="00721F04">
        <w:rPr>
          <w:sz w:val="26"/>
          <w:szCs w:val="26"/>
        </w:rPr>
        <w:t>(4) Soda nauda par summām, kas noteiktajā termiņā nav iemaksātas noguldījumu garantiju fondā, ir 0,05 procenti no termiņā nesamaksātās summas par katru nokavēto dienu. Soda nauda aprēķināma par laiku, par kuru noguldījumu piesaistītājs nav veicis aprēķināto katra ceturkšņa maksājumu.</w:t>
      </w:r>
    </w:p>
    <w:p w14:paraId="57E7FA10" w14:textId="77777777" w:rsidR="00D65A7C" w:rsidRDefault="00721F04" w:rsidP="00557B2E">
      <w:pPr>
        <w:spacing w:after="0" w:line="240" w:lineRule="auto"/>
        <w:ind w:firstLine="720"/>
        <w:jc w:val="both"/>
        <w:rPr>
          <w:sz w:val="26"/>
          <w:szCs w:val="26"/>
        </w:rPr>
      </w:pPr>
      <w:r w:rsidRPr="00721F04">
        <w:rPr>
          <w:sz w:val="26"/>
          <w:szCs w:val="26"/>
        </w:rPr>
        <w:t>(5) Ja dalībvalstī reģistrētas kredītiestādes filiāle Latvijā vai ārvalstī reģistrētas kredītiestādes filiāle Latvijā nokavējusi šajā pantā noteikto maksājuma termiņu vairāk par 30 dienām, Komisija nekavējoties par to informē attiecīgā noguldījumu piesaistītāja uzraudzības institūciju.</w:t>
      </w:r>
    </w:p>
    <w:p w14:paraId="79711159" w14:textId="6E3975A2" w:rsidR="00721F04" w:rsidRPr="003167E3" w:rsidRDefault="00721F04" w:rsidP="00557B2E">
      <w:pPr>
        <w:spacing w:after="0" w:line="240" w:lineRule="auto"/>
        <w:ind w:firstLine="720"/>
        <w:jc w:val="both"/>
        <w:rPr>
          <w:color w:val="000000" w:themeColor="text1"/>
          <w:sz w:val="26"/>
          <w:szCs w:val="26"/>
        </w:rPr>
      </w:pPr>
      <w:r w:rsidRPr="00721F04">
        <w:rPr>
          <w:sz w:val="26"/>
          <w:szCs w:val="26"/>
        </w:rPr>
        <w:t xml:space="preserve">(6) Par šā likuma, tieši piemērojamo Eiropas Savienības institūciju izdoto normatīvo aktu vai </w:t>
      </w:r>
      <w:r w:rsidRPr="003167E3">
        <w:rPr>
          <w:color w:val="000000" w:themeColor="text1"/>
          <w:sz w:val="26"/>
          <w:szCs w:val="26"/>
        </w:rPr>
        <w:t>Komisijas izdoto normatīvo noteikumu pārkāpumiem, Komisija ir tiesīga piemērot šād</w:t>
      </w:r>
      <w:r w:rsidR="003167E3" w:rsidRPr="003167E3">
        <w:rPr>
          <w:color w:val="000000" w:themeColor="text1"/>
          <w:sz w:val="26"/>
          <w:szCs w:val="26"/>
        </w:rPr>
        <w:t>us pasākumus un</w:t>
      </w:r>
      <w:r w:rsidRPr="003167E3">
        <w:rPr>
          <w:color w:val="000000" w:themeColor="text1"/>
          <w:sz w:val="26"/>
          <w:szCs w:val="26"/>
        </w:rPr>
        <w:t xml:space="preserve"> sankcijas:</w:t>
      </w:r>
    </w:p>
    <w:p w14:paraId="01B385DC" w14:textId="77777777" w:rsidR="00721F04" w:rsidRPr="003167E3" w:rsidRDefault="00721F04" w:rsidP="00557B2E">
      <w:pPr>
        <w:spacing w:after="0" w:line="240" w:lineRule="auto"/>
        <w:ind w:firstLine="720"/>
        <w:jc w:val="both"/>
        <w:rPr>
          <w:color w:val="000000" w:themeColor="text1"/>
          <w:sz w:val="26"/>
          <w:szCs w:val="26"/>
        </w:rPr>
      </w:pPr>
      <w:r w:rsidRPr="003167E3">
        <w:rPr>
          <w:color w:val="000000" w:themeColor="text1"/>
          <w:sz w:val="26"/>
          <w:szCs w:val="26"/>
        </w:rPr>
        <w:t>1) izteikt publisku paziņojumu, norādot par pārkāpumu atbildīgo noguldījumu piesaistītāju un pārkāpuma būtību;</w:t>
      </w:r>
    </w:p>
    <w:p w14:paraId="5F230C95" w14:textId="77777777" w:rsidR="00721F04" w:rsidRPr="003167E3" w:rsidRDefault="00721F04" w:rsidP="00557B2E">
      <w:pPr>
        <w:spacing w:after="0" w:line="240" w:lineRule="auto"/>
        <w:ind w:firstLine="720"/>
        <w:jc w:val="both"/>
        <w:rPr>
          <w:color w:val="000000" w:themeColor="text1"/>
          <w:sz w:val="26"/>
          <w:szCs w:val="26"/>
        </w:rPr>
      </w:pPr>
      <w:r w:rsidRPr="003167E3">
        <w:rPr>
          <w:color w:val="000000" w:themeColor="text1"/>
          <w:sz w:val="26"/>
          <w:szCs w:val="26"/>
        </w:rPr>
        <w:t>2) izteikt brīdinājumu;</w:t>
      </w:r>
    </w:p>
    <w:p w14:paraId="5EA68ACB" w14:textId="77777777" w:rsidR="00721F04" w:rsidRPr="003167E3" w:rsidRDefault="00721F04" w:rsidP="00557B2E">
      <w:pPr>
        <w:spacing w:after="0" w:line="240" w:lineRule="auto"/>
        <w:ind w:firstLine="720"/>
        <w:jc w:val="both"/>
        <w:rPr>
          <w:color w:val="000000" w:themeColor="text1"/>
          <w:sz w:val="26"/>
          <w:szCs w:val="26"/>
        </w:rPr>
      </w:pPr>
      <w:r w:rsidRPr="003167E3">
        <w:rPr>
          <w:color w:val="000000" w:themeColor="text1"/>
          <w:sz w:val="26"/>
          <w:szCs w:val="26"/>
        </w:rPr>
        <w:t>3) pieprasīt, lai noguldījumu piesaistītājs vai par pārkāpumu atbildīgā persona nekavējoties izbeidz attiecīgo rīcību;</w:t>
      </w:r>
    </w:p>
    <w:p w14:paraId="36277659" w14:textId="77777777" w:rsidR="00D65A7C" w:rsidRPr="003167E3" w:rsidRDefault="00721F04" w:rsidP="00557B2E">
      <w:pPr>
        <w:spacing w:after="0" w:line="240" w:lineRule="auto"/>
        <w:ind w:firstLine="720"/>
        <w:jc w:val="both"/>
        <w:rPr>
          <w:color w:val="000000" w:themeColor="text1"/>
          <w:sz w:val="26"/>
          <w:szCs w:val="26"/>
        </w:rPr>
      </w:pPr>
      <w:r w:rsidRPr="003167E3">
        <w:rPr>
          <w:color w:val="000000" w:themeColor="text1"/>
          <w:sz w:val="26"/>
          <w:szCs w:val="26"/>
        </w:rPr>
        <w:t>4) izslēgt noguldījumu piesaistītāju no dalības noguldījumu garantiju fondā;</w:t>
      </w:r>
    </w:p>
    <w:p w14:paraId="22F3FDB0" w14:textId="77777777" w:rsidR="00D65A7C" w:rsidRPr="003167E3" w:rsidRDefault="00721F04" w:rsidP="00557B2E">
      <w:pPr>
        <w:spacing w:after="0" w:line="240" w:lineRule="auto"/>
        <w:ind w:firstLine="720"/>
        <w:jc w:val="both"/>
        <w:rPr>
          <w:color w:val="000000" w:themeColor="text1"/>
          <w:sz w:val="26"/>
          <w:szCs w:val="26"/>
        </w:rPr>
      </w:pPr>
      <w:r w:rsidRPr="003167E3">
        <w:rPr>
          <w:color w:val="000000" w:themeColor="text1"/>
          <w:sz w:val="26"/>
          <w:szCs w:val="26"/>
        </w:rPr>
        <w:t>5) uzlikt šajā pantā noteiktās soda naudas</w:t>
      </w:r>
      <w:r w:rsidR="00D65A7C" w:rsidRPr="003167E3">
        <w:rPr>
          <w:color w:val="000000" w:themeColor="text1"/>
          <w:sz w:val="26"/>
          <w:szCs w:val="26"/>
        </w:rPr>
        <w:t>.</w:t>
      </w:r>
    </w:p>
    <w:p w14:paraId="05581C1D" w14:textId="77777777" w:rsidR="00D65A7C" w:rsidRPr="003167E3" w:rsidRDefault="00721F04" w:rsidP="00557B2E">
      <w:pPr>
        <w:spacing w:after="0" w:line="240" w:lineRule="auto"/>
        <w:ind w:firstLine="720"/>
        <w:jc w:val="both"/>
        <w:rPr>
          <w:color w:val="000000" w:themeColor="text1"/>
          <w:sz w:val="26"/>
          <w:szCs w:val="26"/>
        </w:rPr>
      </w:pPr>
      <w:r w:rsidRPr="003167E3">
        <w:rPr>
          <w:color w:val="000000" w:themeColor="text1"/>
          <w:sz w:val="26"/>
          <w:szCs w:val="26"/>
        </w:rPr>
        <w:t xml:space="preserve">(7) Soda nauda par šajā likumā noteikto pienākumu neizpildi attiecībā uz  noguldījumu piesaistītāja pienākumu sagatavot, apstrādāt un iesniegt Komisijai informāciju, kas nepieciešama garantēto atlīdzību izmaksu nodrošināšanai un ikdienas informācijas administrēšanai ir no 1000 līdz 10 000 </w:t>
      </w:r>
      <w:r w:rsidRPr="003167E3">
        <w:rPr>
          <w:i/>
          <w:iCs/>
          <w:color w:val="000000" w:themeColor="text1"/>
          <w:sz w:val="26"/>
          <w:szCs w:val="26"/>
        </w:rPr>
        <w:t>euro</w:t>
      </w:r>
      <w:r w:rsidRPr="003167E3">
        <w:rPr>
          <w:color w:val="000000" w:themeColor="text1"/>
          <w:sz w:val="26"/>
          <w:szCs w:val="26"/>
        </w:rPr>
        <w:t>.</w:t>
      </w:r>
    </w:p>
    <w:p w14:paraId="203B297A" w14:textId="6353F77A" w:rsidR="00E85F1C" w:rsidRDefault="00721F04" w:rsidP="00557B2E">
      <w:pPr>
        <w:spacing w:after="0" w:line="240" w:lineRule="auto"/>
        <w:ind w:firstLine="720"/>
        <w:jc w:val="both"/>
        <w:rPr>
          <w:sz w:val="26"/>
          <w:szCs w:val="26"/>
        </w:rPr>
      </w:pPr>
      <w:r w:rsidRPr="003167E3">
        <w:rPr>
          <w:color w:val="000000" w:themeColor="text1"/>
          <w:sz w:val="26"/>
          <w:szCs w:val="26"/>
        </w:rPr>
        <w:t>(8) Administratīvā akta</w:t>
      </w:r>
      <w:r w:rsidR="008B62AD" w:rsidRPr="003167E3">
        <w:rPr>
          <w:color w:val="000000" w:themeColor="text1"/>
          <w:sz w:val="26"/>
          <w:szCs w:val="26"/>
        </w:rPr>
        <w:t xml:space="preserve"> pārsūdzēšana</w:t>
      </w:r>
      <w:r w:rsidRPr="003167E3">
        <w:rPr>
          <w:color w:val="000000" w:themeColor="text1"/>
          <w:sz w:val="26"/>
          <w:szCs w:val="26"/>
        </w:rPr>
        <w:t xml:space="preserve"> par šajā pantā minēto </w:t>
      </w:r>
      <w:r w:rsidR="003167E3" w:rsidRPr="003167E3">
        <w:rPr>
          <w:color w:val="000000" w:themeColor="text1"/>
          <w:sz w:val="26"/>
          <w:szCs w:val="26"/>
        </w:rPr>
        <w:t xml:space="preserve">pasākumu un </w:t>
      </w:r>
      <w:r w:rsidRPr="003167E3">
        <w:rPr>
          <w:color w:val="000000" w:themeColor="text1"/>
          <w:sz w:val="26"/>
          <w:szCs w:val="26"/>
        </w:rPr>
        <w:t>sankciju piemērošanu</w:t>
      </w:r>
      <w:r w:rsidRPr="00721F04">
        <w:rPr>
          <w:sz w:val="26"/>
          <w:szCs w:val="26"/>
        </w:rPr>
        <w:t>, izņemot soda naudas uzlikšanu, neaptur šā akta izpildi.</w:t>
      </w:r>
      <w:r w:rsidR="000C5F68">
        <w:rPr>
          <w:sz w:val="26"/>
          <w:szCs w:val="26"/>
        </w:rPr>
        <w:t>”.</w:t>
      </w:r>
    </w:p>
    <w:p w14:paraId="18B2F5DB" w14:textId="77777777" w:rsidR="00D65A7C" w:rsidRPr="00E85F1C" w:rsidRDefault="00D65A7C" w:rsidP="00557B2E">
      <w:pPr>
        <w:spacing w:after="0" w:line="240" w:lineRule="auto"/>
        <w:ind w:firstLine="720"/>
        <w:jc w:val="both"/>
        <w:rPr>
          <w:sz w:val="26"/>
          <w:szCs w:val="26"/>
        </w:rPr>
      </w:pPr>
    </w:p>
    <w:p w14:paraId="248E7F71" w14:textId="6EACB4EE" w:rsidR="00960C57" w:rsidRDefault="009A7981" w:rsidP="00557B2E">
      <w:pPr>
        <w:spacing w:after="0" w:line="240" w:lineRule="auto"/>
        <w:ind w:firstLine="720"/>
        <w:jc w:val="both"/>
        <w:rPr>
          <w:sz w:val="26"/>
          <w:szCs w:val="26"/>
        </w:rPr>
      </w:pPr>
      <w:r>
        <w:rPr>
          <w:sz w:val="26"/>
          <w:szCs w:val="26"/>
        </w:rPr>
        <w:t>7</w:t>
      </w:r>
      <w:r w:rsidR="00E85F1C" w:rsidRPr="00E85F1C">
        <w:rPr>
          <w:sz w:val="26"/>
          <w:szCs w:val="26"/>
        </w:rPr>
        <w:t xml:space="preserve">. </w:t>
      </w:r>
      <w:r w:rsidR="00960C57">
        <w:rPr>
          <w:sz w:val="26"/>
          <w:szCs w:val="26"/>
        </w:rPr>
        <w:t xml:space="preserve">Izteikt 16. pantu </w:t>
      </w:r>
      <w:r w:rsidR="00E85F1C" w:rsidRPr="00E85F1C">
        <w:rPr>
          <w:sz w:val="26"/>
          <w:szCs w:val="26"/>
        </w:rPr>
        <w:t>šādā redakcijā:</w:t>
      </w:r>
    </w:p>
    <w:p w14:paraId="09BBE453" w14:textId="77777777" w:rsidR="00960C57" w:rsidRDefault="00960C57" w:rsidP="00557B2E">
      <w:pPr>
        <w:spacing w:after="0" w:line="240" w:lineRule="auto"/>
        <w:ind w:firstLine="720"/>
        <w:jc w:val="both"/>
        <w:rPr>
          <w:sz w:val="26"/>
          <w:szCs w:val="26"/>
        </w:rPr>
      </w:pPr>
    </w:p>
    <w:p w14:paraId="08330891" w14:textId="77777777" w:rsidR="0028440B" w:rsidRPr="00960C57" w:rsidRDefault="00960C57" w:rsidP="00557B2E">
      <w:pPr>
        <w:spacing w:after="0" w:line="240" w:lineRule="auto"/>
        <w:ind w:firstLine="720"/>
        <w:jc w:val="both"/>
        <w:rPr>
          <w:b/>
          <w:bCs/>
          <w:sz w:val="26"/>
          <w:szCs w:val="26"/>
        </w:rPr>
      </w:pPr>
      <w:r>
        <w:rPr>
          <w:sz w:val="26"/>
          <w:szCs w:val="26"/>
        </w:rPr>
        <w:t>“</w:t>
      </w:r>
      <w:r w:rsidRPr="00960C57">
        <w:rPr>
          <w:b/>
          <w:bCs/>
          <w:sz w:val="26"/>
          <w:szCs w:val="26"/>
        </w:rPr>
        <w:t>16.pants. Noguldījumu garantiju fonda pārvaldīšana</w:t>
      </w:r>
    </w:p>
    <w:p w14:paraId="28DC4FEF" w14:textId="77777777" w:rsidR="0028440B" w:rsidRPr="00960C57" w:rsidRDefault="00960C57" w:rsidP="00557B2E">
      <w:pPr>
        <w:pStyle w:val="tv213"/>
        <w:shd w:val="clear" w:color="auto" w:fill="FFFFFF"/>
        <w:spacing w:before="0" w:beforeAutospacing="0" w:after="0" w:afterAutospacing="0"/>
        <w:ind w:firstLine="720"/>
        <w:jc w:val="both"/>
        <w:rPr>
          <w:rFonts w:eastAsiaTheme="minorHAnsi"/>
          <w:sz w:val="26"/>
          <w:szCs w:val="26"/>
          <w:lang w:eastAsia="en-US"/>
        </w:rPr>
      </w:pPr>
      <w:r w:rsidRPr="00960C57">
        <w:rPr>
          <w:rFonts w:eastAsiaTheme="minorHAnsi"/>
          <w:sz w:val="26"/>
          <w:szCs w:val="26"/>
          <w:lang w:eastAsia="en-US"/>
        </w:rPr>
        <w:t>(1) Noguldījumu garantiju fondu pārvalda saskaņā ar Komisijas normatīvajiem noteikumiem. Noguldījumu garantiju fonda līdzekļus iegulda tā, lai risks būtu neliels, bet ieguldījumi — pietiekami diversificēti. Noguldījumu garantiju fonda līdzekļus glabā kontā Latvijas Bankā.</w:t>
      </w:r>
    </w:p>
    <w:p w14:paraId="26F35293" w14:textId="77777777" w:rsidR="0028440B" w:rsidRPr="00960C57" w:rsidRDefault="00960C57" w:rsidP="00557B2E">
      <w:pPr>
        <w:pStyle w:val="tv213"/>
        <w:shd w:val="clear" w:color="auto" w:fill="FFFFFF"/>
        <w:spacing w:before="0" w:beforeAutospacing="0" w:after="0" w:afterAutospacing="0"/>
        <w:ind w:firstLine="720"/>
        <w:jc w:val="both"/>
        <w:rPr>
          <w:rFonts w:eastAsiaTheme="minorHAnsi"/>
          <w:sz w:val="26"/>
          <w:szCs w:val="26"/>
          <w:lang w:eastAsia="en-US"/>
        </w:rPr>
      </w:pPr>
      <w:r w:rsidRPr="00960C57">
        <w:rPr>
          <w:rFonts w:eastAsiaTheme="minorHAnsi"/>
          <w:sz w:val="26"/>
          <w:szCs w:val="26"/>
          <w:lang w:eastAsia="en-US"/>
        </w:rPr>
        <w:t>(2) Saskaņā ar Komisijas lēmumu noguldījumu garantiju fonda pārvaldīšanu, noslēdzot attiecīgu līgumu, var nodot citam pārvaldītājam.</w:t>
      </w:r>
    </w:p>
    <w:p w14:paraId="5FB3A791" w14:textId="77777777" w:rsidR="00960C57" w:rsidRDefault="00960C57" w:rsidP="00557B2E">
      <w:pPr>
        <w:pStyle w:val="tv213"/>
        <w:shd w:val="clear" w:color="auto" w:fill="FFFFFF"/>
        <w:spacing w:before="0" w:beforeAutospacing="0" w:after="0" w:afterAutospacing="0"/>
        <w:ind w:firstLine="720"/>
        <w:jc w:val="both"/>
        <w:rPr>
          <w:rFonts w:eastAsiaTheme="minorHAnsi"/>
          <w:sz w:val="26"/>
          <w:szCs w:val="26"/>
          <w:lang w:eastAsia="en-US"/>
        </w:rPr>
      </w:pPr>
      <w:r w:rsidRPr="00960C57">
        <w:rPr>
          <w:rFonts w:eastAsiaTheme="minorHAnsi"/>
          <w:sz w:val="26"/>
          <w:szCs w:val="26"/>
          <w:lang w:eastAsia="en-US"/>
        </w:rPr>
        <w:t>(3) Ienākumus (augļus), kas iegūti, pārvaldot noguldījumu garantiju fondu, ieskaita šajā fondā.</w:t>
      </w:r>
      <w:r w:rsidR="00115F68">
        <w:rPr>
          <w:rFonts w:eastAsiaTheme="minorHAnsi"/>
          <w:sz w:val="26"/>
          <w:szCs w:val="26"/>
          <w:lang w:eastAsia="en-US"/>
        </w:rPr>
        <w:t>”.</w:t>
      </w:r>
    </w:p>
    <w:p w14:paraId="0A306189" w14:textId="77777777" w:rsidR="0028440B" w:rsidRDefault="0028440B" w:rsidP="00557B2E">
      <w:pPr>
        <w:pStyle w:val="tv213"/>
        <w:shd w:val="clear" w:color="auto" w:fill="FFFFFF"/>
        <w:spacing w:before="0" w:beforeAutospacing="0" w:after="0" w:afterAutospacing="0"/>
        <w:ind w:firstLine="720"/>
        <w:jc w:val="both"/>
        <w:rPr>
          <w:rFonts w:eastAsiaTheme="minorHAnsi"/>
          <w:sz w:val="26"/>
          <w:szCs w:val="26"/>
          <w:lang w:eastAsia="en-US"/>
        </w:rPr>
      </w:pPr>
    </w:p>
    <w:p w14:paraId="7D1A81E8" w14:textId="00677DFA" w:rsidR="00C83838" w:rsidRDefault="009A7981" w:rsidP="00557B2E">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8</w:t>
      </w:r>
      <w:r w:rsidR="00B03394">
        <w:rPr>
          <w:rFonts w:eastAsiaTheme="minorHAnsi"/>
          <w:sz w:val="26"/>
          <w:szCs w:val="26"/>
          <w:lang w:eastAsia="en-US"/>
        </w:rPr>
        <w:t>.</w:t>
      </w:r>
      <w:r w:rsidR="00C83838">
        <w:rPr>
          <w:rFonts w:eastAsiaTheme="minorHAnsi"/>
          <w:sz w:val="26"/>
          <w:szCs w:val="26"/>
          <w:lang w:eastAsia="en-US"/>
        </w:rPr>
        <w:t xml:space="preserve"> </w:t>
      </w:r>
      <w:r w:rsidR="00C83838" w:rsidRPr="00C83838">
        <w:rPr>
          <w:rFonts w:eastAsiaTheme="minorHAnsi"/>
          <w:sz w:val="26"/>
          <w:szCs w:val="26"/>
          <w:lang w:eastAsia="en-US"/>
        </w:rPr>
        <w:t xml:space="preserve">Papildināt 17.pantu ar </w:t>
      </w:r>
      <w:r w:rsidR="00C83838">
        <w:rPr>
          <w:rFonts w:eastAsiaTheme="minorHAnsi"/>
          <w:sz w:val="26"/>
          <w:szCs w:val="26"/>
          <w:lang w:eastAsia="en-US"/>
        </w:rPr>
        <w:t>1.</w:t>
      </w:r>
      <w:r w:rsidR="00C83838" w:rsidRPr="00C83838">
        <w:rPr>
          <w:rFonts w:eastAsiaTheme="minorHAnsi"/>
          <w:sz w:val="26"/>
          <w:szCs w:val="26"/>
          <w:vertAlign w:val="superscript"/>
          <w:lang w:eastAsia="en-US"/>
        </w:rPr>
        <w:t>1</w:t>
      </w:r>
      <w:r w:rsidR="00C83838">
        <w:rPr>
          <w:rFonts w:eastAsiaTheme="minorHAnsi"/>
          <w:sz w:val="26"/>
          <w:szCs w:val="26"/>
          <w:lang w:eastAsia="en-US"/>
        </w:rPr>
        <w:t xml:space="preserve"> </w:t>
      </w:r>
      <w:r w:rsidR="00C83838" w:rsidRPr="00C83838">
        <w:rPr>
          <w:rFonts w:eastAsiaTheme="minorHAnsi"/>
          <w:sz w:val="26"/>
          <w:szCs w:val="26"/>
          <w:lang w:eastAsia="en-US"/>
        </w:rPr>
        <w:t>daļu šādā redakcijā:</w:t>
      </w:r>
    </w:p>
    <w:p w14:paraId="7CF6A9DF" w14:textId="77777777" w:rsidR="0028440B" w:rsidRPr="00C83838" w:rsidRDefault="0028440B" w:rsidP="00557B2E">
      <w:pPr>
        <w:pStyle w:val="tv213"/>
        <w:shd w:val="clear" w:color="auto" w:fill="FFFFFF"/>
        <w:spacing w:before="0" w:beforeAutospacing="0" w:after="0" w:afterAutospacing="0"/>
        <w:ind w:firstLine="720"/>
        <w:jc w:val="both"/>
        <w:rPr>
          <w:rFonts w:eastAsiaTheme="minorHAnsi"/>
          <w:sz w:val="26"/>
          <w:szCs w:val="26"/>
          <w:lang w:eastAsia="en-US"/>
        </w:rPr>
      </w:pPr>
    </w:p>
    <w:p w14:paraId="1DDFD550" w14:textId="77777777" w:rsidR="00B03394" w:rsidRDefault="00C83838" w:rsidP="00557B2E">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w:t>
      </w:r>
      <w:r w:rsidRPr="00C83838">
        <w:rPr>
          <w:rFonts w:eastAsiaTheme="minorHAnsi"/>
          <w:sz w:val="26"/>
          <w:szCs w:val="26"/>
          <w:lang w:eastAsia="en-US"/>
        </w:rPr>
        <w:t>(1</w:t>
      </w:r>
      <w:r w:rsidRPr="00C83838">
        <w:rPr>
          <w:rFonts w:eastAsiaTheme="minorHAnsi"/>
          <w:sz w:val="26"/>
          <w:szCs w:val="26"/>
          <w:vertAlign w:val="superscript"/>
          <w:lang w:eastAsia="en-US"/>
        </w:rPr>
        <w:t>1</w:t>
      </w:r>
      <w:r w:rsidRPr="00C83838">
        <w:rPr>
          <w:rFonts w:eastAsiaTheme="minorHAnsi"/>
          <w:sz w:val="26"/>
          <w:szCs w:val="26"/>
          <w:lang w:eastAsia="en-US"/>
        </w:rPr>
        <w:t xml:space="preserve">) Noguldījumu piesaistītājam ir pienākums </w:t>
      </w:r>
      <w:r w:rsidR="00BE2676">
        <w:rPr>
          <w:rFonts w:eastAsiaTheme="minorHAnsi"/>
          <w:sz w:val="26"/>
          <w:szCs w:val="26"/>
          <w:lang w:eastAsia="en-US"/>
        </w:rPr>
        <w:t xml:space="preserve">pēc </w:t>
      </w:r>
      <w:r w:rsidRPr="00C83838">
        <w:rPr>
          <w:rFonts w:eastAsiaTheme="minorHAnsi"/>
          <w:sz w:val="26"/>
          <w:szCs w:val="26"/>
          <w:lang w:eastAsia="en-US"/>
        </w:rPr>
        <w:t>Komisija</w:t>
      </w:r>
      <w:r w:rsidR="00BE2676">
        <w:rPr>
          <w:rFonts w:eastAsiaTheme="minorHAnsi"/>
          <w:sz w:val="26"/>
          <w:szCs w:val="26"/>
          <w:lang w:eastAsia="en-US"/>
        </w:rPr>
        <w:t>s</w:t>
      </w:r>
      <w:r w:rsidRPr="00C83838">
        <w:rPr>
          <w:rFonts w:eastAsiaTheme="minorHAnsi"/>
          <w:sz w:val="26"/>
          <w:szCs w:val="26"/>
          <w:lang w:eastAsia="en-US"/>
        </w:rPr>
        <w:t xml:space="preserve"> pieprasījuma iesniegt šā panta pirmajā daļā minēto informāciju vienas darba dienas laikā.</w:t>
      </w:r>
      <w:r>
        <w:rPr>
          <w:rFonts w:eastAsiaTheme="minorHAnsi"/>
          <w:sz w:val="26"/>
          <w:szCs w:val="26"/>
          <w:lang w:eastAsia="en-US"/>
        </w:rPr>
        <w:t>”.</w:t>
      </w:r>
    </w:p>
    <w:p w14:paraId="2F0716EF" w14:textId="77777777" w:rsidR="0028440B" w:rsidRDefault="0028440B" w:rsidP="00557B2E">
      <w:pPr>
        <w:pStyle w:val="tv213"/>
        <w:shd w:val="clear" w:color="auto" w:fill="FFFFFF"/>
        <w:spacing w:before="0" w:beforeAutospacing="0" w:after="0" w:afterAutospacing="0"/>
        <w:ind w:firstLine="720"/>
        <w:jc w:val="both"/>
        <w:rPr>
          <w:rFonts w:eastAsiaTheme="minorHAnsi"/>
          <w:sz w:val="26"/>
          <w:szCs w:val="26"/>
          <w:lang w:eastAsia="en-US"/>
        </w:rPr>
      </w:pPr>
    </w:p>
    <w:p w14:paraId="3E07A37E" w14:textId="14AD0DBD" w:rsidR="003E7A5B" w:rsidRDefault="009A7981" w:rsidP="00557B2E">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9</w:t>
      </w:r>
      <w:r w:rsidR="0086156C">
        <w:rPr>
          <w:rFonts w:eastAsiaTheme="minorHAnsi"/>
          <w:sz w:val="26"/>
          <w:szCs w:val="26"/>
          <w:lang w:eastAsia="en-US"/>
        </w:rPr>
        <w:t xml:space="preserve">. </w:t>
      </w:r>
      <w:r w:rsidR="003E7A5B" w:rsidRPr="003E7A5B">
        <w:rPr>
          <w:rFonts w:eastAsiaTheme="minorHAnsi"/>
          <w:sz w:val="26"/>
          <w:szCs w:val="26"/>
          <w:lang w:eastAsia="en-US"/>
        </w:rPr>
        <w:t>Izteikt III nodaļas nosaukumu šādā redakcijā:</w:t>
      </w:r>
    </w:p>
    <w:p w14:paraId="4617FC5A" w14:textId="77777777" w:rsidR="0028440B" w:rsidRPr="003E7A5B" w:rsidRDefault="0028440B" w:rsidP="00557B2E">
      <w:pPr>
        <w:pStyle w:val="tv213"/>
        <w:shd w:val="clear" w:color="auto" w:fill="FFFFFF"/>
        <w:spacing w:before="0" w:beforeAutospacing="0" w:after="0" w:afterAutospacing="0"/>
        <w:ind w:firstLine="720"/>
        <w:jc w:val="both"/>
        <w:rPr>
          <w:rFonts w:eastAsiaTheme="minorHAnsi"/>
          <w:sz w:val="26"/>
          <w:szCs w:val="26"/>
          <w:lang w:eastAsia="en-US"/>
        </w:rPr>
      </w:pPr>
    </w:p>
    <w:p w14:paraId="2138F1E6" w14:textId="77777777" w:rsidR="0086156C" w:rsidRDefault="003E7A5B" w:rsidP="00557B2E">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w:t>
      </w:r>
      <w:r w:rsidRPr="003E7A5B">
        <w:rPr>
          <w:rFonts w:eastAsiaTheme="minorHAnsi"/>
          <w:b/>
          <w:bCs/>
          <w:sz w:val="26"/>
          <w:szCs w:val="26"/>
          <w:lang w:eastAsia="en-US"/>
        </w:rPr>
        <w:t>Noguldījumu garantiju fonda līdzekļu izmantošana</w:t>
      </w:r>
      <w:r>
        <w:rPr>
          <w:rFonts w:eastAsiaTheme="minorHAnsi"/>
          <w:sz w:val="26"/>
          <w:szCs w:val="26"/>
          <w:lang w:eastAsia="en-US"/>
        </w:rPr>
        <w:t>”.</w:t>
      </w:r>
    </w:p>
    <w:p w14:paraId="20A4B8EF" w14:textId="77777777" w:rsidR="0028440B" w:rsidRDefault="0028440B" w:rsidP="00557B2E">
      <w:pPr>
        <w:pStyle w:val="tv213"/>
        <w:shd w:val="clear" w:color="auto" w:fill="FFFFFF"/>
        <w:spacing w:before="0" w:beforeAutospacing="0" w:after="0" w:afterAutospacing="0"/>
        <w:ind w:firstLine="720"/>
        <w:jc w:val="both"/>
        <w:rPr>
          <w:rFonts w:eastAsiaTheme="minorHAnsi"/>
          <w:sz w:val="26"/>
          <w:szCs w:val="26"/>
          <w:lang w:eastAsia="en-US"/>
        </w:rPr>
      </w:pPr>
    </w:p>
    <w:p w14:paraId="6A575B06" w14:textId="42526802" w:rsidR="0028440B" w:rsidRDefault="00332A6B" w:rsidP="00557B2E">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1</w:t>
      </w:r>
      <w:r w:rsidR="009A7981">
        <w:rPr>
          <w:rFonts w:eastAsiaTheme="minorHAnsi"/>
          <w:sz w:val="26"/>
          <w:szCs w:val="26"/>
          <w:lang w:eastAsia="en-US"/>
        </w:rPr>
        <w:t>0</w:t>
      </w:r>
      <w:r>
        <w:rPr>
          <w:rFonts w:eastAsiaTheme="minorHAnsi"/>
          <w:sz w:val="26"/>
          <w:szCs w:val="26"/>
          <w:lang w:eastAsia="en-US"/>
        </w:rPr>
        <w:t xml:space="preserve">. </w:t>
      </w:r>
      <w:r w:rsidR="0028440B" w:rsidRPr="0028440B">
        <w:rPr>
          <w:rFonts w:eastAsiaTheme="minorHAnsi"/>
          <w:sz w:val="26"/>
          <w:szCs w:val="26"/>
          <w:lang w:eastAsia="en-US"/>
        </w:rPr>
        <w:t>Izteikt 19.</w:t>
      </w:r>
      <w:r w:rsidR="0028440B">
        <w:rPr>
          <w:rFonts w:eastAsiaTheme="minorHAnsi"/>
          <w:sz w:val="26"/>
          <w:szCs w:val="26"/>
          <w:lang w:eastAsia="en-US"/>
        </w:rPr>
        <w:t xml:space="preserve"> </w:t>
      </w:r>
      <w:r w:rsidR="0028440B" w:rsidRPr="0028440B">
        <w:rPr>
          <w:rFonts w:eastAsiaTheme="minorHAnsi"/>
          <w:sz w:val="26"/>
          <w:szCs w:val="26"/>
          <w:lang w:eastAsia="en-US"/>
        </w:rPr>
        <w:t>pantu šādā redakcijā:</w:t>
      </w:r>
    </w:p>
    <w:p w14:paraId="344BE9D8" w14:textId="77777777" w:rsidR="0028440B" w:rsidRPr="0028440B" w:rsidRDefault="0028440B" w:rsidP="00557B2E">
      <w:pPr>
        <w:pStyle w:val="tv213"/>
        <w:shd w:val="clear" w:color="auto" w:fill="FFFFFF"/>
        <w:spacing w:before="0" w:beforeAutospacing="0" w:after="0" w:afterAutospacing="0"/>
        <w:ind w:firstLine="720"/>
        <w:jc w:val="both"/>
        <w:rPr>
          <w:rFonts w:eastAsiaTheme="minorHAnsi"/>
          <w:sz w:val="26"/>
          <w:szCs w:val="26"/>
          <w:lang w:eastAsia="en-US"/>
        </w:rPr>
      </w:pPr>
    </w:p>
    <w:p w14:paraId="5F56D630" w14:textId="77777777" w:rsidR="0028440B" w:rsidRPr="00754AD2" w:rsidRDefault="0028440B" w:rsidP="00557B2E">
      <w:pPr>
        <w:pStyle w:val="tv213"/>
        <w:shd w:val="clear" w:color="auto" w:fill="FFFFFF"/>
        <w:spacing w:before="0" w:beforeAutospacing="0" w:after="0" w:afterAutospacing="0"/>
        <w:ind w:firstLine="720"/>
        <w:jc w:val="both"/>
        <w:rPr>
          <w:rFonts w:eastAsiaTheme="minorHAnsi"/>
          <w:b/>
          <w:bCs/>
          <w:sz w:val="26"/>
          <w:szCs w:val="26"/>
          <w:lang w:eastAsia="en-US"/>
        </w:rPr>
      </w:pPr>
      <w:r>
        <w:rPr>
          <w:rFonts w:eastAsiaTheme="minorHAnsi"/>
          <w:sz w:val="26"/>
          <w:szCs w:val="26"/>
          <w:lang w:eastAsia="en-US"/>
        </w:rPr>
        <w:t>“</w:t>
      </w:r>
      <w:r w:rsidRPr="0028440B">
        <w:rPr>
          <w:rFonts w:eastAsiaTheme="minorHAnsi"/>
          <w:b/>
          <w:bCs/>
          <w:sz w:val="26"/>
          <w:szCs w:val="26"/>
          <w:lang w:eastAsia="en-US"/>
        </w:rPr>
        <w:t>19.pants. Noguldījumu garantiju fonda līdzekļu izmantošanas un garantētās atlīdzības izmaksas vispārīgie noteikumi</w:t>
      </w:r>
    </w:p>
    <w:p w14:paraId="2163DDA9" w14:textId="77777777" w:rsidR="0028440B" w:rsidRPr="0028440B" w:rsidRDefault="0028440B" w:rsidP="00557B2E">
      <w:pPr>
        <w:pStyle w:val="tv213"/>
        <w:shd w:val="clear" w:color="auto" w:fill="FFFFFF"/>
        <w:spacing w:before="0" w:beforeAutospacing="0" w:after="0" w:afterAutospacing="0"/>
        <w:ind w:firstLine="720"/>
        <w:jc w:val="both"/>
        <w:rPr>
          <w:rFonts w:eastAsiaTheme="minorHAnsi"/>
          <w:sz w:val="26"/>
          <w:szCs w:val="26"/>
          <w:lang w:eastAsia="en-US"/>
        </w:rPr>
      </w:pPr>
      <w:r w:rsidRPr="0028440B">
        <w:rPr>
          <w:rFonts w:eastAsiaTheme="minorHAnsi"/>
          <w:sz w:val="26"/>
          <w:szCs w:val="26"/>
          <w:lang w:eastAsia="en-US"/>
        </w:rPr>
        <w:t>(1) Noguldījumu garantiju fonda līdzekļus izlieto:</w:t>
      </w:r>
    </w:p>
    <w:p w14:paraId="0F3B574B" w14:textId="77777777" w:rsidR="0028440B" w:rsidRPr="0028440B" w:rsidRDefault="0028440B" w:rsidP="00557B2E">
      <w:pPr>
        <w:pStyle w:val="tv213"/>
        <w:shd w:val="clear" w:color="auto" w:fill="FFFFFF"/>
        <w:spacing w:before="0" w:beforeAutospacing="0" w:after="0" w:afterAutospacing="0"/>
        <w:ind w:firstLine="720"/>
        <w:jc w:val="both"/>
        <w:rPr>
          <w:rFonts w:eastAsiaTheme="minorHAnsi"/>
          <w:sz w:val="26"/>
          <w:szCs w:val="26"/>
          <w:lang w:eastAsia="en-US"/>
        </w:rPr>
      </w:pPr>
      <w:r w:rsidRPr="0028440B">
        <w:rPr>
          <w:rFonts w:eastAsiaTheme="minorHAnsi"/>
          <w:sz w:val="26"/>
          <w:szCs w:val="26"/>
          <w:lang w:eastAsia="en-US"/>
        </w:rPr>
        <w:t>1) garantētās atlīdzības izmaksām;</w:t>
      </w:r>
    </w:p>
    <w:p w14:paraId="729082E1" w14:textId="77777777" w:rsidR="0028440B" w:rsidRPr="0028440B" w:rsidRDefault="0028440B" w:rsidP="00557B2E">
      <w:pPr>
        <w:pStyle w:val="tv213"/>
        <w:shd w:val="clear" w:color="auto" w:fill="FFFFFF"/>
        <w:spacing w:before="0" w:beforeAutospacing="0" w:after="0" w:afterAutospacing="0"/>
        <w:ind w:firstLine="720"/>
        <w:jc w:val="both"/>
        <w:rPr>
          <w:rFonts w:eastAsiaTheme="minorHAnsi"/>
          <w:sz w:val="26"/>
          <w:szCs w:val="26"/>
          <w:lang w:eastAsia="en-US"/>
        </w:rPr>
      </w:pPr>
      <w:r w:rsidRPr="0028440B">
        <w:rPr>
          <w:rFonts w:eastAsiaTheme="minorHAnsi"/>
          <w:sz w:val="26"/>
          <w:szCs w:val="26"/>
          <w:lang w:eastAsia="en-US"/>
        </w:rPr>
        <w:t>2) šajā likumā noteikto garantēto atlīdzību izmaksai aizdoto līdzekļu atmaksai;</w:t>
      </w:r>
    </w:p>
    <w:p w14:paraId="2CF9D924" w14:textId="77777777" w:rsidR="0028440B" w:rsidRPr="0028440B" w:rsidRDefault="0028440B" w:rsidP="00557B2E">
      <w:pPr>
        <w:pStyle w:val="tv213"/>
        <w:shd w:val="clear" w:color="auto" w:fill="FFFFFF"/>
        <w:spacing w:before="0" w:beforeAutospacing="0" w:after="0" w:afterAutospacing="0"/>
        <w:ind w:firstLine="720"/>
        <w:jc w:val="both"/>
        <w:rPr>
          <w:rFonts w:eastAsiaTheme="minorHAnsi"/>
          <w:sz w:val="26"/>
          <w:szCs w:val="26"/>
          <w:lang w:eastAsia="en-US"/>
        </w:rPr>
      </w:pPr>
      <w:r w:rsidRPr="0028440B">
        <w:rPr>
          <w:rFonts w:eastAsiaTheme="minorHAnsi"/>
          <w:sz w:val="26"/>
          <w:szCs w:val="26"/>
          <w:lang w:eastAsia="en-US"/>
        </w:rPr>
        <w:t>3) maksājumiem noregulējuma instrumentu piemērošanas finansēšanai saskaņā ar Kredītiestāžu un ieguldījumu brokeru sabiedrību darbības atjaunošanas un noregulējuma likumā noteikto;</w:t>
      </w:r>
    </w:p>
    <w:p w14:paraId="080C0709" w14:textId="77777777" w:rsidR="0028440B" w:rsidRPr="0028440B" w:rsidRDefault="0028440B" w:rsidP="00557B2E">
      <w:pPr>
        <w:pStyle w:val="tv213"/>
        <w:shd w:val="clear" w:color="auto" w:fill="FFFFFF"/>
        <w:spacing w:before="0" w:beforeAutospacing="0" w:after="0" w:afterAutospacing="0"/>
        <w:ind w:firstLine="720"/>
        <w:jc w:val="both"/>
        <w:rPr>
          <w:rFonts w:eastAsiaTheme="minorHAnsi"/>
          <w:sz w:val="26"/>
          <w:szCs w:val="26"/>
          <w:lang w:eastAsia="en-US"/>
        </w:rPr>
      </w:pPr>
      <w:r w:rsidRPr="0028440B">
        <w:rPr>
          <w:rFonts w:eastAsiaTheme="minorHAnsi"/>
          <w:sz w:val="26"/>
          <w:szCs w:val="26"/>
          <w:lang w:eastAsia="en-US"/>
        </w:rPr>
        <w:t>4) samaksai pārvaldītājam, ja saskaņā ar šā panta trešo daļu noguldījumu garantiju fonda pārvaldīšana nodota citam pārvaldītājam;</w:t>
      </w:r>
    </w:p>
    <w:p w14:paraId="50768649" w14:textId="77777777" w:rsidR="0028440B" w:rsidRPr="0028440B" w:rsidRDefault="0028440B" w:rsidP="00557B2E">
      <w:pPr>
        <w:pStyle w:val="tv213"/>
        <w:shd w:val="clear" w:color="auto" w:fill="FFFFFF"/>
        <w:spacing w:before="0" w:beforeAutospacing="0" w:after="0" w:afterAutospacing="0"/>
        <w:ind w:firstLine="720"/>
        <w:jc w:val="both"/>
        <w:rPr>
          <w:rFonts w:eastAsiaTheme="minorHAnsi"/>
          <w:sz w:val="26"/>
          <w:szCs w:val="26"/>
          <w:lang w:eastAsia="en-US"/>
        </w:rPr>
      </w:pPr>
      <w:r w:rsidRPr="0028440B">
        <w:rPr>
          <w:rFonts w:eastAsiaTheme="minorHAnsi"/>
          <w:sz w:val="26"/>
          <w:szCs w:val="26"/>
          <w:lang w:eastAsia="en-US"/>
        </w:rPr>
        <w:t>5) šā likuma 25. panta otrajā daļā minētā neatkarīgā vērtētāja pakalpojumu apmaksai.</w:t>
      </w:r>
    </w:p>
    <w:p w14:paraId="6E0A8A30" w14:textId="77777777" w:rsidR="00B02910" w:rsidRPr="0028440B" w:rsidRDefault="0028440B" w:rsidP="00557B2E">
      <w:pPr>
        <w:pStyle w:val="tv213"/>
        <w:shd w:val="clear" w:color="auto" w:fill="FFFFFF"/>
        <w:spacing w:before="0" w:beforeAutospacing="0" w:after="0" w:afterAutospacing="0"/>
        <w:ind w:firstLine="720"/>
        <w:jc w:val="both"/>
        <w:rPr>
          <w:rFonts w:eastAsiaTheme="minorHAnsi"/>
          <w:sz w:val="26"/>
          <w:szCs w:val="26"/>
          <w:lang w:eastAsia="en-US"/>
        </w:rPr>
      </w:pPr>
      <w:r w:rsidRPr="0028440B">
        <w:rPr>
          <w:rFonts w:eastAsiaTheme="minorHAnsi"/>
          <w:sz w:val="26"/>
          <w:szCs w:val="26"/>
          <w:lang w:eastAsia="en-US"/>
        </w:rPr>
        <w:t>(2) Citus Komisijas līdzekļus, kas nav noguldījumu garantiju fonda līdzekļi, aizliegts izmantot šā panta pirmajā daļā minētajam mērķim.</w:t>
      </w:r>
    </w:p>
    <w:p w14:paraId="25645451" w14:textId="77777777" w:rsidR="00754AD2" w:rsidRDefault="0028440B" w:rsidP="00557B2E">
      <w:pPr>
        <w:pStyle w:val="tv213"/>
        <w:shd w:val="clear" w:color="auto" w:fill="FFFFFF"/>
        <w:spacing w:before="0" w:beforeAutospacing="0" w:after="0" w:afterAutospacing="0"/>
        <w:ind w:firstLine="720"/>
        <w:jc w:val="both"/>
        <w:rPr>
          <w:rFonts w:eastAsiaTheme="minorHAnsi"/>
          <w:sz w:val="26"/>
          <w:szCs w:val="26"/>
          <w:lang w:eastAsia="en-US"/>
        </w:rPr>
      </w:pPr>
      <w:r w:rsidRPr="0028440B">
        <w:rPr>
          <w:rFonts w:eastAsiaTheme="minorHAnsi"/>
          <w:sz w:val="26"/>
          <w:szCs w:val="26"/>
          <w:lang w:eastAsia="en-US"/>
        </w:rPr>
        <w:t xml:space="preserve">(3) Garantēto atlīdzību izmaksā noguldītājam, kuram atbilstoši šā likuma noteikumiem ir tiesības uz garantētās atlīdzības saņemšanu. Garantētās atlīdzības izmaksas nosakāmas atbilstoši informācijai, kāda ir noguldījumu piesaistītāja grāmatvedības reģistros noguldījumu nepieejamības iestāšanās dienā. Noguldītājam nav nepieciešams iesniegt noguldījumu piesaistītājam iesniegumu vai citus dokumentus, kas pamato noguldītāja tiesības uz garantēto atlīdzību. </w:t>
      </w:r>
    </w:p>
    <w:p w14:paraId="15036B17" w14:textId="77777777" w:rsidR="00B02910" w:rsidRPr="0028440B" w:rsidRDefault="0028440B" w:rsidP="00557B2E">
      <w:pPr>
        <w:pStyle w:val="tv213"/>
        <w:shd w:val="clear" w:color="auto" w:fill="FFFFFF"/>
        <w:spacing w:before="0" w:beforeAutospacing="0" w:after="0" w:afterAutospacing="0"/>
        <w:ind w:firstLine="720"/>
        <w:jc w:val="both"/>
        <w:rPr>
          <w:rFonts w:eastAsiaTheme="minorHAnsi"/>
          <w:sz w:val="26"/>
          <w:szCs w:val="26"/>
          <w:lang w:eastAsia="en-US"/>
        </w:rPr>
      </w:pPr>
      <w:r w:rsidRPr="0028440B">
        <w:rPr>
          <w:rFonts w:eastAsiaTheme="minorHAnsi"/>
          <w:sz w:val="26"/>
          <w:szCs w:val="26"/>
          <w:lang w:eastAsia="en-US"/>
        </w:rPr>
        <w:t>(4) Noguldījumu piesaistītājs sagatavo to noguldītāju sarakstu, kuriem izmaksājama garantētā atlīdzība. Sarakstā iekļauj noguldītājus, kuriem atbilstoši šā likuma noteikumiem ir tiesības uz garantēto atlīdzību, un ietver informāciju, kāda tā ir dienā, kad iestājusies noguldījumu nepieejamība. Noguldījumu piesaistītājs sarakstu iesniedz Komisijai ne vēlāk kā nākamajā dienā pēc noguldījumu nepieejamības iestāšanās.</w:t>
      </w:r>
    </w:p>
    <w:p w14:paraId="3F3005A8" w14:textId="77777777" w:rsidR="00B02910" w:rsidRPr="0028440B" w:rsidRDefault="0028440B" w:rsidP="00557B2E">
      <w:pPr>
        <w:pStyle w:val="tv213"/>
        <w:shd w:val="clear" w:color="auto" w:fill="FFFFFF"/>
        <w:spacing w:before="0" w:beforeAutospacing="0" w:after="0" w:afterAutospacing="0"/>
        <w:ind w:firstLine="720"/>
        <w:jc w:val="both"/>
        <w:rPr>
          <w:rFonts w:eastAsiaTheme="minorHAnsi"/>
          <w:sz w:val="26"/>
          <w:szCs w:val="26"/>
          <w:lang w:eastAsia="en-US"/>
        </w:rPr>
      </w:pPr>
      <w:r w:rsidRPr="0028440B">
        <w:rPr>
          <w:rFonts w:eastAsiaTheme="minorHAnsi"/>
          <w:sz w:val="26"/>
          <w:szCs w:val="26"/>
          <w:lang w:eastAsia="en-US"/>
        </w:rPr>
        <w:t>(5) Komisija vai tās pilnvarota persona garantēto atlīdzību noguldītājiem izmaksā saskaņā ar šā panta ceturtajā daļā minēto sarakstu.</w:t>
      </w:r>
    </w:p>
    <w:p w14:paraId="3055CFA1" w14:textId="77777777" w:rsidR="00B02910" w:rsidRPr="0028440B" w:rsidRDefault="0028440B" w:rsidP="00557B2E">
      <w:pPr>
        <w:pStyle w:val="tv213"/>
        <w:shd w:val="clear" w:color="auto" w:fill="FFFFFF"/>
        <w:spacing w:before="0" w:beforeAutospacing="0" w:after="0" w:afterAutospacing="0"/>
        <w:ind w:firstLine="720"/>
        <w:jc w:val="both"/>
        <w:rPr>
          <w:rFonts w:eastAsiaTheme="minorHAnsi"/>
          <w:sz w:val="26"/>
          <w:szCs w:val="26"/>
          <w:lang w:eastAsia="en-US"/>
        </w:rPr>
      </w:pPr>
      <w:r w:rsidRPr="0028440B">
        <w:rPr>
          <w:rFonts w:eastAsiaTheme="minorHAnsi"/>
          <w:sz w:val="26"/>
          <w:szCs w:val="26"/>
          <w:lang w:eastAsia="en-US"/>
        </w:rPr>
        <w:t>(6) Ja zvērināts tiesu izpildītājs vai nodokļu (nodevu) administrācija pret noguldītāja naudas līdzekļiem ir vērsusi piedziņu, piedzenamās summas izmaksā attiecīgi zvērinātam tiesu izpildītājam vai nodokļu (nodevu) administrācijai.</w:t>
      </w:r>
    </w:p>
    <w:p w14:paraId="670B25E8" w14:textId="77777777" w:rsidR="00332A6B" w:rsidRDefault="0028440B" w:rsidP="00557B2E">
      <w:pPr>
        <w:pStyle w:val="tv213"/>
        <w:shd w:val="clear" w:color="auto" w:fill="FFFFFF"/>
        <w:spacing w:before="0" w:beforeAutospacing="0" w:after="0" w:afterAutospacing="0"/>
        <w:ind w:firstLine="720"/>
        <w:jc w:val="both"/>
        <w:rPr>
          <w:rFonts w:eastAsiaTheme="minorHAnsi"/>
          <w:sz w:val="26"/>
          <w:szCs w:val="26"/>
          <w:lang w:eastAsia="en-US"/>
        </w:rPr>
      </w:pPr>
      <w:r w:rsidRPr="0028440B">
        <w:rPr>
          <w:rFonts w:eastAsiaTheme="minorHAnsi"/>
          <w:sz w:val="26"/>
          <w:szCs w:val="26"/>
          <w:lang w:eastAsia="en-US"/>
        </w:rPr>
        <w:t>(7) Ja piecu gadu laikā no noguldījumu nepieejamības iestāšanās dienas zvērināts tiesu izpildītājs vai nodokļu (nodevu) administrācija nav vērsusi piedziņu pret noguldītāja naudas līdzekļiem, izbeidzas zvērināta tiesu izpildītāja vai nodokļu (nodevu) administrācijas noteiktie ierobežojumi garantētās atlīdzības izmaksai.</w:t>
      </w:r>
      <w:r w:rsidR="00B02910">
        <w:rPr>
          <w:rFonts w:eastAsiaTheme="minorHAnsi"/>
          <w:sz w:val="26"/>
          <w:szCs w:val="26"/>
          <w:lang w:eastAsia="en-US"/>
        </w:rPr>
        <w:t>”.</w:t>
      </w:r>
    </w:p>
    <w:p w14:paraId="31BA2DFE" w14:textId="77777777" w:rsidR="006530FA" w:rsidRDefault="006530FA" w:rsidP="00557B2E">
      <w:pPr>
        <w:pStyle w:val="tv213"/>
        <w:shd w:val="clear" w:color="auto" w:fill="FFFFFF"/>
        <w:spacing w:before="0" w:beforeAutospacing="0" w:after="0" w:afterAutospacing="0"/>
        <w:ind w:firstLine="720"/>
        <w:jc w:val="both"/>
        <w:rPr>
          <w:rFonts w:eastAsiaTheme="minorHAnsi"/>
          <w:sz w:val="26"/>
          <w:szCs w:val="26"/>
          <w:lang w:eastAsia="en-US"/>
        </w:rPr>
      </w:pPr>
    </w:p>
    <w:p w14:paraId="4E8334A7" w14:textId="76311D27" w:rsidR="002777C9" w:rsidRDefault="006530FA" w:rsidP="00557B2E">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1</w:t>
      </w:r>
      <w:r w:rsidR="0028783D">
        <w:rPr>
          <w:rFonts w:eastAsiaTheme="minorHAnsi"/>
          <w:sz w:val="26"/>
          <w:szCs w:val="26"/>
          <w:lang w:eastAsia="en-US"/>
        </w:rPr>
        <w:t>1</w:t>
      </w:r>
      <w:r>
        <w:rPr>
          <w:rFonts w:eastAsiaTheme="minorHAnsi"/>
          <w:sz w:val="26"/>
          <w:szCs w:val="26"/>
          <w:lang w:eastAsia="en-US"/>
        </w:rPr>
        <w:t xml:space="preserve">. </w:t>
      </w:r>
      <w:r w:rsidR="002777C9" w:rsidRPr="002777C9">
        <w:rPr>
          <w:rFonts w:eastAsiaTheme="minorHAnsi"/>
          <w:sz w:val="26"/>
          <w:szCs w:val="26"/>
          <w:lang w:eastAsia="en-US"/>
        </w:rPr>
        <w:t>Izteikt 21.pantu šādā redakcijā:</w:t>
      </w:r>
    </w:p>
    <w:p w14:paraId="1A87BA2B" w14:textId="77777777" w:rsidR="007A1BD8" w:rsidRPr="002777C9" w:rsidRDefault="007A1BD8" w:rsidP="00557B2E">
      <w:pPr>
        <w:pStyle w:val="tv213"/>
        <w:shd w:val="clear" w:color="auto" w:fill="FFFFFF"/>
        <w:spacing w:before="0" w:beforeAutospacing="0" w:after="0" w:afterAutospacing="0"/>
        <w:ind w:firstLine="720"/>
        <w:jc w:val="both"/>
        <w:rPr>
          <w:rFonts w:eastAsiaTheme="minorHAnsi"/>
          <w:sz w:val="26"/>
          <w:szCs w:val="26"/>
          <w:lang w:eastAsia="en-US"/>
        </w:rPr>
      </w:pPr>
    </w:p>
    <w:p w14:paraId="63FDD2BE" w14:textId="77777777" w:rsidR="007A1BD8" w:rsidRPr="008B6BFE" w:rsidRDefault="008B6BFE" w:rsidP="00557B2E">
      <w:pPr>
        <w:pStyle w:val="tv213"/>
        <w:shd w:val="clear" w:color="auto" w:fill="FFFFFF"/>
        <w:spacing w:before="0" w:beforeAutospacing="0" w:after="0" w:afterAutospacing="0"/>
        <w:ind w:firstLine="720"/>
        <w:jc w:val="both"/>
        <w:rPr>
          <w:rFonts w:eastAsiaTheme="minorHAnsi"/>
          <w:b/>
          <w:bCs/>
          <w:sz w:val="26"/>
          <w:szCs w:val="26"/>
          <w:lang w:eastAsia="en-US"/>
        </w:rPr>
      </w:pPr>
      <w:r>
        <w:rPr>
          <w:rFonts w:eastAsiaTheme="minorHAnsi"/>
          <w:sz w:val="26"/>
          <w:szCs w:val="26"/>
          <w:lang w:eastAsia="en-US"/>
        </w:rPr>
        <w:t>“</w:t>
      </w:r>
      <w:r w:rsidR="002777C9" w:rsidRPr="008B6BFE">
        <w:rPr>
          <w:rFonts w:eastAsiaTheme="minorHAnsi"/>
          <w:b/>
          <w:bCs/>
          <w:sz w:val="26"/>
          <w:szCs w:val="26"/>
          <w:lang w:eastAsia="en-US"/>
        </w:rPr>
        <w:t>21.pants. Aizdevums noguldījumu garantiju fondam</w:t>
      </w:r>
    </w:p>
    <w:p w14:paraId="1B8ABC09" w14:textId="77777777" w:rsidR="007A1BD8" w:rsidRPr="002777C9" w:rsidRDefault="002777C9" w:rsidP="00557B2E">
      <w:pPr>
        <w:pStyle w:val="tv213"/>
        <w:shd w:val="clear" w:color="auto" w:fill="FFFFFF"/>
        <w:spacing w:before="0" w:beforeAutospacing="0" w:after="0" w:afterAutospacing="0"/>
        <w:ind w:firstLine="720"/>
        <w:jc w:val="both"/>
        <w:rPr>
          <w:rFonts w:eastAsiaTheme="minorHAnsi"/>
          <w:sz w:val="26"/>
          <w:szCs w:val="26"/>
          <w:lang w:eastAsia="en-US"/>
        </w:rPr>
      </w:pPr>
      <w:r w:rsidRPr="002777C9">
        <w:rPr>
          <w:rFonts w:eastAsiaTheme="minorHAnsi"/>
          <w:sz w:val="26"/>
          <w:szCs w:val="26"/>
          <w:lang w:eastAsia="en-US"/>
        </w:rPr>
        <w:t>(1) Ja noguldījumu garantiju fondā nepietiek līdzekļu tā uzdevumu izpildei, Komisija var aizņemties trūkstošo summu Latvijas, Eiropas Savienības vai ārvalstu finanšu tirgū, Latvijā vai no citas dalībvalsts noguldījumu garantiju fonda.</w:t>
      </w:r>
    </w:p>
    <w:p w14:paraId="345C6629" w14:textId="77777777" w:rsidR="007A1BD8" w:rsidRPr="002777C9" w:rsidRDefault="002777C9" w:rsidP="00557B2E">
      <w:pPr>
        <w:pStyle w:val="tv213"/>
        <w:shd w:val="clear" w:color="auto" w:fill="FFFFFF"/>
        <w:spacing w:before="0" w:beforeAutospacing="0" w:after="0" w:afterAutospacing="0"/>
        <w:ind w:firstLine="720"/>
        <w:jc w:val="both"/>
        <w:rPr>
          <w:rFonts w:eastAsiaTheme="minorHAnsi"/>
          <w:sz w:val="26"/>
          <w:szCs w:val="26"/>
          <w:lang w:eastAsia="en-US"/>
        </w:rPr>
      </w:pPr>
      <w:r w:rsidRPr="002777C9">
        <w:rPr>
          <w:rFonts w:eastAsiaTheme="minorHAnsi"/>
          <w:sz w:val="26"/>
          <w:szCs w:val="26"/>
          <w:lang w:eastAsia="en-US"/>
        </w:rPr>
        <w:t>(2)  Latvijas, Eiropas Savienības vai ārvalstu finanšu tirgus dalībnieks var piedāvāt Komisijai aizņemties no tā noguldījumu garantiju fonda uzdevumu izpildei nepieciešamo trūkstošo summu tikai tādā gadījumā, ja aizdevuma piešķiršana Komisijai neietekmēs attiecīgā Latvijas, Eiropas Savienības vai ārvalstu finanšu tirgus dalībnieka spēju ievērot Latvijas vai attiecīgās valsts normatīvajos aktos noteiktās tā darbību regulējošās prasības.</w:t>
      </w:r>
    </w:p>
    <w:p w14:paraId="57C7F1E8" w14:textId="77777777" w:rsidR="007A1BD8" w:rsidRPr="002777C9" w:rsidRDefault="002777C9" w:rsidP="00557B2E">
      <w:pPr>
        <w:pStyle w:val="tv213"/>
        <w:shd w:val="clear" w:color="auto" w:fill="FFFFFF"/>
        <w:spacing w:before="0" w:beforeAutospacing="0" w:after="0" w:afterAutospacing="0"/>
        <w:ind w:firstLine="720"/>
        <w:jc w:val="both"/>
        <w:rPr>
          <w:rFonts w:eastAsiaTheme="minorHAnsi"/>
          <w:sz w:val="26"/>
          <w:szCs w:val="26"/>
          <w:lang w:eastAsia="en-US"/>
        </w:rPr>
      </w:pPr>
      <w:r w:rsidRPr="002777C9">
        <w:rPr>
          <w:rFonts w:eastAsiaTheme="minorHAnsi"/>
          <w:sz w:val="26"/>
          <w:szCs w:val="26"/>
          <w:lang w:eastAsia="en-US"/>
        </w:rPr>
        <w:t xml:space="preserve"> (3) Izraugoties Latvijas, Eiropas Savienības vai ārvalstu finanšu tirgus dalībnieku vai citas dalībvalsts noguldījumu garantiju fondu, kurš piešķirs noguldījumu garantiju fonda uzdevumu izpildei nepieciešamo trūkstošo summu, nav piemērojami Publisko iepirkumu likuma noteikumi. Komisija izraugās to Latvijas, Eiropas Savienības vai ārvalstu finanšu tirgus dalībnieku vai citas dalībvalsts noguldījumu garantiju fondu, kurš Komisijai piedāvā zemāko aizdevuma procentu likmi. Ja izteiktie piedāvājumi ir vienādi, līguma slēgšanas tiesības piešķir lozējot.</w:t>
      </w:r>
    </w:p>
    <w:p w14:paraId="2C984845" w14:textId="77777777" w:rsidR="007A1BD8" w:rsidRPr="002777C9" w:rsidRDefault="002777C9" w:rsidP="007B213D">
      <w:pPr>
        <w:pStyle w:val="tv213"/>
        <w:shd w:val="clear" w:color="auto" w:fill="FFFFFF"/>
        <w:spacing w:before="0" w:beforeAutospacing="0" w:after="0" w:afterAutospacing="0"/>
        <w:ind w:firstLine="720"/>
        <w:jc w:val="both"/>
        <w:rPr>
          <w:rFonts w:eastAsiaTheme="minorHAnsi"/>
          <w:sz w:val="26"/>
          <w:szCs w:val="26"/>
          <w:lang w:eastAsia="en-US"/>
        </w:rPr>
      </w:pPr>
      <w:r w:rsidRPr="002777C9">
        <w:rPr>
          <w:rFonts w:eastAsiaTheme="minorHAnsi"/>
          <w:sz w:val="26"/>
          <w:szCs w:val="26"/>
          <w:lang w:eastAsia="en-US"/>
        </w:rPr>
        <w:t>(4) Ja triju darbdienu laikā no noguldījumu nepieejamības vai saistību izpildes iestāšanās dienas Komisija nesaņem piedāvājumus aizdot noguldījumu garantiju fonda uzdevumu izpildei nepieciešamo trūkstošo summu vai konstatē, ka izteiktie piedāvājumi nenodrošina labvēlīgāko un ekonomiskāko risinājumu noguldītāju vai noguldījumu garantiju fonda interesēm, vai nesaņem aizdevumu citu pamatotu apstākļu dēļ, Komisija nekavējoties informē Finanšu ministriju par noguldījumu garantiju fondā esošo līdzekļu nepietiekamību. Valsts budžeta līdzekļi šajā likumā noteiktās garantētās atlīdzības izmaksai tiek piešķirti apropriācijas kārtībā vai aizdevuma veidā, ievērojot Likumā par budžetu un finanšu vadību noteikto kārtību. Finanšu ministrija nodrošina šajā likumā noteiktās garantētās atlīdzības izmaksai piešķirto valsts budžeta līdzekļu pieejamību noguldījumu garantiju fondam tā, lai garantētās atlīdzības izmaksas tiktu veiktas šajā likumā noteiktajā termiņā.</w:t>
      </w:r>
    </w:p>
    <w:p w14:paraId="691943A0" w14:textId="70D00A67" w:rsidR="006530FA" w:rsidRPr="007B213D" w:rsidRDefault="002777C9" w:rsidP="007B213D">
      <w:pPr>
        <w:pStyle w:val="tv213"/>
        <w:shd w:val="clear" w:color="auto" w:fill="FFFFFF"/>
        <w:spacing w:before="0" w:beforeAutospacing="0" w:after="0" w:afterAutospacing="0"/>
        <w:ind w:firstLine="720"/>
        <w:jc w:val="both"/>
        <w:rPr>
          <w:rFonts w:eastAsiaTheme="minorHAnsi"/>
          <w:sz w:val="26"/>
          <w:szCs w:val="26"/>
          <w:lang w:eastAsia="en-US"/>
        </w:rPr>
      </w:pPr>
      <w:r w:rsidRPr="007B213D">
        <w:rPr>
          <w:rFonts w:eastAsiaTheme="minorHAnsi"/>
          <w:sz w:val="26"/>
          <w:szCs w:val="26"/>
          <w:lang w:eastAsia="en-US"/>
        </w:rPr>
        <w:t>(5) Naudas līdzekļus, kurus Komisija aizņēmusies noguldījumu garantiju fonda uzdevumu izpildei, Komisija atmaksā no noguldījumu garantiju fonda.</w:t>
      </w:r>
    </w:p>
    <w:p w14:paraId="611CD69D" w14:textId="77777777" w:rsidR="007B213D" w:rsidRDefault="002529C1" w:rsidP="007B213D">
      <w:pPr>
        <w:spacing w:after="0" w:line="240" w:lineRule="auto"/>
        <w:ind w:firstLine="709"/>
        <w:jc w:val="both"/>
        <w:rPr>
          <w:iCs/>
          <w:sz w:val="26"/>
          <w:szCs w:val="26"/>
        </w:rPr>
      </w:pPr>
      <w:r w:rsidRPr="007B213D">
        <w:rPr>
          <w:iCs/>
          <w:sz w:val="26"/>
          <w:szCs w:val="26"/>
        </w:rPr>
        <w:t>(6) Ja noguldījumu garantiju fondam, garantēto atlīdzību izmaksu nodrošināšanai nepieciešams papildu finansējums, tam ir tiesības pieprasīt un kredītiestādēm piecu darba dienu laikā ir pienākums noguldījumu garantiju fondam</w:t>
      </w:r>
      <w:r w:rsidRPr="007B213D" w:rsidDel="00F07A8F">
        <w:rPr>
          <w:iCs/>
          <w:sz w:val="26"/>
          <w:szCs w:val="26"/>
        </w:rPr>
        <w:t xml:space="preserve"> </w:t>
      </w:r>
      <w:r w:rsidRPr="007B213D">
        <w:rPr>
          <w:iCs/>
          <w:sz w:val="26"/>
          <w:szCs w:val="26"/>
        </w:rPr>
        <w:t>nodrošināt kredītlīnijas pakalpojumu ievērojot šādus nosacījumus:</w:t>
      </w:r>
    </w:p>
    <w:p w14:paraId="317A139F" w14:textId="49E13E38" w:rsidR="002529C1" w:rsidRPr="007B213D" w:rsidRDefault="002529C1" w:rsidP="007B213D">
      <w:pPr>
        <w:spacing w:after="0" w:line="240" w:lineRule="auto"/>
        <w:ind w:firstLine="709"/>
        <w:jc w:val="both"/>
        <w:rPr>
          <w:iCs/>
          <w:sz w:val="26"/>
          <w:szCs w:val="26"/>
        </w:rPr>
      </w:pPr>
      <w:r w:rsidRPr="007B213D">
        <w:rPr>
          <w:iCs/>
          <w:sz w:val="26"/>
          <w:szCs w:val="26"/>
        </w:rPr>
        <w:t>1) katras kredītiestādes nodrošinātās kredītlīnijas apmērs nosakāms proporcionāli iemaksu apmēram, kāds kredītiestādei jāveic atbilstoši šā likuma 8.panta trešās daļas nosacījumiem;</w:t>
      </w:r>
    </w:p>
    <w:p w14:paraId="334F8D1C" w14:textId="3CC31AD7" w:rsidR="002529C1" w:rsidRPr="007B213D" w:rsidRDefault="002529C1" w:rsidP="007B213D">
      <w:pPr>
        <w:spacing w:after="0" w:line="240" w:lineRule="auto"/>
        <w:ind w:firstLine="709"/>
        <w:jc w:val="both"/>
        <w:rPr>
          <w:iCs/>
          <w:sz w:val="26"/>
          <w:szCs w:val="26"/>
        </w:rPr>
      </w:pPr>
      <w:r w:rsidRPr="007B213D">
        <w:rPr>
          <w:iCs/>
          <w:sz w:val="26"/>
          <w:szCs w:val="26"/>
        </w:rPr>
        <w:t xml:space="preserve">2) maksa par noguldījumu garantiju fonda faktiski izmantotajiem kredītlīnijas līdzekļiem tiek noteikta atbilstoši EURIBOR </w:t>
      </w:r>
      <w:r w:rsidR="002A7B9F">
        <w:rPr>
          <w:iCs/>
          <w:sz w:val="26"/>
          <w:szCs w:val="26"/>
        </w:rPr>
        <w:t xml:space="preserve">sešu </w:t>
      </w:r>
      <w:r w:rsidRPr="007B213D">
        <w:rPr>
          <w:iCs/>
          <w:sz w:val="26"/>
          <w:szCs w:val="26"/>
        </w:rPr>
        <w:t xml:space="preserve"> mēnešu procentu likmei (virs 0) un 1 procentam no izmantotās kredītlīnijas apmēra. Maksu par kredītlīnijas pakalpojumu sedz noguldījumu garantiju fonds;</w:t>
      </w:r>
    </w:p>
    <w:p w14:paraId="0DE5368E" w14:textId="19E68D30" w:rsidR="002529C1" w:rsidRPr="007B213D" w:rsidRDefault="002529C1" w:rsidP="007B213D">
      <w:pPr>
        <w:spacing w:after="0" w:line="240" w:lineRule="auto"/>
        <w:ind w:firstLine="709"/>
        <w:jc w:val="both"/>
        <w:rPr>
          <w:iCs/>
          <w:sz w:val="26"/>
          <w:szCs w:val="26"/>
        </w:rPr>
      </w:pPr>
      <w:r w:rsidRPr="007B213D">
        <w:rPr>
          <w:iCs/>
          <w:sz w:val="26"/>
          <w:szCs w:val="26"/>
        </w:rPr>
        <w:t xml:space="preserve">3) maksimālais līguma termiņš ir </w:t>
      </w:r>
      <w:r w:rsidR="002A7B9F">
        <w:rPr>
          <w:iCs/>
          <w:sz w:val="26"/>
          <w:szCs w:val="26"/>
        </w:rPr>
        <w:t>pieci</w:t>
      </w:r>
      <w:r w:rsidRPr="007B213D">
        <w:rPr>
          <w:iCs/>
          <w:sz w:val="26"/>
          <w:szCs w:val="26"/>
        </w:rPr>
        <w:t xml:space="preserve"> gadi;</w:t>
      </w:r>
    </w:p>
    <w:p w14:paraId="2D6A8EB9" w14:textId="77777777" w:rsidR="002529C1" w:rsidRPr="007B213D" w:rsidRDefault="002529C1" w:rsidP="007B213D">
      <w:pPr>
        <w:spacing w:after="0" w:line="240" w:lineRule="auto"/>
        <w:ind w:firstLine="709"/>
        <w:jc w:val="both"/>
        <w:rPr>
          <w:iCs/>
          <w:sz w:val="26"/>
          <w:szCs w:val="26"/>
        </w:rPr>
      </w:pPr>
      <w:r w:rsidRPr="007B213D">
        <w:rPr>
          <w:iCs/>
          <w:sz w:val="26"/>
          <w:szCs w:val="26"/>
        </w:rPr>
        <w:t>4) noguldījumu garantiju fonds kredītlīnijas pakalpojumā izmantotos līdzekļus atmaksā kredītiestādei atbilstoši proporcionalitātes (</w:t>
      </w:r>
      <w:r w:rsidRPr="007B213D">
        <w:rPr>
          <w:i/>
          <w:iCs/>
          <w:sz w:val="26"/>
          <w:szCs w:val="26"/>
        </w:rPr>
        <w:t>pari passu</w:t>
      </w:r>
      <w:r w:rsidRPr="007B213D">
        <w:rPr>
          <w:iCs/>
          <w:sz w:val="26"/>
          <w:szCs w:val="26"/>
        </w:rPr>
        <w:t>) principam.</w:t>
      </w:r>
    </w:p>
    <w:p w14:paraId="6BF21E54" w14:textId="526BD615" w:rsidR="002529C1" w:rsidRPr="007B213D" w:rsidRDefault="002529C1" w:rsidP="007B213D">
      <w:pPr>
        <w:spacing w:after="0" w:line="240" w:lineRule="auto"/>
        <w:ind w:firstLine="709"/>
        <w:jc w:val="both"/>
        <w:rPr>
          <w:iCs/>
          <w:sz w:val="26"/>
          <w:szCs w:val="26"/>
        </w:rPr>
      </w:pPr>
      <w:r w:rsidRPr="007B213D">
        <w:rPr>
          <w:iCs/>
          <w:sz w:val="26"/>
          <w:szCs w:val="26"/>
        </w:rPr>
        <w:t xml:space="preserve">(7) </w:t>
      </w:r>
      <w:r w:rsidR="007B3755">
        <w:rPr>
          <w:iCs/>
          <w:sz w:val="26"/>
          <w:szCs w:val="26"/>
        </w:rPr>
        <w:t>K</w:t>
      </w:r>
      <w:r w:rsidRPr="007B213D">
        <w:rPr>
          <w:iCs/>
          <w:sz w:val="26"/>
          <w:szCs w:val="26"/>
        </w:rPr>
        <w:t>omisija atbrīvo no šā panta sestajā daļā minētā pienākuma tās kredītiestādes, kurām kredītlīnijas pakalpojuma sniegšana radītu nelabvēlīgu ietekmi uz tās likviditātes rādītājiem.</w:t>
      </w:r>
      <w:r w:rsidR="007B213D">
        <w:rPr>
          <w:iCs/>
          <w:sz w:val="26"/>
          <w:szCs w:val="26"/>
        </w:rPr>
        <w:t>”.</w:t>
      </w:r>
    </w:p>
    <w:p w14:paraId="63987FBF" w14:textId="77777777" w:rsidR="00B03394" w:rsidRDefault="00B03394" w:rsidP="00AE6E7A">
      <w:pPr>
        <w:pStyle w:val="tv213"/>
        <w:shd w:val="clear" w:color="auto" w:fill="FFFFFF"/>
        <w:spacing w:before="0" w:beforeAutospacing="0" w:after="0" w:afterAutospacing="0"/>
        <w:jc w:val="both"/>
        <w:rPr>
          <w:rFonts w:eastAsiaTheme="minorHAnsi"/>
          <w:sz w:val="26"/>
          <w:szCs w:val="26"/>
          <w:lang w:eastAsia="en-US"/>
        </w:rPr>
      </w:pPr>
    </w:p>
    <w:p w14:paraId="3FF8E913" w14:textId="12EAC14F" w:rsidR="00E93028" w:rsidRDefault="007A1BD8" w:rsidP="00C0347F">
      <w:pPr>
        <w:pStyle w:val="tv213"/>
        <w:shd w:val="clear" w:color="auto" w:fill="FFFFFF"/>
        <w:spacing w:before="0" w:beforeAutospacing="0" w:after="0" w:afterAutospacing="0"/>
        <w:ind w:firstLine="709"/>
        <w:jc w:val="both"/>
        <w:rPr>
          <w:rFonts w:eastAsiaTheme="minorHAnsi"/>
          <w:sz w:val="26"/>
          <w:szCs w:val="26"/>
          <w:lang w:eastAsia="en-US"/>
        </w:rPr>
      </w:pPr>
      <w:r w:rsidRPr="002529C1">
        <w:rPr>
          <w:rFonts w:eastAsiaTheme="minorHAnsi"/>
          <w:sz w:val="26"/>
          <w:szCs w:val="26"/>
          <w:lang w:eastAsia="en-US"/>
        </w:rPr>
        <w:t>1</w:t>
      </w:r>
      <w:r w:rsidR="00263462">
        <w:rPr>
          <w:rFonts w:eastAsiaTheme="minorHAnsi"/>
          <w:sz w:val="26"/>
          <w:szCs w:val="26"/>
          <w:lang w:eastAsia="en-US"/>
        </w:rPr>
        <w:t>2</w:t>
      </w:r>
      <w:r w:rsidRPr="002529C1">
        <w:rPr>
          <w:rFonts w:eastAsiaTheme="minorHAnsi"/>
          <w:sz w:val="26"/>
          <w:szCs w:val="26"/>
          <w:lang w:eastAsia="en-US"/>
        </w:rPr>
        <w:t xml:space="preserve">. </w:t>
      </w:r>
      <w:r w:rsidR="00FE0656" w:rsidRPr="002529C1">
        <w:rPr>
          <w:rFonts w:eastAsiaTheme="minorHAnsi"/>
          <w:sz w:val="26"/>
          <w:szCs w:val="26"/>
          <w:lang w:eastAsia="en-US"/>
        </w:rPr>
        <w:t>23.pant</w:t>
      </w:r>
      <w:r w:rsidR="00E93028">
        <w:rPr>
          <w:rFonts w:eastAsiaTheme="minorHAnsi"/>
          <w:sz w:val="26"/>
          <w:szCs w:val="26"/>
          <w:lang w:eastAsia="en-US"/>
        </w:rPr>
        <w:t>ā:</w:t>
      </w:r>
    </w:p>
    <w:p w14:paraId="16924A2B" w14:textId="77777777" w:rsidR="00E93028" w:rsidRDefault="00E93028" w:rsidP="00C0347F">
      <w:pPr>
        <w:pStyle w:val="tv213"/>
        <w:shd w:val="clear" w:color="auto" w:fill="FFFFFF"/>
        <w:spacing w:before="0" w:beforeAutospacing="0" w:after="0" w:afterAutospacing="0"/>
        <w:ind w:firstLine="709"/>
        <w:jc w:val="both"/>
        <w:rPr>
          <w:rFonts w:eastAsiaTheme="minorHAnsi"/>
          <w:sz w:val="26"/>
          <w:szCs w:val="26"/>
          <w:lang w:eastAsia="en-US"/>
        </w:rPr>
      </w:pPr>
    </w:p>
    <w:p w14:paraId="6C69A6F0" w14:textId="4B57FFCD" w:rsidR="00FE0656" w:rsidRDefault="00E93028" w:rsidP="00C0347F">
      <w:pPr>
        <w:pStyle w:val="tv213"/>
        <w:shd w:val="clear" w:color="auto" w:fill="FFFFFF"/>
        <w:spacing w:before="0" w:beforeAutospacing="0" w:after="0" w:afterAutospacing="0"/>
        <w:ind w:firstLine="709"/>
        <w:jc w:val="both"/>
        <w:rPr>
          <w:rFonts w:eastAsiaTheme="minorHAnsi"/>
          <w:sz w:val="26"/>
          <w:szCs w:val="26"/>
          <w:lang w:eastAsia="en-US"/>
        </w:rPr>
      </w:pPr>
      <w:r>
        <w:rPr>
          <w:rFonts w:eastAsiaTheme="minorHAnsi"/>
          <w:sz w:val="26"/>
          <w:szCs w:val="26"/>
          <w:lang w:eastAsia="en-US"/>
        </w:rPr>
        <w:t>izteikt</w:t>
      </w:r>
      <w:r w:rsidR="00FE0656" w:rsidRPr="002529C1">
        <w:rPr>
          <w:rFonts w:eastAsiaTheme="minorHAnsi"/>
          <w:sz w:val="26"/>
          <w:szCs w:val="26"/>
          <w:lang w:eastAsia="en-US"/>
        </w:rPr>
        <w:t xml:space="preserve"> 6.punktu šādā redakcijā:</w:t>
      </w:r>
    </w:p>
    <w:p w14:paraId="0D87525A" w14:textId="77777777" w:rsidR="00E93028" w:rsidRPr="002529C1" w:rsidRDefault="00E93028" w:rsidP="00C0347F">
      <w:pPr>
        <w:pStyle w:val="tv213"/>
        <w:shd w:val="clear" w:color="auto" w:fill="FFFFFF"/>
        <w:spacing w:before="0" w:beforeAutospacing="0" w:after="0" w:afterAutospacing="0"/>
        <w:ind w:firstLine="709"/>
        <w:jc w:val="both"/>
        <w:rPr>
          <w:rFonts w:eastAsiaTheme="minorHAnsi"/>
          <w:sz w:val="26"/>
          <w:szCs w:val="26"/>
          <w:lang w:eastAsia="en-US"/>
        </w:rPr>
      </w:pPr>
    </w:p>
    <w:p w14:paraId="2C363C40" w14:textId="78A254C4" w:rsidR="00FE0656" w:rsidRDefault="00C0347F" w:rsidP="00032F83">
      <w:pPr>
        <w:pStyle w:val="tv213"/>
        <w:shd w:val="clear" w:color="auto" w:fill="FFFFFF"/>
        <w:spacing w:before="0" w:beforeAutospacing="0" w:after="0" w:afterAutospacing="0"/>
        <w:ind w:firstLine="709"/>
        <w:jc w:val="both"/>
        <w:rPr>
          <w:sz w:val="26"/>
          <w:szCs w:val="26"/>
        </w:rPr>
      </w:pPr>
      <w:r w:rsidRPr="00B86898">
        <w:rPr>
          <w:rFonts w:eastAsiaTheme="minorHAnsi"/>
          <w:sz w:val="26"/>
          <w:szCs w:val="26"/>
          <w:lang w:eastAsia="en-US"/>
        </w:rPr>
        <w:t>“</w:t>
      </w:r>
      <w:r w:rsidR="00032F83" w:rsidRPr="00032F83">
        <w:rPr>
          <w:sz w:val="26"/>
          <w:szCs w:val="26"/>
        </w:rPr>
        <w:t>6) noguldījumiem, kas saskaņā ar Eiropas Parlamenta un Padomes 2013.gada 26.jūnija Regulas Nr. 575/2013 par prudenciālājām prasībām attiecībā uz kredītiestādēm un ar ko groza Regulu (ES) Nr. 648/2012 62.pantā noteikto veido noguldījumu piesaistītāja pašu kapitālu, tostarp tā amortizētā daļa saskaņā ar minētās regulas 64. pantu</w:t>
      </w:r>
      <w:r w:rsidR="002529C1" w:rsidRPr="00FB55A6">
        <w:rPr>
          <w:sz w:val="26"/>
          <w:szCs w:val="26"/>
        </w:rPr>
        <w:t>;</w:t>
      </w:r>
      <w:r w:rsidRPr="00FB55A6">
        <w:rPr>
          <w:sz w:val="26"/>
          <w:szCs w:val="26"/>
        </w:rPr>
        <w:t>”</w:t>
      </w:r>
      <w:r w:rsidR="00E93028">
        <w:rPr>
          <w:sz w:val="26"/>
          <w:szCs w:val="26"/>
        </w:rPr>
        <w:t>;</w:t>
      </w:r>
    </w:p>
    <w:p w14:paraId="4CD742E1" w14:textId="792DA2CE" w:rsidR="00E93028" w:rsidRDefault="00E93028" w:rsidP="007B213D">
      <w:pPr>
        <w:pStyle w:val="tv213"/>
        <w:shd w:val="clear" w:color="auto" w:fill="FFFFFF"/>
        <w:spacing w:before="0" w:beforeAutospacing="0" w:after="0" w:afterAutospacing="0"/>
        <w:jc w:val="both"/>
        <w:rPr>
          <w:sz w:val="26"/>
          <w:szCs w:val="26"/>
        </w:rPr>
      </w:pPr>
    </w:p>
    <w:p w14:paraId="66CBA1CF" w14:textId="49D3C398" w:rsidR="00E93028" w:rsidRPr="00B86898" w:rsidRDefault="00E93028" w:rsidP="007B213D">
      <w:pPr>
        <w:pStyle w:val="tv213"/>
        <w:shd w:val="clear" w:color="auto" w:fill="FFFFFF"/>
        <w:spacing w:before="0" w:beforeAutospacing="0" w:after="0" w:afterAutospacing="0"/>
        <w:jc w:val="both"/>
        <w:rPr>
          <w:color w:val="414142"/>
          <w:sz w:val="26"/>
          <w:szCs w:val="26"/>
        </w:rPr>
      </w:pPr>
      <w:r>
        <w:rPr>
          <w:sz w:val="26"/>
          <w:szCs w:val="26"/>
        </w:rPr>
        <w:tab/>
        <w:t>p</w:t>
      </w:r>
      <w:r w:rsidRPr="00E93028">
        <w:rPr>
          <w:sz w:val="26"/>
          <w:szCs w:val="26"/>
        </w:rPr>
        <w:t xml:space="preserve">apildināt 7.punktu aiz vārda </w:t>
      </w:r>
      <w:r>
        <w:rPr>
          <w:sz w:val="26"/>
          <w:szCs w:val="26"/>
        </w:rPr>
        <w:t>“</w:t>
      </w:r>
      <w:r w:rsidRPr="00E93028">
        <w:rPr>
          <w:sz w:val="26"/>
          <w:szCs w:val="26"/>
        </w:rPr>
        <w:t>apdrošināšanas</w:t>
      </w:r>
      <w:r>
        <w:rPr>
          <w:sz w:val="26"/>
          <w:szCs w:val="26"/>
        </w:rPr>
        <w:t>”</w:t>
      </w:r>
      <w:r w:rsidRPr="00E93028">
        <w:rPr>
          <w:sz w:val="26"/>
          <w:szCs w:val="26"/>
        </w:rPr>
        <w:t xml:space="preserve"> </w:t>
      </w:r>
      <w:r>
        <w:rPr>
          <w:sz w:val="26"/>
          <w:szCs w:val="26"/>
        </w:rPr>
        <w:t>ar vārdiem</w:t>
      </w:r>
      <w:r w:rsidRPr="00E93028">
        <w:rPr>
          <w:sz w:val="26"/>
          <w:szCs w:val="26"/>
        </w:rPr>
        <w:t xml:space="preserve"> </w:t>
      </w:r>
      <w:r>
        <w:rPr>
          <w:sz w:val="26"/>
          <w:szCs w:val="26"/>
        </w:rPr>
        <w:t>“</w:t>
      </w:r>
      <w:r w:rsidRPr="00E93028">
        <w:rPr>
          <w:sz w:val="26"/>
          <w:szCs w:val="26"/>
        </w:rPr>
        <w:t>un pārapdrošināšanas</w:t>
      </w:r>
      <w:r>
        <w:rPr>
          <w:sz w:val="26"/>
          <w:szCs w:val="26"/>
        </w:rPr>
        <w:t>”</w:t>
      </w:r>
      <w:r w:rsidRPr="00E93028">
        <w:rPr>
          <w:sz w:val="26"/>
          <w:szCs w:val="26"/>
        </w:rPr>
        <w:t>.</w:t>
      </w:r>
    </w:p>
    <w:p w14:paraId="37B22EDA" w14:textId="77777777" w:rsidR="00FE0656" w:rsidRDefault="00FE0656" w:rsidP="007B213D">
      <w:pPr>
        <w:pStyle w:val="tv213"/>
        <w:shd w:val="clear" w:color="auto" w:fill="FFFFFF"/>
        <w:spacing w:before="0" w:beforeAutospacing="0" w:after="0" w:afterAutospacing="0"/>
        <w:ind w:firstLine="720"/>
        <w:jc w:val="both"/>
        <w:rPr>
          <w:rFonts w:eastAsiaTheme="minorHAnsi"/>
          <w:sz w:val="26"/>
          <w:szCs w:val="26"/>
          <w:lang w:eastAsia="en-US"/>
        </w:rPr>
      </w:pPr>
    </w:p>
    <w:p w14:paraId="49BC4599" w14:textId="6091CC57" w:rsidR="00295248" w:rsidRPr="00295248" w:rsidRDefault="00FE0656" w:rsidP="007B213D">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1</w:t>
      </w:r>
      <w:r w:rsidR="00370316">
        <w:rPr>
          <w:rFonts w:eastAsiaTheme="minorHAnsi"/>
          <w:sz w:val="26"/>
          <w:szCs w:val="26"/>
          <w:lang w:eastAsia="en-US"/>
        </w:rPr>
        <w:t>3</w:t>
      </w:r>
      <w:r>
        <w:rPr>
          <w:rFonts w:eastAsiaTheme="minorHAnsi"/>
          <w:sz w:val="26"/>
          <w:szCs w:val="26"/>
          <w:lang w:eastAsia="en-US"/>
        </w:rPr>
        <w:t xml:space="preserve">. </w:t>
      </w:r>
      <w:r w:rsidR="00295248" w:rsidRPr="00295248">
        <w:rPr>
          <w:rFonts w:eastAsiaTheme="minorHAnsi"/>
          <w:sz w:val="26"/>
          <w:szCs w:val="26"/>
          <w:lang w:eastAsia="en-US"/>
        </w:rPr>
        <w:t>25.pantā:</w:t>
      </w:r>
    </w:p>
    <w:p w14:paraId="56C6E7B5" w14:textId="77777777" w:rsidR="00295248" w:rsidRPr="00295248" w:rsidRDefault="00295248" w:rsidP="007B213D">
      <w:pPr>
        <w:pStyle w:val="tv213"/>
        <w:shd w:val="clear" w:color="auto" w:fill="FFFFFF"/>
        <w:spacing w:before="0" w:beforeAutospacing="0" w:after="0" w:afterAutospacing="0"/>
        <w:ind w:firstLine="720"/>
        <w:jc w:val="both"/>
        <w:rPr>
          <w:rFonts w:eastAsiaTheme="minorHAnsi"/>
          <w:sz w:val="26"/>
          <w:szCs w:val="26"/>
          <w:lang w:eastAsia="en-US"/>
        </w:rPr>
      </w:pPr>
    </w:p>
    <w:p w14:paraId="27B3DE87" w14:textId="77777777" w:rsidR="00295248" w:rsidRPr="00295248" w:rsidRDefault="00295248" w:rsidP="007B213D">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p</w:t>
      </w:r>
      <w:r w:rsidRPr="00295248">
        <w:rPr>
          <w:rFonts w:eastAsiaTheme="minorHAnsi"/>
          <w:sz w:val="26"/>
          <w:szCs w:val="26"/>
          <w:lang w:eastAsia="en-US"/>
        </w:rPr>
        <w:t>apildināt pirmās daļas 1.</w:t>
      </w:r>
      <w:r w:rsidR="00E36C61">
        <w:rPr>
          <w:rFonts w:eastAsiaTheme="minorHAnsi"/>
          <w:sz w:val="26"/>
          <w:szCs w:val="26"/>
          <w:lang w:eastAsia="en-US"/>
        </w:rPr>
        <w:t> </w:t>
      </w:r>
      <w:r w:rsidRPr="00295248">
        <w:rPr>
          <w:rFonts w:eastAsiaTheme="minorHAnsi"/>
          <w:sz w:val="26"/>
          <w:szCs w:val="26"/>
          <w:lang w:eastAsia="en-US"/>
        </w:rPr>
        <w:t xml:space="preserve">punktu aiz vārda </w:t>
      </w:r>
      <w:r w:rsidR="00263B1E">
        <w:rPr>
          <w:rFonts w:eastAsiaTheme="minorHAnsi"/>
          <w:sz w:val="26"/>
          <w:szCs w:val="26"/>
          <w:lang w:eastAsia="en-US"/>
        </w:rPr>
        <w:t>“</w:t>
      </w:r>
      <w:r w:rsidRPr="00295248">
        <w:rPr>
          <w:rFonts w:eastAsiaTheme="minorHAnsi"/>
          <w:sz w:val="26"/>
          <w:szCs w:val="26"/>
          <w:lang w:eastAsia="en-US"/>
        </w:rPr>
        <w:t>kredītiestāžu</w:t>
      </w:r>
      <w:r w:rsidR="00263B1E">
        <w:rPr>
          <w:rFonts w:eastAsiaTheme="minorHAnsi"/>
          <w:sz w:val="26"/>
          <w:szCs w:val="26"/>
          <w:lang w:eastAsia="en-US"/>
        </w:rPr>
        <w:t>”</w:t>
      </w:r>
      <w:r w:rsidRPr="00295248">
        <w:rPr>
          <w:rFonts w:eastAsiaTheme="minorHAnsi"/>
          <w:sz w:val="26"/>
          <w:szCs w:val="26"/>
          <w:lang w:eastAsia="en-US"/>
        </w:rPr>
        <w:t xml:space="preserve"> </w:t>
      </w:r>
      <w:r w:rsidR="00754AD2">
        <w:rPr>
          <w:rFonts w:eastAsiaTheme="minorHAnsi"/>
          <w:sz w:val="26"/>
          <w:szCs w:val="26"/>
          <w:lang w:eastAsia="en-US"/>
        </w:rPr>
        <w:t>ar</w:t>
      </w:r>
      <w:r w:rsidRPr="00295248">
        <w:rPr>
          <w:rFonts w:eastAsiaTheme="minorHAnsi"/>
          <w:sz w:val="26"/>
          <w:szCs w:val="26"/>
          <w:lang w:eastAsia="en-US"/>
        </w:rPr>
        <w:t xml:space="preserve"> vārd</w:t>
      </w:r>
      <w:r w:rsidR="00754AD2">
        <w:rPr>
          <w:rFonts w:eastAsiaTheme="minorHAnsi"/>
          <w:sz w:val="26"/>
          <w:szCs w:val="26"/>
          <w:lang w:eastAsia="en-US"/>
        </w:rPr>
        <w:t>iem</w:t>
      </w:r>
      <w:r w:rsidRPr="00295248">
        <w:rPr>
          <w:rFonts w:eastAsiaTheme="minorHAnsi"/>
          <w:sz w:val="26"/>
          <w:szCs w:val="26"/>
          <w:lang w:eastAsia="en-US"/>
        </w:rPr>
        <w:t xml:space="preserve"> </w:t>
      </w:r>
      <w:r w:rsidR="00754AD2">
        <w:rPr>
          <w:rFonts w:eastAsiaTheme="minorHAnsi"/>
          <w:sz w:val="26"/>
          <w:szCs w:val="26"/>
          <w:lang w:eastAsia="en-US"/>
        </w:rPr>
        <w:t>“</w:t>
      </w:r>
      <w:r w:rsidRPr="00295248">
        <w:rPr>
          <w:rFonts w:eastAsiaTheme="minorHAnsi"/>
          <w:sz w:val="26"/>
          <w:szCs w:val="26"/>
          <w:lang w:eastAsia="en-US"/>
        </w:rPr>
        <w:t>vai finanšu iestāžu</w:t>
      </w:r>
      <w:r w:rsidR="00754AD2">
        <w:rPr>
          <w:rFonts w:eastAsiaTheme="minorHAnsi"/>
          <w:sz w:val="26"/>
          <w:szCs w:val="26"/>
          <w:lang w:eastAsia="en-US"/>
        </w:rPr>
        <w:t>”</w:t>
      </w:r>
      <w:r w:rsidRPr="00295248">
        <w:rPr>
          <w:rFonts w:eastAsiaTheme="minorHAnsi"/>
          <w:sz w:val="26"/>
          <w:szCs w:val="26"/>
          <w:lang w:eastAsia="en-US"/>
        </w:rPr>
        <w:t>;</w:t>
      </w:r>
    </w:p>
    <w:p w14:paraId="3A6C975E" w14:textId="77777777" w:rsidR="00295248" w:rsidRPr="00295248" w:rsidRDefault="00295248" w:rsidP="007B213D">
      <w:pPr>
        <w:pStyle w:val="tv213"/>
        <w:shd w:val="clear" w:color="auto" w:fill="FFFFFF"/>
        <w:spacing w:before="0" w:beforeAutospacing="0" w:after="0" w:afterAutospacing="0"/>
        <w:ind w:firstLine="720"/>
        <w:jc w:val="both"/>
        <w:rPr>
          <w:rFonts w:eastAsiaTheme="minorHAnsi"/>
          <w:sz w:val="26"/>
          <w:szCs w:val="26"/>
          <w:lang w:eastAsia="en-US"/>
        </w:rPr>
      </w:pPr>
    </w:p>
    <w:p w14:paraId="72F7BF12" w14:textId="77777777" w:rsidR="00295248" w:rsidRDefault="00E36C61" w:rsidP="007B213D">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i</w:t>
      </w:r>
      <w:r w:rsidR="00295248" w:rsidRPr="00295248">
        <w:rPr>
          <w:rFonts w:eastAsiaTheme="minorHAnsi"/>
          <w:sz w:val="26"/>
          <w:szCs w:val="26"/>
          <w:lang w:eastAsia="en-US"/>
        </w:rPr>
        <w:t>zteikt pirmās daļas 2.</w:t>
      </w:r>
      <w:r>
        <w:rPr>
          <w:rFonts w:eastAsiaTheme="minorHAnsi"/>
          <w:sz w:val="26"/>
          <w:szCs w:val="26"/>
          <w:lang w:eastAsia="en-US"/>
        </w:rPr>
        <w:t> </w:t>
      </w:r>
      <w:r w:rsidR="00295248" w:rsidRPr="00295248">
        <w:rPr>
          <w:rFonts w:eastAsiaTheme="minorHAnsi"/>
          <w:sz w:val="26"/>
          <w:szCs w:val="26"/>
          <w:lang w:eastAsia="en-US"/>
        </w:rPr>
        <w:t>punktu šādā redakcijā:</w:t>
      </w:r>
    </w:p>
    <w:p w14:paraId="256A1226" w14:textId="77777777" w:rsidR="00E36C61" w:rsidRPr="00295248" w:rsidRDefault="00E36C61" w:rsidP="007B213D">
      <w:pPr>
        <w:pStyle w:val="tv213"/>
        <w:shd w:val="clear" w:color="auto" w:fill="FFFFFF"/>
        <w:spacing w:before="0" w:beforeAutospacing="0" w:after="0" w:afterAutospacing="0"/>
        <w:ind w:firstLine="720"/>
        <w:jc w:val="both"/>
        <w:rPr>
          <w:rFonts w:eastAsiaTheme="minorHAnsi"/>
          <w:sz w:val="26"/>
          <w:szCs w:val="26"/>
          <w:lang w:eastAsia="en-US"/>
        </w:rPr>
      </w:pPr>
    </w:p>
    <w:p w14:paraId="7146F1FA" w14:textId="77777777" w:rsidR="00295248" w:rsidRPr="00295248" w:rsidRDefault="00E36C61" w:rsidP="007B213D">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w:t>
      </w:r>
      <w:r w:rsidR="00295248" w:rsidRPr="00295248">
        <w:rPr>
          <w:rFonts w:eastAsiaTheme="minorHAnsi"/>
          <w:sz w:val="26"/>
          <w:szCs w:val="26"/>
          <w:lang w:eastAsia="en-US"/>
        </w:rPr>
        <w:t>2) garantēto atlīdzību izmaksā ar tās kredītiestādes vai finanšu iestādes starpniecību, kurai noguldījumu piesaistītājs segtos noguldījumus kopā ar noguldījumu piesaistītāja aktīviem, kas pilnībā vai daļēji sedz garantētās atlīdzības, saskaņā ar Komisijas lēmumu nodod kā aktīvus un segtos noguldījumus;</w:t>
      </w:r>
      <w:r>
        <w:rPr>
          <w:rFonts w:eastAsiaTheme="minorHAnsi"/>
          <w:sz w:val="26"/>
          <w:szCs w:val="26"/>
          <w:lang w:eastAsia="en-US"/>
        </w:rPr>
        <w:t>”</w:t>
      </w:r>
      <w:r w:rsidR="006A0B45">
        <w:rPr>
          <w:rFonts w:eastAsiaTheme="minorHAnsi"/>
          <w:sz w:val="26"/>
          <w:szCs w:val="26"/>
          <w:lang w:eastAsia="en-US"/>
        </w:rPr>
        <w:t>;</w:t>
      </w:r>
    </w:p>
    <w:p w14:paraId="49BDEA2C" w14:textId="77777777" w:rsidR="00295248" w:rsidRPr="00295248" w:rsidRDefault="00295248" w:rsidP="00557B2E">
      <w:pPr>
        <w:pStyle w:val="tv213"/>
        <w:shd w:val="clear" w:color="auto" w:fill="FFFFFF"/>
        <w:spacing w:before="0" w:beforeAutospacing="0" w:after="0" w:afterAutospacing="0"/>
        <w:ind w:firstLine="720"/>
        <w:jc w:val="both"/>
        <w:rPr>
          <w:rFonts w:eastAsiaTheme="minorHAnsi"/>
          <w:sz w:val="26"/>
          <w:szCs w:val="26"/>
          <w:lang w:eastAsia="en-US"/>
        </w:rPr>
      </w:pPr>
    </w:p>
    <w:p w14:paraId="15CD789F" w14:textId="77777777" w:rsidR="00295248" w:rsidRPr="00295248" w:rsidRDefault="006A0B45" w:rsidP="00557B2E">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p</w:t>
      </w:r>
      <w:r w:rsidR="00295248" w:rsidRPr="00295248">
        <w:rPr>
          <w:rFonts w:eastAsiaTheme="minorHAnsi"/>
          <w:sz w:val="26"/>
          <w:szCs w:val="26"/>
          <w:lang w:eastAsia="en-US"/>
        </w:rPr>
        <w:t xml:space="preserve">apildināt ar </w:t>
      </w:r>
      <w:r>
        <w:rPr>
          <w:rFonts w:eastAsiaTheme="minorHAnsi"/>
          <w:sz w:val="26"/>
          <w:szCs w:val="26"/>
          <w:lang w:eastAsia="en-US"/>
        </w:rPr>
        <w:t>1.</w:t>
      </w:r>
      <w:r w:rsidRPr="006A0B45">
        <w:rPr>
          <w:rFonts w:eastAsiaTheme="minorHAnsi"/>
          <w:sz w:val="26"/>
          <w:szCs w:val="26"/>
          <w:vertAlign w:val="superscript"/>
          <w:lang w:eastAsia="en-US"/>
        </w:rPr>
        <w:t>1</w:t>
      </w:r>
      <w:r w:rsidR="00295248" w:rsidRPr="00295248">
        <w:rPr>
          <w:rFonts w:eastAsiaTheme="minorHAnsi"/>
          <w:sz w:val="26"/>
          <w:szCs w:val="26"/>
          <w:lang w:eastAsia="en-US"/>
        </w:rPr>
        <w:t xml:space="preserve"> daļu šādā redakcijā:</w:t>
      </w:r>
    </w:p>
    <w:p w14:paraId="06992F0D" w14:textId="77777777" w:rsidR="00295248" w:rsidRPr="00295248" w:rsidRDefault="00295248" w:rsidP="00557B2E">
      <w:pPr>
        <w:pStyle w:val="tv213"/>
        <w:shd w:val="clear" w:color="auto" w:fill="FFFFFF"/>
        <w:spacing w:before="0" w:beforeAutospacing="0" w:after="0" w:afterAutospacing="0"/>
        <w:ind w:firstLine="720"/>
        <w:jc w:val="both"/>
        <w:rPr>
          <w:rFonts w:eastAsiaTheme="minorHAnsi"/>
          <w:sz w:val="26"/>
          <w:szCs w:val="26"/>
          <w:lang w:eastAsia="en-US"/>
        </w:rPr>
      </w:pPr>
    </w:p>
    <w:p w14:paraId="3DAEBD8B" w14:textId="050A8966" w:rsidR="00295248" w:rsidRPr="00295248" w:rsidRDefault="006A0B45" w:rsidP="00557B2E">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w:t>
      </w:r>
      <w:r w:rsidR="00295248" w:rsidRPr="00295248">
        <w:rPr>
          <w:rFonts w:eastAsiaTheme="minorHAnsi"/>
          <w:sz w:val="26"/>
          <w:szCs w:val="26"/>
          <w:lang w:eastAsia="en-US"/>
        </w:rPr>
        <w:t>(1</w:t>
      </w:r>
      <w:r w:rsidR="00295248" w:rsidRPr="006A0B45">
        <w:rPr>
          <w:rFonts w:eastAsiaTheme="minorHAnsi"/>
          <w:sz w:val="26"/>
          <w:szCs w:val="26"/>
          <w:vertAlign w:val="superscript"/>
          <w:lang w:eastAsia="en-US"/>
        </w:rPr>
        <w:t>1</w:t>
      </w:r>
      <w:r w:rsidR="00295248" w:rsidRPr="00295248">
        <w:rPr>
          <w:rFonts w:eastAsiaTheme="minorHAnsi"/>
          <w:sz w:val="26"/>
          <w:szCs w:val="26"/>
          <w:lang w:eastAsia="en-US"/>
        </w:rPr>
        <w:t>) Nodrošinot šā panta pirmās daļas 1. un 2. punktā minēto garantētās atlīdzības izmaksas veidu, kredītiestāde vai finanšu iestāde, kurai saskaņā ar Komisijas lēmumu ir nodoti segtie noguldījumi, ņem vērā noguldījumu piesaistītāja iepriekš veikto noguldītāju izpēti. Atkārtotu vai papildus noguldītāja izpēti, tostarp, noguldītāju identifikāciju atbilstoši Noziedzīgi iegūtu līdzekļu legalizācijas un terorisma un proliferācijas finansēšanas likuma un tam pakārtoto normatīvo aktu prasībām, kredītiestāde vai finanšu iestāde, kura nodrošina garantētās atlīdzības izmaksu</w:t>
      </w:r>
      <w:r w:rsidR="00342CEC">
        <w:rPr>
          <w:rFonts w:eastAsiaTheme="minorHAnsi"/>
          <w:sz w:val="26"/>
          <w:szCs w:val="26"/>
          <w:lang w:eastAsia="en-US"/>
        </w:rPr>
        <w:t>,</w:t>
      </w:r>
      <w:r w:rsidR="00295248" w:rsidRPr="00295248">
        <w:rPr>
          <w:rFonts w:eastAsiaTheme="minorHAnsi"/>
          <w:sz w:val="26"/>
          <w:szCs w:val="26"/>
          <w:lang w:eastAsia="en-US"/>
        </w:rPr>
        <w:t xml:space="preserve"> veic, ja tā konstatē paaugstinātu noziedzīgi iegūtu līdzekļu legalizācijas un terorisma un proliferācijas finansēšanas novēršanas risku, kas saistīts ar garantētās atlīdzības izmaksu noguldītājam.</w:t>
      </w:r>
      <w:r>
        <w:rPr>
          <w:rFonts w:eastAsiaTheme="minorHAnsi"/>
          <w:sz w:val="26"/>
          <w:szCs w:val="26"/>
          <w:lang w:eastAsia="en-US"/>
        </w:rPr>
        <w:t>”;</w:t>
      </w:r>
    </w:p>
    <w:p w14:paraId="73AA63B2" w14:textId="77777777" w:rsidR="00295248" w:rsidRPr="00295248" w:rsidRDefault="00295248" w:rsidP="00557B2E">
      <w:pPr>
        <w:pStyle w:val="tv213"/>
        <w:shd w:val="clear" w:color="auto" w:fill="FFFFFF"/>
        <w:spacing w:before="0" w:beforeAutospacing="0" w:after="0" w:afterAutospacing="0"/>
        <w:ind w:firstLine="720"/>
        <w:jc w:val="both"/>
        <w:rPr>
          <w:rFonts w:eastAsiaTheme="minorHAnsi"/>
          <w:sz w:val="26"/>
          <w:szCs w:val="26"/>
          <w:lang w:eastAsia="en-US"/>
        </w:rPr>
      </w:pPr>
    </w:p>
    <w:p w14:paraId="6ABF9A93" w14:textId="6D2C238E" w:rsidR="00295248" w:rsidRPr="00295248" w:rsidRDefault="006A0B45" w:rsidP="00557B2E">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p</w:t>
      </w:r>
      <w:r w:rsidR="00295248" w:rsidRPr="00295248">
        <w:rPr>
          <w:rFonts w:eastAsiaTheme="minorHAnsi"/>
          <w:sz w:val="26"/>
          <w:szCs w:val="26"/>
          <w:lang w:eastAsia="en-US"/>
        </w:rPr>
        <w:t>apildināt otro daļu</w:t>
      </w:r>
      <w:r>
        <w:rPr>
          <w:rFonts w:eastAsiaTheme="minorHAnsi"/>
          <w:sz w:val="26"/>
          <w:szCs w:val="26"/>
          <w:lang w:eastAsia="en-US"/>
        </w:rPr>
        <w:t xml:space="preserve"> </w:t>
      </w:r>
      <w:r>
        <w:rPr>
          <w:sz w:val="26"/>
          <w:szCs w:val="26"/>
        </w:rPr>
        <w:t xml:space="preserve">aiz vārda “fonda.” ar teikumu </w:t>
      </w:r>
      <w:r>
        <w:rPr>
          <w:rFonts w:eastAsiaTheme="minorHAnsi"/>
          <w:sz w:val="26"/>
          <w:szCs w:val="26"/>
          <w:lang w:eastAsia="en-US"/>
        </w:rPr>
        <w:t>“</w:t>
      </w:r>
      <w:r w:rsidR="00295248" w:rsidRPr="00295248">
        <w:rPr>
          <w:rFonts w:eastAsiaTheme="minorHAnsi"/>
          <w:sz w:val="26"/>
          <w:szCs w:val="26"/>
          <w:lang w:eastAsia="en-US"/>
        </w:rPr>
        <w:t>Nododamo noguldījumu piesaistītāja aktīvu vērtību, ja tie nav līdzekļi korespondentbankas kontos, nosaka neatkarīgs vērtētājs.</w:t>
      </w:r>
      <w:r>
        <w:rPr>
          <w:rFonts w:eastAsiaTheme="minorHAnsi"/>
          <w:sz w:val="26"/>
          <w:szCs w:val="26"/>
          <w:lang w:eastAsia="en-US"/>
        </w:rPr>
        <w:t>”;</w:t>
      </w:r>
    </w:p>
    <w:p w14:paraId="5399DD6E" w14:textId="77777777" w:rsidR="00295248" w:rsidRPr="00295248" w:rsidRDefault="00295248" w:rsidP="00557B2E">
      <w:pPr>
        <w:pStyle w:val="tv213"/>
        <w:shd w:val="clear" w:color="auto" w:fill="FFFFFF"/>
        <w:spacing w:before="0" w:beforeAutospacing="0" w:after="0" w:afterAutospacing="0"/>
        <w:ind w:firstLine="720"/>
        <w:jc w:val="both"/>
        <w:rPr>
          <w:rFonts w:eastAsiaTheme="minorHAnsi"/>
          <w:sz w:val="26"/>
          <w:szCs w:val="26"/>
          <w:lang w:eastAsia="en-US"/>
        </w:rPr>
      </w:pPr>
    </w:p>
    <w:p w14:paraId="50D0B19B" w14:textId="77777777" w:rsidR="00295248" w:rsidRDefault="006A0B45" w:rsidP="00557B2E">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p</w:t>
      </w:r>
      <w:r w:rsidR="00295248" w:rsidRPr="00295248">
        <w:rPr>
          <w:rFonts w:eastAsiaTheme="minorHAnsi"/>
          <w:sz w:val="26"/>
          <w:szCs w:val="26"/>
          <w:lang w:eastAsia="en-US"/>
        </w:rPr>
        <w:t xml:space="preserve">apildināt sesto daļu aiz vārdiem </w:t>
      </w:r>
      <w:r w:rsidR="00AE3637">
        <w:rPr>
          <w:rFonts w:eastAsiaTheme="minorHAnsi"/>
          <w:sz w:val="26"/>
          <w:szCs w:val="26"/>
          <w:lang w:eastAsia="en-US"/>
        </w:rPr>
        <w:t>“</w:t>
      </w:r>
      <w:r w:rsidR="00295248" w:rsidRPr="00295248">
        <w:rPr>
          <w:rFonts w:eastAsiaTheme="minorHAnsi"/>
          <w:sz w:val="26"/>
          <w:szCs w:val="26"/>
          <w:lang w:eastAsia="en-US"/>
        </w:rPr>
        <w:t>var veikt daļēju vai pilnīgu garantētās atlīdzības izmaksu,</w:t>
      </w:r>
      <w:r w:rsidR="00AE3637">
        <w:rPr>
          <w:rFonts w:eastAsiaTheme="minorHAnsi"/>
          <w:sz w:val="26"/>
          <w:szCs w:val="26"/>
          <w:lang w:eastAsia="en-US"/>
        </w:rPr>
        <w:t>”</w:t>
      </w:r>
      <w:r w:rsidR="00295248" w:rsidRPr="00295248">
        <w:rPr>
          <w:rFonts w:eastAsiaTheme="minorHAnsi"/>
          <w:sz w:val="26"/>
          <w:szCs w:val="26"/>
          <w:lang w:eastAsia="en-US"/>
        </w:rPr>
        <w:t xml:space="preserve"> </w:t>
      </w:r>
      <w:r w:rsidR="00AE3637">
        <w:rPr>
          <w:rFonts w:eastAsiaTheme="minorHAnsi"/>
          <w:sz w:val="26"/>
          <w:szCs w:val="26"/>
          <w:lang w:eastAsia="en-US"/>
        </w:rPr>
        <w:t>ar</w:t>
      </w:r>
      <w:r w:rsidR="00295248" w:rsidRPr="00295248">
        <w:rPr>
          <w:rFonts w:eastAsiaTheme="minorHAnsi"/>
          <w:sz w:val="26"/>
          <w:szCs w:val="26"/>
          <w:lang w:eastAsia="en-US"/>
        </w:rPr>
        <w:t xml:space="preserve"> vārd</w:t>
      </w:r>
      <w:r w:rsidR="00AE3637">
        <w:rPr>
          <w:rFonts w:eastAsiaTheme="minorHAnsi"/>
          <w:sz w:val="26"/>
          <w:szCs w:val="26"/>
          <w:lang w:eastAsia="en-US"/>
        </w:rPr>
        <w:t>iem</w:t>
      </w:r>
      <w:r w:rsidR="00295248" w:rsidRPr="00295248">
        <w:rPr>
          <w:rFonts w:eastAsiaTheme="minorHAnsi"/>
          <w:sz w:val="26"/>
          <w:szCs w:val="26"/>
          <w:lang w:eastAsia="en-US"/>
        </w:rPr>
        <w:t xml:space="preserve"> </w:t>
      </w:r>
      <w:r w:rsidR="00AE3637">
        <w:rPr>
          <w:rFonts w:eastAsiaTheme="minorHAnsi"/>
          <w:sz w:val="26"/>
          <w:szCs w:val="26"/>
          <w:lang w:eastAsia="en-US"/>
        </w:rPr>
        <w:t>“</w:t>
      </w:r>
      <w:r w:rsidR="00295248" w:rsidRPr="00295248">
        <w:rPr>
          <w:rFonts w:eastAsiaTheme="minorHAnsi"/>
          <w:sz w:val="26"/>
          <w:szCs w:val="26"/>
          <w:lang w:eastAsia="en-US"/>
        </w:rPr>
        <w:t>vai pārskaitīt noguldījumu garantiju fondam finanšu līdzekļus daļējai vai pilnīgai garantētās atlīdzības izmaksai,</w:t>
      </w:r>
      <w:r w:rsidR="00AE3637">
        <w:rPr>
          <w:rFonts w:eastAsiaTheme="minorHAnsi"/>
          <w:sz w:val="26"/>
          <w:szCs w:val="26"/>
          <w:lang w:eastAsia="en-US"/>
        </w:rPr>
        <w:t>”</w:t>
      </w:r>
      <w:r w:rsidR="00295248" w:rsidRPr="00295248">
        <w:rPr>
          <w:rFonts w:eastAsiaTheme="minorHAnsi"/>
          <w:sz w:val="26"/>
          <w:szCs w:val="26"/>
          <w:lang w:eastAsia="en-US"/>
        </w:rPr>
        <w:t>.</w:t>
      </w:r>
    </w:p>
    <w:p w14:paraId="713A6FAE" w14:textId="77777777" w:rsidR="00557B2E" w:rsidRDefault="00557B2E" w:rsidP="00557B2E">
      <w:pPr>
        <w:pStyle w:val="tv213"/>
        <w:shd w:val="clear" w:color="auto" w:fill="FFFFFF"/>
        <w:spacing w:before="0" w:beforeAutospacing="0" w:after="0" w:afterAutospacing="0"/>
        <w:ind w:firstLine="720"/>
        <w:jc w:val="both"/>
        <w:rPr>
          <w:rFonts w:eastAsiaTheme="minorHAnsi"/>
          <w:sz w:val="26"/>
          <w:szCs w:val="26"/>
          <w:lang w:eastAsia="en-US"/>
        </w:rPr>
      </w:pPr>
    </w:p>
    <w:p w14:paraId="69DB6763" w14:textId="3A9A8D08" w:rsidR="00557B2E" w:rsidRPr="00557B2E" w:rsidRDefault="00557B2E" w:rsidP="00557B2E">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1</w:t>
      </w:r>
      <w:r w:rsidR="00370316">
        <w:rPr>
          <w:rFonts w:eastAsiaTheme="minorHAnsi"/>
          <w:sz w:val="26"/>
          <w:szCs w:val="26"/>
          <w:lang w:eastAsia="en-US"/>
        </w:rPr>
        <w:t>4</w:t>
      </w:r>
      <w:r>
        <w:rPr>
          <w:rFonts w:eastAsiaTheme="minorHAnsi"/>
          <w:sz w:val="26"/>
          <w:szCs w:val="26"/>
          <w:lang w:eastAsia="en-US"/>
        </w:rPr>
        <w:t xml:space="preserve">. </w:t>
      </w:r>
      <w:r w:rsidRPr="00557B2E">
        <w:rPr>
          <w:rFonts w:eastAsiaTheme="minorHAnsi"/>
          <w:sz w:val="26"/>
          <w:szCs w:val="26"/>
          <w:lang w:eastAsia="en-US"/>
        </w:rPr>
        <w:t>26. pantā:</w:t>
      </w:r>
    </w:p>
    <w:p w14:paraId="211A2080" w14:textId="77777777" w:rsidR="00557B2E" w:rsidRPr="00557B2E" w:rsidRDefault="00557B2E" w:rsidP="00557B2E">
      <w:pPr>
        <w:pStyle w:val="tv213"/>
        <w:shd w:val="clear" w:color="auto" w:fill="FFFFFF"/>
        <w:spacing w:before="0" w:beforeAutospacing="0" w:after="0" w:afterAutospacing="0"/>
        <w:ind w:firstLine="720"/>
        <w:jc w:val="both"/>
        <w:rPr>
          <w:rFonts w:eastAsiaTheme="minorHAnsi"/>
          <w:sz w:val="26"/>
          <w:szCs w:val="26"/>
          <w:lang w:eastAsia="en-US"/>
        </w:rPr>
      </w:pPr>
    </w:p>
    <w:p w14:paraId="025D98AF" w14:textId="77777777" w:rsidR="00091A67" w:rsidRDefault="00FE4D59" w:rsidP="00091A67">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a</w:t>
      </w:r>
      <w:r w:rsidR="00557B2E" w:rsidRPr="00557B2E">
        <w:rPr>
          <w:rFonts w:eastAsiaTheme="minorHAnsi"/>
          <w:sz w:val="26"/>
          <w:szCs w:val="26"/>
          <w:lang w:eastAsia="en-US"/>
        </w:rPr>
        <w:t xml:space="preserve">izstāt pirmajā daļā vārdus </w:t>
      </w:r>
      <w:r>
        <w:rPr>
          <w:rFonts w:eastAsiaTheme="minorHAnsi"/>
          <w:sz w:val="26"/>
          <w:szCs w:val="26"/>
          <w:lang w:eastAsia="en-US"/>
        </w:rPr>
        <w:t>“</w:t>
      </w:r>
      <w:r w:rsidR="00557B2E" w:rsidRPr="00557B2E">
        <w:rPr>
          <w:rFonts w:eastAsiaTheme="minorHAnsi"/>
          <w:sz w:val="26"/>
          <w:szCs w:val="26"/>
          <w:lang w:eastAsia="en-US"/>
        </w:rPr>
        <w:t>sākot no astotās darbdienas</w:t>
      </w:r>
      <w:r>
        <w:rPr>
          <w:rFonts w:eastAsiaTheme="minorHAnsi"/>
          <w:sz w:val="26"/>
          <w:szCs w:val="26"/>
          <w:lang w:eastAsia="en-US"/>
        </w:rPr>
        <w:t>”</w:t>
      </w:r>
      <w:r w:rsidR="00557B2E" w:rsidRPr="00557B2E">
        <w:rPr>
          <w:rFonts w:eastAsiaTheme="minorHAnsi"/>
          <w:sz w:val="26"/>
          <w:szCs w:val="26"/>
          <w:lang w:eastAsia="en-US"/>
        </w:rPr>
        <w:t xml:space="preserve"> ar vārdiem </w:t>
      </w:r>
      <w:r>
        <w:rPr>
          <w:rFonts w:eastAsiaTheme="minorHAnsi"/>
          <w:sz w:val="26"/>
          <w:szCs w:val="26"/>
          <w:lang w:eastAsia="en-US"/>
        </w:rPr>
        <w:t>“</w:t>
      </w:r>
      <w:r w:rsidR="00557B2E" w:rsidRPr="00557B2E">
        <w:rPr>
          <w:rFonts w:eastAsiaTheme="minorHAnsi"/>
          <w:sz w:val="26"/>
          <w:szCs w:val="26"/>
          <w:lang w:eastAsia="en-US"/>
        </w:rPr>
        <w:t>septiņu darbdienu laikā</w:t>
      </w:r>
      <w:r>
        <w:rPr>
          <w:rFonts w:eastAsiaTheme="minorHAnsi"/>
          <w:sz w:val="26"/>
          <w:szCs w:val="26"/>
          <w:lang w:eastAsia="en-US"/>
        </w:rPr>
        <w:t>”</w:t>
      </w:r>
      <w:r w:rsidR="00557B2E" w:rsidRPr="00557B2E">
        <w:rPr>
          <w:rFonts w:eastAsiaTheme="minorHAnsi"/>
          <w:sz w:val="26"/>
          <w:szCs w:val="26"/>
          <w:lang w:eastAsia="en-US"/>
        </w:rPr>
        <w:t>;</w:t>
      </w:r>
    </w:p>
    <w:p w14:paraId="5BB71E4E" w14:textId="77777777" w:rsidR="00091A67" w:rsidRDefault="00091A67" w:rsidP="00364351">
      <w:pPr>
        <w:pStyle w:val="tv213"/>
        <w:shd w:val="clear" w:color="auto" w:fill="FFFFFF"/>
        <w:spacing w:before="0" w:beforeAutospacing="0" w:after="0" w:afterAutospacing="0"/>
        <w:ind w:firstLine="720"/>
        <w:jc w:val="both"/>
        <w:rPr>
          <w:rFonts w:eastAsiaTheme="minorHAnsi"/>
          <w:sz w:val="26"/>
          <w:szCs w:val="26"/>
          <w:lang w:eastAsia="en-US"/>
        </w:rPr>
      </w:pPr>
    </w:p>
    <w:p w14:paraId="1B12810A" w14:textId="77777777" w:rsidR="00557B2E" w:rsidRDefault="00091A67" w:rsidP="00364351">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a</w:t>
      </w:r>
      <w:r w:rsidR="00557B2E" w:rsidRPr="00557B2E">
        <w:rPr>
          <w:rFonts w:eastAsiaTheme="minorHAnsi"/>
          <w:sz w:val="26"/>
          <w:szCs w:val="26"/>
          <w:lang w:eastAsia="en-US"/>
        </w:rPr>
        <w:t xml:space="preserve">izstāt otrajā daļā skaitli </w:t>
      </w:r>
      <w:r>
        <w:rPr>
          <w:rFonts w:eastAsiaTheme="minorHAnsi"/>
          <w:sz w:val="26"/>
          <w:szCs w:val="26"/>
          <w:lang w:eastAsia="en-US"/>
        </w:rPr>
        <w:t>“</w:t>
      </w:r>
      <w:r w:rsidR="00557B2E" w:rsidRPr="00557B2E">
        <w:rPr>
          <w:rFonts w:eastAsiaTheme="minorHAnsi"/>
          <w:sz w:val="26"/>
          <w:szCs w:val="26"/>
          <w:lang w:eastAsia="en-US"/>
        </w:rPr>
        <w:t>100</w:t>
      </w:r>
      <w:r>
        <w:rPr>
          <w:rFonts w:eastAsiaTheme="minorHAnsi"/>
          <w:sz w:val="26"/>
          <w:szCs w:val="26"/>
          <w:lang w:eastAsia="en-US"/>
        </w:rPr>
        <w:t>”</w:t>
      </w:r>
      <w:r w:rsidR="00557B2E" w:rsidRPr="00557B2E">
        <w:rPr>
          <w:rFonts w:eastAsiaTheme="minorHAnsi"/>
          <w:sz w:val="26"/>
          <w:szCs w:val="26"/>
          <w:lang w:eastAsia="en-US"/>
        </w:rPr>
        <w:t xml:space="preserve"> ar skaitli </w:t>
      </w:r>
      <w:r>
        <w:rPr>
          <w:rFonts w:eastAsiaTheme="minorHAnsi"/>
          <w:sz w:val="26"/>
          <w:szCs w:val="26"/>
          <w:lang w:eastAsia="en-US"/>
        </w:rPr>
        <w:t>“</w:t>
      </w:r>
      <w:r w:rsidR="00557B2E" w:rsidRPr="00557B2E">
        <w:rPr>
          <w:rFonts w:eastAsiaTheme="minorHAnsi"/>
          <w:sz w:val="26"/>
          <w:szCs w:val="26"/>
          <w:lang w:eastAsia="en-US"/>
        </w:rPr>
        <w:t>500</w:t>
      </w:r>
      <w:r>
        <w:rPr>
          <w:rFonts w:eastAsiaTheme="minorHAnsi"/>
          <w:sz w:val="26"/>
          <w:szCs w:val="26"/>
          <w:lang w:eastAsia="en-US"/>
        </w:rPr>
        <w:t>”</w:t>
      </w:r>
      <w:r w:rsidR="00557B2E" w:rsidRPr="00557B2E">
        <w:rPr>
          <w:rFonts w:eastAsiaTheme="minorHAnsi"/>
          <w:sz w:val="26"/>
          <w:szCs w:val="26"/>
          <w:lang w:eastAsia="en-US"/>
        </w:rPr>
        <w:t>.</w:t>
      </w:r>
    </w:p>
    <w:p w14:paraId="2FED19ED" w14:textId="77777777" w:rsidR="00A310E2" w:rsidRDefault="00A310E2" w:rsidP="00364351">
      <w:pPr>
        <w:pStyle w:val="tv213"/>
        <w:shd w:val="clear" w:color="auto" w:fill="FFFFFF"/>
        <w:spacing w:before="0" w:beforeAutospacing="0" w:after="0" w:afterAutospacing="0"/>
        <w:ind w:firstLine="720"/>
        <w:jc w:val="both"/>
        <w:rPr>
          <w:rFonts w:eastAsiaTheme="minorHAnsi"/>
          <w:sz w:val="26"/>
          <w:szCs w:val="26"/>
          <w:lang w:eastAsia="en-US"/>
        </w:rPr>
      </w:pPr>
    </w:p>
    <w:p w14:paraId="360862E7" w14:textId="752566D9" w:rsidR="00364351" w:rsidRDefault="00A310E2" w:rsidP="00364351">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1</w:t>
      </w:r>
      <w:r w:rsidR="000A1A08">
        <w:rPr>
          <w:rFonts w:eastAsiaTheme="minorHAnsi"/>
          <w:sz w:val="26"/>
          <w:szCs w:val="26"/>
          <w:lang w:eastAsia="en-US"/>
        </w:rPr>
        <w:t>5</w:t>
      </w:r>
      <w:r>
        <w:rPr>
          <w:rFonts w:eastAsiaTheme="minorHAnsi"/>
          <w:sz w:val="26"/>
          <w:szCs w:val="26"/>
          <w:lang w:eastAsia="en-US"/>
        </w:rPr>
        <w:t>.</w:t>
      </w:r>
      <w:r w:rsidR="006E4C9B">
        <w:rPr>
          <w:rFonts w:eastAsiaTheme="minorHAnsi"/>
          <w:sz w:val="26"/>
          <w:szCs w:val="26"/>
          <w:lang w:eastAsia="en-US"/>
        </w:rPr>
        <w:t xml:space="preserve"> </w:t>
      </w:r>
      <w:r w:rsidR="00364351" w:rsidRPr="00364351">
        <w:rPr>
          <w:rFonts w:eastAsiaTheme="minorHAnsi"/>
          <w:sz w:val="26"/>
          <w:szCs w:val="26"/>
          <w:lang w:eastAsia="en-US"/>
        </w:rPr>
        <w:t>27.</w:t>
      </w:r>
      <w:r w:rsidR="00364351">
        <w:rPr>
          <w:rFonts w:eastAsiaTheme="minorHAnsi"/>
          <w:sz w:val="26"/>
          <w:szCs w:val="26"/>
          <w:lang w:eastAsia="en-US"/>
        </w:rPr>
        <w:t> </w:t>
      </w:r>
      <w:r w:rsidR="00364351" w:rsidRPr="00364351">
        <w:rPr>
          <w:rFonts w:eastAsiaTheme="minorHAnsi"/>
          <w:sz w:val="26"/>
          <w:szCs w:val="26"/>
          <w:lang w:eastAsia="en-US"/>
        </w:rPr>
        <w:t>pantā:</w:t>
      </w:r>
    </w:p>
    <w:p w14:paraId="7AC70E88" w14:textId="77777777" w:rsidR="00364351" w:rsidRPr="00364351" w:rsidRDefault="00364351" w:rsidP="00364351">
      <w:pPr>
        <w:pStyle w:val="tv213"/>
        <w:shd w:val="clear" w:color="auto" w:fill="FFFFFF"/>
        <w:spacing w:before="0" w:beforeAutospacing="0" w:after="0" w:afterAutospacing="0"/>
        <w:ind w:firstLine="720"/>
        <w:jc w:val="both"/>
        <w:rPr>
          <w:rFonts w:eastAsiaTheme="minorHAnsi"/>
          <w:sz w:val="26"/>
          <w:szCs w:val="26"/>
          <w:lang w:eastAsia="en-US"/>
        </w:rPr>
      </w:pPr>
    </w:p>
    <w:p w14:paraId="418576B6" w14:textId="77777777" w:rsidR="00364351" w:rsidRDefault="00364351" w:rsidP="00364351">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a</w:t>
      </w:r>
      <w:r w:rsidRPr="00364351">
        <w:rPr>
          <w:rFonts w:eastAsiaTheme="minorHAnsi"/>
          <w:sz w:val="26"/>
          <w:szCs w:val="26"/>
          <w:lang w:eastAsia="en-US"/>
        </w:rPr>
        <w:t xml:space="preserve">izstāt visā pantā vārdu </w:t>
      </w:r>
      <w:r>
        <w:rPr>
          <w:rFonts w:eastAsiaTheme="minorHAnsi"/>
          <w:sz w:val="26"/>
          <w:szCs w:val="26"/>
          <w:lang w:eastAsia="en-US"/>
        </w:rPr>
        <w:t>“</w:t>
      </w:r>
      <w:r w:rsidRPr="00364351">
        <w:rPr>
          <w:rFonts w:eastAsiaTheme="minorHAnsi"/>
          <w:sz w:val="26"/>
          <w:szCs w:val="26"/>
          <w:lang w:eastAsia="en-US"/>
        </w:rPr>
        <w:t>atteikt</w:t>
      </w:r>
      <w:r>
        <w:rPr>
          <w:rFonts w:eastAsiaTheme="minorHAnsi"/>
          <w:sz w:val="26"/>
          <w:szCs w:val="26"/>
          <w:lang w:eastAsia="en-US"/>
        </w:rPr>
        <w:t>”</w:t>
      </w:r>
      <w:r w:rsidRPr="00364351">
        <w:rPr>
          <w:rFonts w:eastAsiaTheme="minorHAnsi"/>
          <w:sz w:val="26"/>
          <w:szCs w:val="26"/>
          <w:lang w:eastAsia="en-US"/>
        </w:rPr>
        <w:t xml:space="preserve"> ar vārdu </w:t>
      </w:r>
      <w:r>
        <w:rPr>
          <w:rFonts w:eastAsiaTheme="minorHAnsi"/>
          <w:sz w:val="26"/>
          <w:szCs w:val="26"/>
          <w:lang w:eastAsia="en-US"/>
        </w:rPr>
        <w:t>“</w:t>
      </w:r>
      <w:r w:rsidRPr="00364351">
        <w:rPr>
          <w:rFonts w:eastAsiaTheme="minorHAnsi"/>
          <w:sz w:val="26"/>
          <w:szCs w:val="26"/>
          <w:lang w:eastAsia="en-US"/>
        </w:rPr>
        <w:t>atlikt</w:t>
      </w:r>
      <w:r>
        <w:rPr>
          <w:rFonts w:eastAsiaTheme="minorHAnsi"/>
          <w:sz w:val="26"/>
          <w:szCs w:val="26"/>
          <w:lang w:eastAsia="en-US"/>
        </w:rPr>
        <w:t>”</w:t>
      </w:r>
      <w:r w:rsidRPr="00364351">
        <w:rPr>
          <w:rFonts w:eastAsiaTheme="minorHAnsi"/>
          <w:sz w:val="26"/>
          <w:szCs w:val="26"/>
          <w:lang w:eastAsia="en-US"/>
        </w:rPr>
        <w:t xml:space="preserve"> attiecīgā locījumā;</w:t>
      </w:r>
    </w:p>
    <w:p w14:paraId="3827EEF9" w14:textId="77777777" w:rsidR="00364351" w:rsidRPr="00364351" w:rsidRDefault="00364351" w:rsidP="00364351">
      <w:pPr>
        <w:pStyle w:val="tv213"/>
        <w:shd w:val="clear" w:color="auto" w:fill="FFFFFF"/>
        <w:spacing w:before="0" w:beforeAutospacing="0" w:after="0" w:afterAutospacing="0"/>
        <w:ind w:firstLine="720"/>
        <w:jc w:val="both"/>
        <w:rPr>
          <w:rFonts w:eastAsiaTheme="minorHAnsi"/>
          <w:sz w:val="26"/>
          <w:szCs w:val="26"/>
          <w:lang w:eastAsia="en-US"/>
        </w:rPr>
      </w:pPr>
    </w:p>
    <w:p w14:paraId="6F078B8A" w14:textId="77777777" w:rsidR="00364351" w:rsidRPr="00364351" w:rsidRDefault="000E129A" w:rsidP="00364351">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p</w:t>
      </w:r>
      <w:r w:rsidR="00364351" w:rsidRPr="00364351">
        <w:rPr>
          <w:rFonts w:eastAsiaTheme="minorHAnsi"/>
          <w:sz w:val="26"/>
          <w:szCs w:val="26"/>
          <w:lang w:eastAsia="en-US"/>
        </w:rPr>
        <w:t>apildināt pirmās daļas 1.</w:t>
      </w:r>
      <w:r w:rsidR="004E3335">
        <w:rPr>
          <w:rFonts w:eastAsiaTheme="minorHAnsi"/>
          <w:sz w:val="26"/>
          <w:szCs w:val="26"/>
          <w:lang w:eastAsia="en-US"/>
        </w:rPr>
        <w:t> </w:t>
      </w:r>
      <w:r w:rsidR="00364351" w:rsidRPr="00364351">
        <w:rPr>
          <w:rFonts w:eastAsiaTheme="minorHAnsi"/>
          <w:sz w:val="26"/>
          <w:szCs w:val="26"/>
          <w:lang w:eastAsia="en-US"/>
        </w:rPr>
        <w:t xml:space="preserve">punktu aiz vārdiem </w:t>
      </w:r>
      <w:r w:rsidR="004E3335">
        <w:rPr>
          <w:rFonts w:eastAsiaTheme="minorHAnsi"/>
          <w:sz w:val="26"/>
          <w:szCs w:val="26"/>
          <w:lang w:eastAsia="en-US"/>
        </w:rPr>
        <w:t>“</w:t>
      </w:r>
      <w:r w:rsidR="00364351" w:rsidRPr="00364351">
        <w:rPr>
          <w:rFonts w:eastAsiaTheme="minorHAnsi"/>
          <w:sz w:val="26"/>
          <w:szCs w:val="26"/>
          <w:lang w:eastAsia="en-US"/>
        </w:rPr>
        <w:t>saņemt garantēto atlīdzību</w:t>
      </w:r>
      <w:r w:rsidR="004E3335">
        <w:rPr>
          <w:rFonts w:eastAsiaTheme="minorHAnsi"/>
          <w:sz w:val="26"/>
          <w:szCs w:val="26"/>
          <w:lang w:eastAsia="en-US"/>
        </w:rPr>
        <w:t>”</w:t>
      </w:r>
      <w:r w:rsidR="00364351" w:rsidRPr="00364351">
        <w:rPr>
          <w:rFonts w:eastAsiaTheme="minorHAnsi"/>
          <w:sz w:val="26"/>
          <w:szCs w:val="26"/>
          <w:lang w:eastAsia="en-US"/>
        </w:rPr>
        <w:t xml:space="preserve"> </w:t>
      </w:r>
      <w:r w:rsidR="004E3335">
        <w:rPr>
          <w:rFonts w:eastAsiaTheme="minorHAnsi"/>
          <w:sz w:val="26"/>
          <w:szCs w:val="26"/>
          <w:lang w:eastAsia="en-US"/>
        </w:rPr>
        <w:t>ar vārdiem</w:t>
      </w:r>
      <w:r w:rsidR="00364351" w:rsidRPr="00364351">
        <w:rPr>
          <w:rFonts w:eastAsiaTheme="minorHAnsi"/>
          <w:sz w:val="26"/>
          <w:szCs w:val="26"/>
          <w:lang w:eastAsia="en-US"/>
        </w:rPr>
        <w:t xml:space="preserve"> </w:t>
      </w:r>
      <w:r w:rsidR="004E3335">
        <w:rPr>
          <w:rFonts w:eastAsiaTheme="minorHAnsi"/>
          <w:sz w:val="26"/>
          <w:szCs w:val="26"/>
          <w:lang w:eastAsia="en-US"/>
        </w:rPr>
        <w:t>“</w:t>
      </w:r>
      <w:r w:rsidR="00364351" w:rsidRPr="00364351">
        <w:rPr>
          <w:rFonts w:eastAsiaTheme="minorHAnsi"/>
          <w:sz w:val="26"/>
          <w:szCs w:val="26"/>
          <w:lang w:eastAsia="en-US"/>
        </w:rPr>
        <w:t>, tai skaitā saskaņā ar Noziedzīgi iegūtu līdzekļu legalizācijas un terorisma un proliferācijas finansēšanas novēršanas likuma un tam pakārtoto normatīvo aktu prasību ievērošanu;</w:t>
      </w:r>
      <w:r w:rsidR="004E3335">
        <w:rPr>
          <w:rFonts w:eastAsiaTheme="minorHAnsi"/>
          <w:sz w:val="26"/>
          <w:szCs w:val="26"/>
          <w:lang w:eastAsia="en-US"/>
        </w:rPr>
        <w:t>”;</w:t>
      </w:r>
    </w:p>
    <w:p w14:paraId="0F81191C" w14:textId="77777777" w:rsidR="00364351" w:rsidRPr="00364351" w:rsidRDefault="00364351" w:rsidP="00364351">
      <w:pPr>
        <w:pStyle w:val="tv213"/>
        <w:shd w:val="clear" w:color="auto" w:fill="FFFFFF"/>
        <w:spacing w:before="0" w:beforeAutospacing="0" w:after="0" w:afterAutospacing="0"/>
        <w:ind w:firstLine="720"/>
        <w:jc w:val="both"/>
        <w:rPr>
          <w:rFonts w:eastAsiaTheme="minorHAnsi"/>
          <w:sz w:val="26"/>
          <w:szCs w:val="26"/>
          <w:lang w:eastAsia="en-US"/>
        </w:rPr>
      </w:pPr>
    </w:p>
    <w:p w14:paraId="66ACF0E8" w14:textId="77777777" w:rsidR="00A310E2" w:rsidRDefault="004E3335" w:rsidP="00364351">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a</w:t>
      </w:r>
      <w:r w:rsidR="00364351" w:rsidRPr="00364351">
        <w:rPr>
          <w:rFonts w:eastAsiaTheme="minorHAnsi"/>
          <w:sz w:val="26"/>
          <w:szCs w:val="26"/>
          <w:lang w:eastAsia="en-US"/>
        </w:rPr>
        <w:t xml:space="preserve">izstāt trešajā daļā vārdus </w:t>
      </w:r>
      <w:r>
        <w:rPr>
          <w:rFonts w:eastAsiaTheme="minorHAnsi"/>
          <w:sz w:val="26"/>
          <w:szCs w:val="26"/>
          <w:lang w:eastAsia="en-US"/>
        </w:rPr>
        <w:t>“</w:t>
      </w:r>
      <w:r w:rsidR="00364351" w:rsidRPr="00364351">
        <w:rPr>
          <w:rFonts w:eastAsiaTheme="minorHAnsi"/>
          <w:sz w:val="26"/>
          <w:szCs w:val="26"/>
          <w:lang w:eastAsia="en-US"/>
        </w:rPr>
        <w:t>atteikumam personai izmaksāt garantēto atlīdzību</w:t>
      </w:r>
      <w:r>
        <w:rPr>
          <w:rFonts w:eastAsiaTheme="minorHAnsi"/>
          <w:sz w:val="26"/>
          <w:szCs w:val="26"/>
          <w:lang w:eastAsia="en-US"/>
        </w:rPr>
        <w:t>”</w:t>
      </w:r>
      <w:r w:rsidR="00364351" w:rsidRPr="00364351">
        <w:rPr>
          <w:rFonts w:eastAsiaTheme="minorHAnsi"/>
          <w:sz w:val="26"/>
          <w:szCs w:val="26"/>
          <w:lang w:eastAsia="en-US"/>
        </w:rPr>
        <w:t xml:space="preserve"> ar vārdiem </w:t>
      </w:r>
      <w:r>
        <w:rPr>
          <w:rFonts w:eastAsiaTheme="minorHAnsi"/>
          <w:sz w:val="26"/>
          <w:szCs w:val="26"/>
          <w:lang w:eastAsia="en-US"/>
        </w:rPr>
        <w:t>“</w:t>
      </w:r>
      <w:r w:rsidR="00364351" w:rsidRPr="00364351">
        <w:rPr>
          <w:rFonts w:eastAsiaTheme="minorHAnsi"/>
          <w:sz w:val="26"/>
          <w:szCs w:val="26"/>
          <w:lang w:eastAsia="en-US"/>
        </w:rPr>
        <w:t>atliktai garantētās atlīdzības izmaksai</w:t>
      </w:r>
      <w:r>
        <w:rPr>
          <w:rFonts w:eastAsiaTheme="minorHAnsi"/>
          <w:sz w:val="26"/>
          <w:szCs w:val="26"/>
          <w:lang w:eastAsia="en-US"/>
        </w:rPr>
        <w:t>”</w:t>
      </w:r>
      <w:r w:rsidR="00364351" w:rsidRPr="00364351">
        <w:rPr>
          <w:rFonts w:eastAsiaTheme="minorHAnsi"/>
          <w:sz w:val="26"/>
          <w:szCs w:val="26"/>
          <w:lang w:eastAsia="en-US"/>
        </w:rPr>
        <w:t>.</w:t>
      </w:r>
    </w:p>
    <w:p w14:paraId="13A2D4CB" w14:textId="77777777" w:rsidR="004E3335" w:rsidRDefault="004E3335" w:rsidP="00364351">
      <w:pPr>
        <w:pStyle w:val="tv213"/>
        <w:shd w:val="clear" w:color="auto" w:fill="FFFFFF"/>
        <w:spacing w:before="0" w:beforeAutospacing="0" w:after="0" w:afterAutospacing="0"/>
        <w:ind w:firstLine="720"/>
        <w:jc w:val="both"/>
        <w:rPr>
          <w:rFonts w:eastAsiaTheme="minorHAnsi"/>
          <w:sz w:val="26"/>
          <w:szCs w:val="26"/>
          <w:lang w:eastAsia="en-US"/>
        </w:rPr>
      </w:pPr>
    </w:p>
    <w:p w14:paraId="68CA216C" w14:textId="6039FFA6" w:rsidR="001738D2" w:rsidRPr="001738D2" w:rsidRDefault="00E32A33" w:rsidP="007E319B">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1</w:t>
      </w:r>
      <w:r w:rsidR="0036481C">
        <w:rPr>
          <w:rFonts w:eastAsiaTheme="minorHAnsi"/>
          <w:sz w:val="26"/>
          <w:szCs w:val="26"/>
          <w:lang w:eastAsia="en-US"/>
        </w:rPr>
        <w:t>6</w:t>
      </w:r>
      <w:r w:rsidR="004E3335">
        <w:rPr>
          <w:rFonts w:eastAsiaTheme="minorHAnsi"/>
          <w:sz w:val="26"/>
          <w:szCs w:val="26"/>
          <w:lang w:eastAsia="en-US"/>
        </w:rPr>
        <w:t xml:space="preserve">. </w:t>
      </w:r>
      <w:r w:rsidR="001738D2" w:rsidRPr="001738D2">
        <w:rPr>
          <w:rFonts w:eastAsiaTheme="minorHAnsi"/>
          <w:sz w:val="26"/>
          <w:szCs w:val="26"/>
          <w:lang w:eastAsia="en-US"/>
        </w:rPr>
        <w:t>Papildināt 28.</w:t>
      </w:r>
      <w:r w:rsidR="00E31E89">
        <w:rPr>
          <w:rFonts w:eastAsiaTheme="minorHAnsi"/>
          <w:sz w:val="26"/>
          <w:szCs w:val="26"/>
          <w:lang w:eastAsia="en-US"/>
        </w:rPr>
        <w:t> </w:t>
      </w:r>
      <w:r w:rsidR="001738D2" w:rsidRPr="001738D2">
        <w:rPr>
          <w:rFonts w:eastAsiaTheme="minorHAnsi"/>
          <w:sz w:val="26"/>
          <w:szCs w:val="26"/>
          <w:lang w:eastAsia="en-US"/>
        </w:rPr>
        <w:t>pantu ar (2</w:t>
      </w:r>
      <w:r w:rsidR="001738D2" w:rsidRPr="001738D2">
        <w:rPr>
          <w:rFonts w:eastAsiaTheme="minorHAnsi"/>
          <w:sz w:val="26"/>
          <w:szCs w:val="26"/>
          <w:vertAlign w:val="superscript"/>
          <w:lang w:eastAsia="en-US"/>
        </w:rPr>
        <w:t>1</w:t>
      </w:r>
      <w:r w:rsidR="001738D2" w:rsidRPr="001738D2">
        <w:rPr>
          <w:rFonts w:eastAsiaTheme="minorHAnsi"/>
          <w:sz w:val="26"/>
          <w:szCs w:val="26"/>
          <w:lang w:eastAsia="en-US"/>
        </w:rPr>
        <w:t>) daļu šādā redakcijā:</w:t>
      </w:r>
    </w:p>
    <w:p w14:paraId="2D71167C" w14:textId="77777777" w:rsidR="00F030F3" w:rsidRDefault="00F030F3" w:rsidP="007E319B">
      <w:pPr>
        <w:pStyle w:val="tv213"/>
        <w:shd w:val="clear" w:color="auto" w:fill="FFFFFF"/>
        <w:spacing w:before="0" w:beforeAutospacing="0" w:after="0" w:afterAutospacing="0"/>
        <w:ind w:firstLine="720"/>
        <w:jc w:val="both"/>
        <w:rPr>
          <w:rFonts w:eastAsiaTheme="minorHAnsi"/>
          <w:sz w:val="26"/>
          <w:szCs w:val="26"/>
          <w:lang w:eastAsia="en-US"/>
        </w:rPr>
      </w:pPr>
    </w:p>
    <w:p w14:paraId="66785C40" w14:textId="65FB0F76" w:rsidR="004E3335" w:rsidRDefault="00B2358F" w:rsidP="007E319B">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w:t>
      </w:r>
      <w:r w:rsidR="001738D2" w:rsidRPr="001738D2">
        <w:rPr>
          <w:rFonts w:eastAsiaTheme="minorHAnsi"/>
          <w:sz w:val="26"/>
          <w:szCs w:val="26"/>
          <w:lang w:eastAsia="en-US"/>
        </w:rPr>
        <w:t>(2</w:t>
      </w:r>
      <w:r w:rsidR="001738D2" w:rsidRPr="0012384D">
        <w:rPr>
          <w:rFonts w:eastAsiaTheme="minorHAnsi"/>
          <w:sz w:val="26"/>
          <w:szCs w:val="26"/>
          <w:vertAlign w:val="superscript"/>
          <w:lang w:eastAsia="en-US"/>
        </w:rPr>
        <w:t>1</w:t>
      </w:r>
      <w:r w:rsidR="001738D2" w:rsidRPr="001738D2">
        <w:rPr>
          <w:rFonts w:eastAsiaTheme="minorHAnsi"/>
          <w:sz w:val="26"/>
          <w:szCs w:val="26"/>
          <w:lang w:eastAsia="en-US"/>
        </w:rPr>
        <w:t>) Noguldījumu piesaistītājs, atsaucoties uz šā panta otr</w:t>
      </w:r>
      <w:r w:rsidR="00CF396D">
        <w:rPr>
          <w:rFonts w:eastAsiaTheme="minorHAnsi"/>
          <w:sz w:val="26"/>
          <w:szCs w:val="26"/>
          <w:lang w:eastAsia="en-US"/>
        </w:rPr>
        <w:t>aj</w:t>
      </w:r>
      <w:r w:rsidR="001738D2" w:rsidRPr="001738D2">
        <w:rPr>
          <w:rFonts w:eastAsiaTheme="minorHAnsi"/>
          <w:sz w:val="26"/>
          <w:szCs w:val="26"/>
          <w:lang w:eastAsia="en-US"/>
        </w:rPr>
        <w:t>ā daļā minēto veidlapu, apstiprinājumu, ka noguldījum</w:t>
      </w:r>
      <w:r w:rsidR="00CF396D">
        <w:rPr>
          <w:rFonts w:eastAsiaTheme="minorHAnsi"/>
          <w:sz w:val="26"/>
          <w:szCs w:val="26"/>
          <w:lang w:eastAsia="en-US"/>
        </w:rPr>
        <w:t>s</w:t>
      </w:r>
      <w:r w:rsidR="001738D2" w:rsidRPr="001738D2">
        <w:rPr>
          <w:rFonts w:eastAsiaTheme="minorHAnsi"/>
          <w:sz w:val="26"/>
          <w:szCs w:val="26"/>
          <w:lang w:eastAsia="en-US"/>
        </w:rPr>
        <w:t xml:space="preserve"> ir atbilstīg</w:t>
      </w:r>
      <w:r w:rsidR="00CF396D">
        <w:rPr>
          <w:rFonts w:eastAsiaTheme="minorHAnsi"/>
          <w:sz w:val="26"/>
          <w:szCs w:val="26"/>
          <w:lang w:eastAsia="en-US"/>
        </w:rPr>
        <w:t>s</w:t>
      </w:r>
      <w:r w:rsidR="001738D2" w:rsidRPr="001738D2">
        <w:rPr>
          <w:rFonts w:eastAsiaTheme="minorHAnsi"/>
          <w:sz w:val="26"/>
          <w:szCs w:val="26"/>
          <w:lang w:eastAsia="en-US"/>
        </w:rPr>
        <w:t xml:space="preserve"> noguldījum</w:t>
      </w:r>
      <w:r w:rsidR="00CF396D">
        <w:rPr>
          <w:rFonts w:eastAsiaTheme="minorHAnsi"/>
          <w:sz w:val="26"/>
          <w:szCs w:val="26"/>
          <w:lang w:eastAsia="en-US"/>
        </w:rPr>
        <w:t>s</w:t>
      </w:r>
      <w:r w:rsidR="001738D2" w:rsidRPr="001738D2">
        <w:rPr>
          <w:rFonts w:eastAsiaTheme="minorHAnsi"/>
          <w:sz w:val="26"/>
          <w:szCs w:val="26"/>
          <w:lang w:eastAsia="en-US"/>
        </w:rPr>
        <w:t>,</w:t>
      </w:r>
      <w:r w:rsidR="00CF396D">
        <w:rPr>
          <w:rFonts w:eastAsiaTheme="minorHAnsi"/>
          <w:sz w:val="26"/>
          <w:szCs w:val="26"/>
          <w:lang w:eastAsia="en-US"/>
        </w:rPr>
        <w:t xml:space="preserve"> kas atbilst šā panta pirmās daļas </w:t>
      </w:r>
      <w:r w:rsidR="00342CEC">
        <w:rPr>
          <w:rFonts w:eastAsiaTheme="minorHAnsi"/>
          <w:sz w:val="26"/>
          <w:szCs w:val="26"/>
          <w:lang w:eastAsia="en-US"/>
        </w:rPr>
        <w:t>2.</w:t>
      </w:r>
      <w:r w:rsidR="00CF396D">
        <w:rPr>
          <w:rFonts w:eastAsiaTheme="minorHAnsi"/>
          <w:sz w:val="26"/>
          <w:szCs w:val="26"/>
          <w:lang w:eastAsia="en-US"/>
        </w:rPr>
        <w:t>punktā minētajam,</w:t>
      </w:r>
      <w:r w:rsidR="001738D2" w:rsidRPr="001738D2">
        <w:rPr>
          <w:rFonts w:eastAsiaTheme="minorHAnsi"/>
          <w:sz w:val="26"/>
          <w:szCs w:val="26"/>
          <w:lang w:eastAsia="en-US"/>
        </w:rPr>
        <w:t xml:space="preserve"> noguldītājiem sniedz izmantojot noguldītāja internetbanku vai citu komunikācijas kanālu, kas ir atbilstošs konkrētās informācijas nodošanai.</w:t>
      </w:r>
      <w:r w:rsidR="001379A3">
        <w:rPr>
          <w:rFonts w:eastAsiaTheme="minorHAnsi"/>
          <w:sz w:val="26"/>
          <w:szCs w:val="26"/>
          <w:lang w:eastAsia="en-US"/>
        </w:rPr>
        <w:t>”.</w:t>
      </w:r>
    </w:p>
    <w:p w14:paraId="3277EED9" w14:textId="77777777" w:rsidR="00064E4D" w:rsidRDefault="00064E4D" w:rsidP="007E319B">
      <w:pPr>
        <w:pStyle w:val="tv213"/>
        <w:shd w:val="clear" w:color="auto" w:fill="FFFFFF"/>
        <w:spacing w:before="0" w:beforeAutospacing="0" w:after="0" w:afterAutospacing="0"/>
        <w:ind w:firstLine="720"/>
        <w:jc w:val="both"/>
        <w:rPr>
          <w:rFonts w:eastAsiaTheme="minorHAnsi"/>
          <w:sz w:val="26"/>
          <w:szCs w:val="26"/>
          <w:lang w:eastAsia="en-US"/>
        </w:rPr>
      </w:pPr>
    </w:p>
    <w:p w14:paraId="3E12CE61" w14:textId="0CFB3F43" w:rsidR="00064E4D" w:rsidRDefault="00064E4D" w:rsidP="007E319B">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1</w:t>
      </w:r>
      <w:r w:rsidR="009161DE">
        <w:rPr>
          <w:rFonts w:eastAsiaTheme="minorHAnsi"/>
          <w:sz w:val="26"/>
          <w:szCs w:val="26"/>
          <w:lang w:eastAsia="en-US"/>
        </w:rPr>
        <w:t>7</w:t>
      </w:r>
      <w:r>
        <w:rPr>
          <w:rFonts w:eastAsiaTheme="minorHAnsi"/>
          <w:sz w:val="26"/>
          <w:szCs w:val="26"/>
          <w:lang w:eastAsia="en-US"/>
        </w:rPr>
        <w:t xml:space="preserve">. </w:t>
      </w:r>
      <w:r w:rsidR="0053795A" w:rsidRPr="0053795A">
        <w:rPr>
          <w:rFonts w:eastAsiaTheme="minorHAnsi"/>
          <w:sz w:val="26"/>
          <w:szCs w:val="26"/>
          <w:lang w:eastAsia="en-US"/>
        </w:rPr>
        <w:t>Papildināt 30.</w:t>
      </w:r>
      <w:r w:rsidR="0053795A">
        <w:rPr>
          <w:rFonts w:eastAsiaTheme="minorHAnsi"/>
          <w:sz w:val="26"/>
          <w:szCs w:val="26"/>
          <w:lang w:eastAsia="en-US"/>
        </w:rPr>
        <w:t> </w:t>
      </w:r>
      <w:r w:rsidR="0053795A" w:rsidRPr="0053795A">
        <w:rPr>
          <w:rFonts w:eastAsiaTheme="minorHAnsi"/>
          <w:sz w:val="26"/>
          <w:szCs w:val="26"/>
          <w:lang w:eastAsia="en-US"/>
        </w:rPr>
        <w:t xml:space="preserve">pantu aiz vārdiem </w:t>
      </w:r>
      <w:r w:rsidR="006F6214">
        <w:rPr>
          <w:rFonts w:eastAsiaTheme="minorHAnsi"/>
          <w:sz w:val="26"/>
          <w:szCs w:val="26"/>
          <w:lang w:eastAsia="en-US"/>
        </w:rPr>
        <w:t>“</w:t>
      </w:r>
      <w:r w:rsidR="0053795A" w:rsidRPr="0053795A">
        <w:rPr>
          <w:rFonts w:eastAsiaTheme="minorHAnsi"/>
          <w:sz w:val="26"/>
          <w:szCs w:val="26"/>
          <w:lang w:eastAsia="en-US"/>
        </w:rPr>
        <w:t>uz citu noguldītāja izraudzītu kredītiestādi</w:t>
      </w:r>
      <w:r w:rsidR="006F6214">
        <w:rPr>
          <w:rFonts w:eastAsiaTheme="minorHAnsi"/>
          <w:sz w:val="26"/>
          <w:szCs w:val="26"/>
          <w:lang w:eastAsia="en-US"/>
        </w:rPr>
        <w:t>”</w:t>
      </w:r>
      <w:r w:rsidR="0053795A" w:rsidRPr="0053795A">
        <w:rPr>
          <w:rFonts w:eastAsiaTheme="minorHAnsi"/>
          <w:sz w:val="26"/>
          <w:szCs w:val="26"/>
          <w:lang w:eastAsia="en-US"/>
        </w:rPr>
        <w:t xml:space="preserve"> </w:t>
      </w:r>
      <w:r w:rsidR="006F6214">
        <w:rPr>
          <w:rFonts w:eastAsiaTheme="minorHAnsi"/>
          <w:sz w:val="26"/>
          <w:szCs w:val="26"/>
          <w:lang w:eastAsia="en-US"/>
        </w:rPr>
        <w:t>ar</w:t>
      </w:r>
      <w:r w:rsidR="0053795A" w:rsidRPr="0053795A">
        <w:rPr>
          <w:rFonts w:eastAsiaTheme="minorHAnsi"/>
          <w:sz w:val="26"/>
          <w:szCs w:val="26"/>
          <w:lang w:eastAsia="en-US"/>
        </w:rPr>
        <w:t xml:space="preserve"> vārd</w:t>
      </w:r>
      <w:r w:rsidR="006F6214">
        <w:rPr>
          <w:rFonts w:eastAsiaTheme="minorHAnsi"/>
          <w:sz w:val="26"/>
          <w:szCs w:val="26"/>
          <w:lang w:eastAsia="en-US"/>
        </w:rPr>
        <w:t>iem</w:t>
      </w:r>
      <w:r w:rsidR="0053795A" w:rsidRPr="0053795A">
        <w:rPr>
          <w:rFonts w:eastAsiaTheme="minorHAnsi"/>
          <w:sz w:val="26"/>
          <w:szCs w:val="26"/>
          <w:lang w:eastAsia="en-US"/>
        </w:rPr>
        <w:t xml:space="preserve"> </w:t>
      </w:r>
      <w:r w:rsidR="006F6214">
        <w:rPr>
          <w:rFonts w:eastAsiaTheme="minorHAnsi"/>
          <w:sz w:val="26"/>
          <w:szCs w:val="26"/>
          <w:lang w:eastAsia="en-US"/>
        </w:rPr>
        <w:t>“</w:t>
      </w:r>
      <w:r w:rsidR="0053795A" w:rsidRPr="0053795A">
        <w:rPr>
          <w:rFonts w:eastAsiaTheme="minorHAnsi"/>
          <w:sz w:val="26"/>
          <w:szCs w:val="26"/>
          <w:lang w:eastAsia="en-US"/>
        </w:rPr>
        <w:t>vai izņemt savus noguldījumus un procentu maksājumus par tiem</w:t>
      </w:r>
      <w:r w:rsidR="006F6214">
        <w:rPr>
          <w:rFonts w:eastAsiaTheme="minorHAnsi"/>
          <w:sz w:val="26"/>
          <w:szCs w:val="26"/>
          <w:lang w:eastAsia="en-US"/>
        </w:rPr>
        <w:t>”</w:t>
      </w:r>
      <w:r w:rsidR="0053795A" w:rsidRPr="0053795A">
        <w:rPr>
          <w:rFonts w:eastAsiaTheme="minorHAnsi"/>
          <w:sz w:val="26"/>
          <w:szCs w:val="26"/>
          <w:lang w:eastAsia="en-US"/>
        </w:rPr>
        <w:t>.</w:t>
      </w:r>
    </w:p>
    <w:p w14:paraId="72842704" w14:textId="77777777" w:rsidR="0071264D" w:rsidRDefault="0071264D" w:rsidP="007E319B">
      <w:pPr>
        <w:pStyle w:val="tv213"/>
        <w:shd w:val="clear" w:color="auto" w:fill="FFFFFF"/>
        <w:spacing w:before="0" w:beforeAutospacing="0" w:after="0" w:afterAutospacing="0"/>
        <w:ind w:firstLine="720"/>
        <w:jc w:val="both"/>
        <w:rPr>
          <w:rFonts w:eastAsiaTheme="minorHAnsi"/>
          <w:sz w:val="26"/>
          <w:szCs w:val="26"/>
          <w:lang w:eastAsia="en-US"/>
        </w:rPr>
      </w:pPr>
    </w:p>
    <w:p w14:paraId="52D9C51B" w14:textId="6823CA28" w:rsidR="0071264D" w:rsidRDefault="0071264D" w:rsidP="007E319B">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1</w:t>
      </w:r>
      <w:r w:rsidR="009161DE">
        <w:rPr>
          <w:rFonts w:eastAsiaTheme="minorHAnsi"/>
          <w:sz w:val="26"/>
          <w:szCs w:val="26"/>
          <w:lang w:eastAsia="en-US"/>
        </w:rPr>
        <w:t>8</w:t>
      </w:r>
      <w:r>
        <w:rPr>
          <w:rFonts w:eastAsiaTheme="minorHAnsi"/>
          <w:sz w:val="26"/>
          <w:szCs w:val="26"/>
          <w:lang w:eastAsia="en-US"/>
        </w:rPr>
        <w:t xml:space="preserve">. </w:t>
      </w:r>
      <w:r w:rsidRPr="0071264D">
        <w:rPr>
          <w:rFonts w:eastAsiaTheme="minorHAnsi"/>
          <w:sz w:val="26"/>
          <w:szCs w:val="26"/>
          <w:lang w:eastAsia="en-US"/>
        </w:rPr>
        <w:t>Izteikt 34.</w:t>
      </w:r>
      <w:r>
        <w:rPr>
          <w:rFonts w:eastAsiaTheme="minorHAnsi"/>
          <w:sz w:val="26"/>
          <w:szCs w:val="26"/>
          <w:lang w:eastAsia="en-US"/>
        </w:rPr>
        <w:t xml:space="preserve"> </w:t>
      </w:r>
      <w:r w:rsidRPr="0071264D">
        <w:rPr>
          <w:rFonts w:eastAsiaTheme="minorHAnsi"/>
          <w:sz w:val="26"/>
          <w:szCs w:val="26"/>
          <w:lang w:eastAsia="en-US"/>
        </w:rPr>
        <w:t>panta pirmo daļu šādā redakcijā:</w:t>
      </w:r>
    </w:p>
    <w:p w14:paraId="076B7201" w14:textId="77777777" w:rsidR="007E319B" w:rsidRPr="0071264D" w:rsidRDefault="007E319B" w:rsidP="007E319B">
      <w:pPr>
        <w:pStyle w:val="tv213"/>
        <w:shd w:val="clear" w:color="auto" w:fill="FFFFFF"/>
        <w:spacing w:before="0" w:beforeAutospacing="0" w:after="0" w:afterAutospacing="0"/>
        <w:ind w:firstLine="720"/>
        <w:jc w:val="both"/>
        <w:rPr>
          <w:rFonts w:eastAsiaTheme="minorHAnsi"/>
          <w:sz w:val="26"/>
          <w:szCs w:val="26"/>
          <w:lang w:eastAsia="en-US"/>
        </w:rPr>
      </w:pPr>
    </w:p>
    <w:p w14:paraId="400157FF" w14:textId="77777777" w:rsidR="0071264D" w:rsidRPr="0071264D" w:rsidRDefault="007E319B" w:rsidP="007E319B">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w:t>
      </w:r>
      <w:r w:rsidR="0071264D" w:rsidRPr="0071264D">
        <w:rPr>
          <w:rFonts w:eastAsiaTheme="minorHAnsi"/>
          <w:sz w:val="26"/>
          <w:szCs w:val="26"/>
          <w:lang w:eastAsia="en-US"/>
        </w:rPr>
        <w:t>(1) Komisija nodrošina sadarbības līguma slēgšanu ar citu dalībvalstu noguldījumu garantiju fondu pārvaldītāja iestādēm. Sadarbības līgumā ietver vismaz šādus nosacījumus:</w:t>
      </w:r>
    </w:p>
    <w:p w14:paraId="0E999DFE" w14:textId="77777777" w:rsidR="0071264D" w:rsidRPr="0071264D" w:rsidRDefault="0071264D" w:rsidP="007E319B">
      <w:pPr>
        <w:pStyle w:val="tv213"/>
        <w:shd w:val="clear" w:color="auto" w:fill="FFFFFF"/>
        <w:spacing w:before="0" w:beforeAutospacing="0" w:after="0" w:afterAutospacing="0"/>
        <w:ind w:firstLine="720"/>
        <w:jc w:val="both"/>
        <w:rPr>
          <w:rFonts w:eastAsiaTheme="minorHAnsi"/>
          <w:sz w:val="26"/>
          <w:szCs w:val="26"/>
          <w:lang w:eastAsia="en-US"/>
        </w:rPr>
      </w:pPr>
      <w:r w:rsidRPr="0071264D">
        <w:rPr>
          <w:rFonts w:eastAsiaTheme="minorHAnsi"/>
          <w:sz w:val="26"/>
          <w:szCs w:val="26"/>
          <w:lang w:eastAsia="en-US"/>
        </w:rPr>
        <w:t>1) kārtība, kādā notiek savstarpējās informācijas apmaiņa starp noguldījumu garantiju fondiem;</w:t>
      </w:r>
    </w:p>
    <w:p w14:paraId="364ED046" w14:textId="77777777" w:rsidR="0071264D" w:rsidRPr="0071264D" w:rsidRDefault="0071264D" w:rsidP="00363928">
      <w:pPr>
        <w:pStyle w:val="tv213"/>
        <w:shd w:val="clear" w:color="auto" w:fill="FFFFFF"/>
        <w:spacing w:before="0" w:beforeAutospacing="0" w:after="0" w:afterAutospacing="0"/>
        <w:ind w:firstLine="720"/>
        <w:jc w:val="both"/>
        <w:rPr>
          <w:rFonts w:eastAsiaTheme="minorHAnsi"/>
          <w:sz w:val="26"/>
          <w:szCs w:val="26"/>
          <w:lang w:eastAsia="en-US"/>
        </w:rPr>
      </w:pPr>
      <w:r w:rsidRPr="0071264D">
        <w:rPr>
          <w:rFonts w:eastAsiaTheme="minorHAnsi"/>
          <w:sz w:val="26"/>
          <w:szCs w:val="26"/>
          <w:lang w:eastAsia="en-US"/>
        </w:rPr>
        <w:t>2) kārtība, kādā attiecīgās dalībvalsts noguldījumu garantiju fondu pārvaldītāja iestāde nodrošina informācijas apmaiņu ar noguldījumu piesaistītāja noguldītājiem Komisijas vārdā;</w:t>
      </w:r>
    </w:p>
    <w:p w14:paraId="0898CD59" w14:textId="77777777" w:rsidR="0071264D" w:rsidRDefault="0071264D" w:rsidP="00363928">
      <w:pPr>
        <w:pStyle w:val="tv213"/>
        <w:shd w:val="clear" w:color="auto" w:fill="FFFFFF"/>
        <w:spacing w:before="0" w:beforeAutospacing="0" w:after="0" w:afterAutospacing="0"/>
        <w:ind w:firstLine="720"/>
        <w:jc w:val="both"/>
        <w:rPr>
          <w:rFonts w:eastAsiaTheme="minorHAnsi"/>
          <w:sz w:val="26"/>
          <w:szCs w:val="26"/>
          <w:lang w:eastAsia="en-US"/>
        </w:rPr>
      </w:pPr>
      <w:r w:rsidRPr="0071264D">
        <w:rPr>
          <w:rFonts w:eastAsiaTheme="minorHAnsi"/>
          <w:sz w:val="26"/>
          <w:szCs w:val="26"/>
          <w:lang w:eastAsia="en-US"/>
        </w:rPr>
        <w:t>3) garantētās atlīdzības izmaksas kārtību, lai nodrošinātu efektīvu noguldījumu garantiju fondu darbību.</w:t>
      </w:r>
      <w:r w:rsidR="007E319B">
        <w:rPr>
          <w:rFonts w:eastAsiaTheme="minorHAnsi"/>
          <w:sz w:val="26"/>
          <w:szCs w:val="26"/>
          <w:lang w:eastAsia="en-US"/>
        </w:rPr>
        <w:t>”.</w:t>
      </w:r>
    </w:p>
    <w:p w14:paraId="690A807C" w14:textId="77777777" w:rsidR="0031071E" w:rsidRDefault="0031071E" w:rsidP="00363928">
      <w:pPr>
        <w:pStyle w:val="tv213"/>
        <w:shd w:val="clear" w:color="auto" w:fill="FFFFFF"/>
        <w:spacing w:before="0" w:beforeAutospacing="0" w:after="0" w:afterAutospacing="0"/>
        <w:ind w:firstLine="720"/>
        <w:jc w:val="both"/>
        <w:rPr>
          <w:rFonts w:eastAsiaTheme="minorHAnsi"/>
          <w:sz w:val="26"/>
          <w:szCs w:val="26"/>
          <w:lang w:eastAsia="en-US"/>
        </w:rPr>
      </w:pPr>
    </w:p>
    <w:p w14:paraId="52EFF4E1" w14:textId="1079DE7D" w:rsidR="0031071E" w:rsidRPr="0031071E" w:rsidRDefault="00890200" w:rsidP="00363928">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19</w:t>
      </w:r>
      <w:r w:rsidR="0031071E">
        <w:rPr>
          <w:rFonts w:eastAsiaTheme="minorHAnsi"/>
          <w:sz w:val="26"/>
          <w:szCs w:val="26"/>
          <w:lang w:eastAsia="en-US"/>
        </w:rPr>
        <w:t xml:space="preserve">. </w:t>
      </w:r>
      <w:r w:rsidR="0031071E" w:rsidRPr="0031071E">
        <w:rPr>
          <w:rFonts w:eastAsiaTheme="minorHAnsi"/>
          <w:sz w:val="26"/>
          <w:szCs w:val="26"/>
          <w:lang w:eastAsia="en-US"/>
        </w:rPr>
        <w:t>Papildināt likumu ar 34.</w:t>
      </w:r>
      <w:r w:rsidR="0031071E" w:rsidRPr="0031071E">
        <w:rPr>
          <w:rFonts w:eastAsiaTheme="minorHAnsi"/>
          <w:sz w:val="26"/>
          <w:szCs w:val="26"/>
          <w:vertAlign w:val="superscript"/>
          <w:lang w:eastAsia="en-US"/>
        </w:rPr>
        <w:t>1</w:t>
      </w:r>
      <w:r w:rsidR="0031071E" w:rsidRPr="0031071E">
        <w:rPr>
          <w:rFonts w:eastAsiaTheme="minorHAnsi"/>
          <w:sz w:val="26"/>
          <w:szCs w:val="26"/>
          <w:lang w:eastAsia="en-US"/>
        </w:rPr>
        <w:t xml:space="preserve"> pantu šādā redakcijā:</w:t>
      </w:r>
    </w:p>
    <w:p w14:paraId="5A9241CA" w14:textId="77777777" w:rsidR="0031071E" w:rsidRPr="0031071E" w:rsidRDefault="00363928" w:rsidP="00363928">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w:t>
      </w:r>
      <w:r w:rsidR="0031071E" w:rsidRPr="00363928">
        <w:rPr>
          <w:rFonts w:eastAsiaTheme="minorHAnsi"/>
          <w:b/>
          <w:bCs/>
          <w:sz w:val="26"/>
          <w:szCs w:val="26"/>
          <w:lang w:eastAsia="en-US"/>
        </w:rPr>
        <w:t>34.</w:t>
      </w:r>
      <w:r w:rsidR="00F96389" w:rsidRPr="00363928">
        <w:rPr>
          <w:rFonts w:eastAsiaTheme="minorHAnsi"/>
          <w:b/>
          <w:bCs/>
          <w:sz w:val="26"/>
          <w:szCs w:val="26"/>
          <w:vertAlign w:val="superscript"/>
          <w:lang w:eastAsia="en-US"/>
        </w:rPr>
        <w:t>1</w:t>
      </w:r>
      <w:r w:rsidR="00F96389" w:rsidRPr="00363928">
        <w:rPr>
          <w:rFonts w:eastAsiaTheme="minorHAnsi"/>
          <w:b/>
          <w:bCs/>
          <w:sz w:val="26"/>
          <w:szCs w:val="26"/>
          <w:lang w:eastAsia="en-US"/>
        </w:rPr>
        <w:t xml:space="preserve"> </w:t>
      </w:r>
      <w:r w:rsidR="0031071E" w:rsidRPr="00363928">
        <w:rPr>
          <w:rFonts w:eastAsiaTheme="minorHAnsi"/>
          <w:b/>
          <w:bCs/>
          <w:sz w:val="26"/>
          <w:szCs w:val="26"/>
          <w:lang w:eastAsia="en-US"/>
        </w:rPr>
        <w:t>pants Ārvalstu noguldījumu piesaistītāja noguldījumu aizsardzība</w:t>
      </w:r>
      <w:r w:rsidR="0031071E" w:rsidRPr="0031071E">
        <w:rPr>
          <w:rFonts w:eastAsiaTheme="minorHAnsi"/>
          <w:sz w:val="26"/>
          <w:szCs w:val="26"/>
          <w:lang w:eastAsia="en-US"/>
        </w:rPr>
        <w:t xml:space="preserve"> </w:t>
      </w:r>
    </w:p>
    <w:p w14:paraId="37F2CB5C" w14:textId="77777777" w:rsidR="0031071E" w:rsidRPr="0031071E" w:rsidRDefault="0031071E" w:rsidP="00363928">
      <w:pPr>
        <w:pStyle w:val="tv213"/>
        <w:shd w:val="clear" w:color="auto" w:fill="FFFFFF"/>
        <w:spacing w:before="0" w:beforeAutospacing="0" w:after="0" w:afterAutospacing="0"/>
        <w:ind w:firstLine="720"/>
        <w:jc w:val="both"/>
        <w:rPr>
          <w:rFonts w:eastAsiaTheme="minorHAnsi"/>
          <w:sz w:val="26"/>
          <w:szCs w:val="26"/>
          <w:lang w:eastAsia="en-US"/>
        </w:rPr>
      </w:pPr>
      <w:r w:rsidRPr="0031071E">
        <w:rPr>
          <w:rFonts w:eastAsiaTheme="minorHAnsi"/>
          <w:sz w:val="26"/>
          <w:szCs w:val="26"/>
          <w:lang w:eastAsia="en-US"/>
        </w:rPr>
        <w:t xml:space="preserve">(1) Komisija pārliecinās, ka ārvalstīs reģistrēto kredītiestāžu filiāļu darbība atbilst šajā likumā noteiktajām prasībām par noguldījumu garantiju nodrošināšanu. Ja attiecīgās kredītiestādes klientiem netiek nodrošināta līdzvērtīga noguldījumu garantiju sistēmas piemērošana atbilstoši šajā likumā noteiktajiem kritērijiem, Komisija var uzlikt par pienākumu ārvalstīs reģistrētas kredītiestādes filiālei kļūt par noguldījumu garantiju fonda dalībnieci. </w:t>
      </w:r>
    </w:p>
    <w:p w14:paraId="78704E40" w14:textId="77777777" w:rsidR="0031071E" w:rsidRDefault="0031071E" w:rsidP="000E0003">
      <w:pPr>
        <w:pStyle w:val="tv213"/>
        <w:shd w:val="clear" w:color="auto" w:fill="FFFFFF"/>
        <w:spacing w:before="0" w:beforeAutospacing="0" w:after="0" w:afterAutospacing="0"/>
        <w:ind w:firstLine="720"/>
        <w:jc w:val="both"/>
        <w:rPr>
          <w:rFonts w:eastAsiaTheme="minorHAnsi"/>
          <w:sz w:val="26"/>
          <w:szCs w:val="26"/>
          <w:lang w:eastAsia="en-US"/>
        </w:rPr>
      </w:pPr>
      <w:r w:rsidRPr="0031071E">
        <w:rPr>
          <w:rFonts w:eastAsiaTheme="minorHAnsi"/>
          <w:sz w:val="26"/>
          <w:szCs w:val="26"/>
          <w:lang w:eastAsia="en-US"/>
        </w:rPr>
        <w:t>(2) Ārvalstīs reģistrētas kredītiestādes filiāle, kuras galvenais birojs atrodas ārpus Eiropas Savienības un kura nav Eiropas Savienības dalībvalsts noguldījumu garantiju fonda dalībniece, sniedz visu attiecīgo informāciju par garantijas noteikumiem attiecībā uz esošo un iespējamo noguldītāju noguldījumiem minētajā filiālē tādā valodā, par kuru noguldītājs un noguldījumu piesaistītājs ir vienojušies, atverot attiecīgo kontu, vai tās dalībvalsts, kurā filiāle veic uzņēmējdarbību, valsts valodā vai valodās tā, kā to paredz valsts tiesību akti, un minētā informācija ir skaidra un saprotama.</w:t>
      </w:r>
      <w:r w:rsidR="00B37262">
        <w:rPr>
          <w:rFonts w:eastAsiaTheme="minorHAnsi"/>
          <w:sz w:val="26"/>
          <w:szCs w:val="26"/>
          <w:lang w:eastAsia="en-US"/>
        </w:rPr>
        <w:t>”.</w:t>
      </w:r>
    </w:p>
    <w:p w14:paraId="32C468F5" w14:textId="77777777" w:rsidR="000E0003" w:rsidRDefault="000E0003" w:rsidP="00C048A2">
      <w:pPr>
        <w:pStyle w:val="tv213"/>
        <w:shd w:val="clear" w:color="auto" w:fill="FFFFFF"/>
        <w:spacing w:before="0" w:beforeAutospacing="0" w:after="0" w:afterAutospacing="0"/>
        <w:jc w:val="both"/>
        <w:rPr>
          <w:rFonts w:eastAsiaTheme="minorHAnsi"/>
          <w:sz w:val="26"/>
          <w:szCs w:val="26"/>
          <w:lang w:eastAsia="en-US"/>
        </w:rPr>
      </w:pPr>
    </w:p>
    <w:p w14:paraId="33FB52B3" w14:textId="4AD9EB82" w:rsidR="00124E72" w:rsidRDefault="000E0003" w:rsidP="000E0003">
      <w:pPr>
        <w:pStyle w:val="tv213"/>
        <w:shd w:val="clear" w:color="auto" w:fill="FFFFFF"/>
        <w:spacing w:before="0" w:beforeAutospacing="0" w:after="0" w:afterAutospacing="0"/>
        <w:ind w:firstLine="720"/>
        <w:jc w:val="both"/>
        <w:rPr>
          <w:rFonts w:eastAsiaTheme="minorHAnsi"/>
          <w:sz w:val="26"/>
          <w:szCs w:val="26"/>
          <w:lang w:eastAsia="en-US"/>
        </w:rPr>
      </w:pPr>
      <w:r>
        <w:rPr>
          <w:rFonts w:eastAsiaTheme="minorHAnsi"/>
          <w:sz w:val="26"/>
          <w:szCs w:val="26"/>
          <w:lang w:eastAsia="en-US"/>
        </w:rPr>
        <w:t>2</w:t>
      </w:r>
      <w:r w:rsidR="00085486">
        <w:rPr>
          <w:rFonts w:eastAsiaTheme="minorHAnsi"/>
          <w:sz w:val="26"/>
          <w:szCs w:val="26"/>
          <w:lang w:eastAsia="en-US"/>
        </w:rPr>
        <w:t>0</w:t>
      </w:r>
      <w:r w:rsidR="00124E72">
        <w:rPr>
          <w:rFonts w:eastAsiaTheme="minorHAnsi"/>
          <w:sz w:val="26"/>
          <w:szCs w:val="26"/>
          <w:lang w:eastAsia="en-US"/>
        </w:rPr>
        <w:t xml:space="preserve">. </w:t>
      </w:r>
      <w:r w:rsidR="00124E72" w:rsidRPr="00124E72">
        <w:rPr>
          <w:rFonts w:eastAsiaTheme="minorHAnsi"/>
          <w:sz w:val="26"/>
          <w:szCs w:val="26"/>
          <w:lang w:eastAsia="en-US"/>
        </w:rPr>
        <w:t>Izteikt likuma Informatīvo atsauci uz Eiropas Savienības direktīvu šādā redakcijā:</w:t>
      </w:r>
    </w:p>
    <w:p w14:paraId="4BA072BF" w14:textId="77777777" w:rsidR="00124E72" w:rsidRDefault="00124E72" w:rsidP="00124E72">
      <w:pPr>
        <w:pStyle w:val="tv213"/>
        <w:shd w:val="clear" w:color="auto" w:fill="FFFFFF"/>
        <w:spacing w:before="0" w:beforeAutospacing="0" w:after="0" w:afterAutospacing="0"/>
        <w:ind w:firstLine="720"/>
        <w:jc w:val="both"/>
        <w:rPr>
          <w:rFonts w:eastAsiaTheme="minorHAnsi"/>
          <w:sz w:val="26"/>
          <w:szCs w:val="26"/>
          <w:lang w:eastAsia="en-US"/>
        </w:rPr>
      </w:pPr>
    </w:p>
    <w:p w14:paraId="655EDB6E" w14:textId="71740A4B" w:rsidR="009047B0" w:rsidRDefault="009047B0" w:rsidP="00374EFF">
      <w:pPr>
        <w:pStyle w:val="tv213"/>
        <w:shd w:val="clear" w:color="auto" w:fill="FFFFFF"/>
        <w:spacing w:before="0" w:beforeAutospacing="0" w:after="0" w:afterAutospacing="0"/>
        <w:ind w:firstLine="720"/>
        <w:jc w:val="center"/>
        <w:rPr>
          <w:rFonts w:eastAsiaTheme="minorHAnsi"/>
          <w:sz w:val="26"/>
          <w:szCs w:val="26"/>
          <w:lang w:eastAsia="en-US"/>
        </w:rPr>
      </w:pPr>
      <w:r>
        <w:rPr>
          <w:rFonts w:eastAsiaTheme="minorHAnsi"/>
          <w:sz w:val="26"/>
          <w:szCs w:val="26"/>
          <w:lang w:eastAsia="en-US"/>
        </w:rPr>
        <w:t>“</w:t>
      </w:r>
      <w:r w:rsidRPr="009047B0">
        <w:rPr>
          <w:rFonts w:eastAsiaTheme="minorHAnsi"/>
          <w:b/>
          <w:bCs/>
          <w:sz w:val="26"/>
          <w:szCs w:val="26"/>
          <w:lang w:eastAsia="en-US"/>
        </w:rPr>
        <w:t xml:space="preserve">Informatīva atsauce uz Eiropas Savienības </w:t>
      </w:r>
      <w:r w:rsidR="00BB7A99">
        <w:rPr>
          <w:rFonts w:eastAsiaTheme="minorHAnsi"/>
          <w:b/>
          <w:bCs/>
          <w:sz w:val="26"/>
          <w:szCs w:val="26"/>
          <w:lang w:eastAsia="en-US"/>
        </w:rPr>
        <w:t xml:space="preserve">direktīvām </w:t>
      </w:r>
    </w:p>
    <w:p w14:paraId="03150732" w14:textId="77777777" w:rsidR="009047B0" w:rsidRDefault="009047B0" w:rsidP="009047B0">
      <w:pPr>
        <w:pStyle w:val="tv213"/>
        <w:shd w:val="clear" w:color="auto" w:fill="FFFFFF"/>
        <w:spacing w:before="0" w:beforeAutospacing="0" w:after="0" w:afterAutospacing="0"/>
        <w:ind w:firstLine="720"/>
        <w:jc w:val="both"/>
        <w:rPr>
          <w:rFonts w:eastAsiaTheme="minorHAnsi"/>
          <w:sz w:val="26"/>
          <w:szCs w:val="26"/>
          <w:lang w:eastAsia="en-US"/>
        </w:rPr>
      </w:pPr>
    </w:p>
    <w:p w14:paraId="58C1C2C8" w14:textId="77777777" w:rsidR="009047B0" w:rsidRDefault="00124E72" w:rsidP="009047B0">
      <w:pPr>
        <w:pStyle w:val="tv213"/>
        <w:shd w:val="clear" w:color="auto" w:fill="FFFFFF"/>
        <w:spacing w:before="0" w:beforeAutospacing="0" w:after="0" w:afterAutospacing="0"/>
        <w:ind w:firstLine="720"/>
        <w:jc w:val="both"/>
        <w:rPr>
          <w:rFonts w:eastAsiaTheme="minorHAnsi"/>
          <w:sz w:val="26"/>
          <w:szCs w:val="26"/>
          <w:lang w:eastAsia="en-US"/>
        </w:rPr>
      </w:pPr>
      <w:r w:rsidRPr="00124E72">
        <w:rPr>
          <w:rFonts w:eastAsiaTheme="minorHAnsi"/>
          <w:sz w:val="26"/>
          <w:szCs w:val="26"/>
          <w:lang w:eastAsia="en-US"/>
        </w:rPr>
        <w:t>Likumā iekļautas tiesību normas, kas izriet no:</w:t>
      </w:r>
    </w:p>
    <w:p w14:paraId="1C5A66A6" w14:textId="77777777" w:rsidR="00124E72" w:rsidRPr="00124E72" w:rsidRDefault="00124E72" w:rsidP="00124E72">
      <w:pPr>
        <w:pStyle w:val="tv213"/>
        <w:shd w:val="clear" w:color="auto" w:fill="FFFFFF"/>
        <w:spacing w:before="0" w:beforeAutospacing="0" w:after="0" w:afterAutospacing="0"/>
        <w:ind w:firstLine="720"/>
        <w:jc w:val="both"/>
        <w:rPr>
          <w:rFonts w:eastAsiaTheme="minorHAnsi"/>
          <w:sz w:val="26"/>
          <w:szCs w:val="26"/>
          <w:lang w:eastAsia="en-US"/>
        </w:rPr>
      </w:pPr>
      <w:r w:rsidRPr="00124E72">
        <w:rPr>
          <w:rFonts w:eastAsiaTheme="minorHAnsi"/>
          <w:sz w:val="26"/>
          <w:szCs w:val="26"/>
          <w:lang w:eastAsia="en-US"/>
        </w:rPr>
        <w:t>1)</w:t>
      </w:r>
      <w:r w:rsidRPr="00124E72">
        <w:rPr>
          <w:rFonts w:eastAsiaTheme="minorHAnsi"/>
          <w:sz w:val="26"/>
          <w:szCs w:val="26"/>
          <w:lang w:eastAsia="en-US"/>
        </w:rPr>
        <w:tab/>
        <w:t>Eiropas Parlamenta un Padomes 2014.gada 16.aprīļa direktīvas 2014/49/ES par noguldījumu garantiju sistēmām (pārstrādāta versija) (Dokuments attiecas uz EEZ);</w:t>
      </w:r>
    </w:p>
    <w:p w14:paraId="2DDB4548" w14:textId="04181B45" w:rsidR="00124E72" w:rsidRPr="00EA0183" w:rsidRDefault="00124E72" w:rsidP="004F751B">
      <w:pPr>
        <w:pStyle w:val="tv213"/>
        <w:shd w:val="clear" w:color="auto" w:fill="FFFFFF"/>
        <w:spacing w:before="0" w:beforeAutospacing="0" w:after="0" w:afterAutospacing="0"/>
        <w:ind w:firstLine="720"/>
        <w:jc w:val="both"/>
        <w:rPr>
          <w:rFonts w:eastAsiaTheme="minorHAnsi"/>
          <w:sz w:val="26"/>
          <w:szCs w:val="26"/>
          <w:lang w:eastAsia="en-US"/>
        </w:rPr>
      </w:pPr>
      <w:r w:rsidRPr="00124E72">
        <w:rPr>
          <w:rFonts w:eastAsiaTheme="minorHAnsi"/>
          <w:sz w:val="26"/>
          <w:szCs w:val="26"/>
          <w:lang w:eastAsia="en-US"/>
        </w:rPr>
        <w:t>2)</w:t>
      </w:r>
      <w:r w:rsidRPr="00124E72">
        <w:rPr>
          <w:rFonts w:eastAsiaTheme="minorHAnsi"/>
          <w:sz w:val="26"/>
          <w:szCs w:val="26"/>
          <w:lang w:eastAsia="en-US"/>
        </w:rPr>
        <w:tab/>
        <w:t xml:space="preserve">Eiropas Parlamenta un Padomes 2014. gada 15. maija </w:t>
      </w:r>
      <w:r w:rsidR="00153CDB">
        <w:rPr>
          <w:rFonts w:eastAsiaTheme="minorHAnsi"/>
          <w:sz w:val="26"/>
          <w:szCs w:val="26"/>
          <w:lang w:eastAsia="en-US"/>
        </w:rPr>
        <w:t>d</w:t>
      </w:r>
      <w:r w:rsidRPr="00124E72">
        <w:rPr>
          <w:rFonts w:eastAsiaTheme="minorHAnsi"/>
          <w:sz w:val="26"/>
          <w:szCs w:val="26"/>
          <w:lang w:eastAsia="en-US"/>
        </w:rPr>
        <w:t>irektīvas 2014/59/ES, ar ko izveido kredītiestāžu un ieguldījumu brokeru sabiedrību atveseļošanas un noregulējuma režīmu un groza Padomes Direktīvu 82/891/EEK un Eiropas Parlamenta un Padomes Direktīvas 2001/24/EK, 2002/47/EK, 2004/25/EK, 2005/56/EK, 2007/36/EK, 2011/35/ES, 2012/30/ES un 2013/36/ES, un Eiropas Parlamenta un Padomes Regulas (ES) Nr. 1093/2010 un (ES) Nr. 648/2012 (Dokuments attiecas uz EEZ)</w:t>
      </w:r>
      <w:r w:rsidR="004F751B">
        <w:rPr>
          <w:rFonts w:eastAsiaTheme="minorHAnsi"/>
          <w:sz w:val="26"/>
          <w:szCs w:val="26"/>
          <w:lang w:eastAsia="en-US"/>
        </w:rPr>
        <w:t>.</w:t>
      </w:r>
      <w:r w:rsidR="00F14B2C">
        <w:rPr>
          <w:rFonts w:eastAsiaTheme="minorHAnsi"/>
          <w:sz w:val="26"/>
          <w:szCs w:val="26"/>
          <w:lang w:eastAsia="en-US"/>
        </w:rPr>
        <w:t>”.</w:t>
      </w:r>
    </w:p>
    <w:p w14:paraId="4FFDA569" w14:textId="77777777" w:rsidR="00B03394" w:rsidRDefault="00B03394" w:rsidP="00124E72">
      <w:pPr>
        <w:pStyle w:val="tv213"/>
        <w:shd w:val="clear" w:color="auto" w:fill="FFFFFF"/>
        <w:spacing w:before="0" w:beforeAutospacing="0" w:after="0" w:afterAutospacing="0"/>
        <w:ind w:firstLine="720"/>
        <w:jc w:val="both"/>
        <w:rPr>
          <w:rFonts w:eastAsiaTheme="minorHAnsi"/>
          <w:sz w:val="26"/>
          <w:szCs w:val="26"/>
          <w:lang w:eastAsia="en-US"/>
        </w:rPr>
      </w:pPr>
    </w:p>
    <w:p w14:paraId="50BF8735" w14:textId="77777777" w:rsidR="005C00F4" w:rsidRDefault="005C00F4" w:rsidP="00374EFF">
      <w:pPr>
        <w:spacing w:after="0" w:line="240" w:lineRule="auto"/>
        <w:jc w:val="both"/>
        <w:rPr>
          <w:sz w:val="26"/>
          <w:szCs w:val="26"/>
        </w:rPr>
      </w:pPr>
    </w:p>
    <w:p w14:paraId="5EB2E2D4" w14:textId="77777777" w:rsidR="003B6F32" w:rsidRDefault="003B6F32" w:rsidP="00557B2E">
      <w:pPr>
        <w:shd w:val="clear" w:color="auto" w:fill="FFFFFF"/>
        <w:spacing w:after="0" w:line="240" w:lineRule="auto"/>
        <w:ind w:firstLine="720"/>
        <w:jc w:val="both"/>
        <w:rPr>
          <w:rFonts w:eastAsia="Times New Roman"/>
          <w:sz w:val="26"/>
          <w:szCs w:val="26"/>
          <w:lang w:eastAsia="lv-LV"/>
        </w:rPr>
      </w:pPr>
    </w:p>
    <w:p w14:paraId="0FB4D269" w14:textId="77777777" w:rsidR="00ED615A" w:rsidRPr="00325FCC" w:rsidRDefault="00D56509" w:rsidP="00557B2E">
      <w:pPr>
        <w:shd w:val="clear" w:color="auto" w:fill="FFFFFF"/>
        <w:spacing w:after="0" w:line="240" w:lineRule="auto"/>
        <w:ind w:firstLine="720"/>
        <w:jc w:val="both"/>
        <w:rPr>
          <w:rFonts w:eastAsia="Times New Roman"/>
          <w:sz w:val="26"/>
          <w:szCs w:val="26"/>
          <w:lang w:eastAsia="lv-LV"/>
        </w:rPr>
      </w:pPr>
      <w:r w:rsidRPr="00325FCC">
        <w:rPr>
          <w:rFonts w:eastAsia="Times New Roman"/>
          <w:sz w:val="26"/>
          <w:szCs w:val="26"/>
          <w:lang w:eastAsia="lv-LV"/>
        </w:rPr>
        <w:t>Finanšu ministrs</w:t>
      </w:r>
      <w:r w:rsidRPr="00325FCC">
        <w:rPr>
          <w:rFonts w:eastAsia="Times New Roman"/>
          <w:sz w:val="26"/>
          <w:szCs w:val="26"/>
          <w:lang w:eastAsia="lv-LV"/>
        </w:rPr>
        <w:tab/>
      </w:r>
      <w:r w:rsidRPr="00325FCC">
        <w:rPr>
          <w:rFonts w:eastAsia="Times New Roman"/>
          <w:sz w:val="26"/>
          <w:szCs w:val="26"/>
          <w:lang w:eastAsia="lv-LV"/>
        </w:rPr>
        <w:tab/>
      </w:r>
      <w:r w:rsidRPr="00325FCC">
        <w:rPr>
          <w:rFonts w:eastAsia="Times New Roman"/>
          <w:sz w:val="26"/>
          <w:szCs w:val="26"/>
          <w:lang w:eastAsia="lv-LV"/>
        </w:rPr>
        <w:tab/>
      </w:r>
      <w:r w:rsidRPr="00325FCC">
        <w:rPr>
          <w:rFonts w:eastAsia="Times New Roman"/>
          <w:sz w:val="26"/>
          <w:szCs w:val="26"/>
          <w:lang w:eastAsia="lv-LV"/>
        </w:rPr>
        <w:tab/>
      </w:r>
      <w:r w:rsidRPr="00325FCC">
        <w:rPr>
          <w:rFonts w:eastAsia="Times New Roman"/>
          <w:sz w:val="26"/>
          <w:szCs w:val="26"/>
          <w:lang w:eastAsia="lv-LV"/>
        </w:rPr>
        <w:tab/>
      </w:r>
      <w:r w:rsidRPr="00325FCC">
        <w:rPr>
          <w:rFonts w:eastAsia="Times New Roman"/>
          <w:sz w:val="26"/>
          <w:szCs w:val="26"/>
          <w:lang w:eastAsia="lv-LV"/>
        </w:rPr>
        <w:tab/>
      </w:r>
      <w:r w:rsidRPr="00325FCC">
        <w:rPr>
          <w:rFonts w:eastAsia="Times New Roman"/>
          <w:sz w:val="26"/>
          <w:szCs w:val="26"/>
          <w:lang w:eastAsia="lv-LV"/>
        </w:rPr>
        <w:tab/>
        <w:t>J.Reirs</w:t>
      </w:r>
    </w:p>
    <w:sectPr w:rsidR="00ED615A" w:rsidRPr="00325FCC" w:rsidSect="00636F65">
      <w:footerReference w:type="defaul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8FA75" w14:textId="77777777" w:rsidR="005D0DF9" w:rsidRDefault="005D0DF9" w:rsidP="00636F65">
      <w:pPr>
        <w:spacing w:after="0" w:line="240" w:lineRule="auto"/>
      </w:pPr>
      <w:r>
        <w:separator/>
      </w:r>
    </w:p>
  </w:endnote>
  <w:endnote w:type="continuationSeparator" w:id="0">
    <w:p w14:paraId="7DF8B728" w14:textId="77777777" w:rsidR="005D0DF9" w:rsidRDefault="005D0DF9" w:rsidP="00636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 w:name="DokChampa">
    <w:altName w:val="Microsoft Sans Serif"/>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971728"/>
      <w:docPartObj>
        <w:docPartGallery w:val="Page Numbers (Bottom of Page)"/>
        <w:docPartUnique/>
      </w:docPartObj>
    </w:sdtPr>
    <w:sdtEndPr>
      <w:rPr>
        <w:noProof/>
        <w:sz w:val="26"/>
        <w:szCs w:val="26"/>
      </w:rPr>
    </w:sdtEndPr>
    <w:sdtContent>
      <w:p w14:paraId="70ED59D0" w14:textId="77777777" w:rsidR="00006337" w:rsidRPr="00636F65" w:rsidRDefault="00006337">
        <w:pPr>
          <w:pStyle w:val="Footer"/>
          <w:jc w:val="center"/>
          <w:rPr>
            <w:sz w:val="26"/>
            <w:szCs w:val="26"/>
          </w:rPr>
        </w:pPr>
        <w:r w:rsidRPr="00636F65">
          <w:rPr>
            <w:sz w:val="26"/>
            <w:szCs w:val="26"/>
          </w:rPr>
          <w:fldChar w:fldCharType="begin"/>
        </w:r>
        <w:r w:rsidRPr="00636F65">
          <w:rPr>
            <w:sz w:val="26"/>
            <w:szCs w:val="26"/>
          </w:rPr>
          <w:instrText xml:space="preserve"> PAGE   \* MERGEFORMAT </w:instrText>
        </w:r>
        <w:r w:rsidRPr="00636F65">
          <w:rPr>
            <w:sz w:val="26"/>
            <w:szCs w:val="26"/>
          </w:rPr>
          <w:fldChar w:fldCharType="separate"/>
        </w:r>
        <w:r w:rsidR="00654CEA">
          <w:rPr>
            <w:noProof/>
            <w:sz w:val="26"/>
            <w:szCs w:val="26"/>
          </w:rPr>
          <w:t>9</w:t>
        </w:r>
        <w:r w:rsidRPr="00636F65">
          <w:rPr>
            <w:noProof/>
            <w:sz w:val="26"/>
            <w:szCs w:val="26"/>
          </w:rPr>
          <w:fldChar w:fldCharType="end"/>
        </w:r>
      </w:p>
    </w:sdtContent>
  </w:sdt>
  <w:p w14:paraId="5C9B7513" w14:textId="1E088CB3" w:rsidR="00006337" w:rsidRPr="00370357" w:rsidRDefault="00273B47" w:rsidP="00325FCC">
    <w:pPr>
      <w:pStyle w:val="Footer"/>
      <w:rPr>
        <w:sz w:val="20"/>
        <w:szCs w:val="20"/>
      </w:rPr>
    </w:pPr>
    <w:r>
      <w:rPr>
        <w:sz w:val="20"/>
        <w:szCs w:val="20"/>
      </w:rPr>
      <w:t>FMLik_</w:t>
    </w:r>
    <w:r w:rsidR="009A338C">
      <w:rPr>
        <w:sz w:val="20"/>
        <w:szCs w:val="20"/>
      </w:rPr>
      <w:t>17</w:t>
    </w:r>
    <w:r w:rsidR="00762B7F">
      <w:rPr>
        <w:sz w:val="20"/>
        <w:szCs w:val="20"/>
      </w:rPr>
      <w:t>0</w:t>
    </w:r>
    <w:r w:rsidR="009A338C">
      <w:rPr>
        <w:sz w:val="20"/>
        <w:szCs w:val="20"/>
      </w:rPr>
      <w:t>6</w:t>
    </w:r>
    <w:r w:rsidR="00762B7F">
      <w:rPr>
        <w:sz w:val="20"/>
        <w:szCs w:val="20"/>
      </w:rPr>
      <w:t>21</w:t>
    </w:r>
    <w:r w:rsidR="00762B7F" w:rsidRPr="00370357">
      <w:rPr>
        <w:sz w:val="20"/>
        <w:szCs w:val="20"/>
      </w:rPr>
      <w:t>_</w:t>
    </w:r>
    <w:r w:rsidR="00762B7F">
      <w:rPr>
        <w:sz w:val="20"/>
        <w:szCs w:val="20"/>
      </w:rPr>
      <w:t>NGL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3B3B2" w14:textId="10D355B0" w:rsidR="00006337" w:rsidRPr="00370357" w:rsidRDefault="00006337" w:rsidP="00370357">
    <w:pPr>
      <w:pStyle w:val="Footer"/>
      <w:rPr>
        <w:sz w:val="20"/>
        <w:szCs w:val="20"/>
      </w:rPr>
    </w:pPr>
    <w:r>
      <w:rPr>
        <w:sz w:val="20"/>
        <w:szCs w:val="20"/>
      </w:rPr>
      <w:t>FMLik_</w:t>
    </w:r>
    <w:r w:rsidR="009A338C">
      <w:rPr>
        <w:sz w:val="20"/>
        <w:szCs w:val="20"/>
      </w:rPr>
      <w:t>17</w:t>
    </w:r>
    <w:r>
      <w:rPr>
        <w:sz w:val="20"/>
        <w:szCs w:val="20"/>
      </w:rPr>
      <w:t>0</w:t>
    </w:r>
    <w:r w:rsidR="009A338C">
      <w:rPr>
        <w:sz w:val="20"/>
        <w:szCs w:val="20"/>
      </w:rPr>
      <w:t>6</w:t>
    </w:r>
    <w:r w:rsidR="00762B7F">
      <w:rPr>
        <w:sz w:val="20"/>
        <w:szCs w:val="20"/>
      </w:rPr>
      <w:t>21</w:t>
    </w:r>
    <w:r w:rsidRPr="00370357">
      <w:rPr>
        <w:sz w:val="20"/>
        <w:szCs w:val="20"/>
      </w:rPr>
      <w:t>_</w:t>
    </w:r>
    <w:r w:rsidR="00762B7F">
      <w:rPr>
        <w:sz w:val="20"/>
        <w:szCs w:val="20"/>
      </w:rPr>
      <w:t>NGL</w:t>
    </w:r>
  </w:p>
  <w:p w14:paraId="5F2169B0" w14:textId="77777777" w:rsidR="00006337" w:rsidRDefault="00006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74A0E" w14:textId="77777777" w:rsidR="005D0DF9" w:rsidRDefault="005D0DF9" w:rsidP="00636F65">
      <w:pPr>
        <w:spacing w:after="0" w:line="240" w:lineRule="auto"/>
      </w:pPr>
      <w:r>
        <w:separator/>
      </w:r>
    </w:p>
  </w:footnote>
  <w:footnote w:type="continuationSeparator" w:id="0">
    <w:p w14:paraId="1ED4BC49" w14:textId="77777777" w:rsidR="005D0DF9" w:rsidRDefault="005D0DF9" w:rsidP="00636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5EC"/>
    <w:multiLevelType w:val="hybridMultilevel"/>
    <w:tmpl w:val="A39AC0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D16D4C"/>
    <w:multiLevelType w:val="hybridMultilevel"/>
    <w:tmpl w:val="7DF0E738"/>
    <w:lvl w:ilvl="0" w:tplc="04260017">
      <w:start w:val="1"/>
      <w:numFmt w:val="lowerLetter"/>
      <w:lvlText w:val="%1)"/>
      <w:lvlJc w:val="left"/>
      <w:pPr>
        <w:ind w:left="1496" w:hanging="360"/>
      </w:pPr>
    </w:lvl>
    <w:lvl w:ilvl="1" w:tplc="04260019">
      <w:start w:val="1"/>
      <w:numFmt w:val="lowerLetter"/>
      <w:lvlText w:val="%2."/>
      <w:lvlJc w:val="left"/>
      <w:pPr>
        <w:ind w:left="2216" w:hanging="360"/>
      </w:pPr>
    </w:lvl>
    <w:lvl w:ilvl="2" w:tplc="0426001B">
      <w:start w:val="1"/>
      <w:numFmt w:val="lowerRoman"/>
      <w:lvlText w:val="%3."/>
      <w:lvlJc w:val="right"/>
      <w:pPr>
        <w:ind w:left="2936" w:hanging="180"/>
      </w:pPr>
    </w:lvl>
    <w:lvl w:ilvl="3" w:tplc="0426000F">
      <w:start w:val="1"/>
      <w:numFmt w:val="decimal"/>
      <w:lvlText w:val="%4."/>
      <w:lvlJc w:val="left"/>
      <w:pPr>
        <w:ind w:left="3656" w:hanging="360"/>
      </w:pPr>
    </w:lvl>
    <w:lvl w:ilvl="4" w:tplc="04260019">
      <w:start w:val="1"/>
      <w:numFmt w:val="lowerLetter"/>
      <w:lvlText w:val="%5."/>
      <w:lvlJc w:val="left"/>
      <w:pPr>
        <w:ind w:left="4376" w:hanging="360"/>
      </w:pPr>
    </w:lvl>
    <w:lvl w:ilvl="5" w:tplc="0426001B">
      <w:start w:val="1"/>
      <w:numFmt w:val="lowerRoman"/>
      <w:lvlText w:val="%6."/>
      <w:lvlJc w:val="right"/>
      <w:pPr>
        <w:ind w:left="5096" w:hanging="180"/>
      </w:pPr>
    </w:lvl>
    <w:lvl w:ilvl="6" w:tplc="0426000F">
      <w:start w:val="1"/>
      <w:numFmt w:val="decimal"/>
      <w:lvlText w:val="%7."/>
      <w:lvlJc w:val="left"/>
      <w:pPr>
        <w:ind w:left="5816" w:hanging="360"/>
      </w:pPr>
    </w:lvl>
    <w:lvl w:ilvl="7" w:tplc="04260019">
      <w:start w:val="1"/>
      <w:numFmt w:val="lowerLetter"/>
      <w:lvlText w:val="%8."/>
      <w:lvlJc w:val="left"/>
      <w:pPr>
        <w:ind w:left="6536" w:hanging="360"/>
      </w:pPr>
    </w:lvl>
    <w:lvl w:ilvl="8" w:tplc="0426001B">
      <w:start w:val="1"/>
      <w:numFmt w:val="lowerRoman"/>
      <w:lvlText w:val="%9."/>
      <w:lvlJc w:val="right"/>
      <w:pPr>
        <w:ind w:left="7256" w:hanging="180"/>
      </w:pPr>
    </w:lvl>
  </w:abstractNum>
  <w:abstractNum w:abstractNumId="2" w15:restartNumberingAfterBreak="0">
    <w:nsid w:val="1D7F5B61"/>
    <w:multiLevelType w:val="hybridMultilevel"/>
    <w:tmpl w:val="7AAED8C4"/>
    <w:lvl w:ilvl="0" w:tplc="61BE181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15:restartNumberingAfterBreak="0">
    <w:nsid w:val="1EBB25A7"/>
    <w:multiLevelType w:val="hybridMultilevel"/>
    <w:tmpl w:val="DD50EA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097073C"/>
    <w:multiLevelType w:val="hybridMultilevel"/>
    <w:tmpl w:val="2E4801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39417A"/>
    <w:multiLevelType w:val="hybridMultilevel"/>
    <w:tmpl w:val="FDC641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337B3C"/>
    <w:multiLevelType w:val="hybridMultilevel"/>
    <w:tmpl w:val="817E3F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F7263E1"/>
    <w:multiLevelType w:val="hybridMultilevel"/>
    <w:tmpl w:val="BA8285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6A4494"/>
    <w:multiLevelType w:val="hybridMultilevel"/>
    <w:tmpl w:val="C7021886"/>
    <w:lvl w:ilvl="0" w:tplc="ED742B92">
      <w:start w:val="1"/>
      <w:numFmt w:val="decimal"/>
      <w:lvlText w:val="%1)"/>
      <w:lvlJc w:val="left"/>
      <w:pPr>
        <w:ind w:left="945" w:hanging="360"/>
      </w:pPr>
      <w:rPr>
        <w:rFonts w:hint="default"/>
      </w:rPr>
    </w:lvl>
    <w:lvl w:ilvl="1" w:tplc="04260019" w:tentative="1">
      <w:start w:val="1"/>
      <w:numFmt w:val="lowerLetter"/>
      <w:lvlText w:val="%2."/>
      <w:lvlJc w:val="left"/>
      <w:pPr>
        <w:ind w:left="1665" w:hanging="360"/>
      </w:pPr>
    </w:lvl>
    <w:lvl w:ilvl="2" w:tplc="0426001B" w:tentative="1">
      <w:start w:val="1"/>
      <w:numFmt w:val="lowerRoman"/>
      <w:lvlText w:val="%3."/>
      <w:lvlJc w:val="right"/>
      <w:pPr>
        <w:ind w:left="2385" w:hanging="180"/>
      </w:pPr>
    </w:lvl>
    <w:lvl w:ilvl="3" w:tplc="0426000F" w:tentative="1">
      <w:start w:val="1"/>
      <w:numFmt w:val="decimal"/>
      <w:lvlText w:val="%4."/>
      <w:lvlJc w:val="left"/>
      <w:pPr>
        <w:ind w:left="3105" w:hanging="360"/>
      </w:pPr>
    </w:lvl>
    <w:lvl w:ilvl="4" w:tplc="04260019" w:tentative="1">
      <w:start w:val="1"/>
      <w:numFmt w:val="lowerLetter"/>
      <w:lvlText w:val="%5."/>
      <w:lvlJc w:val="left"/>
      <w:pPr>
        <w:ind w:left="3825" w:hanging="360"/>
      </w:pPr>
    </w:lvl>
    <w:lvl w:ilvl="5" w:tplc="0426001B" w:tentative="1">
      <w:start w:val="1"/>
      <w:numFmt w:val="lowerRoman"/>
      <w:lvlText w:val="%6."/>
      <w:lvlJc w:val="right"/>
      <w:pPr>
        <w:ind w:left="4545" w:hanging="180"/>
      </w:pPr>
    </w:lvl>
    <w:lvl w:ilvl="6" w:tplc="0426000F" w:tentative="1">
      <w:start w:val="1"/>
      <w:numFmt w:val="decimal"/>
      <w:lvlText w:val="%7."/>
      <w:lvlJc w:val="left"/>
      <w:pPr>
        <w:ind w:left="5265" w:hanging="360"/>
      </w:pPr>
    </w:lvl>
    <w:lvl w:ilvl="7" w:tplc="04260019" w:tentative="1">
      <w:start w:val="1"/>
      <w:numFmt w:val="lowerLetter"/>
      <w:lvlText w:val="%8."/>
      <w:lvlJc w:val="left"/>
      <w:pPr>
        <w:ind w:left="5985" w:hanging="360"/>
      </w:pPr>
    </w:lvl>
    <w:lvl w:ilvl="8" w:tplc="0426001B" w:tentative="1">
      <w:start w:val="1"/>
      <w:numFmt w:val="lowerRoman"/>
      <w:lvlText w:val="%9."/>
      <w:lvlJc w:val="right"/>
      <w:pPr>
        <w:ind w:left="6705" w:hanging="180"/>
      </w:pPr>
    </w:lvl>
  </w:abstractNum>
  <w:abstractNum w:abstractNumId="9" w15:restartNumberingAfterBreak="0">
    <w:nsid w:val="3DAE75A9"/>
    <w:multiLevelType w:val="hybridMultilevel"/>
    <w:tmpl w:val="BF2A6084"/>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3931EA"/>
    <w:multiLevelType w:val="hybridMultilevel"/>
    <w:tmpl w:val="35B6FAC6"/>
    <w:lvl w:ilvl="0" w:tplc="6C9E538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9C30C49"/>
    <w:multiLevelType w:val="hybridMultilevel"/>
    <w:tmpl w:val="78F4A9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000874"/>
    <w:multiLevelType w:val="hybridMultilevel"/>
    <w:tmpl w:val="56F8E3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C8C3CBF"/>
    <w:multiLevelType w:val="multilevel"/>
    <w:tmpl w:val="513CD180"/>
    <w:lvl w:ilvl="0">
      <w:start w:val="1"/>
      <w:numFmt w:val="decimal"/>
      <w:lvlText w:val="%1."/>
      <w:lvlJc w:val="left"/>
      <w:pPr>
        <w:ind w:left="360" w:hanging="360"/>
      </w:pPr>
      <w:rPr>
        <w:rFonts w:hint="default"/>
        <w:b w:val="0"/>
        <w:bCs/>
        <w:i w:val="0"/>
        <w:iCs/>
      </w:rPr>
    </w:lvl>
    <w:lvl w:ilvl="1">
      <w:start w:val="1"/>
      <w:numFmt w:val="decimal"/>
      <w:isLgl/>
      <w:lvlText w:val="%1.%2."/>
      <w:lvlJc w:val="left"/>
      <w:pPr>
        <w:ind w:left="720" w:hanging="720"/>
      </w:pPr>
      <w:rPr>
        <w:rFonts w:hint="default"/>
      </w:rPr>
    </w:lvl>
    <w:lvl w:ilvl="2">
      <w:start w:val="1"/>
      <w:numFmt w:val="decimal"/>
      <w:lvlText w:val="%3."/>
      <w:lvlJc w:val="left"/>
      <w:pPr>
        <w:ind w:left="1428"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0707FF6"/>
    <w:multiLevelType w:val="hybridMultilevel"/>
    <w:tmpl w:val="5596E33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F55806"/>
    <w:multiLevelType w:val="hybridMultilevel"/>
    <w:tmpl w:val="138C55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4421522"/>
    <w:multiLevelType w:val="hybridMultilevel"/>
    <w:tmpl w:val="B67409DE"/>
    <w:lvl w:ilvl="0" w:tplc="0914B68A">
      <w:start w:val="1"/>
      <w:numFmt w:val="decimal"/>
      <w:lvlText w:val="%1)"/>
      <w:lvlJc w:val="left"/>
      <w:pPr>
        <w:ind w:left="660" w:hanging="360"/>
      </w:pPr>
      <w:rPr>
        <w:rFonts w:hint="default"/>
        <w:b w:val="0"/>
        <w:strike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7" w15:restartNumberingAfterBreak="0">
    <w:nsid w:val="6BFA1906"/>
    <w:multiLevelType w:val="hybridMultilevel"/>
    <w:tmpl w:val="27D465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50E58C6"/>
    <w:multiLevelType w:val="hybridMultilevel"/>
    <w:tmpl w:val="F28688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11455E"/>
    <w:multiLevelType w:val="hybridMultilevel"/>
    <w:tmpl w:val="ABF8F176"/>
    <w:lvl w:ilvl="0" w:tplc="C5A874DC">
      <w:start w:val="1"/>
      <w:numFmt w:val="decimal"/>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20" w15:restartNumberingAfterBreak="0">
    <w:nsid w:val="7CF923F2"/>
    <w:multiLevelType w:val="hybridMultilevel"/>
    <w:tmpl w:val="5232C356"/>
    <w:lvl w:ilvl="0" w:tplc="0B52C4A4">
      <w:start w:val="1"/>
      <w:numFmt w:val="decimal"/>
      <w:lvlText w:val="%1."/>
      <w:lvlJc w:val="left"/>
      <w:pPr>
        <w:ind w:left="1095" w:hanging="37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D904E5F"/>
    <w:multiLevelType w:val="hybridMultilevel"/>
    <w:tmpl w:val="8314331E"/>
    <w:lvl w:ilvl="0" w:tplc="8BB07738">
      <w:start w:val="1"/>
      <w:numFmt w:val="decimal"/>
      <w:lvlText w:val="%1)"/>
      <w:lvlJc w:val="left"/>
      <w:pPr>
        <w:ind w:left="585" w:hanging="360"/>
      </w:pPr>
      <w:rPr>
        <w:rFonts w:ascii="Arial" w:eastAsiaTheme="minorHAnsi" w:hAnsi="Arial" w:cs="Arial"/>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2" w15:restartNumberingAfterBreak="0">
    <w:nsid w:val="7E2A76C1"/>
    <w:multiLevelType w:val="hybridMultilevel"/>
    <w:tmpl w:val="FFB44550"/>
    <w:lvl w:ilvl="0" w:tplc="04260011">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16"/>
  </w:num>
  <w:num w:numId="3">
    <w:abstractNumId w:val="7"/>
  </w:num>
  <w:num w:numId="4">
    <w:abstractNumId w:val="19"/>
  </w:num>
  <w:num w:numId="5">
    <w:abstractNumId w:val="22"/>
  </w:num>
  <w:num w:numId="6">
    <w:abstractNumId w:val="2"/>
  </w:num>
  <w:num w:numId="7">
    <w:abstractNumId w:val="13"/>
  </w:num>
  <w:num w:numId="8">
    <w:abstractNumId w:val="14"/>
  </w:num>
  <w:num w:numId="9">
    <w:abstractNumId w:val="21"/>
  </w:num>
  <w:num w:numId="10">
    <w:abstractNumId w:val="8"/>
  </w:num>
  <w:num w:numId="11">
    <w:abstractNumId w:val="9"/>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0"/>
  </w:num>
  <w:num w:numId="31">
    <w:abstractNumId w:val="1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E67"/>
    <w:rsid w:val="000024DF"/>
    <w:rsid w:val="000031FC"/>
    <w:rsid w:val="00006337"/>
    <w:rsid w:val="000127A9"/>
    <w:rsid w:val="000160AA"/>
    <w:rsid w:val="00017D9A"/>
    <w:rsid w:val="000242B3"/>
    <w:rsid w:val="0002476C"/>
    <w:rsid w:val="00025262"/>
    <w:rsid w:val="00025ED5"/>
    <w:rsid w:val="000269D3"/>
    <w:rsid w:val="00030371"/>
    <w:rsid w:val="00031C13"/>
    <w:rsid w:val="00032F83"/>
    <w:rsid w:val="000358BD"/>
    <w:rsid w:val="00035D60"/>
    <w:rsid w:val="000375F5"/>
    <w:rsid w:val="00047D6F"/>
    <w:rsid w:val="0005037E"/>
    <w:rsid w:val="00050870"/>
    <w:rsid w:val="000519E2"/>
    <w:rsid w:val="00051ACD"/>
    <w:rsid w:val="00054BAE"/>
    <w:rsid w:val="00055C52"/>
    <w:rsid w:val="000575F2"/>
    <w:rsid w:val="00060C6A"/>
    <w:rsid w:val="00060D6D"/>
    <w:rsid w:val="00062AAE"/>
    <w:rsid w:val="00064E4D"/>
    <w:rsid w:val="000664AC"/>
    <w:rsid w:val="00067DDC"/>
    <w:rsid w:val="000732F1"/>
    <w:rsid w:val="00077850"/>
    <w:rsid w:val="00080A2D"/>
    <w:rsid w:val="00080A9D"/>
    <w:rsid w:val="00080FD6"/>
    <w:rsid w:val="0008128F"/>
    <w:rsid w:val="00083803"/>
    <w:rsid w:val="00083F2A"/>
    <w:rsid w:val="00085486"/>
    <w:rsid w:val="00085E60"/>
    <w:rsid w:val="00086AB6"/>
    <w:rsid w:val="00087F6A"/>
    <w:rsid w:val="00091A67"/>
    <w:rsid w:val="00091E33"/>
    <w:rsid w:val="00095284"/>
    <w:rsid w:val="000A1A08"/>
    <w:rsid w:val="000A1D99"/>
    <w:rsid w:val="000A2A98"/>
    <w:rsid w:val="000A603E"/>
    <w:rsid w:val="000A7374"/>
    <w:rsid w:val="000B0B12"/>
    <w:rsid w:val="000B1472"/>
    <w:rsid w:val="000B4F6E"/>
    <w:rsid w:val="000B4FEA"/>
    <w:rsid w:val="000C04CF"/>
    <w:rsid w:val="000C20BD"/>
    <w:rsid w:val="000C5F68"/>
    <w:rsid w:val="000C7603"/>
    <w:rsid w:val="000D19AF"/>
    <w:rsid w:val="000D2DCD"/>
    <w:rsid w:val="000D6859"/>
    <w:rsid w:val="000D6FC1"/>
    <w:rsid w:val="000D7135"/>
    <w:rsid w:val="000D7736"/>
    <w:rsid w:val="000E0003"/>
    <w:rsid w:val="000E078E"/>
    <w:rsid w:val="000E0B06"/>
    <w:rsid w:val="000E129A"/>
    <w:rsid w:val="000E3648"/>
    <w:rsid w:val="000E6844"/>
    <w:rsid w:val="000F0081"/>
    <w:rsid w:val="000F00A2"/>
    <w:rsid w:val="000F2423"/>
    <w:rsid w:val="000F2C33"/>
    <w:rsid w:val="00101860"/>
    <w:rsid w:val="00105084"/>
    <w:rsid w:val="001061FB"/>
    <w:rsid w:val="00107BA8"/>
    <w:rsid w:val="00110A02"/>
    <w:rsid w:val="00110A59"/>
    <w:rsid w:val="00115F68"/>
    <w:rsid w:val="00121F20"/>
    <w:rsid w:val="0012384D"/>
    <w:rsid w:val="00124E72"/>
    <w:rsid w:val="00125F37"/>
    <w:rsid w:val="0012690B"/>
    <w:rsid w:val="0013128F"/>
    <w:rsid w:val="0013142C"/>
    <w:rsid w:val="00135DA2"/>
    <w:rsid w:val="001379A3"/>
    <w:rsid w:val="00140A5B"/>
    <w:rsid w:val="00141EC4"/>
    <w:rsid w:val="001451BA"/>
    <w:rsid w:val="00146C77"/>
    <w:rsid w:val="001516DB"/>
    <w:rsid w:val="00152FFF"/>
    <w:rsid w:val="00153CDB"/>
    <w:rsid w:val="00156091"/>
    <w:rsid w:val="00157325"/>
    <w:rsid w:val="0015732B"/>
    <w:rsid w:val="00162760"/>
    <w:rsid w:val="00162F69"/>
    <w:rsid w:val="0016301B"/>
    <w:rsid w:val="001654AB"/>
    <w:rsid w:val="001674D9"/>
    <w:rsid w:val="001738D2"/>
    <w:rsid w:val="00173EF9"/>
    <w:rsid w:val="00175E00"/>
    <w:rsid w:val="00176899"/>
    <w:rsid w:val="001804DE"/>
    <w:rsid w:val="001807A4"/>
    <w:rsid w:val="001808CD"/>
    <w:rsid w:val="00180993"/>
    <w:rsid w:val="00181B31"/>
    <w:rsid w:val="00183288"/>
    <w:rsid w:val="001861BB"/>
    <w:rsid w:val="001866E4"/>
    <w:rsid w:val="0019483C"/>
    <w:rsid w:val="001965D3"/>
    <w:rsid w:val="001A074C"/>
    <w:rsid w:val="001A26D1"/>
    <w:rsid w:val="001A47BD"/>
    <w:rsid w:val="001A4877"/>
    <w:rsid w:val="001A4C86"/>
    <w:rsid w:val="001B051B"/>
    <w:rsid w:val="001B09C4"/>
    <w:rsid w:val="001B10E6"/>
    <w:rsid w:val="001B1F99"/>
    <w:rsid w:val="001B4CF6"/>
    <w:rsid w:val="001B4EDA"/>
    <w:rsid w:val="001C0312"/>
    <w:rsid w:val="001C0AD0"/>
    <w:rsid w:val="001C1622"/>
    <w:rsid w:val="001C3F97"/>
    <w:rsid w:val="001C6E72"/>
    <w:rsid w:val="001D0DAA"/>
    <w:rsid w:val="001D1A6A"/>
    <w:rsid w:val="001D40DA"/>
    <w:rsid w:val="001E32CA"/>
    <w:rsid w:val="001E614D"/>
    <w:rsid w:val="001F1979"/>
    <w:rsid w:val="001F20B6"/>
    <w:rsid w:val="001F4458"/>
    <w:rsid w:val="001F4902"/>
    <w:rsid w:val="001F795B"/>
    <w:rsid w:val="0020141A"/>
    <w:rsid w:val="00201F52"/>
    <w:rsid w:val="002020E3"/>
    <w:rsid w:val="00202310"/>
    <w:rsid w:val="00202896"/>
    <w:rsid w:val="002033F6"/>
    <w:rsid w:val="00204098"/>
    <w:rsid w:val="00205E83"/>
    <w:rsid w:val="002112D3"/>
    <w:rsid w:val="002130C2"/>
    <w:rsid w:val="00215D20"/>
    <w:rsid w:val="00222015"/>
    <w:rsid w:val="00231B9F"/>
    <w:rsid w:val="0023220E"/>
    <w:rsid w:val="00235E2A"/>
    <w:rsid w:val="00236261"/>
    <w:rsid w:val="00236324"/>
    <w:rsid w:val="00236560"/>
    <w:rsid w:val="00236E30"/>
    <w:rsid w:val="00237F7E"/>
    <w:rsid w:val="002417BD"/>
    <w:rsid w:val="002455BF"/>
    <w:rsid w:val="002455EA"/>
    <w:rsid w:val="00246798"/>
    <w:rsid w:val="0025239C"/>
    <w:rsid w:val="002529C1"/>
    <w:rsid w:val="00257D3E"/>
    <w:rsid w:val="00263462"/>
    <w:rsid w:val="0026390A"/>
    <w:rsid w:val="00263B1E"/>
    <w:rsid w:val="00273468"/>
    <w:rsid w:val="00273B47"/>
    <w:rsid w:val="0027719E"/>
    <w:rsid w:val="002777C9"/>
    <w:rsid w:val="0028284A"/>
    <w:rsid w:val="0028440B"/>
    <w:rsid w:val="0028783D"/>
    <w:rsid w:val="00290F04"/>
    <w:rsid w:val="00295248"/>
    <w:rsid w:val="002A3BDD"/>
    <w:rsid w:val="002A4BBD"/>
    <w:rsid w:val="002A7B9F"/>
    <w:rsid w:val="002A7C2F"/>
    <w:rsid w:val="002B2EB4"/>
    <w:rsid w:val="002C030F"/>
    <w:rsid w:val="002C129A"/>
    <w:rsid w:val="002C3962"/>
    <w:rsid w:val="002C499F"/>
    <w:rsid w:val="002C5075"/>
    <w:rsid w:val="002C5455"/>
    <w:rsid w:val="002C6753"/>
    <w:rsid w:val="002C7593"/>
    <w:rsid w:val="002D0ADF"/>
    <w:rsid w:val="002D4920"/>
    <w:rsid w:val="002D6E75"/>
    <w:rsid w:val="002D7073"/>
    <w:rsid w:val="002E08CE"/>
    <w:rsid w:val="002E35F3"/>
    <w:rsid w:val="002E6B5E"/>
    <w:rsid w:val="002E7C66"/>
    <w:rsid w:val="002F0369"/>
    <w:rsid w:val="002F0E3A"/>
    <w:rsid w:val="002F2B22"/>
    <w:rsid w:val="002F361B"/>
    <w:rsid w:val="002F401B"/>
    <w:rsid w:val="002F53B1"/>
    <w:rsid w:val="002F6325"/>
    <w:rsid w:val="002F7D64"/>
    <w:rsid w:val="00301997"/>
    <w:rsid w:val="00305FFB"/>
    <w:rsid w:val="0030644D"/>
    <w:rsid w:val="0031071E"/>
    <w:rsid w:val="00312460"/>
    <w:rsid w:val="003157C5"/>
    <w:rsid w:val="003167E3"/>
    <w:rsid w:val="00316993"/>
    <w:rsid w:val="00317704"/>
    <w:rsid w:val="00322216"/>
    <w:rsid w:val="00322395"/>
    <w:rsid w:val="003227F2"/>
    <w:rsid w:val="00324D2F"/>
    <w:rsid w:val="0032542C"/>
    <w:rsid w:val="00325FCC"/>
    <w:rsid w:val="00332A6B"/>
    <w:rsid w:val="003332F2"/>
    <w:rsid w:val="0033764E"/>
    <w:rsid w:val="003376C4"/>
    <w:rsid w:val="0034006A"/>
    <w:rsid w:val="003403A0"/>
    <w:rsid w:val="0034066C"/>
    <w:rsid w:val="00341BC8"/>
    <w:rsid w:val="00342CEC"/>
    <w:rsid w:val="00343A0C"/>
    <w:rsid w:val="00353714"/>
    <w:rsid w:val="00357217"/>
    <w:rsid w:val="003579D9"/>
    <w:rsid w:val="00360229"/>
    <w:rsid w:val="00363928"/>
    <w:rsid w:val="00364351"/>
    <w:rsid w:val="0036481C"/>
    <w:rsid w:val="00366993"/>
    <w:rsid w:val="00370316"/>
    <w:rsid w:val="00370357"/>
    <w:rsid w:val="00374EFF"/>
    <w:rsid w:val="00381811"/>
    <w:rsid w:val="0038319B"/>
    <w:rsid w:val="00383335"/>
    <w:rsid w:val="00386943"/>
    <w:rsid w:val="00386F60"/>
    <w:rsid w:val="00387534"/>
    <w:rsid w:val="00387FCA"/>
    <w:rsid w:val="003923D7"/>
    <w:rsid w:val="00396532"/>
    <w:rsid w:val="00397396"/>
    <w:rsid w:val="00397662"/>
    <w:rsid w:val="003A0CB3"/>
    <w:rsid w:val="003A4504"/>
    <w:rsid w:val="003B01EE"/>
    <w:rsid w:val="003B1648"/>
    <w:rsid w:val="003B188A"/>
    <w:rsid w:val="003B40CD"/>
    <w:rsid w:val="003B6F32"/>
    <w:rsid w:val="003C00BB"/>
    <w:rsid w:val="003C05E0"/>
    <w:rsid w:val="003C1763"/>
    <w:rsid w:val="003C2805"/>
    <w:rsid w:val="003C3B0F"/>
    <w:rsid w:val="003D07AA"/>
    <w:rsid w:val="003D119F"/>
    <w:rsid w:val="003D269B"/>
    <w:rsid w:val="003D3131"/>
    <w:rsid w:val="003D6A6E"/>
    <w:rsid w:val="003D7898"/>
    <w:rsid w:val="003E4334"/>
    <w:rsid w:val="003E683F"/>
    <w:rsid w:val="003E6BC4"/>
    <w:rsid w:val="003E75E8"/>
    <w:rsid w:val="003E78F2"/>
    <w:rsid w:val="003E7A5B"/>
    <w:rsid w:val="003F026E"/>
    <w:rsid w:val="003F0564"/>
    <w:rsid w:val="003F3285"/>
    <w:rsid w:val="003F3F55"/>
    <w:rsid w:val="003F41F2"/>
    <w:rsid w:val="003F43DA"/>
    <w:rsid w:val="0040074D"/>
    <w:rsid w:val="00400CDD"/>
    <w:rsid w:val="00401194"/>
    <w:rsid w:val="00404E36"/>
    <w:rsid w:val="00410D03"/>
    <w:rsid w:val="004143AA"/>
    <w:rsid w:val="00417F4B"/>
    <w:rsid w:val="004210FC"/>
    <w:rsid w:val="004220D1"/>
    <w:rsid w:val="00423EE5"/>
    <w:rsid w:val="00425E27"/>
    <w:rsid w:val="00425F97"/>
    <w:rsid w:val="0042611F"/>
    <w:rsid w:val="0042675B"/>
    <w:rsid w:val="00426C60"/>
    <w:rsid w:val="0043152B"/>
    <w:rsid w:val="004321E2"/>
    <w:rsid w:val="004334BC"/>
    <w:rsid w:val="00434FCB"/>
    <w:rsid w:val="004350B4"/>
    <w:rsid w:val="0043629E"/>
    <w:rsid w:val="00437627"/>
    <w:rsid w:val="00441946"/>
    <w:rsid w:val="00443927"/>
    <w:rsid w:val="00444EA5"/>
    <w:rsid w:val="00445863"/>
    <w:rsid w:val="00446B34"/>
    <w:rsid w:val="00447A6C"/>
    <w:rsid w:val="00452768"/>
    <w:rsid w:val="00453560"/>
    <w:rsid w:val="004538BA"/>
    <w:rsid w:val="00453BEB"/>
    <w:rsid w:val="00456F72"/>
    <w:rsid w:val="00461B23"/>
    <w:rsid w:val="00462734"/>
    <w:rsid w:val="004628E8"/>
    <w:rsid w:val="004728BE"/>
    <w:rsid w:val="0047358C"/>
    <w:rsid w:val="00475B31"/>
    <w:rsid w:val="00477001"/>
    <w:rsid w:val="0048014B"/>
    <w:rsid w:val="0048303A"/>
    <w:rsid w:val="00483870"/>
    <w:rsid w:val="00483FB4"/>
    <w:rsid w:val="00484E41"/>
    <w:rsid w:val="0048642D"/>
    <w:rsid w:val="00486DF4"/>
    <w:rsid w:val="00487847"/>
    <w:rsid w:val="004911B2"/>
    <w:rsid w:val="004912D3"/>
    <w:rsid w:val="00491738"/>
    <w:rsid w:val="00494FE6"/>
    <w:rsid w:val="004955B7"/>
    <w:rsid w:val="00496E4D"/>
    <w:rsid w:val="004A220E"/>
    <w:rsid w:val="004B46AE"/>
    <w:rsid w:val="004C0234"/>
    <w:rsid w:val="004C13CB"/>
    <w:rsid w:val="004C4DDC"/>
    <w:rsid w:val="004D0BA3"/>
    <w:rsid w:val="004D1E9C"/>
    <w:rsid w:val="004D340A"/>
    <w:rsid w:val="004D6A77"/>
    <w:rsid w:val="004D7E7E"/>
    <w:rsid w:val="004D7F5C"/>
    <w:rsid w:val="004E3335"/>
    <w:rsid w:val="004E582D"/>
    <w:rsid w:val="004F0DEB"/>
    <w:rsid w:val="004F1874"/>
    <w:rsid w:val="004F3125"/>
    <w:rsid w:val="004F751B"/>
    <w:rsid w:val="004F75AD"/>
    <w:rsid w:val="0050295F"/>
    <w:rsid w:val="00504951"/>
    <w:rsid w:val="00507A17"/>
    <w:rsid w:val="005100BF"/>
    <w:rsid w:val="005116CB"/>
    <w:rsid w:val="00511FD2"/>
    <w:rsid w:val="005131EA"/>
    <w:rsid w:val="005141EF"/>
    <w:rsid w:val="0051574F"/>
    <w:rsid w:val="005202AF"/>
    <w:rsid w:val="005219F4"/>
    <w:rsid w:val="00522C26"/>
    <w:rsid w:val="0052607E"/>
    <w:rsid w:val="00526F71"/>
    <w:rsid w:val="00530592"/>
    <w:rsid w:val="005306A6"/>
    <w:rsid w:val="00531C42"/>
    <w:rsid w:val="0053214B"/>
    <w:rsid w:val="00534093"/>
    <w:rsid w:val="005364A6"/>
    <w:rsid w:val="0053795A"/>
    <w:rsid w:val="005411EC"/>
    <w:rsid w:val="00542F18"/>
    <w:rsid w:val="0054407C"/>
    <w:rsid w:val="005443AD"/>
    <w:rsid w:val="00544B3D"/>
    <w:rsid w:val="00544D95"/>
    <w:rsid w:val="005452DD"/>
    <w:rsid w:val="00545E98"/>
    <w:rsid w:val="0055316B"/>
    <w:rsid w:val="00553AE0"/>
    <w:rsid w:val="00554B16"/>
    <w:rsid w:val="00554FFB"/>
    <w:rsid w:val="00557B2E"/>
    <w:rsid w:val="00566A9E"/>
    <w:rsid w:val="005703D4"/>
    <w:rsid w:val="00571F60"/>
    <w:rsid w:val="00573A38"/>
    <w:rsid w:val="00573F70"/>
    <w:rsid w:val="00583F14"/>
    <w:rsid w:val="0058627F"/>
    <w:rsid w:val="00587704"/>
    <w:rsid w:val="00587C66"/>
    <w:rsid w:val="0059289F"/>
    <w:rsid w:val="00592EA2"/>
    <w:rsid w:val="0059312B"/>
    <w:rsid w:val="00594362"/>
    <w:rsid w:val="005A123C"/>
    <w:rsid w:val="005A75AC"/>
    <w:rsid w:val="005B00BD"/>
    <w:rsid w:val="005B0DAA"/>
    <w:rsid w:val="005B2909"/>
    <w:rsid w:val="005B2BAC"/>
    <w:rsid w:val="005B6950"/>
    <w:rsid w:val="005B6A86"/>
    <w:rsid w:val="005C00F4"/>
    <w:rsid w:val="005C0340"/>
    <w:rsid w:val="005C1341"/>
    <w:rsid w:val="005C1455"/>
    <w:rsid w:val="005C263F"/>
    <w:rsid w:val="005C2F65"/>
    <w:rsid w:val="005C7125"/>
    <w:rsid w:val="005C71F2"/>
    <w:rsid w:val="005C7FA2"/>
    <w:rsid w:val="005D0DF9"/>
    <w:rsid w:val="005D1667"/>
    <w:rsid w:val="005D19E2"/>
    <w:rsid w:val="005D252A"/>
    <w:rsid w:val="005E2EB0"/>
    <w:rsid w:val="005F1693"/>
    <w:rsid w:val="0060098A"/>
    <w:rsid w:val="0060116E"/>
    <w:rsid w:val="00603639"/>
    <w:rsid w:val="006054DE"/>
    <w:rsid w:val="00610A7B"/>
    <w:rsid w:val="006162A6"/>
    <w:rsid w:val="00617661"/>
    <w:rsid w:val="0062147C"/>
    <w:rsid w:val="00623077"/>
    <w:rsid w:val="00626564"/>
    <w:rsid w:val="006268FB"/>
    <w:rsid w:val="00626B61"/>
    <w:rsid w:val="00633D57"/>
    <w:rsid w:val="00634143"/>
    <w:rsid w:val="00634C40"/>
    <w:rsid w:val="0063594E"/>
    <w:rsid w:val="00636BDC"/>
    <w:rsid w:val="00636F65"/>
    <w:rsid w:val="0064354E"/>
    <w:rsid w:val="00644239"/>
    <w:rsid w:val="00644990"/>
    <w:rsid w:val="00645505"/>
    <w:rsid w:val="00650B3A"/>
    <w:rsid w:val="0065257B"/>
    <w:rsid w:val="006530FA"/>
    <w:rsid w:val="00653CC2"/>
    <w:rsid w:val="00654CEA"/>
    <w:rsid w:val="00665AFF"/>
    <w:rsid w:val="0066639C"/>
    <w:rsid w:val="006671B3"/>
    <w:rsid w:val="00671E72"/>
    <w:rsid w:val="0067600F"/>
    <w:rsid w:val="00680606"/>
    <w:rsid w:val="00682893"/>
    <w:rsid w:val="00684D61"/>
    <w:rsid w:val="006874C2"/>
    <w:rsid w:val="006946DB"/>
    <w:rsid w:val="00696A8F"/>
    <w:rsid w:val="00696B5D"/>
    <w:rsid w:val="006A064A"/>
    <w:rsid w:val="006A0B45"/>
    <w:rsid w:val="006A3E14"/>
    <w:rsid w:val="006A445E"/>
    <w:rsid w:val="006A56E7"/>
    <w:rsid w:val="006A76DF"/>
    <w:rsid w:val="006B11C6"/>
    <w:rsid w:val="006B611C"/>
    <w:rsid w:val="006C07CE"/>
    <w:rsid w:val="006C2B1E"/>
    <w:rsid w:val="006C6C7A"/>
    <w:rsid w:val="006C7080"/>
    <w:rsid w:val="006C7F44"/>
    <w:rsid w:val="006D22EE"/>
    <w:rsid w:val="006D3AD6"/>
    <w:rsid w:val="006D5F38"/>
    <w:rsid w:val="006D6F4C"/>
    <w:rsid w:val="006E309B"/>
    <w:rsid w:val="006E3A56"/>
    <w:rsid w:val="006E4C9B"/>
    <w:rsid w:val="006E781C"/>
    <w:rsid w:val="006F2053"/>
    <w:rsid w:val="006F346F"/>
    <w:rsid w:val="006F3588"/>
    <w:rsid w:val="006F6214"/>
    <w:rsid w:val="006F6952"/>
    <w:rsid w:val="00705656"/>
    <w:rsid w:val="0071264D"/>
    <w:rsid w:val="0071538A"/>
    <w:rsid w:val="00715814"/>
    <w:rsid w:val="007158BF"/>
    <w:rsid w:val="0071657D"/>
    <w:rsid w:val="00721F04"/>
    <w:rsid w:val="00722192"/>
    <w:rsid w:val="007223AD"/>
    <w:rsid w:val="007263CF"/>
    <w:rsid w:val="0073361F"/>
    <w:rsid w:val="00733A64"/>
    <w:rsid w:val="00733F3A"/>
    <w:rsid w:val="00736570"/>
    <w:rsid w:val="007410BC"/>
    <w:rsid w:val="00741F1F"/>
    <w:rsid w:val="00742028"/>
    <w:rsid w:val="00742E4A"/>
    <w:rsid w:val="00746211"/>
    <w:rsid w:val="00752192"/>
    <w:rsid w:val="007524EB"/>
    <w:rsid w:val="007535FA"/>
    <w:rsid w:val="0075474C"/>
    <w:rsid w:val="00754AD2"/>
    <w:rsid w:val="00762B7F"/>
    <w:rsid w:val="00767B72"/>
    <w:rsid w:val="00767EA6"/>
    <w:rsid w:val="00770A5A"/>
    <w:rsid w:val="007724CA"/>
    <w:rsid w:val="007809A6"/>
    <w:rsid w:val="00781A96"/>
    <w:rsid w:val="00781F13"/>
    <w:rsid w:val="0078475A"/>
    <w:rsid w:val="00784C25"/>
    <w:rsid w:val="007863C1"/>
    <w:rsid w:val="007874FE"/>
    <w:rsid w:val="00790EA6"/>
    <w:rsid w:val="007930C2"/>
    <w:rsid w:val="007A1AB3"/>
    <w:rsid w:val="007A1BD8"/>
    <w:rsid w:val="007A220F"/>
    <w:rsid w:val="007A3B14"/>
    <w:rsid w:val="007B0985"/>
    <w:rsid w:val="007B1245"/>
    <w:rsid w:val="007B213D"/>
    <w:rsid w:val="007B3755"/>
    <w:rsid w:val="007B6B23"/>
    <w:rsid w:val="007C7211"/>
    <w:rsid w:val="007D1564"/>
    <w:rsid w:val="007D1E12"/>
    <w:rsid w:val="007D60E5"/>
    <w:rsid w:val="007E2A31"/>
    <w:rsid w:val="007E2AEF"/>
    <w:rsid w:val="007E319B"/>
    <w:rsid w:val="007E49C6"/>
    <w:rsid w:val="007E7462"/>
    <w:rsid w:val="007F0761"/>
    <w:rsid w:val="007F70E2"/>
    <w:rsid w:val="00803760"/>
    <w:rsid w:val="00807902"/>
    <w:rsid w:val="00811BD3"/>
    <w:rsid w:val="00824C3D"/>
    <w:rsid w:val="00825700"/>
    <w:rsid w:val="008259CC"/>
    <w:rsid w:val="00826264"/>
    <w:rsid w:val="008262F0"/>
    <w:rsid w:val="00827FBD"/>
    <w:rsid w:val="008350F3"/>
    <w:rsid w:val="0083530F"/>
    <w:rsid w:val="00835EFE"/>
    <w:rsid w:val="008413D0"/>
    <w:rsid w:val="008448A0"/>
    <w:rsid w:val="00844D30"/>
    <w:rsid w:val="008465EE"/>
    <w:rsid w:val="0085592E"/>
    <w:rsid w:val="00860949"/>
    <w:rsid w:val="0086156C"/>
    <w:rsid w:val="00861ADC"/>
    <w:rsid w:val="008657E6"/>
    <w:rsid w:val="0086652C"/>
    <w:rsid w:val="00866A57"/>
    <w:rsid w:val="00867278"/>
    <w:rsid w:val="00874624"/>
    <w:rsid w:val="008759DD"/>
    <w:rsid w:val="00877ADA"/>
    <w:rsid w:val="008808A6"/>
    <w:rsid w:val="00890200"/>
    <w:rsid w:val="008942FF"/>
    <w:rsid w:val="008951B7"/>
    <w:rsid w:val="008959E5"/>
    <w:rsid w:val="00897DD5"/>
    <w:rsid w:val="008A348E"/>
    <w:rsid w:val="008B148C"/>
    <w:rsid w:val="008B526E"/>
    <w:rsid w:val="008B570B"/>
    <w:rsid w:val="008B5BC0"/>
    <w:rsid w:val="008B62AD"/>
    <w:rsid w:val="008B6BFE"/>
    <w:rsid w:val="008B6F6E"/>
    <w:rsid w:val="008B75A9"/>
    <w:rsid w:val="008C2004"/>
    <w:rsid w:val="008C27AD"/>
    <w:rsid w:val="008C3058"/>
    <w:rsid w:val="008C5E2D"/>
    <w:rsid w:val="008C6FAF"/>
    <w:rsid w:val="008D0735"/>
    <w:rsid w:val="008D0D5D"/>
    <w:rsid w:val="008D27B6"/>
    <w:rsid w:val="008D39E3"/>
    <w:rsid w:val="008D4FB4"/>
    <w:rsid w:val="008D6CEA"/>
    <w:rsid w:val="008E1AE4"/>
    <w:rsid w:val="008E1F21"/>
    <w:rsid w:val="008E2FBF"/>
    <w:rsid w:val="008E354E"/>
    <w:rsid w:val="008E3DE2"/>
    <w:rsid w:val="008E5EE7"/>
    <w:rsid w:val="008F28C1"/>
    <w:rsid w:val="008F2A73"/>
    <w:rsid w:val="008F4BD0"/>
    <w:rsid w:val="008F6A49"/>
    <w:rsid w:val="008F75D7"/>
    <w:rsid w:val="00900EB1"/>
    <w:rsid w:val="009017CD"/>
    <w:rsid w:val="009047B0"/>
    <w:rsid w:val="009048EA"/>
    <w:rsid w:val="00904D59"/>
    <w:rsid w:val="0091202A"/>
    <w:rsid w:val="009138CD"/>
    <w:rsid w:val="00914862"/>
    <w:rsid w:val="00914930"/>
    <w:rsid w:val="009161DE"/>
    <w:rsid w:val="0092193C"/>
    <w:rsid w:val="00923DC7"/>
    <w:rsid w:val="0092533A"/>
    <w:rsid w:val="00925D7B"/>
    <w:rsid w:val="00926F26"/>
    <w:rsid w:val="00931269"/>
    <w:rsid w:val="00933622"/>
    <w:rsid w:val="00940F2C"/>
    <w:rsid w:val="00943DFA"/>
    <w:rsid w:val="00944A11"/>
    <w:rsid w:val="00944FD0"/>
    <w:rsid w:val="00944FD5"/>
    <w:rsid w:val="00947055"/>
    <w:rsid w:val="009517C5"/>
    <w:rsid w:val="00952225"/>
    <w:rsid w:val="0095341C"/>
    <w:rsid w:val="00953ECE"/>
    <w:rsid w:val="00956205"/>
    <w:rsid w:val="009563C2"/>
    <w:rsid w:val="00960C57"/>
    <w:rsid w:val="0096405E"/>
    <w:rsid w:val="009655A1"/>
    <w:rsid w:val="00965741"/>
    <w:rsid w:val="00972218"/>
    <w:rsid w:val="00974A87"/>
    <w:rsid w:val="009831F2"/>
    <w:rsid w:val="0098573E"/>
    <w:rsid w:val="009858B5"/>
    <w:rsid w:val="00986F69"/>
    <w:rsid w:val="00987D24"/>
    <w:rsid w:val="009928FA"/>
    <w:rsid w:val="009954D4"/>
    <w:rsid w:val="00995708"/>
    <w:rsid w:val="00995CEB"/>
    <w:rsid w:val="009973D3"/>
    <w:rsid w:val="009A1997"/>
    <w:rsid w:val="009A2097"/>
    <w:rsid w:val="009A338C"/>
    <w:rsid w:val="009A7981"/>
    <w:rsid w:val="009B06D9"/>
    <w:rsid w:val="009B308F"/>
    <w:rsid w:val="009B7C29"/>
    <w:rsid w:val="009C02C6"/>
    <w:rsid w:val="009C3864"/>
    <w:rsid w:val="009C791A"/>
    <w:rsid w:val="009C7A1F"/>
    <w:rsid w:val="009D0432"/>
    <w:rsid w:val="009D146F"/>
    <w:rsid w:val="009D2396"/>
    <w:rsid w:val="009D5CBA"/>
    <w:rsid w:val="009D61C0"/>
    <w:rsid w:val="009E1662"/>
    <w:rsid w:val="009E26C2"/>
    <w:rsid w:val="009E483E"/>
    <w:rsid w:val="009F0B2C"/>
    <w:rsid w:val="009F32CD"/>
    <w:rsid w:val="009F44B2"/>
    <w:rsid w:val="009F47B3"/>
    <w:rsid w:val="009F7E71"/>
    <w:rsid w:val="00A006F3"/>
    <w:rsid w:val="00A014C0"/>
    <w:rsid w:val="00A01E09"/>
    <w:rsid w:val="00A022B1"/>
    <w:rsid w:val="00A10263"/>
    <w:rsid w:val="00A12047"/>
    <w:rsid w:val="00A133EF"/>
    <w:rsid w:val="00A24898"/>
    <w:rsid w:val="00A26084"/>
    <w:rsid w:val="00A310E2"/>
    <w:rsid w:val="00A32716"/>
    <w:rsid w:val="00A3484F"/>
    <w:rsid w:val="00A35FD8"/>
    <w:rsid w:val="00A365E7"/>
    <w:rsid w:val="00A368F1"/>
    <w:rsid w:val="00A411EB"/>
    <w:rsid w:val="00A41920"/>
    <w:rsid w:val="00A42363"/>
    <w:rsid w:val="00A434CF"/>
    <w:rsid w:val="00A4455C"/>
    <w:rsid w:val="00A44764"/>
    <w:rsid w:val="00A44B63"/>
    <w:rsid w:val="00A45083"/>
    <w:rsid w:val="00A531FE"/>
    <w:rsid w:val="00A622AA"/>
    <w:rsid w:val="00A664FB"/>
    <w:rsid w:val="00A70D5E"/>
    <w:rsid w:val="00A70F89"/>
    <w:rsid w:val="00A71D0C"/>
    <w:rsid w:val="00A727F5"/>
    <w:rsid w:val="00A74550"/>
    <w:rsid w:val="00A74A0A"/>
    <w:rsid w:val="00A76067"/>
    <w:rsid w:val="00A76E2F"/>
    <w:rsid w:val="00A84DE7"/>
    <w:rsid w:val="00A85F9E"/>
    <w:rsid w:val="00A90129"/>
    <w:rsid w:val="00A91EE7"/>
    <w:rsid w:val="00A95615"/>
    <w:rsid w:val="00A9610B"/>
    <w:rsid w:val="00AA0613"/>
    <w:rsid w:val="00AA0B31"/>
    <w:rsid w:val="00AA1519"/>
    <w:rsid w:val="00AA27CA"/>
    <w:rsid w:val="00AA7E9A"/>
    <w:rsid w:val="00AB1CBB"/>
    <w:rsid w:val="00AB78A0"/>
    <w:rsid w:val="00AC0BA5"/>
    <w:rsid w:val="00AC0D39"/>
    <w:rsid w:val="00AC1498"/>
    <w:rsid w:val="00AC1A70"/>
    <w:rsid w:val="00AC1F37"/>
    <w:rsid w:val="00AC20E0"/>
    <w:rsid w:val="00AC326A"/>
    <w:rsid w:val="00AC7D85"/>
    <w:rsid w:val="00AD0B71"/>
    <w:rsid w:val="00AE0C67"/>
    <w:rsid w:val="00AE1800"/>
    <w:rsid w:val="00AE2803"/>
    <w:rsid w:val="00AE3637"/>
    <w:rsid w:val="00AE3EE8"/>
    <w:rsid w:val="00AE4A24"/>
    <w:rsid w:val="00AE4CEF"/>
    <w:rsid w:val="00AE6E7A"/>
    <w:rsid w:val="00AF1600"/>
    <w:rsid w:val="00AF1D3E"/>
    <w:rsid w:val="00AF3CC5"/>
    <w:rsid w:val="00B02910"/>
    <w:rsid w:val="00B03394"/>
    <w:rsid w:val="00B03F45"/>
    <w:rsid w:val="00B03FA9"/>
    <w:rsid w:val="00B065B8"/>
    <w:rsid w:val="00B070AD"/>
    <w:rsid w:val="00B175EB"/>
    <w:rsid w:val="00B178E0"/>
    <w:rsid w:val="00B2222E"/>
    <w:rsid w:val="00B22392"/>
    <w:rsid w:val="00B2358F"/>
    <w:rsid w:val="00B33DB9"/>
    <w:rsid w:val="00B37262"/>
    <w:rsid w:val="00B37C4F"/>
    <w:rsid w:val="00B41D14"/>
    <w:rsid w:val="00B576F9"/>
    <w:rsid w:val="00B6044E"/>
    <w:rsid w:val="00B60737"/>
    <w:rsid w:val="00B61441"/>
    <w:rsid w:val="00B61ACA"/>
    <w:rsid w:val="00B63432"/>
    <w:rsid w:val="00B70215"/>
    <w:rsid w:val="00B750A8"/>
    <w:rsid w:val="00B75EE8"/>
    <w:rsid w:val="00B81115"/>
    <w:rsid w:val="00B8473C"/>
    <w:rsid w:val="00B86898"/>
    <w:rsid w:val="00B90074"/>
    <w:rsid w:val="00B91557"/>
    <w:rsid w:val="00B92E54"/>
    <w:rsid w:val="00B93D56"/>
    <w:rsid w:val="00B9406B"/>
    <w:rsid w:val="00B945E0"/>
    <w:rsid w:val="00BA060A"/>
    <w:rsid w:val="00BA0D80"/>
    <w:rsid w:val="00BB2B5F"/>
    <w:rsid w:val="00BB4C4F"/>
    <w:rsid w:val="00BB63CE"/>
    <w:rsid w:val="00BB7A99"/>
    <w:rsid w:val="00BC26E3"/>
    <w:rsid w:val="00BC4532"/>
    <w:rsid w:val="00BC51CB"/>
    <w:rsid w:val="00BD37B4"/>
    <w:rsid w:val="00BD711F"/>
    <w:rsid w:val="00BE041F"/>
    <w:rsid w:val="00BE2676"/>
    <w:rsid w:val="00BE2AF0"/>
    <w:rsid w:val="00BE37CF"/>
    <w:rsid w:val="00BE7A0C"/>
    <w:rsid w:val="00BF199A"/>
    <w:rsid w:val="00BF73B4"/>
    <w:rsid w:val="00BF77F5"/>
    <w:rsid w:val="00BF7A77"/>
    <w:rsid w:val="00BF7ED6"/>
    <w:rsid w:val="00C001A0"/>
    <w:rsid w:val="00C00953"/>
    <w:rsid w:val="00C0347F"/>
    <w:rsid w:val="00C03E69"/>
    <w:rsid w:val="00C044CF"/>
    <w:rsid w:val="00C048A2"/>
    <w:rsid w:val="00C04A2D"/>
    <w:rsid w:val="00C058FE"/>
    <w:rsid w:val="00C10C11"/>
    <w:rsid w:val="00C10FFF"/>
    <w:rsid w:val="00C11517"/>
    <w:rsid w:val="00C13208"/>
    <w:rsid w:val="00C147FA"/>
    <w:rsid w:val="00C152CB"/>
    <w:rsid w:val="00C20189"/>
    <w:rsid w:val="00C218AE"/>
    <w:rsid w:val="00C2523B"/>
    <w:rsid w:val="00C2599E"/>
    <w:rsid w:val="00C30237"/>
    <w:rsid w:val="00C304AB"/>
    <w:rsid w:val="00C3321C"/>
    <w:rsid w:val="00C37040"/>
    <w:rsid w:val="00C430F1"/>
    <w:rsid w:val="00C4379B"/>
    <w:rsid w:val="00C46805"/>
    <w:rsid w:val="00C47342"/>
    <w:rsid w:val="00C47D51"/>
    <w:rsid w:val="00C53ED3"/>
    <w:rsid w:val="00C55D01"/>
    <w:rsid w:val="00C56785"/>
    <w:rsid w:val="00C5686C"/>
    <w:rsid w:val="00C571F5"/>
    <w:rsid w:val="00C610B3"/>
    <w:rsid w:val="00C6270D"/>
    <w:rsid w:val="00C66F7E"/>
    <w:rsid w:val="00C703FF"/>
    <w:rsid w:val="00C7096B"/>
    <w:rsid w:val="00C72A89"/>
    <w:rsid w:val="00C72FB3"/>
    <w:rsid w:val="00C80558"/>
    <w:rsid w:val="00C81AF0"/>
    <w:rsid w:val="00C825E4"/>
    <w:rsid w:val="00C8306A"/>
    <w:rsid w:val="00C83838"/>
    <w:rsid w:val="00C8478A"/>
    <w:rsid w:val="00C965D2"/>
    <w:rsid w:val="00C96744"/>
    <w:rsid w:val="00CA334D"/>
    <w:rsid w:val="00CB1830"/>
    <w:rsid w:val="00CB4D13"/>
    <w:rsid w:val="00CB62BF"/>
    <w:rsid w:val="00CB63A3"/>
    <w:rsid w:val="00CB6EBE"/>
    <w:rsid w:val="00CB784D"/>
    <w:rsid w:val="00CC08A0"/>
    <w:rsid w:val="00CC2638"/>
    <w:rsid w:val="00CC761D"/>
    <w:rsid w:val="00CD27EF"/>
    <w:rsid w:val="00CD4F63"/>
    <w:rsid w:val="00CE0DE8"/>
    <w:rsid w:val="00CE150C"/>
    <w:rsid w:val="00CE2500"/>
    <w:rsid w:val="00CE6BC6"/>
    <w:rsid w:val="00CF2A10"/>
    <w:rsid w:val="00CF396D"/>
    <w:rsid w:val="00CF4892"/>
    <w:rsid w:val="00CF6C98"/>
    <w:rsid w:val="00CF70B5"/>
    <w:rsid w:val="00D03C9F"/>
    <w:rsid w:val="00D03ED6"/>
    <w:rsid w:val="00D049FC"/>
    <w:rsid w:val="00D068B6"/>
    <w:rsid w:val="00D06F31"/>
    <w:rsid w:val="00D07428"/>
    <w:rsid w:val="00D07459"/>
    <w:rsid w:val="00D07F26"/>
    <w:rsid w:val="00D1019F"/>
    <w:rsid w:val="00D1139D"/>
    <w:rsid w:val="00D12A63"/>
    <w:rsid w:val="00D15FFF"/>
    <w:rsid w:val="00D1666E"/>
    <w:rsid w:val="00D220D9"/>
    <w:rsid w:val="00D23146"/>
    <w:rsid w:val="00D24503"/>
    <w:rsid w:val="00D258F5"/>
    <w:rsid w:val="00D26CC8"/>
    <w:rsid w:val="00D26DBF"/>
    <w:rsid w:val="00D27C69"/>
    <w:rsid w:val="00D3336C"/>
    <w:rsid w:val="00D3759F"/>
    <w:rsid w:val="00D4010C"/>
    <w:rsid w:val="00D4252C"/>
    <w:rsid w:val="00D42CFE"/>
    <w:rsid w:val="00D42EDC"/>
    <w:rsid w:val="00D475A5"/>
    <w:rsid w:val="00D50211"/>
    <w:rsid w:val="00D52635"/>
    <w:rsid w:val="00D53985"/>
    <w:rsid w:val="00D55558"/>
    <w:rsid w:val="00D55AD4"/>
    <w:rsid w:val="00D56509"/>
    <w:rsid w:val="00D57B1A"/>
    <w:rsid w:val="00D654A9"/>
    <w:rsid w:val="00D65A7C"/>
    <w:rsid w:val="00D72ED0"/>
    <w:rsid w:val="00D77728"/>
    <w:rsid w:val="00D81A52"/>
    <w:rsid w:val="00D83E3F"/>
    <w:rsid w:val="00D84775"/>
    <w:rsid w:val="00D8690F"/>
    <w:rsid w:val="00D87AD6"/>
    <w:rsid w:val="00D92A19"/>
    <w:rsid w:val="00D93469"/>
    <w:rsid w:val="00D94465"/>
    <w:rsid w:val="00D960A5"/>
    <w:rsid w:val="00DA1138"/>
    <w:rsid w:val="00DA2B3A"/>
    <w:rsid w:val="00DB038F"/>
    <w:rsid w:val="00DB18A4"/>
    <w:rsid w:val="00DB3878"/>
    <w:rsid w:val="00DB511E"/>
    <w:rsid w:val="00DB5E34"/>
    <w:rsid w:val="00DB671C"/>
    <w:rsid w:val="00DB77C1"/>
    <w:rsid w:val="00DC0053"/>
    <w:rsid w:val="00DC2766"/>
    <w:rsid w:val="00DC4C4E"/>
    <w:rsid w:val="00DC6C05"/>
    <w:rsid w:val="00DD0893"/>
    <w:rsid w:val="00DD1F8A"/>
    <w:rsid w:val="00DD47E4"/>
    <w:rsid w:val="00DD56D9"/>
    <w:rsid w:val="00DD6930"/>
    <w:rsid w:val="00DD774E"/>
    <w:rsid w:val="00DE343A"/>
    <w:rsid w:val="00DE40E4"/>
    <w:rsid w:val="00DE6C9E"/>
    <w:rsid w:val="00DF2961"/>
    <w:rsid w:val="00DF4792"/>
    <w:rsid w:val="00DF5F2E"/>
    <w:rsid w:val="00E009CF"/>
    <w:rsid w:val="00E018B1"/>
    <w:rsid w:val="00E02752"/>
    <w:rsid w:val="00E06E67"/>
    <w:rsid w:val="00E07B00"/>
    <w:rsid w:val="00E149CF"/>
    <w:rsid w:val="00E14BBA"/>
    <w:rsid w:val="00E159B2"/>
    <w:rsid w:val="00E16702"/>
    <w:rsid w:val="00E22640"/>
    <w:rsid w:val="00E2270E"/>
    <w:rsid w:val="00E2750D"/>
    <w:rsid w:val="00E31E89"/>
    <w:rsid w:val="00E324E5"/>
    <w:rsid w:val="00E32A33"/>
    <w:rsid w:val="00E32EA7"/>
    <w:rsid w:val="00E32FB0"/>
    <w:rsid w:val="00E36C61"/>
    <w:rsid w:val="00E40882"/>
    <w:rsid w:val="00E43532"/>
    <w:rsid w:val="00E448D0"/>
    <w:rsid w:val="00E4721D"/>
    <w:rsid w:val="00E543AE"/>
    <w:rsid w:val="00E557E5"/>
    <w:rsid w:val="00E60732"/>
    <w:rsid w:val="00E62C5B"/>
    <w:rsid w:val="00E71B94"/>
    <w:rsid w:val="00E72FF4"/>
    <w:rsid w:val="00E73A1D"/>
    <w:rsid w:val="00E767AB"/>
    <w:rsid w:val="00E777CB"/>
    <w:rsid w:val="00E82F27"/>
    <w:rsid w:val="00E84DA5"/>
    <w:rsid w:val="00E8588D"/>
    <w:rsid w:val="00E85F1C"/>
    <w:rsid w:val="00E87547"/>
    <w:rsid w:val="00E91BDD"/>
    <w:rsid w:val="00E925A8"/>
    <w:rsid w:val="00E93028"/>
    <w:rsid w:val="00E94456"/>
    <w:rsid w:val="00E94508"/>
    <w:rsid w:val="00E95009"/>
    <w:rsid w:val="00E95306"/>
    <w:rsid w:val="00E9533E"/>
    <w:rsid w:val="00E968F3"/>
    <w:rsid w:val="00EA0183"/>
    <w:rsid w:val="00EA1C6F"/>
    <w:rsid w:val="00EA2623"/>
    <w:rsid w:val="00EA7578"/>
    <w:rsid w:val="00EB1D5B"/>
    <w:rsid w:val="00EB21B8"/>
    <w:rsid w:val="00EB3B9F"/>
    <w:rsid w:val="00EB4826"/>
    <w:rsid w:val="00EB556F"/>
    <w:rsid w:val="00EC367A"/>
    <w:rsid w:val="00EC3CC8"/>
    <w:rsid w:val="00EC4323"/>
    <w:rsid w:val="00EC4CED"/>
    <w:rsid w:val="00EC551C"/>
    <w:rsid w:val="00EC622E"/>
    <w:rsid w:val="00EC68BC"/>
    <w:rsid w:val="00ED01BC"/>
    <w:rsid w:val="00ED3851"/>
    <w:rsid w:val="00ED4CD6"/>
    <w:rsid w:val="00ED615A"/>
    <w:rsid w:val="00ED7E16"/>
    <w:rsid w:val="00EE0B56"/>
    <w:rsid w:val="00EE140D"/>
    <w:rsid w:val="00EE5159"/>
    <w:rsid w:val="00EF0C7C"/>
    <w:rsid w:val="00EF278B"/>
    <w:rsid w:val="00EF446E"/>
    <w:rsid w:val="00EF4C6C"/>
    <w:rsid w:val="00EF6FE3"/>
    <w:rsid w:val="00F030F3"/>
    <w:rsid w:val="00F04CFC"/>
    <w:rsid w:val="00F071EE"/>
    <w:rsid w:val="00F07A8F"/>
    <w:rsid w:val="00F14B2C"/>
    <w:rsid w:val="00F17685"/>
    <w:rsid w:val="00F17F7B"/>
    <w:rsid w:val="00F2188D"/>
    <w:rsid w:val="00F27B71"/>
    <w:rsid w:val="00F341DF"/>
    <w:rsid w:val="00F362D9"/>
    <w:rsid w:val="00F36514"/>
    <w:rsid w:val="00F40D62"/>
    <w:rsid w:val="00F414A5"/>
    <w:rsid w:val="00F52B37"/>
    <w:rsid w:val="00F5347F"/>
    <w:rsid w:val="00F53C45"/>
    <w:rsid w:val="00F55D2A"/>
    <w:rsid w:val="00F56407"/>
    <w:rsid w:val="00F57A4C"/>
    <w:rsid w:val="00F605CF"/>
    <w:rsid w:val="00F6060A"/>
    <w:rsid w:val="00F62014"/>
    <w:rsid w:val="00F64875"/>
    <w:rsid w:val="00F666B0"/>
    <w:rsid w:val="00F6698D"/>
    <w:rsid w:val="00F66AFF"/>
    <w:rsid w:val="00F71216"/>
    <w:rsid w:val="00F71A4C"/>
    <w:rsid w:val="00F71AD9"/>
    <w:rsid w:val="00F73A26"/>
    <w:rsid w:val="00F740AD"/>
    <w:rsid w:val="00F749D2"/>
    <w:rsid w:val="00F76132"/>
    <w:rsid w:val="00F76397"/>
    <w:rsid w:val="00F80D8D"/>
    <w:rsid w:val="00F9424B"/>
    <w:rsid w:val="00F9489B"/>
    <w:rsid w:val="00F953A1"/>
    <w:rsid w:val="00F96373"/>
    <w:rsid w:val="00F96389"/>
    <w:rsid w:val="00F97E11"/>
    <w:rsid w:val="00F97F50"/>
    <w:rsid w:val="00FA29F6"/>
    <w:rsid w:val="00FA2EC4"/>
    <w:rsid w:val="00FA2F18"/>
    <w:rsid w:val="00FB0E84"/>
    <w:rsid w:val="00FB2891"/>
    <w:rsid w:val="00FB2D99"/>
    <w:rsid w:val="00FB2ED0"/>
    <w:rsid w:val="00FB55A6"/>
    <w:rsid w:val="00FB59DA"/>
    <w:rsid w:val="00FB5F55"/>
    <w:rsid w:val="00FB606F"/>
    <w:rsid w:val="00FC2127"/>
    <w:rsid w:val="00FC2C77"/>
    <w:rsid w:val="00FC3BBE"/>
    <w:rsid w:val="00FC6AE3"/>
    <w:rsid w:val="00FC7881"/>
    <w:rsid w:val="00FD0CF0"/>
    <w:rsid w:val="00FD11D1"/>
    <w:rsid w:val="00FD410D"/>
    <w:rsid w:val="00FD43DD"/>
    <w:rsid w:val="00FD49E2"/>
    <w:rsid w:val="00FD6A89"/>
    <w:rsid w:val="00FD7685"/>
    <w:rsid w:val="00FE0656"/>
    <w:rsid w:val="00FE0881"/>
    <w:rsid w:val="00FE2C4D"/>
    <w:rsid w:val="00FE4D59"/>
    <w:rsid w:val="00FE4EA2"/>
    <w:rsid w:val="00FE59F3"/>
    <w:rsid w:val="00FF241D"/>
    <w:rsid w:val="00FF2B28"/>
    <w:rsid w:val="00FF3DB2"/>
    <w:rsid w:val="00FF47A9"/>
    <w:rsid w:val="00FF6C3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99C8"/>
  <w15:docId w15:val="{91779224-31EC-41E3-BA5A-BF5802F0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E67"/>
    <w:rPr>
      <w:color w:val="0563C1" w:themeColor="hyperlink"/>
      <w:u w:val="single"/>
    </w:rPr>
  </w:style>
  <w:style w:type="character" w:styleId="CommentReference">
    <w:name w:val="annotation reference"/>
    <w:basedOn w:val="DefaultParagraphFont"/>
    <w:uiPriority w:val="99"/>
    <w:semiHidden/>
    <w:unhideWhenUsed/>
    <w:rsid w:val="00087F6A"/>
    <w:rPr>
      <w:sz w:val="16"/>
      <w:szCs w:val="16"/>
    </w:rPr>
  </w:style>
  <w:style w:type="paragraph" w:styleId="CommentText">
    <w:name w:val="annotation text"/>
    <w:basedOn w:val="Normal"/>
    <w:link w:val="CommentTextChar"/>
    <w:uiPriority w:val="99"/>
    <w:unhideWhenUsed/>
    <w:rsid w:val="00087F6A"/>
    <w:pPr>
      <w:spacing w:line="240" w:lineRule="auto"/>
    </w:pPr>
    <w:rPr>
      <w:sz w:val="20"/>
      <w:szCs w:val="20"/>
    </w:rPr>
  </w:style>
  <w:style w:type="character" w:customStyle="1" w:styleId="CommentTextChar">
    <w:name w:val="Comment Text Char"/>
    <w:basedOn w:val="DefaultParagraphFont"/>
    <w:link w:val="CommentText"/>
    <w:uiPriority w:val="99"/>
    <w:rsid w:val="00087F6A"/>
    <w:rPr>
      <w:sz w:val="20"/>
      <w:szCs w:val="20"/>
    </w:rPr>
  </w:style>
  <w:style w:type="paragraph" w:styleId="CommentSubject">
    <w:name w:val="annotation subject"/>
    <w:basedOn w:val="CommentText"/>
    <w:next w:val="CommentText"/>
    <w:link w:val="CommentSubjectChar"/>
    <w:uiPriority w:val="99"/>
    <w:semiHidden/>
    <w:unhideWhenUsed/>
    <w:rsid w:val="00087F6A"/>
    <w:rPr>
      <w:b/>
      <w:bCs/>
    </w:rPr>
  </w:style>
  <w:style w:type="character" w:customStyle="1" w:styleId="CommentSubjectChar">
    <w:name w:val="Comment Subject Char"/>
    <w:basedOn w:val="CommentTextChar"/>
    <w:link w:val="CommentSubject"/>
    <w:uiPriority w:val="99"/>
    <w:semiHidden/>
    <w:rsid w:val="00087F6A"/>
    <w:rPr>
      <w:b/>
      <w:bCs/>
      <w:sz w:val="20"/>
      <w:szCs w:val="20"/>
    </w:rPr>
  </w:style>
  <w:style w:type="paragraph" w:styleId="BalloonText">
    <w:name w:val="Balloon Text"/>
    <w:basedOn w:val="Normal"/>
    <w:link w:val="BalloonTextChar"/>
    <w:uiPriority w:val="99"/>
    <w:semiHidden/>
    <w:unhideWhenUsed/>
    <w:rsid w:val="00087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F6A"/>
    <w:rPr>
      <w:rFonts w:ascii="Segoe UI" w:hAnsi="Segoe UI" w:cs="Segoe UI"/>
      <w:sz w:val="18"/>
      <w:szCs w:val="18"/>
    </w:rPr>
  </w:style>
  <w:style w:type="paragraph" w:styleId="HTMLPreformatted">
    <w:name w:val="HTML Preformatted"/>
    <w:basedOn w:val="Normal"/>
    <w:link w:val="HTMLPreformattedChar"/>
    <w:uiPriority w:val="99"/>
    <w:semiHidden/>
    <w:unhideWhenUsed/>
    <w:rsid w:val="002771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19E"/>
    <w:rPr>
      <w:rFonts w:ascii="Consolas" w:hAnsi="Consolas"/>
      <w:sz w:val="20"/>
      <w:szCs w:val="20"/>
    </w:rPr>
  </w:style>
  <w:style w:type="paragraph" w:styleId="Revision">
    <w:name w:val="Revision"/>
    <w:hidden/>
    <w:uiPriority w:val="99"/>
    <w:semiHidden/>
    <w:rsid w:val="008B526E"/>
    <w:pPr>
      <w:spacing w:after="0" w:line="240" w:lineRule="auto"/>
    </w:pPr>
  </w:style>
  <w:style w:type="paragraph" w:styleId="Header">
    <w:name w:val="header"/>
    <w:basedOn w:val="Normal"/>
    <w:link w:val="HeaderChar"/>
    <w:uiPriority w:val="99"/>
    <w:unhideWhenUsed/>
    <w:rsid w:val="00636F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6F65"/>
  </w:style>
  <w:style w:type="paragraph" w:styleId="Footer">
    <w:name w:val="footer"/>
    <w:basedOn w:val="Normal"/>
    <w:link w:val="FooterChar"/>
    <w:uiPriority w:val="99"/>
    <w:unhideWhenUsed/>
    <w:rsid w:val="00636F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6F65"/>
  </w:style>
  <w:style w:type="character" w:customStyle="1" w:styleId="italic">
    <w:name w:val="italic"/>
    <w:basedOn w:val="DefaultParagraphFont"/>
    <w:rsid w:val="007263CF"/>
    <w:rPr>
      <w:i/>
      <w:iCs/>
    </w:rPr>
  </w:style>
  <w:style w:type="paragraph" w:styleId="ListParagraph">
    <w:name w:val="List Paragraph"/>
    <w:basedOn w:val="Normal"/>
    <w:uiPriority w:val="34"/>
    <w:qFormat/>
    <w:rsid w:val="003F0564"/>
    <w:pPr>
      <w:spacing w:after="0" w:line="240" w:lineRule="auto"/>
      <w:ind w:left="720"/>
      <w:contextualSpacing/>
    </w:pPr>
    <w:rPr>
      <w:rFonts w:eastAsia="Times New Roman"/>
      <w:lang w:eastAsia="lv-LV"/>
    </w:rPr>
  </w:style>
  <w:style w:type="paragraph" w:customStyle="1" w:styleId="tv213">
    <w:name w:val="tv213"/>
    <w:basedOn w:val="Normal"/>
    <w:rsid w:val="00E32FB0"/>
    <w:pPr>
      <w:spacing w:before="100" w:beforeAutospacing="1" w:after="100" w:afterAutospacing="1" w:line="240" w:lineRule="auto"/>
    </w:pPr>
    <w:rPr>
      <w:rFonts w:eastAsia="Times New Roman"/>
      <w:lang w:eastAsia="lv-LV"/>
    </w:rPr>
  </w:style>
  <w:style w:type="paragraph" w:customStyle="1" w:styleId="labojumupamats">
    <w:name w:val="labojumu_pamats"/>
    <w:basedOn w:val="Normal"/>
    <w:rsid w:val="002C499F"/>
    <w:pPr>
      <w:spacing w:before="100" w:beforeAutospacing="1" w:after="100" w:afterAutospacing="1" w:line="240" w:lineRule="auto"/>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5742">
      <w:bodyDiv w:val="1"/>
      <w:marLeft w:val="0"/>
      <w:marRight w:val="0"/>
      <w:marTop w:val="0"/>
      <w:marBottom w:val="0"/>
      <w:divBdr>
        <w:top w:val="none" w:sz="0" w:space="0" w:color="auto"/>
        <w:left w:val="none" w:sz="0" w:space="0" w:color="auto"/>
        <w:bottom w:val="none" w:sz="0" w:space="0" w:color="auto"/>
        <w:right w:val="none" w:sz="0" w:space="0" w:color="auto"/>
      </w:divBdr>
    </w:div>
    <w:div w:id="133261929">
      <w:bodyDiv w:val="1"/>
      <w:marLeft w:val="0"/>
      <w:marRight w:val="0"/>
      <w:marTop w:val="0"/>
      <w:marBottom w:val="0"/>
      <w:divBdr>
        <w:top w:val="none" w:sz="0" w:space="0" w:color="auto"/>
        <w:left w:val="none" w:sz="0" w:space="0" w:color="auto"/>
        <w:bottom w:val="none" w:sz="0" w:space="0" w:color="auto"/>
        <w:right w:val="none" w:sz="0" w:space="0" w:color="auto"/>
      </w:divBdr>
    </w:div>
    <w:div w:id="147597464">
      <w:bodyDiv w:val="1"/>
      <w:marLeft w:val="0"/>
      <w:marRight w:val="0"/>
      <w:marTop w:val="0"/>
      <w:marBottom w:val="0"/>
      <w:divBdr>
        <w:top w:val="none" w:sz="0" w:space="0" w:color="auto"/>
        <w:left w:val="none" w:sz="0" w:space="0" w:color="auto"/>
        <w:bottom w:val="none" w:sz="0" w:space="0" w:color="auto"/>
        <w:right w:val="none" w:sz="0" w:space="0" w:color="auto"/>
      </w:divBdr>
    </w:div>
    <w:div w:id="244414566">
      <w:bodyDiv w:val="1"/>
      <w:marLeft w:val="0"/>
      <w:marRight w:val="0"/>
      <w:marTop w:val="0"/>
      <w:marBottom w:val="0"/>
      <w:divBdr>
        <w:top w:val="none" w:sz="0" w:space="0" w:color="auto"/>
        <w:left w:val="none" w:sz="0" w:space="0" w:color="auto"/>
        <w:bottom w:val="none" w:sz="0" w:space="0" w:color="auto"/>
        <w:right w:val="none" w:sz="0" w:space="0" w:color="auto"/>
      </w:divBdr>
    </w:div>
    <w:div w:id="404642157">
      <w:bodyDiv w:val="1"/>
      <w:marLeft w:val="0"/>
      <w:marRight w:val="0"/>
      <w:marTop w:val="0"/>
      <w:marBottom w:val="0"/>
      <w:divBdr>
        <w:top w:val="none" w:sz="0" w:space="0" w:color="auto"/>
        <w:left w:val="none" w:sz="0" w:space="0" w:color="auto"/>
        <w:bottom w:val="none" w:sz="0" w:space="0" w:color="auto"/>
        <w:right w:val="none" w:sz="0" w:space="0" w:color="auto"/>
      </w:divBdr>
    </w:div>
    <w:div w:id="434787989">
      <w:bodyDiv w:val="1"/>
      <w:marLeft w:val="0"/>
      <w:marRight w:val="0"/>
      <w:marTop w:val="0"/>
      <w:marBottom w:val="0"/>
      <w:divBdr>
        <w:top w:val="none" w:sz="0" w:space="0" w:color="auto"/>
        <w:left w:val="none" w:sz="0" w:space="0" w:color="auto"/>
        <w:bottom w:val="none" w:sz="0" w:space="0" w:color="auto"/>
        <w:right w:val="none" w:sz="0" w:space="0" w:color="auto"/>
      </w:divBdr>
    </w:div>
    <w:div w:id="473303905">
      <w:bodyDiv w:val="1"/>
      <w:marLeft w:val="0"/>
      <w:marRight w:val="0"/>
      <w:marTop w:val="0"/>
      <w:marBottom w:val="0"/>
      <w:divBdr>
        <w:top w:val="none" w:sz="0" w:space="0" w:color="auto"/>
        <w:left w:val="none" w:sz="0" w:space="0" w:color="auto"/>
        <w:bottom w:val="none" w:sz="0" w:space="0" w:color="auto"/>
        <w:right w:val="none" w:sz="0" w:space="0" w:color="auto"/>
      </w:divBdr>
      <w:divsChild>
        <w:div w:id="214007019">
          <w:marLeft w:val="600"/>
          <w:marRight w:val="0"/>
          <w:marTop w:val="0"/>
          <w:marBottom w:val="0"/>
          <w:divBdr>
            <w:top w:val="none" w:sz="0" w:space="0" w:color="auto"/>
            <w:left w:val="none" w:sz="0" w:space="0" w:color="auto"/>
            <w:bottom w:val="none" w:sz="0" w:space="0" w:color="auto"/>
            <w:right w:val="none" w:sz="0" w:space="0" w:color="auto"/>
          </w:divBdr>
        </w:div>
        <w:div w:id="1367876557">
          <w:marLeft w:val="600"/>
          <w:marRight w:val="0"/>
          <w:marTop w:val="0"/>
          <w:marBottom w:val="0"/>
          <w:divBdr>
            <w:top w:val="none" w:sz="0" w:space="0" w:color="auto"/>
            <w:left w:val="none" w:sz="0" w:space="0" w:color="auto"/>
            <w:bottom w:val="none" w:sz="0" w:space="0" w:color="auto"/>
            <w:right w:val="none" w:sz="0" w:space="0" w:color="auto"/>
          </w:divBdr>
        </w:div>
        <w:div w:id="2009360752">
          <w:marLeft w:val="600"/>
          <w:marRight w:val="0"/>
          <w:marTop w:val="0"/>
          <w:marBottom w:val="0"/>
          <w:divBdr>
            <w:top w:val="none" w:sz="0" w:space="0" w:color="auto"/>
            <w:left w:val="none" w:sz="0" w:space="0" w:color="auto"/>
            <w:bottom w:val="none" w:sz="0" w:space="0" w:color="auto"/>
            <w:right w:val="none" w:sz="0" w:space="0" w:color="auto"/>
          </w:divBdr>
        </w:div>
      </w:divsChild>
    </w:div>
    <w:div w:id="537669399">
      <w:bodyDiv w:val="1"/>
      <w:marLeft w:val="0"/>
      <w:marRight w:val="0"/>
      <w:marTop w:val="0"/>
      <w:marBottom w:val="0"/>
      <w:divBdr>
        <w:top w:val="none" w:sz="0" w:space="0" w:color="auto"/>
        <w:left w:val="none" w:sz="0" w:space="0" w:color="auto"/>
        <w:bottom w:val="none" w:sz="0" w:space="0" w:color="auto"/>
        <w:right w:val="none" w:sz="0" w:space="0" w:color="auto"/>
      </w:divBdr>
    </w:div>
    <w:div w:id="544299197">
      <w:bodyDiv w:val="1"/>
      <w:marLeft w:val="0"/>
      <w:marRight w:val="0"/>
      <w:marTop w:val="0"/>
      <w:marBottom w:val="0"/>
      <w:divBdr>
        <w:top w:val="none" w:sz="0" w:space="0" w:color="auto"/>
        <w:left w:val="none" w:sz="0" w:space="0" w:color="auto"/>
        <w:bottom w:val="none" w:sz="0" w:space="0" w:color="auto"/>
        <w:right w:val="none" w:sz="0" w:space="0" w:color="auto"/>
      </w:divBdr>
    </w:div>
    <w:div w:id="617376727">
      <w:bodyDiv w:val="1"/>
      <w:marLeft w:val="0"/>
      <w:marRight w:val="0"/>
      <w:marTop w:val="0"/>
      <w:marBottom w:val="0"/>
      <w:divBdr>
        <w:top w:val="none" w:sz="0" w:space="0" w:color="auto"/>
        <w:left w:val="none" w:sz="0" w:space="0" w:color="auto"/>
        <w:bottom w:val="none" w:sz="0" w:space="0" w:color="auto"/>
        <w:right w:val="none" w:sz="0" w:space="0" w:color="auto"/>
      </w:divBdr>
    </w:div>
    <w:div w:id="645088402">
      <w:bodyDiv w:val="1"/>
      <w:marLeft w:val="0"/>
      <w:marRight w:val="0"/>
      <w:marTop w:val="0"/>
      <w:marBottom w:val="0"/>
      <w:divBdr>
        <w:top w:val="none" w:sz="0" w:space="0" w:color="auto"/>
        <w:left w:val="none" w:sz="0" w:space="0" w:color="auto"/>
        <w:bottom w:val="none" w:sz="0" w:space="0" w:color="auto"/>
        <w:right w:val="none" w:sz="0" w:space="0" w:color="auto"/>
      </w:divBdr>
    </w:div>
    <w:div w:id="693264016">
      <w:bodyDiv w:val="1"/>
      <w:marLeft w:val="0"/>
      <w:marRight w:val="0"/>
      <w:marTop w:val="0"/>
      <w:marBottom w:val="0"/>
      <w:divBdr>
        <w:top w:val="none" w:sz="0" w:space="0" w:color="auto"/>
        <w:left w:val="none" w:sz="0" w:space="0" w:color="auto"/>
        <w:bottom w:val="none" w:sz="0" w:space="0" w:color="auto"/>
        <w:right w:val="none" w:sz="0" w:space="0" w:color="auto"/>
      </w:divBdr>
    </w:div>
    <w:div w:id="733695843">
      <w:bodyDiv w:val="1"/>
      <w:marLeft w:val="0"/>
      <w:marRight w:val="0"/>
      <w:marTop w:val="0"/>
      <w:marBottom w:val="0"/>
      <w:divBdr>
        <w:top w:val="none" w:sz="0" w:space="0" w:color="auto"/>
        <w:left w:val="none" w:sz="0" w:space="0" w:color="auto"/>
        <w:bottom w:val="none" w:sz="0" w:space="0" w:color="auto"/>
        <w:right w:val="none" w:sz="0" w:space="0" w:color="auto"/>
      </w:divBdr>
    </w:div>
    <w:div w:id="824125962">
      <w:bodyDiv w:val="1"/>
      <w:marLeft w:val="0"/>
      <w:marRight w:val="0"/>
      <w:marTop w:val="0"/>
      <w:marBottom w:val="0"/>
      <w:divBdr>
        <w:top w:val="none" w:sz="0" w:space="0" w:color="auto"/>
        <w:left w:val="none" w:sz="0" w:space="0" w:color="auto"/>
        <w:bottom w:val="none" w:sz="0" w:space="0" w:color="auto"/>
        <w:right w:val="none" w:sz="0" w:space="0" w:color="auto"/>
      </w:divBdr>
    </w:div>
    <w:div w:id="861166590">
      <w:bodyDiv w:val="1"/>
      <w:marLeft w:val="0"/>
      <w:marRight w:val="0"/>
      <w:marTop w:val="0"/>
      <w:marBottom w:val="0"/>
      <w:divBdr>
        <w:top w:val="none" w:sz="0" w:space="0" w:color="auto"/>
        <w:left w:val="none" w:sz="0" w:space="0" w:color="auto"/>
        <w:bottom w:val="none" w:sz="0" w:space="0" w:color="auto"/>
        <w:right w:val="none" w:sz="0" w:space="0" w:color="auto"/>
      </w:divBdr>
    </w:div>
    <w:div w:id="920984274">
      <w:bodyDiv w:val="1"/>
      <w:marLeft w:val="0"/>
      <w:marRight w:val="0"/>
      <w:marTop w:val="0"/>
      <w:marBottom w:val="0"/>
      <w:divBdr>
        <w:top w:val="none" w:sz="0" w:space="0" w:color="auto"/>
        <w:left w:val="none" w:sz="0" w:space="0" w:color="auto"/>
        <w:bottom w:val="none" w:sz="0" w:space="0" w:color="auto"/>
        <w:right w:val="none" w:sz="0" w:space="0" w:color="auto"/>
      </w:divBdr>
    </w:div>
    <w:div w:id="926117420">
      <w:bodyDiv w:val="1"/>
      <w:marLeft w:val="0"/>
      <w:marRight w:val="0"/>
      <w:marTop w:val="0"/>
      <w:marBottom w:val="0"/>
      <w:divBdr>
        <w:top w:val="none" w:sz="0" w:space="0" w:color="auto"/>
        <w:left w:val="none" w:sz="0" w:space="0" w:color="auto"/>
        <w:bottom w:val="none" w:sz="0" w:space="0" w:color="auto"/>
        <w:right w:val="none" w:sz="0" w:space="0" w:color="auto"/>
      </w:divBdr>
    </w:div>
    <w:div w:id="935089352">
      <w:bodyDiv w:val="1"/>
      <w:marLeft w:val="0"/>
      <w:marRight w:val="0"/>
      <w:marTop w:val="0"/>
      <w:marBottom w:val="0"/>
      <w:divBdr>
        <w:top w:val="none" w:sz="0" w:space="0" w:color="auto"/>
        <w:left w:val="none" w:sz="0" w:space="0" w:color="auto"/>
        <w:bottom w:val="none" w:sz="0" w:space="0" w:color="auto"/>
        <w:right w:val="none" w:sz="0" w:space="0" w:color="auto"/>
      </w:divBdr>
    </w:div>
    <w:div w:id="1057363957">
      <w:bodyDiv w:val="1"/>
      <w:marLeft w:val="0"/>
      <w:marRight w:val="0"/>
      <w:marTop w:val="0"/>
      <w:marBottom w:val="0"/>
      <w:divBdr>
        <w:top w:val="none" w:sz="0" w:space="0" w:color="auto"/>
        <w:left w:val="none" w:sz="0" w:space="0" w:color="auto"/>
        <w:bottom w:val="none" w:sz="0" w:space="0" w:color="auto"/>
        <w:right w:val="none" w:sz="0" w:space="0" w:color="auto"/>
      </w:divBdr>
    </w:div>
    <w:div w:id="1144274182">
      <w:bodyDiv w:val="1"/>
      <w:marLeft w:val="0"/>
      <w:marRight w:val="0"/>
      <w:marTop w:val="0"/>
      <w:marBottom w:val="0"/>
      <w:divBdr>
        <w:top w:val="none" w:sz="0" w:space="0" w:color="auto"/>
        <w:left w:val="none" w:sz="0" w:space="0" w:color="auto"/>
        <w:bottom w:val="none" w:sz="0" w:space="0" w:color="auto"/>
        <w:right w:val="none" w:sz="0" w:space="0" w:color="auto"/>
      </w:divBdr>
    </w:div>
    <w:div w:id="1163475405">
      <w:bodyDiv w:val="1"/>
      <w:marLeft w:val="0"/>
      <w:marRight w:val="0"/>
      <w:marTop w:val="0"/>
      <w:marBottom w:val="0"/>
      <w:divBdr>
        <w:top w:val="none" w:sz="0" w:space="0" w:color="auto"/>
        <w:left w:val="none" w:sz="0" w:space="0" w:color="auto"/>
        <w:bottom w:val="none" w:sz="0" w:space="0" w:color="auto"/>
        <w:right w:val="none" w:sz="0" w:space="0" w:color="auto"/>
      </w:divBdr>
    </w:div>
    <w:div w:id="1182013088">
      <w:bodyDiv w:val="1"/>
      <w:marLeft w:val="0"/>
      <w:marRight w:val="0"/>
      <w:marTop w:val="0"/>
      <w:marBottom w:val="0"/>
      <w:divBdr>
        <w:top w:val="none" w:sz="0" w:space="0" w:color="auto"/>
        <w:left w:val="none" w:sz="0" w:space="0" w:color="auto"/>
        <w:bottom w:val="none" w:sz="0" w:space="0" w:color="auto"/>
        <w:right w:val="none" w:sz="0" w:space="0" w:color="auto"/>
      </w:divBdr>
    </w:div>
    <w:div w:id="1239368653">
      <w:bodyDiv w:val="1"/>
      <w:marLeft w:val="0"/>
      <w:marRight w:val="0"/>
      <w:marTop w:val="0"/>
      <w:marBottom w:val="0"/>
      <w:divBdr>
        <w:top w:val="none" w:sz="0" w:space="0" w:color="auto"/>
        <w:left w:val="none" w:sz="0" w:space="0" w:color="auto"/>
        <w:bottom w:val="none" w:sz="0" w:space="0" w:color="auto"/>
        <w:right w:val="none" w:sz="0" w:space="0" w:color="auto"/>
      </w:divBdr>
    </w:div>
    <w:div w:id="1343699492">
      <w:bodyDiv w:val="1"/>
      <w:marLeft w:val="0"/>
      <w:marRight w:val="0"/>
      <w:marTop w:val="0"/>
      <w:marBottom w:val="0"/>
      <w:divBdr>
        <w:top w:val="none" w:sz="0" w:space="0" w:color="auto"/>
        <w:left w:val="none" w:sz="0" w:space="0" w:color="auto"/>
        <w:bottom w:val="none" w:sz="0" w:space="0" w:color="auto"/>
        <w:right w:val="none" w:sz="0" w:space="0" w:color="auto"/>
      </w:divBdr>
    </w:div>
    <w:div w:id="1466505583">
      <w:bodyDiv w:val="1"/>
      <w:marLeft w:val="0"/>
      <w:marRight w:val="0"/>
      <w:marTop w:val="0"/>
      <w:marBottom w:val="0"/>
      <w:divBdr>
        <w:top w:val="none" w:sz="0" w:space="0" w:color="auto"/>
        <w:left w:val="none" w:sz="0" w:space="0" w:color="auto"/>
        <w:bottom w:val="none" w:sz="0" w:space="0" w:color="auto"/>
        <w:right w:val="none" w:sz="0" w:space="0" w:color="auto"/>
      </w:divBdr>
    </w:div>
    <w:div w:id="1495220048">
      <w:bodyDiv w:val="1"/>
      <w:marLeft w:val="0"/>
      <w:marRight w:val="0"/>
      <w:marTop w:val="0"/>
      <w:marBottom w:val="0"/>
      <w:divBdr>
        <w:top w:val="none" w:sz="0" w:space="0" w:color="auto"/>
        <w:left w:val="none" w:sz="0" w:space="0" w:color="auto"/>
        <w:bottom w:val="none" w:sz="0" w:space="0" w:color="auto"/>
        <w:right w:val="none" w:sz="0" w:space="0" w:color="auto"/>
      </w:divBdr>
    </w:div>
    <w:div w:id="1535921746">
      <w:bodyDiv w:val="1"/>
      <w:marLeft w:val="0"/>
      <w:marRight w:val="0"/>
      <w:marTop w:val="0"/>
      <w:marBottom w:val="0"/>
      <w:divBdr>
        <w:top w:val="none" w:sz="0" w:space="0" w:color="auto"/>
        <w:left w:val="none" w:sz="0" w:space="0" w:color="auto"/>
        <w:bottom w:val="none" w:sz="0" w:space="0" w:color="auto"/>
        <w:right w:val="none" w:sz="0" w:space="0" w:color="auto"/>
      </w:divBdr>
    </w:div>
    <w:div w:id="1551110112">
      <w:bodyDiv w:val="1"/>
      <w:marLeft w:val="0"/>
      <w:marRight w:val="0"/>
      <w:marTop w:val="0"/>
      <w:marBottom w:val="0"/>
      <w:divBdr>
        <w:top w:val="none" w:sz="0" w:space="0" w:color="auto"/>
        <w:left w:val="none" w:sz="0" w:space="0" w:color="auto"/>
        <w:bottom w:val="none" w:sz="0" w:space="0" w:color="auto"/>
        <w:right w:val="none" w:sz="0" w:space="0" w:color="auto"/>
      </w:divBdr>
    </w:div>
    <w:div w:id="1665863730">
      <w:bodyDiv w:val="1"/>
      <w:marLeft w:val="0"/>
      <w:marRight w:val="0"/>
      <w:marTop w:val="0"/>
      <w:marBottom w:val="0"/>
      <w:divBdr>
        <w:top w:val="none" w:sz="0" w:space="0" w:color="auto"/>
        <w:left w:val="none" w:sz="0" w:space="0" w:color="auto"/>
        <w:bottom w:val="none" w:sz="0" w:space="0" w:color="auto"/>
        <w:right w:val="none" w:sz="0" w:space="0" w:color="auto"/>
      </w:divBdr>
    </w:div>
    <w:div w:id="1714770537">
      <w:bodyDiv w:val="1"/>
      <w:marLeft w:val="0"/>
      <w:marRight w:val="0"/>
      <w:marTop w:val="0"/>
      <w:marBottom w:val="0"/>
      <w:divBdr>
        <w:top w:val="none" w:sz="0" w:space="0" w:color="auto"/>
        <w:left w:val="none" w:sz="0" w:space="0" w:color="auto"/>
        <w:bottom w:val="none" w:sz="0" w:space="0" w:color="auto"/>
        <w:right w:val="none" w:sz="0" w:space="0" w:color="auto"/>
      </w:divBdr>
    </w:div>
    <w:div w:id="1930502591">
      <w:bodyDiv w:val="1"/>
      <w:marLeft w:val="0"/>
      <w:marRight w:val="0"/>
      <w:marTop w:val="0"/>
      <w:marBottom w:val="0"/>
      <w:divBdr>
        <w:top w:val="none" w:sz="0" w:space="0" w:color="auto"/>
        <w:left w:val="none" w:sz="0" w:space="0" w:color="auto"/>
        <w:bottom w:val="none" w:sz="0" w:space="0" w:color="auto"/>
        <w:right w:val="none" w:sz="0" w:space="0" w:color="auto"/>
      </w:divBdr>
    </w:div>
    <w:div w:id="1967197333">
      <w:bodyDiv w:val="1"/>
      <w:marLeft w:val="0"/>
      <w:marRight w:val="0"/>
      <w:marTop w:val="0"/>
      <w:marBottom w:val="0"/>
      <w:divBdr>
        <w:top w:val="none" w:sz="0" w:space="0" w:color="auto"/>
        <w:left w:val="none" w:sz="0" w:space="0" w:color="auto"/>
        <w:bottom w:val="none" w:sz="0" w:space="0" w:color="auto"/>
        <w:right w:val="none" w:sz="0" w:space="0" w:color="auto"/>
      </w:divBdr>
    </w:div>
    <w:div w:id="2069448835">
      <w:bodyDiv w:val="1"/>
      <w:marLeft w:val="0"/>
      <w:marRight w:val="0"/>
      <w:marTop w:val="0"/>
      <w:marBottom w:val="0"/>
      <w:divBdr>
        <w:top w:val="none" w:sz="0" w:space="0" w:color="auto"/>
        <w:left w:val="none" w:sz="0" w:space="0" w:color="auto"/>
        <w:bottom w:val="none" w:sz="0" w:space="0" w:color="auto"/>
        <w:right w:val="none" w:sz="0" w:space="0" w:color="auto"/>
      </w:divBdr>
    </w:div>
    <w:div w:id="206945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17988F63A5FCA4E91EBEA3C7CBABFE1" ma:contentTypeVersion="" ma:contentTypeDescription="Izveidot jaunu dokumentu." ma:contentTypeScope="" ma:versionID="6c8debf7d97d146b07bd57b2379dd27b">
  <xsd:schema xmlns:xsd="http://www.w3.org/2001/XMLSchema" xmlns:xs="http://www.w3.org/2001/XMLSchema" xmlns:p="http://schemas.microsoft.com/office/2006/metadata/properties" xmlns:ns2="2e5bb04e-596e-45bd-9003-43ca78b1ba16" xmlns:ns4="8a8406e0-fd3e-4c97-9c6b-df4e1c510b77" targetNamespace="http://schemas.microsoft.com/office/2006/metadata/properties" ma:root="true" ma:fieldsID="a6d35000c1b877c8c067825bd36ec356" ns2:_="" ns4:_="">
    <xsd:import namespace="2e5bb04e-596e-45bd-9003-43ca78b1ba16"/>
    <xsd:import namespace="8a8406e0-fd3e-4c97-9c6b-df4e1c510b77"/>
    <xsd:element name="properties">
      <xsd:complexType>
        <xsd:sequence>
          <xsd:element name="documentManagement">
            <xsd:complexType>
              <xsd:all>
                <xsd:element ref="ns2:Kategorija"/>
                <xsd:element ref="ns2:Vad_x012b_t_x0101_js" minOccurs="0"/>
                <xsd:element ref="ns4: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2"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3"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406e0-fd3e-4c97-9c6b-df4e1c510b77" elementFormDefault="qualified">
    <xsd:import namespace="http://schemas.microsoft.com/office/2006/documentManagement/types"/>
    <xsd:import namespace="http://schemas.microsoft.com/office/infopath/2007/PartnerControls"/>
    <xsd:element name="TAP" ma:index="11" nillable="true" ma:displayName="TAP" ma:list="{9c6ff9f6-2768-44f6-a5f2-1a7b9b3481ad}" ma:internalName="TAP" ma:showField="NPK">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s"/>
        <xsd:element ref="dcterms:created" minOccurs="0" maxOccurs="1"/>
        <xsd:element ref="dc:identifier" minOccurs="0" maxOccurs="1"/>
        <xsd:element name="contentType" minOccurs="0" maxOccurs="1" type="xsd:string" ma:index="7"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Aija Zitcere</Vad_x012b_t_x0101_js>
    <TAP xmlns="8a8406e0-fd3e-4c97-9c6b-df4e1c510b77">37</TAP>
    <Kategorija xmlns="2e5bb04e-596e-45bd-9003-43ca78b1ba16">Likumprojekts</Kategorij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C5C54-FF87-4826-A16A-CD4C9589B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8a8406e0-fd3e-4c97-9c6b-df4e1c510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0CBFE-9DA4-4051-AF72-A264352EBD2F}">
  <ds:schemaRefs>
    <ds:schemaRef ds:uri="http://schemas.microsoft.com/sharepoint/v3/contenttype/forms"/>
  </ds:schemaRefs>
</ds:datastoreItem>
</file>

<file path=customXml/itemProps3.xml><?xml version="1.0" encoding="utf-8"?>
<ds:datastoreItem xmlns:ds="http://schemas.openxmlformats.org/officeDocument/2006/customXml" ds:itemID="{D2863DBE-7726-4507-976B-41D1057F5823}">
  <ds:schemaRefs>
    <ds:schemaRef ds:uri="8a8406e0-fd3e-4c97-9c6b-df4e1c510b77"/>
    <ds:schemaRef ds:uri="http://purl.org/dc/terms/"/>
    <ds:schemaRef ds:uri="2e5bb04e-596e-45bd-9003-43ca78b1ba16"/>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4F29999-B25B-4287-885B-6FAF0AAF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11140</Words>
  <Characters>6351</Characters>
  <Application>Microsoft Office Word</Application>
  <DocSecurity>4</DocSecurity>
  <Lines>52</Lines>
  <Paragraphs>34</Paragraphs>
  <ScaleCrop>false</ScaleCrop>
  <HeadingPairs>
    <vt:vector size="2" baseType="variant">
      <vt:variant>
        <vt:lpstr>Title</vt:lpstr>
      </vt:variant>
      <vt:variant>
        <vt:i4>1</vt:i4>
      </vt:variant>
    </vt:vector>
  </HeadingPairs>
  <TitlesOfParts>
    <vt:vector size="1" baseType="lpstr">
      <vt:lpstr>Likumprojekts "Grozījumi Noguldījumu garantiju likumā"</vt:lpstr>
    </vt:vector>
  </TitlesOfParts>
  <Manager/>
  <Company>Finanšu Ministrija</Company>
  <LinksUpToDate>false</LinksUpToDate>
  <CharactersWithSpaces>17457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Noguldījumu garantiju likumā"</dc:title>
  <dc:subject>Likumprojekts</dc:subject>
  <dc:creator>Dāvids Mucenieks</dc:creator>
  <cp:keywords>Likumprojekts</cp:keywords>
  <dc:description>67083935, davids.mucenieks@fm.gov.lv</dc:description>
  <cp:lastModifiedBy>Inguna Dancīte</cp:lastModifiedBy>
  <cp:revision>2</cp:revision>
  <cp:lastPrinted>2020-09-14T06:20:00Z</cp:lastPrinted>
  <dcterms:created xsi:type="dcterms:W3CDTF">2021-06-18T06:18:00Z</dcterms:created>
  <dcterms:modified xsi:type="dcterms:W3CDTF">2021-06-18T06:18:00Z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0x010100717988F63A5FCA4E91EBEA3C7CBABFE1</vt:lpwstr>
  </property>
</Properties>
</file>