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7E7F8" w14:textId="77777777" w:rsidR="00AD628B" w:rsidRDefault="00AD628B" w:rsidP="00C13959">
      <w:pPr>
        <w:widowControl/>
        <w:shd w:val="clear" w:color="auto" w:fill="FFFFFF"/>
        <w:spacing w:after="100" w:afterAutospacing="1" w:line="240" w:lineRule="auto"/>
        <w:jc w:val="center"/>
        <w:rPr>
          <w:rFonts w:eastAsia="Times New Roman"/>
          <w:b/>
          <w:bCs/>
          <w:szCs w:val="24"/>
          <w:lang w:eastAsia="lv-LV"/>
        </w:rPr>
      </w:pPr>
    </w:p>
    <w:p w14:paraId="22802D6A" w14:textId="7771005D" w:rsidR="000D2356" w:rsidRPr="000D2356" w:rsidRDefault="000E56B2" w:rsidP="00C13959">
      <w:pPr>
        <w:widowControl/>
        <w:shd w:val="clear" w:color="auto" w:fill="FFFFFF"/>
        <w:spacing w:after="100" w:afterAutospacing="1" w:line="240" w:lineRule="auto"/>
        <w:jc w:val="center"/>
        <w:rPr>
          <w:rFonts w:eastAsia="Times New Roman"/>
          <w:sz w:val="24"/>
          <w:szCs w:val="24"/>
          <w:lang w:eastAsia="lv-LV"/>
        </w:rPr>
      </w:pPr>
      <w:r w:rsidRPr="000D2356">
        <w:rPr>
          <w:rFonts w:eastAsia="Times New Roman"/>
          <w:b/>
          <w:bCs/>
          <w:szCs w:val="24"/>
          <w:lang w:eastAsia="lv-LV"/>
        </w:rPr>
        <w:t>L</w:t>
      </w:r>
      <w:r w:rsidR="00925462">
        <w:rPr>
          <w:rFonts w:eastAsia="Times New Roman"/>
          <w:b/>
          <w:bCs/>
          <w:szCs w:val="24"/>
          <w:lang w:eastAsia="lv-LV"/>
        </w:rPr>
        <w:t xml:space="preserve">ikumprojekta </w:t>
      </w:r>
      <w:r w:rsidR="00925462" w:rsidRPr="00925462">
        <w:rPr>
          <w:rFonts w:eastAsia="Times New Roman"/>
          <w:b/>
          <w:bCs/>
          <w:szCs w:val="24"/>
          <w:lang w:eastAsia="lv-LV"/>
        </w:rPr>
        <w:t>“Grozījumi Gada pārskatu un konsolidēto gada pārskatu likumā”</w:t>
      </w:r>
      <w:r w:rsidRPr="000D2356">
        <w:rPr>
          <w:rFonts w:eastAsia="Times New Roman"/>
          <w:b/>
          <w:bCs/>
          <w:szCs w:val="24"/>
          <w:lang w:eastAsia="lv-LV"/>
        </w:rPr>
        <w:t xml:space="preserve"> sākotnējās ietekmes novērtējuma ziņojums (anotācija</w:t>
      </w:r>
      <w:r w:rsidR="00B01150">
        <w:rPr>
          <w:rFonts w:eastAsia="Times New Roman"/>
          <w:b/>
          <w:bCs/>
          <w:szCs w:val="24"/>
          <w:lang w:eastAsia="lv-LV"/>
        </w:rPr>
        <w:t>)</w:t>
      </w:r>
    </w:p>
    <w:tbl>
      <w:tblPr>
        <w:tblW w:w="9206"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86"/>
        <w:gridCol w:w="6520"/>
      </w:tblGrid>
      <w:tr w:rsidR="0005440F" w14:paraId="7E2A443B" w14:textId="77777777" w:rsidTr="00C13959">
        <w:trPr>
          <w:tblCellSpacing w:w="15" w:type="dxa"/>
        </w:trPr>
        <w:tc>
          <w:tcPr>
            <w:tcW w:w="9146" w:type="dxa"/>
            <w:gridSpan w:val="2"/>
            <w:tcBorders>
              <w:top w:val="outset" w:sz="6" w:space="0" w:color="auto"/>
              <w:left w:val="outset" w:sz="6" w:space="0" w:color="auto"/>
              <w:bottom w:val="outset" w:sz="6" w:space="0" w:color="auto"/>
              <w:right w:val="outset" w:sz="6" w:space="0" w:color="auto"/>
            </w:tcBorders>
            <w:hideMark/>
          </w:tcPr>
          <w:p w14:paraId="2A5AF308" w14:textId="77777777" w:rsidR="000D2356" w:rsidRPr="000D2356" w:rsidRDefault="000E56B2" w:rsidP="007E5FDA">
            <w:pPr>
              <w:widowControl/>
              <w:spacing w:before="100" w:beforeAutospacing="1" w:after="0" w:line="240" w:lineRule="auto"/>
              <w:jc w:val="center"/>
              <w:rPr>
                <w:rFonts w:eastAsia="Times New Roman"/>
                <w:sz w:val="24"/>
                <w:szCs w:val="24"/>
                <w:lang w:eastAsia="lv-LV"/>
              </w:rPr>
            </w:pPr>
            <w:r w:rsidRPr="000D2356">
              <w:rPr>
                <w:rFonts w:eastAsia="Times New Roman"/>
                <w:b/>
                <w:bCs/>
                <w:iCs/>
                <w:sz w:val="24"/>
                <w:szCs w:val="24"/>
                <w:lang w:eastAsia="lv-LV"/>
              </w:rPr>
              <w:t>Tiesību akta projekta anotācijas kopsavilkums</w:t>
            </w:r>
          </w:p>
        </w:tc>
      </w:tr>
      <w:tr w:rsidR="0005440F" w14:paraId="2379F767" w14:textId="77777777" w:rsidTr="00C13959">
        <w:trPr>
          <w:tblCellSpacing w:w="15" w:type="dxa"/>
        </w:trPr>
        <w:tc>
          <w:tcPr>
            <w:tcW w:w="2641" w:type="dxa"/>
            <w:tcBorders>
              <w:top w:val="outset" w:sz="6" w:space="0" w:color="auto"/>
              <w:left w:val="outset" w:sz="6" w:space="0" w:color="auto"/>
              <w:bottom w:val="outset" w:sz="6" w:space="0" w:color="auto"/>
              <w:right w:val="outset" w:sz="6" w:space="0" w:color="auto"/>
            </w:tcBorders>
            <w:hideMark/>
          </w:tcPr>
          <w:p w14:paraId="368892D4"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Mērķis, risinājums un projekta spēkā stāšanās laiks</w:t>
            </w:r>
          </w:p>
        </w:tc>
        <w:tc>
          <w:tcPr>
            <w:tcW w:w="6475" w:type="dxa"/>
            <w:tcBorders>
              <w:top w:val="outset" w:sz="6" w:space="0" w:color="auto"/>
              <w:left w:val="outset" w:sz="6" w:space="0" w:color="auto"/>
              <w:bottom w:val="outset" w:sz="6" w:space="0" w:color="auto"/>
              <w:right w:val="outset" w:sz="6" w:space="0" w:color="auto"/>
            </w:tcBorders>
            <w:hideMark/>
          </w:tcPr>
          <w:p w14:paraId="17F8EFBA" w14:textId="45B09AB5" w:rsidR="001322B8" w:rsidRDefault="00AA2CF8" w:rsidP="007E5FDA">
            <w:pPr>
              <w:spacing w:after="0" w:line="240" w:lineRule="auto"/>
              <w:ind w:firstLine="351"/>
              <w:jc w:val="both"/>
              <w:rPr>
                <w:sz w:val="24"/>
                <w:szCs w:val="24"/>
              </w:rPr>
            </w:pPr>
            <w:r w:rsidRPr="00A4443E">
              <w:rPr>
                <w:sz w:val="24"/>
                <w:szCs w:val="24"/>
              </w:rPr>
              <w:t>Likumprojekts izstrādāts, lai</w:t>
            </w:r>
            <w:r w:rsidR="00054789" w:rsidRPr="00A4443E">
              <w:rPr>
                <w:sz w:val="24"/>
                <w:szCs w:val="24"/>
              </w:rPr>
              <w:t xml:space="preserve"> </w:t>
            </w:r>
            <w:r w:rsidR="00054789" w:rsidRPr="00054789">
              <w:rPr>
                <w:sz w:val="24"/>
                <w:szCs w:val="24"/>
              </w:rPr>
              <w:t>atbilstoši dotajam uzdevumam</w:t>
            </w:r>
            <w:r w:rsidR="001322B8">
              <w:rPr>
                <w:sz w:val="24"/>
                <w:szCs w:val="24"/>
              </w:rPr>
              <w:t>:</w:t>
            </w:r>
          </w:p>
          <w:p w14:paraId="0944A936" w14:textId="18C82105" w:rsidR="001322B8" w:rsidRDefault="001322B8" w:rsidP="007E5FDA">
            <w:pPr>
              <w:spacing w:after="0" w:line="240" w:lineRule="auto"/>
              <w:ind w:firstLine="351"/>
              <w:jc w:val="both"/>
              <w:rPr>
                <w:sz w:val="24"/>
                <w:szCs w:val="24"/>
              </w:rPr>
            </w:pPr>
            <w:r>
              <w:rPr>
                <w:sz w:val="24"/>
                <w:szCs w:val="24"/>
              </w:rPr>
              <w:t>1)</w:t>
            </w:r>
            <w:r w:rsidR="00EB7D0C" w:rsidRPr="00A4443E">
              <w:rPr>
                <w:sz w:val="24"/>
                <w:szCs w:val="24"/>
              </w:rPr>
              <w:t xml:space="preserve"> </w:t>
            </w:r>
            <w:r w:rsidR="00960E40">
              <w:rPr>
                <w:sz w:val="24"/>
                <w:szCs w:val="24"/>
              </w:rPr>
              <w:t>uzlabotu</w:t>
            </w:r>
            <w:r w:rsidR="00960E40" w:rsidRPr="00960E40">
              <w:rPr>
                <w:sz w:val="24"/>
                <w:szCs w:val="24"/>
              </w:rPr>
              <w:t xml:space="preserve"> finanšu pār</w:t>
            </w:r>
            <w:r w:rsidR="00960E40">
              <w:rPr>
                <w:sz w:val="24"/>
                <w:szCs w:val="24"/>
              </w:rPr>
              <w:t>skata informācijas salīdzināmību</w:t>
            </w:r>
            <w:r w:rsidR="00960E40" w:rsidRPr="00960E40">
              <w:rPr>
                <w:sz w:val="24"/>
                <w:szCs w:val="24"/>
              </w:rPr>
              <w:t xml:space="preserve"> globālā mērogā (pilnveidotas  finanšu  pārskata posteņu atzīšanas, novērtēšanas un norādīšanas normas atbilstoši Starptautisko gr</w:t>
            </w:r>
            <w:r>
              <w:rPr>
                <w:sz w:val="24"/>
                <w:szCs w:val="24"/>
              </w:rPr>
              <w:t>āmatvedības standartu prasībām);</w:t>
            </w:r>
          </w:p>
          <w:p w14:paraId="0CB4F230" w14:textId="77777777" w:rsidR="004D5908" w:rsidRDefault="001322B8" w:rsidP="007E5FDA">
            <w:pPr>
              <w:spacing w:after="0" w:line="240" w:lineRule="auto"/>
              <w:ind w:firstLine="351"/>
              <w:jc w:val="both"/>
              <w:rPr>
                <w:sz w:val="24"/>
                <w:szCs w:val="24"/>
              </w:rPr>
            </w:pPr>
            <w:r>
              <w:rPr>
                <w:sz w:val="24"/>
                <w:szCs w:val="24"/>
              </w:rPr>
              <w:t xml:space="preserve">2) </w:t>
            </w:r>
            <w:r w:rsidR="00F165E6">
              <w:rPr>
                <w:sz w:val="24"/>
                <w:szCs w:val="24"/>
              </w:rPr>
              <w:t>uzlabo</w:t>
            </w:r>
            <w:r w:rsidR="00054789">
              <w:rPr>
                <w:sz w:val="24"/>
                <w:szCs w:val="24"/>
              </w:rPr>
              <w:t>tu</w:t>
            </w:r>
            <w:r w:rsidR="00F165E6">
              <w:rPr>
                <w:sz w:val="24"/>
                <w:szCs w:val="24"/>
              </w:rPr>
              <w:t xml:space="preserve"> pētniecības un attīstības statistikas datu </w:t>
            </w:r>
            <w:r w:rsidR="00054789">
              <w:rPr>
                <w:sz w:val="24"/>
                <w:szCs w:val="24"/>
              </w:rPr>
              <w:t>iegūšanu, tai</w:t>
            </w:r>
            <w:r w:rsidR="00F165E6">
              <w:rPr>
                <w:sz w:val="24"/>
                <w:szCs w:val="24"/>
              </w:rPr>
              <w:t xml:space="preserve"> sk</w:t>
            </w:r>
            <w:r w:rsidR="00054789">
              <w:rPr>
                <w:sz w:val="24"/>
                <w:szCs w:val="24"/>
              </w:rPr>
              <w:t>aitā</w:t>
            </w:r>
            <w:r w:rsidR="00F165E6">
              <w:rPr>
                <w:sz w:val="24"/>
                <w:szCs w:val="24"/>
              </w:rPr>
              <w:t xml:space="preserve"> izmantojot Valsts ieņēmumu dienesta Elektroniskās</w:t>
            </w:r>
            <w:r w:rsidR="004D5908">
              <w:rPr>
                <w:sz w:val="24"/>
                <w:szCs w:val="24"/>
              </w:rPr>
              <w:t xml:space="preserve"> deklarēšanas sistēmas resursus;</w:t>
            </w:r>
          </w:p>
          <w:p w14:paraId="3075B18C" w14:textId="451492AD" w:rsidR="00E43855" w:rsidRPr="005D0270" w:rsidRDefault="004D5908" w:rsidP="007E5FDA">
            <w:pPr>
              <w:spacing w:after="0" w:line="240" w:lineRule="auto"/>
              <w:ind w:firstLine="351"/>
              <w:jc w:val="both"/>
              <w:rPr>
                <w:bCs/>
                <w:sz w:val="24"/>
                <w:szCs w:val="24"/>
              </w:rPr>
            </w:pPr>
            <w:r w:rsidRPr="005D0270">
              <w:rPr>
                <w:bCs/>
                <w:sz w:val="24"/>
                <w:szCs w:val="24"/>
              </w:rPr>
              <w:t xml:space="preserve">3) uzlabotu </w:t>
            </w:r>
            <w:r w:rsidR="00C52099" w:rsidRPr="005D0270">
              <w:rPr>
                <w:bCs/>
                <w:sz w:val="24"/>
                <w:szCs w:val="24"/>
              </w:rPr>
              <w:t xml:space="preserve">datu iegūšanu par būvniecības pakalpojumu sniegšanu izmantojot Valsts ieņēmumu dienesta Elektroniskās deklarēšanas sistēmas resursus, kas atvieglos </w:t>
            </w:r>
            <w:r w:rsidRPr="005D0270">
              <w:rPr>
                <w:bCs/>
                <w:sz w:val="24"/>
                <w:szCs w:val="24"/>
              </w:rPr>
              <w:t>valsts nodevas par reģistrācijas darbībām būvkomersantu reģistrā administrēšanu.</w:t>
            </w:r>
            <w:r w:rsidR="00960E40" w:rsidRPr="005D0270">
              <w:rPr>
                <w:bCs/>
                <w:sz w:val="24"/>
                <w:szCs w:val="24"/>
              </w:rPr>
              <w:t xml:space="preserve">  </w:t>
            </w:r>
          </w:p>
          <w:p w14:paraId="7A2CCB23" w14:textId="75DEA9BD" w:rsidR="000D2356" w:rsidRPr="00E70C58" w:rsidRDefault="000E56B2" w:rsidP="00D96109">
            <w:pPr>
              <w:spacing w:after="0" w:line="240" w:lineRule="auto"/>
              <w:ind w:firstLine="351"/>
              <w:jc w:val="both"/>
              <w:rPr>
                <w:sz w:val="24"/>
                <w:szCs w:val="24"/>
              </w:rPr>
            </w:pPr>
            <w:r>
              <w:rPr>
                <w:rFonts w:eastAsia="Times New Roman"/>
                <w:iCs/>
                <w:sz w:val="24"/>
                <w:szCs w:val="24"/>
                <w:lang w:eastAsia="lv-LV"/>
              </w:rPr>
              <w:t>Likums stā</w:t>
            </w:r>
            <w:r w:rsidR="00E70C58">
              <w:rPr>
                <w:rFonts w:eastAsia="Times New Roman"/>
                <w:iCs/>
                <w:sz w:val="24"/>
                <w:szCs w:val="24"/>
                <w:lang w:eastAsia="lv-LV"/>
              </w:rPr>
              <w:t>sie</w:t>
            </w:r>
            <w:r>
              <w:rPr>
                <w:rFonts w:eastAsia="Times New Roman"/>
                <w:iCs/>
                <w:sz w:val="24"/>
                <w:szCs w:val="24"/>
                <w:lang w:eastAsia="lv-LV"/>
              </w:rPr>
              <w:t xml:space="preserve">s </w:t>
            </w:r>
            <w:r w:rsidRPr="00211875">
              <w:rPr>
                <w:rFonts w:eastAsia="Times New Roman"/>
                <w:iCs/>
                <w:sz w:val="24"/>
                <w:szCs w:val="24"/>
                <w:lang w:eastAsia="lv-LV"/>
              </w:rPr>
              <w:t xml:space="preserve">spēkā </w:t>
            </w:r>
            <w:r w:rsidR="00D96109" w:rsidRPr="00D96109">
              <w:rPr>
                <w:rFonts w:eastAsia="Times New Roman"/>
                <w:iCs/>
                <w:sz w:val="24"/>
                <w:szCs w:val="24"/>
                <w:lang w:eastAsia="lv-LV"/>
              </w:rPr>
              <w:t>Oficiālo publikāciju un  tiesiskās informācijas likuma 7. panta otrajā daļā noteiktajā kārtībā.</w:t>
            </w:r>
          </w:p>
        </w:tc>
      </w:tr>
    </w:tbl>
    <w:p w14:paraId="1914DD4C" w14:textId="77777777" w:rsidR="000D2356" w:rsidRPr="000D2356" w:rsidRDefault="000E56B2" w:rsidP="007E5FDA">
      <w:pPr>
        <w:widowControl/>
        <w:spacing w:after="0" w:line="240" w:lineRule="auto"/>
        <w:rPr>
          <w:rFonts w:eastAsia="Times New Roman"/>
          <w:sz w:val="24"/>
          <w:szCs w:val="24"/>
          <w:lang w:eastAsia="lv-LV"/>
        </w:rPr>
      </w:pPr>
      <w:r w:rsidRPr="000D2356">
        <w:rPr>
          <w:rFonts w:eastAsia="Times New Roman"/>
          <w:iCs/>
          <w:sz w:val="24"/>
          <w:szCs w:val="24"/>
          <w:lang w:eastAsia="lv-LV"/>
        </w:rPr>
        <w:t xml:space="preserve">  </w:t>
      </w:r>
    </w:p>
    <w:tbl>
      <w:tblPr>
        <w:tblW w:w="9206"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85" w:type="dxa"/>
          <w:bottom w:w="30" w:type="dxa"/>
          <w:right w:w="85" w:type="dxa"/>
        </w:tblCellMar>
        <w:tblLook w:val="04A0" w:firstRow="1" w:lastRow="0" w:firstColumn="1" w:lastColumn="0" w:noHBand="0" w:noVBand="1"/>
      </w:tblPr>
      <w:tblGrid>
        <w:gridCol w:w="425"/>
        <w:gridCol w:w="1966"/>
        <w:gridCol w:w="6815"/>
      </w:tblGrid>
      <w:tr w:rsidR="0005440F" w14:paraId="03B0878E" w14:textId="77777777" w:rsidTr="00C13959">
        <w:trPr>
          <w:tblCellSpacing w:w="15" w:type="dxa"/>
        </w:trPr>
        <w:tc>
          <w:tcPr>
            <w:tcW w:w="9146" w:type="dxa"/>
            <w:gridSpan w:val="3"/>
            <w:tcBorders>
              <w:top w:val="outset" w:sz="6" w:space="0" w:color="auto"/>
              <w:left w:val="outset" w:sz="6" w:space="0" w:color="auto"/>
              <w:bottom w:val="outset" w:sz="6" w:space="0" w:color="auto"/>
              <w:right w:val="outset" w:sz="6" w:space="0" w:color="auto"/>
            </w:tcBorders>
            <w:hideMark/>
          </w:tcPr>
          <w:p w14:paraId="507A6CE6" w14:textId="77777777" w:rsidR="000D2356" w:rsidRPr="000D2356" w:rsidRDefault="000E56B2" w:rsidP="00B23355">
            <w:pPr>
              <w:widowControl/>
              <w:spacing w:before="100" w:beforeAutospacing="1" w:after="0" w:line="240" w:lineRule="auto"/>
              <w:jc w:val="center"/>
              <w:rPr>
                <w:rFonts w:eastAsia="Times New Roman"/>
                <w:sz w:val="24"/>
                <w:szCs w:val="24"/>
                <w:lang w:eastAsia="lv-LV"/>
              </w:rPr>
            </w:pPr>
            <w:r w:rsidRPr="000D2356">
              <w:rPr>
                <w:rFonts w:eastAsia="Times New Roman"/>
                <w:b/>
                <w:bCs/>
                <w:iCs/>
                <w:sz w:val="24"/>
                <w:szCs w:val="24"/>
                <w:lang w:eastAsia="lv-LV"/>
              </w:rPr>
              <w:t>I. Tiesību akta projekta izstrādes nepieciešamība</w:t>
            </w:r>
          </w:p>
        </w:tc>
      </w:tr>
      <w:tr w:rsidR="0005440F" w14:paraId="7E79C285"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264CF774"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1.</w:t>
            </w:r>
          </w:p>
        </w:tc>
        <w:tc>
          <w:tcPr>
            <w:tcW w:w="1936" w:type="dxa"/>
            <w:tcBorders>
              <w:top w:val="outset" w:sz="6" w:space="0" w:color="auto"/>
              <w:left w:val="outset" w:sz="6" w:space="0" w:color="auto"/>
              <w:bottom w:val="outset" w:sz="6" w:space="0" w:color="auto"/>
              <w:right w:val="outset" w:sz="6" w:space="0" w:color="auto"/>
            </w:tcBorders>
            <w:hideMark/>
          </w:tcPr>
          <w:p w14:paraId="71BDDEB3"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Pamatojums</w:t>
            </w:r>
          </w:p>
        </w:tc>
        <w:tc>
          <w:tcPr>
            <w:tcW w:w="6770" w:type="dxa"/>
            <w:tcBorders>
              <w:top w:val="outset" w:sz="6" w:space="0" w:color="auto"/>
              <w:left w:val="outset" w:sz="6" w:space="0" w:color="auto"/>
              <w:bottom w:val="outset" w:sz="6" w:space="0" w:color="auto"/>
              <w:right w:val="outset" w:sz="6" w:space="0" w:color="auto"/>
            </w:tcBorders>
            <w:hideMark/>
          </w:tcPr>
          <w:p w14:paraId="180FFE2B" w14:textId="4EA50444" w:rsidR="000D2356" w:rsidRDefault="004D5908" w:rsidP="00700ED3">
            <w:pPr>
              <w:widowControl/>
              <w:spacing w:after="120" w:line="240" w:lineRule="auto"/>
              <w:jc w:val="both"/>
              <w:rPr>
                <w:sz w:val="24"/>
                <w:szCs w:val="24"/>
              </w:rPr>
            </w:pPr>
            <w:r>
              <w:rPr>
                <w:rFonts w:eastAsia="Times New Roman"/>
                <w:b/>
                <w:bCs/>
                <w:sz w:val="24"/>
                <w:szCs w:val="24"/>
              </w:rPr>
              <w:t xml:space="preserve">       </w:t>
            </w:r>
            <w:r w:rsidR="00434697">
              <w:rPr>
                <w:sz w:val="24"/>
                <w:szCs w:val="24"/>
              </w:rPr>
              <w:t>Darba plāna uzdevums</w:t>
            </w:r>
            <w:r w:rsidR="00434697" w:rsidRPr="00434697">
              <w:rPr>
                <w:rFonts w:eastAsia="Times New Roman"/>
                <w:sz w:val="24"/>
                <w:szCs w:val="24"/>
              </w:rPr>
              <w:t xml:space="preserve"> </w:t>
            </w:r>
            <w:r w:rsidR="00155A7C" w:rsidRPr="00156E8F">
              <w:rPr>
                <w:rFonts w:eastAsia="Times New Roman"/>
                <w:sz w:val="24"/>
                <w:szCs w:val="24"/>
              </w:rPr>
              <w:t>2021-DP-04-/167</w:t>
            </w:r>
            <w:r w:rsidR="00155A7C">
              <w:rPr>
                <w:sz w:val="24"/>
                <w:szCs w:val="24"/>
              </w:rPr>
              <w:t xml:space="preserve"> (a</w:t>
            </w:r>
            <w:r w:rsidR="00155A7C" w:rsidRPr="00F41D50">
              <w:rPr>
                <w:sz w:val="24"/>
                <w:szCs w:val="24"/>
              </w:rPr>
              <w:t>r 11.01.2021. rīkojumu Nr.11 apstiprinātā Finanšu minist</w:t>
            </w:r>
            <w:r w:rsidR="00155A7C">
              <w:rPr>
                <w:sz w:val="24"/>
                <w:szCs w:val="24"/>
              </w:rPr>
              <w:t>rijas darba plāna 2021.gadam 167</w:t>
            </w:r>
            <w:r w:rsidR="00155A7C" w:rsidRPr="00F41D50">
              <w:rPr>
                <w:sz w:val="24"/>
                <w:szCs w:val="24"/>
              </w:rPr>
              <w:t>.punkts</w:t>
            </w:r>
            <w:r w:rsidR="00155A7C">
              <w:rPr>
                <w:sz w:val="24"/>
                <w:szCs w:val="24"/>
              </w:rPr>
              <w:t xml:space="preserve">): </w:t>
            </w:r>
            <w:r w:rsidR="00155A7C" w:rsidRPr="00155A7C">
              <w:rPr>
                <w:sz w:val="24"/>
                <w:szCs w:val="24"/>
              </w:rPr>
              <w:t>Lai uzlabotu grāmatvedībā noteiktās normas, saistībā ar pamatlīdzekļu pārvērtēšanu tuvinot tās Starptautisko grāmatvedības standartu (SGS) prasībām, kā arī, lai sabiedrībai, kuras pārvedami vērtspapīri ir bijuši iekļauti regulētajā tirgū un kura iepriekš ir sagatavojusi gada pārskatus atbilstoši  SGS, pārstājot būt par regulētā tirgus dalībnieci, tā varētu turpināt, neatkarīgi no tās lieluma, sagatavot gada pārskatus atbilstoši SGS, izstrādāt grozījumus Gada pārskatu un konsolidēto gada pārskatu likumā</w:t>
            </w:r>
            <w:r w:rsidR="00C67118">
              <w:rPr>
                <w:sz w:val="24"/>
                <w:szCs w:val="24"/>
              </w:rPr>
              <w:t xml:space="preserve"> (turpmāk – Likums)</w:t>
            </w:r>
            <w:r w:rsidR="00155A7C" w:rsidRPr="00155A7C">
              <w:rPr>
                <w:sz w:val="24"/>
                <w:szCs w:val="24"/>
              </w:rPr>
              <w:t xml:space="preserve">.  </w:t>
            </w:r>
          </w:p>
          <w:p w14:paraId="49376E66" w14:textId="30F4AE8A" w:rsidR="00700ED3" w:rsidRDefault="00556C60" w:rsidP="00700ED3">
            <w:pPr>
              <w:spacing w:after="120" w:line="240" w:lineRule="auto"/>
              <w:ind w:firstLine="351"/>
              <w:jc w:val="both"/>
              <w:rPr>
                <w:sz w:val="24"/>
                <w:szCs w:val="24"/>
              </w:rPr>
            </w:pPr>
            <w:r>
              <w:rPr>
                <w:sz w:val="24"/>
                <w:szCs w:val="24"/>
              </w:rPr>
              <w:t xml:space="preserve">Ministru prezidenta 2021.gada 12.maija rezolūcija Nr. 2021-1.1.1/28-28 - par nepieciešamiem uzlabojumiem pētniecības un attīstības statistikas datu iegūšanai, t.sk. izmantojot Valsts ieņēmumu dienesta Elektroniskās deklarēšanas sistēmas resursus. </w:t>
            </w:r>
            <w:r w:rsidR="005D2D25">
              <w:rPr>
                <w:sz w:val="24"/>
                <w:szCs w:val="24"/>
              </w:rPr>
              <w:t>G</w:t>
            </w:r>
            <w:r w:rsidR="005D2D25" w:rsidRPr="005D2D25">
              <w:rPr>
                <w:sz w:val="24"/>
                <w:szCs w:val="24"/>
              </w:rPr>
              <w:t xml:space="preserve">rozījumu Gada pārskatu un konsolidēto pārskatu likumā, lai nodrošinātu, ka vidējo un lielo sabiedrību finanšu pārskatos tiek iekļauta detalizēta informācija par pētniecības un attīstības izmaksām, </w:t>
            </w:r>
            <w:r w:rsidR="005D2D25">
              <w:rPr>
                <w:sz w:val="24"/>
                <w:szCs w:val="24"/>
              </w:rPr>
              <w:t>tādējādi radot iespēju iegūt</w:t>
            </w:r>
            <w:r w:rsidR="00700ED3" w:rsidRPr="00700ED3">
              <w:rPr>
                <w:sz w:val="24"/>
                <w:szCs w:val="24"/>
              </w:rPr>
              <w:t xml:space="preserve"> </w:t>
            </w:r>
            <w:r w:rsidR="005D2D25">
              <w:rPr>
                <w:sz w:val="24"/>
                <w:szCs w:val="24"/>
              </w:rPr>
              <w:t xml:space="preserve">detalizētākus </w:t>
            </w:r>
            <w:r w:rsidR="00700ED3" w:rsidRPr="00700ED3">
              <w:rPr>
                <w:sz w:val="24"/>
                <w:szCs w:val="24"/>
              </w:rPr>
              <w:t>pētniecības un attīstības statistikas datu</w:t>
            </w:r>
            <w:r w:rsidR="005D2D25">
              <w:rPr>
                <w:sz w:val="24"/>
                <w:szCs w:val="24"/>
              </w:rPr>
              <w:t>s</w:t>
            </w:r>
            <w:r w:rsidR="00700ED3" w:rsidRPr="00700ED3">
              <w:rPr>
                <w:sz w:val="24"/>
                <w:szCs w:val="24"/>
              </w:rPr>
              <w:t>, t.sk. izmantojot Valsts ieņēmumu dienesta Elektroniskās deklarēšanas sistēmas resursus</w:t>
            </w:r>
            <w:r w:rsidR="006658C0">
              <w:rPr>
                <w:sz w:val="24"/>
                <w:szCs w:val="24"/>
              </w:rPr>
              <w:t>,</w:t>
            </w:r>
            <w:r w:rsidR="005D2D25">
              <w:rPr>
                <w:sz w:val="24"/>
                <w:szCs w:val="24"/>
              </w:rPr>
              <w:t xml:space="preserve"> sagatavošana atbalstīta </w:t>
            </w:r>
            <w:r w:rsidR="005D2D25" w:rsidRPr="00700ED3">
              <w:rPr>
                <w:sz w:val="24"/>
                <w:szCs w:val="24"/>
              </w:rPr>
              <w:t>Latvijas Pētniecības un inovācijas stratēģiskā padome</w:t>
            </w:r>
            <w:r w:rsidR="005D2D25">
              <w:rPr>
                <w:sz w:val="24"/>
                <w:szCs w:val="24"/>
              </w:rPr>
              <w:t>s</w:t>
            </w:r>
            <w:r w:rsidR="005D2D25" w:rsidRPr="00700ED3">
              <w:rPr>
                <w:sz w:val="24"/>
                <w:szCs w:val="24"/>
              </w:rPr>
              <w:t xml:space="preserve"> </w:t>
            </w:r>
            <w:r w:rsidR="005D2D25">
              <w:rPr>
                <w:sz w:val="24"/>
                <w:szCs w:val="24"/>
              </w:rPr>
              <w:t xml:space="preserve">(izveidota ar </w:t>
            </w:r>
            <w:r w:rsidR="005D2D25" w:rsidRPr="00700ED3">
              <w:rPr>
                <w:sz w:val="24"/>
                <w:szCs w:val="24"/>
              </w:rPr>
              <w:t>Ministru prezidenta 2019. gada 10. jūnija rīkojumu Nr.</w:t>
            </w:r>
            <w:r w:rsidR="006658C0">
              <w:rPr>
                <w:sz w:val="24"/>
                <w:szCs w:val="24"/>
              </w:rPr>
              <w:t> 1</w:t>
            </w:r>
            <w:r w:rsidR="005D2D25" w:rsidRPr="00700ED3">
              <w:rPr>
                <w:sz w:val="24"/>
                <w:szCs w:val="24"/>
              </w:rPr>
              <w:t>49</w:t>
            </w:r>
            <w:r w:rsidR="006658C0">
              <w:rPr>
                <w:sz w:val="24"/>
                <w:szCs w:val="24"/>
              </w:rPr>
              <w:t xml:space="preserve">) </w:t>
            </w:r>
            <w:r w:rsidR="005D2D25" w:rsidRPr="00700ED3">
              <w:rPr>
                <w:sz w:val="24"/>
                <w:szCs w:val="24"/>
              </w:rPr>
              <w:t>2021.</w:t>
            </w:r>
            <w:r w:rsidR="006658C0">
              <w:rPr>
                <w:sz w:val="24"/>
                <w:szCs w:val="24"/>
              </w:rPr>
              <w:t> </w:t>
            </w:r>
            <w:r w:rsidR="005D2D25" w:rsidRPr="00700ED3">
              <w:rPr>
                <w:sz w:val="24"/>
                <w:szCs w:val="24"/>
              </w:rPr>
              <w:t>gada 30.</w:t>
            </w:r>
            <w:r w:rsidR="006658C0">
              <w:rPr>
                <w:sz w:val="24"/>
                <w:szCs w:val="24"/>
              </w:rPr>
              <w:t> </w:t>
            </w:r>
            <w:r w:rsidR="005D2D25" w:rsidRPr="00700ED3">
              <w:rPr>
                <w:sz w:val="24"/>
                <w:szCs w:val="24"/>
              </w:rPr>
              <w:t>jūnija sē</w:t>
            </w:r>
            <w:r w:rsidR="005D2D25">
              <w:rPr>
                <w:sz w:val="24"/>
                <w:szCs w:val="24"/>
              </w:rPr>
              <w:t>dē</w:t>
            </w:r>
            <w:r w:rsidR="00951696">
              <w:rPr>
                <w:sz w:val="24"/>
                <w:szCs w:val="24"/>
              </w:rPr>
              <w:t>.</w:t>
            </w:r>
            <w:r w:rsidR="005D2D25">
              <w:rPr>
                <w:sz w:val="24"/>
                <w:szCs w:val="24"/>
              </w:rPr>
              <w:t xml:space="preserve"> </w:t>
            </w:r>
          </w:p>
          <w:p w14:paraId="1C1576C2" w14:textId="0C6AD033" w:rsidR="00556C60" w:rsidRPr="00776934" w:rsidRDefault="00EA7381" w:rsidP="00700ED3">
            <w:pPr>
              <w:spacing w:after="120" w:line="240" w:lineRule="auto"/>
              <w:jc w:val="both"/>
              <w:rPr>
                <w:b/>
                <w:sz w:val="24"/>
                <w:szCs w:val="24"/>
              </w:rPr>
            </w:pPr>
            <w:r>
              <w:rPr>
                <w:bCs/>
                <w:sz w:val="24"/>
                <w:szCs w:val="24"/>
              </w:rPr>
              <w:t xml:space="preserve">     </w:t>
            </w:r>
            <w:r w:rsidR="004D5908" w:rsidRPr="00B51861">
              <w:rPr>
                <w:bCs/>
                <w:sz w:val="24"/>
                <w:szCs w:val="24"/>
              </w:rPr>
              <w:t>Valsts kontroles revīzijā “Par Latvijas Republikas 2019.gada pārskatu par valsts budžeta izpildi un par pašvaldību budžetiem”</w:t>
            </w:r>
            <w:r w:rsidR="00776934" w:rsidRPr="00B51861">
              <w:rPr>
                <w:bCs/>
                <w:sz w:val="24"/>
                <w:szCs w:val="24"/>
              </w:rPr>
              <w:t xml:space="preserve"> sniegtais ieteikums “Finanšu ministrijai sadarbībā ar E</w:t>
            </w:r>
            <w:r w:rsidR="0060302B" w:rsidRPr="00B51861">
              <w:rPr>
                <w:bCs/>
                <w:sz w:val="24"/>
                <w:szCs w:val="24"/>
              </w:rPr>
              <w:t xml:space="preserve">konomikas </w:t>
            </w:r>
            <w:r w:rsidR="0060302B" w:rsidRPr="00B51861">
              <w:rPr>
                <w:bCs/>
                <w:sz w:val="24"/>
                <w:szCs w:val="24"/>
              </w:rPr>
              <w:lastRenderedPageBreak/>
              <w:t xml:space="preserve">ministriju </w:t>
            </w:r>
            <w:r w:rsidR="00776934" w:rsidRPr="00B51861">
              <w:rPr>
                <w:bCs/>
                <w:sz w:val="24"/>
                <w:szCs w:val="24"/>
              </w:rPr>
              <w:t>un Būvniecības valsts kontroles biroju pilnveidot būvkomersantu reģistrēšanas nodevas samaksas kontroli, lai uzraugošā un valsts nodevu administrējošā iestāde spētu pārliecināties, ka visi būvkomersanti reģistrējas, sniedz patiesu informāciju un nodevu samaksā atbilstoši normatīvajam aktam”.</w:t>
            </w:r>
          </w:p>
        </w:tc>
      </w:tr>
      <w:tr w:rsidR="005F5D0D" w:rsidRPr="008F26AA" w14:paraId="722DC0E3"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2028648D"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lastRenderedPageBreak/>
              <w:t>2.</w:t>
            </w:r>
          </w:p>
        </w:tc>
        <w:tc>
          <w:tcPr>
            <w:tcW w:w="1936" w:type="dxa"/>
            <w:tcBorders>
              <w:top w:val="outset" w:sz="6" w:space="0" w:color="auto"/>
              <w:left w:val="outset" w:sz="6" w:space="0" w:color="auto"/>
              <w:bottom w:val="outset" w:sz="6" w:space="0" w:color="auto"/>
              <w:right w:val="outset" w:sz="6" w:space="0" w:color="auto"/>
            </w:tcBorders>
            <w:hideMark/>
          </w:tcPr>
          <w:p w14:paraId="48A62EFE" w14:textId="77777777" w:rsidR="000D2356" w:rsidRPr="005F5D0D" w:rsidRDefault="000E56B2" w:rsidP="009C5511">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Pašreizējā situācija un problēmas, kuru risināšanai tiesību akta projekts izstrādāts, tiesiskā regulējuma mērķis un būtība</w:t>
            </w:r>
          </w:p>
          <w:p w14:paraId="2A65A1D6"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15CB3022" w14:textId="7AC6D8A2" w:rsidR="000D2356" w:rsidRPr="005F5D0D" w:rsidRDefault="000E56B2">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2F0238D5"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034B0ADD"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tc>
        <w:tc>
          <w:tcPr>
            <w:tcW w:w="6770" w:type="dxa"/>
            <w:tcBorders>
              <w:top w:val="outset" w:sz="6" w:space="0" w:color="auto"/>
              <w:left w:val="outset" w:sz="6" w:space="0" w:color="auto"/>
              <w:bottom w:val="outset" w:sz="6" w:space="0" w:color="auto"/>
              <w:right w:val="outset" w:sz="6" w:space="0" w:color="auto"/>
            </w:tcBorders>
            <w:hideMark/>
          </w:tcPr>
          <w:p w14:paraId="70EC7EB3" w14:textId="36111F3F" w:rsidR="009C5511" w:rsidRDefault="009C5511" w:rsidP="00141690">
            <w:pPr>
              <w:pStyle w:val="tv2132"/>
              <w:spacing w:after="120" w:line="240" w:lineRule="auto"/>
              <w:ind w:firstLine="363"/>
              <w:jc w:val="both"/>
              <w:rPr>
                <w:b/>
                <w:color w:val="auto"/>
                <w:sz w:val="24"/>
                <w:szCs w:val="24"/>
              </w:rPr>
            </w:pPr>
            <w:r w:rsidRPr="00C7281B">
              <w:rPr>
                <w:b/>
                <w:iCs/>
                <w:color w:val="auto"/>
                <w:sz w:val="24"/>
                <w:szCs w:val="24"/>
              </w:rPr>
              <w:t>Pašreizējā situācija</w:t>
            </w:r>
            <w:r w:rsidRPr="00C7281B">
              <w:rPr>
                <w:b/>
                <w:color w:val="auto"/>
              </w:rPr>
              <w:t xml:space="preserve"> </w:t>
            </w:r>
            <w:r w:rsidR="006C5D89" w:rsidRPr="00C7281B">
              <w:rPr>
                <w:b/>
                <w:color w:val="auto"/>
                <w:sz w:val="24"/>
                <w:szCs w:val="24"/>
              </w:rPr>
              <w:t>un problēmas, kuru risināšanai tiesību akta projekts izstrādāts</w:t>
            </w:r>
          </w:p>
          <w:p w14:paraId="719BC413" w14:textId="76E52E46" w:rsidR="00A752F4" w:rsidRPr="00A752F4" w:rsidRDefault="00640CE4" w:rsidP="00141690">
            <w:pPr>
              <w:pStyle w:val="tv2132"/>
              <w:spacing w:after="120" w:line="240" w:lineRule="auto"/>
              <w:ind w:firstLine="363"/>
              <w:jc w:val="both"/>
              <w:rPr>
                <w:color w:val="auto"/>
                <w:sz w:val="24"/>
                <w:szCs w:val="24"/>
                <w:u w:val="single"/>
              </w:rPr>
            </w:pPr>
            <w:r>
              <w:rPr>
                <w:color w:val="auto"/>
                <w:sz w:val="24"/>
                <w:szCs w:val="24"/>
                <w:u w:val="single"/>
              </w:rPr>
              <w:t xml:space="preserve">Gada pārskata sagatavošana atbilstoši </w:t>
            </w:r>
            <w:r w:rsidRPr="00A752F4">
              <w:rPr>
                <w:color w:val="auto"/>
                <w:sz w:val="24"/>
                <w:szCs w:val="24"/>
                <w:u w:val="single"/>
              </w:rPr>
              <w:t>S</w:t>
            </w:r>
            <w:r>
              <w:rPr>
                <w:color w:val="auto"/>
                <w:sz w:val="24"/>
                <w:szCs w:val="24"/>
                <w:u w:val="single"/>
              </w:rPr>
              <w:t>GS</w:t>
            </w:r>
          </w:p>
          <w:p w14:paraId="18544F23" w14:textId="50EB2162" w:rsidR="00A752F4" w:rsidRPr="00A752F4" w:rsidRDefault="001E3F45" w:rsidP="00B62DEB">
            <w:pPr>
              <w:pStyle w:val="tv2132"/>
              <w:spacing w:after="120" w:line="240" w:lineRule="auto"/>
              <w:ind w:firstLine="363"/>
              <w:jc w:val="both"/>
              <w:rPr>
                <w:color w:val="auto"/>
                <w:sz w:val="24"/>
                <w:szCs w:val="24"/>
              </w:rPr>
            </w:pPr>
            <w:r>
              <w:rPr>
                <w:color w:val="auto"/>
                <w:sz w:val="24"/>
                <w:szCs w:val="24"/>
              </w:rPr>
              <w:t xml:space="preserve">Pašlaik </w:t>
            </w:r>
            <w:r w:rsidR="007117F1">
              <w:rPr>
                <w:color w:val="auto"/>
                <w:sz w:val="24"/>
                <w:szCs w:val="24"/>
              </w:rPr>
              <w:t xml:space="preserve">saskaņā ar </w:t>
            </w:r>
            <w:r>
              <w:rPr>
                <w:color w:val="auto"/>
                <w:sz w:val="24"/>
                <w:szCs w:val="24"/>
              </w:rPr>
              <w:t xml:space="preserve">Likuma </w:t>
            </w:r>
            <w:r w:rsidR="007117F1">
              <w:rPr>
                <w:color w:val="auto"/>
                <w:sz w:val="24"/>
                <w:szCs w:val="24"/>
              </w:rPr>
              <w:t xml:space="preserve">3.panta septīto daļu </w:t>
            </w:r>
            <w:r w:rsidR="007117F1" w:rsidRPr="007117F1">
              <w:rPr>
                <w:color w:val="auto"/>
                <w:sz w:val="24"/>
                <w:szCs w:val="24"/>
                <w:u w:val="single"/>
              </w:rPr>
              <w:t>liela sabiedrība</w:t>
            </w:r>
            <w:r w:rsidR="007117F1">
              <w:rPr>
                <w:color w:val="auto"/>
                <w:sz w:val="24"/>
                <w:szCs w:val="24"/>
              </w:rPr>
              <w:t xml:space="preserve"> </w:t>
            </w:r>
            <w:r w:rsidR="007117F1" w:rsidRPr="007117F1">
              <w:rPr>
                <w:color w:val="auto"/>
                <w:sz w:val="24"/>
                <w:szCs w:val="24"/>
              </w:rPr>
              <w:t>var sagatavot gada pārskatu atbilstoši starptautiskajiem grāmatvedības standartiem</w:t>
            </w:r>
            <w:r w:rsidR="007117F1">
              <w:rPr>
                <w:color w:val="auto"/>
                <w:sz w:val="24"/>
                <w:szCs w:val="24"/>
              </w:rPr>
              <w:t xml:space="preserve"> (turpmāk – SGS)</w:t>
            </w:r>
            <w:r w:rsidR="007117F1" w:rsidRPr="007117F1">
              <w:rPr>
                <w:color w:val="auto"/>
                <w:sz w:val="24"/>
                <w:szCs w:val="24"/>
              </w:rPr>
              <w:t>.</w:t>
            </w:r>
            <w:r w:rsidR="007117F1">
              <w:rPr>
                <w:color w:val="auto"/>
                <w:sz w:val="24"/>
                <w:szCs w:val="24"/>
              </w:rPr>
              <w:t xml:space="preserve"> </w:t>
            </w:r>
            <w:r w:rsidR="00975771">
              <w:rPr>
                <w:color w:val="auto"/>
                <w:sz w:val="24"/>
                <w:szCs w:val="24"/>
              </w:rPr>
              <w:t>Vairākas k</w:t>
            </w:r>
            <w:r w:rsidR="00A752F4" w:rsidRPr="00A752F4">
              <w:rPr>
                <w:color w:val="auto"/>
                <w:sz w:val="24"/>
                <w:szCs w:val="24"/>
              </w:rPr>
              <w:t>omercsabiedrība</w:t>
            </w:r>
            <w:r w:rsidR="00975771">
              <w:rPr>
                <w:color w:val="auto"/>
                <w:sz w:val="24"/>
                <w:szCs w:val="24"/>
              </w:rPr>
              <w:t xml:space="preserve">s, </w:t>
            </w:r>
            <w:r w:rsidR="007117F1">
              <w:rPr>
                <w:color w:val="auto"/>
                <w:sz w:val="24"/>
                <w:szCs w:val="24"/>
              </w:rPr>
              <w:t xml:space="preserve">kuras Likuma izpratnē nav lielas sabiedrības, bet </w:t>
            </w:r>
            <w:r w:rsidR="00975771">
              <w:rPr>
                <w:color w:val="auto"/>
                <w:sz w:val="24"/>
                <w:szCs w:val="24"/>
              </w:rPr>
              <w:t>kuru</w:t>
            </w:r>
            <w:r w:rsidR="00A752F4" w:rsidRPr="00A752F4">
              <w:rPr>
                <w:color w:val="auto"/>
                <w:sz w:val="24"/>
                <w:szCs w:val="24"/>
              </w:rPr>
              <w:t xml:space="preserve"> pārvedami vērtspapīri iepriekšējā pārskata gadā </w:t>
            </w:r>
            <w:r w:rsidR="00975771">
              <w:rPr>
                <w:color w:val="auto"/>
                <w:sz w:val="24"/>
                <w:szCs w:val="24"/>
              </w:rPr>
              <w:t>vai par to ilgākā laika posmā ir bijuši</w:t>
            </w:r>
            <w:r w:rsidR="00A752F4" w:rsidRPr="00A752F4">
              <w:rPr>
                <w:color w:val="auto"/>
                <w:sz w:val="24"/>
                <w:szCs w:val="24"/>
              </w:rPr>
              <w:t xml:space="preserve"> iekļauti regulētajā tirgū un </w:t>
            </w:r>
            <w:r w:rsidR="007117F1">
              <w:rPr>
                <w:color w:val="auto"/>
                <w:sz w:val="24"/>
                <w:szCs w:val="24"/>
              </w:rPr>
              <w:t>šī iemesla dēļ</w:t>
            </w:r>
            <w:r w:rsidR="00975771">
              <w:rPr>
                <w:color w:val="auto"/>
                <w:sz w:val="24"/>
                <w:szCs w:val="24"/>
              </w:rPr>
              <w:t xml:space="preserve"> </w:t>
            </w:r>
            <w:r w:rsidR="00975771" w:rsidRPr="00A752F4">
              <w:rPr>
                <w:color w:val="auto"/>
                <w:sz w:val="24"/>
                <w:szCs w:val="24"/>
              </w:rPr>
              <w:t>gada pārskats un konsolidētais gada pārskats</w:t>
            </w:r>
            <w:r w:rsidR="00B62DEB">
              <w:rPr>
                <w:color w:val="auto"/>
                <w:sz w:val="24"/>
                <w:szCs w:val="24"/>
              </w:rPr>
              <w:t>, ievērojot</w:t>
            </w:r>
            <w:r w:rsidR="00A752F4" w:rsidRPr="00A752F4">
              <w:rPr>
                <w:color w:val="auto"/>
                <w:sz w:val="24"/>
                <w:szCs w:val="24"/>
              </w:rPr>
              <w:t xml:space="preserve"> Finanšu instrumentu tirgus likum</w:t>
            </w:r>
            <w:r w:rsidR="00975771">
              <w:rPr>
                <w:color w:val="auto"/>
                <w:sz w:val="24"/>
                <w:szCs w:val="24"/>
              </w:rPr>
              <w:t>a prasīb</w:t>
            </w:r>
            <w:r w:rsidR="00B62DEB">
              <w:rPr>
                <w:color w:val="auto"/>
                <w:sz w:val="24"/>
                <w:szCs w:val="24"/>
              </w:rPr>
              <w:t>as,</w:t>
            </w:r>
            <w:r w:rsidR="00975771">
              <w:rPr>
                <w:color w:val="auto"/>
                <w:sz w:val="24"/>
                <w:szCs w:val="24"/>
              </w:rPr>
              <w:t xml:space="preserve"> ir</w:t>
            </w:r>
            <w:r w:rsidR="00A752F4" w:rsidRPr="00A752F4">
              <w:rPr>
                <w:color w:val="auto"/>
                <w:sz w:val="24"/>
                <w:szCs w:val="24"/>
              </w:rPr>
              <w:t xml:space="preserve"> </w:t>
            </w:r>
            <w:r w:rsidR="00975771">
              <w:rPr>
                <w:color w:val="auto"/>
                <w:sz w:val="24"/>
                <w:szCs w:val="24"/>
              </w:rPr>
              <w:t>bijis</w:t>
            </w:r>
            <w:r w:rsidR="00A752F4" w:rsidRPr="00A752F4">
              <w:rPr>
                <w:color w:val="auto"/>
                <w:sz w:val="24"/>
                <w:szCs w:val="24"/>
              </w:rPr>
              <w:t xml:space="preserve"> sagatavots atbilstoši </w:t>
            </w:r>
            <w:r w:rsidR="007117F1">
              <w:rPr>
                <w:color w:val="auto"/>
                <w:sz w:val="24"/>
                <w:szCs w:val="24"/>
              </w:rPr>
              <w:t>SGS</w:t>
            </w:r>
            <w:r w:rsidR="00A752F4" w:rsidRPr="00A752F4">
              <w:rPr>
                <w:color w:val="auto"/>
                <w:sz w:val="24"/>
                <w:szCs w:val="24"/>
              </w:rPr>
              <w:t xml:space="preserve">, </w:t>
            </w:r>
            <w:r w:rsidR="00975771">
              <w:rPr>
                <w:color w:val="auto"/>
                <w:sz w:val="24"/>
                <w:szCs w:val="24"/>
              </w:rPr>
              <w:t>iztei</w:t>
            </w:r>
            <w:r w:rsidR="007117F1">
              <w:rPr>
                <w:color w:val="auto"/>
                <w:sz w:val="24"/>
                <w:szCs w:val="24"/>
              </w:rPr>
              <w:t>ca</w:t>
            </w:r>
            <w:r w:rsidR="00975771">
              <w:rPr>
                <w:color w:val="auto"/>
                <w:sz w:val="24"/>
                <w:szCs w:val="24"/>
              </w:rPr>
              <w:t xml:space="preserve"> vēlēšanos, lai arī pēc tam, kad</w:t>
            </w:r>
            <w:r w:rsidR="00A752F4" w:rsidRPr="00A752F4">
              <w:rPr>
                <w:color w:val="auto"/>
                <w:sz w:val="24"/>
                <w:szCs w:val="24"/>
              </w:rPr>
              <w:t xml:space="preserve"> tā</w:t>
            </w:r>
            <w:r w:rsidR="00975771">
              <w:rPr>
                <w:color w:val="auto"/>
                <w:sz w:val="24"/>
                <w:szCs w:val="24"/>
              </w:rPr>
              <w:t>s</w:t>
            </w:r>
            <w:r w:rsidR="00A752F4" w:rsidRPr="00A752F4">
              <w:rPr>
                <w:color w:val="auto"/>
                <w:sz w:val="24"/>
                <w:szCs w:val="24"/>
              </w:rPr>
              <w:t xml:space="preserve"> </w:t>
            </w:r>
            <w:r w:rsidR="00975771">
              <w:rPr>
                <w:color w:val="auto"/>
                <w:sz w:val="24"/>
                <w:szCs w:val="24"/>
              </w:rPr>
              <w:t xml:space="preserve">pārstāj </w:t>
            </w:r>
            <w:r w:rsidR="00A752F4" w:rsidRPr="00A752F4">
              <w:rPr>
                <w:color w:val="auto"/>
                <w:sz w:val="24"/>
                <w:szCs w:val="24"/>
              </w:rPr>
              <w:t>bū</w:t>
            </w:r>
            <w:r w:rsidR="00975771">
              <w:rPr>
                <w:color w:val="auto"/>
                <w:sz w:val="24"/>
                <w:szCs w:val="24"/>
              </w:rPr>
              <w:t>t par regulētā tirgus dalībniecēm</w:t>
            </w:r>
            <w:r w:rsidR="00A752F4" w:rsidRPr="00A752F4">
              <w:rPr>
                <w:color w:val="auto"/>
                <w:sz w:val="24"/>
                <w:szCs w:val="24"/>
              </w:rPr>
              <w:t xml:space="preserve">, </w:t>
            </w:r>
            <w:r w:rsidR="00975771">
              <w:rPr>
                <w:color w:val="auto"/>
                <w:sz w:val="24"/>
                <w:szCs w:val="24"/>
              </w:rPr>
              <w:t xml:space="preserve">tām būtu </w:t>
            </w:r>
            <w:r w:rsidR="00A752F4" w:rsidRPr="00A752F4">
              <w:rPr>
                <w:color w:val="auto"/>
                <w:sz w:val="24"/>
                <w:szCs w:val="24"/>
              </w:rPr>
              <w:t xml:space="preserve">atļauts turpināt sagatavot </w:t>
            </w:r>
            <w:r w:rsidR="00054958">
              <w:rPr>
                <w:color w:val="auto"/>
                <w:sz w:val="24"/>
                <w:szCs w:val="24"/>
              </w:rPr>
              <w:t>gada</w:t>
            </w:r>
            <w:r w:rsidR="00A752F4" w:rsidRPr="00A752F4">
              <w:rPr>
                <w:color w:val="auto"/>
                <w:sz w:val="24"/>
                <w:szCs w:val="24"/>
              </w:rPr>
              <w:t xml:space="preserve"> pārskatu atbilstoši </w:t>
            </w:r>
            <w:r w:rsidR="00B62DEB">
              <w:rPr>
                <w:color w:val="auto"/>
                <w:sz w:val="24"/>
                <w:szCs w:val="24"/>
              </w:rPr>
              <w:t>SGS</w:t>
            </w:r>
            <w:r w:rsidR="00A752F4" w:rsidRPr="00A752F4">
              <w:rPr>
                <w:color w:val="auto"/>
                <w:sz w:val="24"/>
                <w:szCs w:val="24"/>
              </w:rPr>
              <w:t>.</w:t>
            </w:r>
            <w:r w:rsidR="00975771">
              <w:rPr>
                <w:color w:val="auto"/>
                <w:sz w:val="24"/>
                <w:szCs w:val="24"/>
              </w:rPr>
              <w:t xml:space="preserve"> </w:t>
            </w:r>
            <w:r w:rsidR="003040B6">
              <w:rPr>
                <w:color w:val="auto"/>
                <w:sz w:val="24"/>
                <w:szCs w:val="24"/>
              </w:rPr>
              <w:t xml:space="preserve">Pašlaik attiecībā uz gada pārskatu </w:t>
            </w:r>
            <w:r w:rsidR="007117F1">
              <w:rPr>
                <w:color w:val="auto"/>
                <w:sz w:val="24"/>
                <w:szCs w:val="24"/>
              </w:rPr>
              <w:t xml:space="preserve">Likuma subjektiem </w:t>
            </w:r>
            <w:r w:rsidR="003040B6">
              <w:rPr>
                <w:color w:val="auto"/>
                <w:sz w:val="24"/>
                <w:szCs w:val="24"/>
              </w:rPr>
              <w:t xml:space="preserve">šāda iespēja nav atļauta. </w:t>
            </w:r>
            <w:r w:rsidR="00054958">
              <w:rPr>
                <w:color w:val="auto"/>
                <w:sz w:val="24"/>
                <w:szCs w:val="24"/>
              </w:rPr>
              <w:t>Savukārt, konsolidēto gada pārskatu, saskaņā ar Likuma 70.pantā minēto jau pašlaik ir a</w:t>
            </w:r>
            <w:r w:rsidR="00054958" w:rsidRPr="00054958">
              <w:rPr>
                <w:color w:val="auto"/>
                <w:sz w:val="24"/>
                <w:szCs w:val="24"/>
              </w:rPr>
              <w:t>tļau</w:t>
            </w:r>
            <w:r w:rsidR="00054958">
              <w:rPr>
                <w:color w:val="auto"/>
                <w:sz w:val="24"/>
                <w:szCs w:val="24"/>
              </w:rPr>
              <w:t>ts</w:t>
            </w:r>
            <w:r w:rsidR="00054958" w:rsidRPr="00054958">
              <w:rPr>
                <w:color w:val="auto"/>
                <w:sz w:val="24"/>
                <w:szCs w:val="24"/>
              </w:rPr>
              <w:t xml:space="preserve"> sagatavot saskaņā ar </w:t>
            </w:r>
            <w:r w:rsidR="00054958">
              <w:rPr>
                <w:color w:val="auto"/>
                <w:sz w:val="24"/>
                <w:szCs w:val="24"/>
              </w:rPr>
              <w:t>SGS.</w:t>
            </w:r>
            <w:r w:rsidR="003040B6">
              <w:rPr>
                <w:color w:val="auto"/>
                <w:sz w:val="24"/>
                <w:szCs w:val="24"/>
              </w:rPr>
              <w:t xml:space="preserve"> T</w:t>
            </w:r>
            <w:r w:rsidR="007117F1">
              <w:rPr>
                <w:color w:val="auto"/>
                <w:sz w:val="24"/>
                <w:szCs w:val="24"/>
              </w:rPr>
              <w:t>urklāt, t</w:t>
            </w:r>
            <w:r w:rsidR="003040B6">
              <w:rPr>
                <w:color w:val="auto"/>
                <w:sz w:val="24"/>
                <w:szCs w:val="24"/>
              </w:rPr>
              <w:t>urpinot gada pārskatu sagatavot atbilstoši SGS</w:t>
            </w:r>
            <w:r w:rsidR="007117F1">
              <w:rPr>
                <w:color w:val="auto"/>
                <w:sz w:val="24"/>
                <w:szCs w:val="24"/>
              </w:rPr>
              <w:t xml:space="preserve"> arī pēc tam, kad sabiedrība </w:t>
            </w:r>
            <w:r w:rsidR="007117F1" w:rsidRPr="007117F1">
              <w:rPr>
                <w:color w:val="auto"/>
                <w:sz w:val="24"/>
                <w:szCs w:val="24"/>
              </w:rPr>
              <w:t xml:space="preserve">pārstāj būt par </w:t>
            </w:r>
            <w:r w:rsidR="007117F1">
              <w:rPr>
                <w:color w:val="auto"/>
                <w:sz w:val="24"/>
                <w:szCs w:val="24"/>
              </w:rPr>
              <w:t>regulētā tirgus dalībnieci</w:t>
            </w:r>
            <w:r w:rsidR="003040B6">
              <w:rPr>
                <w:color w:val="auto"/>
                <w:sz w:val="24"/>
                <w:szCs w:val="24"/>
              </w:rPr>
              <w:t xml:space="preserve">, tiktu ievērots </w:t>
            </w:r>
            <w:r w:rsidR="003040B6" w:rsidRPr="003040B6">
              <w:rPr>
                <w:color w:val="auto"/>
                <w:sz w:val="24"/>
                <w:szCs w:val="24"/>
              </w:rPr>
              <w:t>Likum</w:t>
            </w:r>
            <w:r w:rsidR="003040B6">
              <w:rPr>
                <w:color w:val="auto"/>
                <w:sz w:val="24"/>
                <w:szCs w:val="24"/>
              </w:rPr>
              <w:t>a 14.panta pirmās daļas 2.punktā minētais</w:t>
            </w:r>
            <w:r w:rsidR="003040B6" w:rsidRPr="003040B6">
              <w:rPr>
                <w:color w:val="auto"/>
                <w:sz w:val="24"/>
                <w:szCs w:val="24"/>
              </w:rPr>
              <w:t xml:space="preserve"> </w:t>
            </w:r>
            <w:r w:rsidR="003040B6">
              <w:rPr>
                <w:color w:val="auto"/>
                <w:sz w:val="24"/>
                <w:szCs w:val="24"/>
              </w:rPr>
              <w:t>f</w:t>
            </w:r>
            <w:r w:rsidR="003040B6" w:rsidRPr="00B62DEB">
              <w:rPr>
                <w:color w:val="auto"/>
                <w:sz w:val="24"/>
                <w:szCs w:val="24"/>
              </w:rPr>
              <w:t>inanšu pārskata s</w:t>
            </w:r>
            <w:r w:rsidR="003040B6">
              <w:rPr>
                <w:color w:val="auto"/>
                <w:sz w:val="24"/>
                <w:szCs w:val="24"/>
              </w:rPr>
              <w:t xml:space="preserve">agatavošanas vispārīgais princips - finanšu pārskata sagatavošanā </w:t>
            </w:r>
            <w:r w:rsidR="003040B6" w:rsidRPr="00B62DEB">
              <w:rPr>
                <w:color w:val="auto"/>
                <w:sz w:val="24"/>
                <w:szCs w:val="24"/>
              </w:rPr>
              <w:t>izmanto to pašu grāmatvedības politiku un novērtēšanas metodes, kuras izman</w:t>
            </w:r>
            <w:r w:rsidR="003040B6">
              <w:rPr>
                <w:color w:val="auto"/>
                <w:sz w:val="24"/>
                <w:szCs w:val="24"/>
              </w:rPr>
              <w:t>totas iepriekšējā pārskata gadā.</w:t>
            </w:r>
          </w:p>
          <w:p w14:paraId="6F0F63ED" w14:textId="6A000E95" w:rsidR="00A752F4" w:rsidRPr="00A752F4" w:rsidRDefault="00A752F4" w:rsidP="00141690">
            <w:pPr>
              <w:pStyle w:val="tv2132"/>
              <w:spacing w:after="120" w:line="240" w:lineRule="auto"/>
              <w:ind w:firstLine="363"/>
              <w:jc w:val="both"/>
              <w:rPr>
                <w:color w:val="auto"/>
                <w:sz w:val="24"/>
                <w:szCs w:val="24"/>
                <w:u w:val="single"/>
              </w:rPr>
            </w:pPr>
            <w:r w:rsidRPr="00A752F4">
              <w:rPr>
                <w:color w:val="auto"/>
                <w:sz w:val="24"/>
                <w:szCs w:val="24"/>
                <w:u w:val="single"/>
              </w:rPr>
              <w:t>P</w:t>
            </w:r>
            <w:r w:rsidR="00F26964">
              <w:rPr>
                <w:color w:val="auto"/>
                <w:sz w:val="24"/>
                <w:szCs w:val="24"/>
                <w:u w:val="single"/>
              </w:rPr>
              <w:t xml:space="preserve">ārvērtēšanas rezerves </w:t>
            </w:r>
            <w:r w:rsidR="00747DBB">
              <w:rPr>
                <w:color w:val="auto"/>
                <w:sz w:val="24"/>
                <w:szCs w:val="24"/>
                <w:u w:val="single"/>
              </w:rPr>
              <w:t>veido</w:t>
            </w:r>
            <w:r w:rsidR="00F26964">
              <w:rPr>
                <w:color w:val="auto"/>
                <w:sz w:val="24"/>
                <w:szCs w:val="24"/>
                <w:u w:val="single"/>
              </w:rPr>
              <w:t>šana atbilstoši SGS</w:t>
            </w:r>
          </w:p>
          <w:p w14:paraId="49E891EC" w14:textId="75B1499F" w:rsidR="00D96109" w:rsidRDefault="00D96109" w:rsidP="00141690">
            <w:pPr>
              <w:pStyle w:val="tv2132"/>
              <w:spacing w:after="120" w:line="240" w:lineRule="auto"/>
              <w:ind w:firstLine="363"/>
              <w:jc w:val="both"/>
              <w:rPr>
                <w:color w:val="auto"/>
                <w:sz w:val="24"/>
                <w:szCs w:val="24"/>
              </w:rPr>
            </w:pPr>
            <w:r w:rsidRPr="00D96109">
              <w:rPr>
                <w:color w:val="auto"/>
                <w:sz w:val="24"/>
                <w:szCs w:val="24"/>
              </w:rPr>
              <w:t xml:space="preserve">Pašlaik </w:t>
            </w:r>
            <w:r w:rsidR="003224FC">
              <w:rPr>
                <w:color w:val="auto"/>
                <w:sz w:val="24"/>
                <w:szCs w:val="24"/>
              </w:rPr>
              <w:t>L</w:t>
            </w:r>
            <w:r>
              <w:rPr>
                <w:color w:val="auto"/>
                <w:sz w:val="24"/>
                <w:szCs w:val="24"/>
              </w:rPr>
              <w:t xml:space="preserve">ikuma </w:t>
            </w:r>
            <w:r w:rsidR="003630A5">
              <w:rPr>
                <w:color w:val="auto"/>
                <w:sz w:val="24"/>
                <w:szCs w:val="24"/>
              </w:rPr>
              <w:t>33.panta otrās</w:t>
            </w:r>
            <w:r w:rsidR="005E261A">
              <w:rPr>
                <w:color w:val="auto"/>
                <w:sz w:val="24"/>
                <w:szCs w:val="24"/>
              </w:rPr>
              <w:t xml:space="preserve"> daļas otrais teikums attiecībā uz ilgtermiņa ieguldījumu pārvērtēšanas rezerves veidošanu noteic:</w:t>
            </w:r>
            <w:r w:rsidR="00752A64">
              <w:rPr>
                <w:color w:val="auto"/>
                <w:sz w:val="24"/>
                <w:szCs w:val="24"/>
              </w:rPr>
              <w:t xml:space="preserve"> </w:t>
            </w:r>
            <w:r w:rsidR="005E261A">
              <w:rPr>
                <w:color w:val="auto"/>
                <w:sz w:val="24"/>
                <w:szCs w:val="24"/>
              </w:rPr>
              <w:t xml:space="preserve">”Tomēr </w:t>
            </w:r>
            <w:r w:rsidR="003630A5" w:rsidRPr="003630A5">
              <w:rPr>
                <w:color w:val="auto"/>
                <w:sz w:val="24"/>
                <w:szCs w:val="24"/>
              </w:rPr>
              <w:t xml:space="preserve">ilgtermiņa ieguldījumu pārvērtēšanas rezervē neiekļauj summu, kuras apmērā pārvērtēšanas rezultātā radies vērtības pieaugums pilnībā vai daļēji kompensē </w:t>
            </w:r>
            <w:r w:rsidR="003630A5" w:rsidRPr="00DA458F">
              <w:rPr>
                <w:color w:val="auto"/>
                <w:sz w:val="24"/>
                <w:szCs w:val="24"/>
              </w:rPr>
              <w:t xml:space="preserve">tā paša pamatlīdzekļu objekta </w:t>
            </w:r>
            <w:r w:rsidR="003630A5" w:rsidRPr="003630A5">
              <w:rPr>
                <w:color w:val="auto"/>
                <w:sz w:val="24"/>
                <w:szCs w:val="24"/>
                <w:u w:val="single"/>
              </w:rPr>
              <w:t>vērtības samazinājuma korekcijas</w:t>
            </w:r>
            <w:r w:rsidR="003630A5" w:rsidRPr="003630A5">
              <w:rPr>
                <w:color w:val="auto"/>
                <w:sz w:val="24"/>
                <w:szCs w:val="24"/>
              </w:rPr>
              <w:t>, kas iepriekšējos pārskata gados bija ietvertas peļņas vai zaudējumu aprēķinā kā izmaksas.</w:t>
            </w:r>
          </w:p>
          <w:p w14:paraId="0D87BB18" w14:textId="70A0A0AE" w:rsidR="00776CBE" w:rsidRDefault="00776CBE" w:rsidP="00141690">
            <w:pPr>
              <w:pStyle w:val="tv2132"/>
              <w:spacing w:after="120" w:line="240" w:lineRule="auto"/>
              <w:ind w:firstLine="363"/>
              <w:jc w:val="both"/>
              <w:rPr>
                <w:color w:val="auto"/>
                <w:sz w:val="24"/>
                <w:szCs w:val="24"/>
              </w:rPr>
            </w:pPr>
            <w:r w:rsidRPr="00776CBE">
              <w:rPr>
                <w:color w:val="auto"/>
                <w:sz w:val="24"/>
                <w:szCs w:val="24"/>
              </w:rPr>
              <w:t>Saskaņā ar šī Likuma 1.panta 22.punktā sniegto termina skaidrojumu: “vērtības samazinājuma korekcijas — korekcijas, kuras veic, lai norādītu aktīvu vērtības samazinājumu bilances datumā, neatkarīgi no tā, vai šis vērtības samazinājums ir vai nav galīgs. Ar vērtības samazinājuma korekcijām saprot arī pamatlīdzekļa ikgadējā nolietojuma aprēķināšanu un nemateriālo ieguldījumu ikgadējo vērtības norakstīšanu.”</w:t>
            </w:r>
          </w:p>
          <w:p w14:paraId="5D4126AD" w14:textId="3DB13B9B" w:rsidR="00790413" w:rsidRDefault="00790413" w:rsidP="00141690">
            <w:pPr>
              <w:pStyle w:val="tv2132"/>
              <w:spacing w:after="120" w:line="240" w:lineRule="auto"/>
              <w:ind w:firstLine="363"/>
              <w:jc w:val="both"/>
              <w:rPr>
                <w:color w:val="auto"/>
                <w:sz w:val="24"/>
                <w:szCs w:val="24"/>
              </w:rPr>
            </w:pPr>
            <w:r w:rsidRPr="00790413">
              <w:rPr>
                <w:color w:val="auto"/>
                <w:sz w:val="24"/>
                <w:szCs w:val="24"/>
              </w:rPr>
              <w:t>No minētās Likuma normas</w:t>
            </w:r>
            <w:r>
              <w:rPr>
                <w:color w:val="auto"/>
                <w:sz w:val="24"/>
                <w:szCs w:val="24"/>
              </w:rPr>
              <w:t xml:space="preserve"> va</w:t>
            </w:r>
            <w:r w:rsidR="00C33076">
              <w:rPr>
                <w:color w:val="auto"/>
                <w:sz w:val="24"/>
                <w:szCs w:val="24"/>
              </w:rPr>
              <w:t>r</w:t>
            </w:r>
            <w:r>
              <w:rPr>
                <w:color w:val="auto"/>
                <w:sz w:val="24"/>
                <w:szCs w:val="24"/>
              </w:rPr>
              <w:t xml:space="preserve"> saprast, ka pārvērtēšanas rezervē var neiekļaut arī tādu summu, kas kompensē aprēķināto pamatlīdzekļa ikgadējo nolietojumu.</w:t>
            </w:r>
          </w:p>
          <w:p w14:paraId="345E5873" w14:textId="720EFA9A" w:rsidR="003630A5" w:rsidRDefault="005C1816" w:rsidP="00141690">
            <w:pPr>
              <w:pStyle w:val="tv2132"/>
              <w:spacing w:after="120" w:line="240" w:lineRule="auto"/>
              <w:ind w:firstLine="363"/>
              <w:jc w:val="both"/>
              <w:rPr>
                <w:color w:val="auto"/>
                <w:sz w:val="24"/>
                <w:szCs w:val="24"/>
              </w:rPr>
            </w:pPr>
            <w:r>
              <w:rPr>
                <w:color w:val="auto"/>
                <w:sz w:val="24"/>
                <w:szCs w:val="24"/>
              </w:rPr>
              <w:lastRenderedPageBreak/>
              <w:t xml:space="preserve">Savukārt, </w:t>
            </w:r>
            <w:r w:rsidRPr="005C1816">
              <w:rPr>
                <w:color w:val="auto"/>
                <w:sz w:val="24"/>
                <w:szCs w:val="24"/>
              </w:rPr>
              <w:t xml:space="preserve">16. </w:t>
            </w:r>
            <w:r w:rsidR="004F0A5F">
              <w:rPr>
                <w:color w:val="auto"/>
                <w:sz w:val="24"/>
                <w:szCs w:val="24"/>
              </w:rPr>
              <w:t>SGS</w:t>
            </w:r>
            <w:r w:rsidRPr="005C1816">
              <w:rPr>
                <w:color w:val="auto"/>
                <w:sz w:val="24"/>
                <w:szCs w:val="24"/>
              </w:rPr>
              <w:t xml:space="preserve"> “Pamatlīdzekļi” (turpmāk – 16.</w:t>
            </w:r>
            <w:r w:rsidR="0006332C">
              <w:rPr>
                <w:color w:val="auto"/>
                <w:sz w:val="24"/>
                <w:szCs w:val="24"/>
              </w:rPr>
              <w:t xml:space="preserve"> </w:t>
            </w:r>
            <w:r w:rsidRPr="005C1816">
              <w:rPr>
                <w:color w:val="auto"/>
                <w:sz w:val="24"/>
                <w:szCs w:val="24"/>
              </w:rPr>
              <w:t>SGS) attiecībā uz pārvērtēšanas modeli paredz</w:t>
            </w:r>
            <w:r w:rsidR="0094459C">
              <w:rPr>
                <w:color w:val="auto"/>
                <w:sz w:val="24"/>
                <w:szCs w:val="24"/>
              </w:rPr>
              <w:t xml:space="preserve"> </w:t>
            </w:r>
            <w:r w:rsidR="004F0A5F">
              <w:rPr>
                <w:color w:val="auto"/>
                <w:sz w:val="24"/>
                <w:szCs w:val="24"/>
              </w:rPr>
              <w:t>(39.punkts</w:t>
            </w:r>
            <w:r w:rsidR="0094459C">
              <w:rPr>
                <w:color w:val="auto"/>
                <w:sz w:val="24"/>
                <w:szCs w:val="24"/>
              </w:rPr>
              <w:t>)</w:t>
            </w:r>
            <w:r w:rsidRPr="005C1816">
              <w:rPr>
                <w:color w:val="auto"/>
                <w:sz w:val="24"/>
                <w:szCs w:val="24"/>
              </w:rPr>
              <w:t>:</w:t>
            </w:r>
          </w:p>
          <w:p w14:paraId="0979AF18" w14:textId="6B8CAFF1" w:rsidR="005C1816" w:rsidRDefault="005C1816" w:rsidP="00141690">
            <w:pPr>
              <w:pStyle w:val="tv2132"/>
              <w:spacing w:after="120" w:line="240" w:lineRule="auto"/>
              <w:ind w:firstLine="363"/>
              <w:jc w:val="both"/>
              <w:rPr>
                <w:color w:val="auto"/>
                <w:sz w:val="24"/>
                <w:szCs w:val="24"/>
              </w:rPr>
            </w:pPr>
            <w:r>
              <w:rPr>
                <w:color w:val="auto"/>
                <w:sz w:val="24"/>
                <w:szCs w:val="24"/>
              </w:rPr>
              <w:t>“</w:t>
            </w:r>
            <w:r w:rsidRPr="005C1816">
              <w:rPr>
                <w:color w:val="auto"/>
                <w:sz w:val="24"/>
                <w:szCs w:val="24"/>
              </w:rPr>
              <w:t xml:space="preserve">39. Ja aktīva uzskaites vērtību pārvērtēšanas rezultātā palielina, šo palielinājumu jāatzīst citos peļņas vai zaudējumu aprēķinā neatspoguļotajos ienākumos un jāuzkrāj pašu kapitāla postenī “pārvērtēšanas rezerve”. </w:t>
            </w:r>
            <w:r w:rsidRPr="0094459C">
              <w:rPr>
                <w:color w:val="auto"/>
                <w:sz w:val="24"/>
                <w:szCs w:val="24"/>
              </w:rPr>
              <w:t xml:space="preserve">Tomēr palielinājums ir jāatzīst peļņā vai zaudējumos tādā apmērā, par kādu tas apvērš </w:t>
            </w:r>
            <w:r w:rsidRPr="0094459C">
              <w:rPr>
                <w:color w:val="auto"/>
                <w:sz w:val="24"/>
                <w:szCs w:val="24"/>
                <w:u w:val="single"/>
              </w:rPr>
              <w:t>tā paša aktīva pārvērtēšanas samazinājumu, kas iepriekš atzīts peļņā vai zaudējumos</w:t>
            </w:r>
            <w:r w:rsidRPr="005C1816">
              <w:rPr>
                <w:color w:val="auto"/>
                <w:sz w:val="24"/>
                <w:szCs w:val="24"/>
              </w:rPr>
              <w:t>.</w:t>
            </w:r>
            <w:r w:rsidR="00C156F8">
              <w:rPr>
                <w:color w:val="auto"/>
                <w:sz w:val="24"/>
                <w:szCs w:val="24"/>
              </w:rPr>
              <w:t>”</w:t>
            </w:r>
          </w:p>
          <w:p w14:paraId="4591396B" w14:textId="63B29BEE" w:rsidR="00776CBE" w:rsidRDefault="00017E16" w:rsidP="00141690">
            <w:pPr>
              <w:pStyle w:val="tv2132"/>
              <w:spacing w:after="120" w:line="240" w:lineRule="auto"/>
              <w:ind w:firstLine="363"/>
              <w:jc w:val="both"/>
              <w:rPr>
                <w:color w:val="auto"/>
                <w:sz w:val="24"/>
                <w:szCs w:val="24"/>
              </w:rPr>
            </w:pPr>
            <w:r>
              <w:rPr>
                <w:color w:val="auto"/>
                <w:sz w:val="24"/>
                <w:szCs w:val="24"/>
              </w:rPr>
              <w:t>Tas nozīmē, ka</w:t>
            </w:r>
            <w:r w:rsidR="0094459C">
              <w:rPr>
                <w:color w:val="auto"/>
                <w:sz w:val="24"/>
                <w:szCs w:val="24"/>
              </w:rPr>
              <w:t xml:space="preserve"> minētajā Likuma normā ietvert</w:t>
            </w:r>
            <w:r w:rsidR="00790413">
              <w:rPr>
                <w:color w:val="auto"/>
                <w:sz w:val="24"/>
                <w:szCs w:val="24"/>
              </w:rPr>
              <w:t>ai</w:t>
            </w:r>
            <w:r w:rsidR="0094459C">
              <w:rPr>
                <w:color w:val="auto"/>
                <w:sz w:val="24"/>
                <w:szCs w:val="24"/>
              </w:rPr>
              <w:t xml:space="preserve">s </w:t>
            </w:r>
            <w:r>
              <w:rPr>
                <w:color w:val="auto"/>
                <w:sz w:val="24"/>
                <w:szCs w:val="24"/>
              </w:rPr>
              <w:t xml:space="preserve">noteikums atšķiras </w:t>
            </w:r>
            <w:r w:rsidR="0094459C">
              <w:rPr>
                <w:color w:val="auto"/>
                <w:sz w:val="24"/>
                <w:szCs w:val="24"/>
              </w:rPr>
              <w:t xml:space="preserve">no </w:t>
            </w:r>
            <w:r w:rsidR="0094459C" w:rsidRPr="0094459C">
              <w:rPr>
                <w:color w:val="auto"/>
                <w:sz w:val="24"/>
                <w:szCs w:val="24"/>
              </w:rPr>
              <w:t>16.</w:t>
            </w:r>
            <w:r w:rsidR="0006332C">
              <w:rPr>
                <w:color w:val="auto"/>
                <w:sz w:val="24"/>
                <w:szCs w:val="24"/>
              </w:rPr>
              <w:t xml:space="preserve"> </w:t>
            </w:r>
            <w:r w:rsidR="0094459C" w:rsidRPr="0094459C">
              <w:rPr>
                <w:color w:val="auto"/>
                <w:sz w:val="24"/>
                <w:szCs w:val="24"/>
              </w:rPr>
              <w:t>SGS</w:t>
            </w:r>
            <w:r>
              <w:rPr>
                <w:color w:val="auto"/>
                <w:sz w:val="24"/>
                <w:szCs w:val="24"/>
              </w:rPr>
              <w:t xml:space="preserve"> ietvertā norādījuma</w:t>
            </w:r>
            <w:r w:rsidR="0082432D">
              <w:rPr>
                <w:color w:val="auto"/>
                <w:sz w:val="24"/>
                <w:szCs w:val="24"/>
              </w:rPr>
              <w:t xml:space="preserve">, </w:t>
            </w:r>
            <w:r w:rsidR="00C156F8">
              <w:rPr>
                <w:color w:val="auto"/>
                <w:sz w:val="24"/>
                <w:szCs w:val="24"/>
              </w:rPr>
              <w:t xml:space="preserve">un tādēļ </w:t>
            </w:r>
            <w:r w:rsidR="0082432D">
              <w:rPr>
                <w:color w:val="auto"/>
                <w:sz w:val="24"/>
                <w:szCs w:val="24"/>
              </w:rPr>
              <w:t>ir jāprecizē</w:t>
            </w:r>
            <w:r w:rsidR="0094459C" w:rsidRPr="0094459C">
              <w:rPr>
                <w:color w:val="auto"/>
                <w:sz w:val="24"/>
                <w:szCs w:val="24"/>
              </w:rPr>
              <w:t>.</w:t>
            </w:r>
          </w:p>
          <w:p w14:paraId="6DB9C676" w14:textId="3EB0ECD7" w:rsidR="005D5421" w:rsidRDefault="00776CBE" w:rsidP="00141690">
            <w:pPr>
              <w:pStyle w:val="tv2132"/>
              <w:spacing w:after="120" w:line="240" w:lineRule="auto"/>
              <w:ind w:firstLine="363"/>
              <w:jc w:val="both"/>
              <w:rPr>
                <w:color w:val="auto"/>
                <w:sz w:val="24"/>
                <w:szCs w:val="24"/>
              </w:rPr>
            </w:pPr>
            <w:r>
              <w:rPr>
                <w:color w:val="auto"/>
                <w:sz w:val="24"/>
                <w:szCs w:val="24"/>
              </w:rPr>
              <w:t xml:space="preserve">Jāatzīmē, ka </w:t>
            </w:r>
            <w:r w:rsidR="00C87FC0">
              <w:rPr>
                <w:color w:val="auto"/>
                <w:sz w:val="24"/>
                <w:szCs w:val="24"/>
              </w:rPr>
              <w:t>noteik</w:t>
            </w:r>
            <w:r w:rsidRPr="00776CBE">
              <w:rPr>
                <w:color w:val="auto"/>
                <w:sz w:val="24"/>
                <w:szCs w:val="24"/>
              </w:rPr>
              <w:t xml:space="preserve">ums, kas iekļauts Likuma 33.panta otrās daļas 2.teikumā, </w:t>
            </w:r>
            <w:r w:rsidR="00C937F3" w:rsidRPr="00776CBE">
              <w:rPr>
                <w:color w:val="auto"/>
                <w:sz w:val="24"/>
                <w:szCs w:val="24"/>
              </w:rPr>
              <w:t xml:space="preserve">pieņemts papildus </w:t>
            </w:r>
            <w:r w:rsidR="0006332C" w:rsidRPr="0006332C">
              <w:rPr>
                <w:color w:val="auto"/>
                <w:sz w:val="24"/>
                <w:szCs w:val="24"/>
              </w:rPr>
              <w:t xml:space="preserve">Eiropas Parlamenta un Padomes </w:t>
            </w:r>
            <w:r w:rsidR="0006332C">
              <w:rPr>
                <w:color w:val="auto"/>
                <w:sz w:val="24"/>
                <w:szCs w:val="24"/>
              </w:rPr>
              <w:t>2013. gada 26. jūnija</w:t>
            </w:r>
            <w:r w:rsidR="0006332C" w:rsidRPr="0006332C">
              <w:rPr>
                <w:color w:val="auto"/>
                <w:sz w:val="24"/>
                <w:szCs w:val="24"/>
              </w:rPr>
              <w:t xml:space="preserve"> </w:t>
            </w:r>
            <w:r w:rsidR="0006332C">
              <w:rPr>
                <w:color w:val="auto"/>
                <w:sz w:val="24"/>
                <w:szCs w:val="24"/>
              </w:rPr>
              <w:t>Direktīvā</w:t>
            </w:r>
            <w:r w:rsidR="0006332C" w:rsidRPr="0006332C">
              <w:rPr>
                <w:color w:val="auto"/>
                <w:sz w:val="24"/>
                <w:szCs w:val="24"/>
              </w:rPr>
              <w:t xml:space="preserve"> 2013/34/ES par noteiktu veidu uzņēmumu gada finanšu pārskatiem, konsolidētajiem finanšu pārskatiem un saistītiem ziņojumiem, ar ko groza Eiropas Parlamenta un Padomes Direktīvu 2006/43/EK un atceļ Padomes Direktīvas 78/660/EEK un 83/349/EEK </w:t>
            </w:r>
            <w:r w:rsidR="0006332C">
              <w:rPr>
                <w:color w:val="auto"/>
                <w:sz w:val="24"/>
                <w:szCs w:val="24"/>
              </w:rPr>
              <w:t>(turpmāk - Grāmatvedības direktīva)</w:t>
            </w:r>
            <w:r w:rsidR="00C937F3" w:rsidRPr="00776CBE">
              <w:rPr>
                <w:color w:val="auto"/>
                <w:sz w:val="24"/>
                <w:szCs w:val="24"/>
              </w:rPr>
              <w:t xml:space="preserve"> 2013/34/ES paredzētajam (direktīvā nav šādas prasības</w:t>
            </w:r>
            <w:r w:rsidR="00C937F3">
              <w:rPr>
                <w:color w:val="auto"/>
                <w:sz w:val="24"/>
                <w:szCs w:val="24"/>
              </w:rPr>
              <w:t>)</w:t>
            </w:r>
            <w:r w:rsidR="0061471B">
              <w:rPr>
                <w:color w:val="auto"/>
                <w:sz w:val="24"/>
                <w:szCs w:val="24"/>
              </w:rPr>
              <w:t xml:space="preserve">. Šis </w:t>
            </w:r>
            <w:r w:rsidR="00C87FC0">
              <w:rPr>
                <w:color w:val="auto"/>
                <w:sz w:val="24"/>
                <w:szCs w:val="24"/>
              </w:rPr>
              <w:t>noteik</w:t>
            </w:r>
            <w:r w:rsidR="0061471B">
              <w:rPr>
                <w:color w:val="auto"/>
                <w:sz w:val="24"/>
                <w:szCs w:val="24"/>
              </w:rPr>
              <w:t>ums</w:t>
            </w:r>
            <w:r w:rsidR="005D5421">
              <w:rPr>
                <w:color w:val="auto"/>
                <w:sz w:val="24"/>
                <w:szCs w:val="24"/>
              </w:rPr>
              <w:t xml:space="preserve"> pārņemts no </w:t>
            </w:r>
            <w:r w:rsidR="00C937F3">
              <w:rPr>
                <w:color w:val="auto"/>
                <w:sz w:val="24"/>
                <w:szCs w:val="24"/>
              </w:rPr>
              <w:t>s</w:t>
            </w:r>
            <w:r w:rsidR="00C937F3" w:rsidRPr="00C937F3">
              <w:rPr>
                <w:color w:val="auto"/>
                <w:sz w:val="24"/>
                <w:szCs w:val="24"/>
              </w:rPr>
              <w:t>pēku zaudējušā Gada pārskatu likuma</w:t>
            </w:r>
            <w:r w:rsidR="005E261A">
              <w:rPr>
                <w:color w:val="auto"/>
                <w:sz w:val="24"/>
                <w:szCs w:val="24"/>
              </w:rPr>
              <w:t xml:space="preserve"> </w:t>
            </w:r>
            <w:r w:rsidR="005E261A" w:rsidRPr="00C937F3">
              <w:rPr>
                <w:color w:val="auto"/>
                <w:sz w:val="24"/>
                <w:szCs w:val="24"/>
              </w:rPr>
              <w:t>29.panta</w:t>
            </w:r>
            <w:r w:rsidR="0061471B">
              <w:rPr>
                <w:color w:val="auto"/>
                <w:sz w:val="24"/>
                <w:szCs w:val="24"/>
              </w:rPr>
              <w:t>, kura</w:t>
            </w:r>
            <w:r w:rsidR="005E261A" w:rsidRPr="00C937F3">
              <w:rPr>
                <w:color w:val="auto"/>
                <w:sz w:val="24"/>
                <w:szCs w:val="24"/>
              </w:rPr>
              <w:t xml:space="preserve"> otrais teikums</w:t>
            </w:r>
            <w:r w:rsidR="005E261A">
              <w:rPr>
                <w:color w:val="auto"/>
                <w:sz w:val="24"/>
                <w:szCs w:val="24"/>
              </w:rPr>
              <w:t xml:space="preserve"> </w:t>
            </w:r>
            <w:r w:rsidR="0061471B">
              <w:rPr>
                <w:color w:val="auto"/>
                <w:sz w:val="24"/>
                <w:szCs w:val="24"/>
              </w:rPr>
              <w:t>paredzēja</w:t>
            </w:r>
            <w:r w:rsidR="005E261A" w:rsidRPr="00C937F3">
              <w:rPr>
                <w:color w:val="auto"/>
                <w:sz w:val="24"/>
                <w:szCs w:val="24"/>
              </w:rPr>
              <w:t xml:space="preserve">: “Ja pārvērtēšanas rezultātā radies vērtības pieaugums pilnībā vai daļēji kompensē tā paša ilgtermiņa ieguldījumu objekta </w:t>
            </w:r>
            <w:r w:rsidR="005E261A" w:rsidRPr="00C937F3">
              <w:rPr>
                <w:color w:val="auto"/>
                <w:sz w:val="24"/>
                <w:szCs w:val="24"/>
                <w:u w:val="single"/>
              </w:rPr>
              <w:t>vērtības samazinājumu</w:t>
            </w:r>
            <w:r w:rsidR="005E261A" w:rsidRPr="00C937F3">
              <w:rPr>
                <w:color w:val="auto"/>
                <w:sz w:val="24"/>
                <w:szCs w:val="24"/>
              </w:rPr>
              <w:t>, kas iepriekšējos pārskata gados bija ietverts peļņas vai zaudējumu aprēķinā kā izmaksas, šādu vērtības pieaugumu summā, kas nepārsniedz minētās izmaksas, ietver peļņas vai zaudējumu aprēķinā kā ieņēmumus tajā pārskata gadā, kad tas konstatēts.</w:t>
            </w:r>
            <w:r w:rsidR="0061471B">
              <w:rPr>
                <w:color w:val="auto"/>
                <w:sz w:val="24"/>
                <w:szCs w:val="24"/>
              </w:rPr>
              <w:t xml:space="preserve">” </w:t>
            </w:r>
            <w:r w:rsidR="00C87FC0">
              <w:rPr>
                <w:color w:val="auto"/>
                <w:sz w:val="24"/>
                <w:szCs w:val="24"/>
              </w:rPr>
              <w:t>Minētās normas</w:t>
            </w:r>
            <w:r w:rsidR="0061471B">
              <w:rPr>
                <w:color w:val="auto"/>
                <w:sz w:val="24"/>
                <w:szCs w:val="24"/>
              </w:rPr>
              <w:t xml:space="preserve"> pārņemšanas laikā</w:t>
            </w:r>
            <w:r w:rsidR="00C937F3">
              <w:rPr>
                <w:color w:val="auto"/>
                <w:sz w:val="24"/>
                <w:szCs w:val="24"/>
              </w:rPr>
              <w:t xml:space="preserve"> vārd</w:t>
            </w:r>
            <w:r w:rsidR="0061471B">
              <w:rPr>
                <w:color w:val="auto"/>
                <w:sz w:val="24"/>
                <w:szCs w:val="24"/>
              </w:rPr>
              <w:t>i</w:t>
            </w:r>
            <w:r w:rsidR="00C937F3">
              <w:rPr>
                <w:color w:val="auto"/>
                <w:sz w:val="24"/>
                <w:szCs w:val="24"/>
              </w:rPr>
              <w:t xml:space="preserve"> “vērtības samazinājums” </w:t>
            </w:r>
            <w:r w:rsidR="0061471B">
              <w:rPr>
                <w:color w:val="auto"/>
                <w:sz w:val="24"/>
                <w:szCs w:val="24"/>
              </w:rPr>
              <w:t xml:space="preserve">bija aizstāti </w:t>
            </w:r>
            <w:r w:rsidR="00C937F3">
              <w:rPr>
                <w:color w:val="auto"/>
                <w:sz w:val="24"/>
                <w:szCs w:val="24"/>
              </w:rPr>
              <w:t>ar vārdiem “vērtības samazinājuma korekcijas”. Līdz ar to secināms, ka</w:t>
            </w:r>
            <w:r w:rsidR="00C87FC0">
              <w:rPr>
                <w:color w:val="auto"/>
                <w:sz w:val="24"/>
                <w:szCs w:val="24"/>
              </w:rPr>
              <w:t>,</w:t>
            </w:r>
            <w:r w:rsidR="00C937F3">
              <w:rPr>
                <w:color w:val="auto"/>
                <w:sz w:val="24"/>
                <w:szCs w:val="24"/>
              </w:rPr>
              <w:t xml:space="preserve"> pēc būtības, </w:t>
            </w:r>
            <w:r w:rsidR="00531F42">
              <w:rPr>
                <w:color w:val="auto"/>
                <w:sz w:val="24"/>
                <w:szCs w:val="24"/>
              </w:rPr>
              <w:t xml:space="preserve">bija </w:t>
            </w:r>
            <w:r w:rsidR="00C937F3">
              <w:rPr>
                <w:color w:val="auto"/>
                <w:sz w:val="24"/>
                <w:szCs w:val="24"/>
              </w:rPr>
              <w:t>radusies redakcionāla rakstura kļūda</w:t>
            </w:r>
            <w:r w:rsidR="0061471B">
              <w:rPr>
                <w:color w:val="auto"/>
                <w:sz w:val="24"/>
                <w:szCs w:val="24"/>
              </w:rPr>
              <w:t>, kuru nepieciešams</w:t>
            </w:r>
            <w:r w:rsidR="00C87FC0">
              <w:rPr>
                <w:color w:val="auto"/>
                <w:sz w:val="24"/>
                <w:szCs w:val="24"/>
              </w:rPr>
              <w:t xml:space="preserve"> </w:t>
            </w:r>
            <w:r w:rsidR="0061471B">
              <w:rPr>
                <w:color w:val="auto"/>
                <w:sz w:val="24"/>
                <w:szCs w:val="24"/>
              </w:rPr>
              <w:t>labot.</w:t>
            </w:r>
            <w:r w:rsidR="00C937F3" w:rsidRPr="00C937F3">
              <w:rPr>
                <w:color w:val="auto"/>
                <w:sz w:val="24"/>
                <w:szCs w:val="24"/>
              </w:rPr>
              <w:t xml:space="preserve"> </w:t>
            </w:r>
          </w:p>
          <w:p w14:paraId="07007B0B" w14:textId="163E5F04" w:rsidR="003630A5" w:rsidRPr="00B22E21" w:rsidRDefault="00B22E21" w:rsidP="00141690">
            <w:pPr>
              <w:pStyle w:val="tv2132"/>
              <w:spacing w:after="120" w:line="240" w:lineRule="auto"/>
              <w:ind w:firstLine="363"/>
              <w:jc w:val="both"/>
              <w:rPr>
                <w:color w:val="auto"/>
                <w:sz w:val="24"/>
                <w:szCs w:val="24"/>
                <w:u w:val="single"/>
              </w:rPr>
            </w:pPr>
            <w:r w:rsidRPr="00B22E21">
              <w:rPr>
                <w:color w:val="auto"/>
                <w:sz w:val="24"/>
                <w:szCs w:val="24"/>
                <w:u w:val="single"/>
              </w:rPr>
              <w:t>Informācija par pētniecības un attīstības izmaksām</w:t>
            </w:r>
          </w:p>
          <w:p w14:paraId="686AB501" w14:textId="58A081F0" w:rsidR="00887FD6" w:rsidRDefault="007E5E48" w:rsidP="00141690">
            <w:pPr>
              <w:pStyle w:val="tv2132"/>
              <w:spacing w:after="120" w:line="240" w:lineRule="auto"/>
              <w:ind w:firstLine="363"/>
              <w:jc w:val="both"/>
              <w:rPr>
                <w:color w:val="auto"/>
                <w:sz w:val="24"/>
                <w:szCs w:val="24"/>
              </w:rPr>
            </w:pPr>
            <w:r>
              <w:rPr>
                <w:color w:val="auto"/>
                <w:sz w:val="24"/>
                <w:szCs w:val="24"/>
              </w:rPr>
              <w:t>S</w:t>
            </w:r>
            <w:r w:rsidR="00A900AF">
              <w:rPr>
                <w:color w:val="auto"/>
                <w:sz w:val="24"/>
                <w:szCs w:val="24"/>
              </w:rPr>
              <w:t>askaņā ar Likuma 1.panta pirmās daļas 2. un 19.punktā</w:t>
            </w:r>
            <w:r>
              <w:rPr>
                <w:color w:val="auto"/>
                <w:sz w:val="24"/>
                <w:szCs w:val="24"/>
              </w:rPr>
              <w:t xml:space="preserve"> sniegtajiem likumā lietoto terminu skaidrojumiem: </w:t>
            </w:r>
          </w:p>
          <w:p w14:paraId="12DD549F" w14:textId="77777777" w:rsidR="00887FD6" w:rsidRDefault="00887FD6" w:rsidP="00887FD6">
            <w:pPr>
              <w:pStyle w:val="tv2132"/>
              <w:spacing w:after="120" w:line="240" w:lineRule="auto"/>
              <w:ind w:firstLine="0"/>
              <w:jc w:val="both"/>
              <w:rPr>
                <w:color w:val="auto"/>
                <w:sz w:val="24"/>
                <w:szCs w:val="24"/>
              </w:rPr>
            </w:pPr>
            <w:r>
              <w:rPr>
                <w:color w:val="auto"/>
                <w:sz w:val="24"/>
                <w:szCs w:val="24"/>
              </w:rPr>
              <w:t xml:space="preserve">     </w:t>
            </w:r>
            <w:r w:rsidR="007E5E48">
              <w:rPr>
                <w:color w:val="auto"/>
                <w:sz w:val="24"/>
                <w:szCs w:val="24"/>
              </w:rPr>
              <w:t>“</w:t>
            </w:r>
            <w:r w:rsidR="007E5E48" w:rsidRPr="007E5E48">
              <w:rPr>
                <w:color w:val="auto"/>
                <w:sz w:val="24"/>
                <w:szCs w:val="24"/>
              </w:rPr>
              <w:t xml:space="preserve">2) </w:t>
            </w:r>
            <w:r w:rsidR="007E5E48" w:rsidRPr="007E5E48">
              <w:rPr>
                <w:color w:val="auto"/>
                <w:sz w:val="24"/>
                <w:szCs w:val="24"/>
                <w:u w:val="single"/>
              </w:rPr>
              <w:t>attīstības izmaksas</w:t>
            </w:r>
            <w:r w:rsidR="007E5E48" w:rsidRPr="007E5E48">
              <w:rPr>
                <w:color w:val="auto"/>
                <w:sz w:val="24"/>
                <w:szCs w:val="24"/>
              </w:rPr>
              <w:t xml:space="preserve"> — izmaksas, kuras tieši attiecināmas uz attīstības pasākumiem vai kuras var pamatoti saistīt ar šiem pasākumiem; </w:t>
            </w:r>
          </w:p>
          <w:p w14:paraId="1AD3495A" w14:textId="43193FC3" w:rsidR="0025290B" w:rsidRDefault="00887FD6" w:rsidP="00F307CD">
            <w:pPr>
              <w:pStyle w:val="tv2132"/>
              <w:spacing w:after="120" w:line="240" w:lineRule="auto"/>
              <w:ind w:firstLine="0"/>
              <w:jc w:val="both"/>
              <w:rPr>
                <w:color w:val="auto"/>
                <w:sz w:val="24"/>
                <w:szCs w:val="24"/>
              </w:rPr>
            </w:pPr>
            <w:r>
              <w:rPr>
                <w:color w:val="auto"/>
                <w:sz w:val="24"/>
                <w:szCs w:val="24"/>
              </w:rPr>
              <w:t xml:space="preserve">     </w:t>
            </w:r>
            <w:r w:rsidR="007E5E48" w:rsidRPr="007E5E48">
              <w:rPr>
                <w:color w:val="auto"/>
                <w:sz w:val="24"/>
                <w:szCs w:val="24"/>
              </w:rPr>
              <w:t xml:space="preserve">19) </w:t>
            </w:r>
            <w:r w:rsidR="007E5E48" w:rsidRPr="007E5E48">
              <w:rPr>
                <w:color w:val="auto"/>
                <w:sz w:val="24"/>
                <w:szCs w:val="24"/>
                <w:u w:val="single"/>
              </w:rPr>
              <w:t>pētniecības izmaksas</w:t>
            </w:r>
            <w:r w:rsidR="007E5E48" w:rsidRPr="007E5E48">
              <w:rPr>
                <w:color w:val="auto"/>
                <w:sz w:val="24"/>
                <w:szCs w:val="24"/>
              </w:rPr>
              <w:t xml:space="preserve"> — izmaksas, kuras ir tieši attiecināmas uz pētniecības pasākumiem, kā arī tādas izmaksas, kuras radušās konkrēta nemateriālo ieguldījumu objekta veidošanas projekta attīstības posmā, ja sabiedrība nevar nošķirt šā projekta pētniecīb</w:t>
            </w:r>
            <w:r w:rsidR="007E5E48">
              <w:rPr>
                <w:color w:val="auto"/>
                <w:sz w:val="24"/>
                <w:szCs w:val="24"/>
              </w:rPr>
              <w:t>as posmu no tā attīstības posma.”</w:t>
            </w:r>
          </w:p>
          <w:p w14:paraId="64AE99FB" w14:textId="77777777" w:rsidR="00B92EE4" w:rsidRDefault="0075725C" w:rsidP="00141690">
            <w:pPr>
              <w:pStyle w:val="tv2132"/>
              <w:spacing w:after="120" w:line="240" w:lineRule="auto"/>
              <w:ind w:firstLine="363"/>
              <w:jc w:val="both"/>
              <w:rPr>
                <w:color w:val="auto"/>
                <w:sz w:val="24"/>
                <w:szCs w:val="24"/>
              </w:rPr>
            </w:pPr>
            <w:r>
              <w:rPr>
                <w:color w:val="auto"/>
                <w:sz w:val="24"/>
                <w:szCs w:val="24"/>
              </w:rPr>
              <w:t>Likuma 30.pants noteic, ka a</w:t>
            </w:r>
            <w:r w:rsidRPr="0075725C">
              <w:rPr>
                <w:color w:val="auto"/>
                <w:sz w:val="24"/>
                <w:szCs w:val="24"/>
              </w:rPr>
              <w:t xml:space="preserve">ttīstības izmaksas var iekļaut bilancē (kapitalizēt) </w:t>
            </w:r>
            <w:r w:rsidR="005A67A4">
              <w:rPr>
                <w:color w:val="auto"/>
                <w:sz w:val="24"/>
                <w:szCs w:val="24"/>
              </w:rPr>
              <w:t>(bilances aktīvā ilgtermiņa ieguldījumu postenī “1. Attīstības izmaksas”)</w:t>
            </w:r>
            <w:r w:rsidR="005A67A4" w:rsidRPr="005A67A4">
              <w:rPr>
                <w:color w:val="auto"/>
                <w:sz w:val="24"/>
                <w:szCs w:val="24"/>
              </w:rPr>
              <w:t xml:space="preserve"> </w:t>
            </w:r>
            <w:r w:rsidRPr="0075725C">
              <w:rPr>
                <w:color w:val="auto"/>
                <w:sz w:val="24"/>
                <w:szCs w:val="24"/>
              </w:rPr>
              <w:t>ar nosacījumu, ka tikmēr, kamēr attīstības izmaksu objekta sākotnējā vērtība nav pilnībā norakstīta, peļņas sadale nenotiek, ja vien sadalei pieejamo rezervju un iepriekšējo gadu nesadalītās peļņas summa nav vismaz vienāda ar attīstības izmaksu sākotnējās vērtības nenorakstīto summu.</w:t>
            </w:r>
            <w:r w:rsidR="00B92EE4">
              <w:rPr>
                <w:color w:val="auto"/>
                <w:sz w:val="24"/>
                <w:szCs w:val="24"/>
              </w:rPr>
              <w:t xml:space="preserve"> </w:t>
            </w:r>
          </w:p>
          <w:p w14:paraId="69D3A178" w14:textId="343132F1" w:rsidR="00275211" w:rsidRDefault="00024EFC" w:rsidP="00141690">
            <w:pPr>
              <w:pStyle w:val="tv2132"/>
              <w:spacing w:after="120" w:line="240" w:lineRule="auto"/>
              <w:ind w:firstLine="363"/>
              <w:jc w:val="both"/>
              <w:rPr>
                <w:color w:val="auto"/>
                <w:sz w:val="24"/>
                <w:szCs w:val="24"/>
              </w:rPr>
            </w:pPr>
            <w:r>
              <w:rPr>
                <w:color w:val="auto"/>
                <w:sz w:val="24"/>
                <w:szCs w:val="24"/>
              </w:rPr>
              <w:lastRenderedPageBreak/>
              <w:t>Saskaņā ar Likuma 55.panta trešās daļas 2.punktu Vadības ziņojumā sniedz ziņas arī par</w:t>
            </w:r>
            <w:r w:rsidRPr="00024EFC">
              <w:rPr>
                <w:color w:val="auto"/>
                <w:sz w:val="24"/>
                <w:szCs w:val="24"/>
              </w:rPr>
              <w:t xml:space="preserve"> pasākumiem</w:t>
            </w:r>
            <w:r>
              <w:rPr>
                <w:color w:val="auto"/>
                <w:sz w:val="24"/>
                <w:szCs w:val="24"/>
              </w:rPr>
              <w:t xml:space="preserve"> pētniecības un attīstības jomā.</w:t>
            </w:r>
          </w:p>
          <w:p w14:paraId="2B86EB6D" w14:textId="20B46DEE" w:rsidR="00024EFC" w:rsidRPr="009303CD" w:rsidRDefault="00275211" w:rsidP="00141690">
            <w:pPr>
              <w:pStyle w:val="tv2132"/>
              <w:spacing w:after="120" w:line="240" w:lineRule="auto"/>
              <w:ind w:firstLine="363"/>
              <w:jc w:val="both"/>
              <w:rPr>
                <w:color w:val="auto"/>
                <w:sz w:val="24"/>
                <w:szCs w:val="24"/>
              </w:rPr>
            </w:pPr>
            <w:r w:rsidRPr="00275211">
              <w:rPr>
                <w:color w:val="auto"/>
                <w:sz w:val="24"/>
                <w:szCs w:val="24"/>
              </w:rPr>
              <w:t xml:space="preserve">Taču, lai </w:t>
            </w:r>
            <w:r w:rsidRPr="009303CD">
              <w:rPr>
                <w:color w:val="auto"/>
                <w:sz w:val="24"/>
                <w:szCs w:val="24"/>
              </w:rPr>
              <w:t xml:space="preserve">uzlabotu pētniecības un attīstības statistikas datu iegūšanu, tai skaitā izmantojot Valsts ieņēmumu dienesta Elektroniskās deklarēšanas sistēmas resursus nepieciešams papildināt ar obligātu pienākumu </w:t>
            </w:r>
            <w:r w:rsidR="004B717F" w:rsidRPr="009303CD">
              <w:rPr>
                <w:color w:val="auto"/>
                <w:sz w:val="24"/>
                <w:szCs w:val="24"/>
              </w:rPr>
              <w:t>uzņēmumiem (</w:t>
            </w:r>
            <w:r w:rsidRPr="009303CD">
              <w:rPr>
                <w:color w:val="auto"/>
                <w:sz w:val="24"/>
                <w:szCs w:val="24"/>
              </w:rPr>
              <w:t>lielajām un vidējām sabiedrībām</w:t>
            </w:r>
            <w:r w:rsidR="004B717F" w:rsidRPr="009303CD">
              <w:rPr>
                <w:color w:val="auto"/>
                <w:sz w:val="24"/>
                <w:szCs w:val="24"/>
              </w:rPr>
              <w:t>)</w:t>
            </w:r>
            <w:r w:rsidRPr="009303CD">
              <w:rPr>
                <w:color w:val="auto"/>
                <w:sz w:val="24"/>
                <w:szCs w:val="24"/>
              </w:rPr>
              <w:t xml:space="preserve"> sniegt </w:t>
            </w:r>
            <w:r w:rsidR="00F11B55" w:rsidRPr="009303CD">
              <w:rPr>
                <w:color w:val="auto"/>
                <w:sz w:val="24"/>
                <w:szCs w:val="24"/>
              </w:rPr>
              <w:t xml:space="preserve">finanšu pārskatu sastāvdaļā - pielikumā, </w:t>
            </w:r>
            <w:r w:rsidRPr="009303CD">
              <w:rPr>
                <w:color w:val="auto"/>
                <w:sz w:val="24"/>
                <w:szCs w:val="24"/>
              </w:rPr>
              <w:t>detalizētu informāciju par pētniecības un attīstības izmaksām.</w:t>
            </w:r>
            <w:r w:rsidR="004B717F" w:rsidRPr="009303CD">
              <w:rPr>
                <w:color w:val="auto"/>
                <w:sz w:val="24"/>
                <w:szCs w:val="24"/>
              </w:rPr>
              <w:t xml:space="preserve"> Šādi grozījumi atrisinātu radušos problēmu statistikas datu iegūšanai par veiktajiem ieguldījumiem pētniecībā un attīstībā no gadu pārskatiem.</w:t>
            </w:r>
          </w:p>
          <w:p w14:paraId="44EA0A7E" w14:textId="367832B2" w:rsidR="0060302B" w:rsidRPr="009303CD" w:rsidRDefault="0060302B" w:rsidP="00141690">
            <w:pPr>
              <w:pStyle w:val="tv2132"/>
              <w:spacing w:after="120" w:line="240" w:lineRule="auto"/>
              <w:ind w:firstLine="363"/>
              <w:jc w:val="both"/>
              <w:rPr>
                <w:color w:val="auto"/>
                <w:sz w:val="24"/>
                <w:szCs w:val="24"/>
              </w:rPr>
            </w:pPr>
            <w:r w:rsidRPr="009303CD">
              <w:rPr>
                <w:color w:val="auto"/>
                <w:sz w:val="24"/>
                <w:szCs w:val="24"/>
              </w:rPr>
              <w:t>Jāatzīmē, ka Grāmatvedības direktīva 2013/34/ES pieļauj, ka dalībvalstis var pieprasīt uzņēmumiem, kas nav mazie uzņēmumi, papildus informācijai, kura prasīta saskaņā ar šo direktīvu, gada finanšu pārskatos atklāt vēl citu informāciju.</w:t>
            </w:r>
          </w:p>
          <w:p w14:paraId="3441EB82" w14:textId="1F17FE3D" w:rsidR="00B92EE4" w:rsidRDefault="00B92EE4" w:rsidP="00B92EE4">
            <w:pPr>
              <w:pStyle w:val="tv2132"/>
              <w:spacing w:after="120" w:line="240" w:lineRule="auto"/>
              <w:ind w:firstLine="363"/>
              <w:jc w:val="both"/>
              <w:rPr>
                <w:color w:val="auto"/>
                <w:sz w:val="24"/>
                <w:szCs w:val="24"/>
              </w:rPr>
            </w:pPr>
            <w:r>
              <w:rPr>
                <w:color w:val="auto"/>
                <w:sz w:val="24"/>
                <w:szCs w:val="24"/>
              </w:rPr>
              <w:t xml:space="preserve">Savukārt, Likuma 15.panta pirmās daļas </w:t>
            </w:r>
            <w:r w:rsidRPr="0025290B">
              <w:rPr>
                <w:color w:val="auto"/>
                <w:sz w:val="24"/>
                <w:szCs w:val="24"/>
              </w:rPr>
              <w:t>8</w:t>
            </w:r>
            <w:r>
              <w:rPr>
                <w:color w:val="auto"/>
                <w:sz w:val="24"/>
                <w:szCs w:val="24"/>
              </w:rPr>
              <w:t>. punktā dots pilnvarojums Ministru kabinetam izdot noteikumus, kuros nosaka</w:t>
            </w:r>
            <w:r w:rsidRPr="0025290B">
              <w:rPr>
                <w:color w:val="auto"/>
                <w:sz w:val="24"/>
                <w:szCs w:val="24"/>
              </w:rPr>
              <w:t xml:space="preserve"> pētniecības un attīstības pasākumu un sabiedrībā radītu bezķermenisku lietu, kuras neatbilst nemateriālo ieguldījumu klasifikācijas nosacījumiem, norādīšanu finanšu pār</w:t>
            </w:r>
            <w:r>
              <w:rPr>
                <w:color w:val="auto"/>
                <w:sz w:val="24"/>
                <w:szCs w:val="24"/>
              </w:rPr>
              <w:t>skatā, minot konkrētus piemērus</w:t>
            </w:r>
            <w:r w:rsidR="00EC49D4">
              <w:rPr>
                <w:color w:val="auto"/>
                <w:sz w:val="24"/>
                <w:szCs w:val="24"/>
              </w:rPr>
              <w:t>.</w:t>
            </w:r>
          </w:p>
          <w:p w14:paraId="3641F3D8" w14:textId="77777777" w:rsidR="00132267" w:rsidRDefault="00132267" w:rsidP="00132267">
            <w:pPr>
              <w:pStyle w:val="tv2132"/>
              <w:spacing w:after="120" w:line="240" w:lineRule="auto"/>
              <w:ind w:firstLine="363"/>
              <w:jc w:val="both"/>
              <w:rPr>
                <w:color w:val="auto"/>
                <w:sz w:val="24"/>
                <w:szCs w:val="24"/>
                <w:u w:val="single"/>
              </w:rPr>
            </w:pPr>
            <w:r w:rsidRPr="00155E17">
              <w:rPr>
                <w:color w:val="auto"/>
                <w:sz w:val="24"/>
                <w:szCs w:val="24"/>
                <w:u w:val="single"/>
              </w:rPr>
              <w:t>Konvertējamas obligācijas</w:t>
            </w:r>
          </w:p>
          <w:p w14:paraId="1B346F93" w14:textId="77777777" w:rsidR="00132267" w:rsidRPr="00752A64" w:rsidRDefault="00132267" w:rsidP="00132267">
            <w:pPr>
              <w:pStyle w:val="tv2132"/>
              <w:spacing w:after="120" w:line="240" w:lineRule="auto"/>
              <w:ind w:firstLine="363"/>
              <w:jc w:val="both"/>
              <w:rPr>
                <w:color w:val="auto"/>
                <w:sz w:val="24"/>
                <w:szCs w:val="24"/>
              </w:rPr>
            </w:pPr>
            <w:r>
              <w:rPr>
                <w:color w:val="auto"/>
                <w:sz w:val="24"/>
                <w:szCs w:val="24"/>
              </w:rPr>
              <w:t xml:space="preserve">Pašlaik </w:t>
            </w:r>
            <w:r w:rsidRPr="00531F42">
              <w:rPr>
                <w:color w:val="auto"/>
                <w:sz w:val="24"/>
                <w:szCs w:val="24"/>
              </w:rPr>
              <w:t>Likuma</w:t>
            </w:r>
            <w:r w:rsidRPr="00752A64">
              <w:rPr>
                <w:color w:val="auto"/>
                <w:sz w:val="24"/>
                <w:szCs w:val="24"/>
              </w:rPr>
              <w:t xml:space="preserve"> 53.panta pirmās daļas 9.punkts</w:t>
            </w:r>
            <w:r>
              <w:rPr>
                <w:color w:val="auto"/>
                <w:sz w:val="24"/>
                <w:szCs w:val="24"/>
              </w:rPr>
              <w:t xml:space="preserve"> attiecībā uz ziņu sniegšanu finanšu pārskata pielikumā par vērtspapīriem noteic, ka jānorāda: </w:t>
            </w:r>
            <w:r w:rsidRPr="00FB1EC8">
              <w:rPr>
                <w:color w:val="auto"/>
                <w:sz w:val="24"/>
                <w:szCs w:val="24"/>
              </w:rPr>
              <w:t>“9) jebkuras līdzdalības apliecības, konvertējamas obligācijas, regulētā tirgū tirgotas garantijas, iespējas līguma vai tamlīdzīga finanšu instrumenta esamība, norādot skaitu u</w:t>
            </w:r>
            <w:r>
              <w:rPr>
                <w:color w:val="auto"/>
                <w:sz w:val="24"/>
                <w:szCs w:val="24"/>
              </w:rPr>
              <w:t>n tiesības, kādas tas piešķir;”.</w:t>
            </w:r>
          </w:p>
          <w:p w14:paraId="45A92688" w14:textId="77777777" w:rsidR="00132267" w:rsidRDefault="00132267" w:rsidP="00132267">
            <w:pPr>
              <w:pStyle w:val="tv2132"/>
              <w:spacing w:after="120" w:line="240" w:lineRule="auto"/>
              <w:ind w:firstLine="363"/>
              <w:jc w:val="both"/>
              <w:rPr>
                <w:color w:val="auto"/>
                <w:sz w:val="24"/>
                <w:szCs w:val="24"/>
              </w:rPr>
            </w:pPr>
            <w:r>
              <w:rPr>
                <w:color w:val="auto"/>
                <w:sz w:val="24"/>
                <w:szCs w:val="24"/>
              </w:rPr>
              <w:t xml:space="preserve">Ar minēto Likuma prasību pārņemts </w:t>
            </w:r>
            <w:r w:rsidRPr="00531F42">
              <w:rPr>
                <w:color w:val="auto"/>
                <w:sz w:val="24"/>
                <w:szCs w:val="24"/>
              </w:rPr>
              <w:t xml:space="preserve">Grāmatvedības direktīvas </w:t>
            </w:r>
            <w:r>
              <w:rPr>
                <w:color w:val="auto"/>
                <w:sz w:val="24"/>
                <w:szCs w:val="24"/>
              </w:rPr>
              <w:t>17. panta 1. punkta “j” apakšpunkts, kas paredz, ka finanšu pārskata pielikumā jāsniedz ziņas arī par: “</w:t>
            </w:r>
            <w:r w:rsidRPr="00752A64">
              <w:rPr>
                <w:color w:val="auto"/>
                <w:sz w:val="24"/>
                <w:szCs w:val="24"/>
              </w:rPr>
              <w:t xml:space="preserve">jebkādu līdzdalības sertifikātu, </w:t>
            </w:r>
            <w:r w:rsidRPr="00FB1EC8">
              <w:rPr>
                <w:color w:val="auto"/>
                <w:sz w:val="24"/>
                <w:szCs w:val="24"/>
                <w:u w:val="single"/>
              </w:rPr>
              <w:t>konvertējamu obligāciju</w:t>
            </w:r>
            <w:r w:rsidRPr="00752A64">
              <w:rPr>
                <w:color w:val="auto"/>
                <w:sz w:val="24"/>
                <w:szCs w:val="24"/>
              </w:rPr>
              <w:t>, regulētā tirgū tirgotu garantiju, iespējas līgumu vai tamlīdzīgu vērtspapīru vai tiesību esamība, norādot to skaitu</w:t>
            </w:r>
            <w:r>
              <w:rPr>
                <w:color w:val="auto"/>
                <w:sz w:val="24"/>
                <w:szCs w:val="24"/>
              </w:rPr>
              <w:t xml:space="preserve"> un tiesības, kādas tie piešķir”.</w:t>
            </w:r>
          </w:p>
          <w:p w14:paraId="0537F7DE" w14:textId="77777777" w:rsidR="00132267" w:rsidRDefault="00132267" w:rsidP="00132267">
            <w:pPr>
              <w:pStyle w:val="tv2132"/>
              <w:spacing w:after="120" w:line="240" w:lineRule="auto"/>
              <w:ind w:firstLine="363"/>
              <w:jc w:val="both"/>
              <w:rPr>
                <w:color w:val="auto"/>
                <w:sz w:val="24"/>
                <w:szCs w:val="24"/>
              </w:rPr>
            </w:pPr>
            <w:r>
              <w:rPr>
                <w:color w:val="auto"/>
                <w:sz w:val="24"/>
                <w:szCs w:val="24"/>
              </w:rPr>
              <w:t>Lai būtu nepārprotami skaidri redzams, ka Grāmatvedības direktīvas prasības ir pārņemtas Likumā pilnībā, nepieciešams attiecīgi precizēt Likuma 53.panta pirmās daļas 9.punktu.</w:t>
            </w:r>
          </w:p>
          <w:p w14:paraId="4F2CA590" w14:textId="3F582758" w:rsidR="00132267" w:rsidRDefault="00132267" w:rsidP="00132267">
            <w:pPr>
              <w:pStyle w:val="tv2132"/>
              <w:spacing w:after="120" w:line="240" w:lineRule="auto"/>
              <w:ind w:firstLine="363"/>
              <w:jc w:val="both"/>
              <w:rPr>
                <w:color w:val="auto"/>
                <w:sz w:val="24"/>
                <w:szCs w:val="24"/>
              </w:rPr>
            </w:pPr>
            <w:r>
              <w:rPr>
                <w:color w:val="auto"/>
                <w:sz w:val="24"/>
                <w:szCs w:val="24"/>
              </w:rPr>
              <w:t>Atzīmējam, ka kapitālsabiedrības var izmantot vairākus finansēšanas avotus. Kā pamata finansēšanas avotu izmanto pamatkapitālu, ko ieguldījuši akcionāri. Papildus var piesaistīt aizņemto kapitālu, kas juridiski var būt noformēts aizņēmuma (kredīta), parāda vērtspapīru vai citā veidā, tai skaitā finansējuma piesaiste, emitējot korporatīvos parāda vērtspapīrus – konvertējamas obligācijas. Konvertējamas obligācijas ļauj to turētājam tās apmainīt pret noteiktu skaitu emitenta akciju. Lai gan Finanšu instrumentu tirgus likuma 43.panta trešajā daļā ir minētas konvertējamas vai apmaināmas obligācijas, tomēr Latvijā kapitālsabiedrības obligācijas neemitē, bet naudu aizņemas no bankām, jo tas ir lētāk un vienkāršāk.</w:t>
            </w:r>
          </w:p>
          <w:p w14:paraId="02B0F10E" w14:textId="28D1A96D" w:rsidR="00C24F33" w:rsidRPr="00B51861" w:rsidRDefault="00EA7381" w:rsidP="00EA7381">
            <w:pPr>
              <w:spacing w:after="120" w:line="240" w:lineRule="auto"/>
              <w:jc w:val="both"/>
              <w:rPr>
                <w:bCs/>
                <w:sz w:val="24"/>
                <w:szCs w:val="24"/>
                <w:u w:val="single"/>
              </w:rPr>
            </w:pPr>
            <w:r w:rsidRPr="00EA7381">
              <w:rPr>
                <w:bCs/>
                <w:sz w:val="24"/>
                <w:szCs w:val="24"/>
              </w:rPr>
              <w:lastRenderedPageBreak/>
              <w:t xml:space="preserve">      </w:t>
            </w:r>
            <w:r w:rsidR="00D5753E">
              <w:rPr>
                <w:bCs/>
                <w:sz w:val="24"/>
                <w:szCs w:val="24"/>
                <w:u w:val="single"/>
              </w:rPr>
              <w:t xml:space="preserve">Ieņēmumi </w:t>
            </w:r>
            <w:r w:rsidR="00D5753E" w:rsidRPr="00D5753E">
              <w:rPr>
                <w:bCs/>
                <w:sz w:val="24"/>
                <w:szCs w:val="24"/>
                <w:u w:val="single"/>
              </w:rPr>
              <w:t>par sniegtajiem būvniecības pakalpojumiem</w:t>
            </w:r>
          </w:p>
          <w:p w14:paraId="199451DA" w14:textId="44E37538" w:rsidR="00950259" w:rsidRDefault="00C24F33" w:rsidP="00035F6C">
            <w:pPr>
              <w:spacing w:after="120" w:line="240" w:lineRule="auto"/>
              <w:jc w:val="both"/>
              <w:rPr>
                <w:bCs/>
                <w:sz w:val="24"/>
                <w:szCs w:val="24"/>
              </w:rPr>
            </w:pPr>
            <w:r w:rsidRPr="00B51861">
              <w:rPr>
                <w:bCs/>
                <w:sz w:val="24"/>
                <w:szCs w:val="24"/>
              </w:rPr>
              <w:t xml:space="preserve">    </w:t>
            </w:r>
            <w:r w:rsidR="00D844B8">
              <w:rPr>
                <w:bCs/>
                <w:sz w:val="24"/>
                <w:szCs w:val="24"/>
              </w:rPr>
              <w:t xml:space="preserve">Pašlaik </w:t>
            </w:r>
            <w:r w:rsidR="00291BEF">
              <w:rPr>
                <w:bCs/>
                <w:sz w:val="24"/>
                <w:szCs w:val="24"/>
              </w:rPr>
              <w:t>no</w:t>
            </w:r>
            <w:r w:rsidR="00547CF6">
              <w:rPr>
                <w:bCs/>
                <w:sz w:val="24"/>
                <w:szCs w:val="24"/>
              </w:rPr>
              <w:t xml:space="preserve"> </w:t>
            </w:r>
            <w:r w:rsidR="00D844B8" w:rsidRPr="00D844B8">
              <w:rPr>
                <w:bCs/>
                <w:sz w:val="24"/>
                <w:szCs w:val="24"/>
              </w:rPr>
              <w:t xml:space="preserve">Ministru kabineta 2014.gada 25.februāra noteikumu Nr.116 “Būvkomersantu reģistrācijas noteikumi” </w:t>
            </w:r>
            <w:r w:rsidR="00291BEF">
              <w:rPr>
                <w:bCs/>
                <w:sz w:val="24"/>
                <w:szCs w:val="24"/>
              </w:rPr>
              <w:t>27.punkta izriet, ka</w:t>
            </w:r>
            <w:r w:rsidR="00547CF6">
              <w:rPr>
                <w:bCs/>
                <w:sz w:val="24"/>
                <w:szCs w:val="24"/>
              </w:rPr>
              <w:t xml:space="preserve"> </w:t>
            </w:r>
            <w:r w:rsidR="00950259">
              <w:rPr>
                <w:bCs/>
                <w:sz w:val="24"/>
                <w:szCs w:val="24"/>
              </w:rPr>
              <w:t xml:space="preserve">būvkomersantam ir pienākums maksāt valsts nodevu </w:t>
            </w:r>
            <w:r w:rsidR="00950259" w:rsidRPr="00547CF6">
              <w:rPr>
                <w:bCs/>
                <w:sz w:val="24"/>
                <w:szCs w:val="24"/>
              </w:rPr>
              <w:t>par reģistrācijas darbībām</w:t>
            </w:r>
            <w:r w:rsidR="00950259">
              <w:rPr>
                <w:bCs/>
                <w:sz w:val="24"/>
                <w:szCs w:val="24"/>
              </w:rPr>
              <w:t xml:space="preserve"> būvkomersantu reģistrā. Šo noteikumu 27.3. apakšpunktā minētajā gadījumā minētās nodevas lielums ir </w:t>
            </w:r>
            <w:r w:rsidR="00950259" w:rsidRPr="00950259">
              <w:rPr>
                <w:bCs/>
                <w:sz w:val="24"/>
                <w:szCs w:val="24"/>
              </w:rPr>
              <w:t>atkarīgs no būvkomersanta neto apgrozījuma lieluma</w:t>
            </w:r>
            <w:r w:rsidR="00291BEF">
              <w:rPr>
                <w:bCs/>
                <w:sz w:val="24"/>
                <w:szCs w:val="24"/>
              </w:rPr>
              <w:t xml:space="preserve">, konkrēti - </w:t>
            </w:r>
            <w:r w:rsidR="00950259" w:rsidRPr="00950259">
              <w:rPr>
                <w:bCs/>
                <w:sz w:val="24"/>
                <w:szCs w:val="24"/>
              </w:rPr>
              <w:t xml:space="preserve"> </w:t>
            </w:r>
            <w:r w:rsidR="00291BEF">
              <w:rPr>
                <w:bCs/>
                <w:sz w:val="24"/>
                <w:szCs w:val="24"/>
              </w:rPr>
              <w:t xml:space="preserve">no </w:t>
            </w:r>
            <w:r w:rsidR="00950259" w:rsidRPr="00950259">
              <w:rPr>
                <w:bCs/>
                <w:sz w:val="24"/>
                <w:szCs w:val="24"/>
              </w:rPr>
              <w:t>ieņēmumiem par sniegtaj</w:t>
            </w:r>
            <w:r w:rsidR="00291BEF">
              <w:rPr>
                <w:bCs/>
                <w:sz w:val="24"/>
                <w:szCs w:val="24"/>
              </w:rPr>
              <w:t>iem būvniecības pakalpojumiem</w:t>
            </w:r>
            <w:r w:rsidR="00950259" w:rsidRPr="00950259">
              <w:rPr>
                <w:bCs/>
                <w:sz w:val="24"/>
                <w:szCs w:val="24"/>
              </w:rPr>
              <w:t xml:space="preserve"> iepr</w:t>
            </w:r>
            <w:r w:rsidR="00950259">
              <w:rPr>
                <w:bCs/>
                <w:sz w:val="24"/>
                <w:szCs w:val="24"/>
              </w:rPr>
              <w:t>iekšējā kalendāra gadā</w:t>
            </w:r>
            <w:r w:rsidR="00291BEF">
              <w:rPr>
                <w:bCs/>
                <w:sz w:val="24"/>
                <w:szCs w:val="24"/>
              </w:rPr>
              <w:t>.</w:t>
            </w:r>
            <w:r w:rsidR="00950259" w:rsidRPr="00950259">
              <w:rPr>
                <w:bCs/>
                <w:sz w:val="24"/>
                <w:szCs w:val="24"/>
              </w:rPr>
              <w:t xml:space="preserve"> </w:t>
            </w:r>
            <w:r w:rsidR="00950259">
              <w:rPr>
                <w:bCs/>
                <w:sz w:val="24"/>
                <w:szCs w:val="24"/>
              </w:rPr>
              <w:t xml:space="preserve">Saskaņā ar šo noteikumu </w:t>
            </w:r>
            <w:r w:rsidR="00D844B8" w:rsidRPr="00D844B8">
              <w:rPr>
                <w:bCs/>
                <w:sz w:val="24"/>
                <w:szCs w:val="24"/>
              </w:rPr>
              <w:t>27</w:t>
            </w:r>
            <w:r w:rsidR="00547CF6">
              <w:rPr>
                <w:bCs/>
                <w:sz w:val="24"/>
                <w:szCs w:val="24"/>
              </w:rPr>
              <w:t>.</w:t>
            </w:r>
            <w:r w:rsidR="00D844B8" w:rsidRPr="00547CF6">
              <w:rPr>
                <w:bCs/>
                <w:sz w:val="24"/>
                <w:szCs w:val="24"/>
                <w:vertAlign w:val="superscript"/>
              </w:rPr>
              <w:t>3</w:t>
            </w:r>
            <w:r w:rsidR="00547CF6">
              <w:rPr>
                <w:bCs/>
                <w:sz w:val="24"/>
                <w:szCs w:val="24"/>
              </w:rPr>
              <w:t xml:space="preserve"> </w:t>
            </w:r>
            <w:r w:rsidR="004314B5">
              <w:rPr>
                <w:bCs/>
                <w:sz w:val="24"/>
                <w:szCs w:val="24"/>
              </w:rPr>
              <w:t>punktu</w:t>
            </w:r>
            <w:r w:rsidR="00D844B8" w:rsidRPr="00D844B8">
              <w:rPr>
                <w:bCs/>
                <w:sz w:val="24"/>
                <w:szCs w:val="24"/>
              </w:rPr>
              <w:t xml:space="preserve"> </w:t>
            </w:r>
            <w:r w:rsidR="004314B5">
              <w:rPr>
                <w:bCs/>
                <w:sz w:val="24"/>
                <w:szCs w:val="24"/>
              </w:rPr>
              <w:t>b</w:t>
            </w:r>
            <w:r w:rsidR="00950259" w:rsidRPr="00950259">
              <w:rPr>
                <w:bCs/>
                <w:sz w:val="24"/>
                <w:szCs w:val="24"/>
              </w:rPr>
              <w:t>ūvkomersants, kura neto apgrozījumu veido arī ieņēmumi no saimnieciskās darbības, kas nav saistīta ar būvniecību, var šo noteikumu 27.3. apakšpunktā minēto valsts nodevu maksāt no ieņēmumiem par sniegtajiem būvniecības pakalpojumiem, ja tas ikgadējās informācijas iesniegumam pievieno gada pārskata vai konsolidētā gada pārskata sastāvā esošā peļņas vai zaudējumu aprēķina kopiju, kur ieņēmumi par sniegtajiem būvniecības pakalpojumiem ir atsevišķi uzskaitīti kādā no peļņas vai zaudējumu aprēķina posteņiem.</w:t>
            </w:r>
          </w:p>
          <w:p w14:paraId="53C0E4B3" w14:textId="391A76BB" w:rsidR="00742854" w:rsidRDefault="00742854" w:rsidP="00035F6C">
            <w:pPr>
              <w:spacing w:after="120" w:line="240" w:lineRule="auto"/>
              <w:jc w:val="both"/>
              <w:rPr>
                <w:bCs/>
                <w:sz w:val="24"/>
                <w:szCs w:val="24"/>
              </w:rPr>
            </w:pPr>
            <w:r>
              <w:rPr>
                <w:bCs/>
                <w:sz w:val="24"/>
                <w:szCs w:val="24"/>
              </w:rPr>
              <w:t xml:space="preserve">Saskaņā ar Ekonomikas ministrijas vēstulē Finanšu ministrijai   minēto </w:t>
            </w:r>
            <w:r w:rsidRPr="00742854">
              <w:rPr>
                <w:bCs/>
                <w:sz w:val="24"/>
                <w:szCs w:val="24"/>
              </w:rPr>
              <w:t xml:space="preserve">Valsts kontrole finanšu revīzijas </w:t>
            </w:r>
            <w:r>
              <w:rPr>
                <w:bCs/>
                <w:sz w:val="24"/>
                <w:szCs w:val="24"/>
              </w:rPr>
              <w:t>“</w:t>
            </w:r>
            <w:r w:rsidRPr="00742854">
              <w:rPr>
                <w:bCs/>
                <w:sz w:val="24"/>
                <w:szCs w:val="24"/>
              </w:rPr>
              <w:t>Par Latvijas Republikas 2019.gada pārskatu par valsts budžeta izpildi un par pašvaldību budžetiem</w:t>
            </w:r>
            <w:r>
              <w:rPr>
                <w:bCs/>
                <w:sz w:val="24"/>
                <w:szCs w:val="24"/>
              </w:rPr>
              <w:t>” ietvaros konstatēja</w:t>
            </w:r>
            <w:r w:rsidRPr="00742854">
              <w:rPr>
                <w:bCs/>
                <w:sz w:val="24"/>
                <w:szCs w:val="24"/>
              </w:rPr>
              <w:t xml:space="preserve"> nepilnības valsts nodevas par reģistrācijas darbībām būvkomersan</w:t>
            </w:r>
            <w:r>
              <w:rPr>
                <w:bCs/>
                <w:sz w:val="24"/>
                <w:szCs w:val="24"/>
              </w:rPr>
              <w:t xml:space="preserve">tu reģistrā administrēšanā un </w:t>
            </w:r>
            <w:r w:rsidRPr="00742854">
              <w:rPr>
                <w:bCs/>
                <w:sz w:val="24"/>
                <w:szCs w:val="24"/>
              </w:rPr>
              <w:t>secināja, ka Būvniecības valsts kontroles birojā nav izveidota un ieviesta tāda kontroles sistēma, kas ļautu precīzi un pilnā mērā novērtēt konkrēta komersanta maksājamās valsts nodevas apmēra atbilstību normatīvo aktu prasībām vai arī pamatojumu valsts nodevas samazinājumam.</w:t>
            </w:r>
            <w:r>
              <w:rPr>
                <w:bCs/>
                <w:sz w:val="24"/>
                <w:szCs w:val="24"/>
              </w:rPr>
              <w:t xml:space="preserve"> </w:t>
            </w:r>
          </w:p>
          <w:p w14:paraId="33EA3782" w14:textId="02C44B35" w:rsidR="004D5908" w:rsidRPr="00035F6C" w:rsidRDefault="00742854" w:rsidP="00035F6C">
            <w:pPr>
              <w:spacing w:after="120" w:line="240" w:lineRule="auto"/>
              <w:jc w:val="both"/>
              <w:rPr>
                <w:bCs/>
                <w:sz w:val="24"/>
                <w:szCs w:val="24"/>
              </w:rPr>
            </w:pPr>
            <w:r w:rsidRPr="00742854">
              <w:rPr>
                <w:bCs/>
                <w:sz w:val="24"/>
                <w:szCs w:val="24"/>
              </w:rPr>
              <w:t xml:space="preserve"> </w:t>
            </w:r>
            <w:r w:rsidR="00C24F33" w:rsidRPr="00B51861">
              <w:rPr>
                <w:bCs/>
                <w:sz w:val="24"/>
                <w:szCs w:val="24"/>
              </w:rPr>
              <w:t xml:space="preserve"> </w:t>
            </w:r>
            <w:r w:rsidR="004314B5">
              <w:rPr>
                <w:bCs/>
                <w:sz w:val="24"/>
                <w:szCs w:val="24"/>
              </w:rPr>
              <w:t>L</w:t>
            </w:r>
            <w:r w:rsidR="004314B5" w:rsidRPr="00B51861">
              <w:rPr>
                <w:bCs/>
                <w:sz w:val="24"/>
                <w:szCs w:val="24"/>
              </w:rPr>
              <w:t xml:space="preserve">ai novērstu Valsts kontroles konstatētās nepilnības, </w:t>
            </w:r>
            <w:r w:rsidR="004314B5">
              <w:rPr>
                <w:bCs/>
                <w:sz w:val="24"/>
                <w:szCs w:val="24"/>
              </w:rPr>
              <w:t xml:space="preserve">Ekonomikas ministrija ir sniegusi priekšlikumu grozījumiem Likumā, rosinot </w:t>
            </w:r>
            <w:r w:rsidR="004314B5" w:rsidRPr="00B51861">
              <w:rPr>
                <w:bCs/>
                <w:sz w:val="24"/>
                <w:szCs w:val="24"/>
              </w:rPr>
              <w:t>papildinā</w:t>
            </w:r>
            <w:r w:rsidR="004314B5">
              <w:rPr>
                <w:bCs/>
                <w:sz w:val="24"/>
                <w:szCs w:val="24"/>
              </w:rPr>
              <w:t>t</w:t>
            </w:r>
            <w:r w:rsidR="007B5882">
              <w:rPr>
                <w:bCs/>
                <w:sz w:val="24"/>
                <w:szCs w:val="24"/>
              </w:rPr>
              <w:t xml:space="preserve"> </w:t>
            </w:r>
            <w:r w:rsidR="004314B5" w:rsidRPr="00B51861">
              <w:rPr>
                <w:bCs/>
                <w:sz w:val="24"/>
                <w:szCs w:val="24"/>
              </w:rPr>
              <w:t xml:space="preserve"> </w:t>
            </w:r>
            <w:r w:rsidR="007B5882">
              <w:rPr>
                <w:bCs/>
                <w:sz w:val="24"/>
                <w:szCs w:val="24"/>
              </w:rPr>
              <w:t>L</w:t>
            </w:r>
            <w:r w:rsidR="004314B5" w:rsidRPr="00B51861">
              <w:rPr>
                <w:bCs/>
                <w:sz w:val="24"/>
                <w:szCs w:val="24"/>
              </w:rPr>
              <w:t xml:space="preserve">ikuma </w:t>
            </w:r>
            <w:hyperlink r:id="rId11" w:anchor="piel2" w:history="1">
              <w:r w:rsidR="004314B5" w:rsidRPr="00B51861">
                <w:rPr>
                  <w:rStyle w:val="Hyperlink"/>
                  <w:bCs/>
                  <w:color w:val="auto"/>
                  <w:sz w:val="24"/>
                  <w:szCs w:val="24"/>
                  <w:u w:val="none"/>
                </w:rPr>
                <w:t xml:space="preserve">2. </w:t>
              </w:r>
            </w:hyperlink>
            <w:r w:rsidR="004314B5" w:rsidRPr="00B51861">
              <w:rPr>
                <w:bCs/>
                <w:sz w:val="24"/>
                <w:szCs w:val="24"/>
              </w:rPr>
              <w:t xml:space="preserve">vai </w:t>
            </w:r>
            <w:hyperlink r:id="rId12" w:anchor="piel3" w:history="1">
              <w:r w:rsidR="004314B5" w:rsidRPr="00B51861">
                <w:rPr>
                  <w:rStyle w:val="Hyperlink"/>
                  <w:bCs/>
                  <w:color w:val="auto"/>
                  <w:sz w:val="24"/>
                  <w:szCs w:val="24"/>
                  <w:u w:val="none"/>
                </w:rPr>
                <w:t>3.pielikumā</w:t>
              </w:r>
            </w:hyperlink>
            <w:r w:rsidR="004314B5" w:rsidRPr="00B51861">
              <w:rPr>
                <w:bCs/>
                <w:sz w:val="24"/>
                <w:szCs w:val="24"/>
              </w:rPr>
              <w:t xml:space="preserve"> noteikto </w:t>
            </w:r>
            <w:r w:rsidR="007B5882">
              <w:rPr>
                <w:bCs/>
                <w:sz w:val="24"/>
                <w:szCs w:val="24"/>
              </w:rPr>
              <w:t>peļņas vai zaudējumu aprēķinu</w:t>
            </w:r>
            <w:r w:rsidR="007B5882" w:rsidRPr="00B51861">
              <w:rPr>
                <w:bCs/>
                <w:sz w:val="24"/>
                <w:szCs w:val="24"/>
              </w:rPr>
              <w:t xml:space="preserve"> </w:t>
            </w:r>
            <w:r w:rsidR="007B5882">
              <w:rPr>
                <w:bCs/>
                <w:sz w:val="24"/>
                <w:szCs w:val="24"/>
              </w:rPr>
              <w:t>shēmu. Priekšlikums paredz papildināt</w:t>
            </w:r>
            <w:r w:rsidR="004314B5" w:rsidRPr="00B51861">
              <w:rPr>
                <w:bCs/>
                <w:sz w:val="24"/>
                <w:szCs w:val="24"/>
              </w:rPr>
              <w:t xml:space="preserve"> </w:t>
            </w:r>
            <w:r w:rsidR="007B5882">
              <w:rPr>
                <w:bCs/>
                <w:sz w:val="24"/>
                <w:szCs w:val="24"/>
              </w:rPr>
              <w:t>posteni “Neto apgrozījums”</w:t>
            </w:r>
            <w:r w:rsidR="004314B5" w:rsidRPr="00B51861">
              <w:rPr>
                <w:bCs/>
                <w:sz w:val="24"/>
                <w:szCs w:val="24"/>
              </w:rPr>
              <w:t xml:space="preserve"> </w:t>
            </w:r>
            <w:r w:rsidR="007B5882">
              <w:rPr>
                <w:bCs/>
                <w:sz w:val="24"/>
                <w:szCs w:val="24"/>
              </w:rPr>
              <w:t xml:space="preserve">jaunu </w:t>
            </w:r>
            <w:proofErr w:type="spellStart"/>
            <w:r w:rsidR="004314B5">
              <w:rPr>
                <w:bCs/>
                <w:sz w:val="24"/>
                <w:szCs w:val="24"/>
              </w:rPr>
              <w:t>apakš</w:t>
            </w:r>
            <w:r w:rsidR="004314B5" w:rsidRPr="00B51861">
              <w:rPr>
                <w:bCs/>
                <w:sz w:val="24"/>
                <w:szCs w:val="24"/>
              </w:rPr>
              <w:t>posteni</w:t>
            </w:r>
            <w:proofErr w:type="spellEnd"/>
            <w:r w:rsidR="004314B5">
              <w:rPr>
                <w:bCs/>
                <w:sz w:val="24"/>
                <w:szCs w:val="24"/>
              </w:rPr>
              <w:t>, kurā tiktu norādīti</w:t>
            </w:r>
            <w:r w:rsidR="004314B5" w:rsidRPr="00B51861">
              <w:rPr>
                <w:bCs/>
                <w:sz w:val="24"/>
                <w:szCs w:val="24"/>
              </w:rPr>
              <w:t xml:space="preserve"> ieņēmum</w:t>
            </w:r>
            <w:r w:rsidR="004314B5">
              <w:rPr>
                <w:bCs/>
                <w:sz w:val="24"/>
                <w:szCs w:val="24"/>
              </w:rPr>
              <w:t>i</w:t>
            </w:r>
            <w:r w:rsidR="004314B5" w:rsidRPr="00B51861">
              <w:rPr>
                <w:bCs/>
                <w:sz w:val="24"/>
                <w:szCs w:val="24"/>
              </w:rPr>
              <w:t xml:space="preserve"> no sniegtajiem būvniecības pakalpojumiem.</w:t>
            </w:r>
            <w:r w:rsidR="004314B5">
              <w:rPr>
                <w:bCs/>
                <w:sz w:val="24"/>
                <w:szCs w:val="24"/>
              </w:rPr>
              <w:t xml:space="preserve"> T</w:t>
            </w:r>
            <w:r w:rsidR="00C24F33" w:rsidRPr="00B51861">
              <w:rPr>
                <w:bCs/>
                <w:sz w:val="24"/>
                <w:szCs w:val="24"/>
              </w:rPr>
              <w:t xml:space="preserve">as ļautu precīzi un pilnā mērā novērtēt konkrēta </w:t>
            </w:r>
            <w:r w:rsidR="004314B5">
              <w:rPr>
                <w:bCs/>
                <w:sz w:val="24"/>
                <w:szCs w:val="24"/>
              </w:rPr>
              <w:t>būv</w:t>
            </w:r>
            <w:r w:rsidR="00C24F33" w:rsidRPr="00B51861">
              <w:rPr>
                <w:bCs/>
                <w:sz w:val="24"/>
                <w:szCs w:val="24"/>
              </w:rPr>
              <w:t>komersanta maksājamās valsts nodevas apmēra atbilstību normatīvo aktu prasībām vai arī pamatojumu valsts nodevas samazinājumam</w:t>
            </w:r>
            <w:r w:rsidR="00A934F8" w:rsidRPr="00B51861">
              <w:rPr>
                <w:bCs/>
                <w:sz w:val="24"/>
                <w:szCs w:val="24"/>
              </w:rPr>
              <w:t xml:space="preserve">, </w:t>
            </w:r>
            <w:r w:rsidR="0060302B" w:rsidRPr="00B51861">
              <w:rPr>
                <w:bCs/>
                <w:sz w:val="24"/>
                <w:szCs w:val="24"/>
              </w:rPr>
              <w:t>un</w:t>
            </w:r>
            <w:r w:rsidR="004314B5">
              <w:rPr>
                <w:bCs/>
                <w:sz w:val="24"/>
                <w:szCs w:val="24"/>
              </w:rPr>
              <w:t xml:space="preserve"> </w:t>
            </w:r>
            <w:r w:rsidR="00C24F33" w:rsidRPr="00B51861">
              <w:rPr>
                <w:bCs/>
                <w:sz w:val="24"/>
                <w:szCs w:val="24"/>
              </w:rPr>
              <w:t>uzraugošā institūcija spētu pārliecināties par valsts nodevas samaksas atbilstību normatīvo aktu prasībām</w:t>
            </w:r>
            <w:r w:rsidR="004314B5">
              <w:rPr>
                <w:bCs/>
                <w:sz w:val="24"/>
                <w:szCs w:val="24"/>
              </w:rPr>
              <w:t>.</w:t>
            </w:r>
            <w:r w:rsidR="0060302B" w:rsidRPr="00B51861">
              <w:rPr>
                <w:bCs/>
                <w:sz w:val="24"/>
                <w:szCs w:val="24"/>
              </w:rPr>
              <w:t xml:space="preserve"> </w:t>
            </w:r>
          </w:p>
          <w:p w14:paraId="1EC6689B" w14:textId="77777777" w:rsidR="006C5D89" w:rsidRPr="003A5036" w:rsidRDefault="006C5D89" w:rsidP="006C5D89">
            <w:pPr>
              <w:widowControl/>
              <w:spacing w:after="120" w:line="240" w:lineRule="auto"/>
              <w:rPr>
                <w:rFonts w:eastAsia="Times New Roman"/>
                <w:b/>
                <w:sz w:val="24"/>
                <w:szCs w:val="24"/>
                <w:lang w:eastAsia="lv-LV"/>
              </w:rPr>
            </w:pPr>
            <w:r w:rsidRPr="003A5036">
              <w:rPr>
                <w:rFonts w:eastAsia="Times New Roman"/>
                <w:b/>
                <w:iCs/>
                <w:sz w:val="24"/>
                <w:szCs w:val="24"/>
                <w:lang w:eastAsia="lv-LV"/>
              </w:rPr>
              <w:t>Tiesiskā regulējuma mērķis un būtība</w:t>
            </w:r>
          </w:p>
          <w:p w14:paraId="26A3E65F" w14:textId="277A6B3B" w:rsidR="008C5CB8" w:rsidRPr="008C5CB8" w:rsidRDefault="000E7AF3" w:rsidP="008C5CB8">
            <w:pPr>
              <w:spacing w:after="120" w:line="240" w:lineRule="auto"/>
              <w:jc w:val="both"/>
              <w:rPr>
                <w:sz w:val="24"/>
                <w:szCs w:val="24"/>
              </w:rPr>
            </w:pPr>
            <w:r>
              <w:rPr>
                <w:sz w:val="24"/>
                <w:szCs w:val="24"/>
              </w:rPr>
              <w:t xml:space="preserve">      </w:t>
            </w:r>
            <w:r w:rsidR="008C5CB8" w:rsidRPr="008C5CB8">
              <w:rPr>
                <w:sz w:val="24"/>
                <w:szCs w:val="24"/>
              </w:rPr>
              <w:t>Likumprojekts izstrādāts, lai atbilstoši dotaj</w:t>
            </w:r>
            <w:r w:rsidR="00A900AF">
              <w:rPr>
                <w:sz w:val="24"/>
                <w:szCs w:val="24"/>
              </w:rPr>
              <w:t>iem uzdevumie</w:t>
            </w:r>
            <w:r w:rsidR="008C5CB8" w:rsidRPr="008C5CB8">
              <w:rPr>
                <w:sz w:val="24"/>
                <w:szCs w:val="24"/>
              </w:rPr>
              <w:t>m:</w:t>
            </w:r>
          </w:p>
          <w:p w14:paraId="665E2D19" w14:textId="2C1BC401" w:rsidR="006B4B0A" w:rsidRDefault="00511728" w:rsidP="008C5CB8">
            <w:pPr>
              <w:spacing w:after="120" w:line="240" w:lineRule="auto"/>
              <w:jc w:val="both"/>
              <w:rPr>
                <w:sz w:val="24"/>
                <w:szCs w:val="24"/>
              </w:rPr>
            </w:pPr>
            <w:r>
              <w:rPr>
                <w:sz w:val="24"/>
                <w:szCs w:val="24"/>
              </w:rPr>
              <w:t xml:space="preserve">1) </w:t>
            </w:r>
            <w:r w:rsidR="00A73B00">
              <w:rPr>
                <w:sz w:val="24"/>
                <w:szCs w:val="24"/>
              </w:rPr>
              <w:t>u</w:t>
            </w:r>
            <w:r w:rsidR="008C5CB8" w:rsidRPr="008C5CB8">
              <w:rPr>
                <w:sz w:val="24"/>
                <w:szCs w:val="24"/>
              </w:rPr>
              <w:t>zlabotu finanšu pārskata informācijas salīdzināmību globālā mērogā</w:t>
            </w:r>
            <w:r w:rsidR="001575CC">
              <w:rPr>
                <w:sz w:val="24"/>
                <w:szCs w:val="24"/>
              </w:rPr>
              <w:t xml:space="preserve">, </w:t>
            </w:r>
            <w:r w:rsidR="008C5CB8" w:rsidRPr="008C5CB8">
              <w:rPr>
                <w:sz w:val="24"/>
                <w:szCs w:val="24"/>
              </w:rPr>
              <w:t>pilnveido</w:t>
            </w:r>
            <w:r w:rsidR="001575CC">
              <w:rPr>
                <w:sz w:val="24"/>
                <w:szCs w:val="24"/>
              </w:rPr>
              <w:t>jot</w:t>
            </w:r>
            <w:r w:rsidR="008C5CB8" w:rsidRPr="008C5CB8">
              <w:rPr>
                <w:sz w:val="24"/>
                <w:szCs w:val="24"/>
              </w:rPr>
              <w:t xml:space="preserve">  finanšu  pārskata posteņu atzīšanas, novērtēšanas un norādīšanas normas atbilstoši </w:t>
            </w:r>
            <w:r w:rsidR="00171632">
              <w:rPr>
                <w:sz w:val="24"/>
                <w:szCs w:val="24"/>
              </w:rPr>
              <w:t>SGS</w:t>
            </w:r>
            <w:r w:rsidR="001575CC">
              <w:rPr>
                <w:sz w:val="24"/>
                <w:szCs w:val="24"/>
              </w:rPr>
              <w:t xml:space="preserve"> prasībām</w:t>
            </w:r>
            <w:r w:rsidR="008C5CB8">
              <w:rPr>
                <w:sz w:val="24"/>
                <w:szCs w:val="24"/>
              </w:rPr>
              <w:t>. Lai izpildītu šo</w:t>
            </w:r>
            <w:r w:rsidR="00A900AF">
              <w:rPr>
                <w:sz w:val="24"/>
                <w:szCs w:val="24"/>
              </w:rPr>
              <w:t>s</w:t>
            </w:r>
            <w:r w:rsidR="008C5CB8">
              <w:rPr>
                <w:sz w:val="24"/>
                <w:szCs w:val="24"/>
              </w:rPr>
              <w:t xml:space="preserve"> uzdevumu</w:t>
            </w:r>
            <w:r w:rsidR="00A900AF">
              <w:rPr>
                <w:sz w:val="24"/>
                <w:szCs w:val="24"/>
              </w:rPr>
              <w:t>s</w:t>
            </w:r>
            <w:r w:rsidR="008C5CB8">
              <w:rPr>
                <w:sz w:val="24"/>
                <w:szCs w:val="24"/>
              </w:rPr>
              <w:t>, likumprojekta</w:t>
            </w:r>
            <w:r w:rsidR="006B4B0A">
              <w:rPr>
                <w:sz w:val="24"/>
                <w:szCs w:val="24"/>
              </w:rPr>
              <w:t>:</w:t>
            </w:r>
          </w:p>
          <w:p w14:paraId="78C982C8" w14:textId="7CA28F72" w:rsidR="008C5CB8" w:rsidRDefault="006B4B0A" w:rsidP="008C5CB8">
            <w:pPr>
              <w:spacing w:after="120" w:line="240" w:lineRule="auto"/>
              <w:jc w:val="both"/>
              <w:rPr>
                <w:sz w:val="24"/>
                <w:szCs w:val="24"/>
              </w:rPr>
            </w:pPr>
            <w:r>
              <w:rPr>
                <w:sz w:val="24"/>
                <w:szCs w:val="24"/>
              </w:rPr>
              <w:t>-</w:t>
            </w:r>
            <w:r w:rsidR="008C5CB8">
              <w:rPr>
                <w:sz w:val="24"/>
                <w:szCs w:val="24"/>
              </w:rPr>
              <w:t xml:space="preserve"> 1.pants paredz </w:t>
            </w:r>
            <w:r w:rsidR="00DB4F40">
              <w:rPr>
                <w:sz w:val="24"/>
                <w:szCs w:val="24"/>
              </w:rPr>
              <w:t>p</w:t>
            </w:r>
            <w:r w:rsidR="00DB4F40" w:rsidRPr="00DB4F40">
              <w:rPr>
                <w:sz w:val="24"/>
                <w:szCs w:val="24"/>
              </w:rPr>
              <w:t xml:space="preserve">apildināt </w:t>
            </w:r>
            <w:r w:rsidR="00171632">
              <w:rPr>
                <w:sz w:val="24"/>
                <w:szCs w:val="24"/>
              </w:rPr>
              <w:t xml:space="preserve">Likuma </w:t>
            </w:r>
            <w:r w:rsidR="00DB4F40" w:rsidRPr="00DB4F40">
              <w:rPr>
                <w:sz w:val="24"/>
                <w:szCs w:val="24"/>
              </w:rPr>
              <w:t>3. pantu ar 6.</w:t>
            </w:r>
            <w:r w:rsidR="00DB4F40" w:rsidRPr="00171632">
              <w:rPr>
                <w:sz w:val="24"/>
                <w:szCs w:val="24"/>
                <w:vertAlign w:val="superscript"/>
              </w:rPr>
              <w:t>1</w:t>
            </w:r>
            <w:r w:rsidR="00DB4F40" w:rsidRPr="00DB4F40">
              <w:rPr>
                <w:sz w:val="24"/>
                <w:szCs w:val="24"/>
              </w:rPr>
              <w:t xml:space="preserve"> daļu</w:t>
            </w:r>
            <w:r w:rsidR="00171632">
              <w:rPr>
                <w:sz w:val="24"/>
                <w:szCs w:val="24"/>
              </w:rPr>
              <w:t>, kas atsevišķām sabiedrībām</w:t>
            </w:r>
            <w:r w:rsidR="001575CC">
              <w:rPr>
                <w:sz w:val="24"/>
                <w:szCs w:val="24"/>
              </w:rPr>
              <w:t xml:space="preserve">, </w:t>
            </w:r>
            <w:r w:rsidR="001575CC" w:rsidRPr="001575CC">
              <w:rPr>
                <w:sz w:val="24"/>
                <w:szCs w:val="24"/>
              </w:rPr>
              <w:t xml:space="preserve">kad tās pārstāj būt par regulētā tirgus dalībniecēm, </w:t>
            </w:r>
            <w:r w:rsidR="00171632">
              <w:rPr>
                <w:sz w:val="24"/>
                <w:szCs w:val="24"/>
              </w:rPr>
              <w:t>dotu tiesības</w:t>
            </w:r>
            <w:r w:rsidR="00171632">
              <w:t xml:space="preserve"> </w:t>
            </w:r>
            <w:r w:rsidR="00171632" w:rsidRPr="00171632">
              <w:rPr>
                <w:sz w:val="24"/>
                <w:szCs w:val="24"/>
              </w:rPr>
              <w:t>sagatavot gada pārskatus</w:t>
            </w:r>
            <w:r w:rsidR="00171632">
              <w:t xml:space="preserve"> </w:t>
            </w:r>
            <w:r w:rsidR="00171632" w:rsidRPr="00171632">
              <w:rPr>
                <w:sz w:val="24"/>
                <w:szCs w:val="24"/>
              </w:rPr>
              <w:t>arī</w:t>
            </w:r>
            <w:r w:rsidR="00171632">
              <w:t xml:space="preserve"> </w:t>
            </w:r>
            <w:r w:rsidR="00171632">
              <w:rPr>
                <w:sz w:val="24"/>
                <w:szCs w:val="24"/>
              </w:rPr>
              <w:t>turpm</w:t>
            </w:r>
            <w:r w:rsidR="00171632" w:rsidRPr="00171632">
              <w:rPr>
                <w:sz w:val="24"/>
                <w:szCs w:val="24"/>
              </w:rPr>
              <w:t>ā</w:t>
            </w:r>
            <w:r w:rsidR="00171632">
              <w:rPr>
                <w:sz w:val="24"/>
                <w:szCs w:val="24"/>
              </w:rPr>
              <w:t>k</w:t>
            </w:r>
            <w:r w:rsidR="00171632" w:rsidRPr="00171632">
              <w:rPr>
                <w:sz w:val="24"/>
                <w:szCs w:val="24"/>
              </w:rPr>
              <w:t xml:space="preserve"> </w:t>
            </w:r>
            <w:r w:rsidR="00171632" w:rsidRPr="00171632">
              <w:rPr>
                <w:sz w:val="24"/>
                <w:szCs w:val="24"/>
              </w:rPr>
              <w:lastRenderedPageBreak/>
              <w:t>atbilstoši SGS</w:t>
            </w:r>
            <w:r w:rsidR="000F162A">
              <w:rPr>
                <w:sz w:val="24"/>
                <w:szCs w:val="24"/>
              </w:rPr>
              <w:t>,</w:t>
            </w:r>
          </w:p>
          <w:p w14:paraId="005FEA20" w14:textId="352D7E81" w:rsidR="006B4B0A" w:rsidRPr="008C5CB8" w:rsidRDefault="006B4B0A" w:rsidP="008C5CB8">
            <w:pPr>
              <w:spacing w:after="120" w:line="240" w:lineRule="auto"/>
              <w:jc w:val="both"/>
              <w:rPr>
                <w:sz w:val="24"/>
                <w:szCs w:val="24"/>
              </w:rPr>
            </w:pPr>
            <w:r>
              <w:rPr>
                <w:sz w:val="24"/>
                <w:szCs w:val="24"/>
              </w:rPr>
              <w:t xml:space="preserve">- </w:t>
            </w:r>
            <w:r w:rsidR="000F162A">
              <w:rPr>
                <w:sz w:val="24"/>
                <w:szCs w:val="24"/>
              </w:rPr>
              <w:t>2.pants paredz precizēt p</w:t>
            </w:r>
            <w:r w:rsidR="000F162A" w:rsidRPr="000F162A">
              <w:rPr>
                <w:sz w:val="24"/>
                <w:szCs w:val="24"/>
              </w:rPr>
              <w:t>ārvērtēšanas rezerves veidošana</w:t>
            </w:r>
            <w:r w:rsidR="000F162A">
              <w:rPr>
                <w:sz w:val="24"/>
                <w:szCs w:val="24"/>
              </w:rPr>
              <w:t>s noteikumus, a</w:t>
            </w:r>
            <w:r w:rsidR="000F162A" w:rsidRPr="000F162A">
              <w:rPr>
                <w:sz w:val="24"/>
                <w:szCs w:val="24"/>
              </w:rPr>
              <w:t>izstā</w:t>
            </w:r>
            <w:r w:rsidR="000F162A">
              <w:rPr>
                <w:sz w:val="24"/>
                <w:szCs w:val="24"/>
              </w:rPr>
              <w:t>t</w:t>
            </w:r>
            <w:r w:rsidR="000F162A" w:rsidRPr="000F162A">
              <w:rPr>
                <w:sz w:val="24"/>
                <w:szCs w:val="24"/>
              </w:rPr>
              <w:t xml:space="preserve"> </w:t>
            </w:r>
            <w:r w:rsidR="000F162A">
              <w:rPr>
                <w:sz w:val="24"/>
                <w:szCs w:val="24"/>
              </w:rPr>
              <w:t xml:space="preserve">Likuma </w:t>
            </w:r>
            <w:r w:rsidR="000F162A" w:rsidRPr="000F162A">
              <w:rPr>
                <w:sz w:val="24"/>
                <w:szCs w:val="24"/>
              </w:rPr>
              <w:t>33.panta otrās daļas otrajā teikumā vārdus “vērtības samazinājuma korekcijas” ar vārdiem “vērtības samazinājumu”</w:t>
            </w:r>
            <w:r w:rsidR="000F162A">
              <w:rPr>
                <w:sz w:val="24"/>
                <w:szCs w:val="24"/>
              </w:rPr>
              <w:t xml:space="preserve">, lai </w:t>
            </w:r>
            <w:r w:rsidR="002308BA">
              <w:rPr>
                <w:sz w:val="24"/>
                <w:szCs w:val="24"/>
              </w:rPr>
              <w:t>regulējumu saskaņo</w:t>
            </w:r>
            <w:r w:rsidR="000F162A">
              <w:rPr>
                <w:sz w:val="24"/>
                <w:szCs w:val="24"/>
              </w:rPr>
              <w:t>tu</w:t>
            </w:r>
            <w:r w:rsidR="000F162A" w:rsidRPr="000F162A">
              <w:rPr>
                <w:sz w:val="24"/>
                <w:szCs w:val="24"/>
              </w:rPr>
              <w:t xml:space="preserve"> SGS</w:t>
            </w:r>
            <w:r w:rsidR="002308BA">
              <w:rPr>
                <w:sz w:val="24"/>
                <w:szCs w:val="24"/>
              </w:rPr>
              <w:t>;</w:t>
            </w:r>
          </w:p>
          <w:p w14:paraId="7AA9132E" w14:textId="68707250" w:rsidR="00A73B00" w:rsidRDefault="00A73B00" w:rsidP="005530BC">
            <w:pPr>
              <w:spacing w:after="120" w:line="240" w:lineRule="auto"/>
              <w:jc w:val="both"/>
              <w:rPr>
                <w:sz w:val="24"/>
                <w:szCs w:val="24"/>
              </w:rPr>
            </w:pPr>
            <w:r>
              <w:rPr>
                <w:sz w:val="24"/>
                <w:szCs w:val="24"/>
              </w:rPr>
              <w:t>2) u</w:t>
            </w:r>
            <w:r w:rsidR="008C5CB8" w:rsidRPr="008C5CB8">
              <w:rPr>
                <w:sz w:val="24"/>
                <w:szCs w:val="24"/>
              </w:rPr>
              <w:t>zlabotu pētniecības un attīstības statistikas datu iegūšanu, tai skaitā izmantojot Valsts ieņēmumu dienesta Elektroniskās dek</w:t>
            </w:r>
            <w:r w:rsidR="00CC70BC">
              <w:rPr>
                <w:sz w:val="24"/>
                <w:szCs w:val="24"/>
              </w:rPr>
              <w:t xml:space="preserve">larēšanas sistēmas resursus. </w:t>
            </w:r>
            <w:r w:rsidR="00CC70BC" w:rsidRPr="00CC70BC">
              <w:rPr>
                <w:sz w:val="24"/>
                <w:szCs w:val="24"/>
              </w:rPr>
              <w:t>Lai izpil</w:t>
            </w:r>
            <w:r w:rsidR="00CC70BC">
              <w:rPr>
                <w:sz w:val="24"/>
                <w:szCs w:val="24"/>
              </w:rPr>
              <w:t xml:space="preserve">dītu šo uzdevumu, likumprojekta 3.pants paredz papildināt Likuma 53.panta pirmo daļu ar </w:t>
            </w:r>
            <w:r w:rsidR="00CC70BC" w:rsidRPr="00CC70BC">
              <w:rPr>
                <w:sz w:val="24"/>
                <w:szCs w:val="24"/>
              </w:rPr>
              <w:t>17.punktu</w:t>
            </w:r>
            <w:r w:rsidR="00CC70BC">
              <w:rPr>
                <w:sz w:val="24"/>
                <w:szCs w:val="24"/>
              </w:rPr>
              <w:t xml:space="preserve">, kas noteiktu, ka Likuma izpratnē vidējām un lielām sabiedrībā </w:t>
            </w:r>
            <w:r w:rsidR="00CC70BC" w:rsidRPr="00CC70BC">
              <w:rPr>
                <w:sz w:val="24"/>
                <w:szCs w:val="24"/>
              </w:rPr>
              <w:t xml:space="preserve"> </w:t>
            </w:r>
            <w:r w:rsidR="00CC70BC">
              <w:rPr>
                <w:sz w:val="24"/>
                <w:szCs w:val="24"/>
              </w:rPr>
              <w:t xml:space="preserve">ir pienākums finanšu pārskata pielikumā sniegt arī </w:t>
            </w:r>
            <w:r w:rsidR="00CC70BC" w:rsidRPr="00CC70BC">
              <w:rPr>
                <w:sz w:val="24"/>
                <w:szCs w:val="24"/>
              </w:rPr>
              <w:t xml:space="preserve"> detalizētu informāciju par pētni</w:t>
            </w:r>
            <w:r w:rsidR="00CC70BC">
              <w:rPr>
                <w:sz w:val="24"/>
                <w:szCs w:val="24"/>
              </w:rPr>
              <w:t>ecīb</w:t>
            </w:r>
            <w:r w:rsidR="00240D82">
              <w:rPr>
                <w:sz w:val="24"/>
                <w:szCs w:val="24"/>
              </w:rPr>
              <w:t>as un attīstības izmaksām;</w:t>
            </w:r>
          </w:p>
          <w:p w14:paraId="216D80D6" w14:textId="60366E89" w:rsidR="006938FF" w:rsidRPr="00B51861" w:rsidRDefault="00240D82" w:rsidP="009303CD">
            <w:pPr>
              <w:spacing w:after="120" w:line="240" w:lineRule="auto"/>
              <w:jc w:val="both"/>
              <w:rPr>
                <w:bCs/>
                <w:sz w:val="24"/>
                <w:szCs w:val="24"/>
              </w:rPr>
            </w:pPr>
            <w:r>
              <w:rPr>
                <w:sz w:val="24"/>
                <w:szCs w:val="24"/>
              </w:rPr>
              <w:t xml:space="preserve"> </w:t>
            </w:r>
            <w:r w:rsidRPr="009303CD">
              <w:rPr>
                <w:sz w:val="24"/>
                <w:szCs w:val="24"/>
              </w:rPr>
              <w:t>3</w:t>
            </w:r>
            <w:r w:rsidRPr="00B51861">
              <w:rPr>
                <w:bCs/>
                <w:sz w:val="24"/>
                <w:szCs w:val="24"/>
              </w:rPr>
              <w:t>) uzlabotu datu iegūšanu par būvniecības pakalpojumu sniegšanu izmantojot Valsts ieņēmumu dienesta Elektroniskās deklarēšanas sistēmas resursus, kas atvieglos valsts nodevas par reģistrācijas darbībām būvkome</w:t>
            </w:r>
            <w:r w:rsidR="009303CD">
              <w:rPr>
                <w:bCs/>
                <w:sz w:val="24"/>
                <w:szCs w:val="24"/>
              </w:rPr>
              <w:t xml:space="preserve">rsantu reģistrā administrēšanu. </w:t>
            </w:r>
            <w:r w:rsidRPr="00B51861">
              <w:rPr>
                <w:bCs/>
                <w:sz w:val="24"/>
                <w:szCs w:val="24"/>
              </w:rPr>
              <w:t>Lai izpildītu šo uzdevumu, likumprojekta</w:t>
            </w:r>
            <w:r w:rsidR="006938FF" w:rsidRPr="00B51861">
              <w:rPr>
                <w:bCs/>
                <w:sz w:val="24"/>
                <w:szCs w:val="24"/>
              </w:rPr>
              <w:t>:</w:t>
            </w:r>
          </w:p>
          <w:p w14:paraId="03729BC3" w14:textId="00DB8709" w:rsidR="006938FF" w:rsidRPr="009303CD" w:rsidRDefault="006938FF" w:rsidP="009303CD">
            <w:pPr>
              <w:spacing w:after="120" w:line="240" w:lineRule="auto"/>
              <w:jc w:val="both"/>
              <w:rPr>
                <w:rFonts w:eastAsia="Times New Roman"/>
                <w:bCs/>
                <w:sz w:val="24"/>
                <w:szCs w:val="24"/>
                <w:lang w:eastAsia="lv-LV"/>
              </w:rPr>
            </w:pPr>
            <w:r w:rsidRPr="00B51861">
              <w:rPr>
                <w:bCs/>
                <w:sz w:val="24"/>
                <w:szCs w:val="24"/>
              </w:rPr>
              <w:t xml:space="preserve">- </w:t>
            </w:r>
            <w:r w:rsidR="00240D82" w:rsidRPr="00B51861">
              <w:rPr>
                <w:bCs/>
                <w:sz w:val="24"/>
                <w:szCs w:val="24"/>
              </w:rPr>
              <w:t xml:space="preserve"> </w:t>
            </w:r>
            <w:r w:rsidR="004535CD">
              <w:rPr>
                <w:bCs/>
                <w:sz w:val="24"/>
                <w:szCs w:val="24"/>
              </w:rPr>
              <w:t>5.pants paredz likuma 2.pielikuma</w:t>
            </w:r>
            <w:r w:rsidRPr="00B51861">
              <w:rPr>
                <w:bCs/>
                <w:sz w:val="24"/>
                <w:szCs w:val="24"/>
              </w:rPr>
              <w:t xml:space="preserve"> </w:t>
            </w:r>
            <w:r w:rsidR="009303CD" w:rsidRPr="009303CD">
              <w:rPr>
                <w:rFonts w:eastAsia="Times New Roman"/>
                <w:bCs/>
                <w:sz w:val="24"/>
                <w:szCs w:val="24"/>
                <w:lang w:eastAsia="lv-LV"/>
              </w:rPr>
              <w:t>“</w:t>
            </w:r>
            <w:r w:rsidRPr="009303CD">
              <w:rPr>
                <w:rFonts w:eastAsia="Times New Roman"/>
                <w:bCs/>
                <w:sz w:val="24"/>
                <w:szCs w:val="24"/>
                <w:lang w:eastAsia="lv-LV"/>
              </w:rPr>
              <w:t xml:space="preserve">Peļņas vai zaudējumu aprēķina shēma vertikālā formā (klasificēta pēc izdevumu veidiem)” </w:t>
            </w:r>
            <w:r w:rsidR="004535CD">
              <w:rPr>
                <w:rFonts w:eastAsia="Times New Roman"/>
                <w:bCs/>
                <w:sz w:val="24"/>
                <w:szCs w:val="24"/>
                <w:lang w:eastAsia="lv-LV"/>
              </w:rPr>
              <w:t>1.punktu “Neto apgrozījums”</w:t>
            </w:r>
            <w:r w:rsidRPr="009303CD">
              <w:rPr>
                <w:rFonts w:eastAsia="Times New Roman"/>
                <w:bCs/>
                <w:sz w:val="24"/>
                <w:szCs w:val="24"/>
                <w:lang w:eastAsia="lv-LV"/>
              </w:rPr>
              <w:t xml:space="preserve"> papildināt ar jaunu </w:t>
            </w:r>
            <w:proofErr w:type="spellStart"/>
            <w:r w:rsidRPr="009303CD">
              <w:rPr>
                <w:rFonts w:eastAsia="Times New Roman"/>
                <w:bCs/>
                <w:sz w:val="24"/>
                <w:szCs w:val="24"/>
                <w:lang w:eastAsia="lv-LV"/>
              </w:rPr>
              <w:t>apakšposteni</w:t>
            </w:r>
            <w:proofErr w:type="spellEnd"/>
            <w:r w:rsidRPr="009303CD">
              <w:rPr>
                <w:rFonts w:eastAsia="Times New Roman"/>
                <w:bCs/>
                <w:sz w:val="24"/>
                <w:szCs w:val="24"/>
                <w:lang w:eastAsia="lv-LV"/>
              </w:rPr>
              <w:t>, kurā norāda apgrozījumu  no sniegtajiem būvniecības pakalpojumiem;</w:t>
            </w:r>
          </w:p>
          <w:p w14:paraId="08C93D55" w14:textId="5150E284" w:rsidR="006938FF" w:rsidRPr="009303CD" w:rsidRDefault="006938FF" w:rsidP="009303CD">
            <w:pPr>
              <w:spacing w:after="120" w:line="240" w:lineRule="auto"/>
              <w:jc w:val="both"/>
              <w:rPr>
                <w:rFonts w:eastAsia="Times New Roman"/>
                <w:bCs/>
                <w:sz w:val="24"/>
                <w:szCs w:val="24"/>
                <w:lang w:eastAsia="lv-LV"/>
              </w:rPr>
            </w:pPr>
            <w:r w:rsidRPr="00B51861">
              <w:rPr>
                <w:rFonts w:eastAsia="Times New Roman"/>
                <w:bCs/>
                <w:color w:val="414142"/>
                <w:sz w:val="24"/>
                <w:szCs w:val="24"/>
                <w:lang w:eastAsia="lv-LV"/>
              </w:rPr>
              <w:t xml:space="preserve">  - </w:t>
            </w:r>
            <w:r w:rsidRPr="004535CD">
              <w:rPr>
                <w:rFonts w:eastAsia="Times New Roman"/>
                <w:bCs/>
                <w:sz w:val="24"/>
                <w:szCs w:val="24"/>
                <w:lang w:eastAsia="lv-LV"/>
              </w:rPr>
              <w:t>6</w:t>
            </w:r>
            <w:r w:rsidR="004535CD">
              <w:rPr>
                <w:bCs/>
                <w:sz w:val="24"/>
                <w:szCs w:val="24"/>
              </w:rPr>
              <w:t>.pa</w:t>
            </w:r>
            <w:r w:rsidRPr="004535CD">
              <w:rPr>
                <w:bCs/>
                <w:sz w:val="24"/>
                <w:szCs w:val="24"/>
              </w:rPr>
              <w:t xml:space="preserve">nts </w:t>
            </w:r>
            <w:r w:rsidR="004535CD">
              <w:rPr>
                <w:bCs/>
                <w:sz w:val="24"/>
                <w:szCs w:val="24"/>
              </w:rPr>
              <w:t>paredz likuma 3.pielikuma</w:t>
            </w:r>
            <w:r w:rsidRPr="00B51861">
              <w:rPr>
                <w:bCs/>
                <w:sz w:val="24"/>
                <w:szCs w:val="24"/>
              </w:rPr>
              <w:t xml:space="preserve"> </w:t>
            </w:r>
            <w:r w:rsidRPr="00B51861">
              <w:rPr>
                <w:rFonts w:eastAsia="Times New Roman"/>
                <w:bCs/>
                <w:color w:val="414142"/>
                <w:sz w:val="24"/>
                <w:szCs w:val="24"/>
                <w:lang w:eastAsia="lv-LV"/>
              </w:rPr>
              <w:t>“</w:t>
            </w:r>
            <w:r w:rsidRPr="00B51861">
              <w:rPr>
                <w:bCs/>
                <w:sz w:val="24"/>
                <w:szCs w:val="24"/>
              </w:rPr>
              <w:t>Peļņas vai zaudējumu aprēķina shēma vertikālā formā (klasificēta pēc izdevumu funkcijas)</w:t>
            </w:r>
            <w:r w:rsidRPr="00B51861">
              <w:rPr>
                <w:rFonts w:eastAsia="Times New Roman"/>
                <w:bCs/>
                <w:color w:val="414142"/>
                <w:sz w:val="24"/>
                <w:szCs w:val="24"/>
                <w:lang w:eastAsia="lv-LV"/>
              </w:rPr>
              <w:t xml:space="preserve">” </w:t>
            </w:r>
            <w:r w:rsidR="004535CD" w:rsidRPr="004535CD">
              <w:rPr>
                <w:rFonts w:eastAsia="Times New Roman"/>
                <w:bCs/>
                <w:sz w:val="24"/>
                <w:szCs w:val="24"/>
                <w:lang w:eastAsia="lv-LV"/>
              </w:rPr>
              <w:t xml:space="preserve">1.punktu </w:t>
            </w:r>
            <w:r w:rsidR="004535CD">
              <w:rPr>
                <w:rFonts w:eastAsia="Times New Roman"/>
                <w:bCs/>
                <w:sz w:val="24"/>
                <w:szCs w:val="24"/>
                <w:lang w:eastAsia="lv-LV"/>
              </w:rPr>
              <w:t>“Neto apgrozījums”</w:t>
            </w:r>
            <w:r w:rsidRPr="009303CD">
              <w:rPr>
                <w:rFonts w:eastAsia="Times New Roman"/>
                <w:bCs/>
                <w:sz w:val="24"/>
                <w:szCs w:val="24"/>
                <w:lang w:eastAsia="lv-LV"/>
              </w:rPr>
              <w:t xml:space="preserve"> papildināt ar jaunu </w:t>
            </w:r>
            <w:proofErr w:type="spellStart"/>
            <w:r w:rsidRPr="009303CD">
              <w:rPr>
                <w:rFonts w:eastAsia="Times New Roman"/>
                <w:bCs/>
                <w:sz w:val="24"/>
                <w:szCs w:val="24"/>
                <w:lang w:eastAsia="lv-LV"/>
              </w:rPr>
              <w:t>apakšposteni</w:t>
            </w:r>
            <w:proofErr w:type="spellEnd"/>
            <w:r w:rsidRPr="009303CD">
              <w:rPr>
                <w:rFonts w:eastAsia="Times New Roman"/>
                <w:bCs/>
                <w:sz w:val="24"/>
                <w:szCs w:val="24"/>
                <w:lang w:eastAsia="lv-LV"/>
              </w:rPr>
              <w:t>, kurā norāda apgrozījumu  no sniegtajiem būvniecības pakalpojumiem.</w:t>
            </w:r>
          </w:p>
          <w:p w14:paraId="1746BA3F" w14:textId="0D2EE49E" w:rsidR="005530BC" w:rsidRPr="005530BC" w:rsidRDefault="00A73B00" w:rsidP="009303CD">
            <w:pPr>
              <w:spacing w:after="120" w:line="240" w:lineRule="auto"/>
              <w:jc w:val="both"/>
              <w:rPr>
                <w:sz w:val="24"/>
                <w:szCs w:val="24"/>
              </w:rPr>
            </w:pPr>
            <w:r>
              <w:rPr>
                <w:sz w:val="24"/>
                <w:szCs w:val="24"/>
              </w:rPr>
              <w:t xml:space="preserve">     </w:t>
            </w:r>
            <w:r w:rsidR="00147E16">
              <w:rPr>
                <w:sz w:val="24"/>
                <w:szCs w:val="24"/>
              </w:rPr>
              <w:t>Atzīmējam</w:t>
            </w:r>
            <w:r w:rsidR="00C87AAA">
              <w:rPr>
                <w:sz w:val="24"/>
                <w:szCs w:val="24"/>
              </w:rPr>
              <w:t xml:space="preserve">, ka </w:t>
            </w:r>
            <w:r w:rsidR="00E17FF6">
              <w:rPr>
                <w:sz w:val="24"/>
                <w:szCs w:val="24"/>
              </w:rPr>
              <w:t xml:space="preserve">saskaņā ar </w:t>
            </w:r>
            <w:r w:rsidR="00C0123E" w:rsidRPr="00C0123E">
              <w:rPr>
                <w:sz w:val="24"/>
                <w:szCs w:val="24"/>
              </w:rPr>
              <w:t>Likuma 15.p</w:t>
            </w:r>
            <w:r w:rsidR="00E17FF6">
              <w:rPr>
                <w:sz w:val="24"/>
                <w:szCs w:val="24"/>
              </w:rPr>
              <w:t>anta pirm</w:t>
            </w:r>
            <w:r>
              <w:rPr>
                <w:sz w:val="24"/>
                <w:szCs w:val="24"/>
              </w:rPr>
              <w:t>ajā</w:t>
            </w:r>
            <w:r w:rsidR="00E17FF6">
              <w:rPr>
                <w:sz w:val="24"/>
                <w:szCs w:val="24"/>
              </w:rPr>
              <w:t xml:space="preserve"> daļ</w:t>
            </w:r>
            <w:r>
              <w:rPr>
                <w:sz w:val="24"/>
                <w:szCs w:val="24"/>
              </w:rPr>
              <w:t>ā dotajiem pilnvarojumiem</w:t>
            </w:r>
            <w:r w:rsidR="00C0123E" w:rsidRPr="00C0123E">
              <w:rPr>
                <w:sz w:val="24"/>
                <w:szCs w:val="24"/>
              </w:rPr>
              <w:t xml:space="preserve"> </w:t>
            </w:r>
            <w:r w:rsidR="00E17FF6">
              <w:rPr>
                <w:sz w:val="24"/>
                <w:szCs w:val="24"/>
              </w:rPr>
              <w:t xml:space="preserve">ir izdoti </w:t>
            </w:r>
            <w:r w:rsidR="00147E16">
              <w:rPr>
                <w:sz w:val="24"/>
                <w:szCs w:val="24"/>
              </w:rPr>
              <w:t xml:space="preserve">Ministru kabineta </w:t>
            </w:r>
            <w:r w:rsidR="00BB679B">
              <w:rPr>
                <w:sz w:val="24"/>
                <w:szCs w:val="24"/>
              </w:rPr>
              <w:t>2015. gada 22. decembra noteikumi Nr.775 “Gada pārskatu un konsolidēto gada pārskatu likuma piemērošanas noteikumi”.</w:t>
            </w:r>
            <w:r w:rsidR="00147E16">
              <w:rPr>
                <w:sz w:val="24"/>
                <w:szCs w:val="24"/>
              </w:rPr>
              <w:t xml:space="preserve"> Pēc likumprojekta p</w:t>
            </w:r>
            <w:r>
              <w:rPr>
                <w:sz w:val="24"/>
                <w:szCs w:val="24"/>
              </w:rPr>
              <w:t>ieņemšanas šo noteikumu 9.nodaļa</w:t>
            </w:r>
            <w:r w:rsidR="00147E16">
              <w:rPr>
                <w:sz w:val="24"/>
                <w:szCs w:val="24"/>
              </w:rPr>
              <w:t xml:space="preserve"> “</w:t>
            </w:r>
            <w:r w:rsidR="00147E16" w:rsidRPr="00147E16">
              <w:rPr>
                <w:sz w:val="24"/>
                <w:szCs w:val="24"/>
              </w:rPr>
              <w:t>Pētniecības un attīstības pasākumu un sabiedrībā radītu nemateriālo ieguldījumu klasifikācijas nosacījumiem neatbilstošu bezķermenisku lietu norādīšana finanšu pārskatā</w:t>
            </w:r>
            <w:r w:rsidR="00147E16">
              <w:rPr>
                <w:sz w:val="24"/>
                <w:szCs w:val="24"/>
              </w:rPr>
              <w:t xml:space="preserve">” </w:t>
            </w:r>
            <w:r>
              <w:rPr>
                <w:sz w:val="24"/>
                <w:szCs w:val="24"/>
              </w:rPr>
              <w:t>tiks</w:t>
            </w:r>
            <w:r w:rsidR="00147E16">
              <w:rPr>
                <w:sz w:val="24"/>
                <w:szCs w:val="24"/>
              </w:rPr>
              <w:t xml:space="preserve"> papildināt</w:t>
            </w:r>
            <w:r>
              <w:rPr>
                <w:sz w:val="24"/>
                <w:szCs w:val="24"/>
              </w:rPr>
              <w:t>a</w:t>
            </w:r>
            <w:r w:rsidR="00147E16">
              <w:rPr>
                <w:sz w:val="24"/>
                <w:szCs w:val="24"/>
              </w:rPr>
              <w:t xml:space="preserve"> ar jaunu </w:t>
            </w:r>
            <w:r w:rsidR="005530BC" w:rsidRPr="005530BC">
              <w:rPr>
                <w:sz w:val="24"/>
                <w:szCs w:val="24"/>
              </w:rPr>
              <w:t>194.</w:t>
            </w:r>
            <w:r w:rsidR="005530BC" w:rsidRPr="005530BC">
              <w:rPr>
                <w:sz w:val="24"/>
                <w:szCs w:val="24"/>
                <w:vertAlign w:val="superscript"/>
              </w:rPr>
              <w:t>1</w:t>
            </w:r>
            <w:r w:rsidR="005530BC" w:rsidRPr="005530BC">
              <w:rPr>
                <w:sz w:val="24"/>
                <w:szCs w:val="24"/>
              </w:rPr>
              <w:t xml:space="preserve"> punktu šādā redakcijā: </w:t>
            </w:r>
          </w:p>
          <w:p w14:paraId="0F63AE6C" w14:textId="77777777" w:rsidR="005530BC" w:rsidRPr="005530BC" w:rsidRDefault="005530BC" w:rsidP="00A73B00">
            <w:pPr>
              <w:spacing w:after="0" w:line="240" w:lineRule="auto"/>
              <w:jc w:val="both"/>
              <w:rPr>
                <w:sz w:val="24"/>
                <w:szCs w:val="24"/>
              </w:rPr>
            </w:pPr>
            <w:r w:rsidRPr="005530BC">
              <w:rPr>
                <w:sz w:val="24"/>
                <w:szCs w:val="24"/>
              </w:rPr>
              <w:t xml:space="preserve">“194.1 “Piemērojot likuma 53. panta pirmās daļas 17. punkta prasības, sabiedrība finanšu pārskata pielikumā sniedz informāciju par pārskata gadā: </w:t>
            </w:r>
          </w:p>
          <w:p w14:paraId="7E272D29" w14:textId="77777777" w:rsidR="005530BC" w:rsidRPr="005530BC" w:rsidRDefault="005530BC" w:rsidP="00A73B00">
            <w:pPr>
              <w:spacing w:after="0" w:line="240" w:lineRule="auto"/>
              <w:jc w:val="both"/>
              <w:rPr>
                <w:sz w:val="24"/>
                <w:szCs w:val="24"/>
              </w:rPr>
            </w:pPr>
            <w:r w:rsidRPr="005530BC">
              <w:rPr>
                <w:sz w:val="24"/>
                <w:szCs w:val="24"/>
              </w:rPr>
              <w:t>194.1 1. bilancē iekļautām (kapitalizētām attīstības izmaksām);</w:t>
            </w:r>
          </w:p>
          <w:p w14:paraId="3FFC8C7C" w14:textId="77777777" w:rsidR="005530BC" w:rsidRPr="005530BC" w:rsidRDefault="005530BC" w:rsidP="00A73B00">
            <w:pPr>
              <w:spacing w:after="0" w:line="240" w:lineRule="auto"/>
              <w:jc w:val="both"/>
              <w:rPr>
                <w:sz w:val="24"/>
                <w:szCs w:val="24"/>
              </w:rPr>
            </w:pPr>
            <w:r w:rsidRPr="005530BC">
              <w:rPr>
                <w:sz w:val="24"/>
                <w:szCs w:val="24"/>
              </w:rPr>
              <w:t>194.1 2. izdevumos norakstītām pētniecības un attīstības izmaksām;</w:t>
            </w:r>
          </w:p>
          <w:p w14:paraId="56A63DFF" w14:textId="77777777" w:rsidR="005530BC" w:rsidRPr="005530BC" w:rsidRDefault="005530BC" w:rsidP="00A73B00">
            <w:pPr>
              <w:spacing w:after="0" w:line="240" w:lineRule="auto"/>
              <w:jc w:val="both"/>
              <w:rPr>
                <w:sz w:val="24"/>
                <w:szCs w:val="24"/>
              </w:rPr>
            </w:pPr>
            <w:r w:rsidRPr="005530BC">
              <w:rPr>
                <w:sz w:val="24"/>
                <w:szCs w:val="24"/>
              </w:rPr>
              <w:t>194.1 3. pētniecībā un attīstībā nodarbināto darbinieku skaitu un viņiem aprēķinātās atlīdzības kopsummu;</w:t>
            </w:r>
          </w:p>
          <w:p w14:paraId="42A54E62" w14:textId="77777777" w:rsidR="005530BC" w:rsidRPr="005530BC" w:rsidRDefault="005530BC" w:rsidP="00A73B00">
            <w:pPr>
              <w:spacing w:after="0" w:line="240" w:lineRule="auto"/>
              <w:jc w:val="both"/>
              <w:rPr>
                <w:sz w:val="24"/>
                <w:szCs w:val="24"/>
              </w:rPr>
            </w:pPr>
            <w:r w:rsidRPr="005530BC">
              <w:rPr>
                <w:sz w:val="24"/>
                <w:szCs w:val="24"/>
              </w:rPr>
              <w:t>194.1 4. saņemto valsts finansējumu pētniecības un attīstības darbu veikšanai;</w:t>
            </w:r>
          </w:p>
          <w:p w14:paraId="763C5E4D" w14:textId="423177B4" w:rsidR="00D2445A" w:rsidRDefault="005530BC" w:rsidP="00D64AF3">
            <w:pPr>
              <w:spacing w:after="120" w:line="240" w:lineRule="auto"/>
              <w:jc w:val="both"/>
              <w:rPr>
                <w:sz w:val="24"/>
                <w:szCs w:val="24"/>
              </w:rPr>
            </w:pPr>
            <w:r w:rsidRPr="005530BC">
              <w:rPr>
                <w:sz w:val="24"/>
                <w:szCs w:val="24"/>
              </w:rPr>
              <w:t>194.1 5. noslēgtiem līgumiem par pētniecības darbu izpildi ar citiem uzņēmumiem.”</w:t>
            </w:r>
          </w:p>
          <w:p w14:paraId="00AE1B08" w14:textId="68895E1B" w:rsidR="00350609" w:rsidRPr="00CC193B" w:rsidRDefault="00350609" w:rsidP="00D64AF3">
            <w:pPr>
              <w:spacing w:after="120" w:line="240" w:lineRule="auto"/>
              <w:jc w:val="both"/>
              <w:rPr>
                <w:sz w:val="24"/>
                <w:szCs w:val="24"/>
              </w:rPr>
            </w:pPr>
            <w:r w:rsidRPr="00350609">
              <w:rPr>
                <w:sz w:val="24"/>
                <w:szCs w:val="24"/>
              </w:rPr>
              <w:t>At</w:t>
            </w:r>
            <w:r w:rsidR="00A73B00">
              <w:rPr>
                <w:sz w:val="24"/>
                <w:szCs w:val="24"/>
              </w:rPr>
              <w:t>tiecīgi būs</w:t>
            </w:r>
            <w:r w:rsidR="00163069">
              <w:rPr>
                <w:sz w:val="24"/>
                <w:szCs w:val="24"/>
              </w:rPr>
              <w:t xml:space="preserve"> jāpapildina arī Ministru kabineta 2016. gada 21. jūnija </w:t>
            </w:r>
            <w:r w:rsidRPr="00350609">
              <w:rPr>
                <w:sz w:val="24"/>
                <w:szCs w:val="24"/>
              </w:rPr>
              <w:t xml:space="preserve">noteikumu Nr.399 </w:t>
            </w:r>
            <w:r w:rsidR="00163069">
              <w:rPr>
                <w:sz w:val="24"/>
                <w:szCs w:val="24"/>
              </w:rPr>
              <w:t>“</w:t>
            </w:r>
            <w:r w:rsidR="00163069" w:rsidRPr="00163069">
              <w:rPr>
                <w:sz w:val="24"/>
                <w:szCs w:val="24"/>
              </w:rPr>
              <w:t xml:space="preserve">Noteikumi par sabiedrību sagatavoto finanšu pārskatu vai konsolidēto finanšu pārskatu elektroniskā noraksta </w:t>
            </w:r>
            <w:r w:rsidR="00163069" w:rsidRPr="00163069">
              <w:rPr>
                <w:sz w:val="24"/>
                <w:szCs w:val="24"/>
              </w:rPr>
              <w:lastRenderedPageBreak/>
              <w:t>formu</w:t>
            </w:r>
            <w:r w:rsidR="00163069">
              <w:rPr>
                <w:sz w:val="24"/>
                <w:szCs w:val="24"/>
              </w:rPr>
              <w:t xml:space="preserve">” </w:t>
            </w:r>
            <w:r w:rsidRPr="00350609">
              <w:rPr>
                <w:sz w:val="24"/>
                <w:szCs w:val="24"/>
              </w:rPr>
              <w:t>pielikums “Finanšu pārskata pielikums vai piezīmes”.</w:t>
            </w:r>
          </w:p>
          <w:p w14:paraId="34F2D38E" w14:textId="4BD88BFC" w:rsidR="00C163A2" w:rsidRPr="00EC2B40" w:rsidRDefault="0030083A" w:rsidP="001F14F0">
            <w:pPr>
              <w:spacing w:after="120" w:line="240" w:lineRule="auto"/>
              <w:jc w:val="both"/>
              <w:rPr>
                <w:sz w:val="24"/>
                <w:szCs w:val="24"/>
              </w:rPr>
            </w:pPr>
            <w:r>
              <w:rPr>
                <w:rFonts w:eastAsia="Times New Roman"/>
                <w:sz w:val="24"/>
                <w:szCs w:val="24"/>
                <w:lang w:eastAsia="lv-LV"/>
              </w:rPr>
              <w:t xml:space="preserve">     </w:t>
            </w:r>
            <w:r w:rsidR="00641459">
              <w:rPr>
                <w:rFonts w:eastAsia="Times New Roman"/>
                <w:sz w:val="24"/>
                <w:szCs w:val="24"/>
                <w:lang w:eastAsia="lv-LV"/>
              </w:rPr>
              <w:t>Ar likumprojektu</w:t>
            </w:r>
            <w:r>
              <w:rPr>
                <w:rFonts w:eastAsia="Times New Roman"/>
                <w:sz w:val="24"/>
                <w:szCs w:val="24"/>
                <w:lang w:eastAsia="lv-LV"/>
              </w:rPr>
              <w:t xml:space="preserve"> </w:t>
            </w:r>
            <w:r w:rsidR="00641459">
              <w:rPr>
                <w:rFonts w:eastAsia="Times New Roman"/>
                <w:sz w:val="24"/>
                <w:szCs w:val="24"/>
                <w:lang w:eastAsia="lv-LV"/>
              </w:rPr>
              <w:t>paredzēts arī</w:t>
            </w:r>
            <w:r w:rsidRPr="0030083A">
              <w:rPr>
                <w:rFonts w:eastAsia="Times New Roman"/>
                <w:sz w:val="24"/>
                <w:szCs w:val="24"/>
                <w:lang w:eastAsia="lv-LV"/>
              </w:rPr>
              <w:t xml:space="preserve"> </w:t>
            </w:r>
            <w:r w:rsidR="00641459">
              <w:rPr>
                <w:rFonts w:eastAsia="Times New Roman"/>
                <w:sz w:val="24"/>
                <w:szCs w:val="24"/>
                <w:lang w:eastAsia="lv-LV"/>
              </w:rPr>
              <w:t>novērst</w:t>
            </w:r>
            <w:r w:rsidR="00464EBD">
              <w:rPr>
                <w:rFonts w:eastAsia="Times New Roman"/>
                <w:sz w:val="24"/>
                <w:szCs w:val="24"/>
                <w:lang w:eastAsia="lv-LV"/>
              </w:rPr>
              <w:t xml:space="preserve"> radušos neskaidrību attiecībā uz Grāmatvedības direktīvas prasību pārņemšanu</w:t>
            </w:r>
            <w:r w:rsidR="00641459">
              <w:rPr>
                <w:rFonts w:eastAsia="Times New Roman"/>
                <w:sz w:val="24"/>
                <w:szCs w:val="24"/>
                <w:lang w:eastAsia="lv-LV"/>
              </w:rPr>
              <w:t>, tādēļ</w:t>
            </w:r>
            <w:r>
              <w:rPr>
                <w:rFonts w:eastAsia="Times New Roman"/>
                <w:sz w:val="24"/>
                <w:szCs w:val="24"/>
                <w:lang w:eastAsia="lv-LV"/>
              </w:rPr>
              <w:t xml:space="preserve"> </w:t>
            </w:r>
            <w:r w:rsidR="00EC2B40">
              <w:rPr>
                <w:rFonts w:eastAsia="Times New Roman"/>
                <w:sz w:val="24"/>
                <w:szCs w:val="24"/>
                <w:lang w:eastAsia="lv-LV"/>
              </w:rPr>
              <w:t>lik</w:t>
            </w:r>
            <w:r w:rsidR="00315A55">
              <w:rPr>
                <w:rFonts w:eastAsia="Times New Roman"/>
                <w:sz w:val="24"/>
                <w:szCs w:val="24"/>
                <w:lang w:eastAsia="lv-LV"/>
              </w:rPr>
              <w:t xml:space="preserve">umprojekta 3.punkts paredz papildināt </w:t>
            </w:r>
            <w:r>
              <w:rPr>
                <w:rFonts w:eastAsia="Times New Roman"/>
                <w:sz w:val="24"/>
                <w:szCs w:val="24"/>
                <w:lang w:eastAsia="lv-LV"/>
              </w:rPr>
              <w:t xml:space="preserve">Likuma </w:t>
            </w:r>
            <w:r w:rsidR="00315A55">
              <w:rPr>
                <w:rFonts w:eastAsia="Times New Roman"/>
                <w:sz w:val="24"/>
                <w:szCs w:val="24"/>
                <w:lang w:eastAsia="lv-LV"/>
              </w:rPr>
              <w:t xml:space="preserve">53.panta pirmās daļas 9.punktu </w:t>
            </w:r>
            <w:r w:rsidR="00464EBD" w:rsidRPr="00464EBD">
              <w:rPr>
                <w:rFonts w:eastAsia="Times New Roman"/>
                <w:sz w:val="24"/>
                <w:szCs w:val="24"/>
                <w:lang w:eastAsia="lv-LV"/>
              </w:rPr>
              <w:t>pēc vārdiem “līdzdalības apliecības” ar vārdiem “konvertējamas obligācijas”</w:t>
            </w:r>
            <w:r w:rsidR="00464EBD">
              <w:rPr>
                <w:rFonts w:eastAsia="Times New Roman"/>
                <w:sz w:val="24"/>
                <w:szCs w:val="24"/>
                <w:lang w:eastAsia="lv-LV"/>
              </w:rPr>
              <w:t>.</w:t>
            </w:r>
          </w:p>
          <w:p w14:paraId="02903AD5" w14:textId="7064380B" w:rsidR="007B5684" w:rsidRPr="00574084" w:rsidRDefault="00036048" w:rsidP="0033110E">
            <w:pPr>
              <w:pStyle w:val="tv2132"/>
              <w:spacing w:after="120" w:line="240" w:lineRule="auto"/>
              <w:ind w:firstLine="363"/>
              <w:jc w:val="both"/>
              <w:rPr>
                <w:color w:val="auto"/>
                <w:sz w:val="24"/>
                <w:szCs w:val="24"/>
              </w:rPr>
            </w:pPr>
            <w:r w:rsidRPr="008F26AA">
              <w:rPr>
                <w:color w:val="auto"/>
                <w:sz w:val="24"/>
                <w:szCs w:val="24"/>
              </w:rPr>
              <w:t xml:space="preserve"> </w:t>
            </w:r>
            <w:r w:rsidR="00252514">
              <w:rPr>
                <w:color w:val="auto"/>
                <w:sz w:val="24"/>
                <w:szCs w:val="24"/>
              </w:rPr>
              <w:t xml:space="preserve">Likumprojekta 4.punktā paredzēts Likuma Pārejas noteikumus papildināt ar </w:t>
            </w:r>
            <w:r w:rsidR="00252514" w:rsidRPr="00252514">
              <w:rPr>
                <w:color w:val="auto"/>
                <w:sz w:val="24"/>
                <w:szCs w:val="24"/>
              </w:rPr>
              <w:t xml:space="preserve">9. </w:t>
            </w:r>
            <w:r w:rsidR="0033110E">
              <w:rPr>
                <w:color w:val="auto"/>
                <w:sz w:val="24"/>
                <w:szCs w:val="24"/>
              </w:rPr>
              <w:t>punktu</w:t>
            </w:r>
            <w:r w:rsidR="00252514">
              <w:rPr>
                <w:color w:val="auto"/>
                <w:sz w:val="24"/>
                <w:szCs w:val="24"/>
              </w:rPr>
              <w:t>, paredzot, ka likumprojekta 3.pantā paredzētais</w:t>
            </w:r>
            <w:r w:rsidR="00252514" w:rsidRPr="00252514">
              <w:rPr>
                <w:color w:val="auto"/>
                <w:sz w:val="24"/>
                <w:szCs w:val="24"/>
              </w:rPr>
              <w:t xml:space="preserve"> </w:t>
            </w:r>
            <w:r w:rsidR="00252514">
              <w:rPr>
                <w:color w:val="auto"/>
                <w:sz w:val="24"/>
                <w:szCs w:val="24"/>
              </w:rPr>
              <w:t>L</w:t>
            </w:r>
            <w:r w:rsidR="00247FB3">
              <w:rPr>
                <w:color w:val="auto"/>
                <w:sz w:val="24"/>
                <w:szCs w:val="24"/>
              </w:rPr>
              <w:t>ikuma 53. panta pirmās daļas jaunais 17</w:t>
            </w:r>
            <w:r w:rsidR="00252514" w:rsidRPr="00252514">
              <w:rPr>
                <w:color w:val="auto"/>
                <w:sz w:val="24"/>
                <w:szCs w:val="24"/>
              </w:rPr>
              <w:t>.punkts ir attiecināms uz gada pārskatiem un konsolidētajiem gada pārskatiem</w:t>
            </w:r>
            <w:r w:rsidR="00252514">
              <w:rPr>
                <w:color w:val="auto"/>
                <w:sz w:val="24"/>
                <w:szCs w:val="24"/>
              </w:rPr>
              <w:t>, sākot ar 2021. pārskata gadu.</w:t>
            </w:r>
          </w:p>
        </w:tc>
      </w:tr>
      <w:tr w:rsidR="005F5D0D" w:rsidRPr="005F5D0D" w14:paraId="01D53DC9"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604DB78E" w14:textId="77777777" w:rsidR="000D2356" w:rsidRPr="005F5D0D" w:rsidRDefault="005818F9" w:rsidP="00CB48CA">
            <w:pPr>
              <w:widowControl/>
              <w:spacing w:before="100" w:beforeAutospacing="1" w:after="0" w:line="240" w:lineRule="auto"/>
              <w:rPr>
                <w:rFonts w:eastAsia="Times New Roman"/>
                <w:sz w:val="24"/>
                <w:szCs w:val="24"/>
                <w:lang w:eastAsia="lv-LV"/>
              </w:rPr>
            </w:pPr>
            <w:r>
              <w:rPr>
                <w:rFonts w:eastAsia="Times New Roman"/>
                <w:iCs/>
                <w:sz w:val="24"/>
                <w:szCs w:val="24"/>
                <w:lang w:eastAsia="lv-LV"/>
              </w:rPr>
              <w:lastRenderedPageBreak/>
              <w:t>3</w:t>
            </w:r>
            <w:r w:rsidR="002C4F06" w:rsidRPr="005F5D0D">
              <w:rPr>
                <w:rFonts w:eastAsia="Times New Roman"/>
                <w:iCs/>
                <w:sz w:val="24"/>
                <w:szCs w:val="24"/>
                <w:lang w:eastAsia="lv-LV"/>
              </w:rPr>
              <w:t>.</w:t>
            </w:r>
          </w:p>
        </w:tc>
        <w:tc>
          <w:tcPr>
            <w:tcW w:w="1936" w:type="dxa"/>
            <w:tcBorders>
              <w:top w:val="outset" w:sz="6" w:space="0" w:color="auto"/>
              <w:left w:val="outset" w:sz="6" w:space="0" w:color="auto"/>
              <w:bottom w:val="outset" w:sz="6" w:space="0" w:color="auto"/>
              <w:right w:val="outset" w:sz="6" w:space="0" w:color="auto"/>
            </w:tcBorders>
            <w:hideMark/>
          </w:tcPr>
          <w:p w14:paraId="2087B381"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Projekta izstrādē iesaistītās institūcijas un publiskas personas kapitālsabiedrības</w:t>
            </w:r>
          </w:p>
        </w:tc>
        <w:tc>
          <w:tcPr>
            <w:tcW w:w="6770" w:type="dxa"/>
            <w:tcBorders>
              <w:top w:val="outset" w:sz="6" w:space="0" w:color="auto"/>
              <w:left w:val="outset" w:sz="6" w:space="0" w:color="auto"/>
              <w:bottom w:val="outset" w:sz="6" w:space="0" w:color="auto"/>
              <w:right w:val="outset" w:sz="6" w:space="0" w:color="auto"/>
            </w:tcBorders>
            <w:hideMark/>
          </w:tcPr>
          <w:p w14:paraId="10FE2B71" w14:textId="7D36376C" w:rsidR="000D2356" w:rsidRPr="003D3C40" w:rsidRDefault="002C7985" w:rsidP="003D3C40">
            <w:pPr>
              <w:spacing w:after="120" w:line="240" w:lineRule="auto"/>
              <w:ind w:firstLine="284"/>
              <w:jc w:val="both"/>
            </w:pPr>
            <w:r w:rsidRPr="002C7985">
              <w:rPr>
                <w:rFonts w:eastAsia="Times New Roman"/>
                <w:iCs/>
                <w:sz w:val="24"/>
                <w:szCs w:val="24"/>
                <w:lang w:eastAsia="lv-LV"/>
              </w:rPr>
              <w:t xml:space="preserve">Saskaņā ar Ministru kabineta 2014. gada 16. septembra noteikumu Nr. 553 "Latvijas Pētniecības un inovācijas stratēģiskās padomes nolikums" 7. punktu </w:t>
            </w:r>
            <w:r>
              <w:rPr>
                <w:rFonts w:eastAsia="Times New Roman"/>
                <w:iCs/>
                <w:sz w:val="24"/>
                <w:szCs w:val="24"/>
                <w:lang w:eastAsia="lv-LV"/>
              </w:rPr>
              <w:t xml:space="preserve">un </w:t>
            </w:r>
            <w:r w:rsidRPr="002C7985">
              <w:rPr>
                <w:rFonts w:eastAsia="Times New Roman"/>
                <w:iCs/>
                <w:sz w:val="24"/>
                <w:szCs w:val="24"/>
                <w:lang w:eastAsia="lv-LV"/>
              </w:rPr>
              <w:t xml:space="preserve">Ministru prezidenta </w:t>
            </w:r>
            <w:r>
              <w:rPr>
                <w:rFonts w:eastAsia="Times New Roman"/>
                <w:iCs/>
                <w:sz w:val="24"/>
                <w:szCs w:val="24"/>
                <w:lang w:eastAsia="lv-LV"/>
              </w:rPr>
              <w:t xml:space="preserve">2019. gada 10. jūnija rīkojumu </w:t>
            </w:r>
            <w:r w:rsidRPr="002C7985">
              <w:rPr>
                <w:rFonts w:eastAsia="Times New Roman"/>
                <w:iCs/>
                <w:sz w:val="24"/>
                <w:szCs w:val="24"/>
                <w:lang w:eastAsia="lv-LV"/>
              </w:rPr>
              <w:t>Nr. 149</w:t>
            </w:r>
            <w:r>
              <w:rPr>
                <w:rFonts w:eastAsia="Times New Roman"/>
                <w:iCs/>
                <w:sz w:val="24"/>
                <w:szCs w:val="24"/>
                <w:lang w:eastAsia="lv-LV"/>
              </w:rPr>
              <w:t xml:space="preserve"> apstiprinātā</w:t>
            </w:r>
            <w:r w:rsidRPr="002C7985">
              <w:rPr>
                <w:rFonts w:eastAsia="Times New Roman"/>
                <w:iCs/>
                <w:sz w:val="24"/>
                <w:szCs w:val="24"/>
                <w:lang w:eastAsia="lv-LV"/>
              </w:rPr>
              <w:t xml:space="preserve"> </w:t>
            </w:r>
            <w:r w:rsidR="008D0DE2" w:rsidRPr="008D0DE2">
              <w:rPr>
                <w:rFonts w:eastAsia="Times New Roman"/>
                <w:iCs/>
                <w:sz w:val="24"/>
                <w:szCs w:val="24"/>
                <w:lang w:eastAsia="lv-LV"/>
              </w:rPr>
              <w:t>Latvijas Pētnie</w:t>
            </w:r>
            <w:r>
              <w:rPr>
                <w:rFonts w:eastAsia="Times New Roman"/>
                <w:iCs/>
                <w:sz w:val="24"/>
                <w:szCs w:val="24"/>
                <w:lang w:eastAsia="lv-LV"/>
              </w:rPr>
              <w:t xml:space="preserve">cības un inovācijas stratēģiskā padome (turpmāk – </w:t>
            </w:r>
            <w:r w:rsidR="007D01C1">
              <w:rPr>
                <w:rFonts w:eastAsia="Times New Roman"/>
                <w:iCs/>
                <w:sz w:val="24"/>
                <w:szCs w:val="24"/>
                <w:lang w:eastAsia="lv-LV"/>
              </w:rPr>
              <w:t>P</w:t>
            </w:r>
            <w:r>
              <w:rPr>
                <w:rFonts w:eastAsia="Times New Roman"/>
                <w:iCs/>
                <w:sz w:val="24"/>
                <w:szCs w:val="24"/>
                <w:lang w:eastAsia="lv-LV"/>
              </w:rPr>
              <w:t>adome).</w:t>
            </w:r>
            <w:r w:rsidR="008D0DE2" w:rsidRPr="008D0DE2">
              <w:rPr>
                <w:rFonts w:eastAsia="Times New Roman"/>
                <w:iCs/>
                <w:sz w:val="24"/>
                <w:szCs w:val="24"/>
                <w:lang w:eastAsia="lv-LV"/>
              </w:rPr>
              <w:t xml:space="preserve"> </w:t>
            </w:r>
            <w:r w:rsidR="00DD341F">
              <w:rPr>
                <w:rFonts w:eastAsia="Times New Roman"/>
                <w:iCs/>
                <w:sz w:val="24"/>
                <w:szCs w:val="24"/>
                <w:lang w:eastAsia="lv-LV"/>
              </w:rPr>
              <w:t>L</w:t>
            </w:r>
            <w:r w:rsidR="005D1BB5">
              <w:rPr>
                <w:rFonts w:eastAsia="Times New Roman"/>
                <w:iCs/>
                <w:sz w:val="24"/>
                <w:szCs w:val="24"/>
                <w:lang w:eastAsia="lv-LV"/>
              </w:rPr>
              <w:t>ikumprojekt</w:t>
            </w:r>
            <w:r w:rsidR="00515FB5">
              <w:rPr>
                <w:rFonts w:eastAsia="Times New Roman"/>
                <w:iCs/>
                <w:sz w:val="24"/>
                <w:szCs w:val="24"/>
                <w:lang w:eastAsia="lv-LV"/>
              </w:rPr>
              <w:t>a 3.pantā</w:t>
            </w:r>
            <w:r w:rsidR="005D1BB5">
              <w:rPr>
                <w:rFonts w:eastAsia="Times New Roman"/>
                <w:iCs/>
                <w:sz w:val="24"/>
                <w:szCs w:val="24"/>
                <w:lang w:eastAsia="lv-LV"/>
              </w:rPr>
              <w:t xml:space="preserve"> paredzētais grozījums </w:t>
            </w:r>
            <w:r w:rsidR="00515FB5">
              <w:rPr>
                <w:rFonts w:eastAsia="Times New Roman"/>
                <w:iCs/>
                <w:sz w:val="24"/>
                <w:szCs w:val="24"/>
                <w:lang w:eastAsia="lv-LV"/>
              </w:rPr>
              <w:t xml:space="preserve">par </w:t>
            </w:r>
            <w:r w:rsidR="005D1BB5">
              <w:rPr>
                <w:rFonts w:eastAsia="Times New Roman"/>
                <w:iCs/>
                <w:sz w:val="24"/>
                <w:szCs w:val="24"/>
                <w:lang w:eastAsia="lv-LV"/>
              </w:rPr>
              <w:t xml:space="preserve">likuma </w:t>
            </w:r>
            <w:r w:rsidR="00515FB5">
              <w:rPr>
                <w:rFonts w:eastAsia="Times New Roman"/>
                <w:iCs/>
                <w:sz w:val="24"/>
                <w:szCs w:val="24"/>
                <w:lang w:eastAsia="lv-LV"/>
              </w:rPr>
              <w:t>53.panta pirm</w:t>
            </w:r>
            <w:r w:rsidR="00515FB5" w:rsidRPr="00515FB5">
              <w:rPr>
                <w:rFonts w:eastAsia="Times New Roman"/>
                <w:iCs/>
                <w:sz w:val="24"/>
                <w:szCs w:val="24"/>
                <w:lang w:eastAsia="lv-LV"/>
              </w:rPr>
              <w:t>ā</w:t>
            </w:r>
            <w:r w:rsidR="00515FB5">
              <w:rPr>
                <w:rFonts w:eastAsia="Times New Roman"/>
                <w:iCs/>
                <w:sz w:val="24"/>
                <w:szCs w:val="24"/>
                <w:lang w:eastAsia="lv-LV"/>
              </w:rPr>
              <w:t>s daļas papildināšanu</w:t>
            </w:r>
            <w:r w:rsidR="00515FB5" w:rsidRPr="00515FB5">
              <w:rPr>
                <w:rFonts w:eastAsia="Times New Roman"/>
                <w:iCs/>
                <w:sz w:val="24"/>
                <w:szCs w:val="24"/>
                <w:lang w:eastAsia="lv-LV"/>
              </w:rPr>
              <w:t xml:space="preserve"> ar 17.punktu</w:t>
            </w:r>
            <w:r w:rsidR="00515FB5">
              <w:rPr>
                <w:rFonts w:eastAsia="Times New Roman"/>
                <w:iCs/>
                <w:sz w:val="24"/>
                <w:szCs w:val="24"/>
                <w:lang w:eastAsia="lv-LV"/>
              </w:rPr>
              <w:t>, lai noteiktu prasību finanšu pārskata pielikumā sniegt</w:t>
            </w:r>
            <w:r w:rsidR="00515FB5" w:rsidRPr="00515FB5">
              <w:rPr>
                <w:rFonts w:eastAsia="Times New Roman"/>
                <w:iCs/>
                <w:sz w:val="24"/>
                <w:szCs w:val="24"/>
                <w:lang w:eastAsia="lv-LV"/>
              </w:rPr>
              <w:t xml:space="preserve"> detalizētu informāciju par pētni</w:t>
            </w:r>
            <w:r w:rsidR="00515FB5">
              <w:rPr>
                <w:rFonts w:eastAsia="Times New Roman"/>
                <w:iCs/>
                <w:sz w:val="24"/>
                <w:szCs w:val="24"/>
                <w:lang w:eastAsia="lv-LV"/>
              </w:rPr>
              <w:t>ecības un attīstības izmaksām, pieņemts zināšanai un atbalstīts</w:t>
            </w:r>
            <w:r w:rsidR="005D1BB5">
              <w:rPr>
                <w:rFonts w:eastAsia="Times New Roman"/>
                <w:iCs/>
                <w:sz w:val="24"/>
                <w:szCs w:val="24"/>
                <w:lang w:eastAsia="lv-LV"/>
              </w:rPr>
              <w:t xml:space="preserve"> </w:t>
            </w:r>
            <w:r w:rsidR="007D01C1">
              <w:rPr>
                <w:rFonts w:eastAsia="Times New Roman"/>
                <w:iCs/>
                <w:sz w:val="24"/>
                <w:szCs w:val="24"/>
                <w:lang w:eastAsia="lv-LV"/>
              </w:rPr>
              <w:t>Padomes 2021. gada 30. jūnija sēdē.</w:t>
            </w:r>
            <w:r w:rsidR="007A4F25">
              <w:t xml:space="preserve"> </w:t>
            </w:r>
          </w:p>
        </w:tc>
      </w:tr>
      <w:tr w:rsidR="005F5D0D" w:rsidRPr="005F5D0D" w14:paraId="413486C3"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6CAFF02E" w14:textId="77777777" w:rsidR="000D2356" w:rsidRPr="005F5D0D" w:rsidRDefault="005818F9" w:rsidP="000D2356">
            <w:pPr>
              <w:widowControl/>
              <w:spacing w:before="100" w:beforeAutospacing="1" w:after="0" w:line="240" w:lineRule="auto"/>
              <w:rPr>
                <w:rFonts w:eastAsia="Times New Roman"/>
                <w:sz w:val="24"/>
                <w:szCs w:val="24"/>
                <w:lang w:eastAsia="lv-LV"/>
              </w:rPr>
            </w:pPr>
            <w:r>
              <w:rPr>
                <w:rFonts w:eastAsia="Times New Roman"/>
                <w:iCs/>
                <w:sz w:val="24"/>
                <w:szCs w:val="24"/>
                <w:lang w:eastAsia="lv-LV"/>
              </w:rPr>
              <w:t>4</w:t>
            </w:r>
            <w:r w:rsidR="000E56B2" w:rsidRPr="005F5D0D">
              <w:rPr>
                <w:rFonts w:eastAsia="Times New Roman"/>
                <w:iCs/>
                <w:sz w:val="24"/>
                <w:szCs w:val="24"/>
                <w:lang w:eastAsia="lv-LV"/>
              </w:rPr>
              <w:t>.</w:t>
            </w:r>
          </w:p>
        </w:tc>
        <w:tc>
          <w:tcPr>
            <w:tcW w:w="1936" w:type="dxa"/>
            <w:tcBorders>
              <w:top w:val="outset" w:sz="6" w:space="0" w:color="auto"/>
              <w:left w:val="outset" w:sz="6" w:space="0" w:color="auto"/>
              <w:bottom w:val="outset" w:sz="6" w:space="0" w:color="auto"/>
              <w:right w:val="outset" w:sz="6" w:space="0" w:color="auto"/>
            </w:tcBorders>
            <w:hideMark/>
          </w:tcPr>
          <w:p w14:paraId="349DFC57"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Cita informācija</w:t>
            </w:r>
          </w:p>
        </w:tc>
        <w:tc>
          <w:tcPr>
            <w:tcW w:w="6770" w:type="dxa"/>
            <w:tcBorders>
              <w:top w:val="outset" w:sz="6" w:space="0" w:color="auto"/>
              <w:left w:val="outset" w:sz="6" w:space="0" w:color="auto"/>
              <w:bottom w:val="outset" w:sz="6" w:space="0" w:color="auto"/>
              <w:right w:val="outset" w:sz="6" w:space="0" w:color="auto"/>
            </w:tcBorders>
            <w:hideMark/>
          </w:tcPr>
          <w:p w14:paraId="2BE6681A"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Nav</w:t>
            </w:r>
          </w:p>
        </w:tc>
      </w:tr>
    </w:tbl>
    <w:p w14:paraId="1722AE19" w14:textId="77777777" w:rsidR="00050688" w:rsidRDefault="00050688" w:rsidP="000D2356">
      <w:pPr>
        <w:widowControl/>
        <w:spacing w:before="100" w:beforeAutospacing="1" w:after="0" w:line="240" w:lineRule="auto"/>
        <w:rPr>
          <w:rFonts w:eastAsia="Times New Roman"/>
          <w:iCs/>
          <w:sz w:val="24"/>
          <w:szCs w:val="24"/>
          <w:lang w:eastAsia="lv-LV"/>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9"/>
        <w:gridCol w:w="2694"/>
        <w:gridCol w:w="5811"/>
      </w:tblGrid>
      <w:tr w:rsidR="005F5D0D" w:rsidRPr="005F5D0D" w14:paraId="7BF9B69A" w14:textId="77777777" w:rsidTr="00C13959">
        <w:trPr>
          <w:tblCellSpacing w:w="15" w:type="dxa"/>
        </w:trPr>
        <w:tc>
          <w:tcPr>
            <w:tcW w:w="9004" w:type="dxa"/>
            <w:gridSpan w:val="3"/>
            <w:tcBorders>
              <w:top w:val="outset" w:sz="6" w:space="0" w:color="auto"/>
              <w:left w:val="outset" w:sz="6" w:space="0" w:color="auto"/>
              <w:bottom w:val="outset" w:sz="6" w:space="0" w:color="auto"/>
              <w:right w:val="outset" w:sz="6" w:space="0" w:color="auto"/>
            </w:tcBorders>
            <w:hideMark/>
          </w:tcPr>
          <w:p w14:paraId="287DC4F5" w14:textId="77777777" w:rsidR="000D2356" w:rsidRPr="005F5D0D" w:rsidRDefault="00050688" w:rsidP="004015FA">
            <w:pPr>
              <w:widowControl/>
              <w:spacing w:before="100" w:beforeAutospacing="1" w:after="0" w:line="240" w:lineRule="auto"/>
              <w:jc w:val="center"/>
              <w:rPr>
                <w:rFonts w:eastAsia="Times New Roman"/>
                <w:sz w:val="24"/>
                <w:szCs w:val="24"/>
                <w:lang w:eastAsia="lv-LV"/>
              </w:rPr>
            </w:pPr>
            <w:r>
              <w:rPr>
                <w:rFonts w:eastAsia="Times New Roman"/>
                <w:iCs/>
                <w:sz w:val="24"/>
                <w:szCs w:val="24"/>
                <w:lang w:eastAsia="lv-LV"/>
              </w:rPr>
              <w:br w:type="page"/>
            </w:r>
            <w:r w:rsidR="00AE5EFC" w:rsidRPr="005F5D0D">
              <w:rPr>
                <w:rFonts w:eastAsia="Times New Roman"/>
                <w:b/>
                <w:bCs/>
                <w:iCs/>
                <w:sz w:val="24"/>
                <w:szCs w:val="24"/>
                <w:lang w:eastAsia="lv-LV"/>
              </w:rPr>
              <w:t>II. Tiesību akta projekta ietekme uz sabiedrību, tautsaimniecības attīstību un administratīvo slogu</w:t>
            </w:r>
          </w:p>
        </w:tc>
      </w:tr>
      <w:tr w:rsidR="005F5D0D" w:rsidRPr="005F5D0D" w14:paraId="771028BF"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35DF3CB7"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1.</w:t>
            </w:r>
          </w:p>
        </w:tc>
        <w:tc>
          <w:tcPr>
            <w:tcW w:w="2664" w:type="dxa"/>
            <w:tcBorders>
              <w:top w:val="outset" w:sz="6" w:space="0" w:color="auto"/>
              <w:left w:val="outset" w:sz="6" w:space="0" w:color="auto"/>
              <w:bottom w:val="outset" w:sz="6" w:space="0" w:color="auto"/>
              <w:right w:val="outset" w:sz="6" w:space="0" w:color="auto"/>
            </w:tcBorders>
            <w:hideMark/>
          </w:tcPr>
          <w:p w14:paraId="5028FB3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 xml:space="preserve">Sabiedrības </w:t>
            </w:r>
            <w:proofErr w:type="spellStart"/>
            <w:r w:rsidRPr="005F5D0D">
              <w:rPr>
                <w:rFonts w:eastAsia="Times New Roman"/>
                <w:iCs/>
                <w:sz w:val="24"/>
                <w:szCs w:val="24"/>
                <w:lang w:eastAsia="lv-LV"/>
              </w:rPr>
              <w:t>mērķgrupas</w:t>
            </w:r>
            <w:proofErr w:type="spellEnd"/>
            <w:r w:rsidRPr="005F5D0D">
              <w:rPr>
                <w:rFonts w:eastAsia="Times New Roman"/>
                <w:iCs/>
                <w:sz w:val="24"/>
                <w:szCs w:val="24"/>
                <w:lang w:eastAsia="lv-LV"/>
              </w:rPr>
              <w:t>, kuras tiesiskais regulējums ietekmē vai varētu ietekmēt</w:t>
            </w:r>
          </w:p>
        </w:tc>
        <w:tc>
          <w:tcPr>
            <w:tcW w:w="5766" w:type="dxa"/>
            <w:tcBorders>
              <w:top w:val="outset" w:sz="6" w:space="0" w:color="auto"/>
              <w:left w:val="outset" w:sz="6" w:space="0" w:color="auto"/>
              <w:bottom w:val="outset" w:sz="6" w:space="0" w:color="auto"/>
              <w:right w:val="outset" w:sz="6" w:space="0" w:color="auto"/>
            </w:tcBorders>
            <w:hideMark/>
          </w:tcPr>
          <w:p w14:paraId="4F3B4D4B" w14:textId="2B84DE80" w:rsidR="000D2356" w:rsidRPr="00FE74E7" w:rsidRDefault="001D6797" w:rsidP="009B28D8">
            <w:pPr>
              <w:widowControl/>
              <w:spacing w:before="100" w:beforeAutospacing="1" w:after="120" w:line="240" w:lineRule="auto"/>
              <w:ind w:firstLine="266"/>
              <w:jc w:val="both"/>
              <w:rPr>
                <w:rFonts w:eastAsia="Times New Roman"/>
                <w:iCs/>
                <w:sz w:val="24"/>
                <w:szCs w:val="24"/>
                <w:lang w:eastAsia="lv-LV"/>
              </w:rPr>
            </w:pPr>
            <w:r w:rsidRPr="00FE74E7">
              <w:rPr>
                <w:rFonts w:eastAsia="Times New Roman"/>
                <w:iCs/>
                <w:sz w:val="24"/>
                <w:szCs w:val="24"/>
                <w:lang w:eastAsia="lv-LV"/>
              </w:rPr>
              <w:t xml:space="preserve">Likumprojekts ietekmēs </w:t>
            </w:r>
            <w:r w:rsidR="009C6900">
              <w:rPr>
                <w:rFonts w:eastAsia="Times New Roman"/>
                <w:iCs/>
                <w:sz w:val="24"/>
                <w:szCs w:val="24"/>
                <w:lang w:eastAsia="lv-LV"/>
              </w:rPr>
              <w:t xml:space="preserve">komercsabiedrības, kas </w:t>
            </w:r>
            <w:r w:rsidR="009C6900" w:rsidRPr="009C6900">
              <w:rPr>
                <w:rFonts w:eastAsia="Times New Roman"/>
                <w:iCs/>
                <w:sz w:val="24"/>
                <w:szCs w:val="24"/>
                <w:lang w:eastAsia="lv-LV"/>
              </w:rPr>
              <w:t>pārstāj bū</w:t>
            </w:r>
            <w:r w:rsidR="009C6900">
              <w:rPr>
                <w:rFonts w:eastAsia="Times New Roman"/>
                <w:iCs/>
                <w:sz w:val="24"/>
                <w:szCs w:val="24"/>
                <w:lang w:eastAsia="lv-LV"/>
              </w:rPr>
              <w:t>t par regulētā tirgus dalībniecēm, kā arī vidējās un lielās komercsabiedrības</w:t>
            </w:r>
            <w:r w:rsidR="009C6900" w:rsidRPr="009C6900">
              <w:rPr>
                <w:rFonts w:eastAsia="Times New Roman"/>
                <w:iCs/>
                <w:sz w:val="24"/>
                <w:szCs w:val="24"/>
                <w:lang w:eastAsia="lv-LV"/>
              </w:rPr>
              <w:t xml:space="preserve">, </w:t>
            </w:r>
            <w:r w:rsidRPr="00474097">
              <w:rPr>
                <w:rFonts w:eastAsia="Times New Roman"/>
                <w:iCs/>
                <w:sz w:val="24"/>
                <w:szCs w:val="24"/>
                <w:lang w:eastAsia="lv-LV"/>
              </w:rPr>
              <w:t>k</w:t>
            </w:r>
            <w:r w:rsidR="009C6900">
              <w:rPr>
                <w:rFonts w:eastAsia="Times New Roman"/>
                <w:iCs/>
                <w:sz w:val="24"/>
                <w:szCs w:val="24"/>
                <w:lang w:eastAsia="lv-LV"/>
              </w:rPr>
              <w:t>ur</w:t>
            </w:r>
            <w:r w:rsidRPr="00474097">
              <w:rPr>
                <w:rFonts w:eastAsia="Times New Roman"/>
                <w:iCs/>
                <w:sz w:val="24"/>
                <w:szCs w:val="24"/>
                <w:lang w:eastAsia="lv-LV"/>
              </w:rPr>
              <w:t xml:space="preserve">as </w:t>
            </w:r>
            <w:r w:rsidR="00474097" w:rsidRPr="00474097">
              <w:rPr>
                <w:rFonts w:eastAsia="Times New Roman"/>
                <w:iCs/>
                <w:sz w:val="24"/>
                <w:szCs w:val="24"/>
                <w:lang w:eastAsia="lv-LV"/>
              </w:rPr>
              <w:t>ir</w:t>
            </w:r>
            <w:r w:rsidR="001A2DDC">
              <w:rPr>
                <w:rFonts w:eastAsia="Times New Roman"/>
                <w:iCs/>
                <w:sz w:val="24"/>
                <w:szCs w:val="24"/>
                <w:lang w:eastAsia="lv-LV"/>
              </w:rPr>
              <w:t xml:space="preserve"> </w:t>
            </w:r>
            <w:r w:rsidR="001C2457">
              <w:rPr>
                <w:rFonts w:eastAsia="Times New Roman"/>
                <w:iCs/>
                <w:sz w:val="24"/>
                <w:szCs w:val="24"/>
                <w:lang w:eastAsia="lv-LV"/>
              </w:rPr>
              <w:t>Likuma subjekti.</w:t>
            </w:r>
          </w:p>
          <w:p w14:paraId="311112EF" w14:textId="36FA1288" w:rsidR="00B7012E" w:rsidRPr="00FE74E7" w:rsidRDefault="00B7012E" w:rsidP="005A4C3A">
            <w:pPr>
              <w:pStyle w:val="tv2132"/>
              <w:spacing w:after="120" w:line="240" w:lineRule="auto"/>
              <w:ind w:firstLine="266"/>
              <w:jc w:val="both"/>
              <w:rPr>
                <w:color w:val="auto"/>
                <w:sz w:val="24"/>
                <w:szCs w:val="24"/>
              </w:rPr>
            </w:pPr>
          </w:p>
        </w:tc>
      </w:tr>
      <w:tr w:rsidR="005F5D0D" w:rsidRPr="005F5D0D" w14:paraId="00ED12E9"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41F823F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2.</w:t>
            </w:r>
          </w:p>
        </w:tc>
        <w:tc>
          <w:tcPr>
            <w:tcW w:w="2664" w:type="dxa"/>
            <w:tcBorders>
              <w:top w:val="outset" w:sz="6" w:space="0" w:color="auto"/>
              <w:left w:val="outset" w:sz="6" w:space="0" w:color="auto"/>
              <w:bottom w:val="outset" w:sz="6" w:space="0" w:color="auto"/>
              <w:right w:val="outset" w:sz="6" w:space="0" w:color="auto"/>
            </w:tcBorders>
            <w:hideMark/>
          </w:tcPr>
          <w:p w14:paraId="6789A3CF"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Tiesiskā regulējuma ietekme uz tautsaimniecību un administratīvo slogu</w:t>
            </w:r>
          </w:p>
        </w:tc>
        <w:tc>
          <w:tcPr>
            <w:tcW w:w="5766" w:type="dxa"/>
            <w:tcBorders>
              <w:top w:val="outset" w:sz="6" w:space="0" w:color="auto"/>
              <w:left w:val="outset" w:sz="6" w:space="0" w:color="auto"/>
              <w:bottom w:val="outset" w:sz="6" w:space="0" w:color="auto"/>
              <w:right w:val="outset" w:sz="6" w:space="0" w:color="auto"/>
            </w:tcBorders>
            <w:hideMark/>
          </w:tcPr>
          <w:p w14:paraId="6041CBA8" w14:textId="326C7BC5" w:rsidR="00FB2C88" w:rsidRPr="003840F7" w:rsidRDefault="00680C9E" w:rsidP="00C01D93">
            <w:pPr>
              <w:pStyle w:val="tv2132"/>
              <w:spacing w:after="120" w:line="240" w:lineRule="auto"/>
              <w:ind w:firstLine="363"/>
              <w:jc w:val="both"/>
              <w:rPr>
                <w:color w:val="auto"/>
                <w:sz w:val="24"/>
                <w:szCs w:val="24"/>
              </w:rPr>
            </w:pPr>
            <w:r>
              <w:rPr>
                <w:iCs/>
                <w:color w:val="auto"/>
                <w:sz w:val="24"/>
                <w:szCs w:val="24"/>
              </w:rPr>
              <w:t>L</w:t>
            </w:r>
            <w:r w:rsidRPr="00680C9E">
              <w:rPr>
                <w:iCs/>
                <w:color w:val="auto"/>
                <w:sz w:val="24"/>
                <w:szCs w:val="24"/>
              </w:rPr>
              <w:t>ikumprojekts tieši neietekmēs tautsaim</w:t>
            </w:r>
            <w:r>
              <w:rPr>
                <w:iCs/>
                <w:color w:val="auto"/>
                <w:sz w:val="24"/>
                <w:szCs w:val="24"/>
              </w:rPr>
              <w:t>niecību un uzņēmējdarbības vidi</w:t>
            </w:r>
            <w:r w:rsidR="00C01D93">
              <w:rPr>
                <w:iCs/>
                <w:color w:val="auto"/>
                <w:sz w:val="24"/>
                <w:szCs w:val="24"/>
              </w:rPr>
              <w:t>.</w:t>
            </w:r>
            <w:r>
              <w:rPr>
                <w:iCs/>
                <w:color w:val="auto"/>
                <w:sz w:val="24"/>
                <w:szCs w:val="24"/>
              </w:rPr>
              <w:t xml:space="preserve"> </w:t>
            </w:r>
            <w:r w:rsidRPr="00680C9E">
              <w:rPr>
                <w:iCs/>
                <w:color w:val="auto"/>
                <w:sz w:val="24"/>
                <w:szCs w:val="24"/>
              </w:rPr>
              <w:t xml:space="preserve"> </w:t>
            </w:r>
          </w:p>
          <w:p w14:paraId="3A2A3982" w14:textId="46BB5FDB" w:rsidR="003F258D" w:rsidRPr="00852BF0" w:rsidRDefault="000125EA" w:rsidP="00A10768">
            <w:pPr>
              <w:pStyle w:val="tv2132"/>
              <w:spacing w:after="120" w:line="240" w:lineRule="auto"/>
              <w:ind w:firstLine="363"/>
              <w:jc w:val="both"/>
              <w:rPr>
                <w:b/>
                <w:sz w:val="24"/>
                <w:szCs w:val="24"/>
                <w:highlight w:val="green"/>
              </w:rPr>
            </w:pPr>
            <w:r w:rsidRPr="003840F7">
              <w:rPr>
                <w:iCs/>
                <w:color w:val="auto"/>
                <w:sz w:val="24"/>
                <w:szCs w:val="24"/>
              </w:rPr>
              <w:t xml:space="preserve">Likumprojektā paredzētais regulējums </w:t>
            </w:r>
            <w:r w:rsidRPr="00860F4A">
              <w:rPr>
                <w:iCs/>
                <w:color w:val="auto"/>
                <w:sz w:val="24"/>
                <w:szCs w:val="24"/>
              </w:rPr>
              <w:t xml:space="preserve">nepalielinās </w:t>
            </w:r>
            <w:r w:rsidRPr="003840F7">
              <w:rPr>
                <w:iCs/>
                <w:color w:val="auto"/>
                <w:sz w:val="24"/>
                <w:szCs w:val="24"/>
              </w:rPr>
              <w:t xml:space="preserve">šīs sadaļas 1.punktā minēto personu administratīvo slogu, bet gan </w:t>
            </w:r>
            <w:r w:rsidR="00A10768">
              <w:rPr>
                <w:iCs/>
                <w:color w:val="auto"/>
                <w:sz w:val="24"/>
                <w:szCs w:val="24"/>
              </w:rPr>
              <w:t xml:space="preserve">nodrošinās </w:t>
            </w:r>
            <w:r w:rsidR="006617AD">
              <w:rPr>
                <w:iCs/>
                <w:color w:val="auto"/>
                <w:sz w:val="24"/>
                <w:szCs w:val="24"/>
              </w:rPr>
              <w:t xml:space="preserve">iespēju izvēlēties starp SGS un Likumā noteikto finanšu pārskatu sagatavošanas regulējumu, kā arī </w:t>
            </w:r>
            <w:r w:rsidR="00A10768">
              <w:rPr>
                <w:iCs/>
                <w:color w:val="auto"/>
                <w:sz w:val="24"/>
                <w:szCs w:val="24"/>
              </w:rPr>
              <w:t>uzlabos</w:t>
            </w:r>
            <w:r w:rsidR="00A10768" w:rsidRPr="00A10768">
              <w:rPr>
                <w:iCs/>
                <w:color w:val="auto"/>
                <w:sz w:val="24"/>
                <w:szCs w:val="24"/>
              </w:rPr>
              <w:t xml:space="preserve"> pētniecības un attī</w:t>
            </w:r>
            <w:r w:rsidR="00A10768">
              <w:rPr>
                <w:iCs/>
                <w:color w:val="auto"/>
                <w:sz w:val="24"/>
                <w:szCs w:val="24"/>
              </w:rPr>
              <w:t>stības statistikas datu iegūšanas iespējas.</w:t>
            </w:r>
          </w:p>
        </w:tc>
      </w:tr>
      <w:tr w:rsidR="005F5D0D" w:rsidRPr="005F5D0D" w14:paraId="3362DF3B"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21FB3097" w14:textId="77777777" w:rsidR="000D2356" w:rsidRPr="005F5D0D" w:rsidRDefault="001B05F1" w:rsidP="001B05F1">
            <w:pPr>
              <w:widowControl/>
              <w:spacing w:before="100" w:beforeAutospacing="1" w:after="0" w:line="240" w:lineRule="auto"/>
              <w:rPr>
                <w:rFonts w:eastAsia="Times New Roman"/>
                <w:sz w:val="24"/>
                <w:szCs w:val="24"/>
                <w:lang w:eastAsia="lv-LV"/>
              </w:rPr>
            </w:pPr>
            <w:r>
              <w:rPr>
                <w:rFonts w:eastAsia="Times New Roman"/>
                <w:iCs/>
                <w:sz w:val="24"/>
                <w:szCs w:val="24"/>
                <w:lang w:eastAsia="lv-LV"/>
              </w:rPr>
              <w:t>3.</w:t>
            </w:r>
          </w:p>
        </w:tc>
        <w:tc>
          <w:tcPr>
            <w:tcW w:w="2664" w:type="dxa"/>
            <w:tcBorders>
              <w:top w:val="outset" w:sz="6" w:space="0" w:color="auto"/>
              <w:left w:val="outset" w:sz="6" w:space="0" w:color="auto"/>
              <w:bottom w:val="outset" w:sz="6" w:space="0" w:color="auto"/>
              <w:right w:val="outset" w:sz="6" w:space="0" w:color="auto"/>
            </w:tcBorders>
            <w:hideMark/>
          </w:tcPr>
          <w:p w14:paraId="3C83D052"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Administratīvo izmaksu monetārs novērtējums</w:t>
            </w:r>
          </w:p>
        </w:tc>
        <w:tc>
          <w:tcPr>
            <w:tcW w:w="5766" w:type="dxa"/>
            <w:tcBorders>
              <w:top w:val="outset" w:sz="6" w:space="0" w:color="auto"/>
              <w:left w:val="outset" w:sz="6" w:space="0" w:color="auto"/>
              <w:bottom w:val="outset" w:sz="6" w:space="0" w:color="auto"/>
              <w:right w:val="outset" w:sz="6" w:space="0" w:color="auto"/>
            </w:tcBorders>
            <w:hideMark/>
          </w:tcPr>
          <w:p w14:paraId="27DBB95D" w14:textId="77777777" w:rsidR="000D2356" w:rsidRPr="008B78BC" w:rsidRDefault="000125EA" w:rsidP="0028468D">
            <w:pPr>
              <w:widowControl/>
              <w:spacing w:before="100" w:beforeAutospacing="1" w:after="0" w:line="240" w:lineRule="auto"/>
              <w:jc w:val="both"/>
              <w:rPr>
                <w:rFonts w:eastAsia="Times New Roman"/>
                <w:sz w:val="24"/>
                <w:szCs w:val="24"/>
                <w:lang w:eastAsia="lv-LV"/>
              </w:rPr>
            </w:pPr>
            <w:r w:rsidRPr="005F5D0D">
              <w:rPr>
                <w:rFonts w:eastAsia="Times New Roman"/>
                <w:iCs/>
                <w:sz w:val="24"/>
                <w:szCs w:val="24"/>
                <w:lang w:eastAsia="lv-LV"/>
              </w:rPr>
              <w:t>Likumprojekts šo jomu neskar</w:t>
            </w:r>
            <w:r>
              <w:rPr>
                <w:rFonts w:eastAsia="Times New Roman"/>
                <w:iCs/>
                <w:sz w:val="24"/>
                <w:szCs w:val="24"/>
                <w:lang w:eastAsia="lv-LV"/>
              </w:rPr>
              <w:t>.</w:t>
            </w:r>
          </w:p>
        </w:tc>
      </w:tr>
      <w:tr w:rsidR="005F5D0D" w:rsidRPr="005F5D0D" w14:paraId="335DCF75"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31AA7FB"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4.</w:t>
            </w:r>
          </w:p>
        </w:tc>
        <w:tc>
          <w:tcPr>
            <w:tcW w:w="2664" w:type="dxa"/>
            <w:tcBorders>
              <w:top w:val="outset" w:sz="6" w:space="0" w:color="auto"/>
              <w:left w:val="outset" w:sz="6" w:space="0" w:color="auto"/>
              <w:bottom w:val="outset" w:sz="6" w:space="0" w:color="auto"/>
              <w:right w:val="outset" w:sz="6" w:space="0" w:color="auto"/>
            </w:tcBorders>
            <w:hideMark/>
          </w:tcPr>
          <w:p w14:paraId="60AB484F"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Atbilstības izmaksu monetārs novērtējums</w:t>
            </w:r>
          </w:p>
        </w:tc>
        <w:tc>
          <w:tcPr>
            <w:tcW w:w="5766" w:type="dxa"/>
            <w:tcBorders>
              <w:top w:val="outset" w:sz="6" w:space="0" w:color="auto"/>
              <w:left w:val="outset" w:sz="6" w:space="0" w:color="auto"/>
              <w:bottom w:val="outset" w:sz="6" w:space="0" w:color="auto"/>
              <w:right w:val="outset" w:sz="6" w:space="0" w:color="auto"/>
            </w:tcBorders>
            <w:hideMark/>
          </w:tcPr>
          <w:p w14:paraId="2601EFEB" w14:textId="77D7D01E"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Likumprojekts šo jomu neskar</w:t>
            </w:r>
            <w:r w:rsidR="00F437A6">
              <w:rPr>
                <w:rFonts w:eastAsia="Times New Roman"/>
                <w:iCs/>
                <w:sz w:val="24"/>
                <w:szCs w:val="24"/>
                <w:lang w:eastAsia="lv-LV"/>
              </w:rPr>
              <w:t>.</w:t>
            </w:r>
          </w:p>
        </w:tc>
      </w:tr>
      <w:tr w:rsidR="005F5D0D" w:rsidRPr="005F5D0D" w14:paraId="5C844FA5"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30EC811D"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5.</w:t>
            </w:r>
          </w:p>
        </w:tc>
        <w:tc>
          <w:tcPr>
            <w:tcW w:w="2664" w:type="dxa"/>
            <w:tcBorders>
              <w:top w:val="outset" w:sz="6" w:space="0" w:color="auto"/>
              <w:left w:val="outset" w:sz="6" w:space="0" w:color="auto"/>
              <w:bottom w:val="outset" w:sz="6" w:space="0" w:color="auto"/>
              <w:right w:val="outset" w:sz="6" w:space="0" w:color="auto"/>
            </w:tcBorders>
            <w:hideMark/>
          </w:tcPr>
          <w:p w14:paraId="7C22058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Cita informācija</w:t>
            </w:r>
          </w:p>
        </w:tc>
        <w:tc>
          <w:tcPr>
            <w:tcW w:w="5766" w:type="dxa"/>
            <w:tcBorders>
              <w:top w:val="outset" w:sz="6" w:space="0" w:color="auto"/>
              <w:left w:val="outset" w:sz="6" w:space="0" w:color="auto"/>
              <w:bottom w:val="outset" w:sz="6" w:space="0" w:color="auto"/>
              <w:right w:val="outset" w:sz="6" w:space="0" w:color="auto"/>
            </w:tcBorders>
            <w:hideMark/>
          </w:tcPr>
          <w:p w14:paraId="403C187D"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Nav</w:t>
            </w:r>
            <w:r w:rsidR="00476B4C">
              <w:rPr>
                <w:rFonts w:eastAsia="Times New Roman"/>
                <w:iCs/>
                <w:sz w:val="24"/>
                <w:szCs w:val="24"/>
                <w:lang w:eastAsia="lv-LV"/>
              </w:rPr>
              <w:t>.</w:t>
            </w:r>
          </w:p>
        </w:tc>
      </w:tr>
    </w:tbl>
    <w:p w14:paraId="5AF05DC8" w14:textId="77777777" w:rsidR="00EE107A" w:rsidRDefault="00794C0D" w:rsidP="00EE107A">
      <w:pPr>
        <w:widowControl/>
        <w:spacing w:before="100" w:beforeAutospacing="1" w:after="0" w:line="240" w:lineRule="auto"/>
        <w:rPr>
          <w:rFonts w:eastAsia="Times New Roman"/>
          <w:iCs/>
          <w:sz w:val="24"/>
          <w:szCs w:val="24"/>
          <w:lang w:eastAsia="lv-LV"/>
        </w:rPr>
      </w:pPr>
      <w:r>
        <w:rPr>
          <w:rFonts w:eastAsia="Times New Roman"/>
          <w:iCs/>
          <w:sz w:val="24"/>
          <w:szCs w:val="24"/>
          <w:lang w:eastAsia="lv-LV"/>
        </w:rPr>
        <w:t> </w:t>
      </w:r>
    </w:p>
    <w:tbl>
      <w:tblPr>
        <w:tblW w:w="9064" w:type="dxa"/>
        <w:tblCellSpacing w:w="15" w:type="dxa"/>
        <w:tblBorders>
          <w:top w:val="outset" w:sz="6" w:space="0" w:color="auto"/>
          <w:left w:val="outset" w:sz="6" w:space="0" w:color="auto"/>
          <w:bottom w:val="outset" w:sz="6" w:space="0" w:color="auto"/>
          <w:right w:val="outset" w:sz="6" w:space="0" w:color="auto"/>
        </w:tblBorders>
        <w:tblLayout w:type="fixed"/>
        <w:tblCellMar>
          <w:top w:w="20" w:type="dxa"/>
          <w:left w:w="20" w:type="dxa"/>
          <w:bottom w:w="20" w:type="dxa"/>
          <w:right w:w="20" w:type="dxa"/>
        </w:tblCellMar>
        <w:tblLook w:val="04A0" w:firstRow="1" w:lastRow="0" w:firstColumn="1" w:lastColumn="0" w:noHBand="0" w:noVBand="1"/>
      </w:tblPr>
      <w:tblGrid>
        <w:gridCol w:w="1288"/>
        <w:gridCol w:w="1003"/>
        <w:gridCol w:w="1042"/>
        <w:gridCol w:w="1003"/>
        <w:gridCol w:w="1090"/>
        <w:gridCol w:w="1003"/>
        <w:gridCol w:w="1218"/>
        <w:gridCol w:w="1417"/>
      </w:tblGrid>
      <w:tr w:rsidR="00F437A6" w:rsidRPr="00F437A6" w14:paraId="3F6AADC4" w14:textId="77777777" w:rsidTr="00F437A6">
        <w:trPr>
          <w:tblCellSpacing w:w="15" w:type="dxa"/>
        </w:trPr>
        <w:tc>
          <w:tcPr>
            <w:tcW w:w="9004" w:type="dxa"/>
            <w:gridSpan w:val="8"/>
            <w:tcBorders>
              <w:top w:val="outset" w:sz="6" w:space="0" w:color="auto"/>
              <w:left w:val="outset" w:sz="6" w:space="0" w:color="auto"/>
              <w:bottom w:val="outset" w:sz="6" w:space="0" w:color="auto"/>
              <w:right w:val="outset" w:sz="6" w:space="0" w:color="auto"/>
            </w:tcBorders>
            <w:vAlign w:val="center"/>
            <w:hideMark/>
          </w:tcPr>
          <w:p w14:paraId="51442C77" w14:textId="4E4355B1" w:rsidR="00F437A6" w:rsidRPr="00F437A6" w:rsidRDefault="00F437A6" w:rsidP="00F437A6">
            <w:pPr>
              <w:widowControl/>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5F5D0D">
              <w:rPr>
                <w:rFonts w:eastAsia="Times New Roman"/>
                <w:b/>
                <w:bCs/>
                <w:iCs/>
                <w:sz w:val="24"/>
                <w:szCs w:val="24"/>
                <w:lang w:eastAsia="lv-LV"/>
              </w:rPr>
              <w:lastRenderedPageBreak/>
              <w:t>III. Tiesību akta projekta ietekme uz valsts budžetu un pašvaldību budžetiem</w:t>
            </w:r>
          </w:p>
        </w:tc>
      </w:tr>
      <w:tr w:rsidR="00F437A6" w:rsidRPr="00F437A6" w14:paraId="5B1F5F8C" w14:textId="77777777" w:rsidTr="00F437A6">
        <w:trPr>
          <w:tblCellSpacing w:w="15" w:type="dxa"/>
        </w:trPr>
        <w:tc>
          <w:tcPr>
            <w:tcW w:w="1243" w:type="dxa"/>
            <w:vMerge w:val="restart"/>
            <w:tcBorders>
              <w:top w:val="outset" w:sz="6" w:space="0" w:color="auto"/>
              <w:left w:val="outset" w:sz="6" w:space="0" w:color="auto"/>
              <w:bottom w:val="outset" w:sz="6" w:space="0" w:color="auto"/>
              <w:right w:val="outset" w:sz="6" w:space="0" w:color="auto"/>
            </w:tcBorders>
            <w:vAlign w:val="center"/>
            <w:hideMark/>
          </w:tcPr>
          <w:p w14:paraId="7A991E8D" w14:textId="77777777" w:rsidR="00F437A6" w:rsidRPr="00F437A6" w:rsidRDefault="00F437A6" w:rsidP="00F437A6">
            <w:pPr>
              <w:widowControl/>
              <w:spacing w:before="100" w:beforeAutospacing="1" w:after="100" w:afterAutospacing="1" w:line="360" w:lineRule="auto"/>
              <w:ind w:firstLine="300"/>
              <w:jc w:val="center"/>
              <w:rPr>
                <w:rFonts w:eastAsia="Times New Roman"/>
                <w:sz w:val="24"/>
                <w:szCs w:val="24"/>
                <w:lang w:eastAsia="lv-LV"/>
              </w:rPr>
            </w:pPr>
            <w:r w:rsidRPr="00F437A6">
              <w:rPr>
                <w:rFonts w:eastAsia="Times New Roman"/>
                <w:sz w:val="24"/>
                <w:szCs w:val="24"/>
                <w:lang w:eastAsia="lv-LV"/>
              </w:rPr>
              <w:t>Rādītāji</w:t>
            </w:r>
          </w:p>
        </w:tc>
        <w:tc>
          <w:tcPr>
            <w:tcW w:w="2015"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5F360C12" w14:textId="21663E5C" w:rsidR="00F437A6" w:rsidRPr="00654E6D" w:rsidRDefault="003F32F0" w:rsidP="00F437A6">
            <w:pPr>
              <w:widowControl/>
              <w:spacing w:before="100" w:beforeAutospacing="1" w:after="100" w:afterAutospacing="1" w:line="360" w:lineRule="auto"/>
              <w:ind w:firstLine="300"/>
              <w:jc w:val="center"/>
              <w:rPr>
                <w:rFonts w:eastAsia="Times New Roman"/>
                <w:b/>
                <w:sz w:val="24"/>
                <w:szCs w:val="24"/>
                <w:lang w:eastAsia="lv-LV"/>
              </w:rPr>
            </w:pPr>
            <w:r w:rsidRPr="00654E6D">
              <w:rPr>
                <w:rFonts w:eastAsia="Times New Roman"/>
                <w:b/>
                <w:sz w:val="24"/>
                <w:szCs w:val="24"/>
                <w:lang w:eastAsia="lv-LV"/>
              </w:rPr>
              <w:t>2021</w:t>
            </w:r>
          </w:p>
        </w:tc>
        <w:tc>
          <w:tcPr>
            <w:tcW w:w="5686" w:type="dxa"/>
            <w:gridSpan w:val="5"/>
            <w:tcBorders>
              <w:top w:val="outset" w:sz="6" w:space="0" w:color="auto"/>
              <w:left w:val="outset" w:sz="6" w:space="0" w:color="auto"/>
              <w:bottom w:val="outset" w:sz="6" w:space="0" w:color="auto"/>
              <w:right w:val="outset" w:sz="6" w:space="0" w:color="auto"/>
            </w:tcBorders>
            <w:vAlign w:val="center"/>
            <w:hideMark/>
          </w:tcPr>
          <w:p w14:paraId="3779EA54" w14:textId="77777777" w:rsidR="00F437A6" w:rsidRPr="00F437A6" w:rsidRDefault="00F437A6" w:rsidP="00F437A6">
            <w:pPr>
              <w:widowControl/>
              <w:spacing w:before="100" w:beforeAutospacing="1" w:after="100" w:afterAutospacing="1" w:line="360" w:lineRule="auto"/>
              <w:ind w:firstLine="300"/>
              <w:jc w:val="center"/>
              <w:rPr>
                <w:rFonts w:eastAsia="Times New Roman"/>
                <w:sz w:val="24"/>
                <w:szCs w:val="24"/>
                <w:lang w:eastAsia="lv-LV"/>
              </w:rPr>
            </w:pPr>
            <w:r w:rsidRPr="00F437A6">
              <w:rPr>
                <w:rFonts w:eastAsia="Times New Roman"/>
                <w:sz w:val="24"/>
                <w:szCs w:val="24"/>
                <w:lang w:eastAsia="lv-LV"/>
              </w:rPr>
              <w:t>Turpmākie trīs gadi (</w:t>
            </w:r>
            <w:proofErr w:type="spellStart"/>
            <w:r w:rsidRPr="00F437A6">
              <w:rPr>
                <w:rFonts w:eastAsia="Times New Roman"/>
                <w:i/>
                <w:iCs/>
                <w:sz w:val="24"/>
                <w:szCs w:val="24"/>
                <w:lang w:eastAsia="lv-LV"/>
              </w:rPr>
              <w:t>euro</w:t>
            </w:r>
            <w:proofErr w:type="spellEnd"/>
            <w:r w:rsidRPr="00F437A6">
              <w:rPr>
                <w:rFonts w:eastAsia="Times New Roman"/>
                <w:sz w:val="24"/>
                <w:szCs w:val="24"/>
                <w:lang w:eastAsia="lv-LV"/>
              </w:rPr>
              <w:t>)</w:t>
            </w:r>
          </w:p>
        </w:tc>
      </w:tr>
      <w:tr w:rsidR="00F437A6" w:rsidRPr="00F437A6" w14:paraId="5EBDBC5D" w14:textId="77777777" w:rsidTr="008C7EAE">
        <w:trPr>
          <w:tblCellSpacing w:w="15" w:type="dxa"/>
        </w:trPr>
        <w:tc>
          <w:tcPr>
            <w:tcW w:w="1243" w:type="dxa"/>
            <w:vMerge/>
            <w:tcBorders>
              <w:top w:val="outset" w:sz="6" w:space="0" w:color="auto"/>
              <w:left w:val="outset" w:sz="6" w:space="0" w:color="auto"/>
              <w:bottom w:val="outset" w:sz="6" w:space="0" w:color="auto"/>
              <w:right w:val="outset" w:sz="6" w:space="0" w:color="auto"/>
            </w:tcBorders>
            <w:vAlign w:val="center"/>
            <w:hideMark/>
          </w:tcPr>
          <w:p w14:paraId="5DA15F31" w14:textId="77777777" w:rsidR="00F437A6" w:rsidRPr="00F437A6" w:rsidRDefault="00F437A6" w:rsidP="00F437A6">
            <w:pPr>
              <w:widowControl/>
              <w:spacing w:after="0" w:line="240" w:lineRule="auto"/>
              <w:rPr>
                <w:rFonts w:eastAsia="Times New Roman"/>
                <w:sz w:val="24"/>
                <w:szCs w:val="24"/>
                <w:lang w:eastAsia="lv-LV"/>
              </w:rPr>
            </w:pPr>
          </w:p>
        </w:tc>
        <w:tc>
          <w:tcPr>
            <w:tcW w:w="2015" w:type="dxa"/>
            <w:gridSpan w:val="2"/>
            <w:vMerge/>
            <w:tcBorders>
              <w:top w:val="outset" w:sz="6" w:space="0" w:color="auto"/>
              <w:left w:val="outset" w:sz="6" w:space="0" w:color="auto"/>
              <w:bottom w:val="outset" w:sz="6" w:space="0" w:color="auto"/>
              <w:right w:val="outset" w:sz="6" w:space="0" w:color="auto"/>
            </w:tcBorders>
            <w:vAlign w:val="center"/>
            <w:hideMark/>
          </w:tcPr>
          <w:p w14:paraId="12CDB2C5" w14:textId="77777777" w:rsidR="00F437A6" w:rsidRPr="00F437A6" w:rsidRDefault="00F437A6" w:rsidP="00F437A6">
            <w:pPr>
              <w:widowControl/>
              <w:spacing w:after="0" w:line="240" w:lineRule="auto"/>
              <w:rPr>
                <w:rFonts w:eastAsia="Times New Roman"/>
                <w:sz w:val="24"/>
                <w:szCs w:val="24"/>
                <w:lang w:eastAsia="lv-LV"/>
              </w:rPr>
            </w:pPr>
          </w:p>
        </w:tc>
        <w:tc>
          <w:tcPr>
            <w:tcW w:w="2063" w:type="dxa"/>
            <w:gridSpan w:val="2"/>
            <w:tcBorders>
              <w:top w:val="outset" w:sz="6" w:space="0" w:color="auto"/>
              <w:left w:val="outset" w:sz="6" w:space="0" w:color="auto"/>
              <w:bottom w:val="outset" w:sz="6" w:space="0" w:color="auto"/>
              <w:right w:val="outset" w:sz="6" w:space="0" w:color="auto"/>
            </w:tcBorders>
            <w:vAlign w:val="center"/>
            <w:hideMark/>
          </w:tcPr>
          <w:p w14:paraId="784FEC7B" w14:textId="411396CB" w:rsidR="00F437A6" w:rsidRPr="00654E6D" w:rsidRDefault="003F32F0" w:rsidP="00F437A6">
            <w:pPr>
              <w:widowControl/>
              <w:spacing w:before="100" w:beforeAutospacing="1" w:after="100" w:afterAutospacing="1" w:line="360" w:lineRule="auto"/>
              <w:ind w:firstLine="300"/>
              <w:jc w:val="center"/>
              <w:rPr>
                <w:rFonts w:eastAsia="Times New Roman"/>
                <w:b/>
                <w:sz w:val="24"/>
                <w:szCs w:val="24"/>
                <w:lang w:eastAsia="lv-LV"/>
              </w:rPr>
            </w:pPr>
            <w:r w:rsidRPr="00654E6D">
              <w:rPr>
                <w:rFonts w:eastAsia="Times New Roman"/>
                <w:b/>
                <w:sz w:val="24"/>
                <w:szCs w:val="24"/>
                <w:lang w:eastAsia="lv-LV"/>
              </w:rPr>
              <w:t>2022</w:t>
            </w:r>
          </w:p>
        </w:tc>
        <w:tc>
          <w:tcPr>
            <w:tcW w:w="2191" w:type="dxa"/>
            <w:gridSpan w:val="2"/>
            <w:tcBorders>
              <w:top w:val="outset" w:sz="6" w:space="0" w:color="auto"/>
              <w:left w:val="outset" w:sz="6" w:space="0" w:color="auto"/>
              <w:bottom w:val="outset" w:sz="6" w:space="0" w:color="auto"/>
              <w:right w:val="outset" w:sz="6" w:space="0" w:color="auto"/>
            </w:tcBorders>
            <w:vAlign w:val="center"/>
            <w:hideMark/>
          </w:tcPr>
          <w:p w14:paraId="2D301E60" w14:textId="15EE4C44" w:rsidR="00F437A6" w:rsidRPr="00654E6D" w:rsidRDefault="003F32F0" w:rsidP="00F437A6">
            <w:pPr>
              <w:widowControl/>
              <w:spacing w:before="100" w:beforeAutospacing="1" w:after="100" w:afterAutospacing="1" w:line="360" w:lineRule="auto"/>
              <w:ind w:firstLine="300"/>
              <w:jc w:val="center"/>
              <w:rPr>
                <w:rFonts w:eastAsia="Times New Roman"/>
                <w:b/>
                <w:sz w:val="24"/>
                <w:szCs w:val="24"/>
                <w:lang w:eastAsia="lv-LV"/>
              </w:rPr>
            </w:pPr>
            <w:r w:rsidRPr="00654E6D">
              <w:rPr>
                <w:rFonts w:eastAsia="Times New Roman"/>
                <w:b/>
                <w:sz w:val="24"/>
                <w:szCs w:val="24"/>
                <w:lang w:eastAsia="lv-LV"/>
              </w:rPr>
              <w:t>2023</w:t>
            </w:r>
          </w:p>
        </w:tc>
        <w:tc>
          <w:tcPr>
            <w:tcW w:w="1372" w:type="dxa"/>
            <w:tcBorders>
              <w:top w:val="outset" w:sz="6" w:space="0" w:color="auto"/>
              <w:left w:val="outset" w:sz="6" w:space="0" w:color="auto"/>
              <w:bottom w:val="outset" w:sz="6" w:space="0" w:color="auto"/>
              <w:right w:val="outset" w:sz="6" w:space="0" w:color="auto"/>
            </w:tcBorders>
            <w:vAlign w:val="center"/>
            <w:hideMark/>
          </w:tcPr>
          <w:p w14:paraId="2A0A0DBC" w14:textId="0441A7C2" w:rsidR="00F437A6" w:rsidRPr="00654E6D" w:rsidRDefault="003F32F0" w:rsidP="00F437A6">
            <w:pPr>
              <w:widowControl/>
              <w:spacing w:before="100" w:beforeAutospacing="1" w:after="100" w:afterAutospacing="1" w:line="360" w:lineRule="auto"/>
              <w:ind w:firstLine="300"/>
              <w:jc w:val="center"/>
              <w:rPr>
                <w:rFonts w:eastAsia="Times New Roman"/>
                <w:b/>
                <w:sz w:val="24"/>
                <w:szCs w:val="24"/>
                <w:lang w:eastAsia="lv-LV"/>
              </w:rPr>
            </w:pPr>
            <w:r w:rsidRPr="00654E6D">
              <w:rPr>
                <w:rFonts w:eastAsia="Times New Roman"/>
                <w:b/>
                <w:sz w:val="24"/>
                <w:szCs w:val="24"/>
                <w:lang w:eastAsia="lv-LV"/>
              </w:rPr>
              <w:t>2024</w:t>
            </w:r>
          </w:p>
        </w:tc>
      </w:tr>
      <w:tr w:rsidR="00F437A6" w:rsidRPr="00F437A6" w14:paraId="4740C30C" w14:textId="77777777" w:rsidTr="008C7EAE">
        <w:trPr>
          <w:tblCellSpacing w:w="15" w:type="dxa"/>
        </w:trPr>
        <w:tc>
          <w:tcPr>
            <w:tcW w:w="1243" w:type="dxa"/>
            <w:vMerge/>
            <w:tcBorders>
              <w:top w:val="outset" w:sz="6" w:space="0" w:color="auto"/>
              <w:left w:val="outset" w:sz="6" w:space="0" w:color="auto"/>
              <w:bottom w:val="outset" w:sz="6" w:space="0" w:color="auto"/>
              <w:right w:val="outset" w:sz="6" w:space="0" w:color="auto"/>
            </w:tcBorders>
            <w:vAlign w:val="center"/>
            <w:hideMark/>
          </w:tcPr>
          <w:p w14:paraId="2FF0182C" w14:textId="77777777" w:rsidR="00F437A6" w:rsidRPr="00F437A6" w:rsidRDefault="00F437A6" w:rsidP="00F437A6">
            <w:pPr>
              <w:widowControl/>
              <w:spacing w:after="0" w:line="240" w:lineRule="auto"/>
              <w:rPr>
                <w:rFonts w:eastAsia="Times New Roman"/>
                <w:sz w:val="24"/>
                <w:szCs w:val="24"/>
                <w:lang w:eastAsia="lv-LV"/>
              </w:rPr>
            </w:pPr>
          </w:p>
        </w:tc>
        <w:tc>
          <w:tcPr>
            <w:tcW w:w="973" w:type="dxa"/>
            <w:tcBorders>
              <w:top w:val="outset" w:sz="6" w:space="0" w:color="auto"/>
              <w:left w:val="outset" w:sz="6" w:space="0" w:color="auto"/>
              <w:bottom w:val="outset" w:sz="6" w:space="0" w:color="auto"/>
              <w:right w:val="outset" w:sz="6" w:space="0" w:color="auto"/>
            </w:tcBorders>
            <w:vAlign w:val="center"/>
            <w:hideMark/>
          </w:tcPr>
          <w:p w14:paraId="28DC2867" w14:textId="77777777" w:rsidR="00F437A6" w:rsidRPr="008C7EAE" w:rsidRDefault="00F437A6" w:rsidP="008C7EAE">
            <w:pPr>
              <w:widowControl/>
              <w:spacing w:after="0" w:line="240" w:lineRule="auto"/>
              <w:rPr>
                <w:rFonts w:eastAsia="Times New Roman"/>
                <w:sz w:val="22"/>
                <w:lang w:eastAsia="lv-LV"/>
              </w:rPr>
            </w:pPr>
            <w:r w:rsidRPr="008C7EAE">
              <w:rPr>
                <w:rFonts w:eastAsia="Times New Roman"/>
                <w:sz w:val="22"/>
                <w:lang w:eastAsia="lv-LV"/>
              </w:rPr>
              <w:t>saskaņā ar valsts budžetu kārtējam gadam</w:t>
            </w:r>
          </w:p>
        </w:tc>
        <w:tc>
          <w:tcPr>
            <w:tcW w:w="1012" w:type="dxa"/>
            <w:tcBorders>
              <w:top w:val="outset" w:sz="6" w:space="0" w:color="auto"/>
              <w:left w:val="outset" w:sz="6" w:space="0" w:color="auto"/>
              <w:bottom w:val="outset" w:sz="6" w:space="0" w:color="auto"/>
              <w:right w:val="outset" w:sz="6" w:space="0" w:color="auto"/>
            </w:tcBorders>
            <w:vAlign w:val="center"/>
            <w:hideMark/>
          </w:tcPr>
          <w:p w14:paraId="2106B7C9" w14:textId="77777777" w:rsidR="00F437A6" w:rsidRPr="008C7EAE" w:rsidRDefault="00F437A6" w:rsidP="008C7EAE">
            <w:pPr>
              <w:widowControl/>
              <w:spacing w:after="0" w:line="240" w:lineRule="auto"/>
              <w:rPr>
                <w:rFonts w:eastAsia="Times New Roman"/>
                <w:sz w:val="22"/>
                <w:lang w:eastAsia="lv-LV"/>
              </w:rPr>
            </w:pPr>
            <w:r w:rsidRPr="008C7EAE">
              <w:rPr>
                <w:rFonts w:eastAsia="Times New Roman"/>
                <w:sz w:val="22"/>
                <w:lang w:eastAsia="lv-LV"/>
              </w:rPr>
              <w:t>izmaiņas kārtējā gadā, salīdzinot ar valsts budžetu kārtējam gadam</w:t>
            </w:r>
          </w:p>
        </w:tc>
        <w:tc>
          <w:tcPr>
            <w:tcW w:w="973" w:type="dxa"/>
            <w:tcBorders>
              <w:top w:val="outset" w:sz="6" w:space="0" w:color="auto"/>
              <w:left w:val="outset" w:sz="6" w:space="0" w:color="auto"/>
              <w:bottom w:val="outset" w:sz="6" w:space="0" w:color="auto"/>
              <w:right w:val="outset" w:sz="6" w:space="0" w:color="auto"/>
            </w:tcBorders>
            <w:vAlign w:val="center"/>
            <w:hideMark/>
          </w:tcPr>
          <w:p w14:paraId="19C54E9F" w14:textId="77777777" w:rsidR="00F437A6" w:rsidRPr="008C7EAE" w:rsidRDefault="00F437A6" w:rsidP="008C7EAE">
            <w:pPr>
              <w:widowControl/>
              <w:spacing w:after="0" w:line="240" w:lineRule="auto"/>
              <w:rPr>
                <w:rFonts w:eastAsia="Times New Roman"/>
                <w:sz w:val="22"/>
                <w:lang w:eastAsia="lv-LV"/>
              </w:rPr>
            </w:pPr>
            <w:r w:rsidRPr="008C7EAE">
              <w:rPr>
                <w:rFonts w:eastAsia="Times New Roman"/>
                <w:sz w:val="22"/>
                <w:lang w:eastAsia="lv-LV"/>
              </w:rPr>
              <w:t>saskaņā ar vidēja termiņa budžeta ietvaru</w:t>
            </w:r>
          </w:p>
        </w:tc>
        <w:tc>
          <w:tcPr>
            <w:tcW w:w="1060" w:type="dxa"/>
            <w:tcBorders>
              <w:top w:val="outset" w:sz="6" w:space="0" w:color="auto"/>
              <w:left w:val="outset" w:sz="6" w:space="0" w:color="auto"/>
              <w:bottom w:val="outset" w:sz="6" w:space="0" w:color="auto"/>
              <w:right w:val="outset" w:sz="6" w:space="0" w:color="auto"/>
            </w:tcBorders>
            <w:vAlign w:val="center"/>
            <w:hideMark/>
          </w:tcPr>
          <w:p w14:paraId="4165F0DE" w14:textId="01F54D3A" w:rsidR="00F437A6" w:rsidRPr="008C7EAE" w:rsidRDefault="00F437A6" w:rsidP="00036191">
            <w:pPr>
              <w:widowControl/>
              <w:spacing w:after="0" w:line="240" w:lineRule="auto"/>
              <w:rPr>
                <w:rFonts w:eastAsia="Times New Roman"/>
                <w:sz w:val="22"/>
                <w:lang w:eastAsia="lv-LV"/>
              </w:rPr>
            </w:pPr>
            <w:r w:rsidRPr="008C7EAE">
              <w:rPr>
                <w:rFonts w:eastAsia="Times New Roman"/>
                <w:sz w:val="22"/>
                <w:lang w:eastAsia="lv-LV"/>
              </w:rPr>
              <w:t xml:space="preserve">izmaiņas, salīdzinot ar vidēja termiņa budžeta ietvaru </w:t>
            </w:r>
            <w:r w:rsidR="00036191">
              <w:rPr>
                <w:rFonts w:eastAsia="Times New Roman"/>
                <w:sz w:val="22"/>
                <w:lang w:eastAsia="lv-LV"/>
              </w:rPr>
              <w:t>2022.</w:t>
            </w:r>
            <w:r w:rsidRPr="008C7EAE">
              <w:rPr>
                <w:rFonts w:eastAsia="Times New Roman"/>
                <w:sz w:val="22"/>
                <w:lang w:eastAsia="lv-LV"/>
              </w:rPr>
              <w:t>gadam</w:t>
            </w:r>
          </w:p>
        </w:tc>
        <w:tc>
          <w:tcPr>
            <w:tcW w:w="973" w:type="dxa"/>
            <w:tcBorders>
              <w:top w:val="outset" w:sz="6" w:space="0" w:color="auto"/>
              <w:left w:val="outset" w:sz="6" w:space="0" w:color="auto"/>
              <w:bottom w:val="outset" w:sz="6" w:space="0" w:color="auto"/>
              <w:right w:val="outset" w:sz="6" w:space="0" w:color="auto"/>
            </w:tcBorders>
            <w:vAlign w:val="center"/>
            <w:hideMark/>
          </w:tcPr>
          <w:p w14:paraId="7ED65CF2" w14:textId="77777777" w:rsidR="00F437A6" w:rsidRPr="008C7EAE" w:rsidRDefault="00F437A6" w:rsidP="008C7EAE">
            <w:pPr>
              <w:widowControl/>
              <w:spacing w:after="0" w:line="240" w:lineRule="auto"/>
              <w:rPr>
                <w:rFonts w:eastAsia="Times New Roman"/>
                <w:sz w:val="22"/>
                <w:lang w:eastAsia="lv-LV"/>
              </w:rPr>
            </w:pPr>
            <w:r w:rsidRPr="008C7EAE">
              <w:rPr>
                <w:rFonts w:eastAsia="Times New Roman"/>
                <w:sz w:val="22"/>
                <w:lang w:eastAsia="lv-LV"/>
              </w:rPr>
              <w:t>saskaņā ar vidēja termiņa budžeta ietvaru</w:t>
            </w:r>
          </w:p>
        </w:tc>
        <w:tc>
          <w:tcPr>
            <w:tcW w:w="1188" w:type="dxa"/>
            <w:tcBorders>
              <w:top w:val="outset" w:sz="6" w:space="0" w:color="auto"/>
              <w:left w:val="outset" w:sz="6" w:space="0" w:color="auto"/>
              <w:bottom w:val="outset" w:sz="6" w:space="0" w:color="auto"/>
              <w:right w:val="outset" w:sz="6" w:space="0" w:color="auto"/>
            </w:tcBorders>
            <w:vAlign w:val="center"/>
            <w:hideMark/>
          </w:tcPr>
          <w:p w14:paraId="00B8AA20" w14:textId="1E826137" w:rsidR="00F437A6" w:rsidRPr="008C7EAE" w:rsidRDefault="00F437A6" w:rsidP="00036191">
            <w:pPr>
              <w:widowControl/>
              <w:spacing w:after="0" w:line="240" w:lineRule="auto"/>
              <w:rPr>
                <w:rFonts w:eastAsia="Times New Roman"/>
                <w:sz w:val="22"/>
                <w:lang w:eastAsia="lv-LV"/>
              </w:rPr>
            </w:pPr>
            <w:r w:rsidRPr="008C7EAE">
              <w:rPr>
                <w:rFonts w:eastAsia="Times New Roman"/>
                <w:sz w:val="22"/>
                <w:lang w:eastAsia="lv-LV"/>
              </w:rPr>
              <w:t xml:space="preserve">izmaiņas, salīdzinot ar vidēja termiņa budžeta ietvaru </w:t>
            </w:r>
            <w:r w:rsidR="00036191">
              <w:rPr>
                <w:rFonts w:eastAsia="Times New Roman"/>
                <w:sz w:val="22"/>
                <w:lang w:eastAsia="lv-LV"/>
              </w:rPr>
              <w:t>2023.</w:t>
            </w:r>
            <w:r w:rsidRPr="008C7EAE">
              <w:rPr>
                <w:rFonts w:eastAsia="Times New Roman"/>
                <w:sz w:val="22"/>
                <w:lang w:eastAsia="lv-LV"/>
              </w:rPr>
              <w:t>gadam</w:t>
            </w:r>
          </w:p>
        </w:tc>
        <w:tc>
          <w:tcPr>
            <w:tcW w:w="1372" w:type="dxa"/>
            <w:tcBorders>
              <w:top w:val="outset" w:sz="6" w:space="0" w:color="auto"/>
              <w:left w:val="outset" w:sz="6" w:space="0" w:color="auto"/>
              <w:bottom w:val="outset" w:sz="6" w:space="0" w:color="auto"/>
              <w:right w:val="outset" w:sz="6" w:space="0" w:color="auto"/>
            </w:tcBorders>
            <w:vAlign w:val="center"/>
            <w:hideMark/>
          </w:tcPr>
          <w:p w14:paraId="47634AFE" w14:textId="494A3FFD" w:rsidR="00F437A6" w:rsidRPr="008C7EAE" w:rsidRDefault="00F437A6">
            <w:pPr>
              <w:widowControl/>
              <w:spacing w:after="0" w:line="240" w:lineRule="auto"/>
              <w:rPr>
                <w:rFonts w:eastAsia="Times New Roman"/>
                <w:sz w:val="22"/>
                <w:lang w:eastAsia="lv-LV"/>
              </w:rPr>
            </w:pPr>
            <w:r w:rsidRPr="008C7EAE">
              <w:rPr>
                <w:rFonts w:eastAsia="Times New Roman"/>
                <w:sz w:val="22"/>
                <w:lang w:eastAsia="lv-LV"/>
              </w:rPr>
              <w:t xml:space="preserve">izmaiņas, salīdzinot ar vidēja termiņa budžeta ietvaru </w:t>
            </w:r>
            <w:r w:rsidR="00036191">
              <w:rPr>
                <w:rFonts w:eastAsia="Times New Roman"/>
                <w:sz w:val="22"/>
                <w:lang w:eastAsia="lv-LV"/>
              </w:rPr>
              <w:t>2023.</w:t>
            </w:r>
            <w:r w:rsidRPr="008C7EAE">
              <w:rPr>
                <w:rFonts w:eastAsia="Times New Roman"/>
                <w:sz w:val="22"/>
                <w:lang w:eastAsia="lv-LV"/>
              </w:rPr>
              <w:t xml:space="preserve"> gadam</w:t>
            </w:r>
          </w:p>
        </w:tc>
      </w:tr>
      <w:tr w:rsidR="00F437A6" w:rsidRPr="00F437A6" w14:paraId="652C88DC"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vAlign w:val="center"/>
            <w:hideMark/>
          </w:tcPr>
          <w:p w14:paraId="1A878152" w14:textId="77777777" w:rsidR="00F437A6" w:rsidRPr="00F437A6" w:rsidRDefault="00F437A6" w:rsidP="00F437A6">
            <w:pPr>
              <w:widowControl/>
              <w:spacing w:before="100" w:beforeAutospacing="1" w:after="100" w:afterAutospacing="1" w:line="360" w:lineRule="auto"/>
              <w:ind w:firstLine="300"/>
              <w:jc w:val="center"/>
              <w:rPr>
                <w:rFonts w:eastAsia="Times New Roman"/>
                <w:sz w:val="24"/>
                <w:szCs w:val="24"/>
                <w:lang w:eastAsia="lv-LV"/>
              </w:rPr>
            </w:pPr>
            <w:r w:rsidRPr="00F437A6">
              <w:rPr>
                <w:rFonts w:eastAsia="Times New Roman"/>
                <w:sz w:val="24"/>
                <w:szCs w:val="24"/>
                <w:lang w:eastAsia="lv-LV"/>
              </w:rPr>
              <w:t>1</w:t>
            </w:r>
          </w:p>
        </w:tc>
        <w:tc>
          <w:tcPr>
            <w:tcW w:w="973" w:type="dxa"/>
            <w:tcBorders>
              <w:top w:val="outset" w:sz="6" w:space="0" w:color="auto"/>
              <w:left w:val="outset" w:sz="6" w:space="0" w:color="auto"/>
              <w:bottom w:val="outset" w:sz="6" w:space="0" w:color="auto"/>
              <w:right w:val="outset" w:sz="6" w:space="0" w:color="auto"/>
            </w:tcBorders>
            <w:vAlign w:val="center"/>
            <w:hideMark/>
          </w:tcPr>
          <w:p w14:paraId="5B78F816" w14:textId="77777777" w:rsidR="00F437A6" w:rsidRPr="00F437A6" w:rsidRDefault="00F437A6" w:rsidP="00F437A6">
            <w:pPr>
              <w:widowControl/>
              <w:spacing w:before="100" w:beforeAutospacing="1" w:after="100" w:afterAutospacing="1" w:line="360" w:lineRule="auto"/>
              <w:ind w:firstLine="300"/>
              <w:jc w:val="center"/>
              <w:rPr>
                <w:rFonts w:eastAsia="Times New Roman"/>
                <w:sz w:val="24"/>
                <w:szCs w:val="24"/>
                <w:lang w:eastAsia="lv-LV"/>
              </w:rPr>
            </w:pPr>
            <w:r w:rsidRPr="00F437A6">
              <w:rPr>
                <w:rFonts w:eastAsia="Times New Roman"/>
                <w:sz w:val="24"/>
                <w:szCs w:val="24"/>
                <w:lang w:eastAsia="lv-LV"/>
              </w:rPr>
              <w:t>2</w:t>
            </w:r>
          </w:p>
        </w:tc>
        <w:tc>
          <w:tcPr>
            <w:tcW w:w="1012" w:type="dxa"/>
            <w:tcBorders>
              <w:top w:val="outset" w:sz="6" w:space="0" w:color="auto"/>
              <w:left w:val="outset" w:sz="6" w:space="0" w:color="auto"/>
              <w:bottom w:val="outset" w:sz="6" w:space="0" w:color="auto"/>
              <w:right w:val="outset" w:sz="6" w:space="0" w:color="auto"/>
            </w:tcBorders>
            <w:vAlign w:val="center"/>
            <w:hideMark/>
          </w:tcPr>
          <w:p w14:paraId="4AD240E7" w14:textId="77777777" w:rsidR="00F437A6" w:rsidRPr="00F437A6" w:rsidRDefault="00F437A6" w:rsidP="00F437A6">
            <w:pPr>
              <w:widowControl/>
              <w:spacing w:before="100" w:beforeAutospacing="1" w:after="100" w:afterAutospacing="1" w:line="360" w:lineRule="auto"/>
              <w:ind w:firstLine="300"/>
              <w:jc w:val="center"/>
              <w:rPr>
                <w:rFonts w:eastAsia="Times New Roman"/>
                <w:sz w:val="24"/>
                <w:szCs w:val="24"/>
                <w:lang w:eastAsia="lv-LV"/>
              </w:rPr>
            </w:pPr>
            <w:r w:rsidRPr="00F437A6">
              <w:rPr>
                <w:rFonts w:eastAsia="Times New Roman"/>
                <w:sz w:val="24"/>
                <w:szCs w:val="24"/>
                <w:lang w:eastAsia="lv-LV"/>
              </w:rPr>
              <w:t>3</w:t>
            </w:r>
          </w:p>
        </w:tc>
        <w:tc>
          <w:tcPr>
            <w:tcW w:w="973" w:type="dxa"/>
            <w:tcBorders>
              <w:top w:val="outset" w:sz="6" w:space="0" w:color="auto"/>
              <w:left w:val="outset" w:sz="6" w:space="0" w:color="auto"/>
              <w:bottom w:val="outset" w:sz="6" w:space="0" w:color="auto"/>
              <w:right w:val="outset" w:sz="6" w:space="0" w:color="auto"/>
            </w:tcBorders>
            <w:vAlign w:val="center"/>
            <w:hideMark/>
          </w:tcPr>
          <w:p w14:paraId="7F10C0BF" w14:textId="77777777" w:rsidR="00F437A6" w:rsidRPr="00F437A6" w:rsidRDefault="00F437A6" w:rsidP="00F437A6">
            <w:pPr>
              <w:widowControl/>
              <w:spacing w:before="100" w:beforeAutospacing="1" w:after="100" w:afterAutospacing="1" w:line="360" w:lineRule="auto"/>
              <w:ind w:firstLine="300"/>
              <w:jc w:val="center"/>
              <w:rPr>
                <w:rFonts w:eastAsia="Times New Roman"/>
                <w:sz w:val="24"/>
                <w:szCs w:val="24"/>
                <w:lang w:eastAsia="lv-LV"/>
              </w:rPr>
            </w:pPr>
            <w:r w:rsidRPr="00F437A6">
              <w:rPr>
                <w:rFonts w:eastAsia="Times New Roman"/>
                <w:sz w:val="24"/>
                <w:szCs w:val="24"/>
                <w:lang w:eastAsia="lv-LV"/>
              </w:rPr>
              <w:t>4</w:t>
            </w:r>
          </w:p>
        </w:tc>
        <w:tc>
          <w:tcPr>
            <w:tcW w:w="1060" w:type="dxa"/>
            <w:tcBorders>
              <w:top w:val="outset" w:sz="6" w:space="0" w:color="auto"/>
              <w:left w:val="outset" w:sz="6" w:space="0" w:color="auto"/>
              <w:bottom w:val="outset" w:sz="6" w:space="0" w:color="auto"/>
              <w:right w:val="outset" w:sz="6" w:space="0" w:color="auto"/>
            </w:tcBorders>
            <w:vAlign w:val="center"/>
            <w:hideMark/>
          </w:tcPr>
          <w:p w14:paraId="40BF4FA1" w14:textId="77777777" w:rsidR="00F437A6" w:rsidRPr="00F437A6" w:rsidRDefault="00F437A6" w:rsidP="00F437A6">
            <w:pPr>
              <w:widowControl/>
              <w:spacing w:before="100" w:beforeAutospacing="1" w:after="100" w:afterAutospacing="1" w:line="360" w:lineRule="auto"/>
              <w:ind w:firstLine="300"/>
              <w:jc w:val="center"/>
              <w:rPr>
                <w:rFonts w:eastAsia="Times New Roman"/>
                <w:sz w:val="24"/>
                <w:szCs w:val="24"/>
                <w:lang w:eastAsia="lv-LV"/>
              </w:rPr>
            </w:pPr>
            <w:r w:rsidRPr="00F437A6">
              <w:rPr>
                <w:rFonts w:eastAsia="Times New Roman"/>
                <w:sz w:val="24"/>
                <w:szCs w:val="24"/>
                <w:lang w:eastAsia="lv-LV"/>
              </w:rPr>
              <w:t>5</w:t>
            </w:r>
          </w:p>
        </w:tc>
        <w:tc>
          <w:tcPr>
            <w:tcW w:w="973" w:type="dxa"/>
            <w:tcBorders>
              <w:top w:val="outset" w:sz="6" w:space="0" w:color="auto"/>
              <w:left w:val="outset" w:sz="6" w:space="0" w:color="auto"/>
              <w:bottom w:val="outset" w:sz="6" w:space="0" w:color="auto"/>
              <w:right w:val="outset" w:sz="6" w:space="0" w:color="auto"/>
            </w:tcBorders>
            <w:vAlign w:val="center"/>
            <w:hideMark/>
          </w:tcPr>
          <w:p w14:paraId="065EB13A" w14:textId="77777777" w:rsidR="00F437A6" w:rsidRPr="00F437A6" w:rsidRDefault="00F437A6" w:rsidP="00F437A6">
            <w:pPr>
              <w:widowControl/>
              <w:spacing w:before="100" w:beforeAutospacing="1" w:after="100" w:afterAutospacing="1" w:line="360" w:lineRule="auto"/>
              <w:ind w:firstLine="300"/>
              <w:jc w:val="center"/>
              <w:rPr>
                <w:rFonts w:eastAsia="Times New Roman"/>
                <w:sz w:val="24"/>
                <w:szCs w:val="24"/>
                <w:lang w:eastAsia="lv-LV"/>
              </w:rPr>
            </w:pPr>
            <w:r w:rsidRPr="00F437A6">
              <w:rPr>
                <w:rFonts w:eastAsia="Times New Roman"/>
                <w:sz w:val="24"/>
                <w:szCs w:val="24"/>
                <w:lang w:eastAsia="lv-LV"/>
              </w:rPr>
              <w:t>6</w:t>
            </w:r>
          </w:p>
        </w:tc>
        <w:tc>
          <w:tcPr>
            <w:tcW w:w="1188" w:type="dxa"/>
            <w:tcBorders>
              <w:top w:val="outset" w:sz="6" w:space="0" w:color="auto"/>
              <w:left w:val="outset" w:sz="6" w:space="0" w:color="auto"/>
              <w:bottom w:val="outset" w:sz="6" w:space="0" w:color="auto"/>
              <w:right w:val="outset" w:sz="6" w:space="0" w:color="auto"/>
            </w:tcBorders>
            <w:vAlign w:val="center"/>
            <w:hideMark/>
          </w:tcPr>
          <w:p w14:paraId="79C1BA76" w14:textId="77777777" w:rsidR="00F437A6" w:rsidRPr="00F437A6" w:rsidRDefault="00F437A6" w:rsidP="00F437A6">
            <w:pPr>
              <w:widowControl/>
              <w:spacing w:before="100" w:beforeAutospacing="1" w:after="100" w:afterAutospacing="1" w:line="360" w:lineRule="auto"/>
              <w:ind w:firstLine="300"/>
              <w:jc w:val="center"/>
              <w:rPr>
                <w:rFonts w:eastAsia="Times New Roman"/>
                <w:sz w:val="24"/>
                <w:szCs w:val="24"/>
                <w:lang w:eastAsia="lv-LV"/>
              </w:rPr>
            </w:pPr>
            <w:r w:rsidRPr="00F437A6">
              <w:rPr>
                <w:rFonts w:eastAsia="Times New Roman"/>
                <w:sz w:val="24"/>
                <w:szCs w:val="24"/>
                <w:lang w:eastAsia="lv-LV"/>
              </w:rPr>
              <w:t>7</w:t>
            </w:r>
          </w:p>
        </w:tc>
        <w:tc>
          <w:tcPr>
            <w:tcW w:w="1372" w:type="dxa"/>
            <w:tcBorders>
              <w:top w:val="outset" w:sz="6" w:space="0" w:color="auto"/>
              <w:left w:val="outset" w:sz="6" w:space="0" w:color="auto"/>
              <w:bottom w:val="outset" w:sz="6" w:space="0" w:color="auto"/>
              <w:right w:val="outset" w:sz="6" w:space="0" w:color="auto"/>
            </w:tcBorders>
            <w:vAlign w:val="center"/>
            <w:hideMark/>
          </w:tcPr>
          <w:p w14:paraId="181B2A25" w14:textId="77777777" w:rsidR="00F437A6" w:rsidRPr="00F437A6" w:rsidRDefault="00F437A6" w:rsidP="00F437A6">
            <w:pPr>
              <w:widowControl/>
              <w:spacing w:before="100" w:beforeAutospacing="1" w:after="100" w:afterAutospacing="1" w:line="360" w:lineRule="auto"/>
              <w:ind w:firstLine="300"/>
              <w:jc w:val="center"/>
              <w:rPr>
                <w:rFonts w:eastAsia="Times New Roman"/>
                <w:sz w:val="24"/>
                <w:szCs w:val="24"/>
                <w:lang w:eastAsia="lv-LV"/>
              </w:rPr>
            </w:pPr>
            <w:r w:rsidRPr="00F437A6">
              <w:rPr>
                <w:rFonts w:eastAsia="Times New Roman"/>
                <w:sz w:val="24"/>
                <w:szCs w:val="24"/>
                <w:lang w:eastAsia="lv-LV"/>
              </w:rPr>
              <w:t>8</w:t>
            </w:r>
          </w:p>
        </w:tc>
      </w:tr>
      <w:tr w:rsidR="00F437A6" w:rsidRPr="00F437A6" w14:paraId="66218A2C"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788B3B55" w14:textId="77777777"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1. Budžeta ieņēmumi</w:t>
            </w:r>
          </w:p>
        </w:tc>
        <w:tc>
          <w:tcPr>
            <w:tcW w:w="973" w:type="dxa"/>
            <w:tcBorders>
              <w:top w:val="outset" w:sz="6" w:space="0" w:color="auto"/>
              <w:left w:val="outset" w:sz="6" w:space="0" w:color="auto"/>
              <w:bottom w:val="outset" w:sz="6" w:space="0" w:color="auto"/>
              <w:right w:val="outset" w:sz="6" w:space="0" w:color="auto"/>
            </w:tcBorders>
            <w:vAlign w:val="center"/>
            <w:hideMark/>
          </w:tcPr>
          <w:p w14:paraId="10701CCD" w14:textId="6FE5E2A1"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380D8DC2" w14:textId="749484DD"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7B042889" w14:textId="00BA114B"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60" w:type="dxa"/>
            <w:tcBorders>
              <w:top w:val="outset" w:sz="6" w:space="0" w:color="auto"/>
              <w:left w:val="outset" w:sz="6" w:space="0" w:color="auto"/>
              <w:bottom w:val="outset" w:sz="6" w:space="0" w:color="auto"/>
              <w:right w:val="outset" w:sz="6" w:space="0" w:color="auto"/>
            </w:tcBorders>
            <w:vAlign w:val="center"/>
            <w:hideMark/>
          </w:tcPr>
          <w:p w14:paraId="69940089" w14:textId="7D361939"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6DE56FD8" w14:textId="1F729BA4"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160096C6" w14:textId="0AC9B23B"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2FA4F396" w14:textId="76C73821"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r>
      <w:tr w:rsidR="00F437A6" w:rsidRPr="00F437A6" w14:paraId="068ABC51"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2FBE9B2B" w14:textId="357BF43D"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1.1. valsts pamat</w:t>
            </w:r>
            <w:r w:rsidR="008C7EAE">
              <w:rPr>
                <w:rFonts w:eastAsia="Times New Roman"/>
                <w:sz w:val="24"/>
                <w:szCs w:val="24"/>
                <w:lang w:eastAsia="lv-LV"/>
              </w:rPr>
              <w:t>-</w:t>
            </w:r>
            <w:r w:rsidRPr="00F437A6">
              <w:rPr>
                <w:rFonts w:eastAsia="Times New Roman"/>
                <w:sz w:val="24"/>
                <w:szCs w:val="24"/>
                <w:lang w:eastAsia="lv-LV"/>
              </w:rPr>
              <w:t>budžets, tai skaitā ieņēmumi no maksas pakalpoju</w:t>
            </w:r>
            <w:r w:rsidR="008C7EAE">
              <w:rPr>
                <w:rFonts w:eastAsia="Times New Roman"/>
                <w:sz w:val="24"/>
                <w:szCs w:val="24"/>
                <w:lang w:eastAsia="lv-LV"/>
              </w:rPr>
              <w:t>-</w:t>
            </w:r>
            <w:proofErr w:type="spellStart"/>
            <w:r w:rsidRPr="00F437A6">
              <w:rPr>
                <w:rFonts w:eastAsia="Times New Roman"/>
                <w:sz w:val="24"/>
                <w:szCs w:val="24"/>
                <w:lang w:eastAsia="lv-LV"/>
              </w:rPr>
              <w:t>miem</w:t>
            </w:r>
            <w:proofErr w:type="spellEnd"/>
            <w:r w:rsidRPr="00F437A6">
              <w:rPr>
                <w:rFonts w:eastAsia="Times New Roman"/>
                <w:sz w:val="24"/>
                <w:szCs w:val="24"/>
                <w:lang w:eastAsia="lv-LV"/>
              </w:rPr>
              <w:t xml:space="preserve"> un citi pašu ieņēmumi</w:t>
            </w:r>
          </w:p>
        </w:tc>
        <w:tc>
          <w:tcPr>
            <w:tcW w:w="973" w:type="dxa"/>
            <w:tcBorders>
              <w:top w:val="outset" w:sz="6" w:space="0" w:color="auto"/>
              <w:left w:val="outset" w:sz="6" w:space="0" w:color="auto"/>
              <w:bottom w:val="outset" w:sz="6" w:space="0" w:color="auto"/>
              <w:right w:val="outset" w:sz="6" w:space="0" w:color="auto"/>
            </w:tcBorders>
            <w:vAlign w:val="center"/>
            <w:hideMark/>
          </w:tcPr>
          <w:p w14:paraId="3E538AA7" w14:textId="61342E40"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25FAEDD4" w14:textId="53C13AC1"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2682AA98" w14:textId="36F7E631"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60" w:type="dxa"/>
            <w:tcBorders>
              <w:top w:val="outset" w:sz="6" w:space="0" w:color="auto"/>
              <w:left w:val="outset" w:sz="6" w:space="0" w:color="auto"/>
              <w:bottom w:val="outset" w:sz="6" w:space="0" w:color="auto"/>
              <w:right w:val="outset" w:sz="6" w:space="0" w:color="auto"/>
            </w:tcBorders>
            <w:vAlign w:val="center"/>
            <w:hideMark/>
          </w:tcPr>
          <w:p w14:paraId="7DD7551E" w14:textId="5F46A4BD"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48E9602D" w14:textId="342AD6AE"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3C1B76FD" w14:textId="6A7A99E4"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04B09D2F" w14:textId="7C6EA102"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r>
      <w:tr w:rsidR="00F437A6" w:rsidRPr="00F437A6" w14:paraId="762F3306"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1367114C" w14:textId="77777777"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1.2. valsts speciālais budžets</w:t>
            </w:r>
          </w:p>
        </w:tc>
        <w:tc>
          <w:tcPr>
            <w:tcW w:w="973" w:type="dxa"/>
            <w:tcBorders>
              <w:top w:val="outset" w:sz="6" w:space="0" w:color="auto"/>
              <w:left w:val="outset" w:sz="6" w:space="0" w:color="auto"/>
              <w:bottom w:val="outset" w:sz="6" w:space="0" w:color="auto"/>
              <w:right w:val="outset" w:sz="6" w:space="0" w:color="auto"/>
            </w:tcBorders>
            <w:vAlign w:val="center"/>
            <w:hideMark/>
          </w:tcPr>
          <w:p w14:paraId="740F47FB" w14:textId="29DF3F84"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09494AF1" w14:textId="3B23BA1F"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5BCCC29C" w14:textId="64A7FC6B"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60" w:type="dxa"/>
            <w:tcBorders>
              <w:top w:val="outset" w:sz="6" w:space="0" w:color="auto"/>
              <w:left w:val="outset" w:sz="6" w:space="0" w:color="auto"/>
              <w:bottom w:val="outset" w:sz="6" w:space="0" w:color="auto"/>
              <w:right w:val="outset" w:sz="6" w:space="0" w:color="auto"/>
            </w:tcBorders>
            <w:vAlign w:val="center"/>
            <w:hideMark/>
          </w:tcPr>
          <w:p w14:paraId="5952CA50" w14:textId="1B8B87D0"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582851A0" w14:textId="52E60277"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1DD05CEA" w14:textId="5CF96925"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5D89452A" w14:textId="67438914"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r>
      <w:tr w:rsidR="00F437A6" w:rsidRPr="00F437A6" w14:paraId="5D3FEE34"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0BC5540F" w14:textId="3EAED119"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xml:space="preserve">1.3. </w:t>
            </w:r>
            <w:proofErr w:type="spellStart"/>
            <w:r w:rsidRPr="00F437A6">
              <w:rPr>
                <w:rFonts w:eastAsia="Times New Roman"/>
                <w:sz w:val="24"/>
                <w:szCs w:val="24"/>
                <w:lang w:eastAsia="lv-LV"/>
              </w:rPr>
              <w:t>paš</w:t>
            </w:r>
            <w:proofErr w:type="spellEnd"/>
            <w:r w:rsidR="008C7EAE">
              <w:rPr>
                <w:rFonts w:eastAsia="Times New Roman"/>
                <w:sz w:val="24"/>
                <w:szCs w:val="24"/>
                <w:lang w:eastAsia="lv-LV"/>
              </w:rPr>
              <w:t>-</w:t>
            </w:r>
            <w:r w:rsidRPr="00F437A6">
              <w:rPr>
                <w:rFonts w:eastAsia="Times New Roman"/>
                <w:sz w:val="24"/>
                <w:szCs w:val="24"/>
                <w:lang w:eastAsia="lv-LV"/>
              </w:rPr>
              <w:t>valdību budžets</w:t>
            </w:r>
          </w:p>
        </w:tc>
        <w:tc>
          <w:tcPr>
            <w:tcW w:w="973" w:type="dxa"/>
            <w:tcBorders>
              <w:top w:val="outset" w:sz="6" w:space="0" w:color="auto"/>
              <w:left w:val="outset" w:sz="6" w:space="0" w:color="auto"/>
              <w:bottom w:val="outset" w:sz="6" w:space="0" w:color="auto"/>
              <w:right w:val="outset" w:sz="6" w:space="0" w:color="auto"/>
            </w:tcBorders>
            <w:vAlign w:val="center"/>
            <w:hideMark/>
          </w:tcPr>
          <w:p w14:paraId="2C368610" w14:textId="19EECDE2"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42C1D9A5" w14:textId="24EEBFE6"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21C773DF" w14:textId="7644A927"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60" w:type="dxa"/>
            <w:tcBorders>
              <w:top w:val="outset" w:sz="6" w:space="0" w:color="auto"/>
              <w:left w:val="outset" w:sz="6" w:space="0" w:color="auto"/>
              <w:bottom w:val="outset" w:sz="6" w:space="0" w:color="auto"/>
              <w:right w:val="outset" w:sz="6" w:space="0" w:color="auto"/>
            </w:tcBorders>
            <w:vAlign w:val="center"/>
            <w:hideMark/>
          </w:tcPr>
          <w:p w14:paraId="7BB4FF2F" w14:textId="431A2BC3"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69AEB1B9" w14:textId="5E0DB593"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6DE4E597" w14:textId="4EFBAB28"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0148B477" w14:textId="27E206CF"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r>
      <w:tr w:rsidR="00F437A6" w:rsidRPr="00F437A6" w14:paraId="43BCBB1B"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78A22AD6" w14:textId="77777777"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2. Budžeta izdevumi</w:t>
            </w:r>
          </w:p>
        </w:tc>
        <w:tc>
          <w:tcPr>
            <w:tcW w:w="973" w:type="dxa"/>
            <w:tcBorders>
              <w:top w:val="outset" w:sz="6" w:space="0" w:color="auto"/>
              <w:left w:val="outset" w:sz="6" w:space="0" w:color="auto"/>
              <w:bottom w:val="outset" w:sz="6" w:space="0" w:color="auto"/>
              <w:right w:val="outset" w:sz="6" w:space="0" w:color="auto"/>
            </w:tcBorders>
            <w:vAlign w:val="center"/>
            <w:hideMark/>
          </w:tcPr>
          <w:p w14:paraId="00525945" w14:textId="795D0614"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7237538D" w14:textId="3F994281" w:rsidR="00F437A6" w:rsidRPr="00036191" w:rsidRDefault="003F3FF9" w:rsidP="00B52423">
            <w:pPr>
              <w:widowControl/>
              <w:spacing w:after="0" w:line="240" w:lineRule="auto"/>
              <w:jc w:val="center"/>
              <w:rPr>
                <w:rFonts w:eastAsia="Times New Roman"/>
                <w:sz w:val="24"/>
                <w:szCs w:val="24"/>
                <w:highlight w:val="yellow"/>
                <w:lang w:eastAsia="lv-LV"/>
              </w:rPr>
            </w:pPr>
            <w:r w:rsidRPr="00036191">
              <w:rPr>
                <w:rFonts w:eastAsia="Times New Roman"/>
                <w:sz w:val="24"/>
                <w:szCs w:val="24"/>
                <w:lang w:eastAsia="lv-LV"/>
              </w:rPr>
              <w:t>9 965</w:t>
            </w:r>
          </w:p>
        </w:tc>
        <w:tc>
          <w:tcPr>
            <w:tcW w:w="973" w:type="dxa"/>
            <w:tcBorders>
              <w:top w:val="outset" w:sz="6" w:space="0" w:color="auto"/>
              <w:left w:val="outset" w:sz="6" w:space="0" w:color="auto"/>
              <w:bottom w:val="outset" w:sz="6" w:space="0" w:color="auto"/>
              <w:right w:val="outset" w:sz="6" w:space="0" w:color="auto"/>
            </w:tcBorders>
            <w:vAlign w:val="center"/>
            <w:hideMark/>
          </w:tcPr>
          <w:p w14:paraId="4F8D3DDC" w14:textId="258ED23A"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60" w:type="dxa"/>
            <w:tcBorders>
              <w:top w:val="outset" w:sz="6" w:space="0" w:color="auto"/>
              <w:left w:val="outset" w:sz="6" w:space="0" w:color="auto"/>
              <w:bottom w:val="outset" w:sz="6" w:space="0" w:color="auto"/>
              <w:right w:val="outset" w:sz="6" w:space="0" w:color="auto"/>
            </w:tcBorders>
            <w:vAlign w:val="center"/>
            <w:hideMark/>
          </w:tcPr>
          <w:p w14:paraId="788B0FE3" w14:textId="7323CA44"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09ED780C" w14:textId="3F1392AE"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76230C25" w14:textId="6CEF0057"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3995D297" w14:textId="252BEE8B"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r>
      <w:tr w:rsidR="00F437A6" w:rsidRPr="00F437A6" w14:paraId="09F4AA1C"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3A62C2E4" w14:textId="24E9F6D3"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2.1. valsts pamat</w:t>
            </w:r>
            <w:r w:rsidR="008C7EAE">
              <w:rPr>
                <w:rFonts w:eastAsia="Times New Roman"/>
                <w:sz w:val="24"/>
                <w:szCs w:val="24"/>
                <w:lang w:eastAsia="lv-LV"/>
              </w:rPr>
              <w:t>-</w:t>
            </w:r>
            <w:r w:rsidRPr="00F437A6">
              <w:rPr>
                <w:rFonts w:eastAsia="Times New Roman"/>
                <w:sz w:val="24"/>
                <w:szCs w:val="24"/>
                <w:lang w:eastAsia="lv-LV"/>
              </w:rPr>
              <w:t>budžets</w:t>
            </w:r>
          </w:p>
        </w:tc>
        <w:tc>
          <w:tcPr>
            <w:tcW w:w="973" w:type="dxa"/>
            <w:tcBorders>
              <w:top w:val="outset" w:sz="6" w:space="0" w:color="auto"/>
              <w:left w:val="outset" w:sz="6" w:space="0" w:color="auto"/>
              <w:bottom w:val="outset" w:sz="6" w:space="0" w:color="auto"/>
              <w:right w:val="outset" w:sz="6" w:space="0" w:color="auto"/>
            </w:tcBorders>
            <w:vAlign w:val="center"/>
            <w:hideMark/>
          </w:tcPr>
          <w:p w14:paraId="79DB74A0" w14:textId="00BF2934"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7316091F" w14:textId="75992028" w:rsidR="00F437A6" w:rsidRPr="00036191" w:rsidRDefault="003F3FF9" w:rsidP="00B52423">
            <w:pPr>
              <w:widowControl/>
              <w:spacing w:after="0" w:line="240" w:lineRule="auto"/>
              <w:jc w:val="center"/>
              <w:rPr>
                <w:rFonts w:eastAsia="Times New Roman"/>
                <w:sz w:val="24"/>
                <w:szCs w:val="24"/>
                <w:highlight w:val="yellow"/>
                <w:lang w:eastAsia="lv-LV"/>
              </w:rPr>
            </w:pPr>
            <w:r w:rsidRPr="00036191">
              <w:rPr>
                <w:rFonts w:eastAsia="Times New Roman"/>
                <w:sz w:val="24"/>
                <w:szCs w:val="24"/>
                <w:lang w:eastAsia="lv-LV"/>
              </w:rPr>
              <w:t>9 965</w:t>
            </w:r>
          </w:p>
        </w:tc>
        <w:tc>
          <w:tcPr>
            <w:tcW w:w="973" w:type="dxa"/>
            <w:tcBorders>
              <w:top w:val="outset" w:sz="6" w:space="0" w:color="auto"/>
              <w:left w:val="outset" w:sz="6" w:space="0" w:color="auto"/>
              <w:bottom w:val="outset" w:sz="6" w:space="0" w:color="auto"/>
              <w:right w:val="outset" w:sz="6" w:space="0" w:color="auto"/>
            </w:tcBorders>
            <w:vAlign w:val="center"/>
            <w:hideMark/>
          </w:tcPr>
          <w:p w14:paraId="2F68D2CA" w14:textId="27ECEF5C"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60" w:type="dxa"/>
            <w:tcBorders>
              <w:top w:val="outset" w:sz="6" w:space="0" w:color="auto"/>
              <w:left w:val="outset" w:sz="6" w:space="0" w:color="auto"/>
              <w:bottom w:val="outset" w:sz="6" w:space="0" w:color="auto"/>
              <w:right w:val="outset" w:sz="6" w:space="0" w:color="auto"/>
            </w:tcBorders>
            <w:vAlign w:val="center"/>
            <w:hideMark/>
          </w:tcPr>
          <w:p w14:paraId="636B51D8" w14:textId="47A769AC"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272FA9BB" w14:textId="7C8DCFBC"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6A8F31BD" w14:textId="676760D9"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12741274" w14:textId="216B1EF1"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r>
      <w:tr w:rsidR="00F437A6" w:rsidRPr="00F437A6" w14:paraId="141A5146"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0A2EAFF8" w14:textId="77777777"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2.2. valsts speciālais budžets</w:t>
            </w:r>
          </w:p>
        </w:tc>
        <w:tc>
          <w:tcPr>
            <w:tcW w:w="973" w:type="dxa"/>
            <w:tcBorders>
              <w:top w:val="outset" w:sz="6" w:space="0" w:color="auto"/>
              <w:left w:val="outset" w:sz="6" w:space="0" w:color="auto"/>
              <w:bottom w:val="outset" w:sz="6" w:space="0" w:color="auto"/>
              <w:right w:val="outset" w:sz="6" w:space="0" w:color="auto"/>
            </w:tcBorders>
            <w:vAlign w:val="center"/>
            <w:hideMark/>
          </w:tcPr>
          <w:p w14:paraId="3C216E9F" w14:textId="3E2732B7"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699DA612" w14:textId="00D16DA0"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5FF8F859" w14:textId="7D67501D"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60" w:type="dxa"/>
            <w:tcBorders>
              <w:top w:val="outset" w:sz="6" w:space="0" w:color="auto"/>
              <w:left w:val="outset" w:sz="6" w:space="0" w:color="auto"/>
              <w:bottom w:val="outset" w:sz="6" w:space="0" w:color="auto"/>
              <w:right w:val="outset" w:sz="6" w:space="0" w:color="auto"/>
            </w:tcBorders>
            <w:vAlign w:val="center"/>
            <w:hideMark/>
          </w:tcPr>
          <w:p w14:paraId="6D5C592D" w14:textId="7F796331"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0AD6144E" w14:textId="6EDF4183"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51D598AD" w14:textId="05E14265"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0A4F025D" w14:textId="2DBCBD49"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r>
      <w:tr w:rsidR="00F437A6" w:rsidRPr="00F437A6" w14:paraId="0A682417"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50ACB9B4" w14:textId="53987AC2"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xml:space="preserve">2.3. </w:t>
            </w:r>
            <w:proofErr w:type="spellStart"/>
            <w:r w:rsidRPr="00F437A6">
              <w:rPr>
                <w:rFonts w:eastAsia="Times New Roman"/>
                <w:sz w:val="24"/>
                <w:szCs w:val="24"/>
                <w:lang w:eastAsia="lv-LV"/>
              </w:rPr>
              <w:t>paš</w:t>
            </w:r>
            <w:proofErr w:type="spellEnd"/>
            <w:r w:rsidR="008C7EAE">
              <w:rPr>
                <w:rFonts w:eastAsia="Times New Roman"/>
                <w:sz w:val="24"/>
                <w:szCs w:val="24"/>
                <w:lang w:eastAsia="lv-LV"/>
              </w:rPr>
              <w:t>-</w:t>
            </w:r>
            <w:r w:rsidRPr="00F437A6">
              <w:rPr>
                <w:rFonts w:eastAsia="Times New Roman"/>
                <w:sz w:val="24"/>
                <w:szCs w:val="24"/>
                <w:lang w:eastAsia="lv-LV"/>
              </w:rPr>
              <w:t>valdību budžets</w:t>
            </w:r>
          </w:p>
        </w:tc>
        <w:tc>
          <w:tcPr>
            <w:tcW w:w="973" w:type="dxa"/>
            <w:tcBorders>
              <w:top w:val="outset" w:sz="6" w:space="0" w:color="auto"/>
              <w:left w:val="outset" w:sz="6" w:space="0" w:color="auto"/>
              <w:bottom w:val="outset" w:sz="6" w:space="0" w:color="auto"/>
              <w:right w:val="outset" w:sz="6" w:space="0" w:color="auto"/>
            </w:tcBorders>
            <w:vAlign w:val="center"/>
            <w:hideMark/>
          </w:tcPr>
          <w:p w14:paraId="0D5D0EFA" w14:textId="3CB673E2"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46144577" w14:textId="3E888130"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12B9CC5C" w14:textId="15D0F159"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60" w:type="dxa"/>
            <w:tcBorders>
              <w:top w:val="outset" w:sz="6" w:space="0" w:color="auto"/>
              <w:left w:val="outset" w:sz="6" w:space="0" w:color="auto"/>
              <w:bottom w:val="outset" w:sz="6" w:space="0" w:color="auto"/>
              <w:right w:val="outset" w:sz="6" w:space="0" w:color="auto"/>
            </w:tcBorders>
            <w:vAlign w:val="center"/>
            <w:hideMark/>
          </w:tcPr>
          <w:p w14:paraId="7CE1AF00" w14:textId="0BC78DD2"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79037B12" w14:textId="01986465"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15956D49" w14:textId="4E502585"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208E33DB" w14:textId="73BC4D4F"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r>
      <w:tr w:rsidR="00F437A6" w:rsidRPr="00F437A6" w14:paraId="0CD2D18D" w14:textId="77777777" w:rsidTr="00B52423">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583D3D6D" w14:textId="5BF3A86D"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xml:space="preserve">3. </w:t>
            </w:r>
            <w:proofErr w:type="spellStart"/>
            <w:r w:rsidRPr="00F437A6">
              <w:rPr>
                <w:rFonts w:eastAsia="Times New Roman"/>
                <w:sz w:val="24"/>
                <w:szCs w:val="24"/>
                <w:lang w:eastAsia="lv-LV"/>
              </w:rPr>
              <w:t>Finansiā</w:t>
            </w:r>
            <w:r w:rsidR="008C7EAE">
              <w:rPr>
                <w:rFonts w:eastAsia="Times New Roman"/>
                <w:sz w:val="24"/>
                <w:szCs w:val="24"/>
                <w:lang w:eastAsia="lv-LV"/>
              </w:rPr>
              <w:t>-</w:t>
            </w:r>
            <w:r w:rsidRPr="00F437A6">
              <w:rPr>
                <w:rFonts w:eastAsia="Times New Roman"/>
                <w:sz w:val="24"/>
                <w:szCs w:val="24"/>
                <w:lang w:eastAsia="lv-LV"/>
              </w:rPr>
              <w:t>lā</w:t>
            </w:r>
            <w:proofErr w:type="spellEnd"/>
            <w:r w:rsidRPr="00F437A6">
              <w:rPr>
                <w:rFonts w:eastAsia="Times New Roman"/>
                <w:sz w:val="24"/>
                <w:szCs w:val="24"/>
                <w:lang w:eastAsia="lv-LV"/>
              </w:rPr>
              <w:t xml:space="preserve"> ietekme</w:t>
            </w:r>
          </w:p>
        </w:tc>
        <w:tc>
          <w:tcPr>
            <w:tcW w:w="973" w:type="dxa"/>
            <w:tcBorders>
              <w:top w:val="outset" w:sz="6" w:space="0" w:color="auto"/>
              <w:left w:val="outset" w:sz="6" w:space="0" w:color="auto"/>
              <w:bottom w:val="outset" w:sz="6" w:space="0" w:color="auto"/>
              <w:right w:val="outset" w:sz="6" w:space="0" w:color="auto"/>
            </w:tcBorders>
            <w:vAlign w:val="center"/>
            <w:hideMark/>
          </w:tcPr>
          <w:p w14:paraId="406A6BD8" w14:textId="409C4DCA"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12" w:type="dxa"/>
            <w:tcBorders>
              <w:top w:val="outset" w:sz="6" w:space="0" w:color="auto"/>
              <w:left w:val="outset" w:sz="6" w:space="0" w:color="auto"/>
              <w:bottom w:val="outset" w:sz="6" w:space="0" w:color="auto"/>
              <w:right w:val="outset" w:sz="6" w:space="0" w:color="auto"/>
            </w:tcBorders>
            <w:vAlign w:val="center"/>
          </w:tcPr>
          <w:p w14:paraId="4DB810DD" w14:textId="3257D566" w:rsidR="00F437A6" w:rsidRPr="00036191" w:rsidRDefault="003F3FF9" w:rsidP="00B52423">
            <w:pPr>
              <w:widowControl/>
              <w:spacing w:after="0" w:line="240" w:lineRule="auto"/>
              <w:jc w:val="center"/>
              <w:rPr>
                <w:rFonts w:eastAsia="Times New Roman"/>
                <w:sz w:val="24"/>
                <w:szCs w:val="24"/>
                <w:highlight w:val="yellow"/>
                <w:lang w:eastAsia="lv-LV"/>
              </w:rPr>
            </w:pPr>
            <w:r w:rsidRPr="00036191">
              <w:rPr>
                <w:rFonts w:eastAsia="Times New Roman"/>
                <w:sz w:val="24"/>
                <w:szCs w:val="24"/>
                <w:lang w:eastAsia="lv-LV"/>
              </w:rPr>
              <w:t>-9 965</w:t>
            </w:r>
          </w:p>
        </w:tc>
        <w:tc>
          <w:tcPr>
            <w:tcW w:w="973" w:type="dxa"/>
            <w:tcBorders>
              <w:top w:val="outset" w:sz="6" w:space="0" w:color="auto"/>
              <w:left w:val="outset" w:sz="6" w:space="0" w:color="auto"/>
              <w:bottom w:val="outset" w:sz="6" w:space="0" w:color="auto"/>
              <w:right w:val="outset" w:sz="6" w:space="0" w:color="auto"/>
            </w:tcBorders>
            <w:vAlign w:val="center"/>
            <w:hideMark/>
          </w:tcPr>
          <w:p w14:paraId="296BCE7F" w14:textId="17D603ED"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w:t>
            </w:r>
            <w:r w:rsidR="00036191">
              <w:rPr>
                <w:rFonts w:eastAsia="Times New Roman"/>
                <w:sz w:val="24"/>
                <w:szCs w:val="24"/>
                <w:lang w:eastAsia="lv-LV"/>
              </w:rPr>
              <w:t>0</w:t>
            </w:r>
          </w:p>
        </w:tc>
        <w:tc>
          <w:tcPr>
            <w:tcW w:w="1060" w:type="dxa"/>
            <w:tcBorders>
              <w:top w:val="outset" w:sz="6" w:space="0" w:color="auto"/>
              <w:left w:val="outset" w:sz="6" w:space="0" w:color="auto"/>
              <w:bottom w:val="outset" w:sz="6" w:space="0" w:color="auto"/>
              <w:right w:val="outset" w:sz="6" w:space="0" w:color="auto"/>
            </w:tcBorders>
            <w:vAlign w:val="center"/>
            <w:hideMark/>
          </w:tcPr>
          <w:p w14:paraId="27DD9A4E" w14:textId="2EA88457"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w:t>
            </w:r>
            <w:r w:rsidR="00036191">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7B7576B4" w14:textId="0C421003"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w:t>
            </w:r>
            <w:r w:rsidR="00036191">
              <w:rPr>
                <w:rFonts w:eastAsia="Times New Roman"/>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6457C575" w14:textId="4562DDD5"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w:t>
            </w:r>
            <w:r w:rsidR="00036191">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163F1344" w14:textId="757BBE99"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w:t>
            </w:r>
            <w:r w:rsidR="00036191">
              <w:rPr>
                <w:rFonts w:eastAsia="Times New Roman"/>
                <w:sz w:val="24"/>
                <w:szCs w:val="24"/>
                <w:lang w:eastAsia="lv-LV"/>
              </w:rPr>
              <w:t>0</w:t>
            </w:r>
          </w:p>
        </w:tc>
      </w:tr>
      <w:tr w:rsidR="00F437A6" w:rsidRPr="00F437A6" w14:paraId="5D23BE8C" w14:textId="77777777" w:rsidTr="00B52423">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0EBDCA65" w14:textId="1BAA33AE"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lastRenderedPageBreak/>
              <w:t>3.1. valsts pamat</w:t>
            </w:r>
            <w:r w:rsidR="008C7EAE">
              <w:rPr>
                <w:rFonts w:eastAsia="Times New Roman"/>
                <w:sz w:val="24"/>
                <w:szCs w:val="24"/>
                <w:lang w:eastAsia="lv-LV"/>
              </w:rPr>
              <w:t>-</w:t>
            </w:r>
            <w:r w:rsidRPr="00F437A6">
              <w:rPr>
                <w:rFonts w:eastAsia="Times New Roman"/>
                <w:sz w:val="24"/>
                <w:szCs w:val="24"/>
                <w:lang w:eastAsia="lv-LV"/>
              </w:rPr>
              <w:t>budžets</w:t>
            </w:r>
          </w:p>
        </w:tc>
        <w:tc>
          <w:tcPr>
            <w:tcW w:w="973" w:type="dxa"/>
            <w:tcBorders>
              <w:top w:val="outset" w:sz="6" w:space="0" w:color="auto"/>
              <w:left w:val="outset" w:sz="6" w:space="0" w:color="auto"/>
              <w:bottom w:val="outset" w:sz="6" w:space="0" w:color="auto"/>
              <w:right w:val="outset" w:sz="6" w:space="0" w:color="auto"/>
            </w:tcBorders>
            <w:vAlign w:val="center"/>
            <w:hideMark/>
          </w:tcPr>
          <w:p w14:paraId="220A32B3" w14:textId="47610411"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12" w:type="dxa"/>
            <w:tcBorders>
              <w:top w:val="outset" w:sz="6" w:space="0" w:color="auto"/>
              <w:left w:val="outset" w:sz="6" w:space="0" w:color="auto"/>
              <w:bottom w:val="outset" w:sz="6" w:space="0" w:color="auto"/>
              <w:right w:val="outset" w:sz="6" w:space="0" w:color="auto"/>
            </w:tcBorders>
            <w:vAlign w:val="center"/>
          </w:tcPr>
          <w:p w14:paraId="7C47C4BB" w14:textId="3BC6F729" w:rsidR="00F437A6" w:rsidRPr="00036191" w:rsidRDefault="003F3FF9" w:rsidP="00DC33F8">
            <w:pPr>
              <w:widowControl/>
              <w:spacing w:after="0" w:line="240" w:lineRule="auto"/>
              <w:jc w:val="center"/>
              <w:rPr>
                <w:rFonts w:eastAsia="Times New Roman"/>
                <w:sz w:val="24"/>
                <w:szCs w:val="24"/>
                <w:highlight w:val="yellow"/>
                <w:lang w:eastAsia="lv-LV"/>
              </w:rPr>
            </w:pPr>
            <w:r w:rsidRPr="00036191">
              <w:rPr>
                <w:rFonts w:eastAsia="Times New Roman"/>
                <w:sz w:val="24"/>
                <w:szCs w:val="24"/>
                <w:lang w:eastAsia="lv-LV"/>
              </w:rPr>
              <w:t>-9 965</w:t>
            </w:r>
          </w:p>
        </w:tc>
        <w:tc>
          <w:tcPr>
            <w:tcW w:w="973" w:type="dxa"/>
            <w:tcBorders>
              <w:top w:val="outset" w:sz="6" w:space="0" w:color="auto"/>
              <w:left w:val="outset" w:sz="6" w:space="0" w:color="auto"/>
              <w:bottom w:val="outset" w:sz="6" w:space="0" w:color="auto"/>
              <w:right w:val="outset" w:sz="6" w:space="0" w:color="auto"/>
            </w:tcBorders>
            <w:vAlign w:val="center"/>
            <w:hideMark/>
          </w:tcPr>
          <w:p w14:paraId="6853339D" w14:textId="7260D8EA"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w:t>
            </w:r>
            <w:r w:rsidR="00036191">
              <w:rPr>
                <w:rFonts w:eastAsia="Times New Roman"/>
                <w:sz w:val="24"/>
                <w:szCs w:val="24"/>
                <w:lang w:eastAsia="lv-LV"/>
              </w:rPr>
              <w:t>0</w:t>
            </w:r>
          </w:p>
        </w:tc>
        <w:tc>
          <w:tcPr>
            <w:tcW w:w="1060" w:type="dxa"/>
            <w:tcBorders>
              <w:top w:val="outset" w:sz="6" w:space="0" w:color="auto"/>
              <w:left w:val="outset" w:sz="6" w:space="0" w:color="auto"/>
              <w:bottom w:val="outset" w:sz="6" w:space="0" w:color="auto"/>
              <w:right w:val="outset" w:sz="6" w:space="0" w:color="auto"/>
            </w:tcBorders>
            <w:vAlign w:val="center"/>
            <w:hideMark/>
          </w:tcPr>
          <w:p w14:paraId="5AF00DA3" w14:textId="407BCB3B"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w:t>
            </w:r>
            <w:r w:rsidR="00036191">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46480CDE" w14:textId="6B0F42AF"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w:t>
            </w:r>
            <w:r w:rsidR="00036191">
              <w:rPr>
                <w:rFonts w:eastAsia="Times New Roman"/>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552274A4" w14:textId="0F99DD35"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w:t>
            </w:r>
            <w:r w:rsidR="00036191">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25E1A92C" w14:textId="3DE4B667"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w:t>
            </w:r>
            <w:r w:rsidR="00036191">
              <w:rPr>
                <w:rFonts w:eastAsia="Times New Roman"/>
                <w:sz w:val="24"/>
                <w:szCs w:val="24"/>
                <w:lang w:eastAsia="lv-LV"/>
              </w:rPr>
              <w:t>0</w:t>
            </w:r>
          </w:p>
        </w:tc>
      </w:tr>
      <w:tr w:rsidR="00F437A6" w:rsidRPr="00F437A6" w14:paraId="68EE8F09"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3F51D83A" w14:textId="6473364F"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xml:space="preserve">3.2. </w:t>
            </w:r>
            <w:proofErr w:type="spellStart"/>
            <w:r w:rsidRPr="00F437A6">
              <w:rPr>
                <w:rFonts w:eastAsia="Times New Roman"/>
                <w:sz w:val="24"/>
                <w:szCs w:val="24"/>
                <w:lang w:eastAsia="lv-LV"/>
              </w:rPr>
              <w:t>speciā</w:t>
            </w:r>
            <w:r w:rsidR="008C7EAE">
              <w:rPr>
                <w:rFonts w:eastAsia="Times New Roman"/>
                <w:sz w:val="24"/>
                <w:szCs w:val="24"/>
                <w:lang w:eastAsia="lv-LV"/>
              </w:rPr>
              <w:t>-</w:t>
            </w:r>
            <w:r w:rsidRPr="00F437A6">
              <w:rPr>
                <w:rFonts w:eastAsia="Times New Roman"/>
                <w:sz w:val="24"/>
                <w:szCs w:val="24"/>
                <w:lang w:eastAsia="lv-LV"/>
              </w:rPr>
              <w:t>lais</w:t>
            </w:r>
            <w:proofErr w:type="spellEnd"/>
            <w:r w:rsidRPr="00F437A6">
              <w:rPr>
                <w:rFonts w:eastAsia="Times New Roman"/>
                <w:sz w:val="24"/>
                <w:szCs w:val="24"/>
                <w:lang w:eastAsia="lv-LV"/>
              </w:rPr>
              <w:t xml:space="preserve"> budžets</w:t>
            </w:r>
          </w:p>
        </w:tc>
        <w:tc>
          <w:tcPr>
            <w:tcW w:w="973" w:type="dxa"/>
            <w:tcBorders>
              <w:top w:val="outset" w:sz="6" w:space="0" w:color="auto"/>
              <w:left w:val="outset" w:sz="6" w:space="0" w:color="auto"/>
              <w:bottom w:val="outset" w:sz="6" w:space="0" w:color="auto"/>
              <w:right w:val="outset" w:sz="6" w:space="0" w:color="auto"/>
            </w:tcBorders>
            <w:vAlign w:val="center"/>
            <w:hideMark/>
          </w:tcPr>
          <w:p w14:paraId="41E0FAF8" w14:textId="36EE12A7"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6F08C406" w14:textId="664E58E6"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3E550268" w14:textId="66B54D4A"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60" w:type="dxa"/>
            <w:tcBorders>
              <w:top w:val="outset" w:sz="6" w:space="0" w:color="auto"/>
              <w:left w:val="outset" w:sz="6" w:space="0" w:color="auto"/>
              <w:bottom w:val="outset" w:sz="6" w:space="0" w:color="auto"/>
              <w:right w:val="outset" w:sz="6" w:space="0" w:color="auto"/>
            </w:tcBorders>
            <w:vAlign w:val="center"/>
            <w:hideMark/>
          </w:tcPr>
          <w:p w14:paraId="5E4A1CBB" w14:textId="5462F2A3"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5C3D20AD" w14:textId="7303407C"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301B7885" w14:textId="5ECDDD1D"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28EB60D5" w14:textId="1AA89C58"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r>
      <w:tr w:rsidR="00F437A6" w:rsidRPr="00F437A6" w14:paraId="2201D44D"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22F24D4C" w14:textId="4CC241A7"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xml:space="preserve">3.3. </w:t>
            </w:r>
            <w:proofErr w:type="spellStart"/>
            <w:r w:rsidRPr="00F437A6">
              <w:rPr>
                <w:rFonts w:eastAsia="Times New Roman"/>
                <w:sz w:val="24"/>
                <w:szCs w:val="24"/>
                <w:lang w:eastAsia="lv-LV"/>
              </w:rPr>
              <w:t>paš</w:t>
            </w:r>
            <w:proofErr w:type="spellEnd"/>
            <w:r w:rsidR="008C7EAE">
              <w:rPr>
                <w:rFonts w:eastAsia="Times New Roman"/>
                <w:sz w:val="24"/>
                <w:szCs w:val="24"/>
                <w:lang w:eastAsia="lv-LV"/>
              </w:rPr>
              <w:t>-</w:t>
            </w:r>
            <w:r w:rsidRPr="00F437A6">
              <w:rPr>
                <w:rFonts w:eastAsia="Times New Roman"/>
                <w:sz w:val="24"/>
                <w:szCs w:val="24"/>
                <w:lang w:eastAsia="lv-LV"/>
              </w:rPr>
              <w:t>valdību budžets</w:t>
            </w:r>
          </w:p>
        </w:tc>
        <w:tc>
          <w:tcPr>
            <w:tcW w:w="973" w:type="dxa"/>
            <w:tcBorders>
              <w:top w:val="outset" w:sz="6" w:space="0" w:color="auto"/>
              <w:left w:val="outset" w:sz="6" w:space="0" w:color="auto"/>
              <w:bottom w:val="outset" w:sz="6" w:space="0" w:color="auto"/>
              <w:right w:val="outset" w:sz="6" w:space="0" w:color="auto"/>
            </w:tcBorders>
            <w:vAlign w:val="center"/>
            <w:hideMark/>
          </w:tcPr>
          <w:p w14:paraId="448C2E35" w14:textId="5182AAA5"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50D579AD" w14:textId="1CD94B25"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28A9B432" w14:textId="57247DB1"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060" w:type="dxa"/>
            <w:tcBorders>
              <w:top w:val="outset" w:sz="6" w:space="0" w:color="auto"/>
              <w:left w:val="outset" w:sz="6" w:space="0" w:color="auto"/>
              <w:bottom w:val="outset" w:sz="6" w:space="0" w:color="auto"/>
              <w:right w:val="outset" w:sz="6" w:space="0" w:color="auto"/>
            </w:tcBorders>
            <w:vAlign w:val="center"/>
            <w:hideMark/>
          </w:tcPr>
          <w:p w14:paraId="1172AD8C" w14:textId="2DF6D26F"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77787CFE" w14:textId="70F3ABB6"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646011C2" w14:textId="4F0F5895"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5496387C" w14:textId="1AC62286"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r>
      <w:tr w:rsidR="00F437A6" w:rsidRPr="00F437A6" w14:paraId="2AC432C4"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3B3A4CFD" w14:textId="2E3A59BC"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xml:space="preserve">4. Finanšu līdzekļi papildu izdevumu </w:t>
            </w:r>
            <w:proofErr w:type="spellStart"/>
            <w:r w:rsidRPr="00F437A6">
              <w:rPr>
                <w:rFonts w:eastAsia="Times New Roman"/>
                <w:sz w:val="24"/>
                <w:szCs w:val="24"/>
                <w:lang w:eastAsia="lv-LV"/>
              </w:rPr>
              <w:t>finansēša</w:t>
            </w:r>
            <w:r w:rsidR="008C7EAE">
              <w:rPr>
                <w:rFonts w:eastAsia="Times New Roman"/>
                <w:sz w:val="24"/>
                <w:szCs w:val="24"/>
                <w:lang w:eastAsia="lv-LV"/>
              </w:rPr>
              <w:t>-</w:t>
            </w:r>
            <w:r w:rsidRPr="00F437A6">
              <w:rPr>
                <w:rFonts w:eastAsia="Times New Roman"/>
                <w:sz w:val="24"/>
                <w:szCs w:val="24"/>
                <w:lang w:eastAsia="lv-LV"/>
              </w:rPr>
              <w:t>nai</w:t>
            </w:r>
            <w:proofErr w:type="spellEnd"/>
            <w:r w:rsidRPr="00F437A6">
              <w:rPr>
                <w:rFonts w:eastAsia="Times New Roman"/>
                <w:sz w:val="24"/>
                <w:szCs w:val="24"/>
                <w:lang w:eastAsia="lv-LV"/>
              </w:rPr>
              <w:t xml:space="preserve"> (kompensē</w:t>
            </w:r>
            <w:r w:rsidR="008C7EAE">
              <w:rPr>
                <w:rFonts w:eastAsia="Times New Roman"/>
                <w:sz w:val="24"/>
                <w:szCs w:val="24"/>
                <w:lang w:eastAsia="lv-LV"/>
              </w:rPr>
              <w:t>-</w:t>
            </w:r>
            <w:proofErr w:type="spellStart"/>
            <w:r w:rsidRPr="00F437A6">
              <w:rPr>
                <w:rFonts w:eastAsia="Times New Roman"/>
                <w:sz w:val="24"/>
                <w:szCs w:val="24"/>
                <w:lang w:eastAsia="lv-LV"/>
              </w:rPr>
              <w:t>jošu</w:t>
            </w:r>
            <w:proofErr w:type="spellEnd"/>
            <w:r w:rsidRPr="00F437A6">
              <w:rPr>
                <w:rFonts w:eastAsia="Times New Roman"/>
                <w:sz w:val="24"/>
                <w:szCs w:val="24"/>
                <w:lang w:eastAsia="lv-LV"/>
              </w:rPr>
              <w:t xml:space="preserve"> izdevumu </w:t>
            </w:r>
            <w:proofErr w:type="spellStart"/>
            <w:r w:rsidRPr="00F437A6">
              <w:rPr>
                <w:rFonts w:eastAsia="Times New Roman"/>
                <w:sz w:val="24"/>
                <w:szCs w:val="24"/>
                <w:lang w:eastAsia="lv-LV"/>
              </w:rPr>
              <w:t>samazinā</w:t>
            </w:r>
            <w:proofErr w:type="spellEnd"/>
            <w:r w:rsidR="008C7EAE">
              <w:rPr>
                <w:rFonts w:eastAsia="Times New Roman"/>
                <w:sz w:val="24"/>
                <w:szCs w:val="24"/>
                <w:lang w:eastAsia="lv-LV"/>
              </w:rPr>
              <w:t>-</w:t>
            </w:r>
            <w:r w:rsidRPr="00F437A6">
              <w:rPr>
                <w:rFonts w:eastAsia="Times New Roman"/>
                <w:sz w:val="24"/>
                <w:szCs w:val="24"/>
                <w:lang w:eastAsia="lv-LV"/>
              </w:rPr>
              <w:t>jumu norāda ar "+" zīmi)</w:t>
            </w:r>
          </w:p>
        </w:tc>
        <w:tc>
          <w:tcPr>
            <w:tcW w:w="973" w:type="dxa"/>
            <w:tcBorders>
              <w:top w:val="outset" w:sz="6" w:space="0" w:color="auto"/>
              <w:left w:val="outset" w:sz="6" w:space="0" w:color="auto"/>
              <w:bottom w:val="outset" w:sz="6" w:space="0" w:color="auto"/>
              <w:right w:val="outset" w:sz="6" w:space="0" w:color="auto"/>
            </w:tcBorders>
            <w:vAlign w:val="center"/>
            <w:hideMark/>
          </w:tcPr>
          <w:p w14:paraId="46A85688" w14:textId="2CC25971"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X</w:t>
            </w:r>
          </w:p>
        </w:tc>
        <w:tc>
          <w:tcPr>
            <w:tcW w:w="1012" w:type="dxa"/>
            <w:tcBorders>
              <w:top w:val="outset" w:sz="6" w:space="0" w:color="auto"/>
              <w:left w:val="outset" w:sz="6" w:space="0" w:color="auto"/>
              <w:bottom w:val="outset" w:sz="6" w:space="0" w:color="auto"/>
              <w:right w:val="outset" w:sz="6" w:space="0" w:color="auto"/>
            </w:tcBorders>
            <w:vAlign w:val="center"/>
            <w:hideMark/>
          </w:tcPr>
          <w:p w14:paraId="430C8A54" w14:textId="704E3A23" w:rsidR="00F437A6" w:rsidRPr="00036191" w:rsidRDefault="00036191" w:rsidP="00DC33F8">
            <w:pPr>
              <w:widowControl/>
              <w:spacing w:after="0" w:line="240" w:lineRule="auto"/>
              <w:jc w:val="center"/>
              <w:rPr>
                <w:rFonts w:eastAsia="Times New Roman"/>
                <w:sz w:val="24"/>
                <w:szCs w:val="24"/>
                <w:highlight w:val="yellow"/>
                <w:lang w:eastAsia="lv-LV"/>
              </w:rPr>
            </w:pPr>
            <w:r>
              <w:rPr>
                <w:rFonts w:eastAsia="Times New Roman"/>
                <w:sz w:val="24"/>
                <w:szCs w:val="24"/>
                <w:lang w:eastAsia="lv-LV"/>
              </w:rPr>
              <w:t>+</w:t>
            </w:r>
            <w:r w:rsidR="003F3FF9" w:rsidRPr="00036191">
              <w:rPr>
                <w:rFonts w:eastAsia="Times New Roman"/>
                <w:sz w:val="24"/>
                <w:szCs w:val="24"/>
                <w:lang w:eastAsia="lv-LV"/>
              </w:rPr>
              <w:t>9 965</w:t>
            </w:r>
          </w:p>
        </w:tc>
        <w:tc>
          <w:tcPr>
            <w:tcW w:w="973" w:type="dxa"/>
            <w:tcBorders>
              <w:top w:val="outset" w:sz="6" w:space="0" w:color="auto"/>
              <w:left w:val="outset" w:sz="6" w:space="0" w:color="auto"/>
              <w:bottom w:val="outset" w:sz="6" w:space="0" w:color="auto"/>
              <w:right w:val="outset" w:sz="6" w:space="0" w:color="auto"/>
            </w:tcBorders>
            <w:vAlign w:val="center"/>
            <w:hideMark/>
          </w:tcPr>
          <w:p w14:paraId="53239A12" w14:textId="686B1996"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w:t>
            </w:r>
            <w:r w:rsidR="00036191">
              <w:rPr>
                <w:rFonts w:eastAsia="Times New Roman"/>
                <w:sz w:val="24"/>
                <w:szCs w:val="24"/>
                <w:lang w:eastAsia="lv-LV"/>
              </w:rPr>
              <w:t>X</w:t>
            </w:r>
          </w:p>
        </w:tc>
        <w:tc>
          <w:tcPr>
            <w:tcW w:w="1060" w:type="dxa"/>
            <w:tcBorders>
              <w:top w:val="outset" w:sz="6" w:space="0" w:color="auto"/>
              <w:left w:val="outset" w:sz="6" w:space="0" w:color="auto"/>
              <w:bottom w:val="outset" w:sz="6" w:space="0" w:color="auto"/>
              <w:right w:val="outset" w:sz="6" w:space="0" w:color="auto"/>
            </w:tcBorders>
            <w:vAlign w:val="center"/>
            <w:hideMark/>
          </w:tcPr>
          <w:p w14:paraId="17DA916A" w14:textId="79C164C1"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tcBorders>
              <w:top w:val="outset" w:sz="6" w:space="0" w:color="auto"/>
              <w:left w:val="outset" w:sz="6" w:space="0" w:color="auto"/>
              <w:bottom w:val="outset" w:sz="6" w:space="0" w:color="auto"/>
              <w:right w:val="outset" w:sz="6" w:space="0" w:color="auto"/>
            </w:tcBorders>
            <w:vAlign w:val="center"/>
            <w:hideMark/>
          </w:tcPr>
          <w:p w14:paraId="37094010" w14:textId="0B4341E5"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X</w:t>
            </w:r>
          </w:p>
        </w:tc>
        <w:tc>
          <w:tcPr>
            <w:tcW w:w="1188" w:type="dxa"/>
            <w:tcBorders>
              <w:top w:val="outset" w:sz="6" w:space="0" w:color="auto"/>
              <w:left w:val="outset" w:sz="6" w:space="0" w:color="auto"/>
              <w:bottom w:val="outset" w:sz="6" w:space="0" w:color="auto"/>
              <w:right w:val="outset" w:sz="6" w:space="0" w:color="auto"/>
            </w:tcBorders>
            <w:vAlign w:val="center"/>
            <w:hideMark/>
          </w:tcPr>
          <w:p w14:paraId="78EB7442" w14:textId="2E439262"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7BD80EFE" w14:textId="7153892C"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r>
      <w:tr w:rsidR="00F437A6" w:rsidRPr="00F437A6" w14:paraId="0D1374AA"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43DC52DC" w14:textId="77777777"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5. Precizēta finansiālā ietekme</w:t>
            </w:r>
          </w:p>
        </w:tc>
        <w:tc>
          <w:tcPr>
            <w:tcW w:w="973" w:type="dxa"/>
            <w:vMerge w:val="restart"/>
            <w:tcBorders>
              <w:top w:val="outset" w:sz="6" w:space="0" w:color="auto"/>
              <w:left w:val="outset" w:sz="6" w:space="0" w:color="auto"/>
              <w:bottom w:val="outset" w:sz="6" w:space="0" w:color="auto"/>
              <w:right w:val="outset" w:sz="6" w:space="0" w:color="auto"/>
            </w:tcBorders>
            <w:vAlign w:val="center"/>
            <w:hideMark/>
          </w:tcPr>
          <w:p w14:paraId="76638A99" w14:textId="20453700"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w:t>
            </w:r>
            <w:r w:rsidR="00036191">
              <w:rPr>
                <w:rFonts w:eastAsia="Times New Roman"/>
                <w:sz w:val="24"/>
                <w:szCs w:val="24"/>
                <w:lang w:eastAsia="lv-LV"/>
              </w:rPr>
              <w:t>X</w:t>
            </w:r>
          </w:p>
        </w:tc>
        <w:tc>
          <w:tcPr>
            <w:tcW w:w="1012" w:type="dxa"/>
            <w:tcBorders>
              <w:top w:val="outset" w:sz="6" w:space="0" w:color="auto"/>
              <w:left w:val="outset" w:sz="6" w:space="0" w:color="auto"/>
              <w:bottom w:val="outset" w:sz="6" w:space="0" w:color="auto"/>
              <w:right w:val="outset" w:sz="6" w:space="0" w:color="auto"/>
            </w:tcBorders>
            <w:vAlign w:val="center"/>
            <w:hideMark/>
          </w:tcPr>
          <w:p w14:paraId="63C91720" w14:textId="70AF58BA"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vMerge w:val="restart"/>
            <w:tcBorders>
              <w:top w:val="outset" w:sz="6" w:space="0" w:color="auto"/>
              <w:left w:val="outset" w:sz="6" w:space="0" w:color="auto"/>
              <w:bottom w:val="outset" w:sz="6" w:space="0" w:color="auto"/>
              <w:right w:val="outset" w:sz="6" w:space="0" w:color="auto"/>
            </w:tcBorders>
            <w:vAlign w:val="center"/>
            <w:hideMark/>
          </w:tcPr>
          <w:p w14:paraId="34891718" w14:textId="0ED94AC3"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w:t>
            </w:r>
            <w:r w:rsidR="00036191">
              <w:rPr>
                <w:rFonts w:eastAsia="Times New Roman"/>
                <w:sz w:val="24"/>
                <w:szCs w:val="24"/>
                <w:lang w:eastAsia="lv-LV"/>
              </w:rPr>
              <w:t>X</w:t>
            </w:r>
          </w:p>
        </w:tc>
        <w:tc>
          <w:tcPr>
            <w:tcW w:w="1060" w:type="dxa"/>
            <w:tcBorders>
              <w:top w:val="outset" w:sz="6" w:space="0" w:color="auto"/>
              <w:left w:val="outset" w:sz="6" w:space="0" w:color="auto"/>
              <w:bottom w:val="outset" w:sz="6" w:space="0" w:color="auto"/>
              <w:right w:val="outset" w:sz="6" w:space="0" w:color="auto"/>
            </w:tcBorders>
            <w:vAlign w:val="center"/>
            <w:hideMark/>
          </w:tcPr>
          <w:p w14:paraId="0A47BFD9" w14:textId="6C7788FA"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vMerge w:val="restart"/>
            <w:tcBorders>
              <w:top w:val="outset" w:sz="6" w:space="0" w:color="auto"/>
              <w:left w:val="outset" w:sz="6" w:space="0" w:color="auto"/>
              <w:bottom w:val="outset" w:sz="6" w:space="0" w:color="auto"/>
              <w:right w:val="outset" w:sz="6" w:space="0" w:color="auto"/>
            </w:tcBorders>
            <w:vAlign w:val="center"/>
            <w:hideMark/>
          </w:tcPr>
          <w:p w14:paraId="7D97B049" w14:textId="5FF4283C"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w:t>
            </w:r>
            <w:r w:rsidR="00036191">
              <w:rPr>
                <w:rFonts w:eastAsia="Times New Roman"/>
                <w:sz w:val="24"/>
                <w:szCs w:val="24"/>
                <w:lang w:eastAsia="lv-LV"/>
              </w:rPr>
              <w:t>X</w:t>
            </w:r>
          </w:p>
        </w:tc>
        <w:tc>
          <w:tcPr>
            <w:tcW w:w="1188" w:type="dxa"/>
            <w:tcBorders>
              <w:top w:val="outset" w:sz="6" w:space="0" w:color="auto"/>
              <w:left w:val="outset" w:sz="6" w:space="0" w:color="auto"/>
              <w:bottom w:val="outset" w:sz="6" w:space="0" w:color="auto"/>
              <w:right w:val="outset" w:sz="6" w:space="0" w:color="auto"/>
            </w:tcBorders>
            <w:vAlign w:val="center"/>
            <w:hideMark/>
          </w:tcPr>
          <w:p w14:paraId="3F52D329" w14:textId="6D9D0E59"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677BA26F" w14:textId="3D3C6903"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r>
      <w:tr w:rsidR="00F437A6" w:rsidRPr="00F437A6" w14:paraId="4A735786"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3E6F464B" w14:textId="410424E4" w:rsidR="00F437A6" w:rsidRPr="00F437A6" w:rsidRDefault="00F437A6" w:rsidP="008C7EAE">
            <w:pPr>
              <w:widowControl/>
              <w:spacing w:after="0" w:line="240" w:lineRule="auto"/>
              <w:rPr>
                <w:rFonts w:eastAsia="Times New Roman"/>
                <w:sz w:val="24"/>
                <w:szCs w:val="24"/>
                <w:lang w:eastAsia="lv-LV"/>
              </w:rPr>
            </w:pPr>
            <w:r w:rsidRPr="00F437A6">
              <w:rPr>
                <w:rFonts w:eastAsia="Times New Roman"/>
                <w:sz w:val="24"/>
                <w:szCs w:val="24"/>
                <w:lang w:eastAsia="lv-LV"/>
              </w:rPr>
              <w:t>5.1. valsts pamat</w:t>
            </w:r>
            <w:r w:rsidR="008C7EAE">
              <w:rPr>
                <w:rFonts w:eastAsia="Times New Roman"/>
                <w:sz w:val="24"/>
                <w:szCs w:val="24"/>
                <w:lang w:eastAsia="lv-LV"/>
              </w:rPr>
              <w:t>-</w:t>
            </w:r>
            <w:r w:rsidRPr="00F437A6">
              <w:rPr>
                <w:rFonts w:eastAsia="Times New Roman"/>
                <w:sz w:val="24"/>
                <w:szCs w:val="24"/>
                <w:lang w:eastAsia="lv-LV"/>
              </w:rPr>
              <w:t>budžets</w:t>
            </w:r>
          </w:p>
        </w:tc>
        <w:tc>
          <w:tcPr>
            <w:tcW w:w="973" w:type="dxa"/>
            <w:vMerge/>
            <w:tcBorders>
              <w:top w:val="outset" w:sz="6" w:space="0" w:color="auto"/>
              <w:left w:val="outset" w:sz="6" w:space="0" w:color="auto"/>
              <w:bottom w:val="outset" w:sz="6" w:space="0" w:color="auto"/>
              <w:right w:val="outset" w:sz="6" w:space="0" w:color="auto"/>
            </w:tcBorders>
            <w:vAlign w:val="center"/>
            <w:hideMark/>
          </w:tcPr>
          <w:p w14:paraId="4DE88F5A" w14:textId="77777777" w:rsidR="00F437A6" w:rsidRPr="00F437A6" w:rsidRDefault="00F437A6" w:rsidP="00F437A6">
            <w:pPr>
              <w:widowControl/>
              <w:spacing w:after="0" w:line="240" w:lineRule="auto"/>
              <w:rPr>
                <w:rFonts w:eastAsia="Times New Roman"/>
                <w:sz w:val="24"/>
                <w:szCs w:val="24"/>
                <w:lang w:eastAsia="lv-LV"/>
              </w:rPr>
            </w:pPr>
          </w:p>
        </w:tc>
        <w:tc>
          <w:tcPr>
            <w:tcW w:w="1012" w:type="dxa"/>
            <w:tcBorders>
              <w:top w:val="outset" w:sz="6" w:space="0" w:color="auto"/>
              <w:left w:val="outset" w:sz="6" w:space="0" w:color="auto"/>
              <w:bottom w:val="outset" w:sz="6" w:space="0" w:color="auto"/>
              <w:right w:val="outset" w:sz="6" w:space="0" w:color="auto"/>
            </w:tcBorders>
            <w:vAlign w:val="center"/>
            <w:hideMark/>
          </w:tcPr>
          <w:p w14:paraId="6DD03CF2" w14:textId="11EBD1BE"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vMerge/>
            <w:tcBorders>
              <w:top w:val="outset" w:sz="6" w:space="0" w:color="auto"/>
              <w:left w:val="outset" w:sz="6" w:space="0" w:color="auto"/>
              <w:bottom w:val="outset" w:sz="6" w:space="0" w:color="auto"/>
              <w:right w:val="outset" w:sz="6" w:space="0" w:color="auto"/>
            </w:tcBorders>
            <w:vAlign w:val="center"/>
            <w:hideMark/>
          </w:tcPr>
          <w:p w14:paraId="68BEF42A" w14:textId="77777777" w:rsidR="00F437A6" w:rsidRPr="00F437A6" w:rsidRDefault="00F437A6" w:rsidP="00F437A6">
            <w:pPr>
              <w:widowControl/>
              <w:spacing w:after="0" w:line="240" w:lineRule="auto"/>
              <w:rPr>
                <w:rFonts w:eastAsia="Times New Roman"/>
                <w:sz w:val="24"/>
                <w:szCs w:val="24"/>
                <w:lang w:eastAsia="lv-LV"/>
              </w:rPr>
            </w:pPr>
          </w:p>
        </w:tc>
        <w:tc>
          <w:tcPr>
            <w:tcW w:w="1060" w:type="dxa"/>
            <w:tcBorders>
              <w:top w:val="outset" w:sz="6" w:space="0" w:color="auto"/>
              <w:left w:val="outset" w:sz="6" w:space="0" w:color="auto"/>
              <w:bottom w:val="outset" w:sz="6" w:space="0" w:color="auto"/>
              <w:right w:val="outset" w:sz="6" w:space="0" w:color="auto"/>
            </w:tcBorders>
            <w:vAlign w:val="center"/>
            <w:hideMark/>
          </w:tcPr>
          <w:p w14:paraId="00A9F0F6" w14:textId="40CEE072"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vMerge/>
            <w:tcBorders>
              <w:top w:val="outset" w:sz="6" w:space="0" w:color="auto"/>
              <w:left w:val="outset" w:sz="6" w:space="0" w:color="auto"/>
              <w:bottom w:val="outset" w:sz="6" w:space="0" w:color="auto"/>
              <w:right w:val="outset" w:sz="6" w:space="0" w:color="auto"/>
            </w:tcBorders>
            <w:vAlign w:val="center"/>
            <w:hideMark/>
          </w:tcPr>
          <w:p w14:paraId="128DD0F5" w14:textId="77777777" w:rsidR="00F437A6" w:rsidRPr="00F437A6" w:rsidRDefault="00F437A6" w:rsidP="00F437A6">
            <w:pPr>
              <w:widowControl/>
              <w:spacing w:after="0" w:line="240" w:lineRule="auto"/>
              <w:rPr>
                <w:rFonts w:eastAsia="Times New Roman"/>
                <w:sz w:val="24"/>
                <w:szCs w:val="24"/>
                <w:lang w:eastAsia="lv-LV"/>
              </w:rPr>
            </w:pPr>
          </w:p>
        </w:tc>
        <w:tc>
          <w:tcPr>
            <w:tcW w:w="1188" w:type="dxa"/>
            <w:tcBorders>
              <w:top w:val="outset" w:sz="6" w:space="0" w:color="auto"/>
              <w:left w:val="outset" w:sz="6" w:space="0" w:color="auto"/>
              <w:bottom w:val="outset" w:sz="6" w:space="0" w:color="auto"/>
              <w:right w:val="outset" w:sz="6" w:space="0" w:color="auto"/>
            </w:tcBorders>
            <w:vAlign w:val="center"/>
            <w:hideMark/>
          </w:tcPr>
          <w:p w14:paraId="6595F456" w14:textId="51957B85"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44CB6876" w14:textId="6EB07894"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r>
      <w:tr w:rsidR="00F437A6" w:rsidRPr="00F437A6" w14:paraId="0C00E452"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45F195A8" w14:textId="57081645"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xml:space="preserve">5.2. </w:t>
            </w:r>
            <w:proofErr w:type="spellStart"/>
            <w:r w:rsidRPr="00F437A6">
              <w:rPr>
                <w:rFonts w:eastAsia="Times New Roman"/>
                <w:sz w:val="24"/>
                <w:szCs w:val="24"/>
                <w:lang w:eastAsia="lv-LV"/>
              </w:rPr>
              <w:t>speciā</w:t>
            </w:r>
            <w:r w:rsidR="008C7EAE">
              <w:rPr>
                <w:rFonts w:eastAsia="Times New Roman"/>
                <w:sz w:val="24"/>
                <w:szCs w:val="24"/>
                <w:lang w:eastAsia="lv-LV"/>
              </w:rPr>
              <w:t>-</w:t>
            </w:r>
            <w:r w:rsidRPr="00F437A6">
              <w:rPr>
                <w:rFonts w:eastAsia="Times New Roman"/>
                <w:sz w:val="24"/>
                <w:szCs w:val="24"/>
                <w:lang w:eastAsia="lv-LV"/>
              </w:rPr>
              <w:t>lais</w:t>
            </w:r>
            <w:proofErr w:type="spellEnd"/>
            <w:r w:rsidRPr="00F437A6">
              <w:rPr>
                <w:rFonts w:eastAsia="Times New Roman"/>
                <w:sz w:val="24"/>
                <w:szCs w:val="24"/>
                <w:lang w:eastAsia="lv-LV"/>
              </w:rPr>
              <w:t xml:space="preserve"> budžets</w:t>
            </w:r>
          </w:p>
        </w:tc>
        <w:tc>
          <w:tcPr>
            <w:tcW w:w="973" w:type="dxa"/>
            <w:vMerge/>
            <w:tcBorders>
              <w:top w:val="outset" w:sz="6" w:space="0" w:color="auto"/>
              <w:left w:val="outset" w:sz="6" w:space="0" w:color="auto"/>
              <w:bottom w:val="outset" w:sz="6" w:space="0" w:color="auto"/>
              <w:right w:val="outset" w:sz="6" w:space="0" w:color="auto"/>
            </w:tcBorders>
            <w:vAlign w:val="center"/>
            <w:hideMark/>
          </w:tcPr>
          <w:p w14:paraId="60073009" w14:textId="77777777" w:rsidR="00F437A6" w:rsidRPr="00F437A6" w:rsidRDefault="00F437A6" w:rsidP="00F437A6">
            <w:pPr>
              <w:widowControl/>
              <w:spacing w:after="0" w:line="240" w:lineRule="auto"/>
              <w:rPr>
                <w:rFonts w:eastAsia="Times New Roman"/>
                <w:sz w:val="24"/>
                <w:szCs w:val="24"/>
                <w:lang w:eastAsia="lv-LV"/>
              </w:rPr>
            </w:pPr>
          </w:p>
        </w:tc>
        <w:tc>
          <w:tcPr>
            <w:tcW w:w="1012" w:type="dxa"/>
            <w:tcBorders>
              <w:top w:val="outset" w:sz="6" w:space="0" w:color="auto"/>
              <w:left w:val="outset" w:sz="6" w:space="0" w:color="auto"/>
              <w:bottom w:val="outset" w:sz="6" w:space="0" w:color="auto"/>
              <w:right w:val="outset" w:sz="6" w:space="0" w:color="auto"/>
            </w:tcBorders>
            <w:vAlign w:val="center"/>
            <w:hideMark/>
          </w:tcPr>
          <w:p w14:paraId="0ECAB997" w14:textId="1EDA3321"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vMerge/>
            <w:tcBorders>
              <w:top w:val="outset" w:sz="6" w:space="0" w:color="auto"/>
              <w:left w:val="outset" w:sz="6" w:space="0" w:color="auto"/>
              <w:bottom w:val="outset" w:sz="6" w:space="0" w:color="auto"/>
              <w:right w:val="outset" w:sz="6" w:space="0" w:color="auto"/>
            </w:tcBorders>
            <w:vAlign w:val="center"/>
            <w:hideMark/>
          </w:tcPr>
          <w:p w14:paraId="123E940D" w14:textId="77777777" w:rsidR="00F437A6" w:rsidRPr="00F437A6" w:rsidRDefault="00F437A6" w:rsidP="00F437A6">
            <w:pPr>
              <w:widowControl/>
              <w:spacing w:after="0" w:line="240" w:lineRule="auto"/>
              <w:rPr>
                <w:rFonts w:eastAsia="Times New Roman"/>
                <w:sz w:val="24"/>
                <w:szCs w:val="24"/>
                <w:lang w:eastAsia="lv-LV"/>
              </w:rPr>
            </w:pPr>
          </w:p>
        </w:tc>
        <w:tc>
          <w:tcPr>
            <w:tcW w:w="1060" w:type="dxa"/>
            <w:tcBorders>
              <w:top w:val="outset" w:sz="6" w:space="0" w:color="auto"/>
              <w:left w:val="outset" w:sz="6" w:space="0" w:color="auto"/>
              <w:bottom w:val="outset" w:sz="6" w:space="0" w:color="auto"/>
              <w:right w:val="outset" w:sz="6" w:space="0" w:color="auto"/>
            </w:tcBorders>
            <w:vAlign w:val="center"/>
            <w:hideMark/>
          </w:tcPr>
          <w:p w14:paraId="05C26110" w14:textId="5B85588B"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vMerge/>
            <w:tcBorders>
              <w:top w:val="outset" w:sz="6" w:space="0" w:color="auto"/>
              <w:left w:val="outset" w:sz="6" w:space="0" w:color="auto"/>
              <w:bottom w:val="outset" w:sz="6" w:space="0" w:color="auto"/>
              <w:right w:val="outset" w:sz="6" w:space="0" w:color="auto"/>
            </w:tcBorders>
            <w:vAlign w:val="center"/>
            <w:hideMark/>
          </w:tcPr>
          <w:p w14:paraId="0D1247FB" w14:textId="77777777" w:rsidR="00F437A6" w:rsidRPr="00F437A6" w:rsidRDefault="00F437A6" w:rsidP="00F437A6">
            <w:pPr>
              <w:widowControl/>
              <w:spacing w:after="0" w:line="240" w:lineRule="auto"/>
              <w:rPr>
                <w:rFonts w:eastAsia="Times New Roman"/>
                <w:sz w:val="24"/>
                <w:szCs w:val="24"/>
                <w:lang w:eastAsia="lv-LV"/>
              </w:rPr>
            </w:pPr>
          </w:p>
        </w:tc>
        <w:tc>
          <w:tcPr>
            <w:tcW w:w="1188" w:type="dxa"/>
            <w:tcBorders>
              <w:top w:val="outset" w:sz="6" w:space="0" w:color="auto"/>
              <w:left w:val="outset" w:sz="6" w:space="0" w:color="auto"/>
              <w:bottom w:val="outset" w:sz="6" w:space="0" w:color="auto"/>
              <w:right w:val="outset" w:sz="6" w:space="0" w:color="auto"/>
            </w:tcBorders>
            <w:vAlign w:val="center"/>
            <w:hideMark/>
          </w:tcPr>
          <w:p w14:paraId="11601F42" w14:textId="030EA8C0"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2F9BEDDC" w14:textId="646C7F47"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r>
      <w:tr w:rsidR="00F437A6" w:rsidRPr="00F437A6" w14:paraId="1DBF0D02" w14:textId="77777777" w:rsidTr="008C7EAE">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1943D7A3" w14:textId="1B2DEDA3" w:rsidR="00F437A6" w:rsidRPr="00F437A6" w:rsidRDefault="00F437A6" w:rsidP="008C7EAE">
            <w:pPr>
              <w:widowControl/>
              <w:spacing w:after="0" w:line="240" w:lineRule="auto"/>
              <w:rPr>
                <w:rFonts w:eastAsia="Times New Roman"/>
                <w:sz w:val="24"/>
                <w:szCs w:val="24"/>
                <w:lang w:eastAsia="lv-LV"/>
              </w:rPr>
            </w:pPr>
            <w:r w:rsidRPr="00F437A6">
              <w:rPr>
                <w:rFonts w:eastAsia="Times New Roman"/>
                <w:sz w:val="24"/>
                <w:szCs w:val="24"/>
                <w:lang w:eastAsia="lv-LV"/>
              </w:rPr>
              <w:t xml:space="preserve">5.3. </w:t>
            </w:r>
            <w:proofErr w:type="spellStart"/>
            <w:r w:rsidRPr="00F437A6">
              <w:rPr>
                <w:rFonts w:eastAsia="Times New Roman"/>
                <w:sz w:val="24"/>
                <w:szCs w:val="24"/>
                <w:lang w:eastAsia="lv-LV"/>
              </w:rPr>
              <w:t>paš</w:t>
            </w:r>
            <w:proofErr w:type="spellEnd"/>
            <w:r w:rsidR="008C7EAE">
              <w:rPr>
                <w:rFonts w:eastAsia="Times New Roman"/>
                <w:sz w:val="24"/>
                <w:szCs w:val="24"/>
                <w:lang w:eastAsia="lv-LV"/>
              </w:rPr>
              <w:t>-</w:t>
            </w:r>
            <w:r w:rsidRPr="00F437A6">
              <w:rPr>
                <w:rFonts w:eastAsia="Times New Roman"/>
                <w:sz w:val="24"/>
                <w:szCs w:val="24"/>
                <w:lang w:eastAsia="lv-LV"/>
              </w:rPr>
              <w:t>valdību budžets</w:t>
            </w:r>
          </w:p>
        </w:tc>
        <w:tc>
          <w:tcPr>
            <w:tcW w:w="973" w:type="dxa"/>
            <w:vMerge/>
            <w:tcBorders>
              <w:top w:val="outset" w:sz="6" w:space="0" w:color="auto"/>
              <w:left w:val="outset" w:sz="6" w:space="0" w:color="auto"/>
              <w:bottom w:val="outset" w:sz="6" w:space="0" w:color="auto"/>
              <w:right w:val="outset" w:sz="6" w:space="0" w:color="auto"/>
            </w:tcBorders>
            <w:vAlign w:val="center"/>
            <w:hideMark/>
          </w:tcPr>
          <w:p w14:paraId="5AB44462" w14:textId="77777777" w:rsidR="00F437A6" w:rsidRPr="00F437A6" w:rsidRDefault="00F437A6" w:rsidP="00F437A6">
            <w:pPr>
              <w:widowControl/>
              <w:spacing w:after="0" w:line="240" w:lineRule="auto"/>
              <w:rPr>
                <w:rFonts w:eastAsia="Times New Roman"/>
                <w:sz w:val="24"/>
                <w:szCs w:val="24"/>
                <w:lang w:eastAsia="lv-LV"/>
              </w:rPr>
            </w:pPr>
          </w:p>
        </w:tc>
        <w:tc>
          <w:tcPr>
            <w:tcW w:w="1012" w:type="dxa"/>
            <w:tcBorders>
              <w:top w:val="outset" w:sz="6" w:space="0" w:color="auto"/>
              <w:left w:val="outset" w:sz="6" w:space="0" w:color="auto"/>
              <w:bottom w:val="outset" w:sz="6" w:space="0" w:color="auto"/>
              <w:right w:val="outset" w:sz="6" w:space="0" w:color="auto"/>
            </w:tcBorders>
            <w:vAlign w:val="center"/>
            <w:hideMark/>
          </w:tcPr>
          <w:p w14:paraId="50B037F8" w14:textId="33E828F2"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vMerge/>
            <w:tcBorders>
              <w:top w:val="outset" w:sz="6" w:space="0" w:color="auto"/>
              <w:left w:val="outset" w:sz="6" w:space="0" w:color="auto"/>
              <w:bottom w:val="outset" w:sz="6" w:space="0" w:color="auto"/>
              <w:right w:val="outset" w:sz="6" w:space="0" w:color="auto"/>
            </w:tcBorders>
            <w:vAlign w:val="center"/>
            <w:hideMark/>
          </w:tcPr>
          <w:p w14:paraId="1360132B" w14:textId="77777777" w:rsidR="00F437A6" w:rsidRPr="00F437A6" w:rsidRDefault="00F437A6" w:rsidP="00F437A6">
            <w:pPr>
              <w:widowControl/>
              <w:spacing w:after="0" w:line="240" w:lineRule="auto"/>
              <w:rPr>
                <w:rFonts w:eastAsia="Times New Roman"/>
                <w:sz w:val="24"/>
                <w:szCs w:val="24"/>
                <w:lang w:eastAsia="lv-LV"/>
              </w:rPr>
            </w:pPr>
          </w:p>
        </w:tc>
        <w:tc>
          <w:tcPr>
            <w:tcW w:w="1060" w:type="dxa"/>
            <w:tcBorders>
              <w:top w:val="outset" w:sz="6" w:space="0" w:color="auto"/>
              <w:left w:val="outset" w:sz="6" w:space="0" w:color="auto"/>
              <w:bottom w:val="outset" w:sz="6" w:space="0" w:color="auto"/>
              <w:right w:val="outset" w:sz="6" w:space="0" w:color="auto"/>
            </w:tcBorders>
            <w:vAlign w:val="center"/>
            <w:hideMark/>
          </w:tcPr>
          <w:p w14:paraId="67CC0593" w14:textId="25A2B240"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973" w:type="dxa"/>
            <w:vMerge/>
            <w:tcBorders>
              <w:top w:val="outset" w:sz="6" w:space="0" w:color="auto"/>
              <w:left w:val="outset" w:sz="6" w:space="0" w:color="auto"/>
              <w:bottom w:val="outset" w:sz="6" w:space="0" w:color="auto"/>
              <w:right w:val="outset" w:sz="6" w:space="0" w:color="auto"/>
            </w:tcBorders>
            <w:vAlign w:val="center"/>
            <w:hideMark/>
          </w:tcPr>
          <w:p w14:paraId="18FED802" w14:textId="77777777" w:rsidR="00F437A6" w:rsidRPr="00F437A6" w:rsidRDefault="00F437A6" w:rsidP="00F437A6">
            <w:pPr>
              <w:widowControl/>
              <w:spacing w:after="0" w:line="240" w:lineRule="auto"/>
              <w:rPr>
                <w:rFonts w:eastAsia="Times New Roman"/>
                <w:sz w:val="24"/>
                <w:szCs w:val="24"/>
                <w:lang w:eastAsia="lv-LV"/>
              </w:rPr>
            </w:pPr>
          </w:p>
        </w:tc>
        <w:tc>
          <w:tcPr>
            <w:tcW w:w="1188" w:type="dxa"/>
            <w:tcBorders>
              <w:top w:val="outset" w:sz="6" w:space="0" w:color="auto"/>
              <w:left w:val="outset" w:sz="6" w:space="0" w:color="auto"/>
              <w:bottom w:val="outset" w:sz="6" w:space="0" w:color="auto"/>
              <w:right w:val="outset" w:sz="6" w:space="0" w:color="auto"/>
            </w:tcBorders>
            <w:vAlign w:val="center"/>
            <w:hideMark/>
          </w:tcPr>
          <w:p w14:paraId="03B18505" w14:textId="315BA31C"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c>
          <w:tcPr>
            <w:tcW w:w="1372" w:type="dxa"/>
            <w:tcBorders>
              <w:top w:val="outset" w:sz="6" w:space="0" w:color="auto"/>
              <w:left w:val="outset" w:sz="6" w:space="0" w:color="auto"/>
              <w:bottom w:val="outset" w:sz="6" w:space="0" w:color="auto"/>
              <w:right w:val="outset" w:sz="6" w:space="0" w:color="auto"/>
            </w:tcBorders>
            <w:vAlign w:val="center"/>
            <w:hideMark/>
          </w:tcPr>
          <w:p w14:paraId="4C48BE73" w14:textId="238D2B43" w:rsidR="00F437A6" w:rsidRPr="00F437A6" w:rsidRDefault="00036191" w:rsidP="00291E95">
            <w:pPr>
              <w:widowControl/>
              <w:spacing w:after="0" w:line="240" w:lineRule="auto"/>
              <w:jc w:val="center"/>
              <w:rPr>
                <w:rFonts w:eastAsia="Times New Roman"/>
                <w:sz w:val="24"/>
                <w:szCs w:val="24"/>
                <w:lang w:eastAsia="lv-LV"/>
              </w:rPr>
            </w:pPr>
            <w:r>
              <w:rPr>
                <w:rFonts w:eastAsia="Times New Roman"/>
                <w:sz w:val="24"/>
                <w:szCs w:val="24"/>
                <w:lang w:eastAsia="lv-LV"/>
              </w:rPr>
              <w:t>0</w:t>
            </w:r>
          </w:p>
        </w:tc>
      </w:tr>
      <w:tr w:rsidR="00F437A6" w:rsidRPr="00F437A6" w14:paraId="60951E25" w14:textId="77777777" w:rsidTr="00F437A6">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4562C74A" w14:textId="0EA5335F"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xml:space="preserve">6. </w:t>
            </w:r>
            <w:proofErr w:type="spellStart"/>
            <w:r w:rsidRPr="00F437A6">
              <w:rPr>
                <w:rFonts w:eastAsia="Times New Roman"/>
                <w:sz w:val="24"/>
                <w:szCs w:val="24"/>
                <w:lang w:eastAsia="lv-LV"/>
              </w:rPr>
              <w:t>Detali</w:t>
            </w:r>
            <w:r w:rsidR="008C7EAE">
              <w:rPr>
                <w:rFonts w:eastAsia="Times New Roman"/>
                <w:sz w:val="24"/>
                <w:szCs w:val="24"/>
                <w:lang w:eastAsia="lv-LV"/>
              </w:rPr>
              <w:t>-</w:t>
            </w:r>
            <w:r w:rsidRPr="00F437A6">
              <w:rPr>
                <w:rFonts w:eastAsia="Times New Roman"/>
                <w:sz w:val="24"/>
                <w:szCs w:val="24"/>
                <w:lang w:eastAsia="lv-LV"/>
              </w:rPr>
              <w:t>zēts</w:t>
            </w:r>
            <w:proofErr w:type="spellEnd"/>
            <w:r w:rsidRPr="00F437A6">
              <w:rPr>
                <w:rFonts w:eastAsia="Times New Roman"/>
                <w:sz w:val="24"/>
                <w:szCs w:val="24"/>
                <w:lang w:eastAsia="lv-LV"/>
              </w:rPr>
              <w:t xml:space="preserve"> ieņēmumu un izdevumu aprēķins (ja </w:t>
            </w:r>
            <w:proofErr w:type="spellStart"/>
            <w:r w:rsidRPr="00F437A6">
              <w:rPr>
                <w:rFonts w:eastAsia="Times New Roman"/>
                <w:sz w:val="24"/>
                <w:szCs w:val="24"/>
                <w:lang w:eastAsia="lv-LV"/>
              </w:rPr>
              <w:t>nepiecie</w:t>
            </w:r>
            <w:r w:rsidR="008C7EAE">
              <w:rPr>
                <w:rFonts w:eastAsia="Times New Roman"/>
                <w:sz w:val="24"/>
                <w:szCs w:val="24"/>
                <w:lang w:eastAsia="lv-LV"/>
              </w:rPr>
              <w:t>-</w:t>
            </w:r>
            <w:r w:rsidRPr="00F437A6">
              <w:rPr>
                <w:rFonts w:eastAsia="Times New Roman"/>
                <w:sz w:val="24"/>
                <w:szCs w:val="24"/>
                <w:lang w:eastAsia="lv-LV"/>
              </w:rPr>
              <w:t>šams</w:t>
            </w:r>
            <w:proofErr w:type="spellEnd"/>
            <w:r w:rsidRPr="00F437A6">
              <w:rPr>
                <w:rFonts w:eastAsia="Times New Roman"/>
                <w:sz w:val="24"/>
                <w:szCs w:val="24"/>
                <w:lang w:eastAsia="lv-LV"/>
              </w:rPr>
              <w:t>, detalizētu ieņēmumu un izdevumu aprēķinu var pievienot anotācijas pielikumā)</w:t>
            </w:r>
          </w:p>
        </w:tc>
        <w:tc>
          <w:tcPr>
            <w:tcW w:w="7731" w:type="dxa"/>
            <w:gridSpan w:val="7"/>
            <w:vMerge w:val="restart"/>
            <w:tcBorders>
              <w:top w:val="outset" w:sz="6" w:space="0" w:color="auto"/>
              <w:left w:val="outset" w:sz="6" w:space="0" w:color="auto"/>
              <w:bottom w:val="outset" w:sz="6" w:space="0" w:color="auto"/>
              <w:right w:val="outset" w:sz="6" w:space="0" w:color="auto"/>
            </w:tcBorders>
            <w:vAlign w:val="center"/>
            <w:hideMark/>
          </w:tcPr>
          <w:p w14:paraId="791B6E62" w14:textId="1628D6E1" w:rsidR="0093558C" w:rsidRPr="00036191" w:rsidRDefault="00F437A6" w:rsidP="0093558C">
            <w:pPr>
              <w:spacing w:after="0" w:line="240" w:lineRule="auto"/>
              <w:jc w:val="both"/>
              <w:rPr>
                <w:rFonts w:eastAsia="Times New Roman"/>
                <w:color w:val="000000" w:themeColor="text1"/>
                <w:sz w:val="24"/>
                <w:szCs w:val="28"/>
                <w:lang w:eastAsia="lv-LV"/>
              </w:rPr>
            </w:pPr>
            <w:r w:rsidRPr="00036191">
              <w:rPr>
                <w:rFonts w:eastAsia="Times New Roman"/>
                <w:sz w:val="24"/>
                <w:szCs w:val="24"/>
                <w:lang w:eastAsia="lv-LV"/>
              </w:rPr>
              <w:t> </w:t>
            </w:r>
            <w:r w:rsidR="00266DC3" w:rsidRPr="00036191">
              <w:rPr>
                <w:rFonts w:eastAsia="Times New Roman"/>
                <w:color w:val="000000" w:themeColor="text1"/>
                <w:sz w:val="24"/>
                <w:szCs w:val="28"/>
                <w:lang w:eastAsia="lv-LV"/>
              </w:rPr>
              <w:t>Nepieciešamo izmaiņu veikšanai Valsts ieņēmumu dienesta informācijas sistēmās 2021.gadā ir nepieciešams finansējums 9 964,35 EUR apmērā</w:t>
            </w:r>
            <w:r w:rsidR="00445F3B" w:rsidRPr="00036191">
              <w:rPr>
                <w:rFonts w:eastAsia="Times New Roman"/>
                <w:color w:val="000000" w:themeColor="text1"/>
                <w:sz w:val="24"/>
                <w:szCs w:val="28"/>
                <w:lang w:eastAsia="lv-LV"/>
              </w:rPr>
              <w:t xml:space="preserve"> (ar PVN)</w:t>
            </w:r>
            <w:r w:rsidR="00266DC3" w:rsidRPr="00036191">
              <w:rPr>
                <w:rFonts w:eastAsia="Times New Roman"/>
                <w:color w:val="000000" w:themeColor="text1"/>
                <w:sz w:val="24"/>
                <w:szCs w:val="28"/>
                <w:lang w:eastAsia="lv-LV"/>
              </w:rPr>
              <w:t>, tai skaitā:</w:t>
            </w:r>
          </w:p>
          <w:p w14:paraId="2C669A7E" w14:textId="79591505" w:rsidR="0093558C" w:rsidRPr="00036191" w:rsidRDefault="0093558C" w:rsidP="00266DC3">
            <w:pPr>
              <w:pStyle w:val="ListParagraph"/>
              <w:widowControl/>
              <w:numPr>
                <w:ilvl w:val="0"/>
                <w:numId w:val="24"/>
              </w:numPr>
              <w:spacing w:after="0" w:line="240" w:lineRule="auto"/>
              <w:jc w:val="both"/>
              <w:rPr>
                <w:rFonts w:eastAsia="Times New Roman"/>
                <w:color w:val="000000" w:themeColor="text1"/>
                <w:sz w:val="24"/>
                <w:szCs w:val="28"/>
                <w:lang w:eastAsia="lv-LV"/>
              </w:rPr>
            </w:pPr>
            <w:r w:rsidRPr="00036191">
              <w:rPr>
                <w:rFonts w:eastAsia="Times New Roman"/>
                <w:color w:val="000000" w:themeColor="text1"/>
                <w:sz w:val="24"/>
                <w:szCs w:val="28"/>
                <w:lang w:eastAsia="lv-LV"/>
              </w:rPr>
              <w:t xml:space="preserve">Elektroniskās deklarēšanas sistēmā (EDS) </w:t>
            </w:r>
            <w:r w:rsidRPr="00036191">
              <w:rPr>
                <w:rFonts w:eastAsia="Times New Roman"/>
                <w:color w:val="000000" w:themeColor="text1"/>
                <w:sz w:val="24"/>
                <w:szCs w:val="24"/>
                <w:lang w:eastAsia="lv-LV"/>
              </w:rPr>
              <w:t xml:space="preserve">– </w:t>
            </w:r>
            <w:r w:rsidR="00266DC3" w:rsidRPr="00036191">
              <w:rPr>
                <w:rFonts w:eastAsia="Times New Roman"/>
                <w:sz w:val="24"/>
                <w:szCs w:val="24"/>
                <w:lang w:eastAsia="lv-LV"/>
              </w:rPr>
              <w:t xml:space="preserve">5 880,60 </w:t>
            </w:r>
            <w:r w:rsidRPr="00036191">
              <w:rPr>
                <w:rFonts w:eastAsia="Times New Roman"/>
                <w:color w:val="000000" w:themeColor="text1"/>
                <w:sz w:val="24"/>
                <w:szCs w:val="28"/>
                <w:lang w:eastAsia="lv-LV"/>
              </w:rPr>
              <w:t>EUR;</w:t>
            </w:r>
          </w:p>
          <w:p w14:paraId="77419508" w14:textId="7D081D67" w:rsidR="0093558C" w:rsidRPr="00036191" w:rsidRDefault="0093558C" w:rsidP="00266DC3">
            <w:pPr>
              <w:pStyle w:val="ListParagraph"/>
              <w:widowControl/>
              <w:numPr>
                <w:ilvl w:val="0"/>
                <w:numId w:val="24"/>
              </w:numPr>
              <w:spacing w:after="0" w:line="240" w:lineRule="auto"/>
              <w:jc w:val="both"/>
              <w:rPr>
                <w:rFonts w:eastAsia="Times New Roman"/>
                <w:color w:val="000000" w:themeColor="text1"/>
                <w:sz w:val="24"/>
                <w:szCs w:val="28"/>
                <w:lang w:eastAsia="lv-LV"/>
              </w:rPr>
            </w:pPr>
            <w:r w:rsidRPr="00036191">
              <w:rPr>
                <w:rFonts w:eastAsia="Times New Roman"/>
                <w:sz w:val="24"/>
                <w:szCs w:val="24"/>
                <w:lang w:eastAsia="lv-LV"/>
              </w:rPr>
              <w:t>Nodokļu informācijas sistēma (NIS)</w:t>
            </w:r>
            <w:r w:rsidRPr="00036191">
              <w:rPr>
                <w:rFonts w:eastAsia="Times New Roman"/>
                <w:color w:val="000000" w:themeColor="text1"/>
                <w:sz w:val="24"/>
                <w:szCs w:val="28"/>
                <w:lang w:eastAsia="lv-LV"/>
              </w:rPr>
              <w:t xml:space="preserve"> – </w:t>
            </w:r>
            <w:r w:rsidR="00266DC3" w:rsidRPr="00036191">
              <w:rPr>
                <w:rFonts w:eastAsia="Times New Roman"/>
                <w:sz w:val="24"/>
                <w:szCs w:val="24"/>
                <w:lang w:eastAsia="lv-LV"/>
              </w:rPr>
              <w:t xml:space="preserve">4 083,75 </w:t>
            </w:r>
            <w:r w:rsidR="00266DC3" w:rsidRPr="00036191">
              <w:rPr>
                <w:rFonts w:eastAsia="Times New Roman"/>
                <w:color w:val="000000" w:themeColor="text1"/>
                <w:sz w:val="24"/>
                <w:szCs w:val="28"/>
                <w:lang w:eastAsia="lv-LV"/>
              </w:rPr>
              <w:t>EUR.</w:t>
            </w:r>
          </w:p>
          <w:p w14:paraId="7984393F" w14:textId="72AC10FB" w:rsidR="00F437A6" w:rsidRPr="00036191" w:rsidRDefault="00F437A6" w:rsidP="007E17FC">
            <w:pPr>
              <w:pStyle w:val="ListParagraph"/>
              <w:widowControl/>
              <w:spacing w:after="160" w:line="259" w:lineRule="auto"/>
              <w:rPr>
                <w:rFonts w:eastAsia="Times New Roman"/>
                <w:sz w:val="24"/>
                <w:szCs w:val="24"/>
                <w:lang w:eastAsia="lv-LV"/>
              </w:rPr>
            </w:pPr>
          </w:p>
        </w:tc>
      </w:tr>
      <w:tr w:rsidR="00F437A6" w:rsidRPr="00F437A6" w14:paraId="487B2672" w14:textId="77777777" w:rsidTr="00F437A6">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53B25FCF" w14:textId="72B06C32"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lastRenderedPageBreak/>
              <w:t xml:space="preserve">6.1. </w:t>
            </w:r>
            <w:proofErr w:type="spellStart"/>
            <w:r w:rsidRPr="00F437A6">
              <w:rPr>
                <w:rFonts w:eastAsia="Times New Roman"/>
                <w:sz w:val="24"/>
                <w:szCs w:val="24"/>
                <w:lang w:eastAsia="lv-LV"/>
              </w:rPr>
              <w:t>detali</w:t>
            </w:r>
            <w:r w:rsidR="008C7EAE">
              <w:rPr>
                <w:rFonts w:eastAsia="Times New Roman"/>
                <w:sz w:val="24"/>
                <w:szCs w:val="24"/>
                <w:lang w:eastAsia="lv-LV"/>
              </w:rPr>
              <w:t>-</w:t>
            </w:r>
            <w:r w:rsidRPr="00F437A6">
              <w:rPr>
                <w:rFonts w:eastAsia="Times New Roman"/>
                <w:sz w:val="24"/>
                <w:szCs w:val="24"/>
                <w:lang w:eastAsia="lv-LV"/>
              </w:rPr>
              <w:t>zēts</w:t>
            </w:r>
            <w:proofErr w:type="spellEnd"/>
            <w:r w:rsidRPr="00F437A6">
              <w:rPr>
                <w:rFonts w:eastAsia="Times New Roman"/>
                <w:sz w:val="24"/>
                <w:szCs w:val="24"/>
                <w:lang w:eastAsia="lv-LV"/>
              </w:rPr>
              <w:t xml:space="preserve"> ieņēmumu aprēķins</w:t>
            </w:r>
          </w:p>
        </w:tc>
        <w:tc>
          <w:tcPr>
            <w:tcW w:w="7731" w:type="dxa"/>
            <w:gridSpan w:val="7"/>
            <w:vMerge/>
            <w:tcBorders>
              <w:top w:val="outset" w:sz="6" w:space="0" w:color="auto"/>
              <w:left w:val="outset" w:sz="6" w:space="0" w:color="auto"/>
              <w:bottom w:val="outset" w:sz="6" w:space="0" w:color="auto"/>
              <w:right w:val="outset" w:sz="6" w:space="0" w:color="auto"/>
            </w:tcBorders>
            <w:vAlign w:val="center"/>
            <w:hideMark/>
          </w:tcPr>
          <w:p w14:paraId="7D127764" w14:textId="77777777" w:rsidR="00F437A6" w:rsidRPr="00F437A6" w:rsidRDefault="00F437A6" w:rsidP="00F437A6">
            <w:pPr>
              <w:widowControl/>
              <w:spacing w:after="0" w:line="240" w:lineRule="auto"/>
              <w:rPr>
                <w:rFonts w:eastAsia="Times New Roman"/>
                <w:sz w:val="24"/>
                <w:szCs w:val="24"/>
                <w:lang w:eastAsia="lv-LV"/>
              </w:rPr>
            </w:pPr>
          </w:p>
        </w:tc>
      </w:tr>
      <w:tr w:rsidR="00F437A6" w:rsidRPr="00F437A6" w14:paraId="275E8CEB" w14:textId="77777777" w:rsidTr="00F437A6">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377ECBA4" w14:textId="7533AC34" w:rsidR="00F437A6" w:rsidRPr="00F437A6" w:rsidRDefault="00F437A6" w:rsidP="00F437A6">
            <w:pPr>
              <w:widowControl/>
              <w:spacing w:after="0" w:line="240" w:lineRule="auto"/>
              <w:rPr>
                <w:rFonts w:eastAsia="Times New Roman"/>
                <w:sz w:val="24"/>
                <w:szCs w:val="24"/>
                <w:lang w:eastAsia="lv-LV"/>
              </w:rPr>
            </w:pPr>
            <w:r w:rsidRPr="00F437A6">
              <w:rPr>
                <w:rFonts w:eastAsia="Times New Roman"/>
                <w:sz w:val="24"/>
                <w:szCs w:val="24"/>
                <w:lang w:eastAsia="lv-LV"/>
              </w:rPr>
              <w:t xml:space="preserve">6.2. </w:t>
            </w:r>
            <w:proofErr w:type="spellStart"/>
            <w:r w:rsidRPr="00F437A6">
              <w:rPr>
                <w:rFonts w:eastAsia="Times New Roman"/>
                <w:sz w:val="24"/>
                <w:szCs w:val="24"/>
                <w:lang w:eastAsia="lv-LV"/>
              </w:rPr>
              <w:t>detali</w:t>
            </w:r>
            <w:r w:rsidR="008C7EAE">
              <w:rPr>
                <w:rFonts w:eastAsia="Times New Roman"/>
                <w:sz w:val="24"/>
                <w:szCs w:val="24"/>
                <w:lang w:eastAsia="lv-LV"/>
              </w:rPr>
              <w:t>-</w:t>
            </w:r>
            <w:r w:rsidRPr="00F437A6">
              <w:rPr>
                <w:rFonts w:eastAsia="Times New Roman"/>
                <w:sz w:val="24"/>
                <w:szCs w:val="24"/>
                <w:lang w:eastAsia="lv-LV"/>
              </w:rPr>
              <w:t>zēts</w:t>
            </w:r>
            <w:proofErr w:type="spellEnd"/>
            <w:r w:rsidRPr="00F437A6">
              <w:rPr>
                <w:rFonts w:eastAsia="Times New Roman"/>
                <w:sz w:val="24"/>
                <w:szCs w:val="24"/>
                <w:lang w:eastAsia="lv-LV"/>
              </w:rPr>
              <w:t xml:space="preserve"> izdevumu aprēķins</w:t>
            </w:r>
          </w:p>
        </w:tc>
        <w:tc>
          <w:tcPr>
            <w:tcW w:w="7731" w:type="dxa"/>
            <w:gridSpan w:val="7"/>
            <w:vMerge/>
            <w:tcBorders>
              <w:top w:val="outset" w:sz="6" w:space="0" w:color="auto"/>
              <w:left w:val="outset" w:sz="6" w:space="0" w:color="auto"/>
              <w:bottom w:val="outset" w:sz="6" w:space="0" w:color="auto"/>
              <w:right w:val="outset" w:sz="6" w:space="0" w:color="auto"/>
            </w:tcBorders>
            <w:vAlign w:val="center"/>
            <w:hideMark/>
          </w:tcPr>
          <w:p w14:paraId="16571F75" w14:textId="77777777" w:rsidR="00F437A6" w:rsidRPr="00F437A6" w:rsidRDefault="00F437A6" w:rsidP="00F437A6">
            <w:pPr>
              <w:widowControl/>
              <w:spacing w:after="0" w:line="240" w:lineRule="auto"/>
              <w:rPr>
                <w:rFonts w:eastAsia="Times New Roman"/>
                <w:sz w:val="24"/>
                <w:szCs w:val="24"/>
                <w:lang w:eastAsia="lv-LV"/>
              </w:rPr>
            </w:pPr>
          </w:p>
        </w:tc>
      </w:tr>
      <w:tr w:rsidR="0093558C" w:rsidRPr="00F437A6" w14:paraId="408D144B" w14:textId="77777777" w:rsidTr="007A3178">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7150DCCC" w14:textId="77777777" w:rsidR="0093558C" w:rsidRPr="00F437A6" w:rsidRDefault="0093558C" w:rsidP="0093558C">
            <w:pPr>
              <w:widowControl/>
              <w:spacing w:after="0" w:line="240" w:lineRule="auto"/>
              <w:rPr>
                <w:rFonts w:eastAsia="Times New Roman"/>
                <w:sz w:val="24"/>
                <w:szCs w:val="24"/>
                <w:lang w:eastAsia="lv-LV"/>
              </w:rPr>
            </w:pPr>
            <w:r w:rsidRPr="00F437A6">
              <w:rPr>
                <w:rFonts w:eastAsia="Times New Roman"/>
                <w:sz w:val="24"/>
                <w:szCs w:val="24"/>
                <w:lang w:eastAsia="lv-LV"/>
              </w:rPr>
              <w:t>7. Amata vietu skaita izmaiņas</w:t>
            </w:r>
          </w:p>
        </w:tc>
        <w:tc>
          <w:tcPr>
            <w:tcW w:w="7731" w:type="dxa"/>
            <w:gridSpan w:val="7"/>
            <w:tcBorders>
              <w:top w:val="outset" w:sz="6" w:space="0" w:color="auto"/>
              <w:left w:val="outset" w:sz="6" w:space="0" w:color="auto"/>
              <w:bottom w:val="outset" w:sz="6" w:space="0" w:color="auto"/>
              <w:right w:val="outset" w:sz="6" w:space="0" w:color="auto"/>
            </w:tcBorders>
            <w:vAlign w:val="center"/>
            <w:hideMark/>
          </w:tcPr>
          <w:p w14:paraId="46337E9D" w14:textId="3B1AD90F" w:rsidR="0093558C" w:rsidRPr="00036191" w:rsidRDefault="00036191" w:rsidP="0093558C">
            <w:pPr>
              <w:widowControl/>
              <w:spacing w:after="0" w:line="240" w:lineRule="auto"/>
              <w:jc w:val="both"/>
              <w:rPr>
                <w:rFonts w:eastAsia="Times New Roman"/>
                <w:i/>
                <w:iCs/>
                <w:sz w:val="24"/>
                <w:szCs w:val="24"/>
                <w:lang w:eastAsia="lv-LV"/>
              </w:rPr>
            </w:pPr>
            <w:r w:rsidRPr="00036191">
              <w:t xml:space="preserve"> </w:t>
            </w:r>
            <w:r w:rsidRPr="00036191">
              <w:rPr>
                <w:rFonts w:eastAsia="Times New Roman"/>
                <w:color w:val="000000" w:themeColor="text1"/>
                <w:sz w:val="24"/>
                <w:szCs w:val="28"/>
                <w:lang w:eastAsia="lv-LV"/>
              </w:rPr>
              <w:t>Projekts šo jomu neskar.</w:t>
            </w:r>
          </w:p>
        </w:tc>
      </w:tr>
      <w:tr w:rsidR="0093558C" w:rsidRPr="00F437A6" w14:paraId="38004BC4" w14:textId="77777777" w:rsidTr="00F437A6">
        <w:trPr>
          <w:tblCellSpacing w:w="15" w:type="dxa"/>
        </w:trPr>
        <w:tc>
          <w:tcPr>
            <w:tcW w:w="1243" w:type="dxa"/>
            <w:tcBorders>
              <w:top w:val="outset" w:sz="6" w:space="0" w:color="auto"/>
              <w:left w:val="outset" w:sz="6" w:space="0" w:color="auto"/>
              <w:bottom w:val="outset" w:sz="6" w:space="0" w:color="auto"/>
              <w:right w:val="outset" w:sz="6" w:space="0" w:color="auto"/>
            </w:tcBorders>
            <w:hideMark/>
          </w:tcPr>
          <w:p w14:paraId="7F50511E" w14:textId="77777777" w:rsidR="0093558C" w:rsidRPr="00F437A6" w:rsidRDefault="0093558C" w:rsidP="0093558C">
            <w:pPr>
              <w:widowControl/>
              <w:spacing w:after="0" w:line="240" w:lineRule="auto"/>
              <w:rPr>
                <w:rFonts w:eastAsia="Times New Roman"/>
                <w:sz w:val="24"/>
                <w:szCs w:val="24"/>
                <w:lang w:eastAsia="lv-LV"/>
              </w:rPr>
            </w:pPr>
            <w:r w:rsidRPr="00F437A6">
              <w:rPr>
                <w:rFonts w:eastAsia="Times New Roman"/>
                <w:sz w:val="24"/>
                <w:szCs w:val="24"/>
                <w:lang w:eastAsia="lv-LV"/>
              </w:rPr>
              <w:t>8. Cita informācija</w:t>
            </w:r>
          </w:p>
        </w:tc>
        <w:tc>
          <w:tcPr>
            <w:tcW w:w="7731" w:type="dxa"/>
            <w:gridSpan w:val="7"/>
            <w:tcBorders>
              <w:top w:val="outset" w:sz="6" w:space="0" w:color="auto"/>
              <w:left w:val="outset" w:sz="6" w:space="0" w:color="auto"/>
              <w:bottom w:val="outset" w:sz="6" w:space="0" w:color="auto"/>
              <w:right w:val="outset" w:sz="6" w:space="0" w:color="auto"/>
            </w:tcBorders>
            <w:hideMark/>
          </w:tcPr>
          <w:p w14:paraId="4744DDDD" w14:textId="7ECF9F13" w:rsidR="0093558C" w:rsidRPr="00036191" w:rsidRDefault="00266DC3" w:rsidP="00036191">
            <w:pPr>
              <w:widowControl/>
              <w:spacing w:after="0" w:line="240" w:lineRule="auto"/>
              <w:jc w:val="both"/>
              <w:rPr>
                <w:rFonts w:eastAsia="Times New Roman"/>
                <w:i/>
                <w:iCs/>
                <w:sz w:val="24"/>
                <w:szCs w:val="24"/>
                <w:lang w:eastAsia="lv-LV"/>
              </w:rPr>
            </w:pPr>
            <w:r w:rsidRPr="00036191">
              <w:rPr>
                <w:rFonts w:eastAsia="Times New Roman"/>
                <w:sz w:val="24"/>
                <w:szCs w:val="28"/>
                <w:lang w:eastAsia="lv-LV"/>
              </w:rPr>
              <w:t xml:space="preserve">2021.gadā nepieciešamo izmaiņu veikšanai Valsts ieņēmumu dienesta informācijas sistēmās nepieciešamais finansējums </w:t>
            </w:r>
            <w:r w:rsidR="00857E4C" w:rsidRPr="00036191">
              <w:rPr>
                <w:rFonts w:eastAsia="Times New Roman"/>
                <w:color w:val="000000" w:themeColor="text1"/>
                <w:sz w:val="24"/>
                <w:szCs w:val="28"/>
                <w:lang w:eastAsia="lv-LV"/>
              </w:rPr>
              <w:t>9</w:t>
            </w:r>
            <w:r w:rsidR="00036191" w:rsidRPr="00036191">
              <w:rPr>
                <w:rFonts w:eastAsia="Times New Roman"/>
                <w:color w:val="000000" w:themeColor="text1"/>
                <w:sz w:val="24"/>
                <w:szCs w:val="28"/>
                <w:lang w:eastAsia="lv-LV"/>
              </w:rPr>
              <w:t> </w:t>
            </w:r>
            <w:r w:rsidR="00857E4C" w:rsidRPr="00036191">
              <w:rPr>
                <w:rFonts w:eastAsia="Times New Roman"/>
                <w:color w:val="000000" w:themeColor="text1"/>
                <w:sz w:val="24"/>
                <w:szCs w:val="28"/>
                <w:lang w:eastAsia="lv-LV"/>
              </w:rPr>
              <w:t>96</w:t>
            </w:r>
            <w:r w:rsidR="00036191" w:rsidRPr="00036191">
              <w:rPr>
                <w:rFonts w:eastAsia="Times New Roman"/>
                <w:color w:val="000000" w:themeColor="text1"/>
                <w:sz w:val="24"/>
                <w:szCs w:val="28"/>
                <w:lang w:eastAsia="lv-LV"/>
              </w:rPr>
              <w:t xml:space="preserve">5 </w:t>
            </w:r>
            <w:r w:rsidRPr="00036191">
              <w:rPr>
                <w:rFonts w:eastAsia="Times New Roman"/>
                <w:color w:val="000000" w:themeColor="text1"/>
                <w:sz w:val="24"/>
                <w:szCs w:val="28"/>
                <w:lang w:eastAsia="lv-LV"/>
              </w:rPr>
              <w:t xml:space="preserve">EUR </w:t>
            </w:r>
            <w:r w:rsidRPr="00036191">
              <w:rPr>
                <w:rFonts w:eastAsia="Times New Roman"/>
                <w:sz w:val="24"/>
                <w:szCs w:val="28"/>
                <w:lang w:eastAsia="lv-LV"/>
              </w:rPr>
              <w:t>apmērā tiks nodrošināts Finanšu ministrijas budžeta programmas 33.00.00 “Valsts ieņēmumu un muitas politikas nodrošināšana” piešķirtā finansējuma ietvaros.</w:t>
            </w:r>
          </w:p>
        </w:tc>
      </w:tr>
    </w:tbl>
    <w:p w14:paraId="385A9897" w14:textId="77777777" w:rsidR="00666D74" w:rsidRPr="00F437A6" w:rsidRDefault="00666D74" w:rsidP="000D2356">
      <w:pPr>
        <w:widowControl/>
        <w:spacing w:before="100" w:beforeAutospacing="1" w:after="0" w:line="240" w:lineRule="auto"/>
        <w:rPr>
          <w:rFonts w:eastAsia="Times New Roman"/>
          <w:iCs/>
          <w:sz w:val="24"/>
          <w:szCs w:val="24"/>
          <w:lang w:eastAsia="lv-LV"/>
        </w:rPr>
      </w:pPr>
    </w:p>
    <w:tbl>
      <w:tblPr>
        <w:tblW w:w="9072"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281"/>
        <w:gridCol w:w="2239"/>
        <w:gridCol w:w="6237"/>
      </w:tblGrid>
      <w:tr w:rsidR="005F5D0D" w:rsidRPr="005F5D0D" w14:paraId="41D9C6DB" w14:textId="77777777" w:rsidTr="00C13959">
        <w:trPr>
          <w:tblCellSpacing w:w="15" w:type="dxa"/>
        </w:trPr>
        <w:tc>
          <w:tcPr>
            <w:tcW w:w="9012" w:type="dxa"/>
            <w:gridSpan w:val="4"/>
            <w:tcBorders>
              <w:top w:val="outset" w:sz="6" w:space="0" w:color="auto"/>
              <w:left w:val="outset" w:sz="6" w:space="0" w:color="auto"/>
              <w:bottom w:val="outset" w:sz="6" w:space="0" w:color="auto"/>
              <w:right w:val="outset" w:sz="6" w:space="0" w:color="auto"/>
            </w:tcBorders>
            <w:hideMark/>
          </w:tcPr>
          <w:p w14:paraId="069CA104" w14:textId="77777777" w:rsidR="004D6185" w:rsidRPr="005F5D0D" w:rsidRDefault="000E56B2" w:rsidP="00270C95">
            <w:pPr>
              <w:widowControl/>
              <w:spacing w:before="100" w:beforeAutospacing="1" w:after="0" w:line="240" w:lineRule="auto"/>
              <w:jc w:val="center"/>
              <w:rPr>
                <w:rFonts w:eastAsia="Times New Roman"/>
                <w:b/>
                <w:bCs/>
                <w:iCs/>
                <w:sz w:val="24"/>
                <w:szCs w:val="24"/>
                <w:lang w:eastAsia="lv-LV"/>
              </w:rPr>
            </w:pPr>
            <w:r w:rsidRPr="005F5D0D">
              <w:rPr>
                <w:rFonts w:eastAsia="Times New Roman"/>
                <w:b/>
                <w:bCs/>
                <w:iCs/>
                <w:sz w:val="24"/>
                <w:szCs w:val="24"/>
                <w:lang w:eastAsia="lv-LV"/>
              </w:rPr>
              <w:t>IV. Tiesību akta projekta ietekme uz spēkā esošo tiesību normu sistēmu</w:t>
            </w:r>
          </w:p>
        </w:tc>
      </w:tr>
      <w:tr w:rsidR="005F5D0D" w:rsidRPr="005F5D0D" w14:paraId="4985A304" w14:textId="77777777" w:rsidTr="00C13959">
        <w:trPr>
          <w:tblCellSpacing w:w="15" w:type="dxa"/>
        </w:trPr>
        <w:tc>
          <w:tcPr>
            <w:tcW w:w="270" w:type="dxa"/>
            <w:tcBorders>
              <w:top w:val="outset" w:sz="6" w:space="0" w:color="auto"/>
              <w:left w:val="outset" w:sz="6" w:space="0" w:color="auto"/>
              <w:bottom w:val="outset" w:sz="6" w:space="0" w:color="auto"/>
              <w:right w:val="outset" w:sz="6" w:space="0" w:color="auto"/>
            </w:tcBorders>
            <w:hideMark/>
          </w:tcPr>
          <w:p w14:paraId="5AAEA66F" w14:textId="77777777" w:rsidR="004D6185" w:rsidRPr="005F5D0D" w:rsidRDefault="000E56B2" w:rsidP="00B7729C">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t>1.</w:t>
            </w:r>
          </w:p>
        </w:tc>
        <w:tc>
          <w:tcPr>
            <w:tcW w:w="2490" w:type="dxa"/>
            <w:gridSpan w:val="2"/>
            <w:tcBorders>
              <w:top w:val="outset" w:sz="6" w:space="0" w:color="auto"/>
              <w:left w:val="outset" w:sz="6" w:space="0" w:color="auto"/>
              <w:bottom w:val="outset" w:sz="6" w:space="0" w:color="auto"/>
              <w:right w:val="outset" w:sz="6" w:space="0" w:color="auto"/>
            </w:tcBorders>
            <w:hideMark/>
          </w:tcPr>
          <w:p w14:paraId="7933D938" w14:textId="7817AC49" w:rsidR="0033003B" w:rsidRPr="005F5D0D" w:rsidRDefault="00407E2F" w:rsidP="00BD60F2">
            <w:pPr>
              <w:spacing w:after="0" w:line="240" w:lineRule="auto"/>
              <w:rPr>
                <w:rFonts w:eastAsia="Times New Roman"/>
                <w:sz w:val="24"/>
                <w:szCs w:val="24"/>
                <w:lang w:eastAsia="lv-LV"/>
              </w:rPr>
            </w:pPr>
            <w:r>
              <w:rPr>
                <w:rFonts w:eastAsia="Times New Roman"/>
                <w:sz w:val="24"/>
                <w:szCs w:val="24"/>
                <w:lang w:eastAsia="lv-LV"/>
              </w:rPr>
              <w:t>Saistītie</w:t>
            </w:r>
            <w:r w:rsidR="0033003B">
              <w:rPr>
                <w:rFonts w:eastAsia="Times New Roman"/>
                <w:sz w:val="24"/>
                <w:szCs w:val="24"/>
                <w:lang w:eastAsia="lv-LV"/>
              </w:rPr>
              <w:t xml:space="preserve"> tiesību aktu projekti</w:t>
            </w:r>
          </w:p>
        </w:tc>
        <w:tc>
          <w:tcPr>
            <w:tcW w:w="6192" w:type="dxa"/>
            <w:tcBorders>
              <w:top w:val="outset" w:sz="6" w:space="0" w:color="auto"/>
              <w:left w:val="outset" w:sz="6" w:space="0" w:color="auto"/>
              <w:bottom w:val="outset" w:sz="6" w:space="0" w:color="auto"/>
              <w:right w:val="outset" w:sz="6" w:space="0" w:color="auto"/>
            </w:tcBorders>
            <w:hideMark/>
          </w:tcPr>
          <w:p w14:paraId="67733358" w14:textId="152FB2E5" w:rsidR="004D6185" w:rsidRPr="007E23DC" w:rsidRDefault="009C11A5" w:rsidP="00D25958">
            <w:pPr>
              <w:pStyle w:val="tv2132"/>
              <w:spacing w:after="120" w:line="240" w:lineRule="auto"/>
              <w:ind w:firstLine="363"/>
              <w:jc w:val="both"/>
              <w:rPr>
                <w:color w:val="auto"/>
                <w:sz w:val="24"/>
                <w:szCs w:val="24"/>
              </w:rPr>
            </w:pPr>
            <w:r w:rsidRPr="000D54BE">
              <w:rPr>
                <w:color w:val="auto"/>
                <w:sz w:val="24"/>
                <w:szCs w:val="24"/>
              </w:rPr>
              <w:t xml:space="preserve">Pēc likumprojekta </w:t>
            </w:r>
            <w:r w:rsidR="00C01D93" w:rsidRPr="00C01D93">
              <w:rPr>
                <w:color w:val="auto"/>
                <w:sz w:val="24"/>
                <w:szCs w:val="24"/>
              </w:rPr>
              <w:t>“Grozījumi Gada pārskatu un konsolidēto gada pārskatu likumā”</w:t>
            </w:r>
            <w:r w:rsidRPr="007F5C67">
              <w:rPr>
                <w:b/>
                <w:color w:val="auto"/>
                <w:sz w:val="24"/>
                <w:szCs w:val="24"/>
              </w:rPr>
              <w:t xml:space="preserve"> </w:t>
            </w:r>
            <w:r w:rsidRPr="007F5C67">
              <w:rPr>
                <w:color w:val="auto"/>
                <w:sz w:val="24"/>
                <w:szCs w:val="24"/>
              </w:rPr>
              <w:t>pieņemšanas</w:t>
            </w:r>
            <w:r w:rsidRPr="00860F4A">
              <w:rPr>
                <w:color w:val="auto"/>
                <w:sz w:val="24"/>
                <w:szCs w:val="24"/>
              </w:rPr>
              <w:t xml:space="preserve"> būs nepieciešams izdarīt groz</w:t>
            </w:r>
            <w:r w:rsidR="002A7DD4" w:rsidRPr="00860F4A">
              <w:rPr>
                <w:color w:val="auto"/>
                <w:sz w:val="24"/>
                <w:szCs w:val="24"/>
              </w:rPr>
              <w:t>ījumus</w:t>
            </w:r>
            <w:r w:rsidRPr="00860F4A">
              <w:rPr>
                <w:color w:val="auto"/>
                <w:sz w:val="24"/>
                <w:szCs w:val="24"/>
              </w:rPr>
              <w:t xml:space="preserve"> </w:t>
            </w:r>
            <w:r w:rsidR="0008505F" w:rsidRPr="0008505F">
              <w:rPr>
                <w:color w:val="auto"/>
                <w:sz w:val="24"/>
                <w:szCs w:val="24"/>
              </w:rPr>
              <w:t>Ministru kabineta</w:t>
            </w:r>
            <w:r w:rsidR="0008505F">
              <w:rPr>
                <w:color w:val="auto"/>
                <w:sz w:val="24"/>
                <w:szCs w:val="24"/>
              </w:rPr>
              <w:t xml:space="preserve"> 2015.gada 22.decembra noteikumos</w:t>
            </w:r>
            <w:r w:rsidR="0008505F" w:rsidRPr="0008505F">
              <w:rPr>
                <w:color w:val="auto"/>
                <w:sz w:val="24"/>
                <w:szCs w:val="24"/>
              </w:rPr>
              <w:t xml:space="preserve"> Nr.775 “Gada pārskatu un konsolidēto gada pārskatu likuma piemērošanas noteikumi”</w:t>
            </w:r>
            <w:r w:rsidR="00C01D93">
              <w:rPr>
                <w:color w:val="auto"/>
                <w:sz w:val="24"/>
                <w:szCs w:val="24"/>
              </w:rPr>
              <w:t>.</w:t>
            </w:r>
          </w:p>
        </w:tc>
      </w:tr>
      <w:tr w:rsidR="005F5D0D" w:rsidRPr="005F5D0D" w14:paraId="39216AC7" w14:textId="77777777" w:rsidTr="00C13959">
        <w:trPr>
          <w:tblCellSpacing w:w="15" w:type="dxa"/>
        </w:trPr>
        <w:tc>
          <w:tcPr>
            <w:tcW w:w="551" w:type="dxa"/>
            <w:gridSpan w:val="2"/>
            <w:tcBorders>
              <w:top w:val="outset" w:sz="6" w:space="0" w:color="auto"/>
              <w:left w:val="outset" w:sz="6" w:space="0" w:color="auto"/>
              <w:bottom w:val="outset" w:sz="6" w:space="0" w:color="auto"/>
              <w:right w:val="outset" w:sz="6" w:space="0" w:color="auto"/>
            </w:tcBorders>
            <w:hideMark/>
          </w:tcPr>
          <w:p w14:paraId="26CBA772" w14:textId="77777777" w:rsidR="004D6185" w:rsidRPr="005F5D0D" w:rsidRDefault="000E56B2" w:rsidP="008B01AB">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t>2.</w:t>
            </w:r>
          </w:p>
        </w:tc>
        <w:tc>
          <w:tcPr>
            <w:tcW w:w="2209" w:type="dxa"/>
            <w:tcBorders>
              <w:top w:val="outset" w:sz="6" w:space="0" w:color="auto"/>
              <w:left w:val="outset" w:sz="6" w:space="0" w:color="auto"/>
              <w:bottom w:val="outset" w:sz="6" w:space="0" w:color="auto"/>
              <w:right w:val="outset" w:sz="6" w:space="0" w:color="auto"/>
            </w:tcBorders>
            <w:hideMark/>
          </w:tcPr>
          <w:p w14:paraId="6DE395D4" w14:textId="77777777"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Atbildīgā institūcija</w:t>
            </w:r>
          </w:p>
        </w:tc>
        <w:tc>
          <w:tcPr>
            <w:tcW w:w="6192" w:type="dxa"/>
            <w:tcBorders>
              <w:top w:val="outset" w:sz="6" w:space="0" w:color="auto"/>
              <w:left w:val="outset" w:sz="6" w:space="0" w:color="auto"/>
              <w:bottom w:val="outset" w:sz="6" w:space="0" w:color="auto"/>
              <w:right w:val="outset" w:sz="6" w:space="0" w:color="auto"/>
            </w:tcBorders>
            <w:hideMark/>
          </w:tcPr>
          <w:p w14:paraId="4EF7E8EA" w14:textId="77777777" w:rsidR="00353EC8" w:rsidRDefault="000E56B2" w:rsidP="00353EC8">
            <w:pPr>
              <w:spacing w:after="0" w:line="240" w:lineRule="auto"/>
              <w:jc w:val="both"/>
              <w:rPr>
                <w:rFonts w:eastAsia="Times New Roman"/>
                <w:sz w:val="24"/>
                <w:szCs w:val="24"/>
                <w:lang w:eastAsia="lv-LV"/>
              </w:rPr>
            </w:pPr>
            <w:r w:rsidRPr="005F5D0D">
              <w:rPr>
                <w:rFonts w:eastAsia="Times New Roman"/>
                <w:sz w:val="24"/>
                <w:szCs w:val="24"/>
                <w:lang w:eastAsia="lv-LV"/>
              </w:rPr>
              <w:t>Finanšu ministrija</w:t>
            </w:r>
            <w:r w:rsidR="00353EC8">
              <w:rPr>
                <w:rFonts w:eastAsia="Times New Roman"/>
                <w:sz w:val="24"/>
                <w:szCs w:val="24"/>
                <w:lang w:eastAsia="lv-LV"/>
              </w:rPr>
              <w:t xml:space="preserve">. </w:t>
            </w:r>
          </w:p>
          <w:p w14:paraId="17AF3F70" w14:textId="16D4D5F5" w:rsidR="004D6185" w:rsidRPr="005F5D0D" w:rsidRDefault="004D6185" w:rsidP="004C3FDA">
            <w:pPr>
              <w:spacing w:after="0" w:line="240" w:lineRule="auto"/>
              <w:jc w:val="both"/>
              <w:rPr>
                <w:rFonts w:eastAsia="Times New Roman"/>
                <w:sz w:val="24"/>
                <w:szCs w:val="24"/>
                <w:lang w:eastAsia="lv-LV"/>
              </w:rPr>
            </w:pPr>
          </w:p>
        </w:tc>
      </w:tr>
      <w:tr w:rsidR="005F5D0D" w:rsidRPr="005F5D0D" w14:paraId="1F7F4C42" w14:textId="77777777" w:rsidTr="00C13959">
        <w:trPr>
          <w:tblCellSpacing w:w="15" w:type="dxa"/>
        </w:trPr>
        <w:tc>
          <w:tcPr>
            <w:tcW w:w="551" w:type="dxa"/>
            <w:gridSpan w:val="2"/>
            <w:tcBorders>
              <w:top w:val="outset" w:sz="6" w:space="0" w:color="auto"/>
              <w:left w:val="outset" w:sz="6" w:space="0" w:color="auto"/>
              <w:bottom w:val="outset" w:sz="6" w:space="0" w:color="auto"/>
              <w:right w:val="outset" w:sz="6" w:space="0" w:color="auto"/>
            </w:tcBorders>
            <w:hideMark/>
          </w:tcPr>
          <w:p w14:paraId="520A2BE2" w14:textId="77777777" w:rsidR="004D6185" w:rsidRPr="005F5D0D" w:rsidRDefault="000E56B2" w:rsidP="008B01AB">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t>3.</w:t>
            </w:r>
          </w:p>
        </w:tc>
        <w:tc>
          <w:tcPr>
            <w:tcW w:w="2209" w:type="dxa"/>
            <w:tcBorders>
              <w:top w:val="outset" w:sz="6" w:space="0" w:color="auto"/>
              <w:left w:val="outset" w:sz="6" w:space="0" w:color="auto"/>
              <w:bottom w:val="outset" w:sz="6" w:space="0" w:color="auto"/>
              <w:right w:val="outset" w:sz="6" w:space="0" w:color="auto"/>
            </w:tcBorders>
            <w:hideMark/>
          </w:tcPr>
          <w:p w14:paraId="6B4263E7" w14:textId="77777777"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Cita informācija</w:t>
            </w:r>
          </w:p>
        </w:tc>
        <w:tc>
          <w:tcPr>
            <w:tcW w:w="6192" w:type="dxa"/>
            <w:tcBorders>
              <w:top w:val="outset" w:sz="6" w:space="0" w:color="auto"/>
              <w:left w:val="outset" w:sz="6" w:space="0" w:color="auto"/>
              <w:bottom w:val="outset" w:sz="6" w:space="0" w:color="auto"/>
              <w:right w:val="outset" w:sz="6" w:space="0" w:color="auto"/>
            </w:tcBorders>
            <w:hideMark/>
          </w:tcPr>
          <w:p w14:paraId="6CFF76D9" w14:textId="64E70BC1"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Nav</w:t>
            </w:r>
            <w:r w:rsidR="00687078">
              <w:rPr>
                <w:rFonts w:eastAsia="Times New Roman"/>
                <w:sz w:val="24"/>
                <w:szCs w:val="24"/>
                <w:lang w:eastAsia="lv-LV"/>
              </w:rPr>
              <w:t>.</w:t>
            </w:r>
          </w:p>
        </w:tc>
      </w:tr>
    </w:tbl>
    <w:p w14:paraId="719D4954" w14:textId="77777777" w:rsidR="000D2356" w:rsidRPr="005F5D0D" w:rsidRDefault="000D2356" w:rsidP="0098568F">
      <w:pPr>
        <w:widowControl/>
        <w:spacing w:after="0" w:line="240" w:lineRule="auto"/>
        <w:rPr>
          <w:rFonts w:eastAsia="Times New Roman"/>
          <w:sz w:val="24"/>
          <w:szCs w:val="24"/>
          <w:lang w:eastAsia="lv-LV"/>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5"/>
        <w:gridCol w:w="1715"/>
        <w:gridCol w:w="1615"/>
        <w:gridCol w:w="246"/>
        <w:gridCol w:w="2248"/>
        <w:gridCol w:w="2695"/>
      </w:tblGrid>
      <w:tr w:rsidR="00CA42C7" w:rsidRPr="00AD6A0C" w14:paraId="091B5F2E" w14:textId="77777777" w:rsidTr="00C13959">
        <w:trPr>
          <w:tblCellSpacing w:w="15" w:type="dxa"/>
        </w:trPr>
        <w:tc>
          <w:tcPr>
            <w:tcW w:w="9004" w:type="dxa"/>
            <w:gridSpan w:val="6"/>
            <w:tcBorders>
              <w:top w:val="outset" w:sz="6" w:space="0" w:color="auto"/>
              <w:left w:val="outset" w:sz="6" w:space="0" w:color="auto"/>
              <w:bottom w:val="outset" w:sz="6" w:space="0" w:color="auto"/>
              <w:right w:val="outset" w:sz="6" w:space="0" w:color="auto"/>
            </w:tcBorders>
            <w:vAlign w:val="center"/>
            <w:hideMark/>
          </w:tcPr>
          <w:p w14:paraId="3A13150D" w14:textId="77777777" w:rsidR="00CA42C7" w:rsidRPr="00AD6A0C" w:rsidRDefault="00CA42C7" w:rsidP="00E4515F">
            <w:pPr>
              <w:spacing w:after="0" w:line="240" w:lineRule="auto"/>
              <w:jc w:val="center"/>
              <w:rPr>
                <w:rFonts w:eastAsia="Times New Roman"/>
                <w:b/>
                <w:bCs/>
                <w:iCs/>
                <w:color w:val="000000" w:themeColor="text1"/>
                <w:spacing w:val="-2"/>
                <w:sz w:val="24"/>
                <w:szCs w:val="24"/>
                <w:lang w:eastAsia="lv-LV"/>
              </w:rPr>
            </w:pPr>
            <w:r w:rsidRPr="00AD6A0C">
              <w:rPr>
                <w:rFonts w:eastAsia="Times New Roman"/>
                <w:b/>
                <w:bCs/>
                <w:iCs/>
                <w:color w:val="000000" w:themeColor="text1"/>
                <w:spacing w:val="-2"/>
                <w:sz w:val="24"/>
                <w:szCs w:val="24"/>
                <w:lang w:eastAsia="lv-LV"/>
              </w:rPr>
              <w:t>V. Tiesību akta projekta atbilstība Latvijas Republikas starptautiskajām saistībām</w:t>
            </w:r>
          </w:p>
        </w:tc>
      </w:tr>
      <w:tr w:rsidR="00CA42C7" w:rsidRPr="00AD6A0C" w14:paraId="19AA5F2D" w14:textId="77777777" w:rsidTr="00C13959">
        <w:trPr>
          <w:tblCellSpacing w:w="15" w:type="dxa"/>
        </w:trPr>
        <w:tc>
          <w:tcPr>
            <w:tcW w:w="500" w:type="dxa"/>
            <w:tcBorders>
              <w:top w:val="outset" w:sz="6" w:space="0" w:color="auto"/>
              <w:left w:val="outset" w:sz="6" w:space="0" w:color="auto"/>
              <w:bottom w:val="outset" w:sz="6" w:space="0" w:color="auto"/>
              <w:right w:val="outset" w:sz="6" w:space="0" w:color="auto"/>
            </w:tcBorders>
            <w:hideMark/>
          </w:tcPr>
          <w:p w14:paraId="7A1F17D0"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1.</w:t>
            </w:r>
          </w:p>
        </w:tc>
        <w:tc>
          <w:tcPr>
            <w:tcW w:w="3300" w:type="dxa"/>
            <w:gridSpan w:val="2"/>
            <w:tcBorders>
              <w:top w:val="outset" w:sz="6" w:space="0" w:color="auto"/>
              <w:left w:val="outset" w:sz="6" w:space="0" w:color="auto"/>
              <w:bottom w:val="outset" w:sz="6" w:space="0" w:color="auto"/>
              <w:right w:val="outset" w:sz="6" w:space="0" w:color="auto"/>
            </w:tcBorders>
            <w:hideMark/>
          </w:tcPr>
          <w:p w14:paraId="15E177EF"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Saistības pret Eiropas Savienību</w:t>
            </w:r>
          </w:p>
        </w:tc>
        <w:tc>
          <w:tcPr>
            <w:tcW w:w="5144" w:type="dxa"/>
            <w:gridSpan w:val="3"/>
            <w:tcBorders>
              <w:top w:val="outset" w:sz="6" w:space="0" w:color="auto"/>
              <w:left w:val="outset" w:sz="6" w:space="0" w:color="auto"/>
              <w:bottom w:val="outset" w:sz="6" w:space="0" w:color="auto"/>
              <w:right w:val="outset" w:sz="6" w:space="0" w:color="auto"/>
            </w:tcBorders>
            <w:hideMark/>
          </w:tcPr>
          <w:p w14:paraId="1A2F0A49" w14:textId="4BD317DA" w:rsidR="00CA42C7" w:rsidRPr="00AD6A0C" w:rsidRDefault="00C01D93" w:rsidP="004F4131">
            <w:pPr>
              <w:pStyle w:val="tv2132"/>
              <w:spacing w:after="120" w:line="240" w:lineRule="auto"/>
              <w:ind w:firstLine="363"/>
              <w:jc w:val="both"/>
              <w:rPr>
                <w:iCs/>
                <w:color w:val="000000" w:themeColor="text1"/>
                <w:spacing w:val="-2"/>
                <w:sz w:val="24"/>
                <w:szCs w:val="24"/>
              </w:rPr>
            </w:pPr>
            <w:r w:rsidRPr="00AD6A0C">
              <w:rPr>
                <w:iCs/>
                <w:color w:val="000000" w:themeColor="text1"/>
                <w:spacing w:val="-2"/>
                <w:sz w:val="24"/>
                <w:szCs w:val="24"/>
              </w:rPr>
              <w:t>Projekts šo jomu neskar.</w:t>
            </w:r>
          </w:p>
        </w:tc>
      </w:tr>
      <w:tr w:rsidR="00CA42C7" w:rsidRPr="00AD6A0C" w14:paraId="70FBB8DC" w14:textId="77777777" w:rsidTr="00C13959">
        <w:trPr>
          <w:tblCellSpacing w:w="15" w:type="dxa"/>
        </w:trPr>
        <w:tc>
          <w:tcPr>
            <w:tcW w:w="500" w:type="dxa"/>
            <w:tcBorders>
              <w:top w:val="outset" w:sz="6" w:space="0" w:color="auto"/>
              <w:left w:val="outset" w:sz="6" w:space="0" w:color="auto"/>
              <w:bottom w:val="outset" w:sz="6" w:space="0" w:color="auto"/>
              <w:right w:val="outset" w:sz="6" w:space="0" w:color="auto"/>
            </w:tcBorders>
            <w:hideMark/>
          </w:tcPr>
          <w:p w14:paraId="3811EDDB"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2.</w:t>
            </w:r>
          </w:p>
        </w:tc>
        <w:tc>
          <w:tcPr>
            <w:tcW w:w="3300" w:type="dxa"/>
            <w:gridSpan w:val="2"/>
            <w:tcBorders>
              <w:top w:val="outset" w:sz="6" w:space="0" w:color="auto"/>
              <w:left w:val="outset" w:sz="6" w:space="0" w:color="auto"/>
              <w:bottom w:val="outset" w:sz="6" w:space="0" w:color="auto"/>
              <w:right w:val="outset" w:sz="6" w:space="0" w:color="auto"/>
            </w:tcBorders>
            <w:hideMark/>
          </w:tcPr>
          <w:p w14:paraId="22DEC05B"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Citas starptautiskās saistības</w:t>
            </w:r>
          </w:p>
        </w:tc>
        <w:tc>
          <w:tcPr>
            <w:tcW w:w="5144" w:type="dxa"/>
            <w:gridSpan w:val="3"/>
            <w:tcBorders>
              <w:top w:val="outset" w:sz="6" w:space="0" w:color="auto"/>
              <w:left w:val="outset" w:sz="6" w:space="0" w:color="auto"/>
              <w:bottom w:val="outset" w:sz="6" w:space="0" w:color="auto"/>
              <w:right w:val="outset" w:sz="6" w:space="0" w:color="auto"/>
            </w:tcBorders>
            <w:hideMark/>
          </w:tcPr>
          <w:p w14:paraId="568615B6" w14:textId="77777777" w:rsidR="00CA42C7" w:rsidRPr="00AD6A0C" w:rsidRDefault="00CA42C7" w:rsidP="00CA68E1">
            <w:pPr>
              <w:spacing w:after="0" w:line="240" w:lineRule="auto"/>
              <w:ind w:firstLine="284"/>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Projekts šo jomu neskar.</w:t>
            </w:r>
          </w:p>
        </w:tc>
      </w:tr>
      <w:tr w:rsidR="00CA42C7" w:rsidRPr="00AD6A0C" w14:paraId="4A5161A6" w14:textId="77777777" w:rsidTr="00C13959">
        <w:trPr>
          <w:tblCellSpacing w:w="15" w:type="dxa"/>
        </w:trPr>
        <w:tc>
          <w:tcPr>
            <w:tcW w:w="500" w:type="dxa"/>
            <w:tcBorders>
              <w:top w:val="outset" w:sz="6" w:space="0" w:color="auto"/>
              <w:left w:val="outset" w:sz="6" w:space="0" w:color="auto"/>
              <w:bottom w:val="outset" w:sz="6" w:space="0" w:color="auto"/>
              <w:right w:val="outset" w:sz="6" w:space="0" w:color="auto"/>
            </w:tcBorders>
            <w:hideMark/>
          </w:tcPr>
          <w:p w14:paraId="03EFD6A6"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3.</w:t>
            </w:r>
          </w:p>
        </w:tc>
        <w:tc>
          <w:tcPr>
            <w:tcW w:w="3300" w:type="dxa"/>
            <w:gridSpan w:val="2"/>
            <w:tcBorders>
              <w:top w:val="outset" w:sz="6" w:space="0" w:color="auto"/>
              <w:left w:val="outset" w:sz="6" w:space="0" w:color="auto"/>
              <w:bottom w:val="outset" w:sz="6" w:space="0" w:color="auto"/>
              <w:right w:val="outset" w:sz="6" w:space="0" w:color="auto"/>
            </w:tcBorders>
            <w:hideMark/>
          </w:tcPr>
          <w:p w14:paraId="230A4233"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Cita informācija</w:t>
            </w:r>
          </w:p>
        </w:tc>
        <w:tc>
          <w:tcPr>
            <w:tcW w:w="5144" w:type="dxa"/>
            <w:gridSpan w:val="3"/>
            <w:tcBorders>
              <w:top w:val="outset" w:sz="6" w:space="0" w:color="auto"/>
              <w:left w:val="outset" w:sz="6" w:space="0" w:color="auto"/>
              <w:bottom w:val="outset" w:sz="6" w:space="0" w:color="auto"/>
              <w:right w:val="outset" w:sz="6" w:space="0" w:color="auto"/>
            </w:tcBorders>
            <w:hideMark/>
          </w:tcPr>
          <w:p w14:paraId="5B9A523A" w14:textId="77777777" w:rsidR="00CA42C7" w:rsidRPr="00AD6A0C" w:rsidRDefault="00CA42C7" w:rsidP="00CA68E1">
            <w:pPr>
              <w:spacing w:after="0" w:line="240" w:lineRule="auto"/>
              <w:ind w:firstLine="284"/>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Nav</w:t>
            </w:r>
            <w:r w:rsidR="002B5B1B">
              <w:rPr>
                <w:rFonts w:eastAsia="Times New Roman"/>
                <w:iCs/>
                <w:color w:val="000000" w:themeColor="text1"/>
                <w:spacing w:val="-2"/>
                <w:sz w:val="24"/>
                <w:szCs w:val="24"/>
                <w:lang w:eastAsia="lv-LV"/>
              </w:rPr>
              <w:t>.</w:t>
            </w:r>
          </w:p>
        </w:tc>
      </w:tr>
      <w:tr w:rsidR="00CA42C7" w:rsidRPr="00AD6A0C" w14:paraId="5CF98E3A" w14:textId="77777777" w:rsidTr="00C13959">
        <w:trPr>
          <w:tblCellSpacing w:w="15" w:type="dxa"/>
        </w:trPr>
        <w:tc>
          <w:tcPr>
            <w:tcW w:w="9004" w:type="dxa"/>
            <w:gridSpan w:val="6"/>
            <w:tcBorders>
              <w:top w:val="outset" w:sz="6" w:space="0" w:color="auto"/>
              <w:left w:val="outset" w:sz="6" w:space="0" w:color="auto"/>
              <w:bottom w:val="outset" w:sz="6" w:space="0" w:color="auto"/>
              <w:right w:val="outset" w:sz="6" w:space="0" w:color="auto"/>
            </w:tcBorders>
            <w:vAlign w:val="center"/>
            <w:hideMark/>
          </w:tcPr>
          <w:p w14:paraId="2F1BEA55" w14:textId="77777777" w:rsidR="00CA42C7" w:rsidRPr="00AD6A0C" w:rsidRDefault="00CA42C7" w:rsidP="00E4515F">
            <w:pPr>
              <w:spacing w:after="0" w:line="240" w:lineRule="auto"/>
              <w:jc w:val="center"/>
              <w:rPr>
                <w:rFonts w:eastAsia="Times New Roman"/>
                <w:b/>
                <w:bCs/>
                <w:iCs/>
                <w:color w:val="000000" w:themeColor="text1"/>
                <w:spacing w:val="-2"/>
                <w:sz w:val="24"/>
                <w:szCs w:val="24"/>
                <w:lang w:eastAsia="lv-LV"/>
              </w:rPr>
            </w:pPr>
            <w:r w:rsidRPr="00AD6A0C">
              <w:rPr>
                <w:rFonts w:eastAsia="Times New Roman"/>
                <w:b/>
                <w:bCs/>
                <w:iCs/>
                <w:color w:val="000000" w:themeColor="text1"/>
                <w:spacing w:val="-2"/>
                <w:sz w:val="24"/>
                <w:szCs w:val="24"/>
                <w:lang w:eastAsia="lv-LV"/>
              </w:rPr>
              <w:t>1. tabula</w:t>
            </w:r>
            <w:r w:rsidRPr="00AD6A0C">
              <w:rPr>
                <w:rFonts w:eastAsia="Times New Roman"/>
                <w:b/>
                <w:bCs/>
                <w:iCs/>
                <w:color w:val="000000" w:themeColor="text1"/>
                <w:spacing w:val="-2"/>
                <w:sz w:val="24"/>
                <w:szCs w:val="24"/>
                <w:lang w:eastAsia="lv-LV"/>
              </w:rPr>
              <w:br/>
              <w:t>Tiesību akta projekta atbilstība ES tiesību aktiem</w:t>
            </w:r>
          </w:p>
        </w:tc>
      </w:tr>
      <w:tr w:rsidR="00CA42C7" w:rsidRPr="00AD6A0C" w14:paraId="07991D22" w14:textId="77777777" w:rsidTr="00C13959">
        <w:trPr>
          <w:tblCellSpacing w:w="15" w:type="dxa"/>
        </w:trPr>
        <w:tc>
          <w:tcPr>
            <w:tcW w:w="2215" w:type="dxa"/>
            <w:gridSpan w:val="2"/>
            <w:tcBorders>
              <w:top w:val="outset" w:sz="6" w:space="0" w:color="auto"/>
              <w:left w:val="outset" w:sz="6" w:space="0" w:color="auto"/>
              <w:bottom w:val="outset" w:sz="6" w:space="0" w:color="auto"/>
              <w:right w:val="outset" w:sz="6" w:space="0" w:color="auto"/>
            </w:tcBorders>
            <w:hideMark/>
          </w:tcPr>
          <w:p w14:paraId="6CD22E9E"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Attiecīgā ES tiesību akta datums, numurs un nosaukums</w:t>
            </w:r>
          </w:p>
        </w:tc>
        <w:tc>
          <w:tcPr>
            <w:tcW w:w="6759" w:type="dxa"/>
            <w:gridSpan w:val="4"/>
            <w:tcBorders>
              <w:top w:val="outset" w:sz="6" w:space="0" w:color="auto"/>
              <w:left w:val="outset" w:sz="6" w:space="0" w:color="auto"/>
              <w:bottom w:val="outset" w:sz="6" w:space="0" w:color="auto"/>
              <w:right w:val="outset" w:sz="6" w:space="0" w:color="auto"/>
            </w:tcBorders>
            <w:hideMark/>
          </w:tcPr>
          <w:p w14:paraId="58491AE1" w14:textId="7D567143" w:rsidR="00CA42C7" w:rsidRPr="00AD6A0C" w:rsidRDefault="00C01D93" w:rsidP="005006A4">
            <w:pPr>
              <w:spacing w:after="120" w:line="240" w:lineRule="auto"/>
              <w:jc w:val="both"/>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Projekts šo jomu neskar.</w:t>
            </w:r>
          </w:p>
        </w:tc>
      </w:tr>
      <w:tr w:rsidR="00CA42C7" w:rsidRPr="00AD6A0C" w14:paraId="3774141E" w14:textId="77777777" w:rsidTr="00C13959">
        <w:trPr>
          <w:tblCellSpacing w:w="15" w:type="dxa"/>
        </w:trPr>
        <w:tc>
          <w:tcPr>
            <w:tcW w:w="2215" w:type="dxa"/>
            <w:gridSpan w:val="2"/>
            <w:tcBorders>
              <w:top w:val="outset" w:sz="6" w:space="0" w:color="auto"/>
              <w:left w:val="outset" w:sz="6" w:space="0" w:color="auto"/>
              <w:bottom w:val="outset" w:sz="6" w:space="0" w:color="auto"/>
              <w:right w:val="outset" w:sz="6" w:space="0" w:color="auto"/>
            </w:tcBorders>
            <w:vAlign w:val="center"/>
            <w:hideMark/>
          </w:tcPr>
          <w:p w14:paraId="17FF4A57"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A</w:t>
            </w:r>
          </w:p>
        </w:tc>
        <w:tc>
          <w:tcPr>
            <w:tcW w:w="1831" w:type="dxa"/>
            <w:gridSpan w:val="2"/>
            <w:tcBorders>
              <w:top w:val="outset" w:sz="6" w:space="0" w:color="auto"/>
              <w:left w:val="outset" w:sz="6" w:space="0" w:color="auto"/>
              <w:bottom w:val="outset" w:sz="6" w:space="0" w:color="auto"/>
              <w:right w:val="outset" w:sz="6" w:space="0" w:color="auto"/>
            </w:tcBorders>
            <w:vAlign w:val="center"/>
            <w:hideMark/>
          </w:tcPr>
          <w:p w14:paraId="37D3ACCB"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B</w:t>
            </w:r>
          </w:p>
        </w:tc>
        <w:tc>
          <w:tcPr>
            <w:tcW w:w="2218" w:type="dxa"/>
            <w:tcBorders>
              <w:top w:val="outset" w:sz="6" w:space="0" w:color="auto"/>
              <w:left w:val="outset" w:sz="6" w:space="0" w:color="auto"/>
              <w:bottom w:val="outset" w:sz="6" w:space="0" w:color="auto"/>
              <w:right w:val="outset" w:sz="6" w:space="0" w:color="auto"/>
            </w:tcBorders>
            <w:vAlign w:val="center"/>
            <w:hideMark/>
          </w:tcPr>
          <w:p w14:paraId="4E98C2A2"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C</w:t>
            </w:r>
          </w:p>
        </w:tc>
        <w:tc>
          <w:tcPr>
            <w:tcW w:w="2650" w:type="dxa"/>
            <w:tcBorders>
              <w:top w:val="outset" w:sz="6" w:space="0" w:color="auto"/>
              <w:left w:val="outset" w:sz="6" w:space="0" w:color="auto"/>
              <w:bottom w:val="outset" w:sz="6" w:space="0" w:color="auto"/>
              <w:right w:val="outset" w:sz="6" w:space="0" w:color="auto"/>
            </w:tcBorders>
            <w:vAlign w:val="center"/>
            <w:hideMark/>
          </w:tcPr>
          <w:p w14:paraId="556FA75A"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D</w:t>
            </w:r>
          </w:p>
        </w:tc>
      </w:tr>
      <w:tr w:rsidR="00CA42C7" w:rsidRPr="0053292F" w14:paraId="4A573786" w14:textId="77777777" w:rsidTr="00C13959">
        <w:trPr>
          <w:tblCellSpacing w:w="15" w:type="dxa"/>
        </w:trPr>
        <w:tc>
          <w:tcPr>
            <w:tcW w:w="2215" w:type="dxa"/>
            <w:gridSpan w:val="2"/>
            <w:tcBorders>
              <w:top w:val="outset" w:sz="6" w:space="0" w:color="auto"/>
              <w:left w:val="outset" w:sz="6" w:space="0" w:color="auto"/>
              <w:bottom w:val="outset" w:sz="6" w:space="0" w:color="auto"/>
              <w:right w:val="outset" w:sz="6" w:space="0" w:color="auto"/>
            </w:tcBorders>
          </w:tcPr>
          <w:p w14:paraId="7B34965E" w14:textId="77777777" w:rsidR="00CA42C7" w:rsidRPr="0053292F" w:rsidRDefault="00CA42C7" w:rsidP="00CA68E1">
            <w:pPr>
              <w:spacing w:after="0" w:line="240" w:lineRule="auto"/>
              <w:jc w:val="both"/>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t>Attiecīgā ES tiesību akta panta numurs (uzskaitot katru tiesību akta vienību – pantu, daļu, punktu, apakšpunktu)</w:t>
            </w:r>
          </w:p>
        </w:tc>
        <w:tc>
          <w:tcPr>
            <w:tcW w:w="1831" w:type="dxa"/>
            <w:gridSpan w:val="2"/>
            <w:tcBorders>
              <w:top w:val="outset" w:sz="6" w:space="0" w:color="auto"/>
              <w:left w:val="outset" w:sz="6" w:space="0" w:color="auto"/>
              <w:bottom w:val="outset" w:sz="6" w:space="0" w:color="auto"/>
              <w:right w:val="outset" w:sz="6" w:space="0" w:color="auto"/>
            </w:tcBorders>
          </w:tcPr>
          <w:p w14:paraId="2B797B54" w14:textId="77777777" w:rsidR="00CA42C7" w:rsidRPr="0053292F" w:rsidRDefault="00CA42C7" w:rsidP="00CA68E1">
            <w:pPr>
              <w:spacing w:after="0" w:line="240" w:lineRule="auto"/>
              <w:jc w:val="both"/>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t xml:space="preserve">Projekta vienība, kas pārņem vai ievieš katru šīs tabulas A ailē minēto ES tiesību akta vienību, vai tiesību akts, kur attiecīgā ES </w:t>
            </w:r>
            <w:r w:rsidRPr="0053292F">
              <w:rPr>
                <w:rFonts w:eastAsia="Times New Roman"/>
                <w:iCs/>
                <w:color w:val="000000" w:themeColor="text1"/>
                <w:spacing w:val="-4"/>
                <w:sz w:val="24"/>
                <w:szCs w:val="24"/>
                <w:lang w:eastAsia="lv-LV"/>
              </w:rPr>
              <w:lastRenderedPageBreak/>
              <w:t>tiesību akta vienība pārņemta vai ieviesta</w:t>
            </w:r>
          </w:p>
        </w:tc>
        <w:tc>
          <w:tcPr>
            <w:tcW w:w="2218" w:type="dxa"/>
            <w:tcBorders>
              <w:top w:val="outset" w:sz="6" w:space="0" w:color="auto"/>
              <w:left w:val="outset" w:sz="6" w:space="0" w:color="auto"/>
              <w:bottom w:val="outset" w:sz="6" w:space="0" w:color="auto"/>
              <w:right w:val="outset" w:sz="6" w:space="0" w:color="auto"/>
            </w:tcBorders>
          </w:tcPr>
          <w:p w14:paraId="12E63C10" w14:textId="77777777" w:rsidR="006C61AE" w:rsidRDefault="00CA42C7" w:rsidP="00CA68E1">
            <w:pPr>
              <w:spacing w:after="0" w:line="240" w:lineRule="auto"/>
              <w:jc w:val="both"/>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lastRenderedPageBreak/>
              <w:t>Informācija par to, vai šīs tabulas A ailē minētās ES tiesību akta vienības tiek pārņemtas vai ieviestas pilnībā vai daļēji.</w:t>
            </w:r>
            <w:r w:rsidRPr="0053292F">
              <w:rPr>
                <w:rFonts w:eastAsia="Times New Roman"/>
                <w:iCs/>
                <w:color w:val="000000" w:themeColor="text1"/>
                <w:spacing w:val="-4"/>
                <w:sz w:val="24"/>
                <w:szCs w:val="24"/>
                <w:lang w:eastAsia="lv-LV"/>
              </w:rPr>
              <w:br/>
              <w:t xml:space="preserve">Ja attiecīgā ES tiesību akta vienība tiek </w:t>
            </w:r>
            <w:r w:rsidRPr="0053292F">
              <w:rPr>
                <w:rFonts w:eastAsia="Times New Roman"/>
                <w:iCs/>
                <w:color w:val="000000" w:themeColor="text1"/>
                <w:spacing w:val="-4"/>
                <w:sz w:val="24"/>
                <w:szCs w:val="24"/>
                <w:lang w:eastAsia="lv-LV"/>
              </w:rPr>
              <w:lastRenderedPageBreak/>
              <w:t>pārņemta vai ieviesta daļēji, sniedz attiecīgu skaidrojumu, kā arī precīzi norāda, kad un kādā veidā ES tiesību akta vienība tiks pārņemta vai ieviesta pilnībā.</w:t>
            </w:r>
          </w:p>
          <w:p w14:paraId="6E7CFDA2" w14:textId="13722E1A" w:rsidR="00CA42C7" w:rsidRPr="0053292F" w:rsidRDefault="00CA42C7" w:rsidP="00CA68E1">
            <w:pPr>
              <w:spacing w:after="0" w:line="240" w:lineRule="auto"/>
              <w:jc w:val="both"/>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t>Norāda institūciju, kas ir atbildīga par šo saistību izpildi pilnībā</w:t>
            </w:r>
          </w:p>
        </w:tc>
        <w:tc>
          <w:tcPr>
            <w:tcW w:w="2650" w:type="dxa"/>
            <w:tcBorders>
              <w:top w:val="outset" w:sz="6" w:space="0" w:color="auto"/>
              <w:left w:val="outset" w:sz="6" w:space="0" w:color="auto"/>
              <w:bottom w:val="outset" w:sz="6" w:space="0" w:color="auto"/>
              <w:right w:val="outset" w:sz="6" w:space="0" w:color="auto"/>
            </w:tcBorders>
          </w:tcPr>
          <w:p w14:paraId="06A76DC1" w14:textId="77777777" w:rsidR="006C61AE" w:rsidRDefault="00CA42C7" w:rsidP="00CA68E1">
            <w:pPr>
              <w:spacing w:after="0" w:line="240" w:lineRule="auto"/>
              <w:jc w:val="both"/>
              <w:rPr>
                <w:rFonts w:eastAsia="Times New Roman"/>
                <w:iCs/>
                <w:color w:val="000000" w:themeColor="text1"/>
                <w:spacing w:val="-6"/>
                <w:sz w:val="24"/>
                <w:szCs w:val="24"/>
                <w:lang w:eastAsia="lv-LV"/>
              </w:rPr>
            </w:pPr>
            <w:r w:rsidRPr="0053292F">
              <w:rPr>
                <w:rFonts w:eastAsia="Times New Roman"/>
                <w:iCs/>
                <w:color w:val="000000" w:themeColor="text1"/>
                <w:spacing w:val="-6"/>
                <w:sz w:val="24"/>
                <w:szCs w:val="24"/>
                <w:lang w:eastAsia="lv-LV"/>
              </w:rPr>
              <w:lastRenderedPageBreak/>
              <w:t>Informācija par to, vai šīs tabulas B ailē minētās projekta vienības paredz stingrākas prasības nekā šīs tabulas A ailē minētās ES tiesību akta vienības.</w:t>
            </w:r>
            <w:r w:rsidRPr="0053292F">
              <w:rPr>
                <w:rFonts w:eastAsia="Times New Roman"/>
                <w:iCs/>
                <w:color w:val="000000" w:themeColor="text1"/>
                <w:spacing w:val="-6"/>
                <w:sz w:val="24"/>
                <w:szCs w:val="24"/>
                <w:lang w:eastAsia="lv-LV"/>
              </w:rPr>
              <w:br/>
              <w:t xml:space="preserve">Ja projekts satur stingrākas prasības nekā attiecīgais ES </w:t>
            </w:r>
            <w:r w:rsidRPr="0053292F">
              <w:rPr>
                <w:rFonts w:eastAsia="Times New Roman"/>
                <w:iCs/>
                <w:color w:val="000000" w:themeColor="text1"/>
                <w:spacing w:val="-6"/>
                <w:sz w:val="24"/>
                <w:szCs w:val="24"/>
                <w:lang w:eastAsia="lv-LV"/>
              </w:rPr>
              <w:lastRenderedPageBreak/>
              <w:t>tiesību akts, norāda pamatojumu un samērīgumu.</w:t>
            </w:r>
          </w:p>
          <w:p w14:paraId="4C1B31ED" w14:textId="19F97E62" w:rsidR="00CA42C7" w:rsidRPr="0053292F" w:rsidRDefault="00CA42C7" w:rsidP="00CA68E1">
            <w:pPr>
              <w:spacing w:after="0" w:line="240" w:lineRule="auto"/>
              <w:jc w:val="both"/>
              <w:rPr>
                <w:rFonts w:eastAsia="Times New Roman"/>
                <w:iCs/>
                <w:color w:val="000000" w:themeColor="text1"/>
                <w:spacing w:val="-6"/>
                <w:sz w:val="24"/>
                <w:szCs w:val="24"/>
                <w:lang w:eastAsia="lv-LV"/>
              </w:rPr>
            </w:pPr>
            <w:r w:rsidRPr="0053292F">
              <w:rPr>
                <w:rFonts w:eastAsia="Times New Roman"/>
                <w:iCs/>
                <w:color w:val="000000" w:themeColor="text1"/>
                <w:spacing w:val="-6"/>
                <w:sz w:val="24"/>
                <w:szCs w:val="24"/>
                <w:lang w:eastAsia="lv-LV"/>
              </w:rPr>
              <w:t>Norāda iespējamās alternatīvas (t.sk. alternatīvas, kas neparedz tiesiskā regulējuma izstrādi) – kādos gadījumos būtu iespējams izvairīties no stingrāku prasību noteikšanas, nekā paredzēts attiecīgajos ES tiesību aktos</w:t>
            </w:r>
          </w:p>
        </w:tc>
      </w:tr>
      <w:tr w:rsidR="00CA42C7" w:rsidRPr="0053292F" w14:paraId="36EF7BD8" w14:textId="77777777" w:rsidTr="00C13959">
        <w:trPr>
          <w:tblCellSpacing w:w="15" w:type="dxa"/>
        </w:trPr>
        <w:tc>
          <w:tcPr>
            <w:tcW w:w="2215" w:type="dxa"/>
            <w:gridSpan w:val="2"/>
            <w:tcBorders>
              <w:top w:val="outset" w:sz="6" w:space="0" w:color="auto"/>
              <w:left w:val="outset" w:sz="6" w:space="0" w:color="auto"/>
              <w:bottom w:val="outset" w:sz="6" w:space="0" w:color="auto"/>
              <w:right w:val="outset" w:sz="6" w:space="0" w:color="auto"/>
            </w:tcBorders>
            <w:hideMark/>
          </w:tcPr>
          <w:p w14:paraId="1645DD99" w14:textId="77777777" w:rsidR="00CA42C7" w:rsidRPr="0053292F" w:rsidRDefault="00CA42C7" w:rsidP="00CA68E1">
            <w:pPr>
              <w:spacing w:after="0" w:line="240" w:lineRule="auto"/>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lastRenderedPageBreak/>
              <w:t>Kā ir izmantota ES tiesību aktā paredzētā rīcības brīvība dalībvalstij pārņemt vai ieviest noteiktas ES tiesību akta normas? Kādēļ?</w:t>
            </w:r>
          </w:p>
        </w:tc>
        <w:tc>
          <w:tcPr>
            <w:tcW w:w="6759" w:type="dxa"/>
            <w:gridSpan w:val="4"/>
            <w:tcBorders>
              <w:top w:val="outset" w:sz="6" w:space="0" w:color="auto"/>
              <w:left w:val="outset" w:sz="6" w:space="0" w:color="auto"/>
              <w:bottom w:val="outset" w:sz="6" w:space="0" w:color="auto"/>
              <w:right w:val="outset" w:sz="6" w:space="0" w:color="auto"/>
            </w:tcBorders>
            <w:hideMark/>
          </w:tcPr>
          <w:p w14:paraId="1152F78C" w14:textId="77777777" w:rsidR="00CA42C7" w:rsidRPr="0053292F" w:rsidRDefault="00BE5B1F" w:rsidP="00CA68E1">
            <w:pPr>
              <w:spacing w:after="0" w:line="240" w:lineRule="auto"/>
              <w:ind w:firstLine="284"/>
              <w:jc w:val="both"/>
              <w:rPr>
                <w:rFonts w:eastAsia="Times New Roman"/>
                <w:iCs/>
                <w:color w:val="000000" w:themeColor="text1"/>
                <w:spacing w:val="-4"/>
                <w:sz w:val="24"/>
                <w:szCs w:val="24"/>
                <w:lang w:eastAsia="lv-LV"/>
              </w:rPr>
            </w:pPr>
            <w:r>
              <w:rPr>
                <w:rFonts w:eastAsia="Times New Roman"/>
                <w:iCs/>
                <w:color w:val="000000" w:themeColor="text1"/>
                <w:spacing w:val="-4"/>
                <w:sz w:val="24"/>
                <w:szCs w:val="24"/>
                <w:lang w:eastAsia="lv-LV"/>
              </w:rPr>
              <w:t>Nav attiecināms.</w:t>
            </w:r>
          </w:p>
        </w:tc>
      </w:tr>
      <w:tr w:rsidR="00CA42C7" w:rsidRPr="0053292F" w14:paraId="7BA8DC5C" w14:textId="77777777" w:rsidTr="00C13959">
        <w:trPr>
          <w:tblCellSpacing w:w="15" w:type="dxa"/>
        </w:trPr>
        <w:tc>
          <w:tcPr>
            <w:tcW w:w="2215" w:type="dxa"/>
            <w:gridSpan w:val="2"/>
            <w:tcBorders>
              <w:top w:val="outset" w:sz="6" w:space="0" w:color="auto"/>
              <w:left w:val="outset" w:sz="6" w:space="0" w:color="auto"/>
              <w:bottom w:val="outset" w:sz="6" w:space="0" w:color="auto"/>
              <w:right w:val="outset" w:sz="6" w:space="0" w:color="auto"/>
            </w:tcBorders>
            <w:hideMark/>
          </w:tcPr>
          <w:p w14:paraId="1C6ED9F9" w14:textId="77777777" w:rsidR="00CA42C7" w:rsidRPr="0053292F" w:rsidRDefault="00CA42C7" w:rsidP="00CA68E1">
            <w:pPr>
              <w:spacing w:after="0" w:line="240" w:lineRule="auto"/>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6759" w:type="dxa"/>
            <w:gridSpan w:val="4"/>
            <w:tcBorders>
              <w:top w:val="outset" w:sz="6" w:space="0" w:color="auto"/>
              <w:left w:val="outset" w:sz="6" w:space="0" w:color="auto"/>
              <w:bottom w:val="outset" w:sz="6" w:space="0" w:color="auto"/>
              <w:right w:val="outset" w:sz="6" w:space="0" w:color="auto"/>
            </w:tcBorders>
            <w:hideMark/>
          </w:tcPr>
          <w:p w14:paraId="63ACEA64" w14:textId="6994DFE5" w:rsidR="00CA42C7" w:rsidRPr="0053292F" w:rsidRDefault="00C01D93" w:rsidP="0099122F">
            <w:pPr>
              <w:spacing w:after="0" w:line="240" w:lineRule="auto"/>
              <w:jc w:val="both"/>
              <w:rPr>
                <w:rFonts w:eastAsia="Times New Roman"/>
                <w:iCs/>
                <w:color w:val="000000" w:themeColor="text1"/>
                <w:spacing w:val="-4"/>
                <w:sz w:val="24"/>
                <w:szCs w:val="24"/>
                <w:lang w:eastAsia="lv-LV"/>
              </w:rPr>
            </w:pPr>
            <w:r>
              <w:rPr>
                <w:rFonts w:eastAsia="Times New Roman"/>
                <w:iCs/>
                <w:color w:val="000000" w:themeColor="text1"/>
                <w:spacing w:val="-4"/>
                <w:sz w:val="24"/>
                <w:szCs w:val="24"/>
                <w:lang w:eastAsia="lv-LV"/>
              </w:rPr>
              <w:t>Nav attiecināms.</w:t>
            </w:r>
          </w:p>
        </w:tc>
      </w:tr>
      <w:tr w:rsidR="00CA42C7" w:rsidRPr="00AD6A0C" w14:paraId="1183578A" w14:textId="77777777" w:rsidTr="00C13959">
        <w:trPr>
          <w:tblCellSpacing w:w="15" w:type="dxa"/>
        </w:trPr>
        <w:tc>
          <w:tcPr>
            <w:tcW w:w="2215" w:type="dxa"/>
            <w:gridSpan w:val="2"/>
            <w:tcBorders>
              <w:top w:val="outset" w:sz="6" w:space="0" w:color="auto"/>
              <w:left w:val="outset" w:sz="6" w:space="0" w:color="auto"/>
              <w:bottom w:val="outset" w:sz="6" w:space="0" w:color="auto"/>
              <w:right w:val="outset" w:sz="6" w:space="0" w:color="auto"/>
            </w:tcBorders>
            <w:hideMark/>
          </w:tcPr>
          <w:p w14:paraId="181AB40E"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Cita informācija</w:t>
            </w:r>
          </w:p>
        </w:tc>
        <w:tc>
          <w:tcPr>
            <w:tcW w:w="6759" w:type="dxa"/>
            <w:gridSpan w:val="4"/>
            <w:tcBorders>
              <w:top w:val="outset" w:sz="6" w:space="0" w:color="auto"/>
              <w:left w:val="outset" w:sz="6" w:space="0" w:color="auto"/>
              <w:bottom w:val="outset" w:sz="6" w:space="0" w:color="auto"/>
              <w:right w:val="outset" w:sz="6" w:space="0" w:color="auto"/>
            </w:tcBorders>
            <w:hideMark/>
          </w:tcPr>
          <w:p w14:paraId="537A2FA9" w14:textId="77777777" w:rsidR="00CA42C7" w:rsidRPr="00AD6A0C" w:rsidRDefault="00CA42C7" w:rsidP="00CA68E1">
            <w:pPr>
              <w:spacing w:after="0" w:line="240" w:lineRule="auto"/>
              <w:ind w:firstLine="284"/>
              <w:jc w:val="both"/>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Nav</w:t>
            </w:r>
            <w:r w:rsidR="009D543D">
              <w:rPr>
                <w:rFonts w:eastAsia="Times New Roman"/>
                <w:iCs/>
                <w:color w:val="000000" w:themeColor="text1"/>
                <w:spacing w:val="-2"/>
                <w:sz w:val="24"/>
                <w:szCs w:val="24"/>
                <w:lang w:eastAsia="lv-LV"/>
              </w:rPr>
              <w:t>.</w:t>
            </w:r>
          </w:p>
        </w:tc>
      </w:tr>
      <w:tr w:rsidR="00CA42C7" w:rsidRPr="00AD6A0C" w14:paraId="0C9CEBFC" w14:textId="77777777" w:rsidTr="00C13959">
        <w:trPr>
          <w:tblCellSpacing w:w="15" w:type="dxa"/>
        </w:trPr>
        <w:tc>
          <w:tcPr>
            <w:tcW w:w="9004" w:type="dxa"/>
            <w:gridSpan w:val="6"/>
            <w:tcBorders>
              <w:top w:val="outset" w:sz="6" w:space="0" w:color="auto"/>
              <w:left w:val="outset" w:sz="6" w:space="0" w:color="auto"/>
              <w:bottom w:val="outset" w:sz="6" w:space="0" w:color="auto"/>
              <w:right w:val="outset" w:sz="6" w:space="0" w:color="auto"/>
            </w:tcBorders>
            <w:vAlign w:val="center"/>
            <w:hideMark/>
          </w:tcPr>
          <w:p w14:paraId="76C2073F" w14:textId="77777777" w:rsidR="00CA42C7" w:rsidRPr="00AD6A0C" w:rsidRDefault="00CA42C7" w:rsidP="00CA68E1">
            <w:pPr>
              <w:spacing w:after="0" w:line="240" w:lineRule="auto"/>
              <w:rPr>
                <w:rFonts w:eastAsia="Times New Roman"/>
                <w:b/>
                <w:bCs/>
                <w:iCs/>
                <w:color w:val="000000" w:themeColor="text1"/>
                <w:spacing w:val="-2"/>
                <w:sz w:val="24"/>
                <w:szCs w:val="24"/>
                <w:lang w:eastAsia="lv-LV"/>
              </w:rPr>
            </w:pPr>
            <w:r w:rsidRPr="00AD6A0C">
              <w:rPr>
                <w:rFonts w:eastAsia="Times New Roman"/>
                <w:b/>
                <w:bCs/>
                <w:iCs/>
                <w:color w:val="000000" w:themeColor="text1"/>
                <w:spacing w:val="-2"/>
                <w:sz w:val="24"/>
                <w:szCs w:val="24"/>
                <w:lang w:eastAsia="lv-LV"/>
              </w:rPr>
              <w:t>2. tabula</w:t>
            </w:r>
            <w:r w:rsidRPr="00AD6A0C">
              <w:rPr>
                <w:rFonts w:eastAsia="Times New Roman"/>
                <w:b/>
                <w:bCs/>
                <w:iCs/>
                <w:color w:val="000000" w:themeColor="text1"/>
                <w:spacing w:val="-2"/>
                <w:sz w:val="24"/>
                <w:szCs w:val="24"/>
                <w:lang w:eastAsia="lv-LV"/>
              </w:rPr>
              <w:br/>
              <w:t>Ar tiesību akta projektu izpildītās vai uzņemtās saistības, kas izriet no starptautiskajiem tiesību aktiem vai starptautiskas institūcijas vai organizācijas dokumentiem.</w:t>
            </w:r>
            <w:r w:rsidRPr="00AD6A0C">
              <w:rPr>
                <w:rFonts w:eastAsia="Times New Roman"/>
                <w:b/>
                <w:bCs/>
                <w:iCs/>
                <w:color w:val="000000" w:themeColor="text1"/>
                <w:spacing w:val="-2"/>
                <w:sz w:val="24"/>
                <w:szCs w:val="24"/>
                <w:lang w:eastAsia="lv-LV"/>
              </w:rPr>
              <w:br/>
              <w:t>Pasākumi šo saistību izpildei</w:t>
            </w:r>
          </w:p>
        </w:tc>
      </w:tr>
      <w:tr w:rsidR="00CA42C7" w:rsidRPr="00AD6A0C" w14:paraId="0E398771" w14:textId="77777777" w:rsidTr="00C13959">
        <w:trPr>
          <w:tblCellSpacing w:w="15" w:type="dxa"/>
        </w:trPr>
        <w:tc>
          <w:tcPr>
            <w:tcW w:w="9004" w:type="dxa"/>
            <w:gridSpan w:val="6"/>
            <w:tcBorders>
              <w:top w:val="outset" w:sz="6" w:space="0" w:color="auto"/>
              <w:left w:val="outset" w:sz="6" w:space="0" w:color="auto"/>
              <w:bottom w:val="outset" w:sz="6" w:space="0" w:color="auto"/>
              <w:right w:val="outset" w:sz="6" w:space="0" w:color="auto"/>
            </w:tcBorders>
            <w:vAlign w:val="center"/>
          </w:tcPr>
          <w:p w14:paraId="7B15CBD4" w14:textId="77777777" w:rsidR="00CA42C7" w:rsidRPr="00AD6A0C" w:rsidRDefault="00CA42C7" w:rsidP="00CA68E1">
            <w:pPr>
              <w:spacing w:after="0" w:line="240" w:lineRule="auto"/>
              <w:jc w:val="center"/>
              <w:rPr>
                <w:rFonts w:eastAsia="Times New Roman"/>
                <w:bCs/>
                <w:iCs/>
                <w:color w:val="000000" w:themeColor="text1"/>
                <w:spacing w:val="-2"/>
                <w:sz w:val="24"/>
                <w:szCs w:val="24"/>
                <w:lang w:eastAsia="lv-LV"/>
              </w:rPr>
            </w:pPr>
            <w:r w:rsidRPr="00AD6A0C">
              <w:rPr>
                <w:rFonts w:eastAsia="Times New Roman"/>
                <w:bCs/>
                <w:iCs/>
                <w:color w:val="000000" w:themeColor="text1"/>
                <w:spacing w:val="-2"/>
                <w:sz w:val="24"/>
                <w:szCs w:val="24"/>
                <w:lang w:eastAsia="lv-LV"/>
              </w:rPr>
              <w:t>Projekts šo jomu neskar.</w:t>
            </w:r>
          </w:p>
        </w:tc>
      </w:tr>
    </w:tbl>
    <w:p w14:paraId="500DC49B" w14:textId="77777777" w:rsidR="000D2356" w:rsidRDefault="000D2356" w:rsidP="0098568F">
      <w:pPr>
        <w:widowControl/>
        <w:spacing w:after="0" w:line="240" w:lineRule="auto"/>
        <w:rPr>
          <w:rFonts w:eastAsia="Times New Roman"/>
          <w:sz w:val="24"/>
          <w:szCs w:val="24"/>
          <w:lang w:eastAsia="lv-LV"/>
        </w:rPr>
      </w:pPr>
    </w:p>
    <w:tbl>
      <w:tblPr>
        <w:tblStyle w:val="TableGrid"/>
        <w:tblW w:w="0" w:type="auto"/>
        <w:tblLayout w:type="fixed"/>
        <w:tblLook w:val="04A0" w:firstRow="1" w:lastRow="0" w:firstColumn="1" w:lastColumn="0" w:noHBand="0" w:noVBand="1"/>
      </w:tblPr>
      <w:tblGrid>
        <w:gridCol w:w="407"/>
        <w:gridCol w:w="1573"/>
        <w:gridCol w:w="7081"/>
      </w:tblGrid>
      <w:tr w:rsidR="0098568F" w14:paraId="111EDD33" w14:textId="77777777" w:rsidTr="009B651B">
        <w:tc>
          <w:tcPr>
            <w:tcW w:w="9061" w:type="dxa"/>
            <w:gridSpan w:val="3"/>
          </w:tcPr>
          <w:p w14:paraId="3B3C3DE2" w14:textId="77777777" w:rsidR="0098568F" w:rsidRDefault="0098568F" w:rsidP="0098568F">
            <w:pPr>
              <w:widowControl/>
              <w:spacing w:after="0" w:line="240" w:lineRule="auto"/>
              <w:jc w:val="center"/>
              <w:rPr>
                <w:rFonts w:eastAsia="Times New Roman"/>
                <w:sz w:val="24"/>
                <w:szCs w:val="24"/>
                <w:lang w:eastAsia="lv-LV"/>
              </w:rPr>
            </w:pPr>
            <w:r w:rsidRPr="00AD6A0C">
              <w:rPr>
                <w:rFonts w:eastAsia="Times New Roman"/>
                <w:b/>
                <w:bCs/>
                <w:iCs/>
                <w:color w:val="000000" w:themeColor="text1"/>
                <w:spacing w:val="-2"/>
                <w:sz w:val="24"/>
                <w:szCs w:val="24"/>
                <w:lang w:eastAsia="lv-LV"/>
              </w:rPr>
              <w:t>V</w:t>
            </w:r>
            <w:r>
              <w:rPr>
                <w:rFonts w:eastAsia="Times New Roman"/>
                <w:b/>
                <w:bCs/>
                <w:iCs/>
                <w:color w:val="000000" w:themeColor="text1"/>
                <w:spacing w:val="-2"/>
                <w:sz w:val="24"/>
                <w:szCs w:val="24"/>
                <w:lang w:eastAsia="lv-LV"/>
              </w:rPr>
              <w:t>I</w:t>
            </w:r>
            <w:r w:rsidRPr="00AD6A0C">
              <w:rPr>
                <w:rFonts w:eastAsia="Times New Roman"/>
                <w:b/>
                <w:bCs/>
                <w:iCs/>
                <w:color w:val="000000" w:themeColor="text1"/>
                <w:spacing w:val="-2"/>
                <w:sz w:val="24"/>
                <w:szCs w:val="24"/>
                <w:lang w:eastAsia="lv-LV"/>
              </w:rPr>
              <w:t xml:space="preserve">. </w:t>
            </w:r>
            <w:r w:rsidRPr="005F5D0D">
              <w:rPr>
                <w:rFonts w:eastAsia="Times New Roman"/>
                <w:b/>
                <w:bCs/>
                <w:iCs/>
                <w:sz w:val="24"/>
                <w:szCs w:val="24"/>
                <w:lang w:eastAsia="lv-LV"/>
              </w:rPr>
              <w:t>Sabiedrības līdzdalība un komunikācijas aktivitātes</w:t>
            </w:r>
          </w:p>
        </w:tc>
      </w:tr>
      <w:tr w:rsidR="0098568F" w14:paraId="4DC2480F" w14:textId="77777777" w:rsidTr="0098568F">
        <w:tc>
          <w:tcPr>
            <w:tcW w:w="407" w:type="dxa"/>
          </w:tcPr>
          <w:p w14:paraId="681895B0"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t>1.</w:t>
            </w:r>
          </w:p>
        </w:tc>
        <w:tc>
          <w:tcPr>
            <w:tcW w:w="1573" w:type="dxa"/>
          </w:tcPr>
          <w:p w14:paraId="12336891" w14:textId="77777777" w:rsidR="0098568F" w:rsidRDefault="0098568F" w:rsidP="0098568F">
            <w:pPr>
              <w:widowControl/>
              <w:spacing w:after="0" w:line="240" w:lineRule="auto"/>
              <w:rPr>
                <w:rFonts w:eastAsia="Times New Roman"/>
                <w:sz w:val="24"/>
                <w:szCs w:val="24"/>
                <w:lang w:eastAsia="lv-LV"/>
              </w:rPr>
            </w:pPr>
            <w:r w:rsidRPr="005F5D0D">
              <w:rPr>
                <w:rFonts w:eastAsia="Times New Roman"/>
                <w:iCs/>
                <w:sz w:val="24"/>
                <w:szCs w:val="24"/>
                <w:lang w:eastAsia="lv-LV"/>
              </w:rPr>
              <w:t>Plānotās sabiedrības līdzdalības un komunikācijas aktivitātes saistībā ar projektu</w:t>
            </w:r>
          </w:p>
        </w:tc>
        <w:tc>
          <w:tcPr>
            <w:tcW w:w="7081" w:type="dxa"/>
          </w:tcPr>
          <w:p w14:paraId="59181E29" w14:textId="3B2D5445" w:rsidR="00360D1F" w:rsidRDefault="00360D1F" w:rsidP="00360D1F">
            <w:pPr>
              <w:widowControl/>
              <w:spacing w:after="120" w:line="240" w:lineRule="auto"/>
              <w:ind w:right="33"/>
              <w:jc w:val="both"/>
              <w:rPr>
                <w:rFonts w:eastAsia="Times New Roman"/>
                <w:iCs/>
                <w:sz w:val="24"/>
                <w:szCs w:val="24"/>
                <w:lang w:eastAsia="lv-LV"/>
              </w:rPr>
            </w:pPr>
            <w:r w:rsidRPr="005B6C53">
              <w:rPr>
                <w:rFonts w:eastAsia="Times New Roman"/>
                <w:iCs/>
                <w:sz w:val="24"/>
                <w:szCs w:val="24"/>
                <w:lang w:eastAsia="lv-LV"/>
              </w:rPr>
              <w:t xml:space="preserve">Uzziņa par </w:t>
            </w:r>
            <w:r w:rsidR="00EF1D9C">
              <w:rPr>
                <w:rFonts w:eastAsia="Times New Roman"/>
                <w:iCs/>
                <w:sz w:val="24"/>
                <w:szCs w:val="24"/>
                <w:lang w:eastAsia="lv-LV"/>
              </w:rPr>
              <w:t>likum</w:t>
            </w:r>
            <w:r w:rsidRPr="005B6C53">
              <w:rPr>
                <w:rFonts w:eastAsia="Times New Roman"/>
                <w:iCs/>
                <w:sz w:val="24"/>
                <w:szCs w:val="24"/>
                <w:lang w:eastAsia="lv-LV"/>
              </w:rPr>
              <w:t>projektu publicēta Finanšu ministrijas tīmekļa vietnē</w:t>
            </w:r>
            <w:r>
              <w:rPr>
                <w:rFonts w:eastAsia="Times New Roman"/>
                <w:iCs/>
                <w:sz w:val="24"/>
                <w:szCs w:val="24"/>
                <w:lang w:eastAsia="lv-LV"/>
              </w:rPr>
              <w:t xml:space="preserve"> sadaļā  “Sabiedrības līdzdalība” - </w:t>
            </w:r>
            <w:r w:rsidRPr="006467E4">
              <w:rPr>
                <w:rFonts w:eastAsia="Times New Roman"/>
                <w:iCs/>
                <w:sz w:val="24"/>
                <w:szCs w:val="24"/>
                <w:lang w:eastAsia="lv-LV"/>
              </w:rPr>
              <w:t xml:space="preserve">“Tiesību aktu projekti” </w:t>
            </w:r>
            <w:r>
              <w:rPr>
                <w:rFonts w:eastAsia="Times New Roman"/>
                <w:iCs/>
                <w:sz w:val="24"/>
                <w:szCs w:val="24"/>
                <w:lang w:eastAsia="lv-LV"/>
              </w:rPr>
              <w:t xml:space="preserve">-  “Grāmatvedības politika.” Līdz ar to sabiedrības pārstāvji var līdzdarboties projekta izstrādē, </w:t>
            </w:r>
            <w:proofErr w:type="spellStart"/>
            <w:r>
              <w:rPr>
                <w:rFonts w:eastAsia="Times New Roman"/>
                <w:iCs/>
                <w:sz w:val="24"/>
                <w:szCs w:val="24"/>
                <w:lang w:eastAsia="lv-LV"/>
              </w:rPr>
              <w:t>rakstveidā</w:t>
            </w:r>
            <w:proofErr w:type="spellEnd"/>
            <w:r>
              <w:rPr>
                <w:rFonts w:eastAsia="Times New Roman"/>
                <w:iCs/>
                <w:sz w:val="24"/>
                <w:szCs w:val="24"/>
                <w:lang w:eastAsia="lv-LV"/>
              </w:rPr>
              <w:t xml:space="preserve"> sniedzot viedokļus par projektu. Tāpat sabiedrības pārstāvji varēs sniegt viedokļus par projektu pēc tā izsludināšanas Valsts sekretāru sanāksmē. </w:t>
            </w:r>
          </w:p>
          <w:p w14:paraId="54F81ECC" w14:textId="3E7E8132" w:rsidR="0098568F" w:rsidRDefault="00CA775A" w:rsidP="00360D1F">
            <w:pPr>
              <w:widowControl/>
              <w:spacing w:after="120" w:line="240" w:lineRule="auto"/>
              <w:ind w:right="33"/>
              <w:jc w:val="both"/>
              <w:rPr>
                <w:rFonts w:eastAsia="Times New Roman"/>
                <w:sz w:val="24"/>
                <w:szCs w:val="24"/>
                <w:lang w:eastAsia="lv-LV"/>
              </w:rPr>
            </w:pPr>
            <w:r>
              <w:rPr>
                <w:rFonts w:eastAsia="Times New Roman"/>
                <w:iCs/>
                <w:sz w:val="24"/>
                <w:szCs w:val="24"/>
                <w:lang w:eastAsia="lv-LV"/>
              </w:rPr>
              <w:t>Plānots, ka pēc likum</w:t>
            </w:r>
            <w:r w:rsidR="00360D1F">
              <w:rPr>
                <w:rFonts w:eastAsia="Times New Roman"/>
                <w:iCs/>
                <w:sz w:val="24"/>
                <w:szCs w:val="24"/>
                <w:lang w:eastAsia="lv-LV"/>
              </w:rPr>
              <w:t>projekta pieņemšanas Finanšu ministrijas pārstāvji sniegs skaidrojumus par to sanāksmēs, konferencēs, kā arī preses izdevumos.</w:t>
            </w:r>
          </w:p>
        </w:tc>
      </w:tr>
      <w:tr w:rsidR="0098568F" w14:paraId="1FDFC752" w14:textId="77777777" w:rsidTr="0098568F">
        <w:tc>
          <w:tcPr>
            <w:tcW w:w="407" w:type="dxa"/>
          </w:tcPr>
          <w:p w14:paraId="31533A05"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lastRenderedPageBreak/>
              <w:t>2.</w:t>
            </w:r>
          </w:p>
        </w:tc>
        <w:tc>
          <w:tcPr>
            <w:tcW w:w="1573" w:type="dxa"/>
          </w:tcPr>
          <w:p w14:paraId="60E5B219" w14:textId="77777777" w:rsidR="0098568F" w:rsidRDefault="0098568F" w:rsidP="0098568F">
            <w:pPr>
              <w:widowControl/>
              <w:spacing w:after="0" w:line="240" w:lineRule="auto"/>
              <w:rPr>
                <w:rFonts w:eastAsia="Times New Roman"/>
                <w:sz w:val="24"/>
                <w:szCs w:val="24"/>
                <w:lang w:eastAsia="lv-LV"/>
              </w:rPr>
            </w:pPr>
            <w:r w:rsidRPr="005F5D0D">
              <w:rPr>
                <w:rFonts w:eastAsia="Times New Roman"/>
                <w:iCs/>
                <w:sz w:val="24"/>
                <w:szCs w:val="24"/>
                <w:lang w:eastAsia="lv-LV"/>
              </w:rPr>
              <w:t>Sabiedrības līdzdalība projekta izstrādē</w:t>
            </w:r>
          </w:p>
        </w:tc>
        <w:tc>
          <w:tcPr>
            <w:tcW w:w="7081" w:type="dxa"/>
          </w:tcPr>
          <w:p w14:paraId="66EE5294" w14:textId="507509AB" w:rsidR="0098568F" w:rsidRPr="00460C60" w:rsidRDefault="002918F3" w:rsidP="0098568F">
            <w:pPr>
              <w:widowControl/>
              <w:spacing w:after="120" w:line="240" w:lineRule="auto"/>
              <w:ind w:right="33"/>
              <w:jc w:val="both"/>
              <w:rPr>
                <w:rStyle w:val="Hyperlink"/>
                <w:color w:val="000000" w:themeColor="text1"/>
                <w:sz w:val="24"/>
                <w:szCs w:val="24"/>
                <w:u w:val="none"/>
              </w:rPr>
            </w:pPr>
            <w:r>
              <w:rPr>
                <w:rFonts w:eastAsia="Times New Roman"/>
                <w:iCs/>
                <w:sz w:val="24"/>
                <w:szCs w:val="24"/>
                <w:lang w:eastAsia="lv-LV"/>
              </w:rPr>
              <w:t>Informācija</w:t>
            </w:r>
            <w:r w:rsidRPr="005B6C53">
              <w:rPr>
                <w:rFonts w:eastAsia="Times New Roman"/>
                <w:iCs/>
                <w:sz w:val="24"/>
                <w:szCs w:val="24"/>
                <w:lang w:eastAsia="lv-LV"/>
              </w:rPr>
              <w:t xml:space="preserve"> </w:t>
            </w:r>
            <w:r w:rsidR="0098568F" w:rsidRPr="005B6C53">
              <w:rPr>
                <w:rFonts w:eastAsia="Times New Roman"/>
                <w:iCs/>
                <w:sz w:val="24"/>
                <w:szCs w:val="24"/>
                <w:lang w:eastAsia="lv-LV"/>
              </w:rPr>
              <w:t xml:space="preserve">par likumprojektu </w:t>
            </w:r>
            <w:r>
              <w:rPr>
                <w:rFonts w:eastAsia="Times New Roman"/>
                <w:iCs/>
                <w:sz w:val="24"/>
                <w:szCs w:val="24"/>
                <w:lang w:eastAsia="lv-LV"/>
              </w:rPr>
              <w:t xml:space="preserve">2021.gada 19.jūlijā </w:t>
            </w:r>
            <w:r w:rsidR="0098568F" w:rsidRPr="005B6C53">
              <w:rPr>
                <w:rFonts w:eastAsia="Times New Roman"/>
                <w:iCs/>
                <w:sz w:val="24"/>
                <w:szCs w:val="24"/>
                <w:lang w:eastAsia="lv-LV"/>
              </w:rPr>
              <w:t>publicēta Finanšu ministrijas tīmekļa vietnē</w:t>
            </w:r>
            <w:r w:rsidR="00505B4B">
              <w:rPr>
                <w:rFonts w:eastAsia="Times New Roman"/>
                <w:iCs/>
                <w:sz w:val="24"/>
                <w:szCs w:val="24"/>
                <w:lang w:eastAsia="lv-LV"/>
              </w:rPr>
              <w:t xml:space="preserve"> sadaļā</w:t>
            </w:r>
            <w:r w:rsidR="0098568F">
              <w:rPr>
                <w:rFonts w:eastAsia="Times New Roman"/>
                <w:iCs/>
                <w:sz w:val="24"/>
                <w:szCs w:val="24"/>
                <w:lang w:eastAsia="lv-LV"/>
              </w:rPr>
              <w:t xml:space="preserve"> </w:t>
            </w:r>
            <w:r w:rsidR="00505B4B" w:rsidRPr="00505B4B">
              <w:rPr>
                <w:rStyle w:val="Hyperlink"/>
                <w:color w:val="000000" w:themeColor="text1"/>
                <w:sz w:val="24"/>
                <w:szCs w:val="24"/>
                <w:u w:val="none"/>
              </w:rPr>
              <w:t xml:space="preserve">“Sabiedrības līdzdalība” - “Tiesību aktu projekti” - “Grāmatvedības politika” </w:t>
            </w:r>
            <w:r>
              <w:rPr>
                <w:rStyle w:val="Hyperlink"/>
                <w:color w:val="000000" w:themeColor="text1"/>
                <w:sz w:val="24"/>
                <w:szCs w:val="24"/>
                <w:u w:val="none"/>
              </w:rPr>
              <w:t>(</w:t>
            </w:r>
            <w:hyperlink r:id="rId13" w:history="1">
              <w:r w:rsidRPr="009342AB">
                <w:rPr>
                  <w:rStyle w:val="Hyperlink"/>
                  <w:sz w:val="24"/>
                  <w:szCs w:val="24"/>
                </w:rPr>
                <w:t>https://www.fm.gov.lv/lv/likumprojekts-grozijumi-gada-parskatu-un-konsolideto-gada-parskatu-likuma</w:t>
              </w:r>
            </w:hyperlink>
            <w:r>
              <w:rPr>
                <w:rStyle w:val="Hyperlink"/>
                <w:color w:val="000000" w:themeColor="text1"/>
                <w:sz w:val="24"/>
                <w:szCs w:val="24"/>
                <w:u w:val="none"/>
              </w:rPr>
              <w:t xml:space="preserve">) </w:t>
            </w:r>
            <w:r w:rsidR="00505B4B" w:rsidRPr="00505B4B">
              <w:rPr>
                <w:rStyle w:val="Hyperlink"/>
                <w:color w:val="000000" w:themeColor="text1"/>
                <w:sz w:val="24"/>
                <w:szCs w:val="24"/>
                <w:u w:val="none"/>
              </w:rPr>
              <w:t>un Valsts kancelejas tīmekļa sadaļā “Sabiedrības līdzdalība” (</w:t>
            </w:r>
            <w:hyperlink r:id="rId14" w:history="1">
              <w:r w:rsidR="00460C60" w:rsidRPr="00472295">
                <w:rPr>
                  <w:rStyle w:val="Hyperlink"/>
                  <w:sz w:val="24"/>
                  <w:szCs w:val="24"/>
                </w:rPr>
                <w:t>https://mk.gov.lv/content/ministru-kabineta-diskusiju-dokumenti</w:t>
              </w:r>
            </w:hyperlink>
            <w:r w:rsidR="00460C60">
              <w:rPr>
                <w:rStyle w:val="Hyperlink"/>
                <w:color w:val="000000" w:themeColor="text1"/>
                <w:sz w:val="24"/>
                <w:szCs w:val="24"/>
                <w:u w:val="none"/>
              </w:rPr>
              <w:t>).</w:t>
            </w:r>
          </w:p>
          <w:p w14:paraId="7004E9D8" w14:textId="77777777" w:rsidR="0098568F" w:rsidRPr="002E3F1E" w:rsidRDefault="00043E29" w:rsidP="00E64E18">
            <w:pPr>
              <w:widowControl/>
              <w:spacing w:after="120" w:line="240" w:lineRule="auto"/>
              <w:ind w:right="34"/>
              <w:jc w:val="both"/>
              <w:rPr>
                <w:rFonts w:eastAsia="Times New Roman"/>
                <w:bCs/>
                <w:iCs/>
                <w:sz w:val="24"/>
                <w:szCs w:val="24"/>
                <w:lang w:eastAsia="lv-LV"/>
              </w:rPr>
            </w:pPr>
            <w:r w:rsidRPr="002E3F1E">
              <w:rPr>
                <w:rFonts w:eastAsia="Times New Roman"/>
                <w:bCs/>
                <w:iCs/>
                <w:sz w:val="24"/>
                <w:szCs w:val="24"/>
                <w:lang w:eastAsia="lv-LV"/>
              </w:rPr>
              <w:t>Likumprojekts tika nosūtīts viedokļa sniegšanai Latvijas Zvērinātu revidentu asociācijai un Latvijas Republikas Grāmatvežu asociācijai.</w:t>
            </w:r>
          </w:p>
          <w:p w14:paraId="5FE2EE60" w14:textId="3D527942" w:rsidR="002E3F1E" w:rsidRPr="00D9500B" w:rsidRDefault="002E3F1E" w:rsidP="00E64E18">
            <w:pPr>
              <w:widowControl/>
              <w:spacing w:after="120" w:line="240" w:lineRule="auto"/>
              <w:ind w:right="34"/>
              <w:jc w:val="both"/>
              <w:rPr>
                <w:rFonts w:eastAsia="Times New Roman"/>
                <w:b/>
                <w:iCs/>
                <w:sz w:val="24"/>
                <w:szCs w:val="24"/>
                <w:lang w:eastAsia="lv-LV"/>
              </w:rPr>
            </w:pPr>
            <w:r w:rsidRPr="002E3F1E">
              <w:rPr>
                <w:rFonts w:eastAsia="Times New Roman"/>
                <w:bCs/>
                <w:iCs/>
                <w:sz w:val="24"/>
                <w:szCs w:val="24"/>
                <w:lang w:eastAsia="lv-LV"/>
              </w:rPr>
              <w:t>Sabiedrības līdzdalības periodā tika saņemts priekšlikums no Latvijas Republikas Ārpakalpojumu grāmatvežu asociācijas</w:t>
            </w:r>
            <w:r w:rsidR="007846A7">
              <w:rPr>
                <w:rFonts w:eastAsia="Times New Roman"/>
                <w:bCs/>
                <w:iCs/>
                <w:sz w:val="24"/>
                <w:szCs w:val="24"/>
                <w:lang w:eastAsia="lv-LV"/>
              </w:rPr>
              <w:t xml:space="preserve"> par papildu pienākumu noteikšanu </w:t>
            </w:r>
            <w:r w:rsidR="00E1156B">
              <w:rPr>
                <w:rFonts w:eastAsia="Times New Roman"/>
                <w:bCs/>
                <w:iCs/>
                <w:sz w:val="24"/>
                <w:szCs w:val="24"/>
                <w:lang w:eastAsia="lv-LV"/>
              </w:rPr>
              <w:t xml:space="preserve">likumā </w:t>
            </w:r>
            <w:r w:rsidR="007846A7">
              <w:rPr>
                <w:rFonts w:eastAsia="Times New Roman"/>
                <w:bCs/>
                <w:iCs/>
                <w:sz w:val="24"/>
                <w:szCs w:val="24"/>
                <w:lang w:eastAsia="lv-LV"/>
              </w:rPr>
              <w:t>personām, kuras sagatavo un paraksta gada pārskatu vai konsolidēto gada pārskatu, attiecībā uz šo pārskatu iesniegšanu Valsts ieņēmumu dienesta Elektroniskajā deklarēšanas sistēmā</w:t>
            </w:r>
            <w:r w:rsidRPr="002E3F1E">
              <w:rPr>
                <w:rFonts w:eastAsia="Times New Roman"/>
                <w:bCs/>
                <w:iCs/>
                <w:sz w:val="24"/>
                <w:szCs w:val="24"/>
                <w:lang w:eastAsia="lv-LV"/>
              </w:rPr>
              <w:t>.</w:t>
            </w:r>
          </w:p>
        </w:tc>
      </w:tr>
      <w:tr w:rsidR="0098568F" w14:paraId="20043194" w14:textId="77777777" w:rsidTr="0098568F">
        <w:tc>
          <w:tcPr>
            <w:tcW w:w="407" w:type="dxa"/>
          </w:tcPr>
          <w:p w14:paraId="66EE6496"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t>3.</w:t>
            </w:r>
          </w:p>
        </w:tc>
        <w:tc>
          <w:tcPr>
            <w:tcW w:w="1573" w:type="dxa"/>
          </w:tcPr>
          <w:p w14:paraId="6295B97D" w14:textId="77777777" w:rsidR="0098568F" w:rsidRDefault="0098568F" w:rsidP="0098568F">
            <w:pPr>
              <w:widowControl/>
              <w:spacing w:after="0" w:line="240" w:lineRule="auto"/>
              <w:rPr>
                <w:rFonts w:eastAsia="Times New Roman"/>
                <w:sz w:val="24"/>
                <w:szCs w:val="24"/>
                <w:lang w:eastAsia="lv-LV"/>
              </w:rPr>
            </w:pPr>
            <w:r w:rsidRPr="005F5D0D">
              <w:rPr>
                <w:rFonts w:eastAsia="Times New Roman"/>
                <w:iCs/>
                <w:sz w:val="24"/>
                <w:szCs w:val="24"/>
                <w:lang w:eastAsia="lv-LV"/>
              </w:rPr>
              <w:t>Sabiedrības līdzdalības rezultāti</w:t>
            </w:r>
          </w:p>
        </w:tc>
        <w:tc>
          <w:tcPr>
            <w:tcW w:w="7081" w:type="dxa"/>
          </w:tcPr>
          <w:p w14:paraId="0868581C" w14:textId="5DB46C44" w:rsidR="00D9500B" w:rsidRPr="002E3F1E" w:rsidRDefault="00BA0EE7" w:rsidP="00D9500B">
            <w:pPr>
              <w:widowControl/>
              <w:spacing w:after="120" w:line="240" w:lineRule="auto"/>
              <w:ind w:right="34"/>
              <w:jc w:val="both"/>
              <w:rPr>
                <w:rFonts w:eastAsia="Times New Roman"/>
                <w:bCs/>
                <w:iCs/>
                <w:sz w:val="24"/>
                <w:szCs w:val="24"/>
                <w:lang w:eastAsia="lv-LV"/>
              </w:rPr>
            </w:pPr>
            <w:r w:rsidRPr="002E3F1E">
              <w:rPr>
                <w:rFonts w:eastAsia="Times New Roman"/>
                <w:bCs/>
                <w:iCs/>
                <w:sz w:val="24"/>
                <w:szCs w:val="24"/>
                <w:lang w:eastAsia="lv-LV"/>
              </w:rPr>
              <w:t xml:space="preserve">Latvijas Zvērinātu revidentu asociācija </w:t>
            </w:r>
            <w:r w:rsidR="00DE6A99" w:rsidRPr="002E3F1E">
              <w:rPr>
                <w:rFonts w:eastAsia="Times New Roman"/>
                <w:bCs/>
                <w:iCs/>
                <w:sz w:val="24"/>
                <w:szCs w:val="24"/>
                <w:lang w:eastAsia="lv-LV"/>
              </w:rPr>
              <w:t xml:space="preserve">un Latvijas Republikas Grāmatvežu asociācija </w:t>
            </w:r>
            <w:r w:rsidRPr="002E3F1E">
              <w:rPr>
                <w:rFonts w:eastAsia="Times New Roman"/>
                <w:bCs/>
                <w:iCs/>
                <w:sz w:val="24"/>
                <w:szCs w:val="24"/>
                <w:lang w:eastAsia="lv-LV"/>
              </w:rPr>
              <w:t>izskatīja likumprojektu un  informē</w:t>
            </w:r>
            <w:r w:rsidR="00DE6A99" w:rsidRPr="002E3F1E">
              <w:rPr>
                <w:rFonts w:eastAsia="Times New Roman"/>
                <w:bCs/>
                <w:iCs/>
                <w:sz w:val="24"/>
                <w:szCs w:val="24"/>
                <w:lang w:eastAsia="lv-LV"/>
              </w:rPr>
              <w:t>ja</w:t>
            </w:r>
            <w:r w:rsidRPr="002E3F1E">
              <w:rPr>
                <w:rFonts w:eastAsia="Times New Roman"/>
                <w:bCs/>
                <w:iCs/>
                <w:sz w:val="24"/>
                <w:szCs w:val="24"/>
                <w:lang w:eastAsia="lv-LV"/>
              </w:rPr>
              <w:t xml:space="preserve">, ka par to iebildumu </w:t>
            </w:r>
            <w:r w:rsidR="00DE6A99" w:rsidRPr="002E3F1E">
              <w:rPr>
                <w:rFonts w:eastAsia="Times New Roman"/>
                <w:bCs/>
                <w:iCs/>
                <w:sz w:val="24"/>
                <w:szCs w:val="24"/>
                <w:lang w:eastAsia="lv-LV"/>
              </w:rPr>
              <w:t xml:space="preserve">vai papildinājumu </w:t>
            </w:r>
            <w:r w:rsidRPr="002E3F1E">
              <w:rPr>
                <w:rFonts w:eastAsia="Times New Roman"/>
                <w:bCs/>
                <w:iCs/>
                <w:sz w:val="24"/>
                <w:szCs w:val="24"/>
                <w:lang w:eastAsia="lv-LV"/>
              </w:rPr>
              <w:t>nav.</w:t>
            </w:r>
            <w:r w:rsidR="00D9500B" w:rsidRPr="002E3F1E">
              <w:rPr>
                <w:rFonts w:eastAsia="Times New Roman"/>
                <w:bCs/>
                <w:iCs/>
                <w:sz w:val="24"/>
                <w:szCs w:val="24"/>
                <w:lang w:eastAsia="lv-LV"/>
              </w:rPr>
              <w:t xml:space="preserve"> </w:t>
            </w:r>
          </w:p>
          <w:p w14:paraId="24F9D8F0" w14:textId="6B692E30" w:rsidR="0098568F" w:rsidRPr="00A85FE7" w:rsidRDefault="00D9500B" w:rsidP="00F40A9F">
            <w:pPr>
              <w:widowControl/>
              <w:spacing w:after="120" w:line="240" w:lineRule="auto"/>
              <w:jc w:val="both"/>
              <w:rPr>
                <w:rFonts w:eastAsia="Times New Roman"/>
                <w:b/>
                <w:sz w:val="24"/>
                <w:szCs w:val="24"/>
                <w:lang w:eastAsia="lv-LV"/>
              </w:rPr>
            </w:pPr>
            <w:r w:rsidRPr="002E3F1E">
              <w:rPr>
                <w:rFonts w:eastAsia="Times New Roman"/>
                <w:bCs/>
                <w:iCs/>
                <w:sz w:val="24"/>
                <w:szCs w:val="24"/>
                <w:lang w:eastAsia="lv-LV"/>
              </w:rPr>
              <w:t>Latvijas Republikas Ārpakalpojumu grāmatvežu asociācijas</w:t>
            </w:r>
            <w:r w:rsidR="002E3F1E" w:rsidRPr="002E3F1E">
              <w:rPr>
                <w:rFonts w:eastAsia="Times New Roman"/>
                <w:bCs/>
                <w:iCs/>
                <w:sz w:val="24"/>
                <w:szCs w:val="24"/>
                <w:lang w:eastAsia="lv-LV"/>
              </w:rPr>
              <w:t xml:space="preserve"> priekšlikums</w:t>
            </w:r>
            <w:r w:rsidRPr="002E3F1E">
              <w:rPr>
                <w:rFonts w:eastAsia="Times New Roman"/>
                <w:bCs/>
                <w:iCs/>
                <w:sz w:val="24"/>
                <w:szCs w:val="24"/>
                <w:lang w:eastAsia="lv-LV"/>
              </w:rPr>
              <w:t xml:space="preserve"> tika izvērtēts</w:t>
            </w:r>
            <w:r w:rsidR="00AA315F">
              <w:rPr>
                <w:rFonts w:eastAsia="Times New Roman"/>
                <w:b/>
                <w:iCs/>
                <w:sz w:val="24"/>
                <w:szCs w:val="24"/>
                <w:lang w:eastAsia="lv-LV"/>
              </w:rPr>
              <w:t xml:space="preserve"> </w:t>
            </w:r>
            <w:r w:rsidR="001D14BB" w:rsidRPr="001D14BB">
              <w:rPr>
                <w:rFonts w:eastAsia="Times New Roman"/>
                <w:bCs/>
                <w:iCs/>
                <w:sz w:val="24"/>
                <w:szCs w:val="24"/>
                <w:lang w:eastAsia="lv-LV"/>
              </w:rPr>
              <w:t>darba grupas, kas izveidota</w:t>
            </w:r>
            <w:r w:rsidR="001D14BB">
              <w:rPr>
                <w:rFonts w:eastAsia="Times New Roman"/>
                <w:b/>
                <w:iCs/>
                <w:sz w:val="24"/>
                <w:szCs w:val="24"/>
                <w:lang w:eastAsia="lv-LV"/>
              </w:rPr>
              <w:t xml:space="preserve"> </w:t>
            </w:r>
            <w:r w:rsidR="002E3F1E">
              <w:rPr>
                <w:rFonts w:eastAsia="Times New Roman"/>
                <w:iCs/>
                <w:sz w:val="24"/>
                <w:szCs w:val="24"/>
                <w:lang w:eastAsia="lv-LV"/>
              </w:rPr>
              <w:t xml:space="preserve">ar Finanšu ministrijas 2018.gada 3.maija rīkojumu Nr.150 jauna </w:t>
            </w:r>
            <w:r w:rsidR="00291E95">
              <w:rPr>
                <w:rFonts w:eastAsia="Times New Roman"/>
                <w:iCs/>
                <w:sz w:val="24"/>
                <w:szCs w:val="24"/>
                <w:lang w:eastAsia="lv-LV"/>
              </w:rPr>
              <w:t xml:space="preserve">grāmatvedības </w:t>
            </w:r>
            <w:r w:rsidR="002E3F1E">
              <w:rPr>
                <w:rFonts w:eastAsia="Times New Roman"/>
                <w:iCs/>
                <w:sz w:val="24"/>
                <w:szCs w:val="24"/>
                <w:lang w:eastAsia="lv-LV"/>
              </w:rPr>
              <w:t xml:space="preserve">likuma </w:t>
            </w:r>
            <w:r w:rsidR="00291E95">
              <w:rPr>
                <w:rFonts w:eastAsia="Times New Roman"/>
                <w:iCs/>
                <w:sz w:val="24"/>
                <w:szCs w:val="24"/>
                <w:lang w:eastAsia="lv-LV"/>
              </w:rPr>
              <w:t xml:space="preserve">projekta un </w:t>
            </w:r>
            <w:r w:rsidR="002E3F1E" w:rsidRPr="005C560F">
              <w:rPr>
                <w:rFonts w:eastAsia="Times New Roman"/>
                <w:iCs/>
                <w:sz w:val="24"/>
                <w:szCs w:val="24"/>
                <w:lang w:eastAsia="lv-LV"/>
              </w:rPr>
              <w:t>uz jaunā likuma pamata  izdodamo Ministru kabineta noteikumu projektu</w:t>
            </w:r>
            <w:r w:rsidR="002E3F1E">
              <w:rPr>
                <w:rFonts w:eastAsia="Times New Roman"/>
                <w:b/>
                <w:iCs/>
                <w:sz w:val="24"/>
                <w:szCs w:val="24"/>
                <w:lang w:eastAsia="lv-LV"/>
              </w:rPr>
              <w:t xml:space="preserve"> </w:t>
            </w:r>
            <w:r w:rsidR="002E3F1E">
              <w:rPr>
                <w:rFonts w:eastAsia="Times New Roman"/>
                <w:iCs/>
                <w:sz w:val="24"/>
                <w:szCs w:val="24"/>
                <w:lang w:eastAsia="lv-LV"/>
              </w:rPr>
              <w:t xml:space="preserve">izstrādei </w:t>
            </w:r>
            <w:r w:rsidR="002E3F1E" w:rsidRPr="005C560F">
              <w:rPr>
                <w:rFonts w:eastAsia="Times New Roman"/>
                <w:iCs/>
                <w:sz w:val="24"/>
                <w:szCs w:val="24"/>
                <w:lang w:eastAsia="lv-LV"/>
              </w:rPr>
              <w:t>(turpmāk – darba grupa)</w:t>
            </w:r>
            <w:r w:rsidR="001D14BB">
              <w:rPr>
                <w:rFonts w:eastAsia="Times New Roman"/>
                <w:iCs/>
                <w:sz w:val="24"/>
                <w:szCs w:val="24"/>
                <w:lang w:eastAsia="lv-LV"/>
              </w:rPr>
              <w:t>,</w:t>
            </w:r>
            <w:r w:rsidR="002E3F1E">
              <w:rPr>
                <w:rFonts w:eastAsia="Times New Roman"/>
                <w:iCs/>
                <w:sz w:val="24"/>
                <w:szCs w:val="24"/>
                <w:lang w:eastAsia="lv-LV"/>
              </w:rPr>
              <w:t xml:space="preserve"> 2021.gada 5.augusta sēdē, kurā piedalījās arī Valsts ieņēmumu dienesta pārstāvji, bet privāto sektoru pārstāvēja </w:t>
            </w:r>
            <w:r w:rsidR="002E3F1E" w:rsidRPr="002E3F1E">
              <w:rPr>
                <w:rFonts w:eastAsia="Times New Roman"/>
                <w:iCs/>
                <w:sz w:val="24"/>
                <w:szCs w:val="24"/>
                <w:lang w:eastAsia="lv-LV"/>
              </w:rPr>
              <w:t>Latvijas Zvērinātu revidentu asociācija</w:t>
            </w:r>
            <w:r w:rsidR="002E3F1E">
              <w:rPr>
                <w:rFonts w:eastAsia="Times New Roman"/>
                <w:iCs/>
                <w:sz w:val="24"/>
                <w:szCs w:val="24"/>
                <w:lang w:eastAsia="lv-LV"/>
              </w:rPr>
              <w:t xml:space="preserve">s, Latvijas Republikas Grāmatvežu asociācijas, </w:t>
            </w:r>
            <w:r w:rsidR="002E3F1E" w:rsidRPr="002E3F1E">
              <w:rPr>
                <w:rFonts w:eastAsia="Times New Roman"/>
                <w:iCs/>
                <w:sz w:val="24"/>
                <w:szCs w:val="24"/>
                <w:lang w:eastAsia="lv-LV"/>
              </w:rPr>
              <w:t xml:space="preserve">Latvijas Republikas Ārpakalpojumu grāmatvežu asociācijas </w:t>
            </w:r>
            <w:r w:rsidR="002E3F1E">
              <w:rPr>
                <w:rFonts w:eastAsia="Times New Roman"/>
                <w:iCs/>
                <w:sz w:val="24"/>
                <w:szCs w:val="24"/>
                <w:lang w:eastAsia="lv-LV"/>
              </w:rPr>
              <w:t xml:space="preserve">un Latvijas tirdzniecības un rūpniecības kameras pārstāvji. </w:t>
            </w:r>
            <w:r w:rsidR="001D14BB">
              <w:rPr>
                <w:rFonts w:eastAsia="Times New Roman"/>
                <w:iCs/>
                <w:sz w:val="24"/>
                <w:szCs w:val="24"/>
                <w:lang w:eastAsia="lv-LV"/>
              </w:rPr>
              <w:t>Darba grupa minēto priekšlikumu neatbalstīja</w:t>
            </w:r>
            <w:r w:rsidR="00E1156B">
              <w:rPr>
                <w:rFonts w:eastAsia="Times New Roman"/>
                <w:iCs/>
                <w:sz w:val="24"/>
                <w:szCs w:val="24"/>
                <w:lang w:eastAsia="lv-LV"/>
              </w:rPr>
              <w:t>, jo priekšlikumā minētais attiecas uz katra uzņēmuma (arī grāmatvedības ārpakalpojuma sniedzēja) iekšējās kontroles jomu, kā arī grāmatveža ētiku</w:t>
            </w:r>
            <w:r w:rsidR="001D14BB">
              <w:rPr>
                <w:rFonts w:eastAsia="Times New Roman"/>
                <w:iCs/>
                <w:sz w:val="24"/>
                <w:szCs w:val="24"/>
                <w:lang w:eastAsia="lv-LV"/>
              </w:rPr>
              <w:t>.</w:t>
            </w:r>
          </w:p>
        </w:tc>
      </w:tr>
      <w:tr w:rsidR="0098568F" w14:paraId="2EEE6BFE" w14:textId="77777777" w:rsidTr="0098568F">
        <w:tc>
          <w:tcPr>
            <w:tcW w:w="407" w:type="dxa"/>
          </w:tcPr>
          <w:p w14:paraId="5BEEABB1"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t>4.</w:t>
            </w:r>
          </w:p>
        </w:tc>
        <w:tc>
          <w:tcPr>
            <w:tcW w:w="1573" w:type="dxa"/>
          </w:tcPr>
          <w:p w14:paraId="6E3D9697" w14:textId="77777777" w:rsidR="0098568F" w:rsidRDefault="0098568F" w:rsidP="0098568F">
            <w:pPr>
              <w:widowControl/>
              <w:spacing w:after="0" w:line="240" w:lineRule="auto"/>
              <w:rPr>
                <w:rFonts w:eastAsia="Times New Roman"/>
                <w:sz w:val="24"/>
                <w:szCs w:val="24"/>
                <w:lang w:eastAsia="lv-LV"/>
              </w:rPr>
            </w:pPr>
            <w:r w:rsidRPr="00AD6A0C">
              <w:rPr>
                <w:rFonts w:eastAsia="Times New Roman"/>
                <w:iCs/>
                <w:color w:val="000000" w:themeColor="text1"/>
                <w:spacing w:val="-2"/>
                <w:sz w:val="24"/>
                <w:szCs w:val="24"/>
                <w:lang w:eastAsia="lv-LV"/>
              </w:rPr>
              <w:t>Cita informācija</w:t>
            </w:r>
          </w:p>
        </w:tc>
        <w:tc>
          <w:tcPr>
            <w:tcW w:w="7081" w:type="dxa"/>
          </w:tcPr>
          <w:p w14:paraId="4BC71145" w14:textId="77777777" w:rsidR="0098568F" w:rsidRDefault="0098568F" w:rsidP="0098568F">
            <w:pPr>
              <w:widowControl/>
              <w:spacing w:after="0" w:line="240" w:lineRule="auto"/>
              <w:rPr>
                <w:rFonts w:eastAsia="Times New Roman"/>
                <w:sz w:val="24"/>
                <w:szCs w:val="24"/>
                <w:lang w:eastAsia="lv-LV"/>
              </w:rPr>
            </w:pPr>
            <w:r w:rsidRPr="00AD6A0C">
              <w:rPr>
                <w:rFonts w:eastAsia="Times New Roman"/>
                <w:iCs/>
                <w:color w:val="000000" w:themeColor="text1"/>
                <w:spacing w:val="-2"/>
                <w:sz w:val="24"/>
                <w:szCs w:val="24"/>
                <w:lang w:eastAsia="lv-LV"/>
              </w:rPr>
              <w:t>Nav</w:t>
            </w:r>
            <w:r>
              <w:rPr>
                <w:rFonts w:eastAsia="Times New Roman"/>
                <w:iCs/>
                <w:color w:val="000000" w:themeColor="text1"/>
                <w:spacing w:val="-2"/>
                <w:sz w:val="24"/>
                <w:szCs w:val="24"/>
                <w:lang w:eastAsia="lv-LV"/>
              </w:rPr>
              <w:t>.</w:t>
            </w:r>
          </w:p>
        </w:tc>
      </w:tr>
    </w:tbl>
    <w:p w14:paraId="0BB1C6A5" w14:textId="77777777" w:rsidR="0079339C" w:rsidRPr="005F5D0D" w:rsidRDefault="000E56B2" w:rsidP="0098568F">
      <w:pPr>
        <w:widowControl/>
        <w:spacing w:after="0" w:line="240" w:lineRule="auto"/>
        <w:jc w:val="both"/>
        <w:rPr>
          <w:rFonts w:eastAsia="Times New Roman"/>
          <w:sz w:val="24"/>
          <w:szCs w:val="24"/>
          <w:lang w:eastAsia="lv-LV"/>
        </w:rPr>
      </w:pPr>
      <w:r w:rsidRPr="005F5D0D">
        <w:rPr>
          <w:rFonts w:eastAsia="Times New Roman"/>
          <w:iCs/>
          <w:sz w:val="24"/>
          <w:szCs w:val="24"/>
          <w:lang w:eastAsia="lv-LV"/>
        </w:rPr>
        <w:t xml:space="preserve">  </w:t>
      </w:r>
    </w:p>
    <w:tbl>
      <w:tblPr>
        <w:tblW w:w="5151" w:type="pct"/>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60"/>
        <w:gridCol w:w="2095"/>
        <w:gridCol w:w="6873"/>
      </w:tblGrid>
      <w:tr w:rsidR="0079339C" w:rsidRPr="008B49FE" w14:paraId="2C753741" w14:textId="77777777" w:rsidTr="004C413D">
        <w:trPr>
          <w:trHeight w:val="300"/>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E1E537A" w14:textId="77777777" w:rsidR="0079339C" w:rsidRPr="008B49FE" w:rsidRDefault="0079339C" w:rsidP="0098568F">
            <w:pPr>
              <w:keepNext/>
              <w:spacing w:after="0" w:line="240" w:lineRule="auto"/>
              <w:jc w:val="center"/>
              <w:rPr>
                <w:rFonts w:eastAsia="Times New Roman"/>
                <w:sz w:val="24"/>
                <w:szCs w:val="24"/>
                <w:lang w:eastAsia="lv-LV"/>
              </w:rPr>
            </w:pPr>
            <w:r w:rsidRPr="008B49FE">
              <w:rPr>
                <w:rFonts w:eastAsia="Times New Roman"/>
                <w:b/>
                <w:bCs/>
                <w:sz w:val="24"/>
                <w:szCs w:val="24"/>
                <w:lang w:eastAsia="lv-LV"/>
              </w:rPr>
              <w:t>VII. Tiesību akta projekta izpildes nodrošināšana un tās ietekme uz institūcijām</w:t>
            </w:r>
          </w:p>
        </w:tc>
      </w:tr>
      <w:tr w:rsidR="0079339C" w:rsidRPr="008B49FE" w14:paraId="7DFB76FA" w14:textId="77777777" w:rsidTr="004C413D">
        <w:trPr>
          <w:trHeight w:val="336"/>
          <w:jc w:val="center"/>
        </w:trPr>
        <w:tc>
          <w:tcPr>
            <w:tcW w:w="193" w:type="pct"/>
            <w:tcBorders>
              <w:top w:val="outset" w:sz="6" w:space="0" w:color="auto"/>
              <w:left w:val="outset" w:sz="6" w:space="0" w:color="auto"/>
              <w:bottom w:val="outset" w:sz="6" w:space="0" w:color="auto"/>
              <w:right w:val="outset" w:sz="6" w:space="0" w:color="auto"/>
            </w:tcBorders>
            <w:hideMark/>
          </w:tcPr>
          <w:p w14:paraId="27D57A7A" w14:textId="77777777" w:rsidR="0079339C" w:rsidRPr="008B49FE" w:rsidRDefault="0079339C" w:rsidP="008B0316">
            <w:pPr>
              <w:spacing w:after="0" w:line="240" w:lineRule="auto"/>
              <w:rPr>
                <w:rFonts w:eastAsia="Times New Roman"/>
                <w:sz w:val="24"/>
                <w:szCs w:val="24"/>
                <w:lang w:eastAsia="lv-LV"/>
              </w:rPr>
            </w:pPr>
            <w:r w:rsidRPr="008B49FE">
              <w:rPr>
                <w:rFonts w:eastAsia="Times New Roman"/>
                <w:sz w:val="24"/>
                <w:szCs w:val="24"/>
                <w:lang w:eastAsia="lv-LV"/>
              </w:rPr>
              <w:t>1.</w:t>
            </w:r>
          </w:p>
        </w:tc>
        <w:tc>
          <w:tcPr>
            <w:tcW w:w="1123" w:type="pct"/>
            <w:tcBorders>
              <w:top w:val="outset" w:sz="6" w:space="0" w:color="auto"/>
              <w:left w:val="outset" w:sz="6" w:space="0" w:color="auto"/>
              <w:bottom w:val="outset" w:sz="6" w:space="0" w:color="auto"/>
              <w:right w:val="outset" w:sz="6" w:space="0" w:color="auto"/>
            </w:tcBorders>
            <w:hideMark/>
          </w:tcPr>
          <w:p w14:paraId="43C86732" w14:textId="77777777" w:rsidR="0079339C" w:rsidRPr="008B49FE" w:rsidRDefault="0079339C" w:rsidP="008B0316">
            <w:pPr>
              <w:spacing w:after="0" w:line="240" w:lineRule="auto"/>
              <w:rPr>
                <w:rFonts w:eastAsia="Times New Roman"/>
                <w:sz w:val="24"/>
                <w:szCs w:val="24"/>
                <w:lang w:eastAsia="lv-LV"/>
              </w:rPr>
            </w:pPr>
            <w:r w:rsidRPr="008B49FE">
              <w:rPr>
                <w:rFonts w:eastAsia="Times New Roman"/>
                <w:sz w:val="24"/>
                <w:szCs w:val="24"/>
                <w:lang w:eastAsia="lv-LV"/>
              </w:rPr>
              <w:t>Projekta izpildē iesaistītās institūcijas</w:t>
            </w:r>
          </w:p>
        </w:tc>
        <w:tc>
          <w:tcPr>
            <w:tcW w:w="3684" w:type="pct"/>
            <w:tcBorders>
              <w:top w:val="outset" w:sz="6" w:space="0" w:color="auto"/>
              <w:left w:val="outset" w:sz="6" w:space="0" w:color="auto"/>
              <w:bottom w:val="outset" w:sz="6" w:space="0" w:color="auto"/>
              <w:right w:val="outset" w:sz="6" w:space="0" w:color="auto"/>
            </w:tcBorders>
            <w:hideMark/>
          </w:tcPr>
          <w:p w14:paraId="7A2BD0F0" w14:textId="31D6379E" w:rsidR="0079339C" w:rsidRPr="00D96E46" w:rsidRDefault="0079339C" w:rsidP="00C2323C">
            <w:pPr>
              <w:spacing w:before="75" w:after="75"/>
              <w:rPr>
                <w:sz w:val="24"/>
                <w:szCs w:val="24"/>
              </w:rPr>
            </w:pPr>
            <w:r w:rsidRPr="008B49FE">
              <w:rPr>
                <w:sz w:val="24"/>
                <w:szCs w:val="24"/>
              </w:rPr>
              <w:t>Valsts ieņēmumu dienests</w:t>
            </w:r>
            <w:r w:rsidR="00C2323C">
              <w:rPr>
                <w:sz w:val="24"/>
                <w:szCs w:val="24"/>
              </w:rPr>
              <w:t xml:space="preserve">. </w:t>
            </w:r>
          </w:p>
        </w:tc>
      </w:tr>
      <w:tr w:rsidR="0079339C" w:rsidRPr="008B49FE" w14:paraId="1657795C" w14:textId="77777777" w:rsidTr="004C413D">
        <w:trPr>
          <w:trHeight w:val="360"/>
          <w:jc w:val="center"/>
        </w:trPr>
        <w:tc>
          <w:tcPr>
            <w:tcW w:w="193" w:type="pct"/>
            <w:tcBorders>
              <w:top w:val="outset" w:sz="6" w:space="0" w:color="auto"/>
              <w:left w:val="outset" w:sz="6" w:space="0" w:color="auto"/>
              <w:bottom w:val="outset" w:sz="6" w:space="0" w:color="auto"/>
              <w:right w:val="outset" w:sz="6" w:space="0" w:color="auto"/>
            </w:tcBorders>
            <w:hideMark/>
          </w:tcPr>
          <w:p w14:paraId="33105553"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2.</w:t>
            </w:r>
          </w:p>
        </w:tc>
        <w:tc>
          <w:tcPr>
            <w:tcW w:w="1123" w:type="pct"/>
            <w:tcBorders>
              <w:top w:val="outset" w:sz="6" w:space="0" w:color="auto"/>
              <w:left w:val="outset" w:sz="6" w:space="0" w:color="auto"/>
              <w:bottom w:val="outset" w:sz="6" w:space="0" w:color="auto"/>
              <w:right w:val="outset" w:sz="6" w:space="0" w:color="auto"/>
            </w:tcBorders>
            <w:hideMark/>
          </w:tcPr>
          <w:p w14:paraId="14A6186A"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 xml:space="preserve">Projekta izpildes ietekme uz pārvaldes funkcijām un institucionālo struktūru. </w:t>
            </w:r>
          </w:p>
          <w:p w14:paraId="43034405"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Jaunu institūciju izveide, esošu institūciju likvidācija vai reorganizācija, to ietekme uz institūcijas cilvēkresursiem</w:t>
            </w:r>
          </w:p>
        </w:tc>
        <w:tc>
          <w:tcPr>
            <w:tcW w:w="3684" w:type="pct"/>
            <w:tcBorders>
              <w:top w:val="outset" w:sz="6" w:space="0" w:color="auto"/>
              <w:left w:val="outset" w:sz="6" w:space="0" w:color="auto"/>
              <w:bottom w:val="outset" w:sz="6" w:space="0" w:color="auto"/>
              <w:right w:val="outset" w:sz="6" w:space="0" w:color="auto"/>
            </w:tcBorders>
            <w:hideMark/>
          </w:tcPr>
          <w:p w14:paraId="1A38F68F" w14:textId="12B7F427" w:rsidR="001E506A" w:rsidRPr="002A7F35" w:rsidRDefault="00667985" w:rsidP="00667985">
            <w:pPr>
              <w:spacing w:after="120" w:line="240" w:lineRule="auto"/>
              <w:jc w:val="both"/>
              <w:rPr>
                <w:sz w:val="24"/>
                <w:szCs w:val="24"/>
              </w:rPr>
            </w:pPr>
            <w:r w:rsidRPr="00667985">
              <w:rPr>
                <w:rFonts w:eastAsia="Times New Roman"/>
                <w:iCs/>
                <w:color w:val="000000" w:themeColor="text1"/>
                <w:spacing w:val="-2"/>
                <w:sz w:val="24"/>
                <w:szCs w:val="24"/>
                <w:lang w:eastAsia="lv-LV"/>
              </w:rPr>
              <w:t>Projektam nav ietekme</w:t>
            </w:r>
            <w:r w:rsidR="00407E2F">
              <w:rPr>
                <w:rFonts w:eastAsia="Times New Roman"/>
                <w:iCs/>
                <w:color w:val="000000" w:themeColor="text1"/>
                <w:spacing w:val="-2"/>
                <w:sz w:val="24"/>
                <w:szCs w:val="24"/>
                <w:lang w:eastAsia="lv-LV"/>
              </w:rPr>
              <w:t>s</w:t>
            </w:r>
            <w:r w:rsidRPr="00667985">
              <w:rPr>
                <w:rFonts w:eastAsia="Times New Roman"/>
                <w:iCs/>
                <w:color w:val="000000" w:themeColor="text1"/>
                <w:spacing w:val="-2"/>
                <w:sz w:val="24"/>
                <w:szCs w:val="24"/>
                <w:lang w:eastAsia="lv-LV"/>
              </w:rPr>
              <w:t xml:space="preserve"> uz pārvaldes funkcijām un institucionālo struktūru. Projekta izpildes rezultātā nenotiks jaunu institūciju izveide, esošu institūciju likvidācija un reorganizācija. Projektam nav paredzēta ietekme uz institūciju cilvēkresursiem.</w:t>
            </w:r>
          </w:p>
        </w:tc>
      </w:tr>
      <w:tr w:rsidR="0079339C" w:rsidRPr="008B49FE" w14:paraId="55440CCC" w14:textId="77777777" w:rsidTr="004C413D">
        <w:trPr>
          <w:trHeight w:val="312"/>
          <w:jc w:val="center"/>
        </w:trPr>
        <w:tc>
          <w:tcPr>
            <w:tcW w:w="193" w:type="pct"/>
            <w:tcBorders>
              <w:top w:val="outset" w:sz="6" w:space="0" w:color="auto"/>
              <w:left w:val="outset" w:sz="6" w:space="0" w:color="auto"/>
              <w:bottom w:val="outset" w:sz="6" w:space="0" w:color="auto"/>
              <w:right w:val="outset" w:sz="6" w:space="0" w:color="auto"/>
            </w:tcBorders>
            <w:hideMark/>
          </w:tcPr>
          <w:p w14:paraId="34D774BF"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lastRenderedPageBreak/>
              <w:t>3.</w:t>
            </w:r>
          </w:p>
        </w:tc>
        <w:tc>
          <w:tcPr>
            <w:tcW w:w="1123" w:type="pct"/>
            <w:tcBorders>
              <w:top w:val="outset" w:sz="6" w:space="0" w:color="auto"/>
              <w:left w:val="outset" w:sz="6" w:space="0" w:color="auto"/>
              <w:bottom w:val="outset" w:sz="6" w:space="0" w:color="auto"/>
              <w:right w:val="outset" w:sz="6" w:space="0" w:color="auto"/>
            </w:tcBorders>
            <w:hideMark/>
          </w:tcPr>
          <w:p w14:paraId="48A69150"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Cita informācija</w:t>
            </w:r>
          </w:p>
        </w:tc>
        <w:tc>
          <w:tcPr>
            <w:tcW w:w="3684" w:type="pct"/>
            <w:tcBorders>
              <w:top w:val="outset" w:sz="6" w:space="0" w:color="auto"/>
              <w:left w:val="outset" w:sz="6" w:space="0" w:color="auto"/>
              <w:bottom w:val="outset" w:sz="6" w:space="0" w:color="auto"/>
              <w:right w:val="outset" w:sz="6" w:space="0" w:color="auto"/>
            </w:tcBorders>
            <w:hideMark/>
          </w:tcPr>
          <w:p w14:paraId="3921804E" w14:textId="77777777" w:rsidR="0079339C" w:rsidRPr="008B49FE" w:rsidRDefault="0079339C" w:rsidP="006D2D7C">
            <w:pPr>
              <w:spacing w:after="0" w:line="240" w:lineRule="auto"/>
              <w:rPr>
                <w:rFonts w:eastAsia="Times New Roman"/>
                <w:sz w:val="24"/>
                <w:szCs w:val="24"/>
                <w:lang w:eastAsia="lv-LV"/>
              </w:rPr>
            </w:pPr>
            <w:r w:rsidRPr="008B49FE">
              <w:rPr>
                <w:sz w:val="24"/>
                <w:szCs w:val="24"/>
              </w:rPr>
              <w:t>Nav.</w:t>
            </w:r>
          </w:p>
        </w:tc>
      </w:tr>
    </w:tbl>
    <w:p w14:paraId="22C0E40E" w14:textId="77777777" w:rsidR="000F1940" w:rsidRDefault="000F1940" w:rsidP="005161E9">
      <w:pPr>
        <w:widowControl/>
        <w:spacing w:before="100" w:beforeAutospacing="1" w:after="100" w:afterAutospacing="1" w:line="240" w:lineRule="auto"/>
        <w:jc w:val="both"/>
        <w:rPr>
          <w:rFonts w:eastAsia="Times New Roman"/>
          <w:sz w:val="24"/>
          <w:szCs w:val="24"/>
          <w:lang w:eastAsia="lv-LV"/>
        </w:rPr>
      </w:pPr>
      <w:bookmarkStart w:id="0" w:name="c"/>
      <w:bookmarkEnd w:id="0"/>
    </w:p>
    <w:p w14:paraId="1AFA8D94" w14:textId="5CF9BF0E" w:rsidR="002961FB" w:rsidRPr="005161E9" w:rsidRDefault="003A585F" w:rsidP="005161E9">
      <w:pPr>
        <w:widowControl/>
        <w:spacing w:before="100" w:beforeAutospacing="1" w:after="100" w:afterAutospacing="1" w:line="240" w:lineRule="auto"/>
        <w:jc w:val="both"/>
        <w:rPr>
          <w:rFonts w:eastAsia="Times New Roman"/>
          <w:sz w:val="24"/>
          <w:szCs w:val="24"/>
          <w:lang w:eastAsia="lv-LV"/>
        </w:rPr>
      </w:pPr>
      <w:r w:rsidRPr="005F5D0D">
        <w:rPr>
          <w:rFonts w:eastAsia="Times New Roman"/>
          <w:sz w:val="24"/>
          <w:szCs w:val="24"/>
          <w:lang w:eastAsia="lv-LV"/>
        </w:rPr>
        <w:t xml:space="preserve">Finanšu ministrs                                                                                             </w:t>
      </w:r>
      <w:r w:rsidR="001044F1">
        <w:rPr>
          <w:rFonts w:eastAsia="Times New Roman"/>
          <w:sz w:val="24"/>
          <w:szCs w:val="24"/>
          <w:lang w:eastAsia="lv-LV"/>
        </w:rPr>
        <w:t xml:space="preserve">                        </w:t>
      </w:r>
      <w:proofErr w:type="spellStart"/>
      <w:r w:rsidR="001044F1">
        <w:rPr>
          <w:rFonts w:eastAsia="Times New Roman"/>
          <w:sz w:val="24"/>
          <w:szCs w:val="24"/>
          <w:lang w:eastAsia="lv-LV"/>
        </w:rPr>
        <w:t>J.Reirs</w:t>
      </w:r>
      <w:proofErr w:type="spellEnd"/>
    </w:p>
    <w:p w14:paraId="6B6CCCEA" w14:textId="77777777" w:rsidR="000F1940" w:rsidRDefault="000F1940" w:rsidP="005F5D0D">
      <w:pPr>
        <w:widowControl/>
        <w:spacing w:after="0" w:line="240" w:lineRule="auto"/>
        <w:rPr>
          <w:rFonts w:eastAsia="Times New Roman"/>
          <w:sz w:val="20"/>
          <w:szCs w:val="20"/>
          <w:lang w:eastAsia="lv-LV"/>
        </w:rPr>
      </w:pPr>
    </w:p>
    <w:p w14:paraId="789E55E3" w14:textId="77777777" w:rsidR="000F1940" w:rsidRDefault="000F1940" w:rsidP="005F5D0D">
      <w:pPr>
        <w:widowControl/>
        <w:spacing w:after="0" w:line="240" w:lineRule="auto"/>
        <w:rPr>
          <w:rFonts w:eastAsia="Times New Roman"/>
          <w:sz w:val="20"/>
          <w:szCs w:val="20"/>
          <w:lang w:eastAsia="lv-LV"/>
        </w:rPr>
      </w:pPr>
    </w:p>
    <w:p w14:paraId="79074CE6" w14:textId="77777777" w:rsidR="000F1940" w:rsidRDefault="000F1940" w:rsidP="005F5D0D">
      <w:pPr>
        <w:widowControl/>
        <w:spacing w:after="0" w:line="240" w:lineRule="auto"/>
        <w:rPr>
          <w:rFonts w:eastAsia="Times New Roman"/>
          <w:sz w:val="20"/>
          <w:szCs w:val="20"/>
          <w:lang w:eastAsia="lv-LV"/>
        </w:rPr>
      </w:pPr>
    </w:p>
    <w:p w14:paraId="19162A5B" w14:textId="6D51DFE5" w:rsidR="003A585F" w:rsidRPr="002961FB" w:rsidRDefault="009B4453" w:rsidP="005F5D0D">
      <w:pPr>
        <w:widowControl/>
        <w:spacing w:after="0" w:line="240" w:lineRule="auto"/>
        <w:rPr>
          <w:rFonts w:eastAsia="Times New Roman"/>
          <w:sz w:val="20"/>
          <w:szCs w:val="20"/>
          <w:lang w:eastAsia="lv-LV"/>
        </w:rPr>
      </w:pPr>
      <w:proofErr w:type="spellStart"/>
      <w:r w:rsidRPr="002961FB">
        <w:rPr>
          <w:rFonts w:eastAsia="Times New Roman"/>
          <w:sz w:val="20"/>
          <w:szCs w:val="20"/>
          <w:lang w:eastAsia="lv-LV"/>
        </w:rPr>
        <w:t>A.Priede</w:t>
      </w:r>
      <w:proofErr w:type="spellEnd"/>
      <w:r w:rsidRPr="002961FB">
        <w:rPr>
          <w:rFonts w:eastAsia="Times New Roman"/>
          <w:sz w:val="20"/>
          <w:szCs w:val="20"/>
          <w:lang w:eastAsia="lv-LV"/>
        </w:rPr>
        <w:t xml:space="preserve">, </w:t>
      </w:r>
      <w:r w:rsidR="00D04D7B" w:rsidRPr="002961FB">
        <w:rPr>
          <w:rFonts w:eastAsia="Times New Roman"/>
          <w:sz w:val="20"/>
          <w:szCs w:val="20"/>
          <w:lang w:eastAsia="lv-LV"/>
        </w:rPr>
        <w:t>67083866</w:t>
      </w:r>
    </w:p>
    <w:p w14:paraId="02639265" w14:textId="77777777" w:rsidR="009B4453" w:rsidRPr="002961FB" w:rsidRDefault="00E37ECA" w:rsidP="005F5D0D">
      <w:pPr>
        <w:widowControl/>
        <w:spacing w:after="0" w:line="240" w:lineRule="auto"/>
        <w:rPr>
          <w:rStyle w:val="Hyperlink"/>
          <w:rFonts w:eastAsia="Times New Roman"/>
          <w:sz w:val="20"/>
          <w:szCs w:val="20"/>
          <w:lang w:eastAsia="lv-LV"/>
        </w:rPr>
      </w:pPr>
      <w:hyperlink r:id="rId15" w:history="1">
        <w:r w:rsidR="00D04D7B" w:rsidRPr="002961FB">
          <w:rPr>
            <w:rStyle w:val="Hyperlink"/>
            <w:rFonts w:eastAsia="Times New Roman"/>
            <w:sz w:val="20"/>
            <w:szCs w:val="20"/>
            <w:lang w:eastAsia="lv-LV"/>
          </w:rPr>
          <w:t>arta.priede@fm.gov.lv</w:t>
        </w:r>
      </w:hyperlink>
    </w:p>
    <w:p w14:paraId="40F3DC0C" w14:textId="77777777" w:rsidR="00F31EBD" w:rsidRPr="002961FB" w:rsidRDefault="00F31EBD" w:rsidP="005F5D0D">
      <w:pPr>
        <w:widowControl/>
        <w:spacing w:after="0" w:line="240" w:lineRule="auto"/>
        <w:rPr>
          <w:sz w:val="20"/>
          <w:szCs w:val="20"/>
        </w:rPr>
      </w:pPr>
      <w:proofErr w:type="spellStart"/>
      <w:r w:rsidRPr="002961FB">
        <w:rPr>
          <w:rStyle w:val="Hyperlink"/>
          <w:rFonts w:eastAsia="Times New Roman"/>
          <w:color w:val="auto"/>
          <w:sz w:val="20"/>
          <w:szCs w:val="20"/>
          <w:lang w:eastAsia="lv-LV"/>
        </w:rPr>
        <w:t>G.Majevska</w:t>
      </w:r>
      <w:proofErr w:type="spellEnd"/>
      <w:r w:rsidRPr="002961FB">
        <w:rPr>
          <w:rStyle w:val="Hyperlink"/>
          <w:rFonts w:eastAsia="Times New Roman"/>
          <w:color w:val="auto"/>
          <w:sz w:val="20"/>
          <w:szCs w:val="20"/>
          <w:lang w:eastAsia="lv-LV"/>
        </w:rPr>
        <w:t xml:space="preserve">, </w:t>
      </w:r>
      <w:r w:rsidRPr="002961FB">
        <w:rPr>
          <w:sz w:val="20"/>
          <w:szCs w:val="20"/>
        </w:rPr>
        <w:t>67095616</w:t>
      </w:r>
    </w:p>
    <w:p w14:paraId="664D8A68" w14:textId="77777777" w:rsidR="00D04D7B" w:rsidRPr="005F5D0D" w:rsidRDefault="00E37ECA" w:rsidP="005F5D0D">
      <w:pPr>
        <w:widowControl/>
        <w:spacing w:after="0" w:line="240" w:lineRule="auto"/>
        <w:rPr>
          <w:rFonts w:eastAsia="Times New Roman"/>
          <w:sz w:val="24"/>
          <w:szCs w:val="24"/>
          <w:lang w:eastAsia="lv-LV"/>
        </w:rPr>
      </w:pPr>
      <w:hyperlink r:id="rId16" w:history="1">
        <w:r w:rsidR="002961FB" w:rsidRPr="008B681B">
          <w:rPr>
            <w:rStyle w:val="Hyperlink"/>
            <w:sz w:val="20"/>
            <w:szCs w:val="20"/>
          </w:rPr>
          <w:t>gunta.majevska@fm.gov.lv</w:t>
        </w:r>
      </w:hyperlink>
    </w:p>
    <w:sectPr w:rsidR="00D04D7B" w:rsidRPr="005F5D0D" w:rsidSect="00700ED3">
      <w:headerReference w:type="default" r:id="rId17"/>
      <w:footerReference w:type="default" r:id="rId18"/>
      <w:footerReference w:type="first" r:id="rId19"/>
      <w:pgSz w:w="11906" w:h="16838"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7B33B" w14:textId="77777777" w:rsidR="009711C9" w:rsidRDefault="009711C9">
      <w:pPr>
        <w:spacing w:after="0" w:line="240" w:lineRule="auto"/>
      </w:pPr>
      <w:r>
        <w:separator/>
      </w:r>
    </w:p>
  </w:endnote>
  <w:endnote w:type="continuationSeparator" w:id="0">
    <w:p w14:paraId="21A59111" w14:textId="77777777" w:rsidR="009711C9" w:rsidRDefault="0097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7A5FC" w14:textId="062FD233" w:rsidR="007A5220" w:rsidRPr="00F24D59" w:rsidRDefault="008D2BF4" w:rsidP="00F24D59">
    <w:pPr>
      <w:pStyle w:val="Footer"/>
    </w:pPr>
    <w:r>
      <w:rPr>
        <w:sz w:val="20"/>
        <w:szCs w:val="20"/>
      </w:rPr>
      <w:t>FMa</w:t>
    </w:r>
    <w:r w:rsidR="005C464A">
      <w:rPr>
        <w:sz w:val="20"/>
        <w:szCs w:val="20"/>
      </w:rPr>
      <w:t>not_</w:t>
    </w:r>
    <w:r w:rsidR="00E265B6">
      <w:rPr>
        <w:sz w:val="20"/>
        <w:szCs w:val="20"/>
      </w:rPr>
      <w:t>0</w:t>
    </w:r>
    <w:r w:rsidR="00763B95">
      <w:rPr>
        <w:sz w:val="20"/>
        <w:szCs w:val="20"/>
      </w:rPr>
      <w:t>5</w:t>
    </w:r>
    <w:r w:rsidR="00E265B6">
      <w:rPr>
        <w:sz w:val="20"/>
        <w:szCs w:val="20"/>
      </w:rPr>
      <w:t>08</w:t>
    </w:r>
    <w:r w:rsidR="00F24D59" w:rsidRPr="00F24D59">
      <w:rPr>
        <w:sz w:val="20"/>
        <w:szCs w:val="20"/>
      </w:rPr>
      <w:t>21_grozGPKGPL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4EFFC" w14:textId="4F5303CF" w:rsidR="007A5220" w:rsidRPr="004562FC" w:rsidRDefault="008D2BF4">
    <w:pPr>
      <w:pStyle w:val="Footer"/>
      <w:rPr>
        <w:sz w:val="20"/>
        <w:szCs w:val="20"/>
      </w:rPr>
    </w:pPr>
    <w:r>
      <w:rPr>
        <w:sz w:val="20"/>
        <w:szCs w:val="20"/>
      </w:rPr>
      <w:t>FMa</w:t>
    </w:r>
    <w:r w:rsidR="007A5220" w:rsidRPr="004562FC">
      <w:rPr>
        <w:sz w:val="20"/>
        <w:szCs w:val="20"/>
      </w:rPr>
      <w:t>not_</w:t>
    </w:r>
    <w:r w:rsidR="00E265B6">
      <w:rPr>
        <w:sz w:val="20"/>
        <w:szCs w:val="20"/>
      </w:rPr>
      <w:t>0</w:t>
    </w:r>
    <w:r w:rsidR="00763B95">
      <w:rPr>
        <w:sz w:val="20"/>
        <w:szCs w:val="20"/>
      </w:rPr>
      <w:t>5</w:t>
    </w:r>
    <w:r w:rsidR="00E265B6">
      <w:rPr>
        <w:sz w:val="20"/>
        <w:szCs w:val="20"/>
      </w:rPr>
      <w:t>08</w:t>
    </w:r>
    <w:r w:rsidR="007A5220">
      <w:rPr>
        <w:sz w:val="20"/>
        <w:szCs w:val="20"/>
      </w:rPr>
      <w:t>2</w:t>
    </w:r>
    <w:r w:rsidR="00F24D59">
      <w:rPr>
        <w:sz w:val="20"/>
        <w:szCs w:val="20"/>
      </w:rPr>
      <w:t>1</w:t>
    </w:r>
    <w:r w:rsidR="007A5220">
      <w:rPr>
        <w:sz w:val="20"/>
        <w:szCs w:val="20"/>
      </w:rPr>
      <w:t>_</w:t>
    </w:r>
    <w:r w:rsidR="00F24D59">
      <w:rPr>
        <w:sz w:val="20"/>
        <w:szCs w:val="20"/>
      </w:rPr>
      <w:t>groz</w:t>
    </w:r>
    <w:r w:rsidR="007A5220">
      <w:rPr>
        <w:sz w:val="20"/>
        <w:szCs w:val="20"/>
      </w:rPr>
      <w:t>G</w:t>
    </w:r>
    <w:r w:rsidR="00F24D59">
      <w:rPr>
        <w:sz w:val="20"/>
        <w:szCs w:val="20"/>
      </w:rPr>
      <w:t>PKGP</w:t>
    </w:r>
    <w:r w:rsidR="007A5220">
      <w:rPr>
        <w:sz w:val="20"/>
        <w:szCs w:val="20"/>
      </w:rPr>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2EE0C" w14:textId="77777777" w:rsidR="009711C9" w:rsidRDefault="009711C9" w:rsidP="003E486F">
      <w:pPr>
        <w:spacing w:after="0" w:line="240" w:lineRule="auto"/>
      </w:pPr>
      <w:r>
        <w:separator/>
      </w:r>
    </w:p>
  </w:footnote>
  <w:footnote w:type="continuationSeparator" w:id="0">
    <w:p w14:paraId="6D2A5240" w14:textId="77777777" w:rsidR="009711C9" w:rsidRDefault="009711C9" w:rsidP="003E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476461"/>
      <w:docPartObj>
        <w:docPartGallery w:val="Page Numbers (Top of Page)"/>
        <w:docPartUnique/>
      </w:docPartObj>
    </w:sdtPr>
    <w:sdtEndPr>
      <w:rPr>
        <w:noProof/>
      </w:rPr>
    </w:sdtEndPr>
    <w:sdtContent>
      <w:p w14:paraId="748773EC" w14:textId="13B10D21" w:rsidR="007A5220" w:rsidRDefault="007A5220" w:rsidP="00C13959">
        <w:pPr>
          <w:pStyle w:val="Header"/>
          <w:jc w:val="center"/>
        </w:pPr>
        <w:r>
          <w:fldChar w:fldCharType="begin"/>
        </w:r>
        <w:r>
          <w:instrText xml:space="preserve"> PAGE   \* MERGEFORMAT </w:instrText>
        </w:r>
        <w:r>
          <w:fldChar w:fldCharType="separate"/>
        </w:r>
        <w:r w:rsidR="00AA315F">
          <w:rPr>
            <w:noProof/>
          </w:rPr>
          <w:t>1</w:t>
        </w:r>
        <w:r w:rsidR="00AA315F">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D05"/>
    <w:multiLevelType w:val="hybridMultilevel"/>
    <w:tmpl w:val="21B4607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027622F7"/>
    <w:multiLevelType w:val="hybridMultilevel"/>
    <w:tmpl w:val="FE6650D8"/>
    <w:lvl w:ilvl="0" w:tplc="1C5A0616">
      <w:numFmt w:val="bullet"/>
      <w:lvlText w:val="-"/>
      <w:lvlJc w:val="left"/>
      <w:pPr>
        <w:ind w:left="723"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 w15:restartNumberingAfterBreak="0">
    <w:nsid w:val="10734E16"/>
    <w:multiLevelType w:val="hybridMultilevel"/>
    <w:tmpl w:val="599056D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1">
    <w:nsid w:val="167076C1"/>
    <w:multiLevelType w:val="hybridMultilevel"/>
    <w:tmpl w:val="2DC40FCA"/>
    <w:lvl w:ilvl="0" w:tplc="50960658">
      <w:numFmt w:val="bullet"/>
      <w:lvlText w:val=""/>
      <w:lvlJc w:val="left"/>
      <w:pPr>
        <w:ind w:left="752" w:hanging="360"/>
      </w:pPr>
      <w:rPr>
        <w:rFonts w:ascii="Symbol" w:eastAsia="Times New Roman" w:hAnsi="Symbol" w:cs="Times New Roman" w:hint="default"/>
      </w:rPr>
    </w:lvl>
    <w:lvl w:ilvl="1" w:tplc="C3E482CA" w:tentative="1">
      <w:start w:val="1"/>
      <w:numFmt w:val="bullet"/>
      <w:lvlText w:val="o"/>
      <w:lvlJc w:val="left"/>
      <w:pPr>
        <w:ind w:left="1472" w:hanging="360"/>
      </w:pPr>
      <w:rPr>
        <w:rFonts w:ascii="Courier New" w:hAnsi="Courier New" w:cs="Courier New" w:hint="default"/>
      </w:rPr>
    </w:lvl>
    <w:lvl w:ilvl="2" w:tplc="1DEEA268" w:tentative="1">
      <w:start w:val="1"/>
      <w:numFmt w:val="bullet"/>
      <w:lvlText w:val=""/>
      <w:lvlJc w:val="left"/>
      <w:pPr>
        <w:ind w:left="2192" w:hanging="360"/>
      </w:pPr>
      <w:rPr>
        <w:rFonts w:ascii="Wingdings" w:hAnsi="Wingdings" w:hint="default"/>
      </w:rPr>
    </w:lvl>
    <w:lvl w:ilvl="3" w:tplc="FC6410E4" w:tentative="1">
      <w:start w:val="1"/>
      <w:numFmt w:val="bullet"/>
      <w:lvlText w:val=""/>
      <w:lvlJc w:val="left"/>
      <w:pPr>
        <w:ind w:left="2912" w:hanging="360"/>
      </w:pPr>
      <w:rPr>
        <w:rFonts w:ascii="Symbol" w:hAnsi="Symbol" w:hint="default"/>
      </w:rPr>
    </w:lvl>
    <w:lvl w:ilvl="4" w:tplc="3F40F630" w:tentative="1">
      <w:start w:val="1"/>
      <w:numFmt w:val="bullet"/>
      <w:lvlText w:val="o"/>
      <w:lvlJc w:val="left"/>
      <w:pPr>
        <w:ind w:left="3632" w:hanging="360"/>
      </w:pPr>
      <w:rPr>
        <w:rFonts w:ascii="Courier New" w:hAnsi="Courier New" w:cs="Courier New" w:hint="default"/>
      </w:rPr>
    </w:lvl>
    <w:lvl w:ilvl="5" w:tplc="28B037C2" w:tentative="1">
      <w:start w:val="1"/>
      <w:numFmt w:val="bullet"/>
      <w:lvlText w:val=""/>
      <w:lvlJc w:val="left"/>
      <w:pPr>
        <w:ind w:left="4352" w:hanging="360"/>
      </w:pPr>
      <w:rPr>
        <w:rFonts w:ascii="Wingdings" w:hAnsi="Wingdings" w:hint="default"/>
      </w:rPr>
    </w:lvl>
    <w:lvl w:ilvl="6" w:tplc="9DF2C47A" w:tentative="1">
      <w:start w:val="1"/>
      <w:numFmt w:val="bullet"/>
      <w:lvlText w:val=""/>
      <w:lvlJc w:val="left"/>
      <w:pPr>
        <w:ind w:left="5072" w:hanging="360"/>
      </w:pPr>
      <w:rPr>
        <w:rFonts w:ascii="Symbol" w:hAnsi="Symbol" w:hint="default"/>
      </w:rPr>
    </w:lvl>
    <w:lvl w:ilvl="7" w:tplc="1FEC2638" w:tentative="1">
      <w:start w:val="1"/>
      <w:numFmt w:val="bullet"/>
      <w:lvlText w:val="o"/>
      <w:lvlJc w:val="left"/>
      <w:pPr>
        <w:ind w:left="5792" w:hanging="360"/>
      </w:pPr>
      <w:rPr>
        <w:rFonts w:ascii="Courier New" w:hAnsi="Courier New" w:cs="Courier New" w:hint="default"/>
      </w:rPr>
    </w:lvl>
    <w:lvl w:ilvl="8" w:tplc="AD9E06CA" w:tentative="1">
      <w:start w:val="1"/>
      <w:numFmt w:val="bullet"/>
      <w:lvlText w:val=""/>
      <w:lvlJc w:val="left"/>
      <w:pPr>
        <w:ind w:left="6512" w:hanging="360"/>
      </w:pPr>
      <w:rPr>
        <w:rFonts w:ascii="Wingdings" w:hAnsi="Wingdings" w:hint="default"/>
      </w:rPr>
    </w:lvl>
  </w:abstractNum>
  <w:abstractNum w:abstractNumId="4" w15:restartNumberingAfterBreak="0">
    <w:nsid w:val="208B3B68"/>
    <w:multiLevelType w:val="hybridMultilevel"/>
    <w:tmpl w:val="7AA0DA9A"/>
    <w:lvl w:ilvl="0" w:tplc="791A72B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1">
    <w:nsid w:val="239A71BE"/>
    <w:multiLevelType w:val="hybridMultilevel"/>
    <w:tmpl w:val="B560B63E"/>
    <w:lvl w:ilvl="0" w:tplc="0A0484EA">
      <w:start w:val="1"/>
      <w:numFmt w:val="bullet"/>
      <w:lvlText w:val=""/>
      <w:lvlJc w:val="left"/>
      <w:pPr>
        <w:ind w:left="720" w:hanging="360"/>
      </w:pPr>
      <w:rPr>
        <w:rFonts w:ascii="Symbol" w:hAnsi="Symbol" w:hint="default"/>
      </w:rPr>
    </w:lvl>
    <w:lvl w:ilvl="1" w:tplc="6422D620" w:tentative="1">
      <w:start w:val="1"/>
      <w:numFmt w:val="bullet"/>
      <w:lvlText w:val="o"/>
      <w:lvlJc w:val="left"/>
      <w:pPr>
        <w:ind w:left="1440" w:hanging="360"/>
      </w:pPr>
      <w:rPr>
        <w:rFonts w:ascii="Courier New" w:hAnsi="Courier New" w:cs="Courier New" w:hint="default"/>
      </w:rPr>
    </w:lvl>
    <w:lvl w:ilvl="2" w:tplc="02C8F210" w:tentative="1">
      <w:start w:val="1"/>
      <w:numFmt w:val="bullet"/>
      <w:lvlText w:val=""/>
      <w:lvlJc w:val="left"/>
      <w:pPr>
        <w:ind w:left="2160" w:hanging="360"/>
      </w:pPr>
      <w:rPr>
        <w:rFonts w:ascii="Wingdings" w:hAnsi="Wingdings" w:hint="default"/>
      </w:rPr>
    </w:lvl>
    <w:lvl w:ilvl="3" w:tplc="FDA2ECE8" w:tentative="1">
      <w:start w:val="1"/>
      <w:numFmt w:val="bullet"/>
      <w:lvlText w:val=""/>
      <w:lvlJc w:val="left"/>
      <w:pPr>
        <w:ind w:left="2880" w:hanging="360"/>
      </w:pPr>
      <w:rPr>
        <w:rFonts w:ascii="Symbol" w:hAnsi="Symbol" w:hint="default"/>
      </w:rPr>
    </w:lvl>
    <w:lvl w:ilvl="4" w:tplc="30BAD3C0" w:tentative="1">
      <w:start w:val="1"/>
      <w:numFmt w:val="bullet"/>
      <w:lvlText w:val="o"/>
      <w:lvlJc w:val="left"/>
      <w:pPr>
        <w:ind w:left="3600" w:hanging="360"/>
      </w:pPr>
      <w:rPr>
        <w:rFonts w:ascii="Courier New" w:hAnsi="Courier New" w:cs="Courier New" w:hint="default"/>
      </w:rPr>
    </w:lvl>
    <w:lvl w:ilvl="5" w:tplc="0448B376" w:tentative="1">
      <w:start w:val="1"/>
      <w:numFmt w:val="bullet"/>
      <w:lvlText w:val=""/>
      <w:lvlJc w:val="left"/>
      <w:pPr>
        <w:ind w:left="4320" w:hanging="360"/>
      </w:pPr>
      <w:rPr>
        <w:rFonts w:ascii="Wingdings" w:hAnsi="Wingdings" w:hint="default"/>
      </w:rPr>
    </w:lvl>
    <w:lvl w:ilvl="6" w:tplc="33325E70" w:tentative="1">
      <w:start w:val="1"/>
      <w:numFmt w:val="bullet"/>
      <w:lvlText w:val=""/>
      <w:lvlJc w:val="left"/>
      <w:pPr>
        <w:ind w:left="5040" w:hanging="360"/>
      </w:pPr>
      <w:rPr>
        <w:rFonts w:ascii="Symbol" w:hAnsi="Symbol" w:hint="default"/>
      </w:rPr>
    </w:lvl>
    <w:lvl w:ilvl="7" w:tplc="427E42E0" w:tentative="1">
      <w:start w:val="1"/>
      <w:numFmt w:val="bullet"/>
      <w:lvlText w:val="o"/>
      <w:lvlJc w:val="left"/>
      <w:pPr>
        <w:ind w:left="5760" w:hanging="360"/>
      </w:pPr>
      <w:rPr>
        <w:rFonts w:ascii="Courier New" w:hAnsi="Courier New" w:cs="Courier New" w:hint="default"/>
      </w:rPr>
    </w:lvl>
    <w:lvl w:ilvl="8" w:tplc="E9DADD82" w:tentative="1">
      <w:start w:val="1"/>
      <w:numFmt w:val="bullet"/>
      <w:lvlText w:val=""/>
      <w:lvlJc w:val="left"/>
      <w:pPr>
        <w:ind w:left="6480" w:hanging="360"/>
      </w:pPr>
      <w:rPr>
        <w:rFonts w:ascii="Wingdings" w:hAnsi="Wingdings" w:hint="default"/>
      </w:rPr>
    </w:lvl>
  </w:abstractNum>
  <w:abstractNum w:abstractNumId="6" w15:restartNumberingAfterBreak="0">
    <w:nsid w:val="25126142"/>
    <w:multiLevelType w:val="hybridMultilevel"/>
    <w:tmpl w:val="55366E5A"/>
    <w:lvl w:ilvl="0" w:tplc="599ABD1C">
      <w:start w:val="1"/>
      <w:numFmt w:val="lowerLetter"/>
      <w:lvlText w:val="%1)"/>
      <w:lvlJc w:val="left"/>
      <w:pPr>
        <w:ind w:left="723" w:hanging="360"/>
      </w:pPr>
      <w:rPr>
        <w:rFonts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7" w15:restartNumberingAfterBreak="0">
    <w:nsid w:val="2AD73D29"/>
    <w:multiLevelType w:val="hybridMultilevel"/>
    <w:tmpl w:val="460C8D36"/>
    <w:lvl w:ilvl="0" w:tplc="E3D60BAC">
      <w:start w:val="4"/>
      <w:numFmt w:val="bullet"/>
      <w:lvlText w:val="-"/>
      <w:lvlJc w:val="left"/>
      <w:pPr>
        <w:ind w:left="723"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8" w15:restartNumberingAfterBreak="0">
    <w:nsid w:val="34612280"/>
    <w:multiLevelType w:val="hybridMultilevel"/>
    <w:tmpl w:val="6A50E6FE"/>
    <w:lvl w:ilvl="0" w:tplc="E6864A58">
      <w:numFmt w:val="bullet"/>
      <w:lvlText w:val="-"/>
      <w:lvlJc w:val="left"/>
      <w:pPr>
        <w:ind w:left="641" w:hanging="360"/>
      </w:pPr>
      <w:rPr>
        <w:rFonts w:ascii="Times New Roman" w:eastAsia="Times New Roman" w:hAnsi="Times New Roman" w:cs="Times New Roman" w:hint="default"/>
      </w:rPr>
    </w:lvl>
    <w:lvl w:ilvl="1" w:tplc="04260003" w:tentative="1">
      <w:start w:val="1"/>
      <w:numFmt w:val="bullet"/>
      <w:lvlText w:val="o"/>
      <w:lvlJc w:val="left"/>
      <w:pPr>
        <w:ind w:left="1361" w:hanging="360"/>
      </w:pPr>
      <w:rPr>
        <w:rFonts w:ascii="Courier New" w:hAnsi="Courier New" w:cs="Courier New" w:hint="default"/>
      </w:rPr>
    </w:lvl>
    <w:lvl w:ilvl="2" w:tplc="04260005" w:tentative="1">
      <w:start w:val="1"/>
      <w:numFmt w:val="bullet"/>
      <w:lvlText w:val=""/>
      <w:lvlJc w:val="left"/>
      <w:pPr>
        <w:ind w:left="2081" w:hanging="360"/>
      </w:pPr>
      <w:rPr>
        <w:rFonts w:ascii="Wingdings" w:hAnsi="Wingdings" w:hint="default"/>
      </w:rPr>
    </w:lvl>
    <w:lvl w:ilvl="3" w:tplc="04260001" w:tentative="1">
      <w:start w:val="1"/>
      <w:numFmt w:val="bullet"/>
      <w:lvlText w:val=""/>
      <w:lvlJc w:val="left"/>
      <w:pPr>
        <w:ind w:left="2801" w:hanging="360"/>
      </w:pPr>
      <w:rPr>
        <w:rFonts w:ascii="Symbol" w:hAnsi="Symbol" w:hint="default"/>
      </w:rPr>
    </w:lvl>
    <w:lvl w:ilvl="4" w:tplc="04260003" w:tentative="1">
      <w:start w:val="1"/>
      <w:numFmt w:val="bullet"/>
      <w:lvlText w:val="o"/>
      <w:lvlJc w:val="left"/>
      <w:pPr>
        <w:ind w:left="3521" w:hanging="360"/>
      </w:pPr>
      <w:rPr>
        <w:rFonts w:ascii="Courier New" w:hAnsi="Courier New" w:cs="Courier New" w:hint="default"/>
      </w:rPr>
    </w:lvl>
    <w:lvl w:ilvl="5" w:tplc="04260005" w:tentative="1">
      <w:start w:val="1"/>
      <w:numFmt w:val="bullet"/>
      <w:lvlText w:val=""/>
      <w:lvlJc w:val="left"/>
      <w:pPr>
        <w:ind w:left="4241" w:hanging="360"/>
      </w:pPr>
      <w:rPr>
        <w:rFonts w:ascii="Wingdings" w:hAnsi="Wingdings" w:hint="default"/>
      </w:rPr>
    </w:lvl>
    <w:lvl w:ilvl="6" w:tplc="04260001" w:tentative="1">
      <w:start w:val="1"/>
      <w:numFmt w:val="bullet"/>
      <w:lvlText w:val=""/>
      <w:lvlJc w:val="left"/>
      <w:pPr>
        <w:ind w:left="4961" w:hanging="360"/>
      </w:pPr>
      <w:rPr>
        <w:rFonts w:ascii="Symbol" w:hAnsi="Symbol" w:hint="default"/>
      </w:rPr>
    </w:lvl>
    <w:lvl w:ilvl="7" w:tplc="04260003" w:tentative="1">
      <w:start w:val="1"/>
      <w:numFmt w:val="bullet"/>
      <w:lvlText w:val="o"/>
      <w:lvlJc w:val="left"/>
      <w:pPr>
        <w:ind w:left="5681" w:hanging="360"/>
      </w:pPr>
      <w:rPr>
        <w:rFonts w:ascii="Courier New" w:hAnsi="Courier New" w:cs="Courier New" w:hint="default"/>
      </w:rPr>
    </w:lvl>
    <w:lvl w:ilvl="8" w:tplc="04260005" w:tentative="1">
      <w:start w:val="1"/>
      <w:numFmt w:val="bullet"/>
      <w:lvlText w:val=""/>
      <w:lvlJc w:val="left"/>
      <w:pPr>
        <w:ind w:left="6401" w:hanging="360"/>
      </w:pPr>
      <w:rPr>
        <w:rFonts w:ascii="Wingdings" w:hAnsi="Wingdings" w:hint="default"/>
      </w:rPr>
    </w:lvl>
  </w:abstractNum>
  <w:abstractNum w:abstractNumId="9" w15:restartNumberingAfterBreak="1">
    <w:nsid w:val="39AA74DB"/>
    <w:multiLevelType w:val="hybridMultilevel"/>
    <w:tmpl w:val="26005BF0"/>
    <w:lvl w:ilvl="0" w:tplc="8C540922">
      <w:start w:val="1"/>
      <w:numFmt w:val="lowerLetter"/>
      <w:lvlText w:val="%1)"/>
      <w:lvlJc w:val="left"/>
      <w:pPr>
        <w:ind w:left="2160" w:hanging="360"/>
      </w:pPr>
    </w:lvl>
    <w:lvl w:ilvl="1" w:tplc="A8320896" w:tentative="1">
      <w:start w:val="1"/>
      <w:numFmt w:val="lowerLetter"/>
      <w:lvlText w:val="%2."/>
      <w:lvlJc w:val="left"/>
      <w:pPr>
        <w:ind w:left="2880" w:hanging="360"/>
      </w:pPr>
    </w:lvl>
    <w:lvl w:ilvl="2" w:tplc="C8CCC8D4" w:tentative="1">
      <w:start w:val="1"/>
      <w:numFmt w:val="lowerRoman"/>
      <w:lvlText w:val="%3."/>
      <w:lvlJc w:val="right"/>
      <w:pPr>
        <w:ind w:left="3600" w:hanging="180"/>
      </w:pPr>
    </w:lvl>
    <w:lvl w:ilvl="3" w:tplc="0158CED4" w:tentative="1">
      <w:start w:val="1"/>
      <w:numFmt w:val="decimal"/>
      <w:lvlText w:val="%4."/>
      <w:lvlJc w:val="left"/>
      <w:pPr>
        <w:ind w:left="4320" w:hanging="360"/>
      </w:pPr>
    </w:lvl>
    <w:lvl w:ilvl="4" w:tplc="13C4BEB4" w:tentative="1">
      <w:start w:val="1"/>
      <w:numFmt w:val="lowerLetter"/>
      <w:lvlText w:val="%5."/>
      <w:lvlJc w:val="left"/>
      <w:pPr>
        <w:ind w:left="5040" w:hanging="360"/>
      </w:pPr>
    </w:lvl>
    <w:lvl w:ilvl="5" w:tplc="9162F74E" w:tentative="1">
      <w:start w:val="1"/>
      <w:numFmt w:val="lowerRoman"/>
      <w:lvlText w:val="%6."/>
      <w:lvlJc w:val="right"/>
      <w:pPr>
        <w:ind w:left="5760" w:hanging="180"/>
      </w:pPr>
    </w:lvl>
    <w:lvl w:ilvl="6" w:tplc="2CE489BC" w:tentative="1">
      <w:start w:val="1"/>
      <w:numFmt w:val="decimal"/>
      <w:lvlText w:val="%7."/>
      <w:lvlJc w:val="left"/>
      <w:pPr>
        <w:ind w:left="6480" w:hanging="360"/>
      </w:pPr>
    </w:lvl>
    <w:lvl w:ilvl="7" w:tplc="715082AC" w:tentative="1">
      <w:start w:val="1"/>
      <w:numFmt w:val="lowerLetter"/>
      <w:lvlText w:val="%8."/>
      <w:lvlJc w:val="left"/>
      <w:pPr>
        <w:ind w:left="7200" w:hanging="360"/>
      </w:pPr>
    </w:lvl>
    <w:lvl w:ilvl="8" w:tplc="649E586C" w:tentative="1">
      <w:start w:val="1"/>
      <w:numFmt w:val="lowerRoman"/>
      <w:lvlText w:val="%9."/>
      <w:lvlJc w:val="right"/>
      <w:pPr>
        <w:ind w:left="7920" w:hanging="180"/>
      </w:pPr>
    </w:lvl>
  </w:abstractNum>
  <w:abstractNum w:abstractNumId="10" w15:restartNumberingAfterBreak="0">
    <w:nsid w:val="3ACB45F9"/>
    <w:multiLevelType w:val="hybridMultilevel"/>
    <w:tmpl w:val="1B70ED44"/>
    <w:lvl w:ilvl="0" w:tplc="78A0ED1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1">
    <w:nsid w:val="3B18483D"/>
    <w:multiLevelType w:val="hybridMultilevel"/>
    <w:tmpl w:val="FD763BDE"/>
    <w:lvl w:ilvl="0" w:tplc="1A64B65C">
      <w:start w:val="1"/>
      <w:numFmt w:val="bullet"/>
      <w:lvlText w:val=""/>
      <w:lvlJc w:val="left"/>
      <w:pPr>
        <w:ind w:left="720" w:hanging="360"/>
      </w:pPr>
      <w:rPr>
        <w:rFonts w:ascii="Symbol" w:hAnsi="Symbol" w:hint="default"/>
      </w:rPr>
    </w:lvl>
    <w:lvl w:ilvl="1" w:tplc="55529676" w:tentative="1">
      <w:start w:val="1"/>
      <w:numFmt w:val="bullet"/>
      <w:lvlText w:val="o"/>
      <w:lvlJc w:val="left"/>
      <w:pPr>
        <w:ind w:left="1440" w:hanging="360"/>
      </w:pPr>
      <w:rPr>
        <w:rFonts w:ascii="Courier New" w:hAnsi="Courier New" w:cs="Courier New" w:hint="default"/>
      </w:rPr>
    </w:lvl>
    <w:lvl w:ilvl="2" w:tplc="D40EACDE" w:tentative="1">
      <w:start w:val="1"/>
      <w:numFmt w:val="bullet"/>
      <w:lvlText w:val=""/>
      <w:lvlJc w:val="left"/>
      <w:pPr>
        <w:ind w:left="2160" w:hanging="360"/>
      </w:pPr>
      <w:rPr>
        <w:rFonts w:ascii="Wingdings" w:hAnsi="Wingdings" w:hint="default"/>
      </w:rPr>
    </w:lvl>
    <w:lvl w:ilvl="3" w:tplc="2B8C0792" w:tentative="1">
      <w:start w:val="1"/>
      <w:numFmt w:val="bullet"/>
      <w:lvlText w:val=""/>
      <w:lvlJc w:val="left"/>
      <w:pPr>
        <w:ind w:left="2880" w:hanging="360"/>
      </w:pPr>
      <w:rPr>
        <w:rFonts w:ascii="Symbol" w:hAnsi="Symbol" w:hint="default"/>
      </w:rPr>
    </w:lvl>
    <w:lvl w:ilvl="4" w:tplc="D8A4B4EA" w:tentative="1">
      <w:start w:val="1"/>
      <w:numFmt w:val="bullet"/>
      <w:lvlText w:val="o"/>
      <w:lvlJc w:val="left"/>
      <w:pPr>
        <w:ind w:left="3600" w:hanging="360"/>
      </w:pPr>
      <w:rPr>
        <w:rFonts w:ascii="Courier New" w:hAnsi="Courier New" w:cs="Courier New" w:hint="default"/>
      </w:rPr>
    </w:lvl>
    <w:lvl w:ilvl="5" w:tplc="EC7CE416" w:tentative="1">
      <w:start w:val="1"/>
      <w:numFmt w:val="bullet"/>
      <w:lvlText w:val=""/>
      <w:lvlJc w:val="left"/>
      <w:pPr>
        <w:ind w:left="4320" w:hanging="360"/>
      </w:pPr>
      <w:rPr>
        <w:rFonts w:ascii="Wingdings" w:hAnsi="Wingdings" w:hint="default"/>
      </w:rPr>
    </w:lvl>
    <w:lvl w:ilvl="6" w:tplc="C0FAD7D6" w:tentative="1">
      <w:start w:val="1"/>
      <w:numFmt w:val="bullet"/>
      <w:lvlText w:val=""/>
      <w:lvlJc w:val="left"/>
      <w:pPr>
        <w:ind w:left="5040" w:hanging="360"/>
      </w:pPr>
      <w:rPr>
        <w:rFonts w:ascii="Symbol" w:hAnsi="Symbol" w:hint="default"/>
      </w:rPr>
    </w:lvl>
    <w:lvl w:ilvl="7" w:tplc="CBA4D61E" w:tentative="1">
      <w:start w:val="1"/>
      <w:numFmt w:val="bullet"/>
      <w:lvlText w:val="o"/>
      <w:lvlJc w:val="left"/>
      <w:pPr>
        <w:ind w:left="5760" w:hanging="360"/>
      </w:pPr>
      <w:rPr>
        <w:rFonts w:ascii="Courier New" w:hAnsi="Courier New" w:cs="Courier New" w:hint="default"/>
      </w:rPr>
    </w:lvl>
    <w:lvl w:ilvl="8" w:tplc="BF582F16" w:tentative="1">
      <w:start w:val="1"/>
      <w:numFmt w:val="bullet"/>
      <w:lvlText w:val=""/>
      <w:lvlJc w:val="left"/>
      <w:pPr>
        <w:ind w:left="6480" w:hanging="360"/>
      </w:pPr>
      <w:rPr>
        <w:rFonts w:ascii="Wingdings" w:hAnsi="Wingdings" w:hint="default"/>
      </w:rPr>
    </w:lvl>
  </w:abstractNum>
  <w:abstractNum w:abstractNumId="12" w15:restartNumberingAfterBreak="1">
    <w:nsid w:val="479F5182"/>
    <w:multiLevelType w:val="hybridMultilevel"/>
    <w:tmpl w:val="1644A354"/>
    <w:lvl w:ilvl="0" w:tplc="8A1E4174">
      <w:numFmt w:val="bullet"/>
      <w:lvlText w:val="-"/>
      <w:lvlJc w:val="left"/>
      <w:pPr>
        <w:ind w:left="720" w:hanging="360"/>
      </w:pPr>
      <w:rPr>
        <w:rFonts w:ascii="Times New Roman" w:eastAsia="Times New Roman" w:hAnsi="Times New Roman" w:cs="Times New Roman" w:hint="default"/>
      </w:rPr>
    </w:lvl>
    <w:lvl w:ilvl="1" w:tplc="5B4E59E0" w:tentative="1">
      <w:start w:val="1"/>
      <w:numFmt w:val="bullet"/>
      <w:lvlText w:val="o"/>
      <w:lvlJc w:val="left"/>
      <w:pPr>
        <w:ind w:left="1440" w:hanging="360"/>
      </w:pPr>
      <w:rPr>
        <w:rFonts w:ascii="Courier New" w:hAnsi="Courier New" w:cs="Courier New" w:hint="default"/>
      </w:rPr>
    </w:lvl>
    <w:lvl w:ilvl="2" w:tplc="63C2A82C" w:tentative="1">
      <w:start w:val="1"/>
      <w:numFmt w:val="bullet"/>
      <w:lvlText w:val=""/>
      <w:lvlJc w:val="left"/>
      <w:pPr>
        <w:ind w:left="2160" w:hanging="360"/>
      </w:pPr>
      <w:rPr>
        <w:rFonts w:ascii="Wingdings" w:hAnsi="Wingdings" w:hint="default"/>
      </w:rPr>
    </w:lvl>
    <w:lvl w:ilvl="3" w:tplc="54F22EA2" w:tentative="1">
      <w:start w:val="1"/>
      <w:numFmt w:val="bullet"/>
      <w:lvlText w:val=""/>
      <w:lvlJc w:val="left"/>
      <w:pPr>
        <w:ind w:left="2880" w:hanging="360"/>
      </w:pPr>
      <w:rPr>
        <w:rFonts w:ascii="Symbol" w:hAnsi="Symbol" w:hint="default"/>
      </w:rPr>
    </w:lvl>
    <w:lvl w:ilvl="4" w:tplc="7A76A13E" w:tentative="1">
      <w:start w:val="1"/>
      <w:numFmt w:val="bullet"/>
      <w:lvlText w:val="o"/>
      <w:lvlJc w:val="left"/>
      <w:pPr>
        <w:ind w:left="3600" w:hanging="360"/>
      </w:pPr>
      <w:rPr>
        <w:rFonts w:ascii="Courier New" w:hAnsi="Courier New" w:cs="Courier New" w:hint="default"/>
      </w:rPr>
    </w:lvl>
    <w:lvl w:ilvl="5" w:tplc="4F18D394" w:tentative="1">
      <w:start w:val="1"/>
      <w:numFmt w:val="bullet"/>
      <w:lvlText w:val=""/>
      <w:lvlJc w:val="left"/>
      <w:pPr>
        <w:ind w:left="4320" w:hanging="360"/>
      </w:pPr>
      <w:rPr>
        <w:rFonts w:ascii="Wingdings" w:hAnsi="Wingdings" w:hint="default"/>
      </w:rPr>
    </w:lvl>
    <w:lvl w:ilvl="6" w:tplc="8EC6B996" w:tentative="1">
      <w:start w:val="1"/>
      <w:numFmt w:val="bullet"/>
      <w:lvlText w:val=""/>
      <w:lvlJc w:val="left"/>
      <w:pPr>
        <w:ind w:left="5040" w:hanging="360"/>
      </w:pPr>
      <w:rPr>
        <w:rFonts w:ascii="Symbol" w:hAnsi="Symbol" w:hint="default"/>
      </w:rPr>
    </w:lvl>
    <w:lvl w:ilvl="7" w:tplc="2398F8B2" w:tentative="1">
      <w:start w:val="1"/>
      <w:numFmt w:val="bullet"/>
      <w:lvlText w:val="o"/>
      <w:lvlJc w:val="left"/>
      <w:pPr>
        <w:ind w:left="5760" w:hanging="360"/>
      </w:pPr>
      <w:rPr>
        <w:rFonts w:ascii="Courier New" w:hAnsi="Courier New" w:cs="Courier New" w:hint="default"/>
      </w:rPr>
    </w:lvl>
    <w:lvl w:ilvl="8" w:tplc="7D3E379E" w:tentative="1">
      <w:start w:val="1"/>
      <w:numFmt w:val="bullet"/>
      <w:lvlText w:val=""/>
      <w:lvlJc w:val="left"/>
      <w:pPr>
        <w:ind w:left="6480" w:hanging="360"/>
      </w:pPr>
      <w:rPr>
        <w:rFonts w:ascii="Wingdings" w:hAnsi="Wingdings" w:hint="default"/>
      </w:rPr>
    </w:lvl>
  </w:abstractNum>
  <w:abstractNum w:abstractNumId="13" w15:restartNumberingAfterBreak="1">
    <w:nsid w:val="4B164369"/>
    <w:multiLevelType w:val="hybridMultilevel"/>
    <w:tmpl w:val="B9CAE868"/>
    <w:lvl w:ilvl="0" w:tplc="9142F8FC">
      <w:start w:val="1"/>
      <w:numFmt w:val="bullet"/>
      <w:lvlText w:val=""/>
      <w:lvlJc w:val="left"/>
      <w:pPr>
        <w:ind w:left="1112" w:hanging="360"/>
      </w:pPr>
      <w:rPr>
        <w:rFonts w:ascii="Symbol" w:hAnsi="Symbol" w:hint="default"/>
      </w:rPr>
    </w:lvl>
    <w:lvl w:ilvl="1" w:tplc="91D2873A" w:tentative="1">
      <w:start w:val="1"/>
      <w:numFmt w:val="bullet"/>
      <w:lvlText w:val="o"/>
      <w:lvlJc w:val="left"/>
      <w:pPr>
        <w:ind w:left="1832" w:hanging="360"/>
      </w:pPr>
      <w:rPr>
        <w:rFonts w:ascii="Courier New" w:hAnsi="Courier New" w:cs="Courier New" w:hint="default"/>
      </w:rPr>
    </w:lvl>
    <w:lvl w:ilvl="2" w:tplc="447E2808" w:tentative="1">
      <w:start w:val="1"/>
      <w:numFmt w:val="bullet"/>
      <w:lvlText w:val=""/>
      <w:lvlJc w:val="left"/>
      <w:pPr>
        <w:ind w:left="2552" w:hanging="360"/>
      </w:pPr>
      <w:rPr>
        <w:rFonts w:ascii="Wingdings" w:hAnsi="Wingdings" w:hint="default"/>
      </w:rPr>
    </w:lvl>
    <w:lvl w:ilvl="3" w:tplc="0C0471B6" w:tentative="1">
      <w:start w:val="1"/>
      <w:numFmt w:val="bullet"/>
      <w:lvlText w:val=""/>
      <w:lvlJc w:val="left"/>
      <w:pPr>
        <w:ind w:left="3272" w:hanging="360"/>
      </w:pPr>
      <w:rPr>
        <w:rFonts w:ascii="Symbol" w:hAnsi="Symbol" w:hint="default"/>
      </w:rPr>
    </w:lvl>
    <w:lvl w:ilvl="4" w:tplc="BA9A5406" w:tentative="1">
      <w:start w:val="1"/>
      <w:numFmt w:val="bullet"/>
      <w:lvlText w:val="o"/>
      <w:lvlJc w:val="left"/>
      <w:pPr>
        <w:ind w:left="3992" w:hanging="360"/>
      </w:pPr>
      <w:rPr>
        <w:rFonts w:ascii="Courier New" w:hAnsi="Courier New" w:cs="Courier New" w:hint="default"/>
      </w:rPr>
    </w:lvl>
    <w:lvl w:ilvl="5" w:tplc="EEB88AC2" w:tentative="1">
      <w:start w:val="1"/>
      <w:numFmt w:val="bullet"/>
      <w:lvlText w:val=""/>
      <w:lvlJc w:val="left"/>
      <w:pPr>
        <w:ind w:left="4712" w:hanging="360"/>
      </w:pPr>
      <w:rPr>
        <w:rFonts w:ascii="Wingdings" w:hAnsi="Wingdings" w:hint="default"/>
      </w:rPr>
    </w:lvl>
    <w:lvl w:ilvl="6" w:tplc="A72254EC" w:tentative="1">
      <w:start w:val="1"/>
      <w:numFmt w:val="bullet"/>
      <w:lvlText w:val=""/>
      <w:lvlJc w:val="left"/>
      <w:pPr>
        <w:ind w:left="5432" w:hanging="360"/>
      </w:pPr>
      <w:rPr>
        <w:rFonts w:ascii="Symbol" w:hAnsi="Symbol" w:hint="default"/>
      </w:rPr>
    </w:lvl>
    <w:lvl w:ilvl="7" w:tplc="5A3AFC38" w:tentative="1">
      <w:start w:val="1"/>
      <w:numFmt w:val="bullet"/>
      <w:lvlText w:val="o"/>
      <w:lvlJc w:val="left"/>
      <w:pPr>
        <w:ind w:left="6152" w:hanging="360"/>
      </w:pPr>
      <w:rPr>
        <w:rFonts w:ascii="Courier New" w:hAnsi="Courier New" w:cs="Courier New" w:hint="default"/>
      </w:rPr>
    </w:lvl>
    <w:lvl w:ilvl="8" w:tplc="7CDCA386" w:tentative="1">
      <w:start w:val="1"/>
      <w:numFmt w:val="bullet"/>
      <w:lvlText w:val=""/>
      <w:lvlJc w:val="left"/>
      <w:pPr>
        <w:ind w:left="6872" w:hanging="360"/>
      </w:pPr>
      <w:rPr>
        <w:rFonts w:ascii="Wingdings" w:hAnsi="Wingdings" w:hint="default"/>
      </w:rPr>
    </w:lvl>
  </w:abstractNum>
  <w:abstractNum w:abstractNumId="14" w15:restartNumberingAfterBreak="0">
    <w:nsid w:val="5252559B"/>
    <w:multiLevelType w:val="hybridMultilevel"/>
    <w:tmpl w:val="BEE608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1">
    <w:nsid w:val="5A16569A"/>
    <w:multiLevelType w:val="hybridMultilevel"/>
    <w:tmpl w:val="A18E7574"/>
    <w:lvl w:ilvl="0" w:tplc="475274A2">
      <w:start w:val="2015"/>
      <w:numFmt w:val="bullet"/>
      <w:lvlText w:val="-"/>
      <w:lvlJc w:val="left"/>
      <w:pPr>
        <w:ind w:left="1080" w:hanging="360"/>
      </w:pPr>
      <w:rPr>
        <w:rFonts w:ascii="Times New Roman" w:eastAsia="Times New Roman" w:hAnsi="Times New Roman" w:cs="Times New Roman" w:hint="default"/>
      </w:rPr>
    </w:lvl>
    <w:lvl w:ilvl="1" w:tplc="D1567BD4">
      <w:start w:val="1"/>
      <w:numFmt w:val="bullet"/>
      <w:lvlText w:val="o"/>
      <w:lvlJc w:val="left"/>
      <w:pPr>
        <w:ind w:left="1800" w:hanging="360"/>
      </w:pPr>
      <w:rPr>
        <w:rFonts w:ascii="Courier New" w:hAnsi="Courier New" w:cs="Courier New" w:hint="default"/>
      </w:rPr>
    </w:lvl>
    <w:lvl w:ilvl="2" w:tplc="D0EEBB22" w:tentative="1">
      <w:start w:val="1"/>
      <w:numFmt w:val="bullet"/>
      <w:lvlText w:val=""/>
      <w:lvlJc w:val="left"/>
      <w:pPr>
        <w:ind w:left="2520" w:hanging="360"/>
      </w:pPr>
      <w:rPr>
        <w:rFonts w:ascii="Wingdings" w:hAnsi="Wingdings" w:hint="default"/>
      </w:rPr>
    </w:lvl>
    <w:lvl w:ilvl="3" w:tplc="B58E7AF8" w:tentative="1">
      <w:start w:val="1"/>
      <w:numFmt w:val="bullet"/>
      <w:lvlText w:val=""/>
      <w:lvlJc w:val="left"/>
      <w:pPr>
        <w:ind w:left="3240" w:hanging="360"/>
      </w:pPr>
      <w:rPr>
        <w:rFonts w:ascii="Symbol" w:hAnsi="Symbol" w:hint="default"/>
      </w:rPr>
    </w:lvl>
    <w:lvl w:ilvl="4" w:tplc="E4808194" w:tentative="1">
      <w:start w:val="1"/>
      <w:numFmt w:val="bullet"/>
      <w:lvlText w:val="o"/>
      <w:lvlJc w:val="left"/>
      <w:pPr>
        <w:ind w:left="3960" w:hanging="360"/>
      </w:pPr>
      <w:rPr>
        <w:rFonts w:ascii="Courier New" w:hAnsi="Courier New" w:cs="Courier New" w:hint="default"/>
      </w:rPr>
    </w:lvl>
    <w:lvl w:ilvl="5" w:tplc="9A08AE3E" w:tentative="1">
      <w:start w:val="1"/>
      <w:numFmt w:val="bullet"/>
      <w:lvlText w:val=""/>
      <w:lvlJc w:val="left"/>
      <w:pPr>
        <w:ind w:left="4680" w:hanging="360"/>
      </w:pPr>
      <w:rPr>
        <w:rFonts w:ascii="Wingdings" w:hAnsi="Wingdings" w:hint="default"/>
      </w:rPr>
    </w:lvl>
    <w:lvl w:ilvl="6" w:tplc="26502552" w:tentative="1">
      <w:start w:val="1"/>
      <w:numFmt w:val="bullet"/>
      <w:lvlText w:val=""/>
      <w:lvlJc w:val="left"/>
      <w:pPr>
        <w:ind w:left="5400" w:hanging="360"/>
      </w:pPr>
      <w:rPr>
        <w:rFonts w:ascii="Symbol" w:hAnsi="Symbol" w:hint="default"/>
      </w:rPr>
    </w:lvl>
    <w:lvl w:ilvl="7" w:tplc="01CE815A" w:tentative="1">
      <w:start w:val="1"/>
      <w:numFmt w:val="bullet"/>
      <w:lvlText w:val="o"/>
      <w:lvlJc w:val="left"/>
      <w:pPr>
        <w:ind w:left="6120" w:hanging="360"/>
      </w:pPr>
      <w:rPr>
        <w:rFonts w:ascii="Courier New" w:hAnsi="Courier New" w:cs="Courier New" w:hint="default"/>
      </w:rPr>
    </w:lvl>
    <w:lvl w:ilvl="8" w:tplc="01D0D476" w:tentative="1">
      <w:start w:val="1"/>
      <w:numFmt w:val="bullet"/>
      <w:lvlText w:val=""/>
      <w:lvlJc w:val="left"/>
      <w:pPr>
        <w:ind w:left="6840" w:hanging="360"/>
      </w:pPr>
      <w:rPr>
        <w:rFonts w:ascii="Wingdings" w:hAnsi="Wingdings" w:hint="default"/>
      </w:rPr>
    </w:lvl>
  </w:abstractNum>
  <w:abstractNum w:abstractNumId="16" w15:restartNumberingAfterBreak="0">
    <w:nsid w:val="5C421E7E"/>
    <w:multiLevelType w:val="multilevel"/>
    <w:tmpl w:val="07F0F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D2020C"/>
    <w:multiLevelType w:val="hybridMultilevel"/>
    <w:tmpl w:val="4168C242"/>
    <w:lvl w:ilvl="0" w:tplc="5504FF64">
      <w:start w:val="1"/>
      <w:numFmt w:val="decimal"/>
      <w:lvlText w:val="%1)"/>
      <w:lvlJc w:val="left"/>
      <w:pPr>
        <w:ind w:left="723" w:hanging="360"/>
      </w:pPr>
      <w:rPr>
        <w:rFonts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18" w15:restartNumberingAfterBreak="1">
    <w:nsid w:val="6DEB10BA"/>
    <w:multiLevelType w:val="hybridMultilevel"/>
    <w:tmpl w:val="BB5AEE8C"/>
    <w:lvl w:ilvl="0" w:tplc="140096E2">
      <w:start w:val="1"/>
      <w:numFmt w:val="bullet"/>
      <w:lvlText w:val=""/>
      <w:lvlJc w:val="left"/>
      <w:pPr>
        <w:ind w:left="720" w:hanging="360"/>
      </w:pPr>
      <w:rPr>
        <w:rFonts w:ascii="Symbol" w:hAnsi="Symbol" w:hint="default"/>
      </w:rPr>
    </w:lvl>
    <w:lvl w:ilvl="1" w:tplc="CC44EB82" w:tentative="1">
      <w:start w:val="1"/>
      <w:numFmt w:val="bullet"/>
      <w:lvlText w:val="o"/>
      <w:lvlJc w:val="left"/>
      <w:pPr>
        <w:ind w:left="1440" w:hanging="360"/>
      </w:pPr>
      <w:rPr>
        <w:rFonts w:ascii="Courier New" w:hAnsi="Courier New" w:cs="Courier New" w:hint="default"/>
      </w:rPr>
    </w:lvl>
    <w:lvl w:ilvl="2" w:tplc="7C8444BA" w:tentative="1">
      <w:start w:val="1"/>
      <w:numFmt w:val="bullet"/>
      <w:lvlText w:val=""/>
      <w:lvlJc w:val="left"/>
      <w:pPr>
        <w:ind w:left="2160" w:hanging="360"/>
      </w:pPr>
      <w:rPr>
        <w:rFonts w:ascii="Wingdings" w:hAnsi="Wingdings" w:hint="default"/>
      </w:rPr>
    </w:lvl>
    <w:lvl w:ilvl="3" w:tplc="26829650" w:tentative="1">
      <w:start w:val="1"/>
      <w:numFmt w:val="bullet"/>
      <w:lvlText w:val=""/>
      <w:lvlJc w:val="left"/>
      <w:pPr>
        <w:ind w:left="2880" w:hanging="360"/>
      </w:pPr>
      <w:rPr>
        <w:rFonts w:ascii="Symbol" w:hAnsi="Symbol" w:hint="default"/>
      </w:rPr>
    </w:lvl>
    <w:lvl w:ilvl="4" w:tplc="E8465B08" w:tentative="1">
      <w:start w:val="1"/>
      <w:numFmt w:val="bullet"/>
      <w:lvlText w:val="o"/>
      <w:lvlJc w:val="left"/>
      <w:pPr>
        <w:ind w:left="3600" w:hanging="360"/>
      </w:pPr>
      <w:rPr>
        <w:rFonts w:ascii="Courier New" w:hAnsi="Courier New" w:cs="Courier New" w:hint="default"/>
      </w:rPr>
    </w:lvl>
    <w:lvl w:ilvl="5" w:tplc="AB4AD6D2" w:tentative="1">
      <w:start w:val="1"/>
      <w:numFmt w:val="bullet"/>
      <w:lvlText w:val=""/>
      <w:lvlJc w:val="left"/>
      <w:pPr>
        <w:ind w:left="4320" w:hanging="360"/>
      </w:pPr>
      <w:rPr>
        <w:rFonts w:ascii="Wingdings" w:hAnsi="Wingdings" w:hint="default"/>
      </w:rPr>
    </w:lvl>
    <w:lvl w:ilvl="6" w:tplc="F4A61572" w:tentative="1">
      <w:start w:val="1"/>
      <w:numFmt w:val="bullet"/>
      <w:lvlText w:val=""/>
      <w:lvlJc w:val="left"/>
      <w:pPr>
        <w:ind w:left="5040" w:hanging="360"/>
      </w:pPr>
      <w:rPr>
        <w:rFonts w:ascii="Symbol" w:hAnsi="Symbol" w:hint="default"/>
      </w:rPr>
    </w:lvl>
    <w:lvl w:ilvl="7" w:tplc="FE384F06" w:tentative="1">
      <w:start w:val="1"/>
      <w:numFmt w:val="bullet"/>
      <w:lvlText w:val="o"/>
      <w:lvlJc w:val="left"/>
      <w:pPr>
        <w:ind w:left="5760" w:hanging="360"/>
      </w:pPr>
      <w:rPr>
        <w:rFonts w:ascii="Courier New" w:hAnsi="Courier New" w:cs="Courier New" w:hint="default"/>
      </w:rPr>
    </w:lvl>
    <w:lvl w:ilvl="8" w:tplc="0A584EC2" w:tentative="1">
      <w:start w:val="1"/>
      <w:numFmt w:val="bullet"/>
      <w:lvlText w:val=""/>
      <w:lvlJc w:val="left"/>
      <w:pPr>
        <w:ind w:left="6480" w:hanging="360"/>
      </w:pPr>
      <w:rPr>
        <w:rFonts w:ascii="Wingdings" w:hAnsi="Wingdings" w:hint="default"/>
      </w:rPr>
    </w:lvl>
  </w:abstractNum>
  <w:abstractNum w:abstractNumId="19" w15:restartNumberingAfterBreak="0">
    <w:nsid w:val="71A10188"/>
    <w:multiLevelType w:val="hybridMultilevel"/>
    <w:tmpl w:val="B5F89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1">
    <w:nsid w:val="74954E78"/>
    <w:multiLevelType w:val="hybridMultilevel"/>
    <w:tmpl w:val="5432788A"/>
    <w:lvl w:ilvl="0" w:tplc="D2B02538">
      <w:start w:val="1"/>
      <w:numFmt w:val="lowerLetter"/>
      <w:lvlText w:val="%1)"/>
      <w:lvlJc w:val="left"/>
      <w:pPr>
        <w:ind w:left="1854" w:hanging="360"/>
      </w:pPr>
    </w:lvl>
    <w:lvl w:ilvl="1" w:tplc="3F9463C0" w:tentative="1">
      <w:start w:val="1"/>
      <w:numFmt w:val="lowerLetter"/>
      <w:lvlText w:val="%2."/>
      <w:lvlJc w:val="left"/>
      <w:pPr>
        <w:ind w:left="2574" w:hanging="360"/>
      </w:pPr>
    </w:lvl>
    <w:lvl w:ilvl="2" w:tplc="4ACAAA92" w:tentative="1">
      <w:start w:val="1"/>
      <w:numFmt w:val="lowerRoman"/>
      <w:lvlText w:val="%3."/>
      <w:lvlJc w:val="right"/>
      <w:pPr>
        <w:ind w:left="3294" w:hanging="180"/>
      </w:pPr>
    </w:lvl>
    <w:lvl w:ilvl="3" w:tplc="52002FEA" w:tentative="1">
      <w:start w:val="1"/>
      <w:numFmt w:val="decimal"/>
      <w:lvlText w:val="%4."/>
      <w:lvlJc w:val="left"/>
      <w:pPr>
        <w:ind w:left="4014" w:hanging="360"/>
      </w:pPr>
    </w:lvl>
    <w:lvl w:ilvl="4" w:tplc="8B2EFCF8" w:tentative="1">
      <w:start w:val="1"/>
      <w:numFmt w:val="lowerLetter"/>
      <w:lvlText w:val="%5."/>
      <w:lvlJc w:val="left"/>
      <w:pPr>
        <w:ind w:left="4734" w:hanging="360"/>
      </w:pPr>
    </w:lvl>
    <w:lvl w:ilvl="5" w:tplc="580885CA" w:tentative="1">
      <w:start w:val="1"/>
      <w:numFmt w:val="lowerRoman"/>
      <w:lvlText w:val="%6."/>
      <w:lvlJc w:val="right"/>
      <w:pPr>
        <w:ind w:left="5454" w:hanging="180"/>
      </w:pPr>
    </w:lvl>
    <w:lvl w:ilvl="6" w:tplc="FC38B0C2" w:tentative="1">
      <w:start w:val="1"/>
      <w:numFmt w:val="decimal"/>
      <w:lvlText w:val="%7."/>
      <w:lvlJc w:val="left"/>
      <w:pPr>
        <w:ind w:left="6174" w:hanging="360"/>
      </w:pPr>
    </w:lvl>
    <w:lvl w:ilvl="7" w:tplc="AF1AF590" w:tentative="1">
      <w:start w:val="1"/>
      <w:numFmt w:val="lowerLetter"/>
      <w:lvlText w:val="%8."/>
      <w:lvlJc w:val="left"/>
      <w:pPr>
        <w:ind w:left="6894" w:hanging="360"/>
      </w:pPr>
    </w:lvl>
    <w:lvl w:ilvl="8" w:tplc="39E8F8A0" w:tentative="1">
      <w:start w:val="1"/>
      <w:numFmt w:val="lowerRoman"/>
      <w:lvlText w:val="%9."/>
      <w:lvlJc w:val="right"/>
      <w:pPr>
        <w:ind w:left="7614" w:hanging="180"/>
      </w:pPr>
    </w:lvl>
  </w:abstractNum>
  <w:abstractNum w:abstractNumId="21" w15:restartNumberingAfterBreak="0">
    <w:nsid w:val="74BA4CE5"/>
    <w:multiLevelType w:val="hybridMultilevel"/>
    <w:tmpl w:val="AE48A85E"/>
    <w:lvl w:ilvl="0" w:tplc="C854FBCC">
      <w:start w:val="1"/>
      <w:numFmt w:val="decimal"/>
      <w:lvlText w:val="%1)"/>
      <w:lvlJc w:val="left"/>
      <w:pPr>
        <w:ind w:left="1070"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1">
    <w:nsid w:val="7C7E4B14"/>
    <w:multiLevelType w:val="hybridMultilevel"/>
    <w:tmpl w:val="C3788E3A"/>
    <w:lvl w:ilvl="0" w:tplc="867246C4">
      <w:start w:val="1"/>
      <w:numFmt w:val="decimal"/>
      <w:lvlText w:val="%1)"/>
      <w:lvlJc w:val="left"/>
      <w:pPr>
        <w:ind w:left="927" w:hanging="360"/>
      </w:pPr>
      <w:rPr>
        <w:rFonts w:hint="default"/>
      </w:rPr>
    </w:lvl>
    <w:lvl w:ilvl="1" w:tplc="27F663C8" w:tentative="1">
      <w:start w:val="1"/>
      <w:numFmt w:val="lowerLetter"/>
      <w:lvlText w:val="%2."/>
      <w:lvlJc w:val="left"/>
      <w:pPr>
        <w:ind w:left="1647" w:hanging="360"/>
      </w:pPr>
    </w:lvl>
    <w:lvl w:ilvl="2" w:tplc="6B10BA36" w:tentative="1">
      <w:start w:val="1"/>
      <w:numFmt w:val="lowerRoman"/>
      <w:lvlText w:val="%3."/>
      <w:lvlJc w:val="right"/>
      <w:pPr>
        <w:ind w:left="2367" w:hanging="180"/>
      </w:pPr>
    </w:lvl>
    <w:lvl w:ilvl="3" w:tplc="36C0C16E" w:tentative="1">
      <w:start w:val="1"/>
      <w:numFmt w:val="decimal"/>
      <w:lvlText w:val="%4."/>
      <w:lvlJc w:val="left"/>
      <w:pPr>
        <w:ind w:left="3087" w:hanging="360"/>
      </w:pPr>
    </w:lvl>
    <w:lvl w:ilvl="4" w:tplc="261C53FE" w:tentative="1">
      <w:start w:val="1"/>
      <w:numFmt w:val="lowerLetter"/>
      <w:lvlText w:val="%5."/>
      <w:lvlJc w:val="left"/>
      <w:pPr>
        <w:ind w:left="3807" w:hanging="360"/>
      </w:pPr>
    </w:lvl>
    <w:lvl w:ilvl="5" w:tplc="9F9480CC" w:tentative="1">
      <w:start w:val="1"/>
      <w:numFmt w:val="lowerRoman"/>
      <w:lvlText w:val="%6."/>
      <w:lvlJc w:val="right"/>
      <w:pPr>
        <w:ind w:left="4527" w:hanging="180"/>
      </w:pPr>
    </w:lvl>
    <w:lvl w:ilvl="6" w:tplc="88F2498A" w:tentative="1">
      <w:start w:val="1"/>
      <w:numFmt w:val="decimal"/>
      <w:lvlText w:val="%7."/>
      <w:lvlJc w:val="left"/>
      <w:pPr>
        <w:ind w:left="5247" w:hanging="360"/>
      </w:pPr>
    </w:lvl>
    <w:lvl w:ilvl="7" w:tplc="B11A9ECC" w:tentative="1">
      <w:start w:val="1"/>
      <w:numFmt w:val="lowerLetter"/>
      <w:lvlText w:val="%8."/>
      <w:lvlJc w:val="left"/>
      <w:pPr>
        <w:ind w:left="5967" w:hanging="360"/>
      </w:pPr>
    </w:lvl>
    <w:lvl w:ilvl="8" w:tplc="77F8FC66" w:tentative="1">
      <w:start w:val="1"/>
      <w:numFmt w:val="lowerRoman"/>
      <w:lvlText w:val="%9."/>
      <w:lvlJc w:val="right"/>
      <w:pPr>
        <w:ind w:left="6687" w:hanging="180"/>
      </w:pPr>
    </w:lvl>
  </w:abstractNum>
  <w:abstractNum w:abstractNumId="23" w15:restartNumberingAfterBreak="0">
    <w:nsid w:val="7CE83339"/>
    <w:multiLevelType w:val="hybridMultilevel"/>
    <w:tmpl w:val="C338B118"/>
    <w:lvl w:ilvl="0" w:tplc="AFBE949C">
      <w:start w:val="1"/>
      <w:numFmt w:val="bullet"/>
      <w:lvlText w:val="-"/>
      <w:lvlJc w:val="left"/>
      <w:pPr>
        <w:ind w:left="3195"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num w:numId="1">
    <w:abstractNumId w:val="9"/>
  </w:num>
  <w:num w:numId="2">
    <w:abstractNumId w:val="20"/>
  </w:num>
  <w:num w:numId="3">
    <w:abstractNumId w:val="15"/>
  </w:num>
  <w:num w:numId="4">
    <w:abstractNumId w:val="18"/>
  </w:num>
  <w:num w:numId="5">
    <w:abstractNumId w:val="12"/>
  </w:num>
  <w:num w:numId="6">
    <w:abstractNumId w:val="11"/>
  </w:num>
  <w:num w:numId="7">
    <w:abstractNumId w:val="22"/>
  </w:num>
  <w:num w:numId="8">
    <w:abstractNumId w:val="13"/>
  </w:num>
  <w:num w:numId="9">
    <w:abstractNumId w:val="3"/>
  </w:num>
  <w:num w:numId="10">
    <w:abstractNumId w:val="5"/>
  </w:num>
  <w:num w:numId="11">
    <w:abstractNumId w:val="19"/>
  </w:num>
  <w:num w:numId="12">
    <w:abstractNumId w:val="21"/>
  </w:num>
  <w:num w:numId="13">
    <w:abstractNumId w:val="4"/>
  </w:num>
  <w:num w:numId="14">
    <w:abstractNumId w:val="0"/>
  </w:num>
  <w:num w:numId="15">
    <w:abstractNumId w:val="2"/>
  </w:num>
  <w:num w:numId="16">
    <w:abstractNumId w:val="1"/>
  </w:num>
  <w:num w:numId="17">
    <w:abstractNumId w:val="23"/>
  </w:num>
  <w:num w:numId="18">
    <w:abstractNumId w:val="7"/>
  </w:num>
  <w:num w:numId="19">
    <w:abstractNumId w:val="8"/>
  </w:num>
  <w:num w:numId="20">
    <w:abstractNumId w:val="17"/>
  </w:num>
  <w:num w:numId="21">
    <w:abstractNumId w:val="6"/>
  </w:num>
  <w:num w:numId="22">
    <w:abstractNumId w:val="16"/>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56"/>
    <w:rsid w:val="000001C7"/>
    <w:rsid w:val="000001D8"/>
    <w:rsid w:val="00000227"/>
    <w:rsid w:val="000030B2"/>
    <w:rsid w:val="0000320C"/>
    <w:rsid w:val="0000359D"/>
    <w:rsid w:val="0000424D"/>
    <w:rsid w:val="0000492E"/>
    <w:rsid w:val="00004DEA"/>
    <w:rsid w:val="0000527F"/>
    <w:rsid w:val="00006376"/>
    <w:rsid w:val="00006477"/>
    <w:rsid w:val="000069D3"/>
    <w:rsid w:val="00006A9F"/>
    <w:rsid w:val="00006DA0"/>
    <w:rsid w:val="00007763"/>
    <w:rsid w:val="00007A0F"/>
    <w:rsid w:val="0001137E"/>
    <w:rsid w:val="00011964"/>
    <w:rsid w:val="000125EA"/>
    <w:rsid w:val="0001280A"/>
    <w:rsid w:val="000128EE"/>
    <w:rsid w:val="00013571"/>
    <w:rsid w:val="000136EB"/>
    <w:rsid w:val="000143F2"/>
    <w:rsid w:val="000148FE"/>
    <w:rsid w:val="00014AEA"/>
    <w:rsid w:val="0001511F"/>
    <w:rsid w:val="00015765"/>
    <w:rsid w:val="00015DFA"/>
    <w:rsid w:val="00016D0F"/>
    <w:rsid w:val="0001749D"/>
    <w:rsid w:val="00017E16"/>
    <w:rsid w:val="00020A3F"/>
    <w:rsid w:val="0002163C"/>
    <w:rsid w:val="00023E31"/>
    <w:rsid w:val="000245D6"/>
    <w:rsid w:val="0002488A"/>
    <w:rsid w:val="00024EFC"/>
    <w:rsid w:val="0002540E"/>
    <w:rsid w:val="00025604"/>
    <w:rsid w:val="000265B4"/>
    <w:rsid w:val="00027BBD"/>
    <w:rsid w:val="00027CE3"/>
    <w:rsid w:val="00027FCA"/>
    <w:rsid w:val="0003038A"/>
    <w:rsid w:val="00030426"/>
    <w:rsid w:val="000309D3"/>
    <w:rsid w:val="00031831"/>
    <w:rsid w:val="000319E5"/>
    <w:rsid w:val="00032141"/>
    <w:rsid w:val="00032607"/>
    <w:rsid w:val="00032829"/>
    <w:rsid w:val="0003329F"/>
    <w:rsid w:val="0003346A"/>
    <w:rsid w:val="00035F6C"/>
    <w:rsid w:val="00036048"/>
    <w:rsid w:val="00036110"/>
    <w:rsid w:val="00036191"/>
    <w:rsid w:val="00037957"/>
    <w:rsid w:val="00037C82"/>
    <w:rsid w:val="000401B8"/>
    <w:rsid w:val="000401BB"/>
    <w:rsid w:val="00041226"/>
    <w:rsid w:val="00041CAE"/>
    <w:rsid w:val="00043287"/>
    <w:rsid w:val="000438B1"/>
    <w:rsid w:val="00043E29"/>
    <w:rsid w:val="000444F5"/>
    <w:rsid w:val="00044AA8"/>
    <w:rsid w:val="0004687A"/>
    <w:rsid w:val="000472C5"/>
    <w:rsid w:val="00047F00"/>
    <w:rsid w:val="0005019C"/>
    <w:rsid w:val="00050688"/>
    <w:rsid w:val="0005077A"/>
    <w:rsid w:val="00051637"/>
    <w:rsid w:val="00051B76"/>
    <w:rsid w:val="00052AF9"/>
    <w:rsid w:val="000535DA"/>
    <w:rsid w:val="00053736"/>
    <w:rsid w:val="0005440F"/>
    <w:rsid w:val="00054789"/>
    <w:rsid w:val="00054947"/>
    <w:rsid w:val="00054958"/>
    <w:rsid w:val="00055785"/>
    <w:rsid w:val="00056010"/>
    <w:rsid w:val="00056E15"/>
    <w:rsid w:val="00057B5A"/>
    <w:rsid w:val="00057CF6"/>
    <w:rsid w:val="00060080"/>
    <w:rsid w:val="000604AD"/>
    <w:rsid w:val="000606C8"/>
    <w:rsid w:val="00061225"/>
    <w:rsid w:val="00061BFF"/>
    <w:rsid w:val="00061DE2"/>
    <w:rsid w:val="000625DC"/>
    <w:rsid w:val="00062A49"/>
    <w:rsid w:val="0006332C"/>
    <w:rsid w:val="00063CA9"/>
    <w:rsid w:val="00066AFF"/>
    <w:rsid w:val="00066F91"/>
    <w:rsid w:val="00067691"/>
    <w:rsid w:val="0006782D"/>
    <w:rsid w:val="00070AE9"/>
    <w:rsid w:val="0007185D"/>
    <w:rsid w:val="00071EFF"/>
    <w:rsid w:val="00072943"/>
    <w:rsid w:val="00072BD6"/>
    <w:rsid w:val="00073272"/>
    <w:rsid w:val="00074016"/>
    <w:rsid w:val="000751F4"/>
    <w:rsid w:val="00075283"/>
    <w:rsid w:val="00075E40"/>
    <w:rsid w:val="00076422"/>
    <w:rsid w:val="00077627"/>
    <w:rsid w:val="00077AC8"/>
    <w:rsid w:val="00077E3B"/>
    <w:rsid w:val="00077ECD"/>
    <w:rsid w:val="00080419"/>
    <w:rsid w:val="00080BEF"/>
    <w:rsid w:val="0008189A"/>
    <w:rsid w:val="00081AAA"/>
    <w:rsid w:val="00081B99"/>
    <w:rsid w:val="00082622"/>
    <w:rsid w:val="00082A66"/>
    <w:rsid w:val="00083A5D"/>
    <w:rsid w:val="00083E5D"/>
    <w:rsid w:val="000847EF"/>
    <w:rsid w:val="0008505F"/>
    <w:rsid w:val="00085A6F"/>
    <w:rsid w:val="0008657D"/>
    <w:rsid w:val="000869AF"/>
    <w:rsid w:val="00087333"/>
    <w:rsid w:val="000875DC"/>
    <w:rsid w:val="0008768B"/>
    <w:rsid w:val="0009050B"/>
    <w:rsid w:val="0009121A"/>
    <w:rsid w:val="00092313"/>
    <w:rsid w:val="0009268E"/>
    <w:rsid w:val="000927BA"/>
    <w:rsid w:val="00093F74"/>
    <w:rsid w:val="00093F75"/>
    <w:rsid w:val="00096021"/>
    <w:rsid w:val="000960F2"/>
    <w:rsid w:val="00097420"/>
    <w:rsid w:val="00097C15"/>
    <w:rsid w:val="000A1792"/>
    <w:rsid w:val="000A259F"/>
    <w:rsid w:val="000A2C8E"/>
    <w:rsid w:val="000A2DFF"/>
    <w:rsid w:val="000A36E7"/>
    <w:rsid w:val="000A3782"/>
    <w:rsid w:val="000A41B3"/>
    <w:rsid w:val="000A4C37"/>
    <w:rsid w:val="000A4C8F"/>
    <w:rsid w:val="000A5783"/>
    <w:rsid w:val="000A581D"/>
    <w:rsid w:val="000A5C6B"/>
    <w:rsid w:val="000A5CA8"/>
    <w:rsid w:val="000A5E1F"/>
    <w:rsid w:val="000A61E3"/>
    <w:rsid w:val="000A66BE"/>
    <w:rsid w:val="000A772C"/>
    <w:rsid w:val="000A7A4D"/>
    <w:rsid w:val="000A7F2E"/>
    <w:rsid w:val="000A7FC6"/>
    <w:rsid w:val="000B0186"/>
    <w:rsid w:val="000B0883"/>
    <w:rsid w:val="000B1784"/>
    <w:rsid w:val="000B1A3F"/>
    <w:rsid w:val="000B21F6"/>
    <w:rsid w:val="000B22D8"/>
    <w:rsid w:val="000B2585"/>
    <w:rsid w:val="000B3720"/>
    <w:rsid w:val="000B39EA"/>
    <w:rsid w:val="000B4402"/>
    <w:rsid w:val="000B5393"/>
    <w:rsid w:val="000B6B0C"/>
    <w:rsid w:val="000C1758"/>
    <w:rsid w:val="000C269C"/>
    <w:rsid w:val="000C2C26"/>
    <w:rsid w:val="000C2CDA"/>
    <w:rsid w:val="000C2F99"/>
    <w:rsid w:val="000C41D7"/>
    <w:rsid w:val="000C4F48"/>
    <w:rsid w:val="000C50D9"/>
    <w:rsid w:val="000C54A9"/>
    <w:rsid w:val="000D0D19"/>
    <w:rsid w:val="000D12A0"/>
    <w:rsid w:val="000D15AA"/>
    <w:rsid w:val="000D18CB"/>
    <w:rsid w:val="000D20F8"/>
    <w:rsid w:val="000D2356"/>
    <w:rsid w:val="000D2640"/>
    <w:rsid w:val="000D2654"/>
    <w:rsid w:val="000D26D5"/>
    <w:rsid w:val="000D2EF8"/>
    <w:rsid w:val="000D37F1"/>
    <w:rsid w:val="000D3CA3"/>
    <w:rsid w:val="000D40C4"/>
    <w:rsid w:val="000D4E0D"/>
    <w:rsid w:val="000D529C"/>
    <w:rsid w:val="000D54BE"/>
    <w:rsid w:val="000D677A"/>
    <w:rsid w:val="000D76A5"/>
    <w:rsid w:val="000D778B"/>
    <w:rsid w:val="000E0202"/>
    <w:rsid w:val="000E033D"/>
    <w:rsid w:val="000E0FF1"/>
    <w:rsid w:val="000E1DB0"/>
    <w:rsid w:val="000E253E"/>
    <w:rsid w:val="000E2EA8"/>
    <w:rsid w:val="000E379D"/>
    <w:rsid w:val="000E46B9"/>
    <w:rsid w:val="000E4967"/>
    <w:rsid w:val="000E4B69"/>
    <w:rsid w:val="000E565A"/>
    <w:rsid w:val="000E56B2"/>
    <w:rsid w:val="000E6F38"/>
    <w:rsid w:val="000E7AF3"/>
    <w:rsid w:val="000F0D99"/>
    <w:rsid w:val="000F162A"/>
    <w:rsid w:val="000F16F3"/>
    <w:rsid w:val="000F1940"/>
    <w:rsid w:val="000F26EE"/>
    <w:rsid w:val="000F2BE1"/>
    <w:rsid w:val="000F31A2"/>
    <w:rsid w:val="000F35B5"/>
    <w:rsid w:val="000F3A0C"/>
    <w:rsid w:val="000F3F2F"/>
    <w:rsid w:val="000F3F8A"/>
    <w:rsid w:val="000F4C5A"/>
    <w:rsid w:val="000F6946"/>
    <w:rsid w:val="000F7EB8"/>
    <w:rsid w:val="0010000B"/>
    <w:rsid w:val="001003E3"/>
    <w:rsid w:val="001007CE"/>
    <w:rsid w:val="00103F34"/>
    <w:rsid w:val="001044F1"/>
    <w:rsid w:val="0010677B"/>
    <w:rsid w:val="001071D3"/>
    <w:rsid w:val="00110471"/>
    <w:rsid w:val="0011061B"/>
    <w:rsid w:val="00110A0C"/>
    <w:rsid w:val="00110ADA"/>
    <w:rsid w:val="001118DC"/>
    <w:rsid w:val="001123A8"/>
    <w:rsid w:val="00113B3F"/>
    <w:rsid w:val="00113BEA"/>
    <w:rsid w:val="00114F9F"/>
    <w:rsid w:val="00116504"/>
    <w:rsid w:val="001172DF"/>
    <w:rsid w:val="00117C4B"/>
    <w:rsid w:val="0012015D"/>
    <w:rsid w:val="0012072B"/>
    <w:rsid w:val="00120BAE"/>
    <w:rsid w:val="00120ECA"/>
    <w:rsid w:val="001223D1"/>
    <w:rsid w:val="00122828"/>
    <w:rsid w:val="00122981"/>
    <w:rsid w:val="00123006"/>
    <w:rsid w:val="00123252"/>
    <w:rsid w:val="0012397B"/>
    <w:rsid w:val="00123D0E"/>
    <w:rsid w:val="00124B24"/>
    <w:rsid w:val="00124DF6"/>
    <w:rsid w:val="00124F82"/>
    <w:rsid w:val="00125199"/>
    <w:rsid w:val="0012589C"/>
    <w:rsid w:val="00125EE3"/>
    <w:rsid w:val="00125EF7"/>
    <w:rsid w:val="00127629"/>
    <w:rsid w:val="00127CA5"/>
    <w:rsid w:val="00127E48"/>
    <w:rsid w:val="00127FEB"/>
    <w:rsid w:val="0013017C"/>
    <w:rsid w:val="00130188"/>
    <w:rsid w:val="00130E88"/>
    <w:rsid w:val="001316DA"/>
    <w:rsid w:val="00131AFD"/>
    <w:rsid w:val="00132267"/>
    <w:rsid w:val="001322B8"/>
    <w:rsid w:val="00132CF2"/>
    <w:rsid w:val="00133E12"/>
    <w:rsid w:val="0013468C"/>
    <w:rsid w:val="001353D7"/>
    <w:rsid w:val="00135AAA"/>
    <w:rsid w:val="001360EB"/>
    <w:rsid w:val="00136349"/>
    <w:rsid w:val="0013795B"/>
    <w:rsid w:val="00140329"/>
    <w:rsid w:val="00140617"/>
    <w:rsid w:val="0014077C"/>
    <w:rsid w:val="00141366"/>
    <w:rsid w:val="00141690"/>
    <w:rsid w:val="00141B77"/>
    <w:rsid w:val="00141DF8"/>
    <w:rsid w:val="0014233C"/>
    <w:rsid w:val="00143383"/>
    <w:rsid w:val="001437F7"/>
    <w:rsid w:val="001439D7"/>
    <w:rsid w:val="00144CB4"/>
    <w:rsid w:val="00144E2C"/>
    <w:rsid w:val="00144F42"/>
    <w:rsid w:val="00145861"/>
    <w:rsid w:val="00145E67"/>
    <w:rsid w:val="00146186"/>
    <w:rsid w:val="00146E0E"/>
    <w:rsid w:val="00147A2A"/>
    <w:rsid w:val="00147CBC"/>
    <w:rsid w:val="00147E16"/>
    <w:rsid w:val="00147EC9"/>
    <w:rsid w:val="00151992"/>
    <w:rsid w:val="00155A7C"/>
    <w:rsid w:val="00155E17"/>
    <w:rsid w:val="00156471"/>
    <w:rsid w:val="00156E8F"/>
    <w:rsid w:val="001575CC"/>
    <w:rsid w:val="00157A5E"/>
    <w:rsid w:val="00161446"/>
    <w:rsid w:val="00161DA1"/>
    <w:rsid w:val="0016201C"/>
    <w:rsid w:val="00163069"/>
    <w:rsid w:val="0016387D"/>
    <w:rsid w:val="001641B1"/>
    <w:rsid w:val="00164B4B"/>
    <w:rsid w:val="00166421"/>
    <w:rsid w:val="001666AE"/>
    <w:rsid w:val="00167198"/>
    <w:rsid w:val="00170974"/>
    <w:rsid w:val="00170C46"/>
    <w:rsid w:val="00170E82"/>
    <w:rsid w:val="00170F0F"/>
    <w:rsid w:val="00171632"/>
    <w:rsid w:val="00173E26"/>
    <w:rsid w:val="0017487F"/>
    <w:rsid w:val="00177361"/>
    <w:rsid w:val="001775BC"/>
    <w:rsid w:val="00180D8B"/>
    <w:rsid w:val="00182400"/>
    <w:rsid w:val="0018270D"/>
    <w:rsid w:val="00182939"/>
    <w:rsid w:val="001835C7"/>
    <w:rsid w:val="00184896"/>
    <w:rsid w:val="00186A37"/>
    <w:rsid w:val="00190340"/>
    <w:rsid w:val="001911DF"/>
    <w:rsid w:val="00191488"/>
    <w:rsid w:val="00191DB3"/>
    <w:rsid w:val="001925ED"/>
    <w:rsid w:val="00192CF6"/>
    <w:rsid w:val="00192D83"/>
    <w:rsid w:val="00192EF0"/>
    <w:rsid w:val="00193A6F"/>
    <w:rsid w:val="00193CAA"/>
    <w:rsid w:val="00193D5E"/>
    <w:rsid w:val="001952AE"/>
    <w:rsid w:val="00196CEE"/>
    <w:rsid w:val="00196E2F"/>
    <w:rsid w:val="00196EFD"/>
    <w:rsid w:val="001970A9"/>
    <w:rsid w:val="001977BC"/>
    <w:rsid w:val="00197BEE"/>
    <w:rsid w:val="001A107A"/>
    <w:rsid w:val="001A1B21"/>
    <w:rsid w:val="001A1C5A"/>
    <w:rsid w:val="001A20E3"/>
    <w:rsid w:val="001A20E5"/>
    <w:rsid w:val="001A2DDC"/>
    <w:rsid w:val="001A2F37"/>
    <w:rsid w:val="001A5E2B"/>
    <w:rsid w:val="001A6068"/>
    <w:rsid w:val="001A65B3"/>
    <w:rsid w:val="001A6D3E"/>
    <w:rsid w:val="001A776F"/>
    <w:rsid w:val="001B05F1"/>
    <w:rsid w:val="001B1A76"/>
    <w:rsid w:val="001B2C66"/>
    <w:rsid w:val="001B3097"/>
    <w:rsid w:val="001B32A0"/>
    <w:rsid w:val="001B3D07"/>
    <w:rsid w:val="001B3E9F"/>
    <w:rsid w:val="001B4290"/>
    <w:rsid w:val="001B4992"/>
    <w:rsid w:val="001B4D3D"/>
    <w:rsid w:val="001B4E95"/>
    <w:rsid w:val="001B5365"/>
    <w:rsid w:val="001B5527"/>
    <w:rsid w:val="001B5696"/>
    <w:rsid w:val="001B7769"/>
    <w:rsid w:val="001B7B15"/>
    <w:rsid w:val="001C0A6C"/>
    <w:rsid w:val="001C2457"/>
    <w:rsid w:val="001C393F"/>
    <w:rsid w:val="001C42F0"/>
    <w:rsid w:val="001C5519"/>
    <w:rsid w:val="001C5AD0"/>
    <w:rsid w:val="001C5D8D"/>
    <w:rsid w:val="001C653C"/>
    <w:rsid w:val="001C70D8"/>
    <w:rsid w:val="001C7A41"/>
    <w:rsid w:val="001C7B05"/>
    <w:rsid w:val="001D0608"/>
    <w:rsid w:val="001D0B12"/>
    <w:rsid w:val="001D1491"/>
    <w:rsid w:val="001D14BB"/>
    <w:rsid w:val="001D2CD7"/>
    <w:rsid w:val="001D35C8"/>
    <w:rsid w:val="001D4CB1"/>
    <w:rsid w:val="001D4E06"/>
    <w:rsid w:val="001D5FA5"/>
    <w:rsid w:val="001D60AA"/>
    <w:rsid w:val="001D6797"/>
    <w:rsid w:val="001D6F2D"/>
    <w:rsid w:val="001D72FF"/>
    <w:rsid w:val="001D7E47"/>
    <w:rsid w:val="001E017F"/>
    <w:rsid w:val="001E097D"/>
    <w:rsid w:val="001E0CD2"/>
    <w:rsid w:val="001E0EB2"/>
    <w:rsid w:val="001E22BF"/>
    <w:rsid w:val="001E232F"/>
    <w:rsid w:val="001E3178"/>
    <w:rsid w:val="001E3F45"/>
    <w:rsid w:val="001E506A"/>
    <w:rsid w:val="001E5DA5"/>
    <w:rsid w:val="001E65CC"/>
    <w:rsid w:val="001E707D"/>
    <w:rsid w:val="001E7267"/>
    <w:rsid w:val="001E7EAE"/>
    <w:rsid w:val="001F03D6"/>
    <w:rsid w:val="001F14E6"/>
    <w:rsid w:val="001F14F0"/>
    <w:rsid w:val="001F2C8C"/>
    <w:rsid w:val="001F329F"/>
    <w:rsid w:val="001F381A"/>
    <w:rsid w:val="001F3940"/>
    <w:rsid w:val="001F4BD3"/>
    <w:rsid w:val="001F4E0E"/>
    <w:rsid w:val="001F61A9"/>
    <w:rsid w:val="001F649E"/>
    <w:rsid w:val="001F71B8"/>
    <w:rsid w:val="001F7654"/>
    <w:rsid w:val="001F778F"/>
    <w:rsid w:val="001F7AD6"/>
    <w:rsid w:val="0020075B"/>
    <w:rsid w:val="00200FBA"/>
    <w:rsid w:val="002011AC"/>
    <w:rsid w:val="00201619"/>
    <w:rsid w:val="00201CC5"/>
    <w:rsid w:val="002020B6"/>
    <w:rsid w:val="0020220A"/>
    <w:rsid w:val="002028BD"/>
    <w:rsid w:val="002033CE"/>
    <w:rsid w:val="00204DC4"/>
    <w:rsid w:val="00205ECA"/>
    <w:rsid w:val="00206145"/>
    <w:rsid w:val="002062E4"/>
    <w:rsid w:val="00206926"/>
    <w:rsid w:val="0020711E"/>
    <w:rsid w:val="002073E6"/>
    <w:rsid w:val="002107F9"/>
    <w:rsid w:val="00210D16"/>
    <w:rsid w:val="00211875"/>
    <w:rsid w:val="00211CBE"/>
    <w:rsid w:val="00211D61"/>
    <w:rsid w:val="0021251B"/>
    <w:rsid w:val="00212AE6"/>
    <w:rsid w:val="00212C7A"/>
    <w:rsid w:val="00212E08"/>
    <w:rsid w:val="002134E6"/>
    <w:rsid w:val="002153D6"/>
    <w:rsid w:val="0021610B"/>
    <w:rsid w:val="00216862"/>
    <w:rsid w:val="00216EB8"/>
    <w:rsid w:val="00217E14"/>
    <w:rsid w:val="00220F57"/>
    <w:rsid w:val="00221C93"/>
    <w:rsid w:val="0022502D"/>
    <w:rsid w:val="00225895"/>
    <w:rsid w:val="0022677F"/>
    <w:rsid w:val="00227818"/>
    <w:rsid w:val="002304F5"/>
    <w:rsid w:val="002307C6"/>
    <w:rsid w:val="002308BA"/>
    <w:rsid w:val="00230B50"/>
    <w:rsid w:val="00231559"/>
    <w:rsid w:val="00231A76"/>
    <w:rsid w:val="00231D32"/>
    <w:rsid w:val="00233645"/>
    <w:rsid w:val="00234129"/>
    <w:rsid w:val="00234B87"/>
    <w:rsid w:val="002357D8"/>
    <w:rsid w:val="00235969"/>
    <w:rsid w:val="00235B4E"/>
    <w:rsid w:val="0023634F"/>
    <w:rsid w:val="00237920"/>
    <w:rsid w:val="00240664"/>
    <w:rsid w:val="002406A0"/>
    <w:rsid w:val="0024076E"/>
    <w:rsid w:val="00240D82"/>
    <w:rsid w:val="00240D83"/>
    <w:rsid w:val="002411AA"/>
    <w:rsid w:val="002419D4"/>
    <w:rsid w:val="00242C72"/>
    <w:rsid w:val="00243F77"/>
    <w:rsid w:val="0024453C"/>
    <w:rsid w:val="002454D0"/>
    <w:rsid w:val="00246098"/>
    <w:rsid w:val="00246351"/>
    <w:rsid w:val="00246497"/>
    <w:rsid w:val="00246B68"/>
    <w:rsid w:val="00246DA0"/>
    <w:rsid w:val="00247FB3"/>
    <w:rsid w:val="00251157"/>
    <w:rsid w:val="002517CF"/>
    <w:rsid w:val="00252514"/>
    <w:rsid w:val="0025290B"/>
    <w:rsid w:val="00252F96"/>
    <w:rsid w:val="0025359B"/>
    <w:rsid w:val="00254559"/>
    <w:rsid w:val="00254AA5"/>
    <w:rsid w:val="002600AC"/>
    <w:rsid w:val="002604A3"/>
    <w:rsid w:val="00260795"/>
    <w:rsid w:val="0026111A"/>
    <w:rsid w:val="00261A12"/>
    <w:rsid w:val="002639EB"/>
    <w:rsid w:val="0026478E"/>
    <w:rsid w:val="00264844"/>
    <w:rsid w:val="00266ABB"/>
    <w:rsid w:val="00266DC3"/>
    <w:rsid w:val="0027019D"/>
    <w:rsid w:val="00270C95"/>
    <w:rsid w:val="002724A6"/>
    <w:rsid w:val="002726ED"/>
    <w:rsid w:val="002727ED"/>
    <w:rsid w:val="00272809"/>
    <w:rsid w:val="002733B5"/>
    <w:rsid w:val="00274AB9"/>
    <w:rsid w:val="002750DB"/>
    <w:rsid w:val="00275211"/>
    <w:rsid w:val="00275FD2"/>
    <w:rsid w:val="0027669E"/>
    <w:rsid w:val="00276EEB"/>
    <w:rsid w:val="002810CB"/>
    <w:rsid w:val="00282157"/>
    <w:rsid w:val="00283648"/>
    <w:rsid w:val="0028468D"/>
    <w:rsid w:val="00284B04"/>
    <w:rsid w:val="00284B56"/>
    <w:rsid w:val="0028500C"/>
    <w:rsid w:val="0028514C"/>
    <w:rsid w:val="0028517C"/>
    <w:rsid w:val="002851FA"/>
    <w:rsid w:val="00285559"/>
    <w:rsid w:val="00285FC0"/>
    <w:rsid w:val="0028762A"/>
    <w:rsid w:val="00287A72"/>
    <w:rsid w:val="00290A4B"/>
    <w:rsid w:val="0029155E"/>
    <w:rsid w:val="002918F3"/>
    <w:rsid w:val="00291BEF"/>
    <w:rsid w:val="00291DBB"/>
    <w:rsid w:val="00291E12"/>
    <w:rsid w:val="00291E95"/>
    <w:rsid w:val="0029245C"/>
    <w:rsid w:val="002952C4"/>
    <w:rsid w:val="002961FB"/>
    <w:rsid w:val="002967B1"/>
    <w:rsid w:val="00296BAD"/>
    <w:rsid w:val="00296DFE"/>
    <w:rsid w:val="002A0B2C"/>
    <w:rsid w:val="002A1783"/>
    <w:rsid w:val="002A20D0"/>
    <w:rsid w:val="002A3087"/>
    <w:rsid w:val="002A3CB9"/>
    <w:rsid w:val="002A4830"/>
    <w:rsid w:val="002A61C9"/>
    <w:rsid w:val="002A6A39"/>
    <w:rsid w:val="002A6FB4"/>
    <w:rsid w:val="002A7DD4"/>
    <w:rsid w:val="002A7F35"/>
    <w:rsid w:val="002A7F58"/>
    <w:rsid w:val="002B0119"/>
    <w:rsid w:val="002B0AFE"/>
    <w:rsid w:val="002B0D99"/>
    <w:rsid w:val="002B3893"/>
    <w:rsid w:val="002B3CC8"/>
    <w:rsid w:val="002B47E6"/>
    <w:rsid w:val="002B4B43"/>
    <w:rsid w:val="002B59A6"/>
    <w:rsid w:val="002B5B1B"/>
    <w:rsid w:val="002B755D"/>
    <w:rsid w:val="002B7DF9"/>
    <w:rsid w:val="002B7F9B"/>
    <w:rsid w:val="002C088F"/>
    <w:rsid w:val="002C3B79"/>
    <w:rsid w:val="002C432C"/>
    <w:rsid w:val="002C4F06"/>
    <w:rsid w:val="002C6034"/>
    <w:rsid w:val="002C6B1D"/>
    <w:rsid w:val="002C76A3"/>
    <w:rsid w:val="002C7985"/>
    <w:rsid w:val="002C7BDC"/>
    <w:rsid w:val="002D106B"/>
    <w:rsid w:val="002D1910"/>
    <w:rsid w:val="002D277C"/>
    <w:rsid w:val="002D2AB2"/>
    <w:rsid w:val="002D3583"/>
    <w:rsid w:val="002D73B0"/>
    <w:rsid w:val="002E0560"/>
    <w:rsid w:val="002E0E20"/>
    <w:rsid w:val="002E1215"/>
    <w:rsid w:val="002E1658"/>
    <w:rsid w:val="002E2155"/>
    <w:rsid w:val="002E3C80"/>
    <w:rsid w:val="002E3F1E"/>
    <w:rsid w:val="002E4705"/>
    <w:rsid w:val="002E617C"/>
    <w:rsid w:val="002F052E"/>
    <w:rsid w:val="002F1A36"/>
    <w:rsid w:val="002F3EC1"/>
    <w:rsid w:val="002F444D"/>
    <w:rsid w:val="002F496B"/>
    <w:rsid w:val="002F5B8D"/>
    <w:rsid w:val="002F5DE1"/>
    <w:rsid w:val="002F65AB"/>
    <w:rsid w:val="002F6958"/>
    <w:rsid w:val="002F7DA5"/>
    <w:rsid w:val="003005BB"/>
    <w:rsid w:val="0030083A"/>
    <w:rsid w:val="00300BB7"/>
    <w:rsid w:val="00301152"/>
    <w:rsid w:val="00301FB2"/>
    <w:rsid w:val="003020F9"/>
    <w:rsid w:val="00302C6A"/>
    <w:rsid w:val="00302F83"/>
    <w:rsid w:val="003040B6"/>
    <w:rsid w:val="003055E3"/>
    <w:rsid w:val="0030768C"/>
    <w:rsid w:val="0030779C"/>
    <w:rsid w:val="00307C1C"/>
    <w:rsid w:val="00307D96"/>
    <w:rsid w:val="0031038B"/>
    <w:rsid w:val="00310607"/>
    <w:rsid w:val="00310FFD"/>
    <w:rsid w:val="00311394"/>
    <w:rsid w:val="003114D0"/>
    <w:rsid w:val="00312CB7"/>
    <w:rsid w:val="00312E3F"/>
    <w:rsid w:val="00313186"/>
    <w:rsid w:val="00314A5C"/>
    <w:rsid w:val="00314C72"/>
    <w:rsid w:val="00315153"/>
    <w:rsid w:val="003154CE"/>
    <w:rsid w:val="00315A55"/>
    <w:rsid w:val="00316042"/>
    <w:rsid w:val="00316668"/>
    <w:rsid w:val="00316E68"/>
    <w:rsid w:val="00317502"/>
    <w:rsid w:val="00317DD0"/>
    <w:rsid w:val="003204E1"/>
    <w:rsid w:val="003206D2"/>
    <w:rsid w:val="00321068"/>
    <w:rsid w:val="003211E4"/>
    <w:rsid w:val="00321A6D"/>
    <w:rsid w:val="003224FC"/>
    <w:rsid w:val="003226FE"/>
    <w:rsid w:val="00322A5F"/>
    <w:rsid w:val="0032347E"/>
    <w:rsid w:val="00323493"/>
    <w:rsid w:val="00324218"/>
    <w:rsid w:val="00324593"/>
    <w:rsid w:val="00324EA0"/>
    <w:rsid w:val="00325E2F"/>
    <w:rsid w:val="00326607"/>
    <w:rsid w:val="00326DF1"/>
    <w:rsid w:val="003270EE"/>
    <w:rsid w:val="00327AF7"/>
    <w:rsid w:val="0033003B"/>
    <w:rsid w:val="00330A27"/>
    <w:rsid w:val="0033110E"/>
    <w:rsid w:val="00332BB9"/>
    <w:rsid w:val="00333AC3"/>
    <w:rsid w:val="003346CB"/>
    <w:rsid w:val="00335B96"/>
    <w:rsid w:val="00336E86"/>
    <w:rsid w:val="003375C8"/>
    <w:rsid w:val="00337C0A"/>
    <w:rsid w:val="003400B1"/>
    <w:rsid w:val="00342276"/>
    <w:rsid w:val="0034259A"/>
    <w:rsid w:val="00342CAE"/>
    <w:rsid w:val="00344167"/>
    <w:rsid w:val="003443DA"/>
    <w:rsid w:val="00344EA7"/>
    <w:rsid w:val="00346298"/>
    <w:rsid w:val="0034737B"/>
    <w:rsid w:val="003474FB"/>
    <w:rsid w:val="00350609"/>
    <w:rsid w:val="00350FF0"/>
    <w:rsid w:val="00351463"/>
    <w:rsid w:val="00351BFD"/>
    <w:rsid w:val="003524B6"/>
    <w:rsid w:val="00353616"/>
    <w:rsid w:val="00353EC8"/>
    <w:rsid w:val="00355C31"/>
    <w:rsid w:val="00356A4E"/>
    <w:rsid w:val="0035751F"/>
    <w:rsid w:val="00360D1F"/>
    <w:rsid w:val="00360E7F"/>
    <w:rsid w:val="00360EC2"/>
    <w:rsid w:val="003612D5"/>
    <w:rsid w:val="00361326"/>
    <w:rsid w:val="003630A5"/>
    <w:rsid w:val="00363923"/>
    <w:rsid w:val="00363E7C"/>
    <w:rsid w:val="0036444C"/>
    <w:rsid w:val="003669B6"/>
    <w:rsid w:val="00366ED7"/>
    <w:rsid w:val="00367518"/>
    <w:rsid w:val="003679CD"/>
    <w:rsid w:val="00372586"/>
    <w:rsid w:val="003726FB"/>
    <w:rsid w:val="00372A3A"/>
    <w:rsid w:val="00374D64"/>
    <w:rsid w:val="00375046"/>
    <w:rsid w:val="00375654"/>
    <w:rsid w:val="0037634A"/>
    <w:rsid w:val="0038119A"/>
    <w:rsid w:val="003811DD"/>
    <w:rsid w:val="0038154D"/>
    <w:rsid w:val="00381871"/>
    <w:rsid w:val="003835A3"/>
    <w:rsid w:val="003840F7"/>
    <w:rsid w:val="003849D8"/>
    <w:rsid w:val="003853EC"/>
    <w:rsid w:val="0038569B"/>
    <w:rsid w:val="00385D98"/>
    <w:rsid w:val="00386378"/>
    <w:rsid w:val="0038638F"/>
    <w:rsid w:val="00386B96"/>
    <w:rsid w:val="00390DEA"/>
    <w:rsid w:val="00390FFB"/>
    <w:rsid w:val="00393DFB"/>
    <w:rsid w:val="0039408E"/>
    <w:rsid w:val="003946C8"/>
    <w:rsid w:val="00395240"/>
    <w:rsid w:val="0039671E"/>
    <w:rsid w:val="00396ABE"/>
    <w:rsid w:val="0039797A"/>
    <w:rsid w:val="003A0230"/>
    <w:rsid w:val="003A072B"/>
    <w:rsid w:val="003A118C"/>
    <w:rsid w:val="003A2A77"/>
    <w:rsid w:val="003A2A8C"/>
    <w:rsid w:val="003A321F"/>
    <w:rsid w:val="003A4170"/>
    <w:rsid w:val="003A5036"/>
    <w:rsid w:val="003A585F"/>
    <w:rsid w:val="003A5CF7"/>
    <w:rsid w:val="003A5FB0"/>
    <w:rsid w:val="003A610B"/>
    <w:rsid w:val="003A674D"/>
    <w:rsid w:val="003A6934"/>
    <w:rsid w:val="003A6C5C"/>
    <w:rsid w:val="003B0198"/>
    <w:rsid w:val="003B14D0"/>
    <w:rsid w:val="003B1A93"/>
    <w:rsid w:val="003B1E11"/>
    <w:rsid w:val="003B259F"/>
    <w:rsid w:val="003B31C9"/>
    <w:rsid w:val="003B32EB"/>
    <w:rsid w:val="003B3434"/>
    <w:rsid w:val="003B3984"/>
    <w:rsid w:val="003B4324"/>
    <w:rsid w:val="003B56F6"/>
    <w:rsid w:val="003B59F3"/>
    <w:rsid w:val="003B697D"/>
    <w:rsid w:val="003B6D9F"/>
    <w:rsid w:val="003B7413"/>
    <w:rsid w:val="003B765F"/>
    <w:rsid w:val="003B76A7"/>
    <w:rsid w:val="003B7D2D"/>
    <w:rsid w:val="003C024D"/>
    <w:rsid w:val="003C118B"/>
    <w:rsid w:val="003C162C"/>
    <w:rsid w:val="003C1987"/>
    <w:rsid w:val="003C1A7A"/>
    <w:rsid w:val="003C1FF0"/>
    <w:rsid w:val="003C263B"/>
    <w:rsid w:val="003C3652"/>
    <w:rsid w:val="003C4523"/>
    <w:rsid w:val="003C4A1D"/>
    <w:rsid w:val="003C556E"/>
    <w:rsid w:val="003C56BA"/>
    <w:rsid w:val="003C5BDC"/>
    <w:rsid w:val="003C626D"/>
    <w:rsid w:val="003C626F"/>
    <w:rsid w:val="003C64CA"/>
    <w:rsid w:val="003C6FF2"/>
    <w:rsid w:val="003D00A0"/>
    <w:rsid w:val="003D28A9"/>
    <w:rsid w:val="003D3C40"/>
    <w:rsid w:val="003D519C"/>
    <w:rsid w:val="003D5C47"/>
    <w:rsid w:val="003D5F7B"/>
    <w:rsid w:val="003D64FA"/>
    <w:rsid w:val="003D6811"/>
    <w:rsid w:val="003D69FC"/>
    <w:rsid w:val="003E0095"/>
    <w:rsid w:val="003E03D9"/>
    <w:rsid w:val="003E0713"/>
    <w:rsid w:val="003E13F8"/>
    <w:rsid w:val="003E1757"/>
    <w:rsid w:val="003E3941"/>
    <w:rsid w:val="003E399B"/>
    <w:rsid w:val="003E486F"/>
    <w:rsid w:val="003E4DB5"/>
    <w:rsid w:val="003E528F"/>
    <w:rsid w:val="003E635F"/>
    <w:rsid w:val="003E732F"/>
    <w:rsid w:val="003F258D"/>
    <w:rsid w:val="003F32F0"/>
    <w:rsid w:val="003F3A14"/>
    <w:rsid w:val="003F3FF9"/>
    <w:rsid w:val="003F4586"/>
    <w:rsid w:val="003F6370"/>
    <w:rsid w:val="003F7DAC"/>
    <w:rsid w:val="0040067B"/>
    <w:rsid w:val="0040152E"/>
    <w:rsid w:val="004015FA"/>
    <w:rsid w:val="00401D74"/>
    <w:rsid w:val="004030F2"/>
    <w:rsid w:val="00404767"/>
    <w:rsid w:val="00404D84"/>
    <w:rsid w:val="0040519F"/>
    <w:rsid w:val="0040702D"/>
    <w:rsid w:val="004070CB"/>
    <w:rsid w:val="00407182"/>
    <w:rsid w:val="00407E2F"/>
    <w:rsid w:val="00410AB9"/>
    <w:rsid w:val="00410CA1"/>
    <w:rsid w:val="00412EF4"/>
    <w:rsid w:val="0041372F"/>
    <w:rsid w:val="00413906"/>
    <w:rsid w:val="00413D04"/>
    <w:rsid w:val="00414AA1"/>
    <w:rsid w:val="00414ED4"/>
    <w:rsid w:val="00415137"/>
    <w:rsid w:val="004155F6"/>
    <w:rsid w:val="00415965"/>
    <w:rsid w:val="00415F6F"/>
    <w:rsid w:val="00416167"/>
    <w:rsid w:val="0041728B"/>
    <w:rsid w:val="00417A9A"/>
    <w:rsid w:val="00420179"/>
    <w:rsid w:val="00421AAE"/>
    <w:rsid w:val="00422D48"/>
    <w:rsid w:val="004230B2"/>
    <w:rsid w:val="00423BF4"/>
    <w:rsid w:val="00424D2D"/>
    <w:rsid w:val="00425126"/>
    <w:rsid w:val="0042622B"/>
    <w:rsid w:val="0042696B"/>
    <w:rsid w:val="00427097"/>
    <w:rsid w:val="0042792B"/>
    <w:rsid w:val="00430E57"/>
    <w:rsid w:val="004314B5"/>
    <w:rsid w:val="00431995"/>
    <w:rsid w:val="00432E03"/>
    <w:rsid w:val="00433249"/>
    <w:rsid w:val="00434697"/>
    <w:rsid w:val="0043469C"/>
    <w:rsid w:val="00435988"/>
    <w:rsid w:val="00436BE2"/>
    <w:rsid w:val="00436C8B"/>
    <w:rsid w:val="0043728B"/>
    <w:rsid w:val="004405AA"/>
    <w:rsid w:val="00440FBD"/>
    <w:rsid w:val="0044149C"/>
    <w:rsid w:val="00442195"/>
    <w:rsid w:val="0044262F"/>
    <w:rsid w:val="0044272B"/>
    <w:rsid w:val="00442F23"/>
    <w:rsid w:val="00442F6D"/>
    <w:rsid w:val="00443746"/>
    <w:rsid w:val="00444154"/>
    <w:rsid w:val="00444316"/>
    <w:rsid w:val="00445C3B"/>
    <w:rsid w:val="00445F3B"/>
    <w:rsid w:val="004461FA"/>
    <w:rsid w:val="00447EE3"/>
    <w:rsid w:val="0045037E"/>
    <w:rsid w:val="004506A0"/>
    <w:rsid w:val="004507D4"/>
    <w:rsid w:val="00450DA2"/>
    <w:rsid w:val="00451F45"/>
    <w:rsid w:val="00452A25"/>
    <w:rsid w:val="004531DA"/>
    <w:rsid w:val="00453330"/>
    <w:rsid w:val="004535CD"/>
    <w:rsid w:val="00453648"/>
    <w:rsid w:val="0045439A"/>
    <w:rsid w:val="00454516"/>
    <w:rsid w:val="0045521C"/>
    <w:rsid w:val="004562FC"/>
    <w:rsid w:val="0045639C"/>
    <w:rsid w:val="00456503"/>
    <w:rsid w:val="00460C60"/>
    <w:rsid w:val="00460DFC"/>
    <w:rsid w:val="00460F4C"/>
    <w:rsid w:val="00461052"/>
    <w:rsid w:val="004610AE"/>
    <w:rsid w:val="00463611"/>
    <w:rsid w:val="00463625"/>
    <w:rsid w:val="00463CA4"/>
    <w:rsid w:val="004642A9"/>
    <w:rsid w:val="00464CF7"/>
    <w:rsid w:val="00464EBD"/>
    <w:rsid w:val="0046510C"/>
    <w:rsid w:val="004654FF"/>
    <w:rsid w:val="00466BA6"/>
    <w:rsid w:val="00466FFD"/>
    <w:rsid w:val="00471222"/>
    <w:rsid w:val="00471E1B"/>
    <w:rsid w:val="00472018"/>
    <w:rsid w:val="004731F3"/>
    <w:rsid w:val="00473508"/>
    <w:rsid w:val="004735A7"/>
    <w:rsid w:val="00474097"/>
    <w:rsid w:val="00474720"/>
    <w:rsid w:val="004747C2"/>
    <w:rsid w:val="0047482A"/>
    <w:rsid w:val="00474F85"/>
    <w:rsid w:val="00475FF5"/>
    <w:rsid w:val="004762CB"/>
    <w:rsid w:val="00476409"/>
    <w:rsid w:val="00476B4C"/>
    <w:rsid w:val="00477F81"/>
    <w:rsid w:val="00481975"/>
    <w:rsid w:val="0048235F"/>
    <w:rsid w:val="004842E6"/>
    <w:rsid w:val="0048439A"/>
    <w:rsid w:val="00484BCA"/>
    <w:rsid w:val="0048561F"/>
    <w:rsid w:val="00485AB8"/>
    <w:rsid w:val="00487514"/>
    <w:rsid w:val="00487844"/>
    <w:rsid w:val="00487A23"/>
    <w:rsid w:val="004909CF"/>
    <w:rsid w:val="004914C0"/>
    <w:rsid w:val="004915CE"/>
    <w:rsid w:val="00491AFE"/>
    <w:rsid w:val="00491F13"/>
    <w:rsid w:val="00493412"/>
    <w:rsid w:val="00493BD9"/>
    <w:rsid w:val="00494336"/>
    <w:rsid w:val="004943A1"/>
    <w:rsid w:val="00494E85"/>
    <w:rsid w:val="004966F6"/>
    <w:rsid w:val="004969E0"/>
    <w:rsid w:val="004A0EFD"/>
    <w:rsid w:val="004A1FAE"/>
    <w:rsid w:val="004A2C42"/>
    <w:rsid w:val="004A2E1E"/>
    <w:rsid w:val="004A35F1"/>
    <w:rsid w:val="004A5002"/>
    <w:rsid w:val="004A5445"/>
    <w:rsid w:val="004A5E02"/>
    <w:rsid w:val="004A649F"/>
    <w:rsid w:val="004A6DAC"/>
    <w:rsid w:val="004A75C9"/>
    <w:rsid w:val="004A7661"/>
    <w:rsid w:val="004A7A9F"/>
    <w:rsid w:val="004A7F90"/>
    <w:rsid w:val="004B0C69"/>
    <w:rsid w:val="004B0CD9"/>
    <w:rsid w:val="004B1E43"/>
    <w:rsid w:val="004B3764"/>
    <w:rsid w:val="004B39CA"/>
    <w:rsid w:val="004B3D7F"/>
    <w:rsid w:val="004B3F2C"/>
    <w:rsid w:val="004B3F48"/>
    <w:rsid w:val="004B4C24"/>
    <w:rsid w:val="004B5F99"/>
    <w:rsid w:val="004B717F"/>
    <w:rsid w:val="004B7395"/>
    <w:rsid w:val="004B7E77"/>
    <w:rsid w:val="004C018C"/>
    <w:rsid w:val="004C0C27"/>
    <w:rsid w:val="004C18D7"/>
    <w:rsid w:val="004C18FF"/>
    <w:rsid w:val="004C1A06"/>
    <w:rsid w:val="004C2971"/>
    <w:rsid w:val="004C2EF0"/>
    <w:rsid w:val="004C3581"/>
    <w:rsid w:val="004C3FDA"/>
    <w:rsid w:val="004C413D"/>
    <w:rsid w:val="004C58CB"/>
    <w:rsid w:val="004C6FEF"/>
    <w:rsid w:val="004C731C"/>
    <w:rsid w:val="004C7385"/>
    <w:rsid w:val="004C757F"/>
    <w:rsid w:val="004D1184"/>
    <w:rsid w:val="004D18C7"/>
    <w:rsid w:val="004D2689"/>
    <w:rsid w:val="004D2695"/>
    <w:rsid w:val="004D3780"/>
    <w:rsid w:val="004D3D28"/>
    <w:rsid w:val="004D55F7"/>
    <w:rsid w:val="004D5713"/>
    <w:rsid w:val="004D5908"/>
    <w:rsid w:val="004D5C22"/>
    <w:rsid w:val="004D5C8B"/>
    <w:rsid w:val="004D6185"/>
    <w:rsid w:val="004D6D98"/>
    <w:rsid w:val="004D7040"/>
    <w:rsid w:val="004D7892"/>
    <w:rsid w:val="004E00C6"/>
    <w:rsid w:val="004E0F03"/>
    <w:rsid w:val="004E2205"/>
    <w:rsid w:val="004E2518"/>
    <w:rsid w:val="004E3961"/>
    <w:rsid w:val="004E47F2"/>
    <w:rsid w:val="004E52B5"/>
    <w:rsid w:val="004E5372"/>
    <w:rsid w:val="004E547D"/>
    <w:rsid w:val="004E5D75"/>
    <w:rsid w:val="004E601D"/>
    <w:rsid w:val="004E7037"/>
    <w:rsid w:val="004E7307"/>
    <w:rsid w:val="004E744C"/>
    <w:rsid w:val="004E7FCB"/>
    <w:rsid w:val="004F044F"/>
    <w:rsid w:val="004F0A5F"/>
    <w:rsid w:val="004F1B35"/>
    <w:rsid w:val="004F2AA4"/>
    <w:rsid w:val="004F2D70"/>
    <w:rsid w:val="004F4131"/>
    <w:rsid w:val="004F43D4"/>
    <w:rsid w:val="004F4A43"/>
    <w:rsid w:val="004F5533"/>
    <w:rsid w:val="004F63F1"/>
    <w:rsid w:val="004F649B"/>
    <w:rsid w:val="004F6500"/>
    <w:rsid w:val="004F6723"/>
    <w:rsid w:val="005006A4"/>
    <w:rsid w:val="00500FDD"/>
    <w:rsid w:val="005010BC"/>
    <w:rsid w:val="0050173B"/>
    <w:rsid w:val="005017DD"/>
    <w:rsid w:val="0050269B"/>
    <w:rsid w:val="00503796"/>
    <w:rsid w:val="0050380A"/>
    <w:rsid w:val="0050390B"/>
    <w:rsid w:val="00504119"/>
    <w:rsid w:val="00504265"/>
    <w:rsid w:val="00504A44"/>
    <w:rsid w:val="0050542B"/>
    <w:rsid w:val="005058F9"/>
    <w:rsid w:val="00505B4B"/>
    <w:rsid w:val="005074A6"/>
    <w:rsid w:val="00507BE3"/>
    <w:rsid w:val="0051087F"/>
    <w:rsid w:val="005110D0"/>
    <w:rsid w:val="005113F2"/>
    <w:rsid w:val="0051143D"/>
    <w:rsid w:val="00511728"/>
    <w:rsid w:val="00511D7B"/>
    <w:rsid w:val="005122CC"/>
    <w:rsid w:val="00512FBA"/>
    <w:rsid w:val="00513295"/>
    <w:rsid w:val="00513829"/>
    <w:rsid w:val="00514341"/>
    <w:rsid w:val="00514734"/>
    <w:rsid w:val="00514773"/>
    <w:rsid w:val="005152C8"/>
    <w:rsid w:val="00515E3A"/>
    <w:rsid w:val="00515FB5"/>
    <w:rsid w:val="005161E9"/>
    <w:rsid w:val="00516C4C"/>
    <w:rsid w:val="00520551"/>
    <w:rsid w:val="00521D06"/>
    <w:rsid w:val="005223DD"/>
    <w:rsid w:val="00522AE1"/>
    <w:rsid w:val="00526136"/>
    <w:rsid w:val="005261FB"/>
    <w:rsid w:val="005262E8"/>
    <w:rsid w:val="00526AAF"/>
    <w:rsid w:val="00530821"/>
    <w:rsid w:val="0053157E"/>
    <w:rsid w:val="00531D5D"/>
    <w:rsid w:val="00531F42"/>
    <w:rsid w:val="005341B3"/>
    <w:rsid w:val="00534B9E"/>
    <w:rsid w:val="00534D95"/>
    <w:rsid w:val="00535406"/>
    <w:rsid w:val="005358DD"/>
    <w:rsid w:val="00536275"/>
    <w:rsid w:val="00537583"/>
    <w:rsid w:val="00541C65"/>
    <w:rsid w:val="00542D2E"/>
    <w:rsid w:val="00543C1D"/>
    <w:rsid w:val="00543EB4"/>
    <w:rsid w:val="00544C6F"/>
    <w:rsid w:val="00545079"/>
    <w:rsid w:val="005456CC"/>
    <w:rsid w:val="00546019"/>
    <w:rsid w:val="00546198"/>
    <w:rsid w:val="0054673E"/>
    <w:rsid w:val="00547912"/>
    <w:rsid w:val="00547CF6"/>
    <w:rsid w:val="0055069C"/>
    <w:rsid w:val="00550808"/>
    <w:rsid w:val="005510E6"/>
    <w:rsid w:val="005530BC"/>
    <w:rsid w:val="005534CD"/>
    <w:rsid w:val="005536E2"/>
    <w:rsid w:val="00554191"/>
    <w:rsid w:val="00555845"/>
    <w:rsid w:val="005558BB"/>
    <w:rsid w:val="00555C86"/>
    <w:rsid w:val="0055644C"/>
    <w:rsid w:val="005564C2"/>
    <w:rsid w:val="0055659A"/>
    <w:rsid w:val="005566AF"/>
    <w:rsid w:val="00556801"/>
    <w:rsid w:val="00556C60"/>
    <w:rsid w:val="00557A64"/>
    <w:rsid w:val="00557E7F"/>
    <w:rsid w:val="00557F73"/>
    <w:rsid w:val="00560370"/>
    <w:rsid w:val="00560643"/>
    <w:rsid w:val="00562072"/>
    <w:rsid w:val="00562A84"/>
    <w:rsid w:val="00562B96"/>
    <w:rsid w:val="00562F9A"/>
    <w:rsid w:val="00563EB3"/>
    <w:rsid w:val="00564D1A"/>
    <w:rsid w:val="00565EBC"/>
    <w:rsid w:val="00566892"/>
    <w:rsid w:val="005668C7"/>
    <w:rsid w:val="00566DE2"/>
    <w:rsid w:val="005671E6"/>
    <w:rsid w:val="00570CD6"/>
    <w:rsid w:val="00570E7B"/>
    <w:rsid w:val="005722F7"/>
    <w:rsid w:val="00572A13"/>
    <w:rsid w:val="005732CD"/>
    <w:rsid w:val="00574084"/>
    <w:rsid w:val="0057476D"/>
    <w:rsid w:val="00574775"/>
    <w:rsid w:val="00575175"/>
    <w:rsid w:val="005752A8"/>
    <w:rsid w:val="00576207"/>
    <w:rsid w:val="0057654E"/>
    <w:rsid w:val="0057680B"/>
    <w:rsid w:val="00576818"/>
    <w:rsid w:val="005769E8"/>
    <w:rsid w:val="005769F4"/>
    <w:rsid w:val="00577A67"/>
    <w:rsid w:val="005802E4"/>
    <w:rsid w:val="00580BDD"/>
    <w:rsid w:val="00581789"/>
    <w:rsid w:val="005818D5"/>
    <w:rsid w:val="005818F9"/>
    <w:rsid w:val="00581DBB"/>
    <w:rsid w:val="00582B48"/>
    <w:rsid w:val="0058306D"/>
    <w:rsid w:val="005839EC"/>
    <w:rsid w:val="00584415"/>
    <w:rsid w:val="0058449D"/>
    <w:rsid w:val="00584502"/>
    <w:rsid w:val="0058462E"/>
    <w:rsid w:val="005848C6"/>
    <w:rsid w:val="00584B95"/>
    <w:rsid w:val="00585437"/>
    <w:rsid w:val="00585593"/>
    <w:rsid w:val="00587367"/>
    <w:rsid w:val="00587417"/>
    <w:rsid w:val="0059135F"/>
    <w:rsid w:val="00591367"/>
    <w:rsid w:val="00591ED2"/>
    <w:rsid w:val="005920B7"/>
    <w:rsid w:val="00592783"/>
    <w:rsid w:val="00592B8D"/>
    <w:rsid w:val="005930E5"/>
    <w:rsid w:val="005931D3"/>
    <w:rsid w:val="00593430"/>
    <w:rsid w:val="00593D91"/>
    <w:rsid w:val="00594943"/>
    <w:rsid w:val="005953A0"/>
    <w:rsid w:val="00595431"/>
    <w:rsid w:val="00595510"/>
    <w:rsid w:val="00595928"/>
    <w:rsid w:val="00595B2D"/>
    <w:rsid w:val="00595FE6"/>
    <w:rsid w:val="005966F3"/>
    <w:rsid w:val="00597822"/>
    <w:rsid w:val="00597AFA"/>
    <w:rsid w:val="005A0B97"/>
    <w:rsid w:val="005A1875"/>
    <w:rsid w:val="005A217A"/>
    <w:rsid w:val="005A27C2"/>
    <w:rsid w:val="005A31C3"/>
    <w:rsid w:val="005A3CF1"/>
    <w:rsid w:val="005A4634"/>
    <w:rsid w:val="005A4C3A"/>
    <w:rsid w:val="005A4F6F"/>
    <w:rsid w:val="005A5131"/>
    <w:rsid w:val="005A5EBC"/>
    <w:rsid w:val="005A67A4"/>
    <w:rsid w:val="005A6B88"/>
    <w:rsid w:val="005A7B8C"/>
    <w:rsid w:val="005B0701"/>
    <w:rsid w:val="005B198D"/>
    <w:rsid w:val="005B26B7"/>
    <w:rsid w:val="005B2BDA"/>
    <w:rsid w:val="005B3074"/>
    <w:rsid w:val="005B447B"/>
    <w:rsid w:val="005B4962"/>
    <w:rsid w:val="005B4D37"/>
    <w:rsid w:val="005B520F"/>
    <w:rsid w:val="005B54C3"/>
    <w:rsid w:val="005B5A95"/>
    <w:rsid w:val="005B6264"/>
    <w:rsid w:val="005B64AA"/>
    <w:rsid w:val="005B6C53"/>
    <w:rsid w:val="005B775A"/>
    <w:rsid w:val="005C081D"/>
    <w:rsid w:val="005C1469"/>
    <w:rsid w:val="005C1816"/>
    <w:rsid w:val="005C1E13"/>
    <w:rsid w:val="005C3BE1"/>
    <w:rsid w:val="005C3D4E"/>
    <w:rsid w:val="005C464A"/>
    <w:rsid w:val="005C4CB0"/>
    <w:rsid w:val="005C560F"/>
    <w:rsid w:val="005C6091"/>
    <w:rsid w:val="005C63C5"/>
    <w:rsid w:val="005C7119"/>
    <w:rsid w:val="005C7F57"/>
    <w:rsid w:val="005D0270"/>
    <w:rsid w:val="005D12B9"/>
    <w:rsid w:val="005D1374"/>
    <w:rsid w:val="005D1BB5"/>
    <w:rsid w:val="005D2388"/>
    <w:rsid w:val="005D2A5D"/>
    <w:rsid w:val="005D2D25"/>
    <w:rsid w:val="005D34FD"/>
    <w:rsid w:val="005D3B9B"/>
    <w:rsid w:val="005D3DBF"/>
    <w:rsid w:val="005D461D"/>
    <w:rsid w:val="005D53AA"/>
    <w:rsid w:val="005D5421"/>
    <w:rsid w:val="005D5486"/>
    <w:rsid w:val="005D60E0"/>
    <w:rsid w:val="005D6313"/>
    <w:rsid w:val="005D67A8"/>
    <w:rsid w:val="005D740E"/>
    <w:rsid w:val="005D7526"/>
    <w:rsid w:val="005E035C"/>
    <w:rsid w:val="005E157A"/>
    <w:rsid w:val="005E1EFA"/>
    <w:rsid w:val="005E261A"/>
    <w:rsid w:val="005E308F"/>
    <w:rsid w:val="005E30E5"/>
    <w:rsid w:val="005E3175"/>
    <w:rsid w:val="005E3782"/>
    <w:rsid w:val="005E3EAD"/>
    <w:rsid w:val="005E5477"/>
    <w:rsid w:val="005E55FC"/>
    <w:rsid w:val="005E6616"/>
    <w:rsid w:val="005E7206"/>
    <w:rsid w:val="005E7FDA"/>
    <w:rsid w:val="005F0024"/>
    <w:rsid w:val="005F0173"/>
    <w:rsid w:val="005F0918"/>
    <w:rsid w:val="005F10EE"/>
    <w:rsid w:val="005F1C68"/>
    <w:rsid w:val="005F200E"/>
    <w:rsid w:val="005F3B75"/>
    <w:rsid w:val="005F4BA0"/>
    <w:rsid w:val="005F5540"/>
    <w:rsid w:val="005F5B70"/>
    <w:rsid w:val="005F5D0D"/>
    <w:rsid w:val="005F693D"/>
    <w:rsid w:val="006000B6"/>
    <w:rsid w:val="00601730"/>
    <w:rsid w:val="00601FCA"/>
    <w:rsid w:val="0060302B"/>
    <w:rsid w:val="0060324F"/>
    <w:rsid w:val="0060339D"/>
    <w:rsid w:val="00604CA7"/>
    <w:rsid w:val="0060532E"/>
    <w:rsid w:val="00605E5F"/>
    <w:rsid w:val="00605EE6"/>
    <w:rsid w:val="006066C1"/>
    <w:rsid w:val="006067FB"/>
    <w:rsid w:val="0060696F"/>
    <w:rsid w:val="00610481"/>
    <w:rsid w:val="0061168C"/>
    <w:rsid w:val="00613160"/>
    <w:rsid w:val="00613D8F"/>
    <w:rsid w:val="0061434E"/>
    <w:rsid w:val="00614541"/>
    <w:rsid w:val="0061471B"/>
    <w:rsid w:val="006155BA"/>
    <w:rsid w:val="00615616"/>
    <w:rsid w:val="006157A4"/>
    <w:rsid w:val="0061654D"/>
    <w:rsid w:val="006167ED"/>
    <w:rsid w:val="00616C00"/>
    <w:rsid w:val="00617B01"/>
    <w:rsid w:val="00620027"/>
    <w:rsid w:val="006203BA"/>
    <w:rsid w:val="00621B6F"/>
    <w:rsid w:val="0062204F"/>
    <w:rsid w:val="00622670"/>
    <w:rsid w:val="00622E9B"/>
    <w:rsid w:val="00624082"/>
    <w:rsid w:val="0062510B"/>
    <w:rsid w:val="00625251"/>
    <w:rsid w:val="00625F88"/>
    <w:rsid w:val="00626372"/>
    <w:rsid w:val="00626EFF"/>
    <w:rsid w:val="00627190"/>
    <w:rsid w:val="006271BB"/>
    <w:rsid w:val="006301F6"/>
    <w:rsid w:val="00630219"/>
    <w:rsid w:val="00630D7B"/>
    <w:rsid w:val="006320EA"/>
    <w:rsid w:val="006324A6"/>
    <w:rsid w:val="00633233"/>
    <w:rsid w:val="0063475E"/>
    <w:rsid w:val="00634FE4"/>
    <w:rsid w:val="006358E6"/>
    <w:rsid w:val="006364DA"/>
    <w:rsid w:val="006400CB"/>
    <w:rsid w:val="00640CE4"/>
    <w:rsid w:val="006410DC"/>
    <w:rsid w:val="00641208"/>
    <w:rsid w:val="00641459"/>
    <w:rsid w:val="00641ACD"/>
    <w:rsid w:val="006425A2"/>
    <w:rsid w:val="00642CE6"/>
    <w:rsid w:val="00642E70"/>
    <w:rsid w:val="006444EF"/>
    <w:rsid w:val="00644518"/>
    <w:rsid w:val="006449E8"/>
    <w:rsid w:val="00644E6C"/>
    <w:rsid w:val="00644FF0"/>
    <w:rsid w:val="006455E3"/>
    <w:rsid w:val="0064683D"/>
    <w:rsid w:val="006478A2"/>
    <w:rsid w:val="006506A8"/>
    <w:rsid w:val="00651097"/>
    <w:rsid w:val="0065286C"/>
    <w:rsid w:val="006533B3"/>
    <w:rsid w:val="006533D0"/>
    <w:rsid w:val="00653AFF"/>
    <w:rsid w:val="006544B9"/>
    <w:rsid w:val="0065462A"/>
    <w:rsid w:val="00654E6D"/>
    <w:rsid w:val="00654E71"/>
    <w:rsid w:val="00654ECB"/>
    <w:rsid w:val="00655373"/>
    <w:rsid w:val="00655F68"/>
    <w:rsid w:val="00656DE6"/>
    <w:rsid w:val="00657B58"/>
    <w:rsid w:val="00657DE7"/>
    <w:rsid w:val="0066036C"/>
    <w:rsid w:val="00660C68"/>
    <w:rsid w:val="0066130D"/>
    <w:rsid w:val="006617AD"/>
    <w:rsid w:val="0066304F"/>
    <w:rsid w:val="0066498E"/>
    <w:rsid w:val="00665388"/>
    <w:rsid w:val="006658C0"/>
    <w:rsid w:val="00666998"/>
    <w:rsid w:val="00666D74"/>
    <w:rsid w:val="00666F5D"/>
    <w:rsid w:val="00667723"/>
    <w:rsid w:val="00667985"/>
    <w:rsid w:val="00667FCC"/>
    <w:rsid w:val="00670273"/>
    <w:rsid w:val="00670C61"/>
    <w:rsid w:val="006719F7"/>
    <w:rsid w:val="006727B2"/>
    <w:rsid w:val="006727EF"/>
    <w:rsid w:val="00672A8A"/>
    <w:rsid w:val="0067384D"/>
    <w:rsid w:val="00673B86"/>
    <w:rsid w:val="00674024"/>
    <w:rsid w:val="00676881"/>
    <w:rsid w:val="00676CBE"/>
    <w:rsid w:val="006770F8"/>
    <w:rsid w:val="00677776"/>
    <w:rsid w:val="00680BF5"/>
    <w:rsid w:val="00680C9E"/>
    <w:rsid w:val="00682EED"/>
    <w:rsid w:val="006848AA"/>
    <w:rsid w:val="00687078"/>
    <w:rsid w:val="00691D29"/>
    <w:rsid w:val="00692A4B"/>
    <w:rsid w:val="006938FF"/>
    <w:rsid w:val="00695CC7"/>
    <w:rsid w:val="00695F2C"/>
    <w:rsid w:val="006964DD"/>
    <w:rsid w:val="00696BFA"/>
    <w:rsid w:val="006A0309"/>
    <w:rsid w:val="006A0768"/>
    <w:rsid w:val="006A1929"/>
    <w:rsid w:val="006A19CA"/>
    <w:rsid w:val="006A24E1"/>
    <w:rsid w:val="006A335A"/>
    <w:rsid w:val="006A38EF"/>
    <w:rsid w:val="006A3A2E"/>
    <w:rsid w:val="006A55B9"/>
    <w:rsid w:val="006A5923"/>
    <w:rsid w:val="006A5F89"/>
    <w:rsid w:val="006A6DBE"/>
    <w:rsid w:val="006B01AF"/>
    <w:rsid w:val="006B1E31"/>
    <w:rsid w:val="006B2793"/>
    <w:rsid w:val="006B29CC"/>
    <w:rsid w:val="006B3887"/>
    <w:rsid w:val="006B4B0A"/>
    <w:rsid w:val="006B5843"/>
    <w:rsid w:val="006C069C"/>
    <w:rsid w:val="006C0F6E"/>
    <w:rsid w:val="006C1341"/>
    <w:rsid w:val="006C1CF4"/>
    <w:rsid w:val="006C2575"/>
    <w:rsid w:val="006C275E"/>
    <w:rsid w:val="006C3FD7"/>
    <w:rsid w:val="006C43F5"/>
    <w:rsid w:val="006C471F"/>
    <w:rsid w:val="006C54A0"/>
    <w:rsid w:val="006C5514"/>
    <w:rsid w:val="006C5883"/>
    <w:rsid w:val="006C5D89"/>
    <w:rsid w:val="006C61AE"/>
    <w:rsid w:val="006C6CEB"/>
    <w:rsid w:val="006C6CF5"/>
    <w:rsid w:val="006C6FEC"/>
    <w:rsid w:val="006D02D5"/>
    <w:rsid w:val="006D16DB"/>
    <w:rsid w:val="006D2B13"/>
    <w:rsid w:val="006D2BA0"/>
    <w:rsid w:val="006D2D7C"/>
    <w:rsid w:val="006D3615"/>
    <w:rsid w:val="006D4E14"/>
    <w:rsid w:val="006D4F52"/>
    <w:rsid w:val="006D5EEB"/>
    <w:rsid w:val="006D5F75"/>
    <w:rsid w:val="006D6B06"/>
    <w:rsid w:val="006D7FD1"/>
    <w:rsid w:val="006E1B55"/>
    <w:rsid w:val="006E216B"/>
    <w:rsid w:val="006E2E61"/>
    <w:rsid w:val="006E354B"/>
    <w:rsid w:val="006E3B9E"/>
    <w:rsid w:val="006E4267"/>
    <w:rsid w:val="006E45F2"/>
    <w:rsid w:val="006E4A27"/>
    <w:rsid w:val="006E4AE3"/>
    <w:rsid w:val="006E5A36"/>
    <w:rsid w:val="006E6887"/>
    <w:rsid w:val="006F0323"/>
    <w:rsid w:val="006F0619"/>
    <w:rsid w:val="006F0F08"/>
    <w:rsid w:val="006F139C"/>
    <w:rsid w:val="006F1874"/>
    <w:rsid w:val="006F3D18"/>
    <w:rsid w:val="006F41B8"/>
    <w:rsid w:val="006F48BA"/>
    <w:rsid w:val="006F60B2"/>
    <w:rsid w:val="006F7079"/>
    <w:rsid w:val="006F7AEE"/>
    <w:rsid w:val="00700BD8"/>
    <w:rsid w:val="00700ED3"/>
    <w:rsid w:val="0070181A"/>
    <w:rsid w:val="007032CD"/>
    <w:rsid w:val="00703B39"/>
    <w:rsid w:val="00703E76"/>
    <w:rsid w:val="007045FD"/>
    <w:rsid w:val="00705D44"/>
    <w:rsid w:val="007064DC"/>
    <w:rsid w:val="007115D8"/>
    <w:rsid w:val="007117F1"/>
    <w:rsid w:val="0071277F"/>
    <w:rsid w:val="007146EA"/>
    <w:rsid w:val="00714952"/>
    <w:rsid w:val="007159EA"/>
    <w:rsid w:val="0071713C"/>
    <w:rsid w:val="00717668"/>
    <w:rsid w:val="00717F21"/>
    <w:rsid w:val="00720DDA"/>
    <w:rsid w:val="00720F0F"/>
    <w:rsid w:val="00721B20"/>
    <w:rsid w:val="007232AD"/>
    <w:rsid w:val="00723776"/>
    <w:rsid w:val="007239B7"/>
    <w:rsid w:val="0072412A"/>
    <w:rsid w:val="0072519F"/>
    <w:rsid w:val="00726D05"/>
    <w:rsid w:val="00726D7F"/>
    <w:rsid w:val="0072710D"/>
    <w:rsid w:val="00727623"/>
    <w:rsid w:val="007307FE"/>
    <w:rsid w:val="00730B0E"/>
    <w:rsid w:val="00730ECD"/>
    <w:rsid w:val="00730F77"/>
    <w:rsid w:val="00730FB0"/>
    <w:rsid w:val="00731068"/>
    <w:rsid w:val="00731515"/>
    <w:rsid w:val="0073192D"/>
    <w:rsid w:val="00731990"/>
    <w:rsid w:val="00731C9D"/>
    <w:rsid w:val="00731EF3"/>
    <w:rsid w:val="00732178"/>
    <w:rsid w:val="0073256A"/>
    <w:rsid w:val="00732E37"/>
    <w:rsid w:val="0073377B"/>
    <w:rsid w:val="00734015"/>
    <w:rsid w:val="0073434D"/>
    <w:rsid w:val="007344E7"/>
    <w:rsid w:val="00734C87"/>
    <w:rsid w:val="007352D3"/>
    <w:rsid w:val="00737036"/>
    <w:rsid w:val="007375E2"/>
    <w:rsid w:val="00737DA8"/>
    <w:rsid w:val="00742770"/>
    <w:rsid w:val="00742854"/>
    <w:rsid w:val="0074299F"/>
    <w:rsid w:val="00742E1A"/>
    <w:rsid w:val="007431EB"/>
    <w:rsid w:val="007431F4"/>
    <w:rsid w:val="00743365"/>
    <w:rsid w:val="00743DCA"/>
    <w:rsid w:val="00744164"/>
    <w:rsid w:val="007442F0"/>
    <w:rsid w:val="0074472D"/>
    <w:rsid w:val="00745E65"/>
    <w:rsid w:val="00745FC6"/>
    <w:rsid w:val="00747DBB"/>
    <w:rsid w:val="00747E9D"/>
    <w:rsid w:val="00750A0A"/>
    <w:rsid w:val="00750B3D"/>
    <w:rsid w:val="00751E1B"/>
    <w:rsid w:val="007525BB"/>
    <w:rsid w:val="00752629"/>
    <w:rsid w:val="00752A64"/>
    <w:rsid w:val="00753857"/>
    <w:rsid w:val="00753B2A"/>
    <w:rsid w:val="00754200"/>
    <w:rsid w:val="0075444C"/>
    <w:rsid w:val="00754764"/>
    <w:rsid w:val="0075529E"/>
    <w:rsid w:val="007552EE"/>
    <w:rsid w:val="00756C59"/>
    <w:rsid w:val="0075725C"/>
    <w:rsid w:val="007619DB"/>
    <w:rsid w:val="00762723"/>
    <w:rsid w:val="00762872"/>
    <w:rsid w:val="00762D47"/>
    <w:rsid w:val="00763B95"/>
    <w:rsid w:val="00763F1D"/>
    <w:rsid w:val="00763FC5"/>
    <w:rsid w:val="007642CC"/>
    <w:rsid w:val="00765D8A"/>
    <w:rsid w:val="00767457"/>
    <w:rsid w:val="00767935"/>
    <w:rsid w:val="0076794A"/>
    <w:rsid w:val="0077084B"/>
    <w:rsid w:val="00770D8D"/>
    <w:rsid w:val="007714AB"/>
    <w:rsid w:val="007721CC"/>
    <w:rsid w:val="0077327D"/>
    <w:rsid w:val="00773BD1"/>
    <w:rsid w:val="00774709"/>
    <w:rsid w:val="00774E09"/>
    <w:rsid w:val="0077538E"/>
    <w:rsid w:val="0077540C"/>
    <w:rsid w:val="00775A15"/>
    <w:rsid w:val="00776934"/>
    <w:rsid w:val="00776CBE"/>
    <w:rsid w:val="00776E16"/>
    <w:rsid w:val="00777D59"/>
    <w:rsid w:val="0078275F"/>
    <w:rsid w:val="0078276D"/>
    <w:rsid w:val="00782D11"/>
    <w:rsid w:val="0078349F"/>
    <w:rsid w:val="007838F9"/>
    <w:rsid w:val="00783FC8"/>
    <w:rsid w:val="007846A7"/>
    <w:rsid w:val="00786726"/>
    <w:rsid w:val="00786E97"/>
    <w:rsid w:val="00787D6D"/>
    <w:rsid w:val="00790413"/>
    <w:rsid w:val="0079060B"/>
    <w:rsid w:val="00790A4A"/>
    <w:rsid w:val="00790B48"/>
    <w:rsid w:val="00791380"/>
    <w:rsid w:val="0079222D"/>
    <w:rsid w:val="007924C0"/>
    <w:rsid w:val="0079339C"/>
    <w:rsid w:val="00794B04"/>
    <w:rsid w:val="00794BF0"/>
    <w:rsid w:val="00794C0D"/>
    <w:rsid w:val="00795067"/>
    <w:rsid w:val="00795811"/>
    <w:rsid w:val="00795D4A"/>
    <w:rsid w:val="00796271"/>
    <w:rsid w:val="00796A6B"/>
    <w:rsid w:val="00797D18"/>
    <w:rsid w:val="007A0390"/>
    <w:rsid w:val="007A10B8"/>
    <w:rsid w:val="007A16CA"/>
    <w:rsid w:val="007A23A7"/>
    <w:rsid w:val="007A2E22"/>
    <w:rsid w:val="007A2E74"/>
    <w:rsid w:val="007A3086"/>
    <w:rsid w:val="007A3178"/>
    <w:rsid w:val="007A36FA"/>
    <w:rsid w:val="007A3DC3"/>
    <w:rsid w:val="007A4CE5"/>
    <w:rsid w:val="007A4F25"/>
    <w:rsid w:val="007A5220"/>
    <w:rsid w:val="007A5610"/>
    <w:rsid w:val="007A56C9"/>
    <w:rsid w:val="007A6496"/>
    <w:rsid w:val="007A6F65"/>
    <w:rsid w:val="007A7A6A"/>
    <w:rsid w:val="007B036E"/>
    <w:rsid w:val="007B03AF"/>
    <w:rsid w:val="007B0B3A"/>
    <w:rsid w:val="007B1B83"/>
    <w:rsid w:val="007B3459"/>
    <w:rsid w:val="007B3861"/>
    <w:rsid w:val="007B40EA"/>
    <w:rsid w:val="007B5256"/>
    <w:rsid w:val="007B5684"/>
    <w:rsid w:val="007B5882"/>
    <w:rsid w:val="007B5988"/>
    <w:rsid w:val="007B59DC"/>
    <w:rsid w:val="007B6A22"/>
    <w:rsid w:val="007B7261"/>
    <w:rsid w:val="007B78D6"/>
    <w:rsid w:val="007C0001"/>
    <w:rsid w:val="007C06B1"/>
    <w:rsid w:val="007C0890"/>
    <w:rsid w:val="007C0A43"/>
    <w:rsid w:val="007C12D9"/>
    <w:rsid w:val="007C132C"/>
    <w:rsid w:val="007C22A4"/>
    <w:rsid w:val="007C29FB"/>
    <w:rsid w:val="007C2D60"/>
    <w:rsid w:val="007C3BDC"/>
    <w:rsid w:val="007C3D3F"/>
    <w:rsid w:val="007C5563"/>
    <w:rsid w:val="007C66FE"/>
    <w:rsid w:val="007C71F1"/>
    <w:rsid w:val="007C7355"/>
    <w:rsid w:val="007C73EF"/>
    <w:rsid w:val="007C78D3"/>
    <w:rsid w:val="007D01C1"/>
    <w:rsid w:val="007D0395"/>
    <w:rsid w:val="007D0FFE"/>
    <w:rsid w:val="007D1649"/>
    <w:rsid w:val="007D23D1"/>
    <w:rsid w:val="007D2F05"/>
    <w:rsid w:val="007D442E"/>
    <w:rsid w:val="007D4441"/>
    <w:rsid w:val="007D535C"/>
    <w:rsid w:val="007D5A21"/>
    <w:rsid w:val="007D5A30"/>
    <w:rsid w:val="007D5C5A"/>
    <w:rsid w:val="007D6841"/>
    <w:rsid w:val="007D689E"/>
    <w:rsid w:val="007D6A9D"/>
    <w:rsid w:val="007D6D7A"/>
    <w:rsid w:val="007D73A5"/>
    <w:rsid w:val="007E07AB"/>
    <w:rsid w:val="007E0FEA"/>
    <w:rsid w:val="007E1619"/>
    <w:rsid w:val="007E17FC"/>
    <w:rsid w:val="007E23DC"/>
    <w:rsid w:val="007E2BB8"/>
    <w:rsid w:val="007E374D"/>
    <w:rsid w:val="007E590C"/>
    <w:rsid w:val="007E5BEA"/>
    <w:rsid w:val="007E5E48"/>
    <w:rsid w:val="007E5FDA"/>
    <w:rsid w:val="007E625E"/>
    <w:rsid w:val="007E6A04"/>
    <w:rsid w:val="007E6C52"/>
    <w:rsid w:val="007E7A36"/>
    <w:rsid w:val="007F2269"/>
    <w:rsid w:val="007F2D23"/>
    <w:rsid w:val="007F31E3"/>
    <w:rsid w:val="007F3213"/>
    <w:rsid w:val="007F48CF"/>
    <w:rsid w:val="007F4C03"/>
    <w:rsid w:val="007F5C67"/>
    <w:rsid w:val="007F75B6"/>
    <w:rsid w:val="007F770E"/>
    <w:rsid w:val="007F77D3"/>
    <w:rsid w:val="007F7B7D"/>
    <w:rsid w:val="00800B2C"/>
    <w:rsid w:val="00801CAE"/>
    <w:rsid w:val="00801EC3"/>
    <w:rsid w:val="00802AC0"/>
    <w:rsid w:val="0080485C"/>
    <w:rsid w:val="00804D2C"/>
    <w:rsid w:val="00805715"/>
    <w:rsid w:val="00805B0A"/>
    <w:rsid w:val="008072B1"/>
    <w:rsid w:val="008076BB"/>
    <w:rsid w:val="00807807"/>
    <w:rsid w:val="00811BB7"/>
    <w:rsid w:val="00811FA2"/>
    <w:rsid w:val="00812BDC"/>
    <w:rsid w:val="0081448C"/>
    <w:rsid w:val="00814E73"/>
    <w:rsid w:val="008158C5"/>
    <w:rsid w:val="00815BB6"/>
    <w:rsid w:val="00817B7D"/>
    <w:rsid w:val="00820372"/>
    <w:rsid w:val="00820D37"/>
    <w:rsid w:val="00820DC6"/>
    <w:rsid w:val="00820DD8"/>
    <w:rsid w:val="0082177C"/>
    <w:rsid w:val="00821CCC"/>
    <w:rsid w:val="00821F58"/>
    <w:rsid w:val="00822ED6"/>
    <w:rsid w:val="0082318F"/>
    <w:rsid w:val="0082432D"/>
    <w:rsid w:val="008247A4"/>
    <w:rsid w:val="00824893"/>
    <w:rsid w:val="00824E7F"/>
    <w:rsid w:val="008257C8"/>
    <w:rsid w:val="00825E88"/>
    <w:rsid w:val="008267CD"/>
    <w:rsid w:val="008269E6"/>
    <w:rsid w:val="008300F0"/>
    <w:rsid w:val="00830785"/>
    <w:rsid w:val="008312F1"/>
    <w:rsid w:val="0083260F"/>
    <w:rsid w:val="008326DF"/>
    <w:rsid w:val="00832FD4"/>
    <w:rsid w:val="0083316B"/>
    <w:rsid w:val="0083355F"/>
    <w:rsid w:val="00835BC2"/>
    <w:rsid w:val="00835C05"/>
    <w:rsid w:val="008366D7"/>
    <w:rsid w:val="00836889"/>
    <w:rsid w:val="0083718F"/>
    <w:rsid w:val="00840706"/>
    <w:rsid w:val="00840820"/>
    <w:rsid w:val="00840D39"/>
    <w:rsid w:val="00841459"/>
    <w:rsid w:val="00843644"/>
    <w:rsid w:val="00843A32"/>
    <w:rsid w:val="00843B8C"/>
    <w:rsid w:val="0084427A"/>
    <w:rsid w:val="00845AEF"/>
    <w:rsid w:val="00845D2D"/>
    <w:rsid w:val="00846CB6"/>
    <w:rsid w:val="008475C0"/>
    <w:rsid w:val="00847D03"/>
    <w:rsid w:val="00847DC3"/>
    <w:rsid w:val="00852661"/>
    <w:rsid w:val="00852BF0"/>
    <w:rsid w:val="0085332A"/>
    <w:rsid w:val="00853C59"/>
    <w:rsid w:val="008547A8"/>
    <w:rsid w:val="00856468"/>
    <w:rsid w:val="00857E4C"/>
    <w:rsid w:val="00860F4A"/>
    <w:rsid w:val="008615F0"/>
    <w:rsid w:val="008616DD"/>
    <w:rsid w:val="008617BF"/>
    <w:rsid w:val="00862BC0"/>
    <w:rsid w:val="00863421"/>
    <w:rsid w:val="008635B7"/>
    <w:rsid w:val="0086402C"/>
    <w:rsid w:val="00865256"/>
    <w:rsid w:val="0086582C"/>
    <w:rsid w:val="00870346"/>
    <w:rsid w:val="00870DCF"/>
    <w:rsid w:val="00871453"/>
    <w:rsid w:val="00871657"/>
    <w:rsid w:val="00872728"/>
    <w:rsid w:val="00872DA2"/>
    <w:rsid w:val="00873C81"/>
    <w:rsid w:val="00873FCD"/>
    <w:rsid w:val="0087518F"/>
    <w:rsid w:val="008758DF"/>
    <w:rsid w:val="00876977"/>
    <w:rsid w:val="0087705B"/>
    <w:rsid w:val="00882780"/>
    <w:rsid w:val="00882867"/>
    <w:rsid w:val="0088319F"/>
    <w:rsid w:val="00885148"/>
    <w:rsid w:val="008856D2"/>
    <w:rsid w:val="008858AE"/>
    <w:rsid w:val="00885C9C"/>
    <w:rsid w:val="0088617E"/>
    <w:rsid w:val="00886CE6"/>
    <w:rsid w:val="00887FD6"/>
    <w:rsid w:val="00890250"/>
    <w:rsid w:val="00890372"/>
    <w:rsid w:val="0089063F"/>
    <w:rsid w:val="008906E8"/>
    <w:rsid w:val="008911C2"/>
    <w:rsid w:val="008915DF"/>
    <w:rsid w:val="00893726"/>
    <w:rsid w:val="00893A2E"/>
    <w:rsid w:val="008942C5"/>
    <w:rsid w:val="00894AD3"/>
    <w:rsid w:val="00894E37"/>
    <w:rsid w:val="00895B6D"/>
    <w:rsid w:val="00897934"/>
    <w:rsid w:val="008A1F54"/>
    <w:rsid w:val="008A23F6"/>
    <w:rsid w:val="008A33CF"/>
    <w:rsid w:val="008A37A4"/>
    <w:rsid w:val="008A4086"/>
    <w:rsid w:val="008A4509"/>
    <w:rsid w:val="008A4A8E"/>
    <w:rsid w:val="008A572F"/>
    <w:rsid w:val="008A5801"/>
    <w:rsid w:val="008A5AA9"/>
    <w:rsid w:val="008A61F1"/>
    <w:rsid w:val="008A782A"/>
    <w:rsid w:val="008B01AB"/>
    <w:rsid w:val="008B0316"/>
    <w:rsid w:val="008B073A"/>
    <w:rsid w:val="008B3D34"/>
    <w:rsid w:val="008B490F"/>
    <w:rsid w:val="008B6E5E"/>
    <w:rsid w:val="008B722C"/>
    <w:rsid w:val="008B7301"/>
    <w:rsid w:val="008B783D"/>
    <w:rsid w:val="008B78BC"/>
    <w:rsid w:val="008C043D"/>
    <w:rsid w:val="008C0935"/>
    <w:rsid w:val="008C2567"/>
    <w:rsid w:val="008C294F"/>
    <w:rsid w:val="008C436E"/>
    <w:rsid w:val="008C45A4"/>
    <w:rsid w:val="008C4BD2"/>
    <w:rsid w:val="008C5B05"/>
    <w:rsid w:val="008C5CB8"/>
    <w:rsid w:val="008C7469"/>
    <w:rsid w:val="008C7EAE"/>
    <w:rsid w:val="008D0DE2"/>
    <w:rsid w:val="008D170F"/>
    <w:rsid w:val="008D1E88"/>
    <w:rsid w:val="008D23F7"/>
    <w:rsid w:val="008D2BD1"/>
    <w:rsid w:val="008D2BF4"/>
    <w:rsid w:val="008D4235"/>
    <w:rsid w:val="008D4705"/>
    <w:rsid w:val="008D4AE5"/>
    <w:rsid w:val="008D4CD0"/>
    <w:rsid w:val="008D4EA0"/>
    <w:rsid w:val="008D65C3"/>
    <w:rsid w:val="008D67B7"/>
    <w:rsid w:val="008E0D92"/>
    <w:rsid w:val="008E239D"/>
    <w:rsid w:val="008E26BD"/>
    <w:rsid w:val="008E298B"/>
    <w:rsid w:val="008E35F1"/>
    <w:rsid w:val="008E4180"/>
    <w:rsid w:val="008E45AA"/>
    <w:rsid w:val="008E4708"/>
    <w:rsid w:val="008E4E11"/>
    <w:rsid w:val="008E50DD"/>
    <w:rsid w:val="008E5619"/>
    <w:rsid w:val="008E5E06"/>
    <w:rsid w:val="008E7E9E"/>
    <w:rsid w:val="008F0091"/>
    <w:rsid w:val="008F0125"/>
    <w:rsid w:val="008F0C2E"/>
    <w:rsid w:val="008F26AA"/>
    <w:rsid w:val="008F4D36"/>
    <w:rsid w:val="008F4DDB"/>
    <w:rsid w:val="008F51FC"/>
    <w:rsid w:val="008F5515"/>
    <w:rsid w:val="008F5A39"/>
    <w:rsid w:val="008F5EE9"/>
    <w:rsid w:val="008F6BDF"/>
    <w:rsid w:val="008F6C2B"/>
    <w:rsid w:val="008F76BF"/>
    <w:rsid w:val="008F7728"/>
    <w:rsid w:val="00901D4D"/>
    <w:rsid w:val="00903198"/>
    <w:rsid w:val="00903E08"/>
    <w:rsid w:val="009048C7"/>
    <w:rsid w:val="00904BDA"/>
    <w:rsid w:val="00904ECE"/>
    <w:rsid w:val="00904F82"/>
    <w:rsid w:val="00904FF1"/>
    <w:rsid w:val="00907A3B"/>
    <w:rsid w:val="00910C51"/>
    <w:rsid w:val="0091175F"/>
    <w:rsid w:val="009127E1"/>
    <w:rsid w:val="0091331F"/>
    <w:rsid w:val="00914139"/>
    <w:rsid w:val="00914248"/>
    <w:rsid w:val="0091529F"/>
    <w:rsid w:val="00916162"/>
    <w:rsid w:val="009161E1"/>
    <w:rsid w:val="009176BD"/>
    <w:rsid w:val="00920BA6"/>
    <w:rsid w:val="009214EE"/>
    <w:rsid w:val="00921A39"/>
    <w:rsid w:val="00923495"/>
    <w:rsid w:val="00923922"/>
    <w:rsid w:val="009240A4"/>
    <w:rsid w:val="00924561"/>
    <w:rsid w:val="00925462"/>
    <w:rsid w:val="00926B24"/>
    <w:rsid w:val="00926C71"/>
    <w:rsid w:val="00926DA8"/>
    <w:rsid w:val="00927EA1"/>
    <w:rsid w:val="009303CD"/>
    <w:rsid w:val="00930EE6"/>
    <w:rsid w:val="00930F47"/>
    <w:rsid w:val="00930FD8"/>
    <w:rsid w:val="0093109A"/>
    <w:rsid w:val="0093133E"/>
    <w:rsid w:val="0093235C"/>
    <w:rsid w:val="009323CD"/>
    <w:rsid w:val="00932B4A"/>
    <w:rsid w:val="00932C74"/>
    <w:rsid w:val="00933C1A"/>
    <w:rsid w:val="00933DC4"/>
    <w:rsid w:val="00934B03"/>
    <w:rsid w:val="009351BA"/>
    <w:rsid w:val="0093558C"/>
    <w:rsid w:val="0093589D"/>
    <w:rsid w:val="00937AB7"/>
    <w:rsid w:val="0094046D"/>
    <w:rsid w:val="00940D51"/>
    <w:rsid w:val="009410E0"/>
    <w:rsid w:val="00942179"/>
    <w:rsid w:val="00942F82"/>
    <w:rsid w:val="00943ED2"/>
    <w:rsid w:val="00944578"/>
    <w:rsid w:val="0094459C"/>
    <w:rsid w:val="00944831"/>
    <w:rsid w:val="00946021"/>
    <w:rsid w:val="0094683E"/>
    <w:rsid w:val="009473F8"/>
    <w:rsid w:val="00950259"/>
    <w:rsid w:val="00950387"/>
    <w:rsid w:val="00950AD1"/>
    <w:rsid w:val="00950BE1"/>
    <w:rsid w:val="00951696"/>
    <w:rsid w:val="009517B8"/>
    <w:rsid w:val="00952D5F"/>
    <w:rsid w:val="009532FE"/>
    <w:rsid w:val="009534D5"/>
    <w:rsid w:val="00953AEA"/>
    <w:rsid w:val="0095423F"/>
    <w:rsid w:val="00954D65"/>
    <w:rsid w:val="00955266"/>
    <w:rsid w:val="00955917"/>
    <w:rsid w:val="00955B35"/>
    <w:rsid w:val="00955DCE"/>
    <w:rsid w:val="00956328"/>
    <w:rsid w:val="00957F1B"/>
    <w:rsid w:val="00960861"/>
    <w:rsid w:val="00960E40"/>
    <w:rsid w:val="00960E5F"/>
    <w:rsid w:val="00961A9D"/>
    <w:rsid w:val="00961B6B"/>
    <w:rsid w:val="00962219"/>
    <w:rsid w:val="00962CFE"/>
    <w:rsid w:val="00963796"/>
    <w:rsid w:val="0096383E"/>
    <w:rsid w:val="00963AE6"/>
    <w:rsid w:val="00964A7A"/>
    <w:rsid w:val="00964D2E"/>
    <w:rsid w:val="00965A9E"/>
    <w:rsid w:val="00967033"/>
    <w:rsid w:val="00967096"/>
    <w:rsid w:val="0096774F"/>
    <w:rsid w:val="009711C9"/>
    <w:rsid w:val="00971BE9"/>
    <w:rsid w:val="0097346D"/>
    <w:rsid w:val="00973B43"/>
    <w:rsid w:val="00975634"/>
    <w:rsid w:val="00975771"/>
    <w:rsid w:val="00975B9D"/>
    <w:rsid w:val="00976C00"/>
    <w:rsid w:val="00977509"/>
    <w:rsid w:val="009815AF"/>
    <w:rsid w:val="009839DE"/>
    <w:rsid w:val="00984DB5"/>
    <w:rsid w:val="0098568F"/>
    <w:rsid w:val="00985FCD"/>
    <w:rsid w:val="00986059"/>
    <w:rsid w:val="00986ACB"/>
    <w:rsid w:val="00986E4E"/>
    <w:rsid w:val="00987A6F"/>
    <w:rsid w:val="00987A76"/>
    <w:rsid w:val="00987C1E"/>
    <w:rsid w:val="0099122F"/>
    <w:rsid w:val="0099184D"/>
    <w:rsid w:val="00991C0A"/>
    <w:rsid w:val="00991CBC"/>
    <w:rsid w:val="00991F5F"/>
    <w:rsid w:val="009920AB"/>
    <w:rsid w:val="00992672"/>
    <w:rsid w:val="00993AED"/>
    <w:rsid w:val="0099457E"/>
    <w:rsid w:val="009955D9"/>
    <w:rsid w:val="0099605F"/>
    <w:rsid w:val="0099609C"/>
    <w:rsid w:val="0099622A"/>
    <w:rsid w:val="00996464"/>
    <w:rsid w:val="00996529"/>
    <w:rsid w:val="00996BBA"/>
    <w:rsid w:val="00996C96"/>
    <w:rsid w:val="00996E83"/>
    <w:rsid w:val="00997CEB"/>
    <w:rsid w:val="009A1BD8"/>
    <w:rsid w:val="009A2E98"/>
    <w:rsid w:val="009A2F5F"/>
    <w:rsid w:val="009A30AF"/>
    <w:rsid w:val="009A33CE"/>
    <w:rsid w:val="009A46DC"/>
    <w:rsid w:val="009A5DBD"/>
    <w:rsid w:val="009A5F7C"/>
    <w:rsid w:val="009A6A69"/>
    <w:rsid w:val="009A6FF8"/>
    <w:rsid w:val="009A7687"/>
    <w:rsid w:val="009A7F01"/>
    <w:rsid w:val="009A7F3E"/>
    <w:rsid w:val="009B1967"/>
    <w:rsid w:val="009B20BE"/>
    <w:rsid w:val="009B28D8"/>
    <w:rsid w:val="009B39A3"/>
    <w:rsid w:val="009B41B1"/>
    <w:rsid w:val="009B4361"/>
    <w:rsid w:val="009B4453"/>
    <w:rsid w:val="009B54A2"/>
    <w:rsid w:val="009B5D0A"/>
    <w:rsid w:val="009B651B"/>
    <w:rsid w:val="009B69EF"/>
    <w:rsid w:val="009B7B4E"/>
    <w:rsid w:val="009C032D"/>
    <w:rsid w:val="009C11A5"/>
    <w:rsid w:val="009C1414"/>
    <w:rsid w:val="009C1FCA"/>
    <w:rsid w:val="009C2923"/>
    <w:rsid w:val="009C320F"/>
    <w:rsid w:val="009C3B09"/>
    <w:rsid w:val="009C4221"/>
    <w:rsid w:val="009C4835"/>
    <w:rsid w:val="009C5511"/>
    <w:rsid w:val="009C5C65"/>
    <w:rsid w:val="009C68DE"/>
    <w:rsid w:val="009C6900"/>
    <w:rsid w:val="009C7182"/>
    <w:rsid w:val="009C7F68"/>
    <w:rsid w:val="009D0262"/>
    <w:rsid w:val="009D0BF4"/>
    <w:rsid w:val="009D10A3"/>
    <w:rsid w:val="009D1C8A"/>
    <w:rsid w:val="009D24A7"/>
    <w:rsid w:val="009D2689"/>
    <w:rsid w:val="009D27A7"/>
    <w:rsid w:val="009D543D"/>
    <w:rsid w:val="009D5925"/>
    <w:rsid w:val="009D5D18"/>
    <w:rsid w:val="009E0567"/>
    <w:rsid w:val="009E0D20"/>
    <w:rsid w:val="009E1232"/>
    <w:rsid w:val="009E2835"/>
    <w:rsid w:val="009E2CDD"/>
    <w:rsid w:val="009E65D2"/>
    <w:rsid w:val="009E663A"/>
    <w:rsid w:val="009F051A"/>
    <w:rsid w:val="009F052F"/>
    <w:rsid w:val="009F077E"/>
    <w:rsid w:val="009F25AA"/>
    <w:rsid w:val="009F2F36"/>
    <w:rsid w:val="009F302B"/>
    <w:rsid w:val="009F31F0"/>
    <w:rsid w:val="009F32C5"/>
    <w:rsid w:val="009F3800"/>
    <w:rsid w:val="009F5C50"/>
    <w:rsid w:val="009F617E"/>
    <w:rsid w:val="009F78C5"/>
    <w:rsid w:val="00A01EE1"/>
    <w:rsid w:val="00A02C88"/>
    <w:rsid w:val="00A02D25"/>
    <w:rsid w:val="00A02D73"/>
    <w:rsid w:val="00A03100"/>
    <w:rsid w:val="00A03FE9"/>
    <w:rsid w:val="00A043F9"/>
    <w:rsid w:val="00A04E82"/>
    <w:rsid w:val="00A06681"/>
    <w:rsid w:val="00A10768"/>
    <w:rsid w:val="00A10F50"/>
    <w:rsid w:val="00A1231A"/>
    <w:rsid w:val="00A126B9"/>
    <w:rsid w:val="00A12AF6"/>
    <w:rsid w:val="00A12C59"/>
    <w:rsid w:val="00A13012"/>
    <w:rsid w:val="00A152E2"/>
    <w:rsid w:val="00A15339"/>
    <w:rsid w:val="00A15564"/>
    <w:rsid w:val="00A15A25"/>
    <w:rsid w:val="00A15F45"/>
    <w:rsid w:val="00A17F75"/>
    <w:rsid w:val="00A17FE4"/>
    <w:rsid w:val="00A2031A"/>
    <w:rsid w:val="00A20DBF"/>
    <w:rsid w:val="00A20F13"/>
    <w:rsid w:val="00A227A9"/>
    <w:rsid w:val="00A22E15"/>
    <w:rsid w:val="00A24B49"/>
    <w:rsid w:val="00A24D51"/>
    <w:rsid w:val="00A251CF"/>
    <w:rsid w:val="00A25CDE"/>
    <w:rsid w:val="00A26620"/>
    <w:rsid w:val="00A266D7"/>
    <w:rsid w:val="00A273B5"/>
    <w:rsid w:val="00A27486"/>
    <w:rsid w:val="00A30BF3"/>
    <w:rsid w:val="00A318F5"/>
    <w:rsid w:val="00A319DB"/>
    <w:rsid w:val="00A31DF0"/>
    <w:rsid w:val="00A328A3"/>
    <w:rsid w:val="00A3378A"/>
    <w:rsid w:val="00A3482A"/>
    <w:rsid w:val="00A35C13"/>
    <w:rsid w:val="00A3603A"/>
    <w:rsid w:val="00A36156"/>
    <w:rsid w:val="00A36F05"/>
    <w:rsid w:val="00A37755"/>
    <w:rsid w:val="00A37921"/>
    <w:rsid w:val="00A40564"/>
    <w:rsid w:val="00A4076A"/>
    <w:rsid w:val="00A4443E"/>
    <w:rsid w:val="00A45E0E"/>
    <w:rsid w:val="00A4651B"/>
    <w:rsid w:val="00A4762D"/>
    <w:rsid w:val="00A47773"/>
    <w:rsid w:val="00A5002A"/>
    <w:rsid w:val="00A510E2"/>
    <w:rsid w:val="00A51D7D"/>
    <w:rsid w:val="00A548D7"/>
    <w:rsid w:val="00A5642D"/>
    <w:rsid w:val="00A569C0"/>
    <w:rsid w:val="00A57BE0"/>
    <w:rsid w:val="00A60BB5"/>
    <w:rsid w:val="00A60BF6"/>
    <w:rsid w:val="00A60F4B"/>
    <w:rsid w:val="00A614CA"/>
    <w:rsid w:val="00A61545"/>
    <w:rsid w:val="00A6186E"/>
    <w:rsid w:val="00A61B1A"/>
    <w:rsid w:val="00A629A1"/>
    <w:rsid w:val="00A630CB"/>
    <w:rsid w:val="00A640C3"/>
    <w:rsid w:val="00A64324"/>
    <w:rsid w:val="00A64DBA"/>
    <w:rsid w:val="00A65B80"/>
    <w:rsid w:val="00A65C05"/>
    <w:rsid w:val="00A6601A"/>
    <w:rsid w:val="00A6607A"/>
    <w:rsid w:val="00A668BD"/>
    <w:rsid w:val="00A66A00"/>
    <w:rsid w:val="00A678F2"/>
    <w:rsid w:val="00A7214F"/>
    <w:rsid w:val="00A73AD7"/>
    <w:rsid w:val="00A73B00"/>
    <w:rsid w:val="00A752F4"/>
    <w:rsid w:val="00A75308"/>
    <w:rsid w:val="00A768C2"/>
    <w:rsid w:val="00A771A5"/>
    <w:rsid w:val="00A80526"/>
    <w:rsid w:val="00A806B1"/>
    <w:rsid w:val="00A8104C"/>
    <w:rsid w:val="00A81324"/>
    <w:rsid w:val="00A81728"/>
    <w:rsid w:val="00A81C2C"/>
    <w:rsid w:val="00A82AA3"/>
    <w:rsid w:val="00A83C2B"/>
    <w:rsid w:val="00A8407B"/>
    <w:rsid w:val="00A849FC"/>
    <w:rsid w:val="00A85FE7"/>
    <w:rsid w:val="00A8610A"/>
    <w:rsid w:val="00A867C7"/>
    <w:rsid w:val="00A86B6B"/>
    <w:rsid w:val="00A87168"/>
    <w:rsid w:val="00A87E3D"/>
    <w:rsid w:val="00A900AF"/>
    <w:rsid w:val="00A9066F"/>
    <w:rsid w:val="00A911B1"/>
    <w:rsid w:val="00A92991"/>
    <w:rsid w:val="00A92A22"/>
    <w:rsid w:val="00A92B0A"/>
    <w:rsid w:val="00A934F8"/>
    <w:rsid w:val="00A93503"/>
    <w:rsid w:val="00A93689"/>
    <w:rsid w:val="00A95790"/>
    <w:rsid w:val="00A95E9D"/>
    <w:rsid w:val="00A95FC4"/>
    <w:rsid w:val="00A9606D"/>
    <w:rsid w:val="00A9648F"/>
    <w:rsid w:val="00AA0FB3"/>
    <w:rsid w:val="00AA115A"/>
    <w:rsid w:val="00AA1594"/>
    <w:rsid w:val="00AA18A5"/>
    <w:rsid w:val="00AA24C4"/>
    <w:rsid w:val="00AA2CF8"/>
    <w:rsid w:val="00AA2F2B"/>
    <w:rsid w:val="00AA315F"/>
    <w:rsid w:val="00AA3EAA"/>
    <w:rsid w:val="00AA5CE8"/>
    <w:rsid w:val="00AA5E77"/>
    <w:rsid w:val="00AA6900"/>
    <w:rsid w:val="00AA7AE6"/>
    <w:rsid w:val="00AB04C8"/>
    <w:rsid w:val="00AB1E28"/>
    <w:rsid w:val="00AB1EE5"/>
    <w:rsid w:val="00AB27EF"/>
    <w:rsid w:val="00AB3280"/>
    <w:rsid w:val="00AB38F2"/>
    <w:rsid w:val="00AB3DA6"/>
    <w:rsid w:val="00AB4979"/>
    <w:rsid w:val="00AB5910"/>
    <w:rsid w:val="00AB6198"/>
    <w:rsid w:val="00AB6211"/>
    <w:rsid w:val="00AB7660"/>
    <w:rsid w:val="00AC09B6"/>
    <w:rsid w:val="00AC19B7"/>
    <w:rsid w:val="00AC1A76"/>
    <w:rsid w:val="00AC20CE"/>
    <w:rsid w:val="00AC275D"/>
    <w:rsid w:val="00AC2CA7"/>
    <w:rsid w:val="00AC2D7C"/>
    <w:rsid w:val="00AC3A6E"/>
    <w:rsid w:val="00AC4BF5"/>
    <w:rsid w:val="00AC53AB"/>
    <w:rsid w:val="00AC5868"/>
    <w:rsid w:val="00AC63D1"/>
    <w:rsid w:val="00AC6884"/>
    <w:rsid w:val="00AD1223"/>
    <w:rsid w:val="00AD2CF8"/>
    <w:rsid w:val="00AD3181"/>
    <w:rsid w:val="00AD359B"/>
    <w:rsid w:val="00AD3C8B"/>
    <w:rsid w:val="00AD48C5"/>
    <w:rsid w:val="00AD5913"/>
    <w:rsid w:val="00AD5AE7"/>
    <w:rsid w:val="00AD5E8E"/>
    <w:rsid w:val="00AD628B"/>
    <w:rsid w:val="00AD68D4"/>
    <w:rsid w:val="00AD776C"/>
    <w:rsid w:val="00AD7D52"/>
    <w:rsid w:val="00AE086B"/>
    <w:rsid w:val="00AE0DD8"/>
    <w:rsid w:val="00AE0F9F"/>
    <w:rsid w:val="00AE1F1C"/>
    <w:rsid w:val="00AE42AC"/>
    <w:rsid w:val="00AE524A"/>
    <w:rsid w:val="00AE54A9"/>
    <w:rsid w:val="00AE56C9"/>
    <w:rsid w:val="00AE5EFC"/>
    <w:rsid w:val="00AE6950"/>
    <w:rsid w:val="00AE7100"/>
    <w:rsid w:val="00AF05D8"/>
    <w:rsid w:val="00AF0FD0"/>
    <w:rsid w:val="00AF2058"/>
    <w:rsid w:val="00AF25F7"/>
    <w:rsid w:val="00AF2B29"/>
    <w:rsid w:val="00AF2D73"/>
    <w:rsid w:val="00AF2E61"/>
    <w:rsid w:val="00AF325E"/>
    <w:rsid w:val="00AF343C"/>
    <w:rsid w:val="00AF4066"/>
    <w:rsid w:val="00AF4A9A"/>
    <w:rsid w:val="00AF612C"/>
    <w:rsid w:val="00AF616C"/>
    <w:rsid w:val="00AF6A4C"/>
    <w:rsid w:val="00AF6B79"/>
    <w:rsid w:val="00AF6E55"/>
    <w:rsid w:val="00AF7D3B"/>
    <w:rsid w:val="00B009D8"/>
    <w:rsid w:val="00B01150"/>
    <w:rsid w:val="00B02715"/>
    <w:rsid w:val="00B04443"/>
    <w:rsid w:val="00B04716"/>
    <w:rsid w:val="00B070A7"/>
    <w:rsid w:val="00B10272"/>
    <w:rsid w:val="00B112C0"/>
    <w:rsid w:val="00B12AAC"/>
    <w:rsid w:val="00B13A35"/>
    <w:rsid w:val="00B14030"/>
    <w:rsid w:val="00B14816"/>
    <w:rsid w:val="00B1543C"/>
    <w:rsid w:val="00B15505"/>
    <w:rsid w:val="00B15C3E"/>
    <w:rsid w:val="00B173C1"/>
    <w:rsid w:val="00B17401"/>
    <w:rsid w:val="00B179F2"/>
    <w:rsid w:val="00B17FE3"/>
    <w:rsid w:val="00B20136"/>
    <w:rsid w:val="00B2026D"/>
    <w:rsid w:val="00B20A05"/>
    <w:rsid w:val="00B20E4C"/>
    <w:rsid w:val="00B211D8"/>
    <w:rsid w:val="00B215D3"/>
    <w:rsid w:val="00B22E21"/>
    <w:rsid w:val="00B23355"/>
    <w:rsid w:val="00B23F56"/>
    <w:rsid w:val="00B259EF"/>
    <w:rsid w:val="00B2675A"/>
    <w:rsid w:val="00B271AD"/>
    <w:rsid w:val="00B31A18"/>
    <w:rsid w:val="00B321C7"/>
    <w:rsid w:val="00B32B4E"/>
    <w:rsid w:val="00B33464"/>
    <w:rsid w:val="00B33FB3"/>
    <w:rsid w:val="00B341DE"/>
    <w:rsid w:val="00B36246"/>
    <w:rsid w:val="00B364F0"/>
    <w:rsid w:val="00B3662A"/>
    <w:rsid w:val="00B3670D"/>
    <w:rsid w:val="00B36821"/>
    <w:rsid w:val="00B36A8E"/>
    <w:rsid w:val="00B37BDE"/>
    <w:rsid w:val="00B416CE"/>
    <w:rsid w:val="00B41E78"/>
    <w:rsid w:val="00B42466"/>
    <w:rsid w:val="00B429C7"/>
    <w:rsid w:val="00B445BD"/>
    <w:rsid w:val="00B446E9"/>
    <w:rsid w:val="00B44AD3"/>
    <w:rsid w:val="00B44C79"/>
    <w:rsid w:val="00B46AF0"/>
    <w:rsid w:val="00B472F8"/>
    <w:rsid w:val="00B476BD"/>
    <w:rsid w:val="00B5025E"/>
    <w:rsid w:val="00B5081C"/>
    <w:rsid w:val="00B5106A"/>
    <w:rsid w:val="00B5138E"/>
    <w:rsid w:val="00B5167E"/>
    <w:rsid w:val="00B51861"/>
    <w:rsid w:val="00B52423"/>
    <w:rsid w:val="00B52EF1"/>
    <w:rsid w:val="00B5394A"/>
    <w:rsid w:val="00B53C63"/>
    <w:rsid w:val="00B555EA"/>
    <w:rsid w:val="00B559C4"/>
    <w:rsid w:val="00B565F9"/>
    <w:rsid w:val="00B57607"/>
    <w:rsid w:val="00B602AB"/>
    <w:rsid w:val="00B60992"/>
    <w:rsid w:val="00B60DE0"/>
    <w:rsid w:val="00B60F78"/>
    <w:rsid w:val="00B6102E"/>
    <w:rsid w:val="00B61547"/>
    <w:rsid w:val="00B62DEB"/>
    <w:rsid w:val="00B6377F"/>
    <w:rsid w:val="00B6516E"/>
    <w:rsid w:val="00B65EBA"/>
    <w:rsid w:val="00B678C7"/>
    <w:rsid w:val="00B7012E"/>
    <w:rsid w:val="00B7186D"/>
    <w:rsid w:val="00B719A0"/>
    <w:rsid w:val="00B719A6"/>
    <w:rsid w:val="00B72255"/>
    <w:rsid w:val="00B7235C"/>
    <w:rsid w:val="00B739E4"/>
    <w:rsid w:val="00B7416B"/>
    <w:rsid w:val="00B74932"/>
    <w:rsid w:val="00B75048"/>
    <w:rsid w:val="00B7509F"/>
    <w:rsid w:val="00B76118"/>
    <w:rsid w:val="00B768E7"/>
    <w:rsid w:val="00B76E17"/>
    <w:rsid w:val="00B7729C"/>
    <w:rsid w:val="00B77F93"/>
    <w:rsid w:val="00B81892"/>
    <w:rsid w:val="00B81C24"/>
    <w:rsid w:val="00B83064"/>
    <w:rsid w:val="00B83FA4"/>
    <w:rsid w:val="00B84311"/>
    <w:rsid w:val="00B84441"/>
    <w:rsid w:val="00B84FFC"/>
    <w:rsid w:val="00B87900"/>
    <w:rsid w:val="00B9177A"/>
    <w:rsid w:val="00B91914"/>
    <w:rsid w:val="00B92E31"/>
    <w:rsid w:val="00B92EE4"/>
    <w:rsid w:val="00B93CF8"/>
    <w:rsid w:val="00B94340"/>
    <w:rsid w:val="00B95096"/>
    <w:rsid w:val="00B95F59"/>
    <w:rsid w:val="00B96421"/>
    <w:rsid w:val="00B9675E"/>
    <w:rsid w:val="00B9764E"/>
    <w:rsid w:val="00BA0508"/>
    <w:rsid w:val="00BA0EE7"/>
    <w:rsid w:val="00BA2918"/>
    <w:rsid w:val="00BA2BF0"/>
    <w:rsid w:val="00BA2C68"/>
    <w:rsid w:val="00BA2E6C"/>
    <w:rsid w:val="00BA3427"/>
    <w:rsid w:val="00BA3E2C"/>
    <w:rsid w:val="00BA5C36"/>
    <w:rsid w:val="00BA6BD8"/>
    <w:rsid w:val="00BA78D2"/>
    <w:rsid w:val="00BA7ED6"/>
    <w:rsid w:val="00BB02C5"/>
    <w:rsid w:val="00BB1FBB"/>
    <w:rsid w:val="00BB2308"/>
    <w:rsid w:val="00BB37E9"/>
    <w:rsid w:val="00BB3B4E"/>
    <w:rsid w:val="00BB4A03"/>
    <w:rsid w:val="00BB506D"/>
    <w:rsid w:val="00BB6465"/>
    <w:rsid w:val="00BB679B"/>
    <w:rsid w:val="00BB745F"/>
    <w:rsid w:val="00BB755B"/>
    <w:rsid w:val="00BB7782"/>
    <w:rsid w:val="00BC01E0"/>
    <w:rsid w:val="00BC0488"/>
    <w:rsid w:val="00BC115A"/>
    <w:rsid w:val="00BC1172"/>
    <w:rsid w:val="00BC20D7"/>
    <w:rsid w:val="00BC2E80"/>
    <w:rsid w:val="00BC35CB"/>
    <w:rsid w:val="00BC3B4C"/>
    <w:rsid w:val="00BC416D"/>
    <w:rsid w:val="00BC56EA"/>
    <w:rsid w:val="00BC5AA6"/>
    <w:rsid w:val="00BC61A5"/>
    <w:rsid w:val="00BC61A6"/>
    <w:rsid w:val="00BD0572"/>
    <w:rsid w:val="00BD0E4F"/>
    <w:rsid w:val="00BD0F05"/>
    <w:rsid w:val="00BD3C72"/>
    <w:rsid w:val="00BD41D5"/>
    <w:rsid w:val="00BD5586"/>
    <w:rsid w:val="00BD582B"/>
    <w:rsid w:val="00BD60F2"/>
    <w:rsid w:val="00BD714A"/>
    <w:rsid w:val="00BD740D"/>
    <w:rsid w:val="00BD7B53"/>
    <w:rsid w:val="00BD7E9A"/>
    <w:rsid w:val="00BE0120"/>
    <w:rsid w:val="00BE03E1"/>
    <w:rsid w:val="00BE172F"/>
    <w:rsid w:val="00BE208F"/>
    <w:rsid w:val="00BE2099"/>
    <w:rsid w:val="00BE3EBE"/>
    <w:rsid w:val="00BE481B"/>
    <w:rsid w:val="00BE569F"/>
    <w:rsid w:val="00BE5B1F"/>
    <w:rsid w:val="00BE6C5F"/>
    <w:rsid w:val="00BE785C"/>
    <w:rsid w:val="00BE7FB1"/>
    <w:rsid w:val="00BF0955"/>
    <w:rsid w:val="00BF0969"/>
    <w:rsid w:val="00BF1729"/>
    <w:rsid w:val="00BF2171"/>
    <w:rsid w:val="00BF2839"/>
    <w:rsid w:val="00BF2C5E"/>
    <w:rsid w:val="00BF35E4"/>
    <w:rsid w:val="00BF46CD"/>
    <w:rsid w:val="00BF547C"/>
    <w:rsid w:val="00BF6393"/>
    <w:rsid w:val="00BF718A"/>
    <w:rsid w:val="00BF7717"/>
    <w:rsid w:val="00BF77F0"/>
    <w:rsid w:val="00C00355"/>
    <w:rsid w:val="00C0062D"/>
    <w:rsid w:val="00C0123E"/>
    <w:rsid w:val="00C013D1"/>
    <w:rsid w:val="00C01467"/>
    <w:rsid w:val="00C0187A"/>
    <w:rsid w:val="00C01CEC"/>
    <w:rsid w:val="00C01D93"/>
    <w:rsid w:val="00C021DB"/>
    <w:rsid w:val="00C02BE6"/>
    <w:rsid w:val="00C0327A"/>
    <w:rsid w:val="00C03312"/>
    <w:rsid w:val="00C044A8"/>
    <w:rsid w:val="00C056ED"/>
    <w:rsid w:val="00C071B7"/>
    <w:rsid w:val="00C10172"/>
    <w:rsid w:val="00C10788"/>
    <w:rsid w:val="00C10C43"/>
    <w:rsid w:val="00C10CE0"/>
    <w:rsid w:val="00C1136E"/>
    <w:rsid w:val="00C1187C"/>
    <w:rsid w:val="00C12138"/>
    <w:rsid w:val="00C13959"/>
    <w:rsid w:val="00C146A0"/>
    <w:rsid w:val="00C147C5"/>
    <w:rsid w:val="00C156F8"/>
    <w:rsid w:val="00C163A2"/>
    <w:rsid w:val="00C164E6"/>
    <w:rsid w:val="00C1686F"/>
    <w:rsid w:val="00C16891"/>
    <w:rsid w:val="00C17344"/>
    <w:rsid w:val="00C17FE7"/>
    <w:rsid w:val="00C20C06"/>
    <w:rsid w:val="00C212B3"/>
    <w:rsid w:val="00C2141C"/>
    <w:rsid w:val="00C21668"/>
    <w:rsid w:val="00C220C7"/>
    <w:rsid w:val="00C2228F"/>
    <w:rsid w:val="00C22B78"/>
    <w:rsid w:val="00C2323C"/>
    <w:rsid w:val="00C24471"/>
    <w:rsid w:val="00C24677"/>
    <w:rsid w:val="00C24AAE"/>
    <w:rsid w:val="00C24CF6"/>
    <w:rsid w:val="00C24F33"/>
    <w:rsid w:val="00C2541D"/>
    <w:rsid w:val="00C261B0"/>
    <w:rsid w:val="00C265CE"/>
    <w:rsid w:val="00C2707D"/>
    <w:rsid w:val="00C27452"/>
    <w:rsid w:val="00C278B5"/>
    <w:rsid w:val="00C27D46"/>
    <w:rsid w:val="00C3086F"/>
    <w:rsid w:val="00C30A11"/>
    <w:rsid w:val="00C31A3B"/>
    <w:rsid w:val="00C31C8C"/>
    <w:rsid w:val="00C320E1"/>
    <w:rsid w:val="00C33076"/>
    <w:rsid w:val="00C335CD"/>
    <w:rsid w:val="00C340BA"/>
    <w:rsid w:val="00C340E2"/>
    <w:rsid w:val="00C34247"/>
    <w:rsid w:val="00C356CB"/>
    <w:rsid w:val="00C35830"/>
    <w:rsid w:val="00C35BD8"/>
    <w:rsid w:val="00C376F0"/>
    <w:rsid w:val="00C378B5"/>
    <w:rsid w:val="00C40AFE"/>
    <w:rsid w:val="00C41CA3"/>
    <w:rsid w:val="00C41EB6"/>
    <w:rsid w:val="00C41ED0"/>
    <w:rsid w:val="00C44925"/>
    <w:rsid w:val="00C4560E"/>
    <w:rsid w:val="00C463CD"/>
    <w:rsid w:val="00C46531"/>
    <w:rsid w:val="00C47D90"/>
    <w:rsid w:val="00C502EC"/>
    <w:rsid w:val="00C52099"/>
    <w:rsid w:val="00C54185"/>
    <w:rsid w:val="00C55597"/>
    <w:rsid w:val="00C56F2B"/>
    <w:rsid w:val="00C57197"/>
    <w:rsid w:val="00C605B7"/>
    <w:rsid w:val="00C619D5"/>
    <w:rsid w:val="00C61C9A"/>
    <w:rsid w:val="00C62B12"/>
    <w:rsid w:val="00C63A66"/>
    <w:rsid w:val="00C64627"/>
    <w:rsid w:val="00C6641E"/>
    <w:rsid w:val="00C66657"/>
    <w:rsid w:val="00C67118"/>
    <w:rsid w:val="00C67D25"/>
    <w:rsid w:val="00C709DB"/>
    <w:rsid w:val="00C70DAB"/>
    <w:rsid w:val="00C718C8"/>
    <w:rsid w:val="00C71990"/>
    <w:rsid w:val="00C7220A"/>
    <w:rsid w:val="00C72610"/>
    <w:rsid w:val="00C7281B"/>
    <w:rsid w:val="00C730AF"/>
    <w:rsid w:val="00C7310D"/>
    <w:rsid w:val="00C737C7"/>
    <w:rsid w:val="00C73998"/>
    <w:rsid w:val="00C73C01"/>
    <w:rsid w:val="00C742D5"/>
    <w:rsid w:val="00C76925"/>
    <w:rsid w:val="00C801DE"/>
    <w:rsid w:val="00C81018"/>
    <w:rsid w:val="00C818A9"/>
    <w:rsid w:val="00C81955"/>
    <w:rsid w:val="00C81B0A"/>
    <w:rsid w:val="00C82A32"/>
    <w:rsid w:val="00C83152"/>
    <w:rsid w:val="00C849C9"/>
    <w:rsid w:val="00C85B05"/>
    <w:rsid w:val="00C8687B"/>
    <w:rsid w:val="00C871BB"/>
    <w:rsid w:val="00C87AAA"/>
    <w:rsid w:val="00C87FC0"/>
    <w:rsid w:val="00C902DA"/>
    <w:rsid w:val="00C911D6"/>
    <w:rsid w:val="00C91569"/>
    <w:rsid w:val="00C91992"/>
    <w:rsid w:val="00C920AC"/>
    <w:rsid w:val="00C92B17"/>
    <w:rsid w:val="00C937F3"/>
    <w:rsid w:val="00C93AFC"/>
    <w:rsid w:val="00C93D44"/>
    <w:rsid w:val="00C94750"/>
    <w:rsid w:val="00C948FF"/>
    <w:rsid w:val="00C94AB7"/>
    <w:rsid w:val="00C9504E"/>
    <w:rsid w:val="00C95674"/>
    <w:rsid w:val="00C96AE6"/>
    <w:rsid w:val="00C97142"/>
    <w:rsid w:val="00C973F2"/>
    <w:rsid w:val="00CA0156"/>
    <w:rsid w:val="00CA0959"/>
    <w:rsid w:val="00CA0F47"/>
    <w:rsid w:val="00CA1388"/>
    <w:rsid w:val="00CA1702"/>
    <w:rsid w:val="00CA207A"/>
    <w:rsid w:val="00CA2376"/>
    <w:rsid w:val="00CA2A17"/>
    <w:rsid w:val="00CA2B2E"/>
    <w:rsid w:val="00CA2BE9"/>
    <w:rsid w:val="00CA32AE"/>
    <w:rsid w:val="00CA33C2"/>
    <w:rsid w:val="00CA3ADE"/>
    <w:rsid w:val="00CA42C7"/>
    <w:rsid w:val="00CA5503"/>
    <w:rsid w:val="00CA640B"/>
    <w:rsid w:val="00CA68E1"/>
    <w:rsid w:val="00CA6D81"/>
    <w:rsid w:val="00CA775A"/>
    <w:rsid w:val="00CB0549"/>
    <w:rsid w:val="00CB0B6F"/>
    <w:rsid w:val="00CB22D4"/>
    <w:rsid w:val="00CB307D"/>
    <w:rsid w:val="00CB3238"/>
    <w:rsid w:val="00CB332B"/>
    <w:rsid w:val="00CB3899"/>
    <w:rsid w:val="00CB3A80"/>
    <w:rsid w:val="00CB3B04"/>
    <w:rsid w:val="00CB48CA"/>
    <w:rsid w:val="00CB4A08"/>
    <w:rsid w:val="00CB4EC7"/>
    <w:rsid w:val="00CB5CA7"/>
    <w:rsid w:val="00CB7393"/>
    <w:rsid w:val="00CC05FD"/>
    <w:rsid w:val="00CC0911"/>
    <w:rsid w:val="00CC191D"/>
    <w:rsid w:val="00CC193B"/>
    <w:rsid w:val="00CC20CC"/>
    <w:rsid w:val="00CC220C"/>
    <w:rsid w:val="00CC27E5"/>
    <w:rsid w:val="00CC37C4"/>
    <w:rsid w:val="00CC3FB4"/>
    <w:rsid w:val="00CC4EDA"/>
    <w:rsid w:val="00CC6B80"/>
    <w:rsid w:val="00CC6E45"/>
    <w:rsid w:val="00CC6F72"/>
    <w:rsid w:val="00CC70BC"/>
    <w:rsid w:val="00CD035A"/>
    <w:rsid w:val="00CD111A"/>
    <w:rsid w:val="00CD21BE"/>
    <w:rsid w:val="00CD380B"/>
    <w:rsid w:val="00CD4C47"/>
    <w:rsid w:val="00CD532A"/>
    <w:rsid w:val="00CD5795"/>
    <w:rsid w:val="00CD6C1C"/>
    <w:rsid w:val="00CD7F53"/>
    <w:rsid w:val="00CE05C1"/>
    <w:rsid w:val="00CE1F49"/>
    <w:rsid w:val="00CE21F4"/>
    <w:rsid w:val="00CE2C57"/>
    <w:rsid w:val="00CE3381"/>
    <w:rsid w:val="00CE425E"/>
    <w:rsid w:val="00CE5393"/>
    <w:rsid w:val="00CE5A7D"/>
    <w:rsid w:val="00CE62C4"/>
    <w:rsid w:val="00CE6647"/>
    <w:rsid w:val="00CE6967"/>
    <w:rsid w:val="00CE761E"/>
    <w:rsid w:val="00CE78F4"/>
    <w:rsid w:val="00CE7BE3"/>
    <w:rsid w:val="00CF153A"/>
    <w:rsid w:val="00CF2082"/>
    <w:rsid w:val="00CF3386"/>
    <w:rsid w:val="00CF4323"/>
    <w:rsid w:val="00CF4E07"/>
    <w:rsid w:val="00CF67FD"/>
    <w:rsid w:val="00CF7058"/>
    <w:rsid w:val="00CF7550"/>
    <w:rsid w:val="00D00206"/>
    <w:rsid w:val="00D00223"/>
    <w:rsid w:val="00D00478"/>
    <w:rsid w:val="00D0063C"/>
    <w:rsid w:val="00D00973"/>
    <w:rsid w:val="00D0182B"/>
    <w:rsid w:val="00D01BD6"/>
    <w:rsid w:val="00D01F6E"/>
    <w:rsid w:val="00D023A0"/>
    <w:rsid w:val="00D023AA"/>
    <w:rsid w:val="00D03089"/>
    <w:rsid w:val="00D031BF"/>
    <w:rsid w:val="00D04A63"/>
    <w:rsid w:val="00D04D09"/>
    <w:rsid w:val="00D04D7B"/>
    <w:rsid w:val="00D04DEB"/>
    <w:rsid w:val="00D05347"/>
    <w:rsid w:val="00D058E6"/>
    <w:rsid w:val="00D11134"/>
    <w:rsid w:val="00D1114A"/>
    <w:rsid w:val="00D116F4"/>
    <w:rsid w:val="00D11C2F"/>
    <w:rsid w:val="00D125D6"/>
    <w:rsid w:val="00D12B42"/>
    <w:rsid w:val="00D130B0"/>
    <w:rsid w:val="00D136A2"/>
    <w:rsid w:val="00D13EFC"/>
    <w:rsid w:val="00D14226"/>
    <w:rsid w:val="00D1437F"/>
    <w:rsid w:val="00D152EA"/>
    <w:rsid w:val="00D157A9"/>
    <w:rsid w:val="00D15836"/>
    <w:rsid w:val="00D15DB7"/>
    <w:rsid w:val="00D16149"/>
    <w:rsid w:val="00D16677"/>
    <w:rsid w:val="00D17292"/>
    <w:rsid w:val="00D1735C"/>
    <w:rsid w:val="00D175AE"/>
    <w:rsid w:val="00D17968"/>
    <w:rsid w:val="00D17C3E"/>
    <w:rsid w:val="00D20D57"/>
    <w:rsid w:val="00D2186C"/>
    <w:rsid w:val="00D21AE5"/>
    <w:rsid w:val="00D22F3A"/>
    <w:rsid w:val="00D22F92"/>
    <w:rsid w:val="00D2305C"/>
    <w:rsid w:val="00D2445A"/>
    <w:rsid w:val="00D2500B"/>
    <w:rsid w:val="00D25958"/>
    <w:rsid w:val="00D259B9"/>
    <w:rsid w:val="00D25CD4"/>
    <w:rsid w:val="00D26B51"/>
    <w:rsid w:val="00D2779E"/>
    <w:rsid w:val="00D30F6D"/>
    <w:rsid w:val="00D30FF4"/>
    <w:rsid w:val="00D3140D"/>
    <w:rsid w:val="00D32D3D"/>
    <w:rsid w:val="00D3302E"/>
    <w:rsid w:val="00D3318B"/>
    <w:rsid w:val="00D33A3F"/>
    <w:rsid w:val="00D34BC9"/>
    <w:rsid w:val="00D35298"/>
    <w:rsid w:val="00D358A5"/>
    <w:rsid w:val="00D35B93"/>
    <w:rsid w:val="00D364D4"/>
    <w:rsid w:val="00D41183"/>
    <w:rsid w:val="00D42091"/>
    <w:rsid w:val="00D4408D"/>
    <w:rsid w:val="00D441C9"/>
    <w:rsid w:val="00D44E35"/>
    <w:rsid w:val="00D450CA"/>
    <w:rsid w:val="00D452D4"/>
    <w:rsid w:val="00D454CF"/>
    <w:rsid w:val="00D4618D"/>
    <w:rsid w:val="00D46C2F"/>
    <w:rsid w:val="00D471A9"/>
    <w:rsid w:val="00D47674"/>
    <w:rsid w:val="00D47866"/>
    <w:rsid w:val="00D5065F"/>
    <w:rsid w:val="00D51844"/>
    <w:rsid w:val="00D557A3"/>
    <w:rsid w:val="00D56489"/>
    <w:rsid w:val="00D56B7E"/>
    <w:rsid w:val="00D5753E"/>
    <w:rsid w:val="00D60BA9"/>
    <w:rsid w:val="00D616BA"/>
    <w:rsid w:val="00D62629"/>
    <w:rsid w:val="00D62685"/>
    <w:rsid w:val="00D6278B"/>
    <w:rsid w:val="00D62AE6"/>
    <w:rsid w:val="00D649FD"/>
    <w:rsid w:val="00D64AF3"/>
    <w:rsid w:val="00D65B1F"/>
    <w:rsid w:val="00D660A4"/>
    <w:rsid w:val="00D662A8"/>
    <w:rsid w:val="00D67523"/>
    <w:rsid w:val="00D67DD6"/>
    <w:rsid w:val="00D7146F"/>
    <w:rsid w:val="00D7291D"/>
    <w:rsid w:val="00D73F2E"/>
    <w:rsid w:val="00D74E97"/>
    <w:rsid w:val="00D75964"/>
    <w:rsid w:val="00D769C3"/>
    <w:rsid w:val="00D76CEE"/>
    <w:rsid w:val="00D76FE4"/>
    <w:rsid w:val="00D778A8"/>
    <w:rsid w:val="00D81114"/>
    <w:rsid w:val="00D818C8"/>
    <w:rsid w:val="00D81C16"/>
    <w:rsid w:val="00D831A7"/>
    <w:rsid w:val="00D844B8"/>
    <w:rsid w:val="00D8581B"/>
    <w:rsid w:val="00D8670D"/>
    <w:rsid w:val="00D868F3"/>
    <w:rsid w:val="00D873CE"/>
    <w:rsid w:val="00D876F6"/>
    <w:rsid w:val="00D915E3"/>
    <w:rsid w:val="00D9325F"/>
    <w:rsid w:val="00D9500B"/>
    <w:rsid w:val="00D950F7"/>
    <w:rsid w:val="00D95418"/>
    <w:rsid w:val="00D96109"/>
    <w:rsid w:val="00D96399"/>
    <w:rsid w:val="00D966D2"/>
    <w:rsid w:val="00D96E46"/>
    <w:rsid w:val="00D97ADB"/>
    <w:rsid w:val="00D97D00"/>
    <w:rsid w:val="00D97FBA"/>
    <w:rsid w:val="00DA0F2B"/>
    <w:rsid w:val="00DA103E"/>
    <w:rsid w:val="00DA19CE"/>
    <w:rsid w:val="00DA29F9"/>
    <w:rsid w:val="00DA42BE"/>
    <w:rsid w:val="00DA458F"/>
    <w:rsid w:val="00DA4955"/>
    <w:rsid w:val="00DA4E92"/>
    <w:rsid w:val="00DA5554"/>
    <w:rsid w:val="00DB1536"/>
    <w:rsid w:val="00DB1DF3"/>
    <w:rsid w:val="00DB1F08"/>
    <w:rsid w:val="00DB215F"/>
    <w:rsid w:val="00DB4646"/>
    <w:rsid w:val="00DB4673"/>
    <w:rsid w:val="00DB47E9"/>
    <w:rsid w:val="00DB4F40"/>
    <w:rsid w:val="00DB6114"/>
    <w:rsid w:val="00DB6202"/>
    <w:rsid w:val="00DB64B0"/>
    <w:rsid w:val="00DB6994"/>
    <w:rsid w:val="00DB6D1E"/>
    <w:rsid w:val="00DC0349"/>
    <w:rsid w:val="00DC049F"/>
    <w:rsid w:val="00DC0668"/>
    <w:rsid w:val="00DC06F0"/>
    <w:rsid w:val="00DC08B8"/>
    <w:rsid w:val="00DC0987"/>
    <w:rsid w:val="00DC194A"/>
    <w:rsid w:val="00DC33F8"/>
    <w:rsid w:val="00DC3F0F"/>
    <w:rsid w:val="00DC4999"/>
    <w:rsid w:val="00DC589C"/>
    <w:rsid w:val="00DC61D1"/>
    <w:rsid w:val="00DC64E3"/>
    <w:rsid w:val="00DC6FA6"/>
    <w:rsid w:val="00DC7922"/>
    <w:rsid w:val="00DC7DFB"/>
    <w:rsid w:val="00DD065F"/>
    <w:rsid w:val="00DD0876"/>
    <w:rsid w:val="00DD0EEC"/>
    <w:rsid w:val="00DD1BDE"/>
    <w:rsid w:val="00DD2B50"/>
    <w:rsid w:val="00DD341F"/>
    <w:rsid w:val="00DD4D0E"/>
    <w:rsid w:val="00DD5F72"/>
    <w:rsid w:val="00DD624D"/>
    <w:rsid w:val="00DD6373"/>
    <w:rsid w:val="00DE1336"/>
    <w:rsid w:val="00DE1493"/>
    <w:rsid w:val="00DE1DAB"/>
    <w:rsid w:val="00DE259F"/>
    <w:rsid w:val="00DE3313"/>
    <w:rsid w:val="00DE33A2"/>
    <w:rsid w:val="00DE34CC"/>
    <w:rsid w:val="00DE360E"/>
    <w:rsid w:val="00DE39A7"/>
    <w:rsid w:val="00DE4462"/>
    <w:rsid w:val="00DE6A99"/>
    <w:rsid w:val="00DE6BB5"/>
    <w:rsid w:val="00DE709A"/>
    <w:rsid w:val="00DE71B6"/>
    <w:rsid w:val="00DE765D"/>
    <w:rsid w:val="00DE7E63"/>
    <w:rsid w:val="00DF183F"/>
    <w:rsid w:val="00DF1A80"/>
    <w:rsid w:val="00DF1D26"/>
    <w:rsid w:val="00DF33FC"/>
    <w:rsid w:val="00DF34AC"/>
    <w:rsid w:val="00DF360B"/>
    <w:rsid w:val="00DF3659"/>
    <w:rsid w:val="00DF3732"/>
    <w:rsid w:val="00DF4125"/>
    <w:rsid w:val="00DF4665"/>
    <w:rsid w:val="00DF4B7F"/>
    <w:rsid w:val="00DF5058"/>
    <w:rsid w:val="00DF7C4B"/>
    <w:rsid w:val="00E0064A"/>
    <w:rsid w:val="00E00EA6"/>
    <w:rsid w:val="00E0110F"/>
    <w:rsid w:val="00E025C1"/>
    <w:rsid w:val="00E02B33"/>
    <w:rsid w:val="00E03AC3"/>
    <w:rsid w:val="00E049E0"/>
    <w:rsid w:val="00E04EB7"/>
    <w:rsid w:val="00E05311"/>
    <w:rsid w:val="00E0576A"/>
    <w:rsid w:val="00E07239"/>
    <w:rsid w:val="00E07B72"/>
    <w:rsid w:val="00E1041D"/>
    <w:rsid w:val="00E10ABB"/>
    <w:rsid w:val="00E1156B"/>
    <w:rsid w:val="00E11775"/>
    <w:rsid w:val="00E12559"/>
    <w:rsid w:val="00E12F82"/>
    <w:rsid w:val="00E155E8"/>
    <w:rsid w:val="00E162CA"/>
    <w:rsid w:val="00E16852"/>
    <w:rsid w:val="00E16CC8"/>
    <w:rsid w:val="00E17048"/>
    <w:rsid w:val="00E17198"/>
    <w:rsid w:val="00E17B5D"/>
    <w:rsid w:val="00E17FF6"/>
    <w:rsid w:val="00E21042"/>
    <w:rsid w:val="00E22B15"/>
    <w:rsid w:val="00E2344D"/>
    <w:rsid w:val="00E24628"/>
    <w:rsid w:val="00E24A84"/>
    <w:rsid w:val="00E24AC8"/>
    <w:rsid w:val="00E24BD3"/>
    <w:rsid w:val="00E24DE7"/>
    <w:rsid w:val="00E24FD9"/>
    <w:rsid w:val="00E265B6"/>
    <w:rsid w:val="00E278A4"/>
    <w:rsid w:val="00E309E0"/>
    <w:rsid w:val="00E30AA8"/>
    <w:rsid w:val="00E30E40"/>
    <w:rsid w:val="00E3108D"/>
    <w:rsid w:val="00E310C8"/>
    <w:rsid w:val="00E312B1"/>
    <w:rsid w:val="00E3182F"/>
    <w:rsid w:val="00E31845"/>
    <w:rsid w:val="00E319AC"/>
    <w:rsid w:val="00E31D04"/>
    <w:rsid w:val="00E32859"/>
    <w:rsid w:val="00E32C7B"/>
    <w:rsid w:val="00E32EA1"/>
    <w:rsid w:val="00E332E0"/>
    <w:rsid w:val="00E33D50"/>
    <w:rsid w:val="00E33E54"/>
    <w:rsid w:val="00E35C52"/>
    <w:rsid w:val="00E37DE9"/>
    <w:rsid w:val="00E37ECA"/>
    <w:rsid w:val="00E40E01"/>
    <w:rsid w:val="00E41831"/>
    <w:rsid w:val="00E429A2"/>
    <w:rsid w:val="00E434F8"/>
    <w:rsid w:val="00E43855"/>
    <w:rsid w:val="00E44174"/>
    <w:rsid w:val="00E4477B"/>
    <w:rsid w:val="00E4515F"/>
    <w:rsid w:val="00E47165"/>
    <w:rsid w:val="00E479ED"/>
    <w:rsid w:val="00E50481"/>
    <w:rsid w:val="00E51019"/>
    <w:rsid w:val="00E5107F"/>
    <w:rsid w:val="00E522B9"/>
    <w:rsid w:val="00E52ECF"/>
    <w:rsid w:val="00E53626"/>
    <w:rsid w:val="00E55894"/>
    <w:rsid w:val="00E55DB9"/>
    <w:rsid w:val="00E56AFF"/>
    <w:rsid w:val="00E56C25"/>
    <w:rsid w:val="00E57D92"/>
    <w:rsid w:val="00E60D3B"/>
    <w:rsid w:val="00E62445"/>
    <w:rsid w:val="00E645E1"/>
    <w:rsid w:val="00E64D3C"/>
    <w:rsid w:val="00E64E18"/>
    <w:rsid w:val="00E65AD3"/>
    <w:rsid w:val="00E65E53"/>
    <w:rsid w:val="00E6612A"/>
    <w:rsid w:val="00E664EC"/>
    <w:rsid w:val="00E66F4E"/>
    <w:rsid w:val="00E67A09"/>
    <w:rsid w:val="00E67AFC"/>
    <w:rsid w:val="00E70C58"/>
    <w:rsid w:val="00E71535"/>
    <w:rsid w:val="00E71E8C"/>
    <w:rsid w:val="00E73483"/>
    <w:rsid w:val="00E73D5F"/>
    <w:rsid w:val="00E7465C"/>
    <w:rsid w:val="00E7489E"/>
    <w:rsid w:val="00E75CE1"/>
    <w:rsid w:val="00E75D9A"/>
    <w:rsid w:val="00E8209D"/>
    <w:rsid w:val="00E83A31"/>
    <w:rsid w:val="00E83AB8"/>
    <w:rsid w:val="00E8475A"/>
    <w:rsid w:val="00E84F54"/>
    <w:rsid w:val="00E860B7"/>
    <w:rsid w:val="00E8636C"/>
    <w:rsid w:val="00E86535"/>
    <w:rsid w:val="00E874BF"/>
    <w:rsid w:val="00E909A1"/>
    <w:rsid w:val="00E91674"/>
    <w:rsid w:val="00E91FFD"/>
    <w:rsid w:val="00E92432"/>
    <w:rsid w:val="00E92937"/>
    <w:rsid w:val="00E93C23"/>
    <w:rsid w:val="00E945C0"/>
    <w:rsid w:val="00E94711"/>
    <w:rsid w:val="00E95134"/>
    <w:rsid w:val="00E96781"/>
    <w:rsid w:val="00EA09AE"/>
    <w:rsid w:val="00EA0D55"/>
    <w:rsid w:val="00EA1ECC"/>
    <w:rsid w:val="00EA244E"/>
    <w:rsid w:val="00EA33E4"/>
    <w:rsid w:val="00EA44A4"/>
    <w:rsid w:val="00EA513F"/>
    <w:rsid w:val="00EA52F3"/>
    <w:rsid w:val="00EA7381"/>
    <w:rsid w:val="00EB0E61"/>
    <w:rsid w:val="00EB127A"/>
    <w:rsid w:val="00EB2A37"/>
    <w:rsid w:val="00EB5096"/>
    <w:rsid w:val="00EB5202"/>
    <w:rsid w:val="00EB5216"/>
    <w:rsid w:val="00EB5263"/>
    <w:rsid w:val="00EB5D52"/>
    <w:rsid w:val="00EB5D67"/>
    <w:rsid w:val="00EB717F"/>
    <w:rsid w:val="00EB74A8"/>
    <w:rsid w:val="00EB7AC3"/>
    <w:rsid w:val="00EB7D0C"/>
    <w:rsid w:val="00EC0045"/>
    <w:rsid w:val="00EC0187"/>
    <w:rsid w:val="00EC1F92"/>
    <w:rsid w:val="00EC2277"/>
    <w:rsid w:val="00EC24E3"/>
    <w:rsid w:val="00EC26AC"/>
    <w:rsid w:val="00EC2B40"/>
    <w:rsid w:val="00EC3161"/>
    <w:rsid w:val="00EC3F7C"/>
    <w:rsid w:val="00EC49D4"/>
    <w:rsid w:val="00EC4FE4"/>
    <w:rsid w:val="00EC5190"/>
    <w:rsid w:val="00EC55C2"/>
    <w:rsid w:val="00EC5F19"/>
    <w:rsid w:val="00EC616C"/>
    <w:rsid w:val="00EC6278"/>
    <w:rsid w:val="00EC6852"/>
    <w:rsid w:val="00EC6EFB"/>
    <w:rsid w:val="00EC6F01"/>
    <w:rsid w:val="00EC7480"/>
    <w:rsid w:val="00EC7AB9"/>
    <w:rsid w:val="00EC7B38"/>
    <w:rsid w:val="00ED002C"/>
    <w:rsid w:val="00ED0A9C"/>
    <w:rsid w:val="00ED1668"/>
    <w:rsid w:val="00ED33D7"/>
    <w:rsid w:val="00ED3D0E"/>
    <w:rsid w:val="00ED3D64"/>
    <w:rsid w:val="00ED416F"/>
    <w:rsid w:val="00ED4699"/>
    <w:rsid w:val="00ED46D7"/>
    <w:rsid w:val="00ED4988"/>
    <w:rsid w:val="00ED692B"/>
    <w:rsid w:val="00ED6A65"/>
    <w:rsid w:val="00ED70F2"/>
    <w:rsid w:val="00EE01D8"/>
    <w:rsid w:val="00EE107A"/>
    <w:rsid w:val="00EE1134"/>
    <w:rsid w:val="00EE13B7"/>
    <w:rsid w:val="00EE14E1"/>
    <w:rsid w:val="00EE152D"/>
    <w:rsid w:val="00EE18D1"/>
    <w:rsid w:val="00EE1BEE"/>
    <w:rsid w:val="00EE2128"/>
    <w:rsid w:val="00EE37A4"/>
    <w:rsid w:val="00EE38D5"/>
    <w:rsid w:val="00EE3E94"/>
    <w:rsid w:val="00EE3E99"/>
    <w:rsid w:val="00EE4D39"/>
    <w:rsid w:val="00EE55B8"/>
    <w:rsid w:val="00EE60A9"/>
    <w:rsid w:val="00EE62E8"/>
    <w:rsid w:val="00EE7ABA"/>
    <w:rsid w:val="00EE7B8D"/>
    <w:rsid w:val="00EF01D6"/>
    <w:rsid w:val="00EF02A8"/>
    <w:rsid w:val="00EF0DFD"/>
    <w:rsid w:val="00EF0F99"/>
    <w:rsid w:val="00EF1D9C"/>
    <w:rsid w:val="00EF20F0"/>
    <w:rsid w:val="00EF26D8"/>
    <w:rsid w:val="00EF2CBC"/>
    <w:rsid w:val="00EF326A"/>
    <w:rsid w:val="00EF39A2"/>
    <w:rsid w:val="00EF54DE"/>
    <w:rsid w:val="00EF5818"/>
    <w:rsid w:val="00EF62CE"/>
    <w:rsid w:val="00EF78B2"/>
    <w:rsid w:val="00F00194"/>
    <w:rsid w:val="00F031FF"/>
    <w:rsid w:val="00F0543E"/>
    <w:rsid w:val="00F0772E"/>
    <w:rsid w:val="00F1033D"/>
    <w:rsid w:val="00F1153C"/>
    <w:rsid w:val="00F11B55"/>
    <w:rsid w:val="00F12912"/>
    <w:rsid w:val="00F13AE1"/>
    <w:rsid w:val="00F13BC5"/>
    <w:rsid w:val="00F141FA"/>
    <w:rsid w:val="00F15429"/>
    <w:rsid w:val="00F15CDA"/>
    <w:rsid w:val="00F16134"/>
    <w:rsid w:val="00F1627D"/>
    <w:rsid w:val="00F162CE"/>
    <w:rsid w:val="00F164B2"/>
    <w:rsid w:val="00F1656E"/>
    <w:rsid w:val="00F165E6"/>
    <w:rsid w:val="00F20461"/>
    <w:rsid w:val="00F205F2"/>
    <w:rsid w:val="00F235EA"/>
    <w:rsid w:val="00F24D59"/>
    <w:rsid w:val="00F24ED8"/>
    <w:rsid w:val="00F25DB5"/>
    <w:rsid w:val="00F260C5"/>
    <w:rsid w:val="00F26964"/>
    <w:rsid w:val="00F26970"/>
    <w:rsid w:val="00F26A36"/>
    <w:rsid w:val="00F26F17"/>
    <w:rsid w:val="00F307CD"/>
    <w:rsid w:val="00F310E7"/>
    <w:rsid w:val="00F31EBD"/>
    <w:rsid w:val="00F322B4"/>
    <w:rsid w:val="00F3278B"/>
    <w:rsid w:val="00F378AD"/>
    <w:rsid w:val="00F37F24"/>
    <w:rsid w:val="00F40A9F"/>
    <w:rsid w:val="00F41295"/>
    <w:rsid w:val="00F413E7"/>
    <w:rsid w:val="00F4146F"/>
    <w:rsid w:val="00F41D86"/>
    <w:rsid w:val="00F437A6"/>
    <w:rsid w:val="00F4691A"/>
    <w:rsid w:val="00F46B08"/>
    <w:rsid w:val="00F5185B"/>
    <w:rsid w:val="00F52CAF"/>
    <w:rsid w:val="00F538B5"/>
    <w:rsid w:val="00F54324"/>
    <w:rsid w:val="00F5487B"/>
    <w:rsid w:val="00F54AF3"/>
    <w:rsid w:val="00F54E9D"/>
    <w:rsid w:val="00F55505"/>
    <w:rsid w:val="00F56E43"/>
    <w:rsid w:val="00F60B23"/>
    <w:rsid w:val="00F618DD"/>
    <w:rsid w:val="00F61E10"/>
    <w:rsid w:val="00F62155"/>
    <w:rsid w:val="00F63DD8"/>
    <w:rsid w:val="00F65594"/>
    <w:rsid w:val="00F65906"/>
    <w:rsid w:val="00F7229C"/>
    <w:rsid w:val="00F74111"/>
    <w:rsid w:val="00F7482A"/>
    <w:rsid w:val="00F74B89"/>
    <w:rsid w:val="00F7555E"/>
    <w:rsid w:val="00F75B6C"/>
    <w:rsid w:val="00F7633A"/>
    <w:rsid w:val="00F76671"/>
    <w:rsid w:val="00F769A6"/>
    <w:rsid w:val="00F76B9A"/>
    <w:rsid w:val="00F76E06"/>
    <w:rsid w:val="00F80488"/>
    <w:rsid w:val="00F8114C"/>
    <w:rsid w:val="00F82CEB"/>
    <w:rsid w:val="00F82EEC"/>
    <w:rsid w:val="00F8477E"/>
    <w:rsid w:val="00F85330"/>
    <w:rsid w:val="00F85760"/>
    <w:rsid w:val="00F85C8D"/>
    <w:rsid w:val="00F864C2"/>
    <w:rsid w:val="00F87F40"/>
    <w:rsid w:val="00F901A9"/>
    <w:rsid w:val="00F901DE"/>
    <w:rsid w:val="00F91102"/>
    <w:rsid w:val="00F91484"/>
    <w:rsid w:val="00F915ED"/>
    <w:rsid w:val="00F91FF6"/>
    <w:rsid w:val="00F92EC3"/>
    <w:rsid w:val="00F938FD"/>
    <w:rsid w:val="00F942C9"/>
    <w:rsid w:val="00F947EF"/>
    <w:rsid w:val="00F966BB"/>
    <w:rsid w:val="00F9796E"/>
    <w:rsid w:val="00FA0062"/>
    <w:rsid w:val="00FA0768"/>
    <w:rsid w:val="00FA2064"/>
    <w:rsid w:val="00FA26FA"/>
    <w:rsid w:val="00FA2BEA"/>
    <w:rsid w:val="00FA43F4"/>
    <w:rsid w:val="00FA4D23"/>
    <w:rsid w:val="00FA5087"/>
    <w:rsid w:val="00FA5F22"/>
    <w:rsid w:val="00FA63D9"/>
    <w:rsid w:val="00FA662F"/>
    <w:rsid w:val="00FA67F6"/>
    <w:rsid w:val="00FB02C9"/>
    <w:rsid w:val="00FB13E9"/>
    <w:rsid w:val="00FB1746"/>
    <w:rsid w:val="00FB17D5"/>
    <w:rsid w:val="00FB1EC8"/>
    <w:rsid w:val="00FB2C88"/>
    <w:rsid w:val="00FB397D"/>
    <w:rsid w:val="00FB3C70"/>
    <w:rsid w:val="00FB40B8"/>
    <w:rsid w:val="00FB65D9"/>
    <w:rsid w:val="00FB6B8B"/>
    <w:rsid w:val="00FB73E2"/>
    <w:rsid w:val="00FB79DF"/>
    <w:rsid w:val="00FC048F"/>
    <w:rsid w:val="00FC3E3B"/>
    <w:rsid w:val="00FC4241"/>
    <w:rsid w:val="00FC43FD"/>
    <w:rsid w:val="00FC4EB9"/>
    <w:rsid w:val="00FC4F80"/>
    <w:rsid w:val="00FC591A"/>
    <w:rsid w:val="00FC5AA9"/>
    <w:rsid w:val="00FC63CB"/>
    <w:rsid w:val="00FC6878"/>
    <w:rsid w:val="00FD0595"/>
    <w:rsid w:val="00FD08B7"/>
    <w:rsid w:val="00FD1378"/>
    <w:rsid w:val="00FD1A38"/>
    <w:rsid w:val="00FD23F0"/>
    <w:rsid w:val="00FD363A"/>
    <w:rsid w:val="00FD5E51"/>
    <w:rsid w:val="00FD6700"/>
    <w:rsid w:val="00FD797C"/>
    <w:rsid w:val="00FD7C60"/>
    <w:rsid w:val="00FE039D"/>
    <w:rsid w:val="00FE03D9"/>
    <w:rsid w:val="00FE1D30"/>
    <w:rsid w:val="00FE2F23"/>
    <w:rsid w:val="00FE3642"/>
    <w:rsid w:val="00FE47DB"/>
    <w:rsid w:val="00FE483A"/>
    <w:rsid w:val="00FE49FA"/>
    <w:rsid w:val="00FE4F3F"/>
    <w:rsid w:val="00FE6984"/>
    <w:rsid w:val="00FE6C02"/>
    <w:rsid w:val="00FE6C56"/>
    <w:rsid w:val="00FE74E7"/>
    <w:rsid w:val="00FF032E"/>
    <w:rsid w:val="00FF119E"/>
    <w:rsid w:val="00FF1CEB"/>
    <w:rsid w:val="00FF1F10"/>
    <w:rsid w:val="00FF2F30"/>
    <w:rsid w:val="00FF346F"/>
    <w:rsid w:val="00FF6516"/>
    <w:rsid w:val="00FF6549"/>
    <w:rsid w:val="00FF708F"/>
    <w:rsid w:val="00FF7870"/>
    <w:rsid w:val="00FF7D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EC7904"/>
  <w15:chartTrackingRefBased/>
  <w15:docId w15:val="{0728D3D6-9629-49D9-8AB4-09113BD2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BC"/>
    <w:pPr>
      <w:widowControl w:val="0"/>
      <w:spacing w:after="200" w:line="276"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HeaderChar">
    <w:name w:val="Header Char"/>
    <w:basedOn w:val="DefaultParagraphFont"/>
    <w:link w:val="Header"/>
    <w:uiPriority w:val="99"/>
    <w:rsid w:val="000D2356"/>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BodyTextChar">
    <w:name w:val="Body Text Char"/>
    <w:basedOn w:val="DefaultParagraphFont"/>
    <w:link w:val="BodyText"/>
    <w:uiPriority w:val="99"/>
    <w:semiHidden/>
    <w:rsid w:val="000D2356"/>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uiPriority w:val="99"/>
    <w:semiHidden/>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BodyTextIndent2Char">
    <w:name w:val="Body Text Indent 2 Char"/>
    <w:basedOn w:val="DefaultParagraphFont"/>
    <w:link w:val="BodyTextIndent2"/>
    <w:uiPriority w:val="99"/>
    <w:semiHidden/>
    <w:rsid w:val="000D2356"/>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D2356"/>
    <w:rPr>
      <w:b/>
      <w:bCs/>
    </w:rPr>
  </w:style>
  <w:style w:type="character" w:styleId="Hyperlink">
    <w:name w:val="Hyperlink"/>
    <w:basedOn w:val="DefaultParagraphFont"/>
    <w:uiPriority w:val="99"/>
    <w:unhideWhenUsed/>
    <w:rsid w:val="000D2356"/>
    <w:rPr>
      <w:color w:val="0000FF"/>
      <w:u w:val="single"/>
    </w:rPr>
  </w:style>
  <w:style w:type="paragraph" w:customStyle="1" w:styleId="naisvisr">
    <w:name w:val="naisvisr"/>
    <w:basedOn w:val="Normal"/>
    <w:rsid w:val="000D2356"/>
    <w:pPr>
      <w:widowControl/>
      <w:spacing w:before="100" w:beforeAutospacing="1" w:after="100" w:afterAutospacing="1" w:line="240" w:lineRule="auto"/>
    </w:pPr>
    <w:rPr>
      <w:rFonts w:eastAsia="Times New Roman"/>
      <w:sz w:val="24"/>
      <w:szCs w:val="24"/>
      <w:lang w:eastAsia="lv-LV"/>
    </w:rPr>
  </w:style>
  <w:style w:type="paragraph" w:styleId="NormalWeb">
    <w:name w:val="Normal (Web)"/>
    <w:basedOn w:val="Normal"/>
    <w:uiPriority w:val="99"/>
    <w:unhideWhenUsed/>
    <w:rsid w:val="000D2356"/>
    <w:pPr>
      <w:widowControl/>
      <w:spacing w:before="100" w:beforeAutospacing="1" w:after="100" w:afterAutospacing="1" w:line="240" w:lineRule="auto"/>
    </w:pPr>
    <w:rPr>
      <w:rFonts w:eastAsia="Times New Roman"/>
      <w:sz w:val="24"/>
      <w:szCs w:val="24"/>
      <w:lang w:eastAsia="lv-LV"/>
    </w:rPr>
  </w:style>
  <w:style w:type="paragraph" w:styleId="FootnoteText">
    <w:name w:val="footnote text"/>
    <w:basedOn w:val="Normal"/>
    <w:link w:val="FootnoteTextChar"/>
    <w:uiPriority w:val="99"/>
    <w:semiHidden/>
    <w:unhideWhenUsed/>
    <w:rsid w:val="003E486F"/>
    <w:pPr>
      <w:autoSpaceDE w:val="0"/>
      <w:autoSpaceDN w:val="0"/>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semiHidden/>
    <w:rsid w:val="003E486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E486F"/>
    <w:rPr>
      <w:vertAlign w:val="superscript"/>
    </w:rPr>
  </w:style>
  <w:style w:type="character" w:styleId="CommentReference">
    <w:name w:val="annotation reference"/>
    <w:basedOn w:val="DefaultParagraphFont"/>
    <w:uiPriority w:val="99"/>
    <w:semiHidden/>
    <w:unhideWhenUsed/>
    <w:rsid w:val="00D818C8"/>
    <w:rPr>
      <w:sz w:val="16"/>
      <w:szCs w:val="16"/>
    </w:rPr>
  </w:style>
  <w:style w:type="paragraph" w:styleId="CommentText">
    <w:name w:val="annotation text"/>
    <w:basedOn w:val="Normal"/>
    <w:link w:val="CommentTextChar"/>
    <w:uiPriority w:val="99"/>
    <w:semiHidden/>
    <w:unhideWhenUsed/>
    <w:rsid w:val="00D818C8"/>
    <w:pPr>
      <w:spacing w:line="240" w:lineRule="auto"/>
    </w:pPr>
    <w:rPr>
      <w:sz w:val="20"/>
      <w:szCs w:val="20"/>
    </w:rPr>
  </w:style>
  <w:style w:type="character" w:customStyle="1" w:styleId="CommentTextChar">
    <w:name w:val="Comment Text Char"/>
    <w:basedOn w:val="DefaultParagraphFont"/>
    <w:link w:val="CommentText"/>
    <w:uiPriority w:val="99"/>
    <w:semiHidden/>
    <w:rsid w:val="00D818C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8C8"/>
    <w:rPr>
      <w:b/>
      <w:bCs/>
    </w:rPr>
  </w:style>
  <w:style w:type="character" w:customStyle="1" w:styleId="CommentSubjectChar">
    <w:name w:val="Comment Subject Char"/>
    <w:basedOn w:val="CommentTextChar"/>
    <w:link w:val="CommentSubject"/>
    <w:uiPriority w:val="99"/>
    <w:semiHidden/>
    <w:rsid w:val="00D818C8"/>
    <w:rPr>
      <w:rFonts w:ascii="Times New Roman" w:hAnsi="Times New Roman" w:cs="Times New Roman"/>
      <w:b/>
      <w:bCs/>
      <w:sz w:val="20"/>
      <w:szCs w:val="20"/>
    </w:rPr>
  </w:style>
  <w:style w:type="paragraph" w:styleId="BalloonText">
    <w:name w:val="Balloon Text"/>
    <w:basedOn w:val="Normal"/>
    <w:link w:val="BalloonTextChar"/>
    <w:uiPriority w:val="99"/>
    <w:unhideWhenUsed/>
    <w:rsid w:val="00D81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818C8"/>
    <w:rPr>
      <w:rFonts w:ascii="Segoe UI" w:hAnsi="Segoe UI" w:cs="Segoe UI"/>
      <w:sz w:val="18"/>
      <w:szCs w:val="18"/>
    </w:rPr>
  </w:style>
  <w:style w:type="paragraph" w:styleId="ListParagraph">
    <w:name w:val="List Paragraph"/>
    <w:basedOn w:val="Normal"/>
    <w:uiPriority w:val="34"/>
    <w:qFormat/>
    <w:rsid w:val="00993AED"/>
    <w:pPr>
      <w:ind w:left="720"/>
      <w:contextualSpacing/>
    </w:pPr>
  </w:style>
  <w:style w:type="paragraph" w:styleId="Revision">
    <w:name w:val="Revision"/>
    <w:hidden/>
    <w:uiPriority w:val="99"/>
    <w:semiHidden/>
    <w:rsid w:val="0084427A"/>
    <w:pPr>
      <w:spacing w:after="0" w:line="240" w:lineRule="auto"/>
    </w:pPr>
    <w:rPr>
      <w:rFonts w:ascii="Times New Roman" w:hAnsi="Times New Roman" w:cs="Times New Roman"/>
      <w:sz w:val="28"/>
    </w:rPr>
  </w:style>
  <w:style w:type="paragraph" w:customStyle="1" w:styleId="tv213">
    <w:name w:val="tv213"/>
    <w:basedOn w:val="Normal"/>
    <w:rsid w:val="009A7F01"/>
    <w:pPr>
      <w:widowControl/>
      <w:spacing w:before="100" w:beforeAutospacing="1" w:after="100" w:afterAutospacing="1" w:line="240" w:lineRule="auto"/>
    </w:pPr>
    <w:rPr>
      <w:rFonts w:eastAsia="Times New Roman"/>
      <w:sz w:val="24"/>
      <w:szCs w:val="24"/>
      <w:lang w:eastAsia="lv-LV"/>
    </w:rPr>
  </w:style>
  <w:style w:type="paragraph" w:styleId="Footer">
    <w:name w:val="footer"/>
    <w:basedOn w:val="Normal"/>
    <w:link w:val="FooterChar"/>
    <w:uiPriority w:val="99"/>
    <w:unhideWhenUsed/>
    <w:rsid w:val="008A1F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A1F54"/>
    <w:rPr>
      <w:rFonts w:ascii="Times New Roman" w:hAnsi="Times New Roman" w:cs="Times New Roman"/>
      <w:sz w:val="28"/>
    </w:rPr>
  </w:style>
  <w:style w:type="paragraph" w:styleId="NoSpacing">
    <w:name w:val="No Spacing"/>
    <w:uiPriority w:val="1"/>
    <w:qFormat/>
    <w:rsid w:val="006E4267"/>
    <w:pPr>
      <w:spacing w:after="0" w:line="240" w:lineRule="auto"/>
    </w:pPr>
    <w:rPr>
      <w:rFonts w:ascii="Calibri" w:hAnsi="Calibri" w:cs="Times New Roman"/>
    </w:rPr>
  </w:style>
  <w:style w:type="paragraph" w:customStyle="1" w:styleId="tvhtml">
    <w:name w:val="tv_html"/>
    <w:basedOn w:val="Normal"/>
    <w:rsid w:val="006C6FEC"/>
    <w:pPr>
      <w:widowControl/>
      <w:spacing w:before="100" w:beforeAutospacing="1" w:after="100" w:afterAutospacing="1" w:line="240" w:lineRule="auto"/>
    </w:pPr>
    <w:rPr>
      <w:rFonts w:eastAsia="Times New Roman"/>
      <w:sz w:val="24"/>
      <w:szCs w:val="24"/>
      <w:lang w:eastAsia="lv-LV"/>
    </w:rPr>
  </w:style>
  <w:style w:type="character" w:styleId="FollowedHyperlink">
    <w:name w:val="FollowedHyperlink"/>
    <w:basedOn w:val="DefaultParagraphFont"/>
    <w:uiPriority w:val="99"/>
    <w:semiHidden/>
    <w:unhideWhenUsed/>
    <w:rsid w:val="005B6C53"/>
    <w:rPr>
      <w:color w:val="954F72" w:themeColor="followedHyperlink"/>
      <w:u w:val="single"/>
    </w:rPr>
  </w:style>
  <w:style w:type="paragraph" w:customStyle="1" w:styleId="tv2132">
    <w:name w:val="tv2132"/>
    <w:basedOn w:val="Normal"/>
    <w:rsid w:val="00E70C58"/>
    <w:pPr>
      <w:widowControl/>
      <w:spacing w:after="0" w:line="360" w:lineRule="auto"/>
      <w:ind w:firstLine="300"/>
    </w:pPr>
    <w:rPr>
      <w:rFonts w:eastAsia="Times New Roman"/>
      <w:color w:val="414142"/>
      <w:sz w:val="20"/>
      <w:szCs w:val="20"/>
      <w:lang w:eastAsia="lv-LV"/>
    </w:rPr>
  </w:style>
  <w:style w:type="character" w:customStyle="1" w:styleId="apple-converted-space">
    <w:name w:val="apple-converted-space"/>
    <w:rsid w:val="00804D2C"/>
  </w:style>
  <w:style w:type="table" w:styleId="TableGrid">
    <w:name w:val="Table Grid"/>
    <w:basedOn w:val="TableNormal"/>
    <w:uiPriority w:val="39"/>
    <w:rsid w:val="009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310">
      <w:bodyDiv w:val="1"/>
      <w:marLeft w:val="0"/>
      <w:marRight w:val="0"/>
      <w:marTop w:val="0"/>
      <w:marBottom w:val="0"/>
      <w:divBdr>
        <w:top w:val="none" w:sz="0" w:space="0" w:color="auto"/>
        <w:left w:val="none" w:sz="0" w:space="0" w:color="auto"/>
        <w:bottom w:val="none" w:sz="0" w:space="0" w:color="auto"/>
        <w:right w:val="none" w:sz="0" w:space="0" w:color="auto"/>
      </w:divBdr>
    </w:div>
    <w:div w:id="40567016">
      <w:bodyDiv w:val="1"/>
      <w:marLeft w:val="0"/>
      <w:marRight w:val="0"/>
      <w:marTop w:val="0"/>
      <w:marBottom w:val="0"/>
      <w:divBdr>
        <w:top w:val="none" w:sz="0" w:space="0" w:color="auto"/>
        <w:left w:val="none" w:sz="0" w:space="0" w:color="auto"/>
        <w:bottom w:val="none" w:sz="0" w:space="0" w:color="auto"/>
        <w:right w:val="none" w:sz="0" w:space="0" w:color="auto"/>
      </w:divBdr>
    </w:div>
    <w:div w:id="116221692">
      <w:bodyDiv w:val="1"/>
      <w:marLeft w:val="0"/>
      <w:marRight w:val="0"/>
      <w:marTop w:val="0"/>
      <w:marBottom w:val="0"/>
      <w:divBdr>
        <w:top w:val="none" w:sz="0" w:space="0" w:color="auto"/>
        <w:left w:val="none" w:sz="0" w:space="0" w:color="auto"/>
        <w:bottom w:val="none" w:sz="0" w:space="0" w:color="auto"/>
        <w:right w:val="none" w:sz="0" w:space="0" w:color="auto"/>
      </w:divBdr>
    </w:div>
    <w:div w:id="157157384">
      <w:bodyDiv w:val="1"/>
      <w:marLeft w:val="0"/>
      <w:marRight w:val="0"/>
      <w:marTop w:val="0"/>
      <w:marBottom w:val="0"/>
      <w:divBdr>
        <w:top w:val="none" w:sz="0" w:space="0" w:color="auto"/>
        <w:left w:val="none" w:sz="0" w:space="0" w:color="auto"/>
        <w:bottom w:val="none" w:sz="0" w:space="0" w:color="auto"/>
        <w:right w:val="none" w:sz="0" w:space="0" w:color="auto"/>
      </w:divBdr>
    </w:div>
    <w:div w:id="177812276">
      <w:bodyDiv w:val="1"/>
      <w:marLeft w:val="0"/>
      <w:marRight w:val="0"/>
      <w:marTop w:val="0"/>
      <w:marBottom w:val="0"/>
      <w:divBdr>
        <w:top w:val="none" w:sz="0" w:space="0" w:color="auto"/>
        <w:left w:val="none" w:sz="0" w:space="0" w:color="auto"/>
        <w:bottom w:val="none" w:sz="0" w:space="0" w:color="auto"/>
        <w:right w:val="none" w:sz="0" w:space="0" w:color="auto"/>
      </w:divBdr>
    </w:div>
    <w:div w:id="674190311">
      <w:bodyDiv w:val="1"/>
      <w:marLeft w:val="0"/>
      <w:marRight w:val="0"/>
      <w:marTop w:val="0"/>
      <w:marBottom w:val="0"/>
      <w:divBdr>
        <w:top w:val="none" w:sz="0" w:space="0" w:color="auto"/>
        <w:left w:val="none" w:sz="0" w:space="0" w:color="auto"/>
        <w:bottom w:val="none" w:sz="0" w:space="0" w:color="auto"/>
        <w:right w:val="none" w:sz="0" w:space="0" w:color="auto"/>
      </w:divBdr>
      <w:divsChild>
        <w:div w:id="681319407">
          <w:marLeft w:val="0"/>
          <w:marRight w:val="0"/>
          <w:marTop w:val="0"/>
          <w:marBottom w:val="0"/>
          <w:divBdr>
            <w:top w:val="none" w:sz="0" w:space="0" w:color="auto"/>
            <w:left w:val="none" w:sz="0" w:space="0" w:color="auto"/>
            <w:bottom w:val="none" w:sz="0" w:space="0" w:color="auto"/>
            <w:right w:val="none" w:sz="0" w:space="0" w:color="auto"/>
          </w:divBdr>
          <w:divsChild>
            <w:div w:id="919484007">
              <w:marLeft w:val="0"/>
              <w:marRight w:val="0"/>
              <w:marTop w:val="0"/>
              <w:marBottom w:val="0"/>
              <w:divBdr>
                <w:top w:val="none" w:sz="0" w:space="0" w:color="auto"/>
                <w:left w:val="none" w:sz="0" w:space="0" w:color="auto"/>
                <w:bottom w:val="none" w:sz="0" w:space="0" w:color="auto"/>
                <w:right w:val="none" w:sz="0" w:space="0" w:color="auto"/>
              </w:divBdr>
              <w:divsChild>
                <w:div w:id="1187334237">
                  <w:marLeft w:val="0"/>
                  <w:marRight w:val="0"/>
                  <w:marTop w:val="0"/>
                  <w:marBottom w:val="0"/>
                  <w:divBdr>
                    <w:top w:val="none" w:sz="0" w:space="0" w:color="auto"/>
                    <w:left w:val="none" w:sz="0" w:space="0" w:color="auto"/>
                    <w:bottom w:val="none" w:sz="0" w:space="0" w:color="auto"/>
                    <w:right w:val="none" w:sz="0" w:space="0" w:color="auto"/>
                  </w:divBdr>
                  <w:divsChild>
                    <w:div w:id="210069903">
                      <w:marLeft w:val="0"/>
                      <w:marRight w:val="0"/>
                      <w:marTop w:val="0"/>
                      <w:marBottom w:val="0"/>
                      <w:divBdr>
                        <w:top w:val="none" w:sz="0" w:space="0" w:color="auto"/>
                        <w:left w:val="none" w:sz="0" w:space="0" w:color="auto"/>
                        <w:bottom w:val="none" w:sz="0" w:space="0" w:color="auto"/>
                        <w:right w:val="none" w:sz="0" w:space="0" w:color="auto"/>
                      </w:divBdr>
                      <w:divsChild>
                        <w:div w:id="1390155276">
                          <w:marLeft w:val="0"/>
                          <w:marRight w:val="0"/>
                          <w:marTop w:val="0"/>
                          <w:marBottom w:val="0"/>
                          <w:divBdr>
                            <w:top w:val="none" w:sz="0" w:space="0" w:color="auto"/>
                            <w:left w:val="none" w:sz="0" w:space="0" w:color="auto"/>
                            <w:bottom w:val="none" w:sz="0" w:space="0" w:color="auto"/>
                            <w:right w:val="none" w:sz="0" w:space="0" w:color="auto"/>
                          </w:divBdr>
                          <w:divsChild>
                            <w:div w:id="19030583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541510">
      <w:bodyDiv w:val="1"/>
      <w:marLeft w:val="0"/>
      <w:marRight w:val="0"/>
      <w:marTop w:val="0"/>
      <w:marBottom w:val="0"/>
      <w:divBdr>
        <w:top w:val="none" w:sz="0" w:space="0" w:color="auto"/>
        <w:left w:val="none" w:sz="0" w:space="0" w:color="auto"/>
        <w:bottom w:val="none" w:sz="0" w:space="0" w:color="auto"/>
        <w:right w:val="none" w:sz="0" w:space="0" w:color="auto"/>
      </w:divBdr>
    </w:div>
    <w:div w:id="884021247">
      <w:bodyDiv w:val="1"/>
      <w:marLeft w:val="0"/>
      <w:marRight w:val="0"/>
      <w:marTop w:val="0"/>
      <w:marBottom w:val="0"/>
      <w:divBdr>
        <w:top w:val="none" w:sz="0" w:space="0" w:color="auto"/>
        <w:left w:val="none" w:sz="0" w:space="0" w:color="auto"/>
        <w:bottom w:val="none" w:sz="0" w:space="0" w:color="auto"/>
        <w:right w:val="none" w:sz="0" w:space="0" w:color="auto"/>
      </w:divBdr>
    </w:div>
    <w:div w:id="895354761">
      <w:bodyDiv w:val="1"/>
      <w:marLeft w:val="0"/>
      <w:marRight w:val="0"/>
      <w:marTop w:val="0"/>
      <w:marBottom w:val="0"/>
      <w:divBdr>
        <w:top w:val="none" w:sz="0" w:space="0" w:color="auto"/>
        <w:left w:val="none" w:sz="0" w:space="0" w:color="auto"/>
        <w:bottom w:val="none" w:sz="0" w:space="0" w:color="auto"/>
        <w:right w:val="none" w:sz="0" w:space="0" w:color="auto"/>
      </w:divBdr>
    </w:div>
    <w:div w:id="897863150">
      <w:bodyDiv w:val="1"/>
      <w:marLeft w:val="0"/>
      <w:marRight w:val="0"/>
      <w:marTop w:val="0"/>
      <w:marBottom w:val="0"/>
      <w:divBdr>
        <w:top w:val="none" w:sz="0" w:space="0" w:color="auto"/>
        <w:left w:val="none" w:sz="0" w:space="0" w:color="auto"/>
        <w:bottom w:val="none" w:sz="0" w:space="0" w:color="auto"/>
        <w:right w:val="none" w:sz="0" w:space="0" w:color="auto"/>
      </w:divBdr>
      <w:divsChild>
        <w:div w:id="1884520108">
          <w:marLeft w:val="0"/>
          <w:marRight w:val="0"/>
          <w:marTop w:val="0"/>
          <w:marBottom w:val="0"/>
          <w:divBdr>
            <w:top w:val="none" w:sz="0" w:space="0" w:color="auto"/>
            <w:left w:val="none" w:sz="0" w:space="0" w:color="auto"/>
            <w:bottom w:val="none" w:sz="0" w:space="0" w:color="auto"/>
            <w:right w:val="none" w:sz="0" w:space="0" w:color="auto"/>
          </w:divBdr>
          <w:divsChild>
            <w:div w:id="1209145248">
              <w:marLeft w:val="0"/>
              <w:marRight w:val="0"/>
              <w:marTop w:val="0"/>
              <w:marBottom w:val="0"/>
              <w:divBdr>
                <w:top w:val="none" w:sz="0" w:space="0" w:color="auto"/>
                <w:left w:val="none" w:sz="0" w:space="0" w:color="auto"/>
                <w:bottom w:val="none" w:sz="0" w:space="0" w:color="auto"/>
                <w:right w:val="none" w:sz="0" w:space="0" w:color="auto"/>
              </w:divBdr>
              <w:divsChild>
                <w:div w:id="1600869337">
                  <w:marLeft w:val="0"/>
                  <w:marRight w:val="0"/>
                  <w:marTop w:val="0"/>
                  <w:marBottom w:val="0"/>
                  <w:divBdr>
                    <w:top w:val="none" w:sz="0" w:space="0" w:color="auto"/>
                    <w:left w:val="none" w:sz="0" w:space="0" w:color="auto"/>
                    <w:bottom w:val="none" w:sz="0" w:space="0" w:color="auto"/>
                    <w:right w:val="none" w:sz="0" w:space="0" w:color="auto"/>
                  </w:divBdr>
                  <w:divsChild>
                    <w:div w:id="1541089949">
                      <w:marLeft w:val="0"/>
                      <w:marRight w:val="0"/>
                      <w:marTop w:val="0"/>
                      <w:marBottom w:val="0"/>
                      <w:divBdr>
                        <w:top w:val="none" w:sz="0" w:space="0" w:color="auto"/>
                        <w:left w:val="none" w:sz="0" w:space="0" w:color="auto"/>
                        <w:bottom w:val="none" w:sz="0" w:space="0" w:color="auto"/>
                        <w:right w:val="none" w:sz="0" w:space="0" w:color="auto"/>
                      </w:divBdr>
                      <w:divsChild>
                        <w:div w:id="227886491">
                          <w:marLeft w:val="0"/>
                          <w:marRight w:val="0"/>
                          <w:marTop w:val="0"/>
                          <w:marBottom w:val="0"/>
                          <w:divBdr>
                            <w:top w:val="none" w:sz="0" w:space="0" w:color="auto"/>
                            <w:left w:val="none" w:sz="0" w:space="0" w:color="auto"/>
                            <w:bottom w:val="none" w:sz="0" w:space="0" w:color="auto"/>
                            <w:right w:val="none" w:sz="0" w:space="0" w:color="auto"/>
                          </w:divBdr>
                          <w:divsChild>
                            <w:div w:id="14776005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310714">
      <w:bodyDiv w:val="1"/>
      <w:marLeft w:val="0"/>
      <w:marRight w:val="0"/>
      <w:marTop w:val="0"/>
      <w:marBottom w:val="0"/>
      <w:divBdr>
        <w:top w:val="none" w:sz="0" w:space="0" w:color="auto"/>
        <w:left w:val="none" w:sz="0" w:space="0" w:color="auto"/>
        <w:bottom w:val="none" w:sz="0" w:space="0" w:color="auto"/>
        <w:right w:val="none" w:sz="0" w:space="0" w:color="auto"/>
      </w:divBdr>
    </w:div>
    <w:div w:id="939799685">
      <w:bodyDiv w:val="1"/>
      <w:marLeft w:val="0"/>
      <w:marRight w:val="0"/>
      <w:marTop w:val="0"/>
      <w:marBottom w:val="0"/>
      <w:divBdr>
        <w:top w:val="none" w:sz="0" w:space="0" w:color="auto"/>
        <w:left w:val="none" w:sz="0" w:space="0" w:color="auto"/>
        <w:bottom w:val="none" w:sz="0" w:space="0" w:color="auto"/>
        <w:right w:val="none" w:sz="0" w:space="0" w:color="auto"/>
      </w:divBdr>
    </w:div>
    <w:div w:id="950284066">
      <w:bodyDiv w:val="1"/>
      <w:marLeft w:val="0"/>
      <w:marRight w:val="0"/>
      <w:marTop w:val="0"/>
      <w:marBottom w:val="0"/>
      <w:divBdr>
        <w:top w:val="none" w:sz="0" w:space="0" w:color="auto"/>
        <w:left w:val="none" w:sz="0" w:space="0" w:color="auto"/>
        <w:bottom w:val="none" w:sz="0" w:space="0" w:color="auto"/>
        <w:right w:val="none" w:sz="0" w:space="0" w:color="auto"/>
      </w:divBdr>
    </w:div>
    <w:div w:id="1047682124">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074818357">
      <w:bodyDiv w:val="1"/>
      <w:marLeft w:val="0"/>
      <w:marRight w:val="0"/>
      <w:marTop w:val="0"/>
      <w:marBottom w:val="0"/>
      <w:divBdr>
        <w:top w:val="none" w:sz="0" w:space="0" w:color="auto"/>
        <w:left w:val="none" w:sz="0" w:space="0" w:color="auto"/>
        <w:bottom w:val="none" w:sz="0" w:space="0" w:color="auto"/>
        <w:right w:val="none" w:sz="0" w:space="0" w:color="auto"/>
      </w:divBdr>
      <w:divsChild>
        <w:div w:id="1714963008">
          <w:marLeft w:val="0"/>
          <w:marRight w:val="0"/>
          <w:marTop w:val="0"/>
          <w:marBottom w:val="0"/>
          <w:divBdr>
            <w:top w:val="none" w:sz="0" w:space="0" w:color="auto"/>
            <w:left w:val="none" w:sz="0" w:space="0" w:color="auto"/>
            <w:bottom w:val="none" w:sz="0" w:space="0" w:color="auto"/>
            <w:right w:val="none" w:sz="0" w:space="0" w:color="auto"/>
          </w:divBdr>
          <w:divsChild>
            <w:div w:id="1989743977">
              <w:marLeft w:val="0"/>
              <w:marRight w:val="0"/>
              <w:marTop w:val="0"/>
              <w:marBottom w:val="0"/>
              <w:divBdr>
                <w:top w:val="none" w:sz="0" w:space="0" w:color="auto"/>
                <w:left w:val="none" w:sz="0" w:space="0" w:color="auto"/>
                <w:bottom w:val="none" w:sz="0" w:space="0" w:color="auto"/>
                <w:right w:val="none" w:sz="0" w:space="0" w:color="auto"/>
              </w:divBdr>
              <w:divsChild>
                <w:div w:id="1602176972">
                  <w:marLeft w:val="0"/>
                  <w:marRight w:val="0"/>
                  <w:marTop w:val="0"/>
                  <w:marBottom w:val="0"/>
                  <w:divBdr>
                    <w:top w:val="none" w:sz="0" w:space="0" w:color="auto"/>
                    <w:left w:val="none" w:sz="0" w:space="0" w:color="auto"/>
                    <w:bottom w:val="none" w:sz="0" w:space="0" w:color="auto"/>
                    <w:right w:val="none" w:sz="0" w:space="0" w:color="auto"/>
                  </w:divBdr>
                  <w:divsChild>
                    <w:div w:id="1292514397">
                      <w:marLeft w:val="0"/>
                      <w:marRight w:val="0"/>
                      <w:marTop w:val="0"/>
                      <w:marBottom w:val="0"/>
                      <w:divBdr>
                        <w:top w:val="none" w:sz="0" w:space="0" w:color="auto"/>
                        <w:left w:val="none" w:sz="0" w:space="0" w:color="auto"/>
                        <w:bottom w:val="none" w:sz="0" w:space="0" w:color="auto"/>
                        <w:right w:val="none" w:sz="0" w:space="0" w:color="auto"/>
                      </w:divBdr>
                      <w:divsChild>
                        <w:div w:id="745151039">
                          <w:marLeft w:val="0"/>
                          <w:marRight w:val="0"/>
                          <w:marTop w:val="0"/>
                          <w:marBottom w:val="0"/>
                          <w:divBdr>
                            <w:top w:val="none" w:sz="0" w:space="0" w:color="auto"/>
                            <w:left w:val="none" w:sz="0" w:space="0" w:color="auto"/>
                            <w:bottom w:val="none" w:sz="0" w:space="0" w:color="auto"/>
                            <w:right w:val="none" w:sz="0" w:space="0" w:color="auto"/>
                          </w:divBdr>
                          <w:divsChild>
                            <w:div w:id="206035286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253388">
      <w:bodyDiv w:val="1"/>
      <w:marLeft w:val="0"/>
      <w:marRight w:val="0"/>
      <w:marTop w:val="0"/>
      <w:marBottom w:val="0"/>
      <w:divBdr>
        <w:top w:val="none" w:sz="0" w:space="0" w:color="auto"/>
        <w:left w:val="none" w:sz="0" w:space="0" w:color="auto"/>
        <w:bottom w:val="none" w:sz="0" w:space="0" w:color="auto"/>
        <w:right w:val="none" w:sz="0" w:space="0" w:color="auto"/>
      </w:divBdr>
    </w:div>
    <w:div w:id="1110467705">
      <w:bodyDiv w:val="1"/>
      <w:marLeft w:val="0"/>
      <w:marRight w:val="0"/>
      <w:marTop w:val="0"/>
      <w:marBottom w:val="0"/>
      <w:divBdr>
        <w:top w:val="none" w:sz="0" w:space="0" w:color="auto"/>
        <w:left w:val="none" w:sz="0" w:space="0" w:color="auto"/>
        <w:bottom w:val="none" w:sz="0" w:space="0" w:color="auto"/>
        <w:right w:val="none" w:sz="0" w:space="0" w:color="auto"/>
      </w:divBdr>
    </w:div>
    <w:div w:id="1137186473">
      <w:bodyDiv w:val="1"/>
      <w:marLeft w:val="0"/>
      <w:marRight w:val="0"/>
      <w:marTop w:val="0"/>
      <w:marBottom w:val="0"/>
      <w:divBdr>
        <w:top w:val="none" w:sz="0" w:space="0" w:color="auto"/>
        <w:left w:val="none" w:sz="0" w:space="0" w:color="auto"/>
        <w:bottom w:val="none" w:sz="0" w:space="0" w:color="auto"/>
        <w:right w:val="none" w:sz="0" w:space="0" w:color="auto"/>
      </w:divBdr>
    </w:div>
    <w:div w:id="1203782633">
      <w:bodyDiv w:val="1"/>
      <w:marLeft w:val="0"/>
      <w:marRight w:val="0"/>
      <w:marTop w:val="100"/>
      <w:marBottom w:val="100"/>
      <w:divBdr>
        <w:top w:val="none" w:sz="0" w:space="0" w:color="auto"/>
        <w:left w:val="none" w:sz="0" w:space="0" w:color="auto"/>
        <w:bottom w:val="none" w:sz="0" w:space="0" w:color="auto"/>
        <w:right w:val="none" w:sz="0" w:space="0" w:color="auto"/>
      </w:divBdr>
      <w:divsChild>
        <w:div w:id="644089725">
          <w:marLeft w:val="0"/>
          <w:marRight w:val="0"/>
          <w:marTop w:val="0"/>
          <w:marBottom w:val="0"/>
          <w:divBdr>
            <w:top w:val="none" w:sz="0" w:space="0" w:color="auto"/>
            <w:left w:val="none" w:sz="0" w:space="0" w:color="auto"/>
            <w:bottom w:val="none" w:sz="0" w:space="0" w:color="auto"/>
            <w:right w:val="none" w:sz="0" w:space="0" w:color="auto"/>
          </w:divBdr>
          <w:divsChild>
            <w:div w:id="143667254">
              <w:marLeft w:val="3"/>
              <w:marRight w:val="3"/>
              <w:marTop w:val="0"/>
              <w:marBottom w:val="0"/>
              <w:divBdr>
                <w:top w:val="none" w:sz="0" w:space="0" w:color="auto"/>
                <w:left w:val="none" w:sz="0" w:space="0" w:color="auto"/>
                <w:bottom w:val="none" w:sz="0" w:space="0" w:color="auto"/>
                <w:right w:val="none" w:sz="0" w:space="0" w:color="auto"/>
              </w:divBdr>
              <w:divsChild>
                <w:div w:id="292372298">
                  <w:marLeft w:val="0"/>
                  <w:marRight w:val="0"/>
                  <w:marTop w:val="0"/>
                  <w:marBottom w:val="0"/>
                  <w:divBdr>
                    <w:top w:val="none" w:sz="0" w:space="0" w:color="auto"/>
                    <w:left w:val="none" w:sz="0" w:space="0" w:color="auto"/>
                    <w:bottom w:val="none" w:sz="0" w:space="0" w:color="auto"/>
                    <w:right w:val="none" w:sz="0" w:space="0" w:color="auto"/>
                  </w:divBdr>
                  <w:divsChild>
                    <w:div w:id="22191139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339038427">
      <w:bodyDiv w:val="1"/>
      <w:marLeft w:val="0"/>
      <w:marRight w:val="0"/>
      <w:marTop w:val="0"/>
      <w:marBottom w:val="0"/>
      <w:divBdr>
        <w:top w:val="none" w:sz="0" w:space="0" w:color="auto"/>
        <w:left w:val="none" w:sz="0" w:space="0" w:color="auto"/>
        <w:bottom w:val="none" w:sz="0" w:space="0" w:color="auto"/>
        <w:right w:val="none" w:sz="0" w:space="0" w:color="auto"/>
      </w:divBdr>
    </w:div>
    <w:div w:id="1443452278">
      <w:bodyDiv w:val="1"/>
      <w:marLeft w:val="0"/>
      <w:marRight w:val="0"/>
      <w:marTop w:val="0"/>
      <w:marBottom w:val="0"/>
      <w:divBdr>
        <w:top w:val="none" w:sz="0" w:space="0" w:color="auto"/>
        <w:left w:val="none" w:sz="0" w:space="0" w:color="auto"/>
        <w:bottom w:val="none" w:sz="0" w:space="0" w:color="auto"/>
        <w:right w:val="none" w:sz="0" w:space="0" w:color="auto"/>
      </w:divBdr>
    </w:div>
    <w:div w:id="1642270644">
      <w:bodyDiv w:val="1"/>
      <w:marLeft w:val="0"/>
      <w:marRight w:val="0"/>
      <w:marTop w:val="0"/>
      <w:marBottom w:val="0"/>
      <w:divBdr>
        <w:top w:val="none" w:sz="0" w:space="0" w:color="auto"/>
        <w:left w:val="none" w:sz="0" w:space="0" w:color="auto"/>
        <w:bottom w:val="none" w:sz="0" w:space="0" w:color="auto"/>
        <w:right w:val="none" w:sz="0" w:space="0" w:color="auto"/>
      </w:divBdr>
    </w:div>
    <w:div w:id="1850293804">
      <w:bodyDiv w:val="1"/>
      <w:marLeft w:val="0"/>
      <w:marRight w:val="0"/>
      <w:marTop w:val="0"/>
      <w:marBottom w:val="0"/>
      <w:divBdr>
        <w:top w:val="none" w:sz="0" w:space="0" w:color="auto"/>
        <w:left w:val="none" w:sz="0" w:space="0" w:color="auto"/>
        <w:bottom w:val="none" w:sz="0" w:space="0" w:color="auto"/>
        <w:right w:val="none" w:sz="0" w:space="0" w:color="auto"/>
      </w:divBdr>
    </w:div>
    <w:div w:id="19233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m.gov.lv/lv/likumprojekts-grozijumi-gada-parskatu-un-konsolideto-gada-parskatu-liku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kumi.lv/ta/id/27777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unta.majevska@fm.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77779" TargetMode="External"/><Relationship Id="rId5" Type="http://schemas.openxmlformats.org/officeDocument/2006/relationships/numbering" Target="numbering.xml"/><Relationship Id="rId15" Type="http://schemas.openxmlformats.org/officeDocument/2006/relationships/hyperlink" Target="mailto:arta.priede@fm.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k.gov.lv/content/ministru-kabineta-diskusiju-dokum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Daina Robežniece</Vad_x012b_t_x0101_js>
    <Kategorija xmlns="2e5bb04e-596e-45bd-9003-43ca78b1ba16">Anotācija</Kategorija>
    <NPK xmlns="b6da864e-06a3-40ee-a61e-0cd067b16413">1</NPK>
    <DKP xmlns="2e5bb04e-596e-45bd-9003-43ca78b1ba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233B0-15B7-4B4B-96E7-A6050CA30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37B2B-38B6-409A-BD2F-104F3E75126A}">
  <ds:schemaRefs>
    <ds:schemaRef ds:uri="http://schemas.openxmlformats.org/officeDocument/2006/bibliography"/>
  </ds:schemaRefs>
</ds:datastoreItem>
</file>

<file path=customXml/itemProps3.xml><?xml version="1.0" encoding="utf-8"?>
<ds:datastoreItem xmlns:ds="http://schemas.openxmlformats.org/officeDocument/2006/customXml" ds:itemID="{5D1626EA-3006-4232-B2C2-1BB9CA9637E4}">
  <ds:schemaRefs>
    <ds:schemaRef ds:uri="http://purl.org/dc/elements/1.1/"/>
    <ds:schemaRef ds:uri="http://schemas.openxmlformats.org/package/2006/metadata/core-properties"/>
    <ds:schemaRef ds:uri="b6da864e-06a3-40ee-a61e-0cd067b16413"/>
    <ds:schemaRef ds:uri="http://schemas.microsoft.com/office/2006/documentManagement/types"/>
    <ds:schemaRef ds:uri="2e5bb04e-596e-45bd-9003-43ca78b1ba16"/>
    <ds:schemaRef ds:uri="http://www.w3.org/XML/1998/namespace"/>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A898D7D8-0400-4BAD-AE58-ED1F2EAF4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17884</Words>
  <Characters>10195</Characters>
  <Application>Microsoft Office Word</Application>
  <DocSecurity>0</DocSecurity>
  <Lines>84</Lines>
  <Paragraphs>56</Paragraphs>
  <ScaleCrop>false</ScaleCrop>
  <HeadingPairs>
    <vt:vector size="2" baseType="variant">
      <vt:variant>
        <vt:lpstr>Title</vt:lpstr>
      </vt:variant>
      <vt:variant>
        <vt:i4>1</vt:i4>
      </vt:variant>
    </vt:vector>
  </HeadingPairs>
  <TitlesOfParts>
    <vt:vector size="1" baseType="lpstr">
      <vt:lpstr>Likumprojekta “Grozījumi Gada pārskatu un konsolidēto gada pārskatu likumā” sākotnējās ietekmes novērtējuma ziņojums (anotācija)</vt:lpstr>
    </vt:vector>
  </TitlesOfParts>
  <Manager>Daina Robežniece</Manager>
  <Company>Finanšu ministrija</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Gada pārskatu un konsolidēto gada pārskatu likumā” sākotnējās ietekmes novērtējuma ziņojums (anotācija)</dc:title>
  <dc:subject>Anotācija</dc:subject>
  <dc:creator>Arta Priede, Gunta Majevska</dc:creator>
  <cp:keywords/>
  <dc:description>67083866_x000d_
Arta.Priede@fm.gov.lv;_x000d_
67095616_x000d_
Gunta.Majevska@fm.gov.lv_x000d_
Gunta.Majevska@fm.gov.lv</dc:description>
  <cp:lastModifiedBy>Inguna Dancīte</cp:lastModifiedBy>
  <cp:revision>2</cp:revision>
  <cp:lastPrinted>2020-07-03T15:43:00Z</cp:lastPrinted>
  <dcterms:created xsi:type="dcterms:W3CDTF">2021-08-05T12:02:00Z</dcterms:created>
  <dcterms:modified xsi:type="dcterms:W3CDTF">2021-08-05T12:02:00Z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