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6E300" w14:textId="770809D7" w:rsidR="00364B0E" w:rsidRPr="00300104" w:rsidRDefault="00364B0E" w:rsidP="0056487A">
      <w:pPr>
        <w:pStyle w:val="naislab"/>
        <w:spacing w:before="0" w:after="0"/>
        <w:jc w:val="center"/>
        <w:outlineLvl w:val="0"/>
        <w:rPr>
          <w:b/>
          <w:sz w:val="28"/>
          <w:szCs w:val="28"/>
        </w:rPr>
      </w:pPr>
      <w:r w:rsidRPr="00300104">
        <w:rPr>
          <w:b/>
          <w:sz w:val="28"/>
          <w:szCs w:val="28"/>
        </w:rPr>
        <w:t xml:space="preserve">Ministru kabineta noteikumu projekta </w:t>
      </w:r>
    </w:p>
    <w:p w14:paraId="63E00DD7" w14:textId="1E59E707" w:rsidR="000044EC" w:rsidRDefault="00364B0E" w:rsidP="0056487A">
      <w:pPr>
        <w:pStyle w:val="naislab"/>
        <w:spacing w:before="0" w:after="0"/>
        <w:jc w:val="center"/>
        <w:outlineLvl w:val="0"/>
        <w:rPr>
          <w:b/>
          <w:sz w:val="28"/>
          <w:szCs w:val="28"/>
        </w:rPr>
      </w:pPr>
      <w:r w:rsidRPr="00300104">
        <w:rPr>
          <w:b/>
          <w:sz w:val="28"/>
          <w:szCs w:val="28"/>
        </w:rPr>
        <w:t>“</w:t>
      </w:r>
      <w:r w:rsidR="008317D6">
        <w:rPr>
          <w:b/>
          <w:sz w:val="28"/>
          <w:szCs w:val="28"/>
        </w:rPr>
        <w:t xml:space="preserve">Grozījums </w:t>
      </w:r>
      <w:r w:rsidR="00A51ED8">
        <w:rPr>
          <w:b/>
          <w:sz w:val="28"/>
          <w:szCs w:val="28"/>
        </w:rPr>
        <w:t xml:space="preserve">Ministru </w:t>
      </w:r>
      <w:r w:rsidR="00117CDE">
        <w:rPr>
          <w:b/>
          <w:sz w:val="28"/>
          <w:szCs w:val="28"/>
        </w:rPr>
        <w:t>kabineta 2018.</w:t>
      </w:r>
      <w:r w:rsidR="000044EC">
        <w:rPr>
          <w:b/>
          <w:sz w:val="28"/>
          <w:szCs w:val="28"/>
        </w:rPr>
        <w:t> </w:t>
      </w:r>
      <w:r w:rsidR="00117CDE">
        <w:rPr>
          <w:b/>
          <w:sz w:val="28"/>
          <w:szCs w:val="28"/>
        </w:rPr>
        <w:t>gada 19.</w:t>
      </w:r>
      <w:r w:rsidR="000044EC">
        <w:rPr>
          <w:b/>
          <w:sz w:val="28"/>
          <w:szCs w:val="28"/>
        </w:rPr>
        <w:t> </w:t>
      </w:r>
      <w:r w:rsidR="00117CDE">
        <w:rPr>
          <w:b/>
          <w:sz w:val="28"/>
          <w:szCs w:val="28"/>
        </w:rPr>
        <w:t>jūnija noteikumos Nr.</w:t>
      </w:r>
      <w:r w:rsidR="000044EC">
        <w:rPr>
          <w:b/>
          <w:sz w:val="28"/>
          <w:szCs w:val="28"/>
        </w:rPr>
        <w:t> </w:t>
      </w:r>
      <w:r w:rsidR="00117CDE">
        <w:rPr>
          <w:b/>
          <w:sz w:val="28"/>
          <w:szCs w:val="28"/>
        </w:rPr>
        <w:t>345</w:t>
      </w:r>
    </w:p>
    <w:p w14:paraId="205F63B9" w14:textId="126C680A" w:rsidR="00364B0E" w:rsidRPr="00300104" w:rsidRDefault="00117CDE" w:rsidP="0056487A">
      <w:pPr>
        <w:pStyle w:val="naislab"/>
        <w:spacing w:before="0" w:after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r w:rsidR="00364B0E" w:rsidRPr="00300104">
        <w:rPr>
          <w:b/>
          <w:sz w:val="28"/>
          <w:szCs w:val="28"/>
        </w:rPr>
        <w:t>Valsts ieņēmumu dienesta maksas pakalpojumu cenrādis”</w:t>
      </w:r>
      <w:r>
        <w:rPr>
          <w:b/>
          <w:sz w:val="28"/>
          <w:szCs w:val="28"/>
        </w:rPr>
        <w:t>”</w:t>
      </w:r>
    </w:p>
    <w:p w14:paraId="1C5FD037" w14:textId="5936CB24" w:rsidR="00D44A59" w:rsidRDefault="00364B0E" w:rsidP="00D53978">
      <w:pPr>
        <w:pStyle w:val="naislab"/>
        <w:spacing w:before="0" w:after="0"/>
        <w:jc w:val="center"/>
        <w:outlineLvl w:val="0"/>
        <w:rPr>
          <w:b/>
          <w:sz w:val="28"/>
          <w:szCs w:val="28"/>
        </w:rPr>
      </w:pPr>
      <w:r w:rsidRPr="00300104">
        <w:rPr>
          <w:b/>
          <w:sz w:val="28"/>
          <w:szCs w:val="28"/>
        </w:rPr>
        <w:t>sākotnējās ietekmes novērtējuma ziņojums (anotācija)</w:t>
      </w:r>
    </w:p>
    <w:p w14:paraId="42F0C42A" w14:textId="77777777" w:rsidR="00683849" w:rsidRPr="00DE6A31" w:rsidRDefault="00683849" w:rsidP="00D53978">
      <w:pPr>
        <w:pStyle w:val="naislab"/>
        <w:spacing w:before="0" w:after="0"/>
        <w:jc w:val="center"/>
        <w:outlineLvl w:val="0"/>
        <w:rPr>
          <w:b/>
          <w:sz w:val="28"/>
          <w:szCs w:val="28"/>
        </w:rPr>
      </w:pP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3851"/>
        <w:gridCol w:w="5776"/>
      </w:tblGrid>
      <w:tr w:rsidR="003B1A79" w:rsidRPr="00300104" w14:paraId="556338B1" w14:textId="77777777" w:rsidTr="003B1A79">
        <w:tc>
          <w:tcPr>
            <w:tcW w:w="0" w:type="auto"/>
            <w:gridSpan w:val="2"/>
            <w:hideMark/>
          </w:tcPr>
          <w:p w14:paraId="29A260AB" w14:textId="77777777" w:rsidR="003B1A79" w:rsidRPr="00DE6A31" w:rsidRDefault="003B1A79" w:rsidP="003B1A79">
            <w:pPr>
              <w:spacing w:before="100" w:beforeAutospacing="1" w:after="100" w:afterAutospacing="1" w:line="360" w:lineRule="auto"/>
              <w:ind w:firstLine="300"/>
              <w:jc w:val="center"/>
              <w:rPr>
                <w:b/>
                <w:bCs/>
                <w:sz w:val="28"/>
                <w:szCs w:val="28"/>
              </w:rPr>
            </w:pPr>
            <w:r w:rsidRPr="00DE6A31">
              <w:rPr>
                <w:b/>
                <w:bCs/>
                <w:sz w:val="28"/>
                <w:szCs w:val="28"/>
              </w:rPr>
              <w:t>Tiesību akta projekta anotācijas kopsavilkums</w:t>
            </w:r>
          </w:p>
        </w:tc>
      </w:tr>
      <w:tr w:rsidR="003B1A79" w:rsidRPr="00300104" w14:paraId="14CD1361" w14:textId="77777777" w:rsidTr="00F30AEB">
        <w:tc>
          <w:tcPr>
            <w:tcW w:w="2000" w:type="pct"/>
            <w:shd w:val="clear" w:color="auto" w:fill="auto"/>
            <w:hideMark/>
          </w:tcPr>
          <w:p w14:paraId="5A82BD75" w14:textId="32F96513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Mērķis, risinājums un projekta spēkā stāšanās laiks (500 zīmes bez atstarpēm)</w:t>
            </w:r>
          </w:p>
        </w:tc>
        <w:tc>
          <w:tcPr>
            <w:tcW w:w="3000" w:type="pct"/>
            <w:shd w:val="clear" w:color="auto" w:fill="auto"/>
            <w:hideMark/>
          </w:tcPr>
          <w:p w14:paraId="64AB2591" w14:textId="26D794EB" w:rsidR="003B1A79" w:rsidRPr="00DE6A31" w:rsidRDefault="00142B04" w:rsidP="002342C2">
            <w:pPr>
              <w:jc w:val="both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 xml:space="preserve">Ministru kabineta noteikumu projekts </w:t>
            </w:r>
            <w:r w:rsidR="00881B6F">
              <w:rPr>
                <w:sz w:val="28"/>
                <w:szCs w:val="28"/>
              </w:rPr>
              <w:t>“</w:t>
            </w:r>
            <w:r w:rsidR="008317D6" w:rsidRPr="00881B6F">
              <w:rPr>
                <w:sz w:val="28"/>
                <w:szCs w:val="28"/>
              </w:rPr>
              <w:t>Grozījum</w:t>
            </w:r>
            <w:r w:rsidR="008317D6">
              <w:rPr>
                <w:sz w:val="28"/>
                <w:szCs w:val="28"/>
              </w:rPr>
              <w:t>s</w:t>
            </w:r>
            <w:r w:rsidR="008317D6" w:rsidRPr="00881B6F">
              <w:rPr>
                <w:sz w:val="28"/>
                <w:szCs w:val="28"/>
              </w:rPr>
              <w:t xml:space="preserve"> </w:t>
            </w:r>
            <w:r w:rsidR="00881B6F" w:rsidRPr="00881B6F">
              <w:rPr>
                <w:sz w:val="28"/>
                <w:szCs w:val="28"/>
              </w:rPr>
              <w:t>Minist</w:t>
            </w:r>
            <w:r w:rsidR="00F34621">
              <w:rPr>
                <w:sz w:val="28"/>
                <w:szCs w:val="28"/>
              </w:rPr>
              <w:t>r</w:t>
            </w:r>
            <w:r w:rsidR="00881B6F" w:rsidRPr="00881B6F">
              <w:rPr>
                <w:sz w:val="28"/>
                <w:szCs w:val="28"/>
              </w:rPr>
              <w:t>u kabineta 2018.</w:t>
            </w:r>
            <w:r w:rsidR="002E67F3">
              <w:rPr>
                <w:sz w:val="28"/>
                <w:szCs w:val="28"/>
              </w:rPr>
              <w:t> </w:t>
            </w:r>
            <w:r w:rsidR="00881B6F" w:rsidRPr="00881B6F">
              <w:rPr>
                <w:sz w:val="28"/>
                <w:szCs w:val="28"/>
              </w:rPr>
              <w:t>gada 19.</w:t>
            </w:r>
            <w:r w:rsidR="002E67F3">
              <w:rPr>
                <w:sz w:val="28"/>
                <w:szCs w:val="28"/>
              </w:rPr>
              <w:t> </w:t>
            </w:r>
            <w:r w:rsidR="00881B6F" w:rsidRPr="00881B6F">
              <w:rPr>
                <w:sz w:val="28"/>
                <w:szCs w:val="28"/>
              </w:rPr>
              <w:t>jūnija noteikumos Nr.</w:t>
            </w:r>
            <w:r w:rsidR="002E67F3">
              <w:rPr>
                <w:sz w:val="28"/>
                <w:szCs w:val="28"/>
              </w:rPr>
              <w:t> </w:t>
            </w:r>
            <w:r w:rsidR="00881B6F" w:rsidRPr="00881B6F">
              <w:rPr>
                <w:sz w:val="28"/>
                <w:szCs w:val="28"/>
              </w:rPr>
              <w:t>345 “Valsts ieņēmumu dienesta maksas pakalpojumu cenrādis””</w:t>
            </w:r>
            <w:r w:rsidR="007E457C" w:rsidRPr="00DE6A31">
              <w:rPr>
                <w:sz w:val="28"/>
                <w:szCs w:val="28"/>
              </w:rPr>
              <w:t xml:space="preserve"> (turpmāk – noteikumu projekts)</w:t>
            </w:r>
            <w:r w:rsidRPr="00DE6A31">
              <w:rPr>
                <w:sz w:val="28"/>
                <w:szCs w:val="28"/>
              </w:rPr>
              <w:t xml:space="preserve"> ir </w:t>
            </w:r>
            <w:r w:rsidR="00DA7A00" w:rsidRPr="00DE6A31">
              <w:rPr>
                <w:sz w:val="28"/>
                <w:szCs w:val="28"/>
              </w:rPr>
              <w:t>izstrādāts</w:t>
            </w:r>
            <w:r w:rsidR="00821F25" w:rsidRPr="00DE6A31">
              <w:rPr>
                <w:sz w:val="28"/>
                <w:szCs w:val="28"/>
              </w:rPr>
              <w:t xml:space="preserve">, </w:t>
            </w:r>
            <w:r w:rsidR="00397592" w:rsidRPr="00DE6A31">
              <w:rPr>
                <w:sz w:val="28"/>
                <w:szCs w:val="28"/>
              </w:rPr>
              <w:t>lai</w:t>
            </w:r>
            <w:r w:rsidR="00821F25" w:rsidRPr="00DE6A31">
              <w:rPr>
                <w:sz w:val="28"/>
                <w:szCs w:val="28"/>
              </w:rPr>
              <w:t xml:space="preserve"> </w:t>
            </w:r>
            <w:r w:rsidR="007A041C" w:rsidRPr="00DE6A31">
              <w:rPr>
                <w:sz w:val="28"/>
                <w:szCs w:val="28"/>
              </w:rPr>
              <w:t>noteiktu</w:t>
            </w:r>
            <w:r w:rsidR="0062535A" w:rsidRPr="00DE6A31">
              <w:rPr>
                <w:sz w:val="28"/>
                <w:szCs w:val="28"/>
              </w:rPr>
              <w:t xml:space="preserve"> </w:t>
            </w:r>
            <w:r w:rsidR="007E378F" w:rsidRPr="00DE6A31">
              <w:rPr>
                <w:sz w:val="28"/>
                <w:szCs w:val="28"/>
              </w:rPr>
              <w:t xml:space="preserve">Valsts ieņēmumu dienesta </w:t>
            </w:r>
            <w:r w:rsidR="00A42FEB" w:rsidRPr="00DE6A31">
              <w:rPr>
                <w:sz w:val="28"/>
                <w:szCs w:val="28"/>
              </w:rPr>
              <w:t xml:space="preserve">(turpmāk – VID) </w:t>
            </w:r>
            <w:r w:rsidR="007E378F" w:rsidRPr="00DE6A31">
              <w:rPr>
                <w:sz w:val="28"/>
                <w:szCs w:val="28"/>
              </w:rPr>
              <w:t xml:space="preserve">sniegto maksas pakalpojumu </w:t>
            </w:r>
            <w:r w:rsidR="00821F25" w:rsidRPr="00DE6A31">
              <w:rPr>
                <w:sz w:val="28"/>
                <w:szCs w:val="28"/>
              </w:rPr>
              <w:t>cenas</w:t>
            </w:r>
            <w:r w:rsidR="00397592" w:rsidRPr="00DE6A31">
              <w:rPr>
                <w:sz w:val="28"/>
                <w:szCs w:val="28"/>
              </w:rPr>
              <w:t xml:space="preserve"> atbilstoši to faktiskajām izmaksām</w:t>
            </w:r>
            <w:r w:rsidR="002342C2">
              <w:rPr>
                <w:sz w:val="28"/>
                <w:szCs w:val="28"/>
              </w:rPr>
              <w:t>.</w:t>
            </w:r>
            <w:r w:rsidR="00E31CF0">
              <w:rPr>
                <w:sz w:val="28"/>
                <w:szCs w:val="28"/>
              </w:rPr>
              <w:t xml:space="preserve"> </w:t>
            </w:r>
            <w:r w:rsidR="00105165">
              <w:rPr>
                <w:sz w:val="28"/>
                <w:szCs w:val="28"/>
              </w:rPr>
              <w:t>N</w:t>
            </w:r>
            <w:r w:rsidR="00105165" w:rsidRPr="00105165">
              <w:rPr>
                <w:sz w:val="28"/>
                <w:szCs w:val="28"/>
              </w:rPr>
              <w:t>oteikumi stājas spēkā nākamajā dienā pēc to izsludināšanas</w:t>
            </w:r>
            <w:r w:rsidR="00F92A06" w:rsidRPr="00DE6A31">
              <w:rPr>
                <w:sz w:val="28"/>
                <w:szCs w:val="28"/>
              </w:rPr>
              <w:t>.</w:t>
            </w:r>
          </w:p>
        </w:tc>
      </w:tr>
    </w:tbl>
    <w:p w14:paraId="19EFF4F1" w14:textId="2D44606E" w:rsidR="00AB0CC2" w:rsidRPr="00DE6A31" w:rsidRDefault="00AB0CC2" w:rsidP="003B1A79">
      <w:pPr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6"/>
        <w:gridCol w:w="3200"/>
        <w:gridCol w:w="5703"/>
      </w:tblGrid>
      <w:tr w:rsidR="003B1A79" w:rsidRPr="00300104" w14:paraId="44D559E6" w14:textId="77777777" w:rsidTr="003B1A79">
        <w:tc>
          <w:tcPr>
            <w:tcW w:w="0" w:type="auto"/>
            <w:gridSpan w:val="3"/>
            <w:hideMark/>
          </w:tcPr>
          <w:p w14:paraId="35A98EBB" w14:textId="77777777" w:rsidR="003B1A79" w:rsidRPr="00DE6A31" w:rsidRDefault="003B1A79" w:rsidP="003B1A79">
            <w:pPr>
              <w:spacing w:before="100" w:beforeAutospacing="1" w:after="100" w:afterAutospacing="1" w:line="360" w:lineRule="auto"/>
              <w:ind w:firstLine="300"/>
              <w:jc w:val="center"/>
              <w:rPr>
                <w:b/>
                <w:bCs/>
                <w:sz w:val="28"/>
                <w:szCs w:val="28"/>
              </w:rPr>
            </w:pPr>
            <w:r w:rsidRPr="00DE6A31">
              <w:rPr>
                <w:b/>
                <w:bCs/>
                <w:sz w:val="28"/>
                <w:szCs w:val="28"/>
              </w:rPr>
              <w:t>I. Tiesību akta projekta izstrādes nepieciešamība</w:t>
            </w:r>
          </w:p>
        </w:tc>
      </w:tr>
      <w:tr w:rsidR="003B1A79" w:rsidRPr="00300104" w14:paraId="3F032A15" w14:textId="77777777" w:rsidTr="00F30AEB">
        <w:tc>
          <w:tcPr>
            <w:tcW w:w="300" w:type="pct"/>
            <w:hideMark/>
          </w:tcPr>
          <w:p w14:paraId="47E6AEB6" w14:textId="77777777" w:rsidR="003B1A79" w:rsidRPr="00DE6A31" w:rsidRDefault="003B1A79" w:rsidP="003B1A79">
            <w:pPr>
              <w:spacing w:before="100" w:beforeAutospacing="1" w:after="100" w:afterAutospacing="1" w:line="360" w:lineRule="auto"/>
              <w:ind w:firstLine="300"/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1.</w:t>
            </w:r>
          </w:p>
        </w:tc>
        <w:tc>
          <w:tcPr>
            <w:tcW w:w="1700" w:type="pct"/>
            <w:shd w:val="clear" w:color="auto" w:fill="auto"/>
            <w:hideMark/>
          </w:tcPr>
          <w:p w14:paraId="77C95401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Pamatojums</w:t>
            </w:r>
          </w:p>
        </w:tc>
        <w:tc>
          <w:tcPr>
            <w:tcW w:w="3000" w:type="pct"/>
            <w:shd w:val="clear" w:color="auto" w:fill="auto"/>
            <w:hideMark/>
          </w:tcPr>
          <w:p w14:paraId="01A8AD0B" w14:textId="66F179C4" w:rsidR="003B1A79" w:rsidRPr="00DE6A31" w:rsidRDefault="00A42FEB" w:rsidP="006D5C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</w:t>
            </w:r>
            <w:r w:rsidR="000C2A7E" w:rsidRPr="00DE6A31">
              <w:rPr>
                <w:sz w:val="28"/>
                <w:szCs w:val="28"/>
              </w:rPr>
              <w:t xml:space="preserve"> </w:t>
            </w:r>
            <w:r w:rsidR="007E4912" w:rsidRPr="00DE6A31">
              <w:rPr>
                <w:sz w:val="28"/>
                <w:szCs w:val="28"/>
              </w:rPr>
              <w:t>iniciatīva</w:t>
            </w:r>
          </w:p>
        </w:tc>
      </w:tr>
      <w:tr w:rsidR="003B1A79" w:rsidRPr="00300104" w14:paraId="1A87008E" w14:textId="77777777" w:rsidTr="003B1A79">
        <w:tc>
          <w:tcPr>
            <w:tcW w:w="300" w:type="pct"/>
            <w:hideMark/>
          </w:tcPr>
          <w:p w14:paraId="77722C1D" w14:textId="77777777" w:rsidR="003B1A79" w:rsidRPr="00DE6A31" w:rsidRDefault="003B1A79" w:rsidP="003B1A79">
            <w:pPr>
              <w:spacing w:before="100" w:beforeAutospacing="1" w:after="100" w:afterAutospacing="1" w:line="360" w:lineRule="auto"/>
              <w:ind w:firstLine="300"/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2.</w:t>
            </w:r>
          </w:p>
        </w:tc>
        <w:tc>
          <w:tcPr>
            <w:tcW w:w="1700" w:type="pct"/>
            <w:hideMark/>
          </w:tcPr>
          <w:p w14:paraId="3A06DF28" w14:textId="333417AE" w:rsidR="003B1A79" w:rsidRPr="009271EC" w:rsidRDefault="003B1A79" w:rsidP="009271EC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Pašreizējā situācija un problēmas, kuru risināšanai tiesību akta projekts izstrādāts, tiesiskā regulējuma mērķis un būtība</w:t>
            </w:r>
          </w:p>
        </w:tc>
        <w:tc>
          <w:tcPr>
            <w:tcW w:w="3000" w:type="pct"/>
            <w:hideMark/>
          </w:tcPr>
          <w:p w14:paraId="409C023E" w14:textId="5CE8AA0C" w:rsidR="00F05A20" w:rsidRPr="00DE6A31" w:rsidRDefault="007E457C" w:rsidP="002671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Pr="00DE6A31">
              <w:rPr>
                <w:sz w:val="28"/>
                <w:szCs w:val="28"/>
              </w:rPr>
              <w:t xml:space="preserve">oteikumu </w:t>
            </w:r>
            <w:r w:rsidR="00F05A20" w:rsidRPr="00DE6A31">
              <w:rPr>
                <w:sz w:val="28"/>
                <w:szCs w:val="28"/>
              </w:rPr>
              <w:t xml:space="preserve">projekta izstrādes mērķis ir </w:t>
            </w:r>
            <w:r w:rsidR="002342C2" w:rsidRPr="00DE6A31">
              <w:rPr>
                <w:sz w:val="28"/>
                <w:szCs w:val="28"/>
              </w:rPr>
              <w:t xml:space="preserve">aktualizēt </w:t>
            </w:r>
            <w:r w:rsidR="00A1368E" w:rsidRPr="00DE6A31">
              <w:rPr>
                <w:sz w:val="28"/>
                <w:szCs w:val="28"/>
              </w:rPr>
              <w:t>VID</w:t>
            </w:r>
            <w:r w:rsidR="00561FF5">
              <w:rPr>
                <w:sz w:val="28"/>
                <w:szCs w:val="28"/>
              </w:rPr>
              <w:t xml:space="preserve"> sniegto</w:t>
            </w:r>
            <w:r w:rsidR="002342C2">
              <w:rPr>
                <w:sz w:val="28"/>
                <w:szCs w:val="28"/>
              </w:rPr>
              <w:t xml:space="preserve"> maksas pakalpojumu</w:t>
            </w:r>
            <w:r w:rsidR="00561FF5">
              <w:rPr>
                <w:sz w:val="28"/>
                <w:szCs w:val="28"/>
              </w:rPr>
              <w:t xml:space="preserve"> </w:t>
            </w:r>
            <w:r w:rsidR="00ED4EBB">
              <w:rPr>
                <w:sz w:val="28"/>
                <w:szCs w:val="28"/>
              </w:rPr>
              <w:t xml:space="preserve">sarakstu un maksas pakalpojumu </w:t>
            </w:r>
            <w:r w:rsidR="00F05A20" w:rsidRPr="00DE6A31">
              <w:rPr>
                <w:sz w:val="28"/>
                <w:szCs w:val="28"/>
              </w:rPr>
              <w:t>izcenojumus.</w:t>
            </w:r>
          </w:p>
          <w:p w14:paraId="77ECA4CF" w14:textId="6E874A9D" w:rsidR="00CD5C60" w:rsidRDefault="00CD5C60" w:rsidP="002671C8">
            <w:pPr>
              <w:jc w:val="both"/>
              <w:rPr>
                <w:sz w:val="28"/>
                <w:szCs w:val="28"/>
              </w:rPr>
            </w:pPr>
            <w:r w:rsidRPr="00872FC3">
              <w:rPr>
                <w:sz w:val="28"/>
                <w:szCs w:val="28"/>
              </w:rPr>
              <w:t>Atbilstoši Ministru kabineta 2011.</w:t>
            </w:r>
            <w:r w:rsidR="002E67F3">
              <w:rPr>
                <w:sz w:val="28"/>
                <w:szCs w:val="28"/>
              </w:rPr>
              <w:t> </w:t>
            </w:r>
            <w:r w:rsidRPr="00872FC3">
              <w:rPr>
                <w:sz w:val="28"/>
                <w:szCs w:val="28"/>
              </w:rPr>
              <w:t>gada 3.</w:t>
            </w:r>
            <w:r w:rsidR="002E67F3">
              <w:rPr>
                <w:sz w:val="28"/>
                <w:szCs w:val="28"/>
              </w:rPr>
              <w:t> </w:t>
            </w:r>
            <w:r w:rsidRPr="00872FC3">
              <w:rPr>
                <w:sz w:val="28"/>
                <w:szCs w:val="28"/>
              </w:rPr>
              <w:t>maija noteikumu Nr.</w:t>
            </w:r>
            <w:r w:rsidR="002E67F3">
              <w:rPr>
                <w:sz w:val="28"/>
                <w:szCs w:val="28"/>
              </w:rPr>
              <w:t> </w:t>
            </w:r>
            <w:r w:rsidRPr="00872FC3">
              <w:rPr>
                <w:sz w:val="28"/>
                <w:szCs w:val="28"/>
              </w:rPr>
              <w:t xml:space="preserve">333 </w:t>
            </w:r>
            <w:r>
              <w:rPr>
                <w:sz w:val="28"/>
                <w:szCs w:val="28"/>
              </w:rPr>
              <w:t>“</w:t>
            </w:r>
            <w:r w:rsidRPr="00872FC3">
              <w:rPr>
                <w:sz w:val="28"/>
                <w:szCs w:val="28"/>
              </w:rPr>
              <w:t>Kārtība, kādā plānojami un uzskaitāmi ieņēmumi no maksas pakalpojumiem un ar šo pakalpojumu sniegšanu saistītie izdevumi, kā arī maksas pakalpojumu izcenojumu noteikšanas metodika un izcenojumu apstiprināšanas kārtība”</w:t>
            </w:r>
            <w:r w:rsidR="004465B2">
              <w:rPr>
                <w:sz w:val="28"/>
                <w:szCs w:val="28"/>
              </w:rPr>
              <w:t xml:space="preserve"> (turpmāk – noteikumi Nr.</w:t>
            </w:r>
            <w:r w:rsidR="002E67F3">
              <w:rPr>
                <w:sz w:val="28"/>
                <w:szCs w:val="28"/>
              </w:rPr>
              <w:t> </w:t>
            </w:r>
            <w:r w:rsidR="004465B2">
              <w:rPr>
                <w:sz w:val="28"/>
                <w:szCs w:val="28"/>
              </w:rPr>
              <w:t>333)</w:t>
            </w:r>
            <w:r w:rsidRPr="00872FC3">
              <w:rPr>
                <w:sz w:val="28"/>
                <w:szCs w:val="28"/>
              </w:rPr>
              <w:t xml:space="preserve"> 18.1. un 18.2.</w:t>
            </w:r>
            <w:r w:rsidR="002E67F3">
              <w:rPr>
                <w:sz w:val="28"/>
                <w:szCs w:val="28"/>
              </w:rPr>
              <w:t> </w:t>
            </w:r>
            <w:r w:rsidRPr="00872FC3">
              <w:rPr>
                <w:sz w:val="28"/>
                <w:szCs w:val="28"/>
              </w:rPr>
              <w:t>apakšpunktā noteiktajam grozījumus noteikumos par maksas pakalpojumu cenrādi izdara, ja ir mainījušies apstākļi, kas ietekmē iestādes sniedzamo maksas pakalpojumu klāstu</w:t>
            </w:r>
            <w:r w:rsidR="009878FC">
              <w:rPr>
                <w:sz w:val="28"/>
                <w:szCs w:val="28"/>
              </w:rPr>
              <w:t>,</w:t>
            </w:r>
            <w:r w:rsidRPr="00872FC3">
              <w:rPr>
                <w:sz w:val="28"/>
                <w:szCs w:val="28"/>
              </w:rPr>
              <w:t xml:space="preserve"> un ir būtiski mainījušās (samazinājušās vai palielinājušās) tiešās vai netiešās izmaksas, kuras veido maksas pakalpojumu izcenojumus. Turklāt Likuma par budžetu un finanšu vadību 5.</w:t>
            </w:r>
            <w:r w:rsidR="002E67F3">
              <w:rPr>
                <w:sz w:val="28"/>
                <w:szCs w:val="28"/>
              </w:rPr>
              <w:t> </w:t>
            </w:r>
            <w:r w:rsidRPr="00872FC3">
              <w:rPr>
                <w:sz w:val="28"/>
                <w:szCs w:val="28"/>
              </w:rPr>
              <w:t>panta 12.</w:t>
            </w:r>
            <w:r w:rsidRPr="00872FC3">
              <w:rPr>
                <w:sz w:val="28"/>
                <w:szCs w:val="28"/>
                <w:vertAlign w:val="superscript"/>
              </w:rPr>
              <w:t>1</w:t>
            </w:r>
            <w:r w:rsidR="002E67F3">
              <w:rPr>
                <w:sz w:val="28"/>
                <w:szCs w:val="28"/>
              </w:rPr>
              <w:t> </w:t>
            </w:r>
            <w:r w:rsidRPr="00872FC3">
              <w:rPr>
                <w:sz w:val="28"/>
                <w:szCs w:val="28"/>
              </w:rPr>
              <w:t>daļā noteikts, ka, nosakot maksas pakalpojuma izcenojumu, ievēro nosacījumu, ka samaksa par pakalpojumu nedrīkst pārsniegt ar pakalpojuma sniegšanu saistītās izmaksas</w:t>
            </w:r>
            <w:r w:rsidRPr="00DE6A31">
              <w:rPr>
                <w:sz w:val="28"/>
                <w:szCs w:val="28"/>
              </w:rPr>
              <w:t>.</w:t>
            </w:r>
          </w:p>
          <w:p w14:paraId="233AD335" w14:textId="6BE7B256" w:rsidR="00ED4EBB" w:rsidRDefault="00ED4EBB" w:rsidP="00ED4EBB">
            <w:pPr>
              <w:jc w:val="both"/>
              <w:rPr>
                <w:sz w:val="28"/>
                <w:szCs w:val="28"/>
              </w:rPr>
            </w:pPr>
          </w:p>
          <w:p w14:paraId="32B17984" w14:textId="77777777" w:rsidR="00672335" w:rsidRDefault="00672335" w:rsidP="00ED4EBB">
            <w:pPr>
              <w:jc w:val="both"/>
              <w:rPr>
                <w:sz w:val="28"/>
                <w:szCs w:val="28"/>
              </w:rPr>
            </w:pPr>
          </w:p>
          <w:p w14:paraId="22C569DA" w14:textId="460D1222" w:rsidR="00ED4EBB" w:rsidRPr="00DE6A31" w:rsidRDefault="00ED4EBB" w:rsidP="00ED4EBB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DE6A31">
              <w:rPr>
                <w:b/>
                <w:sz w:val="28"/>
                <w:szCs w:val="28"/>
                <w:u w:val="single"/>
              </w:rPr>
              <w:lastRenderedPageBreak/>
              <w:t xml:space="preserve">VID </w:t>
            </w:r>
            <w:r w:rsidRPr="00DE6A31">
              <w:rPr>
                <w:b/>
                <w:bCs/>
                <w:sz w:val="28"/>
                <w:szCs w:val="28"/>
                <w:u w:val="single"/>
              </w:rPr>
              <w:t xml:space="preserve">sniegto maksas pakalpojumu </w:t>
            </w:r>
            <w:r>
              <w:rPr>
                <w:b/>
                <w:bCs/>
                <w:sz w:val="28"/>
                <w:szCs w:val="28"/>
                <w:u w:val="single"/>
              </w:rPr>
              <w:t>saraksta</w:t>
            </w:r>
            <w:r w:rsidRPr="00DE6A31">
              <w:rPr>
                <w:b/>
                <w:bCs/>
                <w:sz w:val="28"/>
                <w:szCs w:val="28"/>
                <w:u w:val="single"/>
              </w:rPr>
              <w:t xml:space="preserve"> aktualizēšana</w:t>
            </w:r>
          </w:p>
          <w:p w14:paraId="0C107962" w14:textId="5746589A" w:rsidR="00A42FEB" w:rsidRDefault="00A42FEB" w:rsidP="00A42FEB">
            <w:pPr>
              <w:jc w:val="both"/>
              <w:rPr>
                <w:sz w:val="28"/>
                <w:szCs w:val="28"/>
              </w:rPr>
            </w:pPr>
            <w:r w:rsidRPr="00E31CF0">
              <w:rPr>
                <w:sz w:val="28"/>
                <w:szCs w:val="28"/>
              </w:rPr>
              <w:t>Minist</w:t>
            </w:r>
            <w:r>
              <w:rPr>
                <w:sz w:val="28"/>
                <w:szCs w:val="28"/>
              </w:rPr>
              <w:t>ru</w:t>
            </w:r>
            <w:r w:rsidRPr="00E31CF0">
              <w:rPr>
                <w:sz w:val="28"/>
                <w:szCs w:val="28"/>
              </w:rPr>
              <w:t xml:space="preserve"> kabineta 2018.</w:t>
            </w:r>
            <w:r w:rsidR="009878FC">
              <w:rPr>
                <w:sz w:val="28"/>
                <w:szCs w:val="28"/>
              </w:rPr>
              <w:t> </w:t>
            </w:r>
            <w:r w:rsidRPr="00E31CF0">
              <w:rPr>
                <w:sz w:val="28"/>
                <w:szCs w:val="28"/>
              </w:rPr>
              <w:t>gada 19.</w:t>
            </w:r>
            <w:r w:rsidR="009878FC">
              <w:rPr>
                <w:sz w:val="28"/>
                <w:szCs w:val="28"/>
              </w:rPr>
              <w:t> </w:t>
            </w:r>
            <w:r w:rsidRPr="00E31CF0">
              <w:rPr>
                <w:sz w:val="28"/>
                <w:szCs w:val="28"/>
              </w:rPr>
              <w:t xml:space="preserve">jūnija </w:t>
            </w:r>
            <w:r w:rsidRPr="00872FC3">
              <w:rPr>
                <w:sz w:val="28"/>
                <w:szCs w:val="28"/>
              </w:rPr>
              <w:t>noteikumu Nr.</w:t>
            </w:r>
            <w:r w:rsidR="009878FC">
              <w:rPr>
                <w:sz w:val="28"/>
                <w:szCs w:val="28"/>
              </w:rPr>
              <w:t> </w:t>
            </w:r>
            <w:r w:rsidRPr="00872FC3">
              <w:rPr>
                <w:sz w:val="28"/>
                <w:szCs w:val="28"/>
              </w:rPr>
              <w:t>345</w:t>
            </w:r>
            <w:r w:rsidRPr="00872FC3">
              <w:rPr>
                <w:bCs/>
                <w:sz w:val="28"/>
                <w:szCs w:val="28"/>
              </w:rPr>
              <w:t xml:space="preserve"> </w:t>
            </w:r>
            <w:r w:rsidRPr="00E31CF0">
              <w:rPr>
                <w:sz w:val="28"/>
                <w:szCs w:val="28"/>
              </w:rPr>
              <w:t>“Valsts ieņēmumu dienesta maksas pakalpojumu cenrādis”</w:t>
            </w:r>
            <w:r>
              <w:rPr>
                <w:sz w:val="28"/>
                <w:szCs w:val="28"/>
              </w:rPr>
              <w:t xml:space="preserve"> (turpmāk – noteikumi Nr.</w:t>
            </w:r>
            <w:r w:rsidR="009878F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345) pielikums ir papildināts ar jaunām pozīcijām, </w:t>
            </w:r>
            <w:r w:rsidRPr="008E3527">
              <w:rPr>
                <w:sz w:val="28"/>
                <w:szCs w:val="28"/>
              </w:rPr>
              <w:t xml:space="preserve">kas ir aktuālas gadījumos, kad komersants veic degvielas produktu ražošanu, sajaucot dīzeļdegvielu ar bāzes eļļām un dažādām piedevām, bet pirms procedūras veikšanas ir nepieciešams precizēt </w:t>
            </w:r>
            <w:r w:rsidRPr="00A42FEB">
              <w:rPr>
                <w:sz w:val="28"/>
                <w:szCs w:val="28"/>
              </w:rPr>
              <w:t>Eiropas Savienības Kombinētās nomenklatūras kod</w:t>
            </w:r>
            <w:r>
              <w:rPr>
                <w:sz w:val="28"/>
                <w:szCs w:val="28"/>
              </w:rPr>
              <w:t xml:space="preserve">u (turpmāk – </w:t>
            </w:r>
            <w:r w:rsidRPr="008E3527">
              <w:rPr>
                <w:sz w:val="28"/>
                <w:szCs w:val="28"/>
              </w:rPr>
              <w:t>KN</w:t>
            </w:r>
            <w:r w:rsidR="009878FC">
              <w:rPr>
                <w:sz w:val="28"/>
                <w:szCs w:val="28"/>
              </w:rPr>
              <w:t> </w:t>
            </w:r>
            <w:r w:rsidRPr="008E3527">
              <w:rPr>
                <w:sz w:val="28"/>
                <w:szCs w:val="28"/>
              </w:rPr>
              <w:t>kod</w:t>
            </w:r>
            <w:r>
              <w:rPr>
                <w:sz w:val="28"/>
                <w:szCs w:val="28"/>
              </w:rPr>
              <w:t>s)</w:t>
            </w:r>
            <w:r w:rsidRPr="008E3527">
              <w:rPr>
                <w:sz w:val="28"/>
                <w:szCs w:val="28"/>
              </w:rPr>
              <w:t xml:space="preserve">, jo </w:t>
            </w:r>
            <w:r>
              <w:rPr>
                <w:sz w:val="28"/>
                <w:szCs w:val="28"/>
              </w:rPr>
              <w:t xml:space="preserve">VID </w:t>
            </w:r>
            <w:r w:rsidRPr="008E3527">
              <w:rPr>
                <w:sz w:val="28"/>
                <w:szCs w:val="28"/>
              </w:rPr>
              <w:t>Nodokļu nomaksas veicināšanas pārvaldes un Nodokļu un muitas policijas pārvaldes veikto kontroļu rezultātā konstatētas neatbilstības attiecībā uz komersanta deklarēto (paziņoto) galaprodukta KN kodu</w:t>
            </w:r>
            <w:r>
              <w:rPr>
                <w:sz w:val="28"/>
                <w:szCs w:val="28"/>
              </w:rPr>
              <w:t>:</w:t>
            </w:r>
          </w:p>
          <w:p w14:paraId="6F0D59DF" w14:textId="064160B2" w:rsidR="00A42FEB" w:rsidRDefault="00A42FEB" w:rsidP="00A42FEB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sasalšanas punkta noteikšana;</w:t>
            </w:r>
          </w:p>
          <w:p w14:paraId="6E3DC5D5" w14:textId="1BAC8F95" w:rsidR="00A42FEB" w:rsidRPr="00F565E2" w:rsidRDefault="00A42FEB" w:rsidP="00A42FEB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Pr="00B90865">
              <w:rPr>
                <w:sz w:val="28"/>
                <w:szCs w:val="28"/>
              </w:rPr>
              <w:t>riacetīna</w:t>
            </w:r>
            <w:proofErr w:type="spellEnd"/>
            <w:r w:rsidRPr="00B90865">
              <w:rPr>
                <w:sz w:val="28"/>
                <w:szCs w:val="28"/>
              </w:rPr>
              <w:t xml:space="preserve"> klātbūtne (ar </w:t>
            </w:r>
            <w:proofErr w:type="spellStart"/>
            <w:r w:rsidRPr="002671C8">
              <w:rPr>
                <w:i/>
                <w:sz w:val="28"/>
                <w:szCs w:val="28"/>
              </w:rPr>
              <w:t>Eraspec</w:t>
            </w:r>
            <w:proofErr w:type="spellEnd"/>
            <w:r w:rsidRPr="00B9086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14:paraId="0A7AA29F" w14:textId="6C4542E9" w:rsidR="00ED4EBB" w:rsidRDefault="00A42FEB" w:rsidP="00ED4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Vienlaikus, ņ</w:t>
            </w:r>
            <w:r w:rsidR="00ED4EBB">
              <w:rPr>
                <w:sz w:val="28"/>
                <w:szCs w:val="28"/>
              </w:rPr>
              <w:t xml:space="preserve">emot vērā </w:t>
            </w:r>
            <w:r w:rsidR="00ED4EBB" w:rsidRPr="000A70F8">
              <w:rPr>
                <w:sz w:val="28"/>
                <w:szCs w:val="28"/>
              </w:rPr>
              <w:t xml:space="preserve">atsevišķu parametru </w:t>
            </w:r>
            <w:proofErr w:type="spellStart"/>
            <w:r w:rsidR="00ED4EBB" w:rsidRPr="000A70F8">
              <w:rPr>
                <w:sz w:val="28"/>
                <w:szCs w:val="28"/>
              </w:rPr>
              <w:t>neaktualitāti</w:t>
            </w:r>
            <w:proofErr w:type="spellEnd"/>
            <w:r w:rsidR="00ED4EBB" w:rsidRPr="000A70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KN</w:t>
            </w:r>
            <w:r w:rsidR="00ED4EBB">
              <w:rPr>
                <w:sz w:val="28"/>
                <w:szCs w:val="28"/>
              </w:rPr>
              <w:t xml:space="preserve"> </w:t>
            </w:r>
            <w:r w:rsidR="00ED4EBB" w:rsidRPr="000A70F8">
              <w:rPr>
                <w:sz w:val="28"/>
                <w:szCs w:val="28"/>
              </w:rPr>
              <w:t>koda noteikšanā</w:t>
            </w:r>
            <w:r>
              <w:rPr>
                <w:sz w:val="28"/>
                <w:szCs w:val="28"/>
              </w:rPr>
              <w:t xml:space="preserve"> un pieprasījuma kritumu pēc attiecīgiem maksas pakalpojumiem</w:t>
            </w:r>
            <w:r w:rsidR="00ED4EBB" w:rsidRPr="000A70F8">
              <w:rPr>
                <w:sz w:val="28"/>
                <w:szCs w:val="28"/>
              </w:rPr>
              <w:t>, kā arī testēšanas iekārtu uzturēšanas (</w:t>
            </w:r>
            <w:r w:rsidR="00CD5C60">
              <w:rPr>
                <w:sz w:val="28"/>
                <w:szCs w:val="28"/>
              </w:rPr>
              <w:t>piem</w:t>
            </w:r>
            <w:r w:rsidR="009878FC">
              <w:rPr>
                <w:sz w:val="28"/>
                <w:szCs w:val="28"/>
              </w:rPr>
              <w:t>ēram</w:t>
            </w:r>
            <w:r w:rsidR="00CD5C60">
              <w:rPr>
                <w:sz w:val="28"/>
                <w:szCs w:val="28"/>
              </w:rPr>
              <w:t>, remontu</w:t>
            </w:r>
            <w:r w:rsidR="00ED4EBB" w:rsidRPr="000A70F8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izdevumu </w:t>
            </w:r>
            <w:r w:rsidR="00CD5C60">
              <w:rPr>
                <w:sz w:val="28"/>
                <w:szCs w:val="28"/>
              </w:rPr>
              <w:t xml:space="preserve">iespējamo </w:t>
            </w:r>
            <w:r>
              <w:rPr>
                <w:sz w:val="28"/>
                <w:szCs w:val="28"/>
              </w:rPr>
              <w:t>pieaugumu</w:t>
            </w:r>
            <w:r w:rsidR="00CD5C60">
              <w:rPr>
                <w:sz w:val="28"/>
                <w:szCs w:val="28"/>
              </w:rPr>
              <w:t>, no</w:t>
            </w:r>
            <w:r>
              <w:rPr>
                <w:sz w:val="28"/>
                <w:szCs w:val="28"/>
              </w:rPr>
              <w:t xml:space="preserve"> </w:t>
            </w:r>
            <w:r w:rsidR="00ED4EBB">
              <w:rPr>
                <w:sz w:val="28"/>
                <w:szCs w:val="28"/>
              </w:rPr>
              <w:t>noteikumu Nr.</w:t>
            </w:r>
            <w:r w:rsidR="009878FC">
              <w:rPr>
                <w:sz w:val="28"/>
                <w:szCs w:val="28"/>
              </w:rPr>
              <w:t> </w:t>
            </w:r>
            <w:r w:rsidR="00ED4EBB">
              <w:rPr>
                <w:sz w:val="28"/>
                <w:szCs w:val="28"/>
              </w:rPr>
              <w:t xml:space="preserve">345 pielikuma </w:t>
            </w:r>
            <w:r>
              <w:rPr>
                <w:sz w:val="28"/>
                <w:szCs w:val="28"/>
              </w:rPr>
              <w:t>tiek</w:t>
            </w:r>
            <w:r w:rsidR="00ED4EBB">
              <w:rPr>
                <w:sz w:val="28"/>
                <w:szCs w:val="28"/>
              </w:rPr>
              <w:t xml:space="preserve"> svītrotas šādas pozīcijas:</w:t>
            </w:r>
          </w:p>
          <w:p w14:paraId="1DBD59BF" w14:textId="5B4C5D95" w:rsidR="00ED4EBB" w:rsidRDefault="00ED4EBB" w:rsidP="00ED4EBB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</w:t>
            </w:r>
            <w:r w:rsidR="009878F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4.2.20 “</w:t>
            </w:r>
            <w:r w:rsidRPr="000A70F8">
              <w:rPr>
                <w:sz w:val="28"/>
                <w:szCs w:val="28"/>
              </w:rPr>
              <w:t>uzliesmošanas temperatūra līdz 30°C (Abela metode)</w:t>
            </w:r>
            <w:r>
              <w:rPr>
                <w:sz w:val="28"/>
                <w:szCs w:val="28"/>
              </w:rPr>
              <w:t>”;</w:t>
            </w:r>
          </w:p>
          <w:p w14:paraId="0428BFC5" w14:textId="18FB7D45" w:rsidR="00ED4EBB" w:rsidRDefault="00ED4EBB" w:rsidP="00ED4EBB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</w:t>
            </w:r>
            <w:r w:rsidR="009878F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4.2.21 “</w:t>
            </w:r>
            <w:r w:rsidRPr="0055131B">
              <w:rPr>
                <w:sz w:val="28"/>
                <w:szCs w:val="28"/>
              </w:rPr>
              <w:t>uzliesmošanas temperatūra virs 30°C (</w:t>
            </w:r>
            <w:proofErr w:type="spellStart"/>
            <w:r w:rsidRPr="0055131B">
              <w:rPr>
                <w:sz w:val="28"/>
                <w:szCs w:val="28"/>
              </w:rPr>
              <w:t>Penski</w:t>
            </w:r>
            <w:proofErr w:type="spellEnd"/>
            <w:r w:rsidRPr="0055131B">
              <w:rPr>
                <w:sz w:val="28"/>
                <w:szCs w:val="28"/>
              </w:rPr>
              <w:t>-Martena)</w:t>
            </w:r>
            <w:r>
              <w:rPr>
                <w:sz w:val="28"/>
                <w:szCs w:val="28"/>
              </w:rPr>
              <w:t>”;</w:t>
            </w:r>
          </w:p>
          <w:p w14:paraId="474DBA34" w14:textId="00D3B503" w:rsidR="00B60F84" w:rsidRDefault="00ED4EBB" w:rsidP="00ED4EBB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</w:t>
            </w:r>
            <w:r w:rsidR="009878F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4.2.29 “</w:t>
            </w:r>
            <w:r w:rsidRPr="0055131B">
              <w:rPr>
                <w:sz w:val="28"/>
                <w:szCs w:val="28"/>
              </w:rPr>
              <w:t xml:space="preserve">FAMAE saturs (nosaka ar </w:t>
            </w:r>
            <w:proofErr w:type="spellStart"/>
            <w:r w:rsidRPr="0055131B">
              <w:rPr>
                <w:sz w:val="28"/>
                <w:szCs w:val="28"/>
              </w:rPr>
              <w:t>Shimadzu</w:t>
            </w:r>
            <w:proofErr w:type="spellEnd"/>
            <w:r w:rsidRPr="0055131B">
              <w:rPr>
                <w:sz w:val="28"/>
                <w:szCs w:val="28"/>
              </w:rPr>
              <w:t xml:space="preserve"> FTIR 8300)</w:t>
            </w:r>
            <w:r>
              <w:rPr>
                <w:sz w:val="28"/>
                <w:szCs w:val="28"/>
              </w:rPr>
              <w:t>”.</w:t>
            </w:r>
            <w:r w:rsidR="00B60F84">
              <w:rPr>
                <w:sz w:val="28"/>
                <w:szCs w:val="28"/>
              </w:rPr>
              <w:t xml:space="preserve"> </w:t>
            </w:r>
          </w:p>
          <w:p w14:paraId="17C7AE09" w14:textId="77777777" w:rsidR="00ED4EBB" w:rsidRPr="00A42FEB" w:rsidRDefault="00ED4EBB" w:rsidP="003B1A79">
            <w:pPr>
              <w:jc w:val="both"/>
              <w:rPr>
                <w:sz w:val="28"/>
                <w:szCs w:val="28"/>
                <w:u w:val="single"/>
              </w:rPr>
            </w:pPr>
          </w:p>
          <w:p w14:paraId="4E7A4CD5" w14:textId="64AD3025" w:rsidR="003B1A79" w:rsidRPr="00DE6A31" w:rsidRDefault="000C2A7E" w:rsidP="003B1A79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DE6A31">
              <w:rPr>
                <w:b/>
                <w:sz w:val="28"/>
                <w:szCs w:val="28"/>
                <w:u w:val="single"/>
              </w:rPr>
              <w:t xml:space="preserve">VID </w:t>
            </w:r>
            <w:r w:rsidR="003B1A79" w:rsidRPr="00DE6A31">
              <w:rPr>
                <w:b/>
                <w:bCs/>
                <w:sz w:val="28"/>
                <w:szCs w:val="28"/>
                <w:u w:val="single"/>
              </w:rPr>
              <w:t>sniegto maksas pakalpojumu izcenojuma aktualizēšana</w:t>
            </w:r>
          </w:p>
          <w:p w14:paraId="44E2711A" w14:textId="2A93E9DD" w:rsidR="003B1A79" w:rsidRPr="00872FC3" w:rsidRDefault="000A1730" w:rsidP="003B1A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Lai nodrošinātu</w:t>
            </w:r>
            <w:r w:rsidR="003B1A79" w:rsidRPr="00872FC3">
              <w:rPr>
                <w:sz w:val="28"/>
                <w:szCs w:val="28"/>
              </w:rPr>
              <w:t xml:space="preserve"> noteikumu Nr.</w:t>
            </w:r>
            <w:r w:rsidR="009878FC">
              <w:rPr>
                <w:sz w:val="28"/>
                <w:szCs w:val="28"/>
              </w:rPr>
              <w:t> </w:t>
            </w:r>
            <w:r w:rsidR="00070DBE" w:rsidRPr="00872FC3">
              <w:rPr>
                <w:sz w:val="28"/>
                <w:szCs w:val="28"/>
              </w:rPr>
              <w:t>345</w:t>
            </w:r>
            <w:r w:rsidR="003B1A79" w:rsidRPr="00872FC3">
              <w:rPr>
                <w:bCs/>
                <w:sz w:val="28"/>
                <w:szCs w:val="28"/>
              </w:rPr>
              <w:t xml:space="preserve"> </w:t>
            </w:r>
            <w:r w:rsidR="00DD7AD4">
              <w:rPr>
                <w:bCs/>
                <w:sz w:val="28"/>
                <w:szCs w:val="28"/>
              </w:rPr>
              <w:t xml:space="preserve">pielikuma </w:t>
            </w:r>
            <w:r w:rsidR="003B1A79" w:rsidRPr="00872FC3">
              <w:rPr>
                <w:bCs/>
                <w:sz w:val="28"/>
                <w:szCs w:val="28"/>
              </w:rPr>
              <w:t>1.</w:t>
            </w:r>
            <w:r w:rsidR="00070DBE" w:rsidRPr="00872FC3">
              <w:rPr>
                <w:bCs/>
                <w:sz w:val="28"/>
                <w:szCs w:val="28"/>
              </w:rPr>
              <w:t>1</w:t>
            </w:r>
            <w:r w:rsidR="003B1A79" w:rsidRPr="00872FC3">
              <w:rPr>
                <w:bCs/>
                <w:sz w:val="28"/>
                <w:szCs w:val="28"/>
              </w:rPr>
              <w:t>.</w:t>
            </w:r>
            <w:r w:rsidR="00070DBE" w:rsidRPr="00872FC3">
              <w:rPr>
                <w:bCs/>
                <w:sz w:val="28"/>
                <w:szCs w:val="28"/>
              </w:rPr>
              <w:t>–</w:t>
            </w:r>
            <w:r w:rsidR="003B1A79" w:rsidRPr="00872FC3">
              <w:rPr>
                <w:bCs/>
                <w:sz w:val="28"/>
                <w:szCs w:val="28"/>
              </w:rPr>
              <w:t>1.3.</w:t>
            </w:r>
            <w:r w:rsidR="009878FC">
              <w:rPr>
                <w:bCs/>
                <w:sz w:val="28"/>
                <w:szCs w:val="28"/>
              </w:rPr>
              <w:t> </w:t>
            </w:r>
            <w:r w:rsidR="003B1A79" w:rsidRPr="00872FC3">
              <w:rPr>
                <w:bCs/>
                <w:sz w:val="28"/>
                <w:szCs w:val="28"/>
              </w:rPr>
              <w:t xml:space="preserve">apakšpunktā </w:t>
            </w:r>
            <w:r w:rsidRPr="00872FC3">
              <w:rPr>
                <w:bCs/>
                <w:sz w:val="28"/>
                <w:szCs w:val="28"/>
              </w:rPr>
              <w:t>minēt</w:t>
            </w:r>
            <w:r>
              <w:rPr>
                <w:bCs/>
                <w:sz w:val="28"/>
                <w:szCs w:val="28"/>
              </w:rPr>
              <w:t>o</w:t>
            </w:r>
            <w:r w:rsidRPr="00872FC3">
              <w:rPr>
                <w:bCs/>
                <w:sz w:val="28"/>
                <w:szCs w:val="28"/>
              </w:rPr>
              <w:t xml:space="preserve"> plomb</w:t>
            </w:r>
            <w:r>
              <w:rPr>
                <w:bCs/>
                <w:sz w:val="28"/>
                <w:szCs w:val="28"/>
              </w:rPr>
              <w:t>u</w:t>
            </w:r>
            <w:r w:rsidRPr="00872FC3">
              <w:rPr>
                <w:bCs/>
                <w:sz w:val="28"/>
                <w:szCs w:val="28"/>
              </w:rPr>
              <w:t xml:space="preserve"> </w:t>
            </w:r>
            <w:r w:rsidR="003B1A79" w:rsidRPr="00872FC3">
              <w:rPr>
                <w:bCs/>
                <w:sz w:val="28"/>
                <w:szCs w:val="28"/>
              </w:rPr>
              <w:t>nodokļu un citu maksājumu reģistrēšanas elektroniskajām ierīcēm un iekārtām</w:t>
            </w:r>
            <w:r>
              <w:rPr>
                <w:bCs/>
                <w:sz w:val="28"/>
                <w:szCs w:val="28"/>
              </w:rPr>
              <w:t xml:space="preserve"> pieejamību, VID organizētajā iepirkumā Nr.</w:t>
            </w:r>
            <w:r w:rsidR="009878FC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FM VID 2019/250 ir izvēlēts piegādātājs, kura piedāvāt</w:t>
            </w:r>
            <w:r w:rsidR="00082B23">
              <w:rPr>
                <w:bCs/>
                <w:sz w:val="28"/>
                <w:szCs w:val="28"/>
              </w:rPr>
              <w:t>o</w:t>
            </w:r>
            <w:r>
              <w:rPr>
                <w:bCs/>
                <w:sz w:val="28"/>
                <w:szCs w:val="28"/>
              </w:rPr>
              <w:t xml:space="preserve"> plombu cena</w:t>
            </w:r>
            <w:r w:rsidR="009611A5">
              <w:rPr>
                <w:bCs/>
                <w:sz w:val="28"/>
                <w:szCs w:val="28"/>
              </w:rPr>
              <w:t>s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9611A5">
              <w:rPr>
                <w:bCs/>
                <w:sz w:val="28"/>
                <w:szCs w:val="28"/>
              </w:rPr>
              <w:t xml:space="preserve">atšķiras no </w:t>
            </w:r>
            <w:r>
              <w:rPr>
                <w:bCs/>
                <w:sz w:val="28"/>
                <w:szCs w:val="28"/>
              </w:rPr>
              <w:t>iepriekšējā piegādes līgumā noteikt</w:t>
            </w:r>
            <w:r w:rsidR="009611A5">
              <w:rPr>
                <w:bCs/>
                <w:sz w:val="28"/>
                <w:szCs w:val="28"/>
              </w:rPr>
              <w:t>ajām</w:t>
            </w:r>
            <w:r w:rsidR="00CD5C60">
              <w:rPr>
                <w:bCs/>
                <w:sz w:val="28"/>
                <w:szCs w:val="28"/>
              </w:rPr>
              <w:t xml:space="preserve">, </w:t>
            </w:r>
            <w:r w:rsidR="009878FC">
              <w:rPr>
                <w:bCs/>
                <w:sz w:val="28"/>
                <w:szCs w:val="28"/>
              </w:rPr>
              <w:t>tādējādi</w:t>
            </w:r>
            <w:r w:rsidR="00CD5C60">
              <w:rPr>
                <w:bCs/>
                <w:sz w:val="28"/>
                <w:szCs w:val="28"/>
              </w:rPr>
              <w:t xml:space="preserve"> ir nepieciešams precizēt plombu pārdošanas cenas.</w:t>
            </w:r>
          </w:p>
          <w:p w14:paraId="34C59236" w14:textId="01E35D82" w:rsidR="003B1A79" w:rsidRPr="008E3527" w:rsidRDefault="00CD5C60" w:rsidP="009665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Vienlaikus, ņ</w:t>
            </w:r>
            <w:r w:rsidR="00DF15CA" w:rsidRPr="00872FC3">
              <w:rPr>
                <w:sz w:val="28"/>
                <w:szCs w:val="28"/>
              </w:rPr>
              <w:t xml:space="preserve">emot vērā </w:t>
            </w:r>
            <w:r>
              <w:rPr>
                <w:sz w:val="28"/>
                <w:szCs w:val="28"/>
              </w:rPr>
              <w:t xml:space="preserve">maksas pakalpojumu sniegšanā </w:t>
            </w:r>
            <w:r w:rsidR="003E246A">
              <w:rPr>
                <w:sz w:val="28"/>
                <w:szCs w:val="28"/>
              </w:rPr>
              <w:t>nepieciešamo</w:t>
            </w:r>
            <w:r>
              <w:rPr>
                <w:sz w:val="28"/>
                <w:szCs w:val="28"/>
              </w:rPr>
              <w:t xml:space="preserve"> materiālu</w:t>
            </w:r>
            <w:r w:rsidR="003E246A">
              <w:rPr>
                <w:sz w:val="28"/>
                <w:szCs w:val="28"/>
              </w:rPr>
              <w:t xml:space="preserve"> izmaksu, </w:t>
            </w:r>
            <w:r w:rsidR="003E246A" w:rsidRPr="00872FC3">
              <w:rPr>
                <w:sz w:val="28"/>
                <w:szCs w:val="28"/>
              </w:rPr>
              <w:t xml:space="preserve">iekārtu uzturēšanas </w:t>
            </w:r>
            <w:r w:rsidR="003E246A">
              <w:rPr>
                <w:sz w:val="28"/>
                <w:szCs w:val="28"/>
              </w:rPr>
              <w:t xml:space="preserve">izmaksu un citu resursu izmaksu izmaiņas saistībā ar noslēgtajiem līgumiem, </w:t>
            </w:r>
            <w:r w:rsidR="00B64253" w:rsidRPr="00872FC3">
              <w:rPr>
                <w:sz w:val="28"/>
                <w:szCs w:val="28"/>
              </w:rPr>
              <w:t>n</w:t>
            </w:r>
            <w:r w:rsidR="005F385D" w:rsidRPr="00872FC3">
              <w:rPr>
                <w:sz w:val="28"/>
                <w:szCs w:val="28"/>
              </w:rPr>
              <w:t xml:space="preserve">oteikumu </w:t>
            </w:r>
            <w:r w:rsidR="008317D6" w:rsidRPr="00872FC3">
              <w:rPr>
                <w:sz w:val="28"/>
                <w:szCs w:val="28"/>
              </w:rPr>
              <w:t>projekt</w:t>
            </w:r>
            <w:r w:rsidR="008317D6">
              <w:rPr>
                <w:sz w:val="28"/>
                <w:szCs w:val="28"/>
              </w:rPr>
              <w:t xml:space="preserve">ā tiek precizētas visu aktuālo VID </w:t>
            </w:r>
            <w:r w:rsidR="005F385D" w:rsidRPr="00872FC3">
              <w:rPr>
                <w:sz w:val="28"/>
                <w:szCs w:val="28"/>
              </w:rPr>
              <w:t>maksas pakalpojum</w:t>
            </w:r>
            <w:r w:rsidR="008E3527">
              <w:rPr>
                <w:sz w:val="28"/>
                <w:szCs w:val="28"/>
              </w:rPr>
              <w:t>u</w:t>
            </w:r>
            <w:r w:rsidR="003B1A79" w:rsidRPr="00872FC3">
              <w:rPr>
                <w:sz w:val="28"/>
                <w:szCs w:val="28"/>
              </w:rPr>
              <w:t xml:space="preserve"> </w:t>
            </w:r>
            <w:r w:rsidR="008E3527" w:rsidRPr="00872FC3">
              <w:rPr>
                <w:sz w:val="28"/>
                <w:szCs w:val="28"/>
              </w:rPr>
              <w:t>cenas</w:t>
            </w:r>
            <w:r w:rsidR="008E3527">
              <w:rPr>
                <w:sz w:val="28"/>
                <w:szCs w:val="28"/>
              </w:rPr>
              <w:t>.</w:t>
            </w:r>
          </w:p>
        </w:tc>
      </w:tr>
      <w:tr w:rsidR="003B1A79" w:rsidRPr="00300104" w14:paraId="7B8CE14F" w14:textId="77777777" w:rsidTr="003B1A79">
        <w:tc>
          <w:tcPr>
            <w:tcW w:w="300" w:type="pct"/>
            <w:hideMark/>
          </w:tcPr>
          <w:p w14:paraId="482D0062" w14:textId="2E1B776D" w:rsidR="003B1A79" w:rsidRPr="00DE6A31" w:rsidRDefault="003B1A79" w:rsidP="003B1A79">
            <w:pPr>
              <w:spacing w:before="100" w:beforeAutospacing="1" w:after="100" w:afterAutospacing="1" w:line="360" w:lineRule="auto"/>
              <w:ind w:firstLine="300"/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700" w:type="pct"/>
            <w:hideMark/>
          </w:tcPr>
          <w:p w14:paraId="01747D4E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Projekta izstrādē iesaistītās institūcijas un publiskas personas kapitālsabiedrības</w:t>
            </w:r>
          </w:p>
        </w:tc>
        <w:tc>
          <w:tcPr>
            <w:tcW w:w="3000" w:type="pct"/>
            <w:hideMark/>
          </w:tcPr>
          <w:p w14:paraId="6CF7DAAC" w14:textId="77777777" w:rsidR="003B1A79" w:rsidRPr="00DE6A31" w:rsidRDefault="0015287F" w:rsidP="000C2A7E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F</w:t>
            </w:r>
            <w:r w:rsidR="00F92A06" w:rsidRPr="00DE6A31">
              <w:rPr>
                <w:sz w:val="28"/>
                <w:szCs w:val="28"/>
              </w:rPr>
              <w:t xml:space="preserve">inanšu ministrija, </w:t>
            </w:r>
            <w:r w:rsidR="000C2A7E" w:rsidRPr="00DE6A31">
              <w:rPr>
                <w:sz w:val="28"/>
                <w:szCs w:val="28"/>
              </w:rPr>
              <w:t>VID</w:t>
            </w:r>
          </w:p>
        </w:tc>
      </w:tr>
      <w:tr w:rsidR="003B1A79" w:rsidRPr="00300104" w14:paraId="7DEEA494" w14:textId="77777777" w:rsidTr="003B1A79">
        <w:tc>
          <w:tcPr>
            <w:tcW w:w="300" w:type="pct"/>
            <w:hideMark/>
          </w:tcPr>
          <w:p w14:paraId="66AC7D92" w14:textId="77777777" w:rsidR="003B1A79" w:rsidRPr="00DE6A31" w:rsidRDefault="003B1A79" w:rsidP="003B1A79">
            <w:pPr>
              <w:spacing w:before="100" w:beforeAutospacing="1" w:after="100" w:afterAutospacing="1" w:line="360" w:lineRule="auto"/>
              <w:ind w:firstLine="300"/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4.</w:t>
            </w:r>
          </w:p>
        </w:tc>
        <w:tc>
          <w:tcPr>
            <w:tcW w:w="1700" w:type="pct"/>
            <w:hideMark/>
          </w:tcPr>
          <w:p w14:paraId="025A3D35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Cita informācija</w:t>
            </w:r>
          </w:p>
        </w:tc>
        <w:tc>
          <w:tcPr>
            <w:tcW w:w="3000" w:type="pct"/>
            <w:hideMark/>
          </w:tcPr>
          <w:p w14:paraId="5AEAD4B2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Nav</w:t>
            </w:r>
          </w:p>
        </w:tc>
      </w:tr>
    </w:tbl>
    <w:p w14:paraId="18C9F37C" w14:textId="77777777" w:rsidR="00683849" w:rsidRPr="00DE6A31" w:rsidRDefault="00683849" w:rsidP="003B1A79">
      <w:pPr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6"/>
        <w:gridCol w:w="3200"/>
        <w:gridCol w:w="5703"/>
      </w:tblGrid>
      <w:tr w:rsidR="003B1A79" w:rsidRPr="00300104" w14:paraId="77DCA590" w14:textId="77777777" w:rsidTr="003B1A79">
        <w:tc>
          <w:tcPr>
            <w:tcW w:w="0" w:type="auto"/>
            <w:gridSpan w:val="3"/>
            <w:hideMark/>
          </w:tcPr>
          <w:p w14:paraId="168E9AFD" w14:textId="77777777" w:rsidR="003B1A79" w:rsidRPr="00DE6A31" w:rsidRDefault="003B1A79" w:rsidP="003B1A79">
            <w:pPr>
              <w:spacing w:line="360" w:lineRule="auto"/>
              <w:ind w:firstLine="301"/>
              <w:jc w:val="center"/>
              <w:rPr>
                <w:b/>
                <w:bCs/>
                <w:sz w:val="28"/>
                <w:szCs w:val="28"/>
              </w:rPr>
            </w:pPr>
            <w:r w:rsidRPr="00DE6A31">
              <w:rPr>
                <w:b/>
                <w:bCs/>
                <w:sz w:val="28"/>
                <w:szCs w:val="28"/>
              </w:rPr>
              <w:t>II. Tiesību akta projekta ietekme uz sabiedrību, tautsaimniecības attīstību un administratīvo slogu</w:t>
            </w:r>
          </w:p>
        </w:tc>
      </w:tr>
      <w:tr w:rsidR="003B1A79" w:rsidRPr="00300104" w14:paraId="548C555F" w14:textId="77777777" w:rsidTr="007C0511">
        <w:tc>
          <w:tcPr>
            <w:tcW w:w="300" w:type="pct"/>
            <w:hideMark/>
          </w:tcPr>
          <w:p w14:paraId="66C8745B" w14:textId="77777777" w:rsidR="003B1A79" w:rsidRPr="00DE6A31" w:rsidRDefault="003B1A79" w:rsidP="003B1A79">
            <w:pPr>
              <w:spacing w:before="100" w:beforeAutospacing="1" w:after="100" w:afterAutospacing="1" w:line="360" w:lineRule="auto"/>
              <w:ind w:firstLine="300"/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1.</w:t>
            </w:r>
          </w:p>
        </w:tc>
        <w:tc>
          <w:tcPr>
            <w:tcW w:w="1700" w:type="pct"/>
            <w:hideMark/>
          </w:tcPr>
          <w:p w14:paraId="3324A864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 xml:space="preserve">Sabiedrības </w:t>
            </w:r>
            <w:proofErr w:type="spellStart"/>
            <w:r w:rsidRPr="00DE6A31">
              <w:rPr>
                <w:sz w:val="28"/>
                <w:szCs w:val="28"/>
              </w:rPr>
              <w:t>mērķgrupas</w:t>
            </w:r>
            <w:proofErr w:type="spellEnd"/>
            <w:r w:rsidRPr="00DE6A31">
              <w:rPr>
                <w:sz w:val="28"/>
                <w:szCs w:val="28"/>
              </w:rPr>
              <w:t>, kuras tiesiskais regulējums ietekmē vai varētu ietekmēt</w:t>
            </w:r>
          </w:p>
        </w:tc>
        <w:tc>
          <w:tcPr>
            <w:tcW w:w="3000" w:type="pct"/>
            <w:hideMark/>
          </w:tcPr>
          <w:p w14:paraId="54ABA541" w14:textId="77777777" w:rsidR="007A095F" w:rsidRPr="00872FC3" w:rsidRDefault="003B1A79" w:rsidP="007C0511">
            <w:pPr>
              <w:ind w:right="141"/>
              <w:jc w:val="both"/>
              <w:rPr>
                <w:sz w:val="28"/>
                <w:szCs w:val="28"/>
              </w:rPr>
            </w:pPr>
            <w:r w:rsidRPr="00872FC3">
              <w:rPr>
                <w:sz w:val="28"/>
                <w:szCs w:val="28"/>
              </w:rPr>
              <w:t>Noteikumu projekta tiesiskais regulējums attiecināms uz:</w:t>
            </w:r>
          </w:p>
          <w:p w14:paraId="205CDC4C" w14:textId="05B5D488" w:rsidR="007C0511" w:rsidRPr="00872FC3" w:rsidRDefault="003B1A79" w:rsidP="007A095F">
            <w:pPr>
              <w:pStyle w:val="ListParagraph"/>
              <w:numPr>
                <w:ilvl w:val="0"/>
                <w:numId w:val="23"/>
              </w:numPr>
              <w:ind w:left="361" w:right="141" w:hanging="361"/>
              <w:jc w:val="both"/>
              <w:rPr>
                <w:sz w:val="28"/>
                <w:szCs w:val="28"/>
              </w:rPr>
            </w:pPr>
            <w:r w:rsidRPr="00872FC3">
              <w:rPr>
                <w:sz w:val="28"/>
                <w:szCs w:val="28"/>
              </w:rPr>
              <w:t>personām, kuras nodokļu un citu maksājumu reģistrēšanai lieto kases aparātu, hibrīda kases aparātu, kases sistēmu, specializēto ierīci vai iekārtu, pamatojoties uz Ministru kabineta 2014.</w:t>
            </w:r>
            <w:r w:rsidR="009878FC">
              <w:rPr>
                <w:sz w:val="28"/>
                <w:szCs w:val="28"/>
              </w:rPr>
              <w:t> </w:t>
            </w:r>
            <w:r w:rsidRPr="00872FC3">
              <w:rPr>
                <w:sz w:val="28"/>
                <w:szCs w:val="28"/>
              </w:rPr>
              <w:t>gada 11.</w:t>
            </w:r>
            <w:r w:rsidR="009878FC">
              <w:rPr>
                <w:sz w:val="28"/>
                <w:szCs w:val="28"/>
              </w:rPr>
              <w:t> </w:t>
            </w:r>
            <w:r w:rsidRPr="00872FC3">
              <w:rPr>
                <w:sz w:val="28"/>
                <w:szCs w:val="28"/>
              </w:rPr>
              <w:t>februāra noteikumiem Nr.</w:t>
            </w:r>
            <w:r w:rsidR="009878FC">
              <w:rPr>
                <w:sz w:val="28"/>
                <w:szCs w:val="28"/>
              </w:rPr>
              <w:t> </w:t>
            </w:r>
            <w:r w:rsidRPr="00872FC3">
              <w:rPr>
                <w:sz w:val="28"/>
                <w:szCs w:val="28"/>
              </w:rPr>
              <w:t>96 “Nodokļu un citu maksājumu reģistrēšanas elektronisko ierīču un iekārtu lietošanas</w:t>
            </w:r>
            <w:r w:rsidR="007A095F" w:rsidRPr="00872FC3">
              <w:rPr>
                <w:sz w:val="28"/>
                <w:szCs w:val="28"/>
              </w:rPr>
              <w:t xml:space="preserve"> kārtība”;</w:t>
            </w:r>
          </w:p>
          <w:p w14:paraId="257C0C87" w14:textId="2CA57A32" w:rsidR="003B1A79" w:rsidRPr="00872FC3" w:rsidRDefault="003B1A79" w:rsidP="007C0511">
            <w:pPr>
              <w:pStyle w:val="ListParagraph"/>
              <w:numPr>
                <w:ilvl w:val="0"/>
                <w:numId w:val="23"/>
              </w:numPr>
              <w:ind w:left="361" w:right="141" w:hanging="361"/>
              <w:jc w:val="both"/>
              <w:rPr>
                <w:sz w:val="28"/>
                <w:szCs w:val="28"/>
              </w:rPr>
            </w:pPr>
            <w:r w:rsidRPr="00872FC3">
              <w:rPr>
                <w:sz w:val="28"/>
                <w:szCs w:val="28"/>
              </w:rPr>
              <w:t>kases aparātu, hibrīda kases aparātu, kases sistēmu, specializēto ierīci vai iekār</w:t>
            </w:r>
            <w:r w:rsidR="007A095F" w:rsidRPr="00872FC3">
              <w:rPr>
                <w:sz w:val="28"/>
                <w:szCs w:val="28"/>
              </w:rPr>
              <w:t>tu apkalpojošajiem dienestiem;</w:t>
            </w:r>
          </w:p>
          <w:p w14:paraId="3B1A707F" w14:textId="226A8977" w:rsidR="003B1A79" w:rsidRPr="00872FC3" w:rsidRDefault="003B1A79" w:rsidP="007C0511">
            <w:pPr>
              <w:pStyle w:val="ListParagraph"/>
              <w:numPr>
                <w:ilvl w:val="0"/>
                <w:numId w:val="23"/>
              </w:numPr>
              <w:ind w:left="361" w:right="141" w:hanging="361"/>
              <w:jc w:val="both"/>
              <w:rPr>
                <w:sz w:val="28"/>
                <w:szCs w:val="28"/>
              </w:rPr>
            </w:pPr>
            <w:r w:rsidRPr="00872FC3">
              <w:rPr>
                <w:sz w:val="28"/>
                <w:szCs w:val="28"/>
              </w:rPr>
              <w:t>komersantiem, kuri veic muitošanas darbības</w:t>
            </w:r>
            <w:r w:rsidR="00157E4B" w:rsidRPr="00872FC3">
              <w:rPr>
                <w:sz w:val="28"/>
                <w:szCs w:val="28"/>
              </w:rPr>
              <w:t>;</w:t>
            </w:r>
          </w:p>
          <w:p w14:paraId="22F9645F" w14:textId="040D7C59" w:rsidR="007A5674" w:rsidRPr="00872FC3" w:rsidRDefault="00157E4B" w:rsidP="000A1730">
            <w:pPr>
              <w:pStyle w:val="ListParagraph"/>
              <w:numPr>
                <w:ilvl w:val="0"/>
                <w:numId w:val="23"/>
              </w:numPr>
              <w:ind w:left="361" w:right="141" w:hanging="361"/>
              <w:jc w:val="both"/>
              <w:rPr>
                <w:sz w:val="28"/>
                <w:szCs w:val="28"/>
              </w:rPr>
            </w:pPr>
            <w:r w:rsidRPr="00872FC3">
              <w:rPr>
                <w:sz w:val="28"/>
                <w:szCs w:val="28"/>
              </w:rPr>
              <w:t xml:space="preserve">komersantiem, kuri izmanto muitas </w:t>
            </w:r>
            <w:r w:rsidR="00F16765" w:rsidRPr="00872FC3">
              <w:rPr>
                <w:sz w:val="28"/>
                <w:szCs w:val="28"/>
              </w:rPr>
              <w:t>labor</w:t>
            </w:r>
            <w:r w:rsidR="00F16765">
              <w:rPr>
                <w:sz w:val="28"/>
                <w:szCs w:val="28"/>
              </w:rPr>
              <w:t>a</w:t>
            </w:r>
            <w:r w:rsidR="00F16765" w:rsidRPr="00872FC3">
              <w:rPr>
                <w:sz w:val="28"/>
                <w:szCs w:val="28"/>
              </w:rPr>
              <w:t xml:space="preserve">torijas </w:t>
            </w:r>
            <w:r w:rsidRPr="00872FC3">
              <w:rPr>
                <w:sz w:val="28"/>
                <w:szCs w:val="28"/>
              </w:rPr>
              <w:t>pakalpojumus</w:t>
            </w:r>
            <w:r w:rsidR="00C32759" w:rsidRPr="00872FC3">
              <w:rPr>
                <w:sz w:val="28"/>
                <w:szCs w:val="28"/>
              </w:rPr>
              <w:t>.</w:t>
            </w:r>
          </w:p>
        </w:tc>
      </w:tr>
      <w:tr w:rsidR="003B1A79" w:rsidRPr="00300104" w14:paraId="4E15C8DB" w14:textId="77777777" w:rsidTr="003B1A79">
        <w:tc>
          <w:tcPr>
            <w:tcW w:w="300" w:type="pct"/>
            <w:hideMark/>
          </w:tcPr>
          <w:p w14:paraId="26B3F495" w14:textId="005A8C23" w:rsidR="003B1A79" w:rsidRPr="00DE6A31" w:rsidRDefault="003B1A79" w:rsidP="003B1A79">
            <w:pPr>
              <w:spacing w:before="100" w:beforeAutospacing="1" w:after="100" w:afterAutospacing="1" w:line="360" w:lineRule="auto"/>
              <w:ind w:firstLine="300"/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2.</w:t>
            </w:r>
          </w:p>
        </w:tc>
        <w:tc>
          <w:tcPr>
            <w:tcW w:w="1700" w:type="pct"/>
            <w:hideMark/>
          </w:tcPr>
          <w:p w14:paraId="60BAAE27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Tiesiskā regulējuma ietekme uz tautsaimniecību un administratīvo slogu</w:t>
            </w:r>
          </w:p>
        </w:tc>
        <w:tc>
          <w:tcPr>
            <w:tcW w:w="3000" w:type="pct"/>
            <w:hideMark/>
          </w:tcPr>
          <w:p w14:paraId="74B7E695" w14:textId="77777777" w:rsidR="003B1A79" w:rsidRPr="00872FC3" w:rsidRDefault="003B1A79" w:rsidP="003B1A79">
            <w:pPr>
              <w:rPr>
                <w:sz w:val="28"/>
                <w:szCs w:val="28"/>
              </w:rPr>
            </w:pPr>
            <w:r w:rsidRPr="00872FC3">
              <w:rPr>
                <w:sz w:val="28"/>
                <w:szCs w:val="28"/>
              </w:rPr>
              <w:t>Sabiedrības grupām un institūcijām noteikumu projekta tiesiskais regulējums nemaina tiesības un pienākumus.</w:t>
            </w:r>
          </w:p>
        </w:tc>
      </w:tr>
      <w:tr w:rsidR="003B1A79" w:rsidRPr="00300104" w14:paraId="51108FD6" w14:textId="77777777" w:rsidTr="003B1A79">
        <w:tc>
          <w:tcPr>
            <w:tcW w:w="300" w:type="pct"/>
            <w:hideMark/>
          </w:tcPr>
          <w:p w14:paraId="34C75499" w14:textId="77777777" w:rsidR="003B1A79" w:rsidRPr="00DE6A31" w:rsidRDefault="003B1A79" w:rsidP="003B1A79">
            <w:pPr>
              <w:spacing w:before="100" w:beforeAutospacing="1" w:after="100" w:afterAutospacing="1" w:line="360" w:lineRule="auto"/>
              <w:ind w:firstLine="300"/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3.</w:t>
            </w:r>
          </w:p>
        </w:tc>
        <w:tc>
          <w:tcPr>
            <w:tcW w:w="1700" w:type="pct"/>
            <w:hideMark/>
          </w:tcPr>
          <w:p w14:paraId="5E053FA8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Administratīvo izmaksu monetārs novērtējums</w:t>
            </w:r>
          </w:p>
        </w:tc>
        <w:tc>
          <w:tcPr>
            <w:tcW w:w="3000" w:type="pct"/>
            <w:hideMark/>
          </w:tcPr>
          <w:p w14:paraId="0A67F437" w14:textId="77777777" w:rsidR="003B1A79" w:rsidRPr="00872FC3" w:rsidRDefault="003B1A79" w:rsidP="003B1A79">
            <w:pPr>
              <w:rPr>
                <w:sz w:val="28"/>
                <w:szCs w:val="28"/>
              </w:rPr>
            </w:pPr>
            <w:r w:rsidRPr="00872FC3">
              <w:rPr>
                <w:sz w:val="28"/>
                <w:szCs w:val="28"/>
              </w:rPr>
              <w:t>Noteikumu projekts šo jomu neskar.</w:t>
            </w:r>
          </w:p>
        </w:tc>
      </w:tr>
      <w:tr w:rsidR="003B1A79" w:rsidRPr="00300104" w14:paraId="6B014D8A" w14:textId="77777777" w:rsidTr="00542D57">
        <w:trPr>
          <w:trHeight w:val="70"/>
        </w:trPr>
        <w:tc>
          <w:tcPr>
            <w:tcW w:w="300" w:type="pct"/>
            <w:hideMark/>
          </w:tcPr>
          <w:p w14:paraId="036AE4E1" w14:textId="77777777" w:rsidR="003B1A79" w:rsidRPr="00DE6A31" w:rsidRDefault="003B1A79" w:rsidP="003B1A79">
            <w:pPr>
              <w:spacing w:before="100" w:beforeAutospacing="1" w:after="100" w:afterAutospacing="1" w:line="360" w:lineRule="auto"/>
              <w:ind w:firstLine="300"/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4.</w:t>
            </w:r>
          </w:p>
        </w:tc>
        <w:tc>
          <w:tcPr>
            <w:tcW w:w="1700" w:type="pct"/>
            <w:hideMark/>
          </w:tcPr>
          <w:p w14:paraId="36DB40F0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Atbilstības izmaksu monetārs novērtējums</w:t>
            </w:r>
          </w:p>
        </w:tc>
        <w:tc>
          <w:tcPr>
            <w:tcW w:w="3000" w:type="pct"/>
            <w:hideMark/>
          </w:tcPr>
          <w:p w14:paraId="14570FAE" w14:textId="77777777" w:rsidR="003B1A79" w:rsidRPr="00872FC3" w:rsidRDefault="003B1A79" w:rsidP="003B1A79">
            <w:pPr>
              <w:rPr>
                <w:sz w:val="28"/>
                <w:szCs w:val="28"/>
              </w:rPr>
            </w:pPr>
            <w:r w:rsidRPr="00872FC3">
              <w:rPr>
                <w:sz w:val="28"/>
                <w:szCs w:val="28"/>
              </w:rPr>
              <w:t>Noteikumu projekts šo jomu neskar.</w:t>
            </w:r>
          </w:p>
        </w:tc>
      </w:tr>
      <w:tr w:rsidR="003B1A79" w:rsidRPr="00300104" w14:paraId="534F920F" w14:textId="77777777" w:rsidTr="003B1A79">
        <w:tc>
          <w:tcPr>
            <w:tcW w:w="300" w:type="pct"/>
            <w:hideMark/>
          </w:tcPr>
          <w:p w14:paraId="2C08A457" w14:textId="77777777" w:rsidR="003B1A79" w:rsidRPr="00DE6A31" w:rsidRDefault="003B1A79" w:rsidP="003B1A79">
            <w:pPr>
              <w:spacing w:before="100" w:beforeAutospacing="1" w:after="100" w:afterAutospacing="1" w:line="360" w:lineRule="auto"/>
              <w:ind w:firstLine="300"/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5.</w:t>
            </w:r>
          </w:p>
        </w:tc>
        <w:tc>
          <w:tcPr>
            <w:tcW w:w="1700" w:type="pct"/>
            <w:hideMark/>
          </w:tcPr>
          <w:p w14:paraId="62956529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Cita informācija</w:t>
            </w:r>
          </w:p>
        </w:tc>
        <w:tc>
          <w:tcPr>
            <w:tcW w:w="3000" w:type="pct"/>
            <w:hideMark/>
          </w:tcPr>
          <w:p w14:paraId="1856C1A5" w14:textId="2C70D7AA" w:rsidR="003B1A79" w:rsidRPr="00872FC3" w:rsidRDefault="003B1A79" w:rsidP="003B1A79">
            <w:pPr>
              <w:rPr>
                <w:sz w:val="28"/>
                <w:szCs w:val="28"/>
              </w:rPr>
            </w:pPr>
            <w:r w:rsidRPr="00872FC3">
              <w:rPr>
                <w:sz w:val="28"/>
                <w:szCs w:val="28"/>
              </w:rPr>
              <w:t>Nav</w:t>
            </w:r>
          </w:p>
        </w:tc>
      </w:tr>
    </w:tbl>
    <w:p w14:paraId="2EA32F5A" w14:textId="0FEBDBCA" w:rsidR="003B1A79" w:rsidRPr="00DE6A31" w:rsidRDefault="003B1A79" w:rsidP="003B1A79">
      <w:pPr>
        <w:rPr>
          <w:sz w:val="28"/>
          <w:szCs w:val="28"/>
        </w:rPr>
      </w:pPr>
    </w:p>
    <w:p w14:paraId="4BB28047" w14:textId="77777777" w:rsidR="00AB0CC2" w:rsidRPr="00DE6A31" w:rsidRDefault="00AB0CC2" w:rsidP="003B1A79">
      <w:pPr>
        <w:rPr>
          <w:sz w:val="28"/>
          <w:szCs w:val="28"/>
        </w:rPr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061"/>
        <w:gridCol w:w="1014"/>
        <w:gridCol w:w="1164"/>
        <w:gridCol w:w="1035"/>
        <w:gridCol w:w="1257"/>
        <w:gridCol w:w="1268"/>
      </w:tblGrid>
      <w:tr w:rsidR="003B1A79" w:rsidRPr="00300104" w14:paraId="53EB2CB1" w14:textId="77777777" w:rsidTr="00AB0CC2">
        <w:trPr>
          <w:jc w:val="center"/>
        </w:trPr>
        <w:tc>
          <w:tcPr>
            <w:tcW w:w="9629" w:type="dxa"/>
            <w:gridSpan w:val="8"/>
            <w:tcBorders>
              <w:bottom w:val="single" w:sz="4" w:space="0" w:color="auto"/>
            </w:tcBorders>
            <w:hideMark/>
          </w:tcPr>
          <w:p w14:paraId="05777C60" w14:textId="77777777" w:rsidR="003B1A79" w:rsidRPr="00DE6A31" w:rsidRDefault="003B1A79" w:rsidP="003B1A79">
            <w:pPr>
              <w:spacing w:before="100" w:beforeAutospacing="1" w:after="100" w:afterAutospacing="1" w:line="360" w:lineRule="auto"/>
              <w:ind w:firstLine="300"/>
              <w:jc w:val="center"/>
              <w:rPr>
                <w:b/>
                <w:bCs/>
                <w:sz w:val="28"/>
                <w:szCs w:val="28"/>
              </w:rPr>
            </w:pPr>
            <w:r w:rsidRPr="00DE6A31">
              <w:rPr>
                <w:b/>
                <w:bCs/>
                <w:sz w:val="28"/>
                <w:szCs w:val="28"/>
              </w:rPr>
              <w:lastRenderedPageBreak/>
              <w:t>III. Tiesību akta projekta ietekme uz valsts budžetu un pašvaldību budžetiem</w:t>
            </w:r>
          </w:p>
        </w:tc>
      </w:tr>
      <w:tr w:rsidR="003B1A79" w:rsidRPr="00300104" w14:paraId="40C98D00" w14:textId="77777777" w:rsidTr="003E246A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B77C" w14:textId="77777777" w:rsidR="003B1A79" w:rsidRPr="00DE6A31" w:rsidRDefault="003B1A79" w:rsidP="003E246A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Rādītāji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D2A8" w14:textId="5963E69F" w:rsidR="003B1A79" w:rsidRPr="00DE6A31" w:rsidRDefault="003B1A79" w:rsidP="003E246A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20</w:t>
            </w:r>
            <w:r w:rsidR="005A1532">
              <w:rPr>
                <w:sz w:val="28"/>
                <w:szCs w:val="28"/>
              </w:rPr>
              <w:t>21</w:t>
            </w: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633B" w14:textId="77777777" w:rsidR="003B1A79" w:rsidRPr="00DE6A31" w:rsidRDefault="003B1A79" w:rsidP="003B1A79">
            <w:pPr>
              <w:spacing w:before="100" w:beforeAutospacing="1" w:after="100" w:afterAutospacing="1" w:line="360" w:lineRule="auto"/>
              <w:ind w:firstLine="300"/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Turpmākie trīs gadi (</w:t>
            </w:r>
            <w:r w:rsidRPr="00DE6A31">
              <w:rPr>
                <w:i/>
                <w:iCs/>
                <w:sz w:val="28"/>
                <w:szCs w:val="28"/>
              </w:rPr>
              <w:t>euro</w:t>
            </w:r>
            <w:r w:rsidRPr="00DE6A31">
              <w:rPr>
                <w:sz w:val="28"/>
                <w:szCs w:val="28"/>
              </w:rPr>
              <w:t>)</w:t>
            </w:r>
          </w:p>
        </w:tc>
      </w:tr>
      <w:tr w:rsidR="003B1A79" w:rsidRPr="00300104" w14:paraId="0B1CFECF" w14:textId="77777777" w:rsidTr="003E246A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062E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C9A2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2B28" w14:textId="19EBB121" w:rsidR="003B1A79" w:rsidRPr="00DE6A31" w:rsidRDefault="003B1A79" w:rsidP="003E246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20</w:t>
            </w:r>
            <w:r w:rsidR="005A1532">
              <w:rPr>
                <w:sz w:val="28"/>
                <w:szCs w:val="28"/>
              </w:rPr>
              <w:t>22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9F87" w14:textId="7ABD8585" w:rsidR="003B1A79" w:rsidRPr="00DE6A31" w:rsidRDefault="003B1A79" w:rsidP="003E246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202</w:t>
            </w:r>
            <w:r w:rsidR="005A1532">
              <w:rPr>
                <w:sz w:val="28"/>
                <w:szCs w:val="28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03F1" w14:textId="780DB42A" w:rsidR="003B1A79" w:rsidRPr="00DE6A31" w:rsidRDefault="003B1A79" w:rsidP="003E246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202</w:t>
            </w:r>
            <w:r w:rsidR="005D1722">
              <w:rPr>
                <w:sz w:val="28"/>
                <w:szCs w:val="28"/>
              </w:rPr>
              <w:t>4</w:t>
            </w:r>
          </w:p>
        </w:tc>
      </w:tr>
      <w:tr w:rsidR="003B1A79" w:rsidRPr="00300104" w14:paraId="61A458C5" w14:textId="77777777" w:rsidTr="00472147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FEE6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A422" w14:textId="77777777" w:rsidR="003B1A79" w:rsidRPr="003E246A" w:rsidRDefault="003B1A79" w:rsidP="007C0511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3E246A">
              <w:rPr>
                <w:szCs w:val="28"/>
              </w:rPr>
              <w:t>saskaņā ar valsts budžetu kārtējam gadam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7975" w14:textId="77777777" w:rsidR="003B1A79" w:rsidRPr="003E246A" w:rsidRDefault="003B1A79" w:rsidP="007C0511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3E246A">
              <w:rPr>
                <w:szCs w:val="28"/>
              </w:rPr>
              <w:t>izmaiņas kārtējā gadā, salīdzinot ar valsts budžetu kārtējam gadam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2D75" w14:textId="77777777" w:rsidR="003B1A79" w:rsidRPr="003E246A" w:rsidRDefault="003B1A79" w:rsidP="007C0511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3E246A">
              <w:rPr>
                <w:szCs w:val="28"/>
              </w:rPr>
              <w:t>saskaņā ar vidēja termiņa budžeta ietvaru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C4EF" w14:textId="48420042" w:rsidR="003B1A79" w:rsidRPr="003E246A" w:rsidRDefault="003B1A79" w:rsidP="00D07BD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3E246A">
              <w:rPr>
                <w:szCs w:val="28"/>
              </w:rPr>
              <w:t xml:space="preserve">izmaiņas, salīdzinot ar vidēja termiņa budžeta ietvaru </w:t>
            </w:r>
            <w:r w:rsidR="00D07BDF" w:rsidRPr="003E246A">
              <w:rPr>
                <w:szCs w:val="28"/>
              </w:rPr>
              <w:t>2022.</w:t>
            </w:r>
            <w:r w:rsidRPr="003E246A">
              <w:rPr>
                <w:szCs w:val="28"/>
              </w:rPr>
              <w:t xml:space="preserve"> gadam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E017" w14:textId="77777777" w:rsidR="003B1A79" w:rsidRPr="003E246A" w:rsidRDefault="003B1A79" w:rsidP="007C0511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3E246A">
              <w:rPr>
                <w:szCs w:val="28"/>
              </w:rPr>
              <w:t>saskaņā ar vidēja termiņa budžeta ietvaru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8EF8" w14:textId="1C177B91" w:rsidR="003B1A79" w:rsidRPr="003E246A" w:rsidRDefault="003B1A79" w:rsidP="00D07BD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3E246A">
              <w:rPr>
                <w:szCs w:val="28"/>
              </w:rPr>
              <w:t xml:space="preserve">izmaiņas, salīdzinot ar vidēja termiņa budžeta ietvaru </w:t>
            </w:r>
            <w:r w:rsidR="00D07BDF" w:rsidRPr="003E246A">
              <w:rPr>
                <w:szCs w:val="28"/>
              </w:rPr>
              <w:t>2023.</w:t>
            </w:r>
            <w:r w:rsidRPr="003E246A">
              <w:rPr>
                <w:szCs w:val="28"/>
              </w:rPr>
              <w:t xml:space="preserve"> gadam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BE47" w14:textId="7C0341F3" w:rsidR="003B1A79" w:rsidRPr="003E246A" w:rsidRDefault="003B1A79" w:rsidP="00D07BDF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3E246A">
              <w:rPr>
                <w:szCs w:val="28"/>
              </w:rPr>
              <w:t xml:space="preserve">izmaiņas, salīdzinot ar vidēja termiņa budžeta ietvaru </w:t>
            </w:r>
            <w:r w:rsidR="00D07BDF" w:rsidRPr="003E246A">
              <w:rPr>
                <w:szCs w:val="28"/>
              </w:rPr>
              <w:t>2023.</w:t>
            </w:r>
            <w:r w:rsidRPr="003E246A">
              <w:rPr>
                <w:szCs w:val="28"/>
              </w:rPr>
              <w:t xml:space="preserve"> gadam</w:t>
            </w:r>
          </w:p>
        </w:tc>
      </w:tr>
      <w:tr w:rsidR="003B1A79" w:rsidRPr="00300104" w14:paraId="280FC546" w14:textId="77777777" w:rsidTr="003E246A">
        <w:trPr>
          <w:trHeight w:val="349"/>
          <w:jc w:val="center"/>
        </w:trPr>
        <w:tc>
          <w:tcPr>
            <w:tcW w:w="1838" w:type="dxa"/>
            <w:tcBorders>
              <w:top w:val="single" w:sz="4" w:space="0" w:color="auto"/>
            </w:tcBorders>
            <w:hideMark/>
          </w:tcPr>
          <w:p w14:paraId="78EE797F" w14:textId="77777777" w:rsidR="003B1A79" w:rsidRPr="00DE6A31" w:rsidRDefault="003B1A79" w:rsidP="003E246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6FB7E79B" w14:textId="77777777" w:rsidR="003B1A79" w:rsidRPr="00DE6A31" w:rsidRDefault="003B1A79" w:rsidP="003E246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hideMark/>
          </w:tcPr>
          <w:p w14:paraId="7D3D29DA" w14:textId="77777777" w:rsidR="003B1A79" w:rsidRPr="00DE6A31" w:rsidRDefault="003B1A79" w:rsidP="003E246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</w:tcBorders>
            <w:hideMark/>
          </w:tcPr>
          <w:p w14:paraId="2E7B9CD6" w14:textId="77777777" w:rsidR="003B1A79" w:rsidRPr="00DE6A31" w:rsidRDefault="003B1A79" w:rsidP="003E246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hideMark/>
          </w:tcPr>
          <w:p w14:paraId="573C9555" w14:textId="77777777" w:rsidR="003B1A79" w:rsidRPr="00DE6A31" w:rsidRDefault="003B1A79" w:rsidP="003E246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hideMark/>
          </w:tcPr>
          <w:p w14:paraId="4A39C4AE" w14:textId="77777777" w:rsidR="003B1A79" w:rsidRPr="00DE6A31" w:rsidRDefault="003B1A79" w:rsidP="003E246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6</w:t>
            </w:r>
          </w:p>
        </w:tc>
        <w:tc>
          <w:tcPr>
            <w:tcW w:w="1257" w:type="dxa"/>
            <w:tcBorders>
              <w:top w:val="single" w:sz="4" w:space="0" w:color="auto"/>
            </w:tcBorders>
            <w:hideMark/>
          </w:tcPr>
          <w:p w14:paraId="253B2925" w14:textId="77777777" w:rsidR="003B1A79" w:rsidRPr="00DE6A31" w:rsidRDefault="003B1A79" w:rsidP="003E246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hideMark/>
          </w:tcPr>
          <w:p w14:paraId="69A6336D" w14:textId="77777777" w:rsidR="003B1A79" w:rsidRPr="00DE6A31" w:rsidRDefault="003B1A79" w:rsidP="003E246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8</w:t>
            </w:r>
          </w:p>
        </w:tc>
      </w:tr>
      <w:tr w:rsidR="003D5A55" w:rsidRPr="00300104" w14:paraId="60B3902B" w14:textId="77777777" w:rsidTr="00472147">
        <w:trPr>
          <w:jc w:val="center"/>
        </w:trPr>
        <w:tc>
          <w:tcPr>
            <w:tcW w:w="1838" w:type="dxa"/>
            <w:hideMark/>
          </w:tcPr>
          <w:p w14:paraId="000FDEC2" w14:textId="77777777" w:rsidR="003D5A55" w:rsidRPr="00DE6A31" w:rsidRDefault="003D5A55" w:rsidP="003D5A55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1. Budžeta ieņēmumi</w:t>
            </w:r>
          </w:p>
        </w:tc>
        <w:tc>
          <w:tcPr>
            <w:tcW w:w="992" w:type="dxa"/>
            <w:vAlign w:val="center"/>
            <w:hideMark/>
          </w:tcPr>
          <w:p w14:paraId="7BE16129" w14:textId="02C89001" w:rsidR="003D5A55" w:rsidRPr="00DE6A31" w:rsidRDefault="004165BE" w:rsidP="003D5A55">
            <w:pPr>
              <w:tabs>
                <w:tab w:val="left" w:pos="430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83 862</w:t>
            </w:r>
          </w:p>
        </w:tc>
        <w:tc>
          <w:tcPr>
            <w:tcW w:w="1061" w:type="dxa"/>
            <w:vAlign w:val="center"/>
            <w:hideMark/>
          </w:tcPr>
          <w:p w14:paraId="105953F1" w14:textId="6939F473" w:rsidR="003D5A55" w:rsidRPr="00DE6A31" w:rsidRDefault="00291F6A" w:rsidP="003D5A55">
            <w:pPr>
              <w:jc w:val="center"/>
              <w:rPr>
                <w:sz w:val="28"/>
                <w:szCs w:val="28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  <w:tc>
          <w:tcPr>
            <w:tcW w:w="1014" w:type="dxa"/>
            <w:vAlign w:val="center"/>
            <w:hideMark/>
          </w:tcPr>
          <w:p w14:paraId="4DF5F0FC" w14:textId="7A252DF2" w:rsidR="003D5A55" w:rsidRPr="00DE6A31" w:rsidRDefault="004165BE" w:rsidP="003D5A55">
            <w:pPr>
              <w:tabs>
                <w:tab w:val="left" w:pos="430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83 862</w:t>
            </w:r>
          </w:p>
        </w:tc>
        <w:tc>
          <w:tcPr>
            <w:tcW w:w="1164" w:type="dxa"/>
            <w:vAlign w:val="center"/>
            <w:hideMark/>
          </w:tcPr>
          <w:p w14:paraId="6F2AC25E" w14:textId="624FDBF1" w:rsidR="003D5A55" w:rsidRPr="00DE6A31" w:rsidRDefault="00291F6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  <w:tc>
          <w:tcPr>
            <w:tcW w:w="1035" w:type="dxa"/>
            <w:vAlign w:val="center"/>
            <w:hideMark/>
          </w:tcPr>
          <w:p w14:paraId="566F93A6" w14:textId="36C36D4E" w:rsidR="003D5A55" w:rsidRPr="00DE6A31" w:rsidRDefault="004165BE" w:rsidP="003D5A55">
            <w:pPr>
              <w:tabs>
                <w:tab w:val="left" w:pos="430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83 862</w:t>
            </w:r>
          </w:p>
        </w:tc>
        <w:tc>
          <w:tcPr>
            <w:tcW w:w="1257" w:type="dxa"/>
            <w:vAlign w:val="center"/>
            <w:hideMark/>
          </w:tcPr>
          <w:p w14:paraId="118018C1" w14:textId="3CAF7F41" w:rsidR="003D5A55" w:rsidRPr="00DE6A31" w:rsidRDefault="00291F6A" w:rsidP="003D5A5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  <w:tc>
          <w:tcPr>
            <w:tcW w:w="1268" w:type="dxa"/>
            <w:vAlign w:val="center"/>
            <w:hideMark/>
          </w:tcPr>
          <w:p w14:paraId="7A426898" w14:textId="431CF364" w:rsidR="003D5A55" w:rsidRPr="00DE6A31" w:rsidRDefault="00291F6A" w:rsidP="003D5A55">
            <w:pPr>
              <w:tabs>
                <w:tab w:val="left" w:pos="4305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</w:tr>
      <w:tr w:rsidR="003D5A55" w:rsidRPr="00300104" w14:paraId="4BFCD742" w14:textId="77777777" w:rsidTr="00472147">
        <w:trPr>
          <w:jc w:val="center"/>
        </w:trPr>
        <w:tc>
          <w:tcPr>
            <w:tcW w:w="1838" w:type="dxa"/>
            <w:hideMark/>
          </w:tcPr>
          <w:p w14:paraId="63AEB2B0" w14:textId="77777777" w:rsidR="003D5A55" w:rsidRPr="00DE6A31" w:rsidRDefault="003D5A55" w:rsidP="003D5A55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1.1. valsts pamatbudžets, tai skaitā ieņēmumi no maksas pakalpojumiem un citi pašu ieņēmumi</w:t>
            </w:r>
          </w:p>
        </w:tc>
        <w:tc>
          <w:tcPr>
            <w:tcW w:w="992" w:type="dxa"/>
            <w:vAlign w:val="center"/>
            <w:hideMark/>
          </w:tcPr>
          <w:p w14:paraId="4009E773" w14:textId="2E836821" w:rsidR="003D5A55" w:rsidRPr="00DE6A31" w:rsidRDefault="004165BE" w:rsidP="003D5A55">
            <w:pPr>
              <w:tabs>
                <w:tab w:val="left" w:pos="430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83 862</w:t>
            </w:r>
          </w:p>
        </w:tc>
        <w:tc>
          <w:tcPr>
            <w:tcW w:w="1061" w:type="dxa"/>
            <w:vAlign w:val="center"/>
            <w:hideMark/>
          </w:tcPr>
          <w:p w14:paraId="5700F4A0" w14:textId="6280D54A" w:rsidR="003D5A55" w:rsidRPr="00DE6A31" w:rsidRDefault="00291F6A" w:rsidP="003D5A55">
            <w:pPr>
              <w:jc w:val="center"/>
              <w:rPr>
                <w:sz w:val="28"/>
                <w:szCs w:val="28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  <w:tc>
          <w:tcPr>
            <w:tcW w:w="1014" w:type="dxa"/>
            <w:vAlign w:val="center"/>
            <w:hideMark/>
          </w:tcPr>
          <w:p w14:paraId="5AB593C3" w14:textId="32C8F693" w:rsidR="003D5A55" w:rsidRPr="00DE6A31" w:rsidRDefault="004165BE" w:rsidP="003D5A55">
            <w:pPr>
              <w:tabs>
                <w:tab w:val="left" w:pos="430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83 862</w:t>
            </w:r>
          </w:p>
        </w:tc>
        <w:tc>
          <w:tcPr>
            <w:tcW w:w="1164" w:type="dxa"/>
            <w:vAlign w:val="center"/>
            <w:hideMark/>
          </w:tcPr>
          <w:p w14:paraId="02F2806D" w14:textId="4F750803" w:rsidR="003D5A55" w:rsidRPr="00DE6A31" w:rsidRDefault="00291F6A" w:rsidP="003D5A5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  <w:tc>
          <w:tcPr>
            <w:tcW w:w="1035" w:type="dxa"/>
            <w:vAlign w:val="center"/>
            <w:hideMark/>
          </w:tcPr>
          <w:p w14:paraId="2C358E3F" w14:textId="6AF6BD0D" w:rsidR="003D5A55" w:rsidRPr="00DE6A31" w:rsidRDefault="004165BE" w:rsidP="003D5A55">
            <w:pPr>
              <w:tabs>
                <w:tab w:val="left" w:pos="430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83 862</w:t>
            </w:r>
          </w:p>
        </w:tc>
        <w:tc>
          <w:tcPr>
            <w:tcW w:w="1257" w:type="dxa"/>
            <w:vAlign w:val="center"/>
            <w:hideMark/>
          </w:tcPr>
          <w:p w14:paraId="1D9EC6A8" w14:textId="759F9A93" w:rsidR="003D5A55" w:rsidRPr="00DE6A31" w:rsidRDefault="00291F6A" w:rsidP="003D5A5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  <w:tc>
          <w:tcPr>
            <w:tcW w:w="1268" w:type="dxa"/>
            <w:vAlign w:val="center"/>
            <w:hideMark/>
          </w:tcPr>
          <w:p w14:paraId="6F37D53F" w14:textId="3AB9515F" w:rsidR="003D5A55" w:rsidRPr="00DE6A31" w:rsidRDefault="00291F6A" w:rsidP="003D5A55">
            <w:pPr>
              <w:tabs>
                <w:tab w:val="left" w:pos="4305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</w:tr>
      <w:tr w:rsidR="003D5A55" w:rsidRPr="00300104" w14:paraId="46C9AEB6" w14:textId="77777777" w:rsidTr="00472147">
        <w:trPr>
          <w:jc w:val="center"/>
        </w:trPr>
        <w:tc>
          <w:tcPr>
            <w:tcW w:w="1838" w:type="dxa"/>
            <w:hideMark/>
          </w:tcPr>
          <w:p w14:paraId="3DDAE51B" w14:textId="77777777" w:rsidR="003D5A55" w:rsidRPr="00DE6A31" w:rsidRDefault="003D5A55" w:rsidP="003D5A55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1.2. valsts speciālais budžets</w:t>
            </w:r>
          </w:p>
        </w:tc>
        <w:tc>
          <w:tcPr>
            <w:tcW w:w="992" w:type="dxa"/>
            <w:vAlign w:val="center"/>
            <w:hideMark/>
          </w:tcPr>
          <w:p w14:paraId="11940664" w14:textId="77777777" w:rsidR="003D5A55" w:rsidRPr="00DE6A31" w:rsidRDefault="003D5A55" w:rsidP="003D5A55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061" w:type="dxa"/>
            <w:vAlign w:val="center"/>
            <w:hideMark/>
          </w:tcPr>
          <w:p w14:paraId="76C5EC0A" w14:textId="77777777" w:rsidR="003D5A55" w:rsidRPr="00DE6A31" w:rsidRDefault="003D5A55" w:rsidP="003D5A55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014" w:type="dxa"/>
            <w:vAlign w:val="center"/>
            <w:hideMark/>
          </w:tcPr>
          <w:p w14:paraId="21FD20F0" w14:textId="186439C9" w:rsidR="003D5A55" w:rsidRPr="00DE6A31" w:rsidRDefault="003D5A55" w:rsidP="003D5A55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164" w:type="dxa"/>
            <w:vAlign w:val="center"/>
            <w:hideMark/>
          </w:tcPr>
          <w:p w14:paraId="06E560D9" w14:textId="77777777" w:rsidR="003D5A55" w:rsidRPr="00DE6A31" w:rsidRDefault="003D5A55" w:rsidP="003D5A55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035" w:type="dxa"/>
            <w:vAlign w:val="center"/>
            <w:hideMark/>
          </w:tcPr>
          <w:p w14:paraId="28C10727" w14:textId="58099F2C" w:rsidR="003D5A55" w:rsidRPr="00DE6A31" w:rsidRDefault="003D5A55" w:rsidP="003D5A55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257" w:type="dxa"/>
            <w:vAlign w:val="center"/>
            <w:hideMark/>
          </w:tcPr>
          <w:p w14:paraId="103C1DFD" w14:textId="77777777" w:rsidR="003D5A55" w:rsidRPr="00DE6A31" w:rsidRDefault="003D5A55" w:rsidP="003D5A5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E6A31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68" w:type="dxa"/>
            <w:vAlign w:val="center"/>
            <w:hideMark/>
          </w:tcPr>
          <w:p w14:paraId="6D573CF0" w14:textId="77777777" w:rsidR="003D5A55" w:rsidRPr="00DE6A31" w:rsidRDefault="003D5A55" w:rsidP="003D5A5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E6A31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3D5A55" w:rsidRPr="00300104" w14:paraId="31A2DF4B" w14:textId="77777777" w:rsidTr="00472147">
        <w:trPr>
          <w:jc w:val="center"/>
        </w:trPr>
        <w:tc>
          <w:tcPr>
            <w:tcW w:w="1838" w:type="dxa"/>
            <w:hideMark/>
          </w:tcPr>
          <w:p w14:paraId="424048C5" w14:textId="77777777" w:rsidR="003D5A55" w:rsidRPr="00DE6A31" w:rsidRDefault="003D5A55" w:rsidP="003D5A55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1.3. pašvaldību budžets</w:t>
            </w:r>
          </w:p>
        </w:tc>
        <w:tc>
          <w:tcPr>
            <w:tcW w:w="992" w:type="dxa"/>
            <w:vAlign w:val="center"/>
            <w:hideMark/>
          </w:tcPr>
          <w:p w14:paraId="37348070" w14:textId="77777777" w:rsidR="003D5A55" w:rsidRPr="00DE6A31" w:rsidRDefault="003D5A55" w:rsidP="003D5A55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061" w:type="dxa"/>
            <w:vAlign w:val="center"/>
            <w:hideMark/>
          </w:tcPr>
          <w:p w14:paraId="74301E7A" w14:textId="77777777" w:rsidR="003D5A55" w:rsidRPr="00DE6A31" w:rsidRDefault="003D5A55" w:rsidP="003D5A55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014" w:type="dxa"/>
            <w:vAlign w:val="center"/>
            <w:hideMark/>
          </w:tcPr>
          <w:p w14:paraId="750E2DB2" w14:textId="042C3BF2" w:rsidR="003D5A55" w:rsidRPr="00DE6A31" w:rsidRDefault="003D5A55" w:rsidP="003D5A55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164" w:type="dxa"/>
            <w:vAlign w:val="center"/>
            <w:hideMark/>
          </w:tcPr>
          <w:p w14:paraId="3BFBFDC6" w14:textId="77777777" w:rsidR="003D5A55" w:rsidRPr="00DE6A31" w:rsidRDefault="003D5A55" w:rsidP="003D5A55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035" w:type="dxa"/>
            <w:vAlign w:val="center"/>
            <w:hideMark/>
          </w:tcPr>
          <w:p w14:paraId="4D43755D" w14:textId="3004680A" w:rsidR="003D5A55" w:rsidRPr="00DE6A31" w:rsidRDefault="003D5A55" w:rsidP="003D5A55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257" w:type="dxa"/>
            <w:vAlign w:val="center"/>
            <w:hideMark/>
          </w:tcPr>
          <w:p w14:paraId="2FFA41DC" w14:textId="77777777" w:rsidR="003D5A55" w:rsidRPr="00DE6A31" w:rsidRDefault="003D5A55" w:rsidP="003D5A5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E6A31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68" w:type="dxa"/>
            <w:vAlign w:val="center"/>
            <w:hideMark/>
          </w:tcPr>
          <w:p w14:paraId="2EBD5CEE" w14:textId="77777777" w:rsidR="003D5A55" w:rsidRPr="00DE6A31" w:rsidRDefault="003D5A55" w:rsidP="003D5A5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E6A31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3D5A55" w:rsidRPr="00300104" w14:paraId="0F86F23B" w14:textId="77777777" w:rsidTr="00472147">
        <w:trPr>
          <w:jc w:val="center"/>
        </w:trPr>
        <w:tc>
          <w:tcPr>
            <w:tcW w:w="1838" w:type="dxa"/>
            <w:hideMark/>
          </w:tcPr>
          <w:p w14:paraId="505D0900" w14:textId="77777777" w:rsidR="003D5A55" w:rsidRPr="00DE6A31" w:rsidRDefault="003D5A55" w:rsidP="003D5A55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2. Budžeta izdevumi</w:t>
            </w:r>
          </w:p>
        </w:tc>
        <w:tc>
          <w:tcPr>
            <w:tcW w:w="992" w:type="dxa"/>
            <w:vAlign w:val="center"/>
            <w:hideMark/>
          </w:tcPr>
          <w:p w14:paraId="1C2F2D27" w14:textId="4C9D4993" w:rsidR="003D5A55" w:rsidRPr="00DE6A31" w:rsidRDefault="004165BE" w:rsidP="003D5A55">
            <w:pPr>
              <w:tabs>
                <w:tab w:val="left" w:pos="430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83 862</w:t>
            </w:r>
          </w:p>
        </w:tc>
        <w:tc>
          <w:tcPr>
            <w:tcW w:w="1061" w:type="dxa"/>
            <w:vAlign w:val="center"/>
            <w:hideMark/>
          </w:tcPr>
          <w:p w14:paraId="58E3F713" w14:textId="374127CE" w:rsidR="003D5A55" w:rsidRPr="00DE6A31" w:rsidRDefault="00291F6A" w:rsidP="003D5A55">
            <w:pPr>
              <w:jc w:val="center"/>
              <w:rPr>
                <w:sz w:val="28"/>
                <w:szCs w:val="28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  <w:tc>
          <w:tcPr>
            <w:tcW w:w="1014" w:type="dxa"/>
            <w:vAlign w:val="center"/>
            <w:hideMark/>
          </w:tcPr>
          <w:p w14:paraId="3C8A7FCD" w14:textId="0085F95C" w:rsidR="003D5A55" w:rsidRPr="00DE6A31" w:rsidRDefault="004165BE" w:rsidP="003D5A55">
            <w:pPr>
              <w:tabs>
                <w:tab w:val="left" w:pos="430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83 862</w:t>
            </w:r>
          </w:p>
        </w:tc>
        <w:tc>
          <w:tcPr>
            <w:tcW w:w="1164" w:type="dxa"/>
            <w:vAlign w:val="center"/>
            <w:hideMark/>
          </w:tcPr>
          <w:p w14:paraId="2855A488" w14:textId="6EC8FC54" w:rsidR="003D5A55" w:rsidRPr="00DE6A31" w:rsidRDefault="00291F6A" w:rsidP="003D5A5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  <w:tc>
          <w:tcPr>
            <w:tcW w:w="1035" w:type="dxa"/>
            <w:vAlign w:val="center"/>
            <w:hideMark/>
          </w:tcPr>
          <w:p w14:paraId="7895ACB3" w14:textId="4A707A5E" w:rsidR="003D5A55" w:rsidRPr="00DE6A31" w:rsidRDefault="004165BE" w:rsidP="003D5A55">
            <w:pPr>
              <w:tabs>
                <w:tab w:val="left" w:pos="430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83 862</w:t>
            </w:r>
          </w:p>
        </w:tc>
        <w:tc>
          <w:tcPr>
            <w:tcW w:w="1257" w:type="dxa"/>
            <w:vAlign w:val="center"/>
            <w:hideMark/>
          </w:tcPr>
          <w:p w14:paraId="210F512E" w14:textId="59E2A4A9" w:rsidR="003D5A55" w:rsidRPr="00DE6A31" w:rsidRDefault="00291F6A" w:rsidP="003D5A5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  <w:tc>
          <w:tcPr>
            <w:tcW w:w="1268" w:type="dxa"/>
            <w:vAlign w:val="center"/>
            <w:hideMark/>
          </w:tcPr>
          <w:p w14:paraId="63AA18D1" w14:textId="670D30EC" w:rsidR="003D5A55" w:rsidRPr="00DE6A31" w:rsidRDefault="00291F6A" w:rsidP="003D5A55">
            <w:pPr>
              <w:tabs>
                <w:tab w:val="left" w:pos="4305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</w:tr>
      <w:tr w:rsidR="003D5A55" w:rsidRPr="00300104" w14:paraId="79690490" w14:textId="77777777" w:rsidTr="00472147">
        <w:trPr>
          <w:jc w:val="center"/>
        </w:trPr>
        <w:tc>
          <w:tcPr>
            <w:tcW w:w="1838" w:type="dxa"/>
            <w:hideMark/>
          </w:tcPr>
          <w:p w14:paraId="47076EEA" w14:textId="77777777" w:rsidR="003D5A55" w:rsidRPr="00DE6A31" w:rsidRDefault="003D5A55" w:rsidP="003D5A55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2.1. valsts pamatbudžets</w:t>
            </w:r>
          </w:p>
        </w:tc>
        <w:tc>
          <w:tcPr>
            <w:tcW w:w="992" w:type="dxa"/>
            <w:vAlign w:val="center"/>
            <w:hideMark/>
          </w:tcPr>
          <w:p w14:paraId="0336EAAB" w14:textId="5FB0DF88" w:rsidR="003D5A55" w:rsidRPr="00DE6A31" w:rsidRDefault="004165BE" w:rsidP="003D5A55">
            <w:pPr>
              <w:tabs>
                <w:tab w:val="left" w:pos="430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83 862</w:t>
            </w:r>
          </w:p>
        </w:tc>
        <w:tc>
          <w:tcPr>
            <w:tcW w:w="1061" w:type="dxa"/>
            <w:vAlign w:val="center"/>
            <w:hideMark/>
          </w:tcPr>
          <w:p w14:paraId="6CD5458F" w14:textId="437F88F4" w:rsidR="003D5A55" w:rsidRPr="00DE6A31" w:rsidRDefault="00291F6A" w:rsidP="003D5A55">
            <w:pPr>
              <w:jc w:val="center"/>
              <w:rPr>
                <w:sz w:val="28"/>
                <w:szCs w:val="28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  <w:tc>
          <w:tcPr>
            <w:tcW w:w="1014" w:type="dxa"/>
            <w:vAlign w:val="center"/>
            <w:hideMark/>
          </w:tcPr>
          <w:p w14:paraId="4CDA7BEE" w14:textId="79F704D7" w:rsidR="003D5A55" w:rsidRPr="00DE6A31" w:rsidRDefault="004165BE" w:rsidP="003D5A55">
            <w:pPr>
              <w:tabs>
                <w:tab w:val="left" w:pos="430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83 862</w:t>
            </w:r>
          </w:p>
        </w:tc>
        <w:tc>
          <w:tcPr>
            <w:tcW w:w="1164" w:type="dxa"/>
            <w:vAlign w:val="center"/>
            <w:hideMark/>
          </w:tcPr>
          <w:p w14:paraId="74D1497A" w14:textId="211BE3F8" w:rsidR="003D5A55" w:rsidRPr="00DE6A31" w:rsidRDefault="00291F6A" w:rsidP="003D5A5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  <w:tc>
          <w:tcPr>
            <w:tcW w:w="1035" w:type="dxa"/>
            <w:vAlign w:val="center"/>
            <w:hideMark/>
          </w:tcPr>
          <w:p w14:paraId="1BFCBC5E" w14:textId="73959293" w:rsidR="003D5A55" w:rsidRPr="00DE6A31" w:rsidRDefault="004165BE" w:rsidP="003D5A55">
            <w:pPr>
              <w:tabs>
                <w:tab w:val="left" w:pos="430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83 862</w:t>
            </w:r>
          </w:p>
        </w:tc>
        <w:tc>
          <w:tcPr>
            <w:tcW w:w="1257" w:type="dxa"/>
            <w:vAlign w:val="center"/>
            <w:hideMark/>
          </w:tcPr>
          <w:p w14:paraId="49D31D1E" w14:textId="1A399CF7" w:rsidR="003D5A55" w:rsidRPr="00DE6A31" w:rsidRDefault="00291F6A" w:rsidP="003D5A5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  <w:tc>
          <w:tcPr>
            <w:tcW w:w="1268" w:type="dxa"/>
            <w:vAlign w:val="center"/>
            <w:hideMark/>
          </w:tcPr>
          <w:p w14:paraId="4310DFDD" w14:textId="612BA2FD" w:rsidR="003D5A55" w:rsidRPr="00DE6A31" w:rsidRDefault="00291F6A" w:rsidP="003D5A55">
            <w:pPr>
              <w:tabs>
                <w:tab w:val="left" w:pos="4305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</w:tr>
      <w:tr w:rsidR="003B1A79" w:rsidRPr="00300104" w14:paraId="44D71D04" w14:textId="77777777" w:rsidTr="00472147">
        <w:trPr>
          <w:jc w:val="center"/>
        </w:trPr>
        <w:tc>
          <w:tcPr>
            <w:tcW w:w="1838" w:type="dxa"/>
            <w:hideMark/>
          </w:tcPr>
          <w:p w14:paraId="4CE0FC00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2.2. valsts speciālais budžets</w:t>
            </w:r>
          </w:p>
        </w:tc>
        <w:tc>
          <w:tcPr>
            <w:tcW w:w="992" w:type="dxa"/>
            <w:vAlign w:val="center"/>
            <w:hideMark/>
          </w:tcPr>
          <w:p w14:paraId="6E307738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061" w:type="dxa"/>
            <w:vAlign w:val="center"/>
            <w:hideMark/>
          </w:tcPr>
          <w:p w14:paraId="545A9CC6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014" w:type="dxa"/>
            <w:vAlign w:val="center"/>
            <w:hideMark/>
          </w:tcPr>
          <w:p w14:paraId="333D3478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164" w:type="dxa"/>
            <w:vAlign w:val="center"/>
            <w:hideMark/>
          </w:tcPr>
          <w:p w14:paraId="4E129F95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035" w:type="dxa"/>
            <w:vAlign w:val="center"/>
            <w:hideMark/>
          </w:tcPr>
          <w:p w14:paraId="3B80F59D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257" w:type="dxa"/>
            <w:vAlign w:val="center"/>
            <w:hideMark/>
          </w:tcPr>
          <w:p w14:paraId="5D5B63BF" w14:textId="77777777" w:rsidR="003B1A79" w:rsidRPr="00DE6A31" w:rsidRDefault="003B1A79" w:rsidP="003B1A7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E6A31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68" w:type="dxa"/>
            <w:vAlign w:val="center"/>
            <w:hideMark/>
          </w:tcPr>
          <w:p w14:paraId="160E7CD1" w14:textId="77777777" w:rsidR="003B1A79" w:rsidRPr="00DE6A31" w:rsidRDefault="003B1A79" w:rsidP="003B1A7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E6A31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3B1A79" w:rsidRPr="00300104" w14:paraId="379F0C91" w14:textId="77777777" w:rsidTr="00472147">
        <w:trPr>
          <w:jc w:val="center"/>
        </w:trPr>
        <w:tc>
          <w:tcPr>
            <w:tcW w:w="1838" w:type="dxa"/>
            <w:hideMark/>
          </w:tcPr>
          <w:p w14:paraId="0B80FA0C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lastRenderedPageBreak/>
              <w:t>2.3. pašvaldību budžets</w:t>
            </w:r>
          </w:p>
        </w:tc>
        <w:tc>
          <w:tcPr>
            <w:tcW w:w="992" w:type="dxa"/>
            <w:vAlign w:val="center"/>
            <w:hideMark/>
          </w:tcPr>
          <w:p w14:paraId="6E055ECC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061" w:type="dxa"/>
            <w:vAlign w:val="center"/>
            <w:hideMark/>
          </w:tcPr>
          <w:p w14:paraId="5F129A0A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014" w:type="dxa"/>
            <w:vAlign w:val="center"/>
            <w:hideMark/>
          </w:tcPr>
          <w:p w14:paraId="67AC5B0E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164" w:type="dxa"/>
            <w:vAlign w:val="center"/>
            <w:hideMark/>
          </w:tcPr>
          <w:p w14:paraId="5A2E17BA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035" w:type="dxa"/>
            <w:vAlign w:val="center"/>
            <w:hideMark/>
          </w:tcPr>
          <w:p w14:paraId="35512D23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257" w:type="dxa"/>
            <w:vAlign w:val="center"/>
            <w:hideMark/>
          </w:tcPr>
          <w:p w14:paraId="063D6725" w14:textId="77777777" w:rsidR="003B1A79" w:rsidRPr="00DE6A31" w:rsidRDefault="003B1A79" w:rsidP="003B1A7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E6A31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68" w:type="dxa"/>
            <w:vAlign w:val="center"/>
            <w:hideMark/>
          </w:tcPr>
          <w:p w14:paraId="7CAA983B" w14:textId="77777777" w:rsidR="003B1A79" w:rsidRPr="00DE6A31" w:rsidRDefault="003B1A79" w:rsidP="003B1A7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E6A31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3B1A79" w:rsidRPr="00300104" w14:paraId="642A32D9" w14:textId="77777777" w:rsidTr="00472147">
        <w:trPr>
          <w:jc w:val="center"/>
        </w:trPr>
        <w:tc>
          <w:tcPr>
            <w:tcW w:w="1838" w:type="dxa"/>
            <w:hideMark/>
          </w:tcPr>
          <w:p w14:paraId="6BB1D756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3. Finansiālā ietekme</w:t>
            </w:r>
          </w:p>
        </w:tc>
        <w:tc>
          <w:tcPr>
            <w:tcW w:w="992" w:type="dxa"/>
            <w:vAlign w:val="center"/>
            <w:hideMark/>
          </w:tcPr>
          <w:p w14:paraId="209EF515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061" w:type="dxa"/>
            <w:vAlign w:val="center"/>
            <w:hideMark/>
          </w:tcPr>
          <w:p w14:paraId="0D2CDD68" w14:textId="78B4F001" w:rsidR="003B1A79" w:rsidRPr="00DE6A31" w:rsidRDefault="00291F6A" w:rsidP="003B1A79">
            <w:pPr>
              <w:jc w:val="center"/>
              <w:rPr>
                <w:sz w:val="28"/>
                <w:szCs w:val="28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  <w:tc>
          <w:tcPr>
            <w:tcW w:w="1014" w:type="dxa"/>
            <w:vAlign w:val="center"/>
            <w:hideMark/>
          </w:tcPr>
          <w:p w14:paraId="0D3689CB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164" w:type="dxa"/>
            <w:vAlign w:val="center"/>
            <w:hideMark/>
          </w:tcPr>
          <w:p w14:paraId="0050EE44" w14:textId="1B6FC86D" w:rsidR="003B1A79" w:rsidRPr="00DE6A31" w:rsidRDefault="00291F6A" w:rsidP="003B1A79">
            <w:pPr>
              <w:jc w:val="center"/>
              <w:rPr>
                <w:sz w:val="28"/>
                <w:szCs w:val="28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  <w:tc>
          <w:tcPr>
            <w:tcW w:w="1035" w:type="dxa"/>
            <w:vAlign w:val="center"/>
            <w:hideMark/>
          </w:tcPr>
          <w:p w14:paraId="3BD15F0D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257" w:type="dxa"/>
            <w:vAlign w:val="center"/>
            <w:hideMark/>
          </w:tcPr>
          <w:p w14:paraId="6A383FFA" w14:textId="772DD2C2" w:rsidR="003B1A79" w:rsidRPr="00DE6A31" w:rsidRDefault="00291F6A" w:rsidP="003B1A7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  <w:tc>
          <w:tcPr>
            <w:tcW w:w="1268" w:type="dxa"/>
            <w:vAlign w:val="center"/>
            <w:hideMark/>
          </w:tcPr>
          <w:p w14:paraId="0AFB4246" w14:textId="4A1453EE" w:rsidR="003B1A79" w:rsidRPr="00DE6A31" w:rsidRDefault="00291F6A" w:rsidP="003B1A7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</w:tr>
      <w:tr w:rsidR="003B1A79" w:rsidRPr="00300104" w14:paraId="2729B25A" w14:textId="77777777" w:rsidTr="00472147">
        <w:trPr>
          <w:jc w:val="center"/>
        </w:trPr>
        <w:tc>
          <w:tcPr>
            <w:tcW w:w="1838" w:type="dxa"/>
            <w:hideMark/>
          </w:tcPr>
          <w:p w14:paraId="41ED8A3F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3.1. valsts pamatbudžets</w:t>
            </w:r>
          </w:p>
        </w:tc>
        <w:tc>
          <w:tcPr>
            <w:tcW w:w="992" w:type="dxa"/>
            <w:vAlign w:val="center"/>
            <w:hideMark/>
          </w:tcPr>
          <w:p w14:paraId="50DD5D71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061" w:type="dxa"/>
            <w:vAlign w:val="center"/>
            <w:hideMark/>
          </w:tcPr>
          <w:p w14:paraId="575687A0" w14:textId="4C975864" w:rsidR="003B1A79" w:rsidRPr="00DE6A31" w:rsidRDefault="00291F6A" w:rsidP="003B1A79">
            <w:pPr>
              <w:jc w:val="center"/>
              <w:rPr>
                <w:sz w:val="28"/>
                <w:szCs w:val="28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  <w:tc>
          <w:tcPr>
            <w:tcW w:w="1014" w:type="dxa"/>
            <w:vAlign w:val="center"/>
            <w:hideMark/>
          </w:tcPr>
          <w:p w14:paraId="2D9DDB38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164" w:type="dxa"/>
            <w:vAlign w:val="center"/>
            <w:hideMark/>
          </w:tcPr>
          <w:p w14:paraId="1BEFC1DF" w14:textId="109132B8" w:rsidR="003B1A79" w:rsidRPr="00DE6A31" w:rsidRDefault="00291F6A" w:rsidP="003B1A79">
            <w:pPr>
              <w:jc w:val="center"/>
              <w:rPr>
                <w:sz w:val="28"/>
                <w:szCs w:val="28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  <w:tc>
          <w:tcPr>
            <w:tcW w:w="1035" w:type="dxa"/>
            <w:vAlign w:val="center"/>
            <w:hideMark/>
          </w:tcPr>
          <w:p w14:paraId="57ED4946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257" w:type="dxa"/>
            <w:vAlign w:val="center"/>
            <w:hideMark/>
          </w:tcPr>
          <w:p w14:paraId="4520E449" w14:textId="481F140C" w:rsidR="003B1A79" w:rsidRPr="00DE6A31" w:rsidRDefault="00291F6A" w:rsidP="003B1A79">
            <w:pPr>
              <w:jc w:val="center"/>
              <w:rPr>
                <w:sz w:val="28"/>
                <w:szCs w:val="28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  <w:tc>
          <w:tcPr>
            <w:tcW w:w="1268" w:type="dxa"/>
            <w:vAlign w:val="center"/>
            <w:hideMark/>
          </w:tcPr>
          <w:p w14:paraId="19E2A6E7" w14:textId="1D23B673" w:rsidR="003B1A79" w:rsidRPr="00DE6A31" w:rsidRDefault="00291F6A" w:rsidP="003B1A79">
            <w:pPr>
              <w:jc w:val="center"/>
              <w:rPr>
                <w:sz w:val="28"/>
                <w:szCs w:val="28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</w:tr>
      <w:tr w:rsidR="003B1A79" w:rsidRPr="00300104" w14:paraId="59B1858C" w14:textId="77777777" w:rsidTr="00472147">
        <w:trPr>
          <w:jc w:val="center"/>
        </w:trPr>
        <w:tc>
          <w:tcPr>
            <w:tcW w:w="1838" w:type="dxa"/>
            <w:hideMark/>
          </w:tcPr>
          <w:p w14:paraId="05ABF6A6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3.2. speciālais budžets</w:t>
            </w:r>
          </w:p>
        </w:tc>
        <w:tc>
          <w:tcPr>
            <w:tcW w:w="992" w:type="dxa"/>
            <w:vAlign w:val="center"/>
            <w:hideMark/>
          </w:tcPr>
          <w:p w14:paraId="3121EA83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061" w:type="dxa"/>
            <w:vAlign w:val="center"/>
            <w:hideMark/>
          </w:tcPr>
          <w:p w14:paraId="7D2E83DF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014" w:type="dxa"/>
            <w:vAlign w:val="center"/>
            <w:hideMark/>
          </w:tcPr>
          <w:p w14:paraId="7C85EB82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164" w:type="dxa"/>
            <w:vAlign w:val="center"/>
            <w:hideMark/>
          </w:tcPr>
          <w:p w14:paraId="38A8D0D7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035" w:type="dxa"/>
            <w:vAlign w:val="center"/>
            <w:hideMark/>
          </w:tcPr>
          <w:p w14:paraId="3F609043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257" w:type="dxa"/>
            <w:vAlign w:val="center"/>
            <w:hideMark/>
          </w:tcPr>
          <w:p w14:paraId="768B311B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268" w:type="dxa"/>
            <w:vAlign w:val="center"/>
            <w:hideMark/>
          </w:tcPr>
          <w:p w14:paraId="54E7BFAF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</w:tr>
      <w:tr w:rsidR="003B1A79" w:rsidRPr="00300104" w14:paraId="23916E78" w14:textId="77777777" w:rsidTr="00472147">
        <w:trPr>
          <w:jc w:val="center"/>
        </w:trPr>
        <w:tc>
          <w:tcPr>
            <w:tcW w:w="1838" w:type="dxa"/>
            <w:hideMark/>
          </w:tcPr>
          <w:p w14:paraId="0A5D380F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3.3. pašvaldību budžets</w:t>
            </w:r>
          </w:p>
        </w:tc>
        <w:tc>
          <w:tcPr>
            <w:tcW w:w="992" w:type="dxa"/>
            <w:vAlign w:val="center"/>
            <w:hideMark/>
          </w:tcPr>
          <w:p w14:paraId="353C5604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061" w:type="dxa"/>
            <w:vAlign w:val="center"/>
            <w:hideMark/>
          </w:tcPr>
          <w:p w14:paraId="66BCA4A1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014" w:type="dxa"/>
            <w:vAlign w:val="center"/>
            <w:hideMark/>
          </w:tcPr>
          <w:p w14:paraId="6E0491C6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164" w:type="dxa"/>
            <w:vAlign w:val="center"/>
            <w:hideMark/>
          </w:tcPr>
          <w:p w14:paraId="4059383D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035" w:type="dxa"/>
            <w:vAlign w:val="center"/>
            <w:hideMark/>
          </w:tcPr>
          <w:p w14:paraId="39CF57CC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257" w:type="dxa"/>
            <w:vAlign w:val="center"/>
            <w:hideMark/>
          </w:tcPr>
          <w:p w14:paraId="62680C91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268" w:type="dxa"/>
            <w:vAlign w:val="center"/>
            <w:hideMark/>
          </w:tcPr>
          <w:p w14:paraId="4CB70040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</w:tr>
      <w:tr w:rsidR="003B1A79" w:rsidRPr="00300104" w14:paraId="4C784044" w14:textId="77777777" w:rsidTr="00472147">
        <w:trPr>
          <w:jc w:val="center"/>
        </w:trPr>
        <w:tc>
          <w:tcPr>
            <w:tcW w:w="1838" w:type="dxa"/>
            <w:hideMark/>
          </w:tcPr>
          <w:p w14:paraId="1D47B58E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4. Finanšu līdzekļi papildu izdevumu finansēšanai (kompensējošu izdevumu samazinājumu norāda ar "+" zīmi)</w:t>
            </w:r>
          </w:p>
        </w:tc>
        <w:tc>
          <w:tcPr>
            <w:tcW w:w="992" w:type="dxa"/>
            <w:vAlign w:val="center"/>
            <w:hideMark/>
          </w:tcPr>
          <w:p w14:paraId="630CD8C2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061" w:type="dxa"/>
            <w:vAlign w:val="center"/>
            <w:hideMark/>
          </w:tcPr>
          <w:p w14:paraId="7EE471F3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014" w:type="dxa"/>
            <w:vAlign w:val="center"/>
            <w:hideMark/>
          </w:tcPr>
          <w:p w14:paraId="1CF47190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164" w:type="dxa"/>
            <w:vAlign w:val="center"/>
            <w:hideMark/>
          </w:tcPr>
          <w:p w14:paraId="68B56592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035" w:type="dxa"/>
            <w:vAlign w:val="center"/>
            <w:hideMark/>
          </w:tcPr>
          <w:p w14:paraId="12067E17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257" w:type="dxa"/>
            <w:vAlign w:val="center"/>
            <w:hideMark/>
          </w:tcPr>
          <w:p w14:paraId="1E1FE8FD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268" w:type="dxa"/>
            <w:vAlign w:val="center"/>
            <w:hideMark/>
          </w:tcPr>
          <w:p w14:paraId="4939E0F7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</w:tr>
      <w:tr w:rsidR="003B1A79" w:rsidRPr="00300104" w14:paraId="4911D628" w14:textId="77777777" w:rsidTr="00472147">
        <w:trPr>
          <w:jc w:val="center"/>
        </w:trPr>
        <w:tc>
          <w:tcPr>
            <w:tcW w:w="1838" w:type="dxa"/>
            <w:hideMark/>
          </w:tcPr>
          <w:p w14:paraId="3C46570E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5. Precizēta finansiālā ietekme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1869291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X</w:t>
            </w:r>
          </w:p>
        </w:tc>
        <w:tc>
          <w:tcPr>
            <w:tcW w:w="1061" w:type="dxa"/>
            <w:vAlign w:val="center"/>
            <w:hideMark/>
          </w:tcPr>
          <w:p w14:paraId="52B1C6C0" w14:textId="6E934B63" w:rsidR="003B1A79" w:rsidRPr="00DE6A31" w:rsidRDefault="00291F6A" w:rsidP="003B1A79">
            <w:pPr>
              <w:jc w:val="center"/>
              <w:rPr>
                <w:sz w:val="28"/>
                <w:szCs w:val="28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  <w:tc>
          <w:tcPr>
            <w:tcW w:w="1014" w:type="dxa"/>
            <w:vMerge w:val="restart"/>
            <w:vAlign w:val="center"/>
            <w:hideMark/>
          </w:tcPr>
          <w:p w14:paraId="09229A2E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X</w:t>
            </w:r>
          </w:p>
        </w:tc>
        <w:tc>
          <w:tcPr>
            <w:tcW w:w="1164" w:type="dxa"/>
            <w:vAlign w:val="center"/>
            <w:hideMark/>
          </w:tcPr>
          <w:p w14:paraId="0F8195CE" w14:textId="2899BAB9" w:rsidR="003B1A79" w:rsidRPr="00DE6A31" w:rsidRDefault="00291F6A" w:rsidP="003B1A79">
            <w:pPr>
              <w:jc w:val="center"/>
              <w:rPr>
                <w:sz w:val="28"/>
                <w:szCs w:val="28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  <w:tc>
          <w:tcPr>
            <w:tcW w:w="1035" w:type="dxa"/>
            <w:vMerge w:val="restart"/>
            <w:vAlign w:val="center"/>
            <w:hideMark/>
          </w:tcPr>
          <w:p w14:paraId="795CB110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X</w:t>
            </w:r>
          </w:p>
        </w:tc>
        <w:tc>
          <w:tcPr>
            <w:tcW w:w="1257" w:type="dxa"/>
            <w:vAlign w:val="center"/>
            <w:hideMark/>
          </w:tcPr>
          <w:p w14:paraId="7401999C" w14:textId="01565402" w:rsidR="003B1A79" w:rsidRPr="00DE6A31" w:rsidRDefault="00291F6A" w:rsidP="003B1A79">
            <w:pPr>
              <w:jc w:val="center"/>
              <w:rPr>
                <w:sz w:val="28"/>
                <w:szCs w:val="28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  <w:tc>
          <w:tcPr>
            <w:tcW w:w="1268" w:type="dxa"/>
            <w:vAlign w:val="center"/>
            <w:hideMark/>
          </w:tcPr>
          <w:p w14:paraId="7C6EFDF7" w14:textId="38F550A1" w:rsidR="003B1A79" w:rsidRPr="00DE6A31" w:rsidRDefault="00291F6A" w:rsidP="003B1A79">
            <w:pPr>
              <w:jc w:val="center"/>
              <w:rPr>
                <w:sz w:val="28"/>
                <w:szCs w:val="28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</w:tr>
      <w:tr w:rsidR="003B1A79" w:rsidRPr="00300104" w14:paraId="531B8F64" w14:textId="77777777" w:rsidTr="00472147">
        <w:trPr>
          <w:jc w:val="center"/>
        </w:trPr>
        <w:tc>
          <w:tcPr>
            <w:tcW w:w="1838" w:type="dxa"/>
            <w:hideMark/>
          </w:tcPr>
          <w:p w14:paraId="4C5185E3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5.1. valsts pamatbudžets</w:t>
            </w:r>
          </w:p>
        </w:tc>
        <w:tc>
          <w:tcPr>
            <w:tcW w:w="992" w:type="dxa"/>
            <w:vMerge/>
            <w:vAlign w:val="center"/>
            <w:hideMark/>
          </w:tcPr>
          <w:p w14:paraId="6E8A28A2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  <w:vAlign w:val="center"/>
            <w:hideMark/>
          </w:tcPr>
          <w:p w14:paraId="4545C085" w14:textId="188080D3" w:rsidR="003B1A79" w:rsidRPr="00DE6A31" w:rsidRDefault="00291F6A" w:rsidP="003B1A79">
            <w:pPr>
              <w:jc w:val="center"/>
              <w:rPr>
                <w:sz w:val="28"/>
                <w:szCs w:val="28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  <w:tc>
          <w:tcPr>
            <w:tcW w:w="1014" w:type="dxa"/>
            <w:vMerge/>
            <w:vAlign w:val="center"/>
            <w:hideMark/>
          </w:tcPr>
          <w:p w14:paraId="1FF776ED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  <w:vAlign w:val="center"/>
            <w:hideMark/>
          </w:tcPr>
          <w:p w14:paraId="739A15F2" w14:textId="22B479C4" w:rsidR="003B1A79" w:rsidRPr="00DE6A31" w:rsidRDefault="00291F6A" w:rsidP="003B1A79">
            <w:pPr>
              <w:jc w:val="center"/>
              <w:rPr>
                <w:sz w:val="28"/>
                <w:szCs w:val="28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  <w:tc>
          <w:tcPr>
            <w:tcW w:w="1035" w:type="dxa"/>
            <w:vMerge/>
            <w:vAlign w:val="center"/>
            <w:hideMark/>
          </w:tcPr>
          <w:p w14:paraId="7948D96D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vAlign w:val="center"/>
            <w:hideMark/>
          </w:tcPr>
          <w:p w14:paraId="7ACA15D1" w14:textId="530C6B61" w:rsidR="003B1A79" w:rsidRPr="00DE6A31" w:rsidRDefault="00291F6A" w:rsidP="003B1A79">
            <w:pPr>
              <w:jc w:val="center"/>
              <w:rPr>
                <w:sz w:val="28"/>
                <w:szCs w:val="28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  <w:tc>
          <w:tcPr>
            <w:tcW w:w="1268" w:type="dxa"/>
            <w:vAlign w:val="center"/>
            <w:hideMark/>
          </w:tcPr>
          <w:p w14:paraId="35B3F06E" w14:textId="77AC5D11" w:rsidR="003B1A79" w:rsidRPr="00DE6A31" w:rsidRDefault="00291F6A" w:rsidP="003B1A79">
            <w:pPr>
              <w:jc w:val="center"/>
              <w:rPr>
                <w:sz w:val="28"/>
                <w:szCs w:val="28"/>
              </w:rPr>
            </w:pPr>
            <w:r w:rsidRPr="00291F6A">
              <w:rPr>
                <w:sz w:val="28"/>
                <w:szCs w:val="28"/>
              </w:rPr>
              <w:t xml:space="preserve">Nav precīzi </w:t>
            </w:r>
            <w:proofErr w:type="spellStart"/>
            <w:r w:rsidRPr="00291F6A">
              <w:rPr>
                <w:sz w:val="28"/>
                <w:szCs w:val="28"/>
              </w:rPr>
              <w:t>aprēķi</w:t>
            </w:r>
            <w:r>
              <w:rPr>
                <w:sz w:val="28"/>
                <w:szCs w:val="28"/>
              </w:rPr>
              <w:t>-</w:t>
            </w:r>
            <w:r w:rsidRPr="00291F6A">
              <w:rPr>
                <w:sz w:val="28"/>
                <w:szCs w:val="28"/>
              </w:rPr>
              <w:t>nāms</w:t>
            </w:r>
            <w:proofErr w:type="spellEnd"/>
          </w:p>
        </w:tc>
      </w:tr>
      <w:tr w:rsidR="003B1A79" w:rsidRPr="00300104" w14:paraId="3FB1C5A2" w14:textId="77777777" w:rsidTr="00472147">
        <w:trPr>
          <w:jc w:val="center"/>
        </w:trPr>
        <w:tc>
          <w:tcPr>
            <w:tcW w:w="1838" w:type="dxa"/>
            <w:hideMark/>
          </w:tcPr>
          <w:p w14:paraId="6358CA97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5.2. speciālais budžets</w:t>
            </w:r>
          </w:p>
        </w:tc>
        <w:tc>
          <w:tcPr>
            <w:tcW w:w="992" w:type="dxa"/>
            <w:vMerge/>
            <w:vAlign w:val="center"/>
            <w:hideMark/>
          </w:tcPr>
          <w:p w14:paraId="6060E5D6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  <w:vAlign w:val="center"/>
            <w:hideMark/>
          </w:tcPr>
          <w:p w14:paraId="005E1A90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014" w:type="dxa"/>
            <w:vMerge/>
            <w:vAlign w:val="center"/>
            <w:hideMark/>
          </w:tcPr>
          <w:p w14:paraId="352DB54B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  <w:vAlign w:val="center"/>
            <w:hideMark/>
          </w:tcPr>
          <w:p w14:paraId="3590D3D1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035" w:type="dxa"/>
            <w:vMerge/>
            <w:vAlign w:val="center"/>
            <w:hideMark/>
          </w:tcPr>
          <w:p w14:paraId="101ACB6D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vAlign w:val="center"/>
            <w:hideMark/>
          </w:tcPr>
          <w:p w14:paraId="6EFAC78C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268" w:type="dxa"/>
            <w:vAlign w:val="center"/>
            <w:hideMark/>
          </w:tcPr>
          <w:p w14:paraId="25C6337B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</w:tr>
      <w:tr w:rsidR="003B1A79" w:rsidRPr="00300104" w14:paraId="4314CA6D" w14:textId="77777777" w:rsidTr="00472147">
        <w:trPr>
          <w:jc w:val="center"/>
        </w:trPr>
        <w:tc>
          <w:tcPr>
            <w:tcW w:w="1838" w:type="dxa"/>
            <w:hideMark/>
          </w:tcPr>
          <w:p w14:paraId="21F7AA6D" w14:textId="5AFD2282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5.3.pašvaldību budžets</w:t>
            </w:r>
          </w:p>
        </w:tc>
        <w:tc>
          <w:tcPr>
            <w:tcW w:w="992" w:type="dxa"/>
            <w:vMerge/>
            <w:vAlign w:val="center"/>
            <w:hideMark/>
          </w:tcPr>
          <w:p w14:paraId="3551D185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  <w:vAlign w:val="center"/>
            <w:hideMark/>
          </w:tcPr>
          <w:p w14:paraId="1EDF9E74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014" w:type="dxa"/>
            <w:vMerge/>
            <w:vAlign w:val="center"/>
            <w:hideMark/>
          </w:tcPr>
          <w:p w14:paraId="03CE9865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  <w:vAlign w:val="center"/>
            <w:hideMark/>
          </w:tcPr>
          <w:p w14:paraId="27B8FC69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035" w:type="dxa"/>
            <w:vMerge/>
            <w:vAlign w:val="center"/>
            <w:hideMark/>
          </w:tcPr>
          <w:p w14:paraId="7EB817F1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vAlign w:val="center"/>
            <w:hideMark/>
          </w:tcPr>
          <w:p w14:paraId="777B638C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  <w:tc>
          <w:tcPr>
            <w:tcW w:w="1268" w:type="dxa"/>
            <w:vAlign w:val="center"/>
            <w:hideMark/>
          </w:tcPr>
          <w:p w14:paraId="53A6DA62" w14:textId="77777777" w:rsidR="003B1A79" w:rsidRPr="00DE6A31" w:rsidRDefault="003B1A79" w:rsidP="003B1A79">
            <w:pPr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0</w:t>
            </w:r>
          </w:p>
        </w:tc>
      </w:tr>
      <w:tr w:rsidR="003B1A79" w:rsidRPr="00300104" w14:paraId="7BF4F6A2" w14:textId="77777777" w:rsidTr="00472147">
        <w:trPr>
          <w:jc w:val="center"/>
        </w:trPr>
        <w:tc>
          <w:tcPr>
            <w:tcW w:w="1838" w:type="dxa"/>
            <w:hideMark/>
          </w:tcPr>
          <w:p w14:paraId="0FA695DC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 xml:space="preserve">6. Detalizēts ieņēmumu un izdevumu aprēķins (ja nepieciešams, detalizētu </w:t>
            </w:r>
            <w:r w:rsidRPr="00DE6A31">
              <w:rPr>
                <w:sz w:val="28"/>
                <w:szCs w:val="28"/>
              </w:rPr>
              <w:lastRenderedPageBreak/>
              <w:t>ieņēmumu un izdevumu aprēķinu var pievienot anotācijas pielikumā)</w:t>
            </w:r>
          </w:p>
        </w:tc>
        <w:tc>
          <w:tcPr>
            <w:tcW w:w="7791" w:type="dxa"/>
            <w:gridSpan w:val="7"/>
            <w:vMerge w:val="restart"/>
            <w:hideMark/>
          </w:tcPr>
          <w:p w14:paraId="7B36E643" w14:textId="77777777" w:rsidR="00954410" w:rsidRDefault="00954410" w:rsidP="00954410">
            <w:pPr>
              <w:ind w:right="141"/>
              <w:jc w:val="both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lastRenderedPageBreak/>
              <w:t>Maksas pakalpojumu izcenojum</w:t>
            </w:r>
            <w:r>
              <w:rPr>
                <w:sz w:val="28"/>
                <w:szCs w:val="28"/>
              </w:rPr>
              <w:t>a</w:t>
            </w:r>
            <w:r w:rsidRPr="00DE6A31">
              <w:rPr>
                <w:sz w:val="28"/>
                <w:szCs w:val="28"/>
              </w:rPr>
              <w:t xml:space="preserve"> aprēķins ir pievienots anotācijas pielikumā</w:t>
            </w:r>
            <w:r>
              <w:rPr>
                <w:sz w:val="28"/>
                <w:szCs w:val="28"/>
              </w:rPr>
              <w:t xml:space="preserve"> atbilstoši noteikumu Nr. 333 1. pielikumā noteiktajam paraugam.</w:t>
            </w:r>
          </w:p>
          <w:p w14:paraId="75E8B858" w14:textId="1A0FA1AD" w:rsidR="003B1A79" w:rsidRPr="00DE6A31" w:rsidRDefault="009611A5" w:rsidP="00954410">
            <w:pPr>
              <w:ind w:right="141"/>
              <w:jc w:val="both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Maksas pakalpojumu izcenojum</w:t>
            </w:r>
            <w:r w:rsidR="00291F6A">
              <w:rPr>
                <w:sz w:val="28"/>
                <w:szCs w:val="28"/>
              </w:rPr>
              <w:t xml:space="preserve">s ir aprēķināts atbilstoši </w:t>
            </w:r>
            <w:r w:rsidR="00954410">
              <w:rPr>
                <w:sz w:val="28"/>
                <w:szCs w:val="28"/>
              </w:rPr>
              <w:t xml:space="preserve">Likuma par budžetu un finanšu vadību 5. panta divpadsmit </w:t>
            </w:r>
            <w:proofErr w:type="spellStart"/>
            <w:r w:rsidR="00954410">
              <w:rPr>
                <w:sz w:val="28"/>
                <w:szCs w:val="28"/>
              </w:rPr>
              <w:t>prim</w:t>
            </w:r>
            <w:proofErr w:type="spellEnd"/>
            <w:r w:rsidR="00954410">
              <w:rPr>
                <w:sz w:val="28"/>
                <w:szCs w:val="28"/>
              </w:rPr>
              <w:t xml:space="preserve"> daļā </w:t>
            </w:r>
            <w:r w:rsidR="00954410">
              <w:rPr>
                <w:sz w:val="28"/>
                <w:szCs w:val="28"/>
              </w:rPr>
              <w:lastRenderedPageBreak/>
              <w:t xml:space="preserve">noteiktajam principam, ka </w:t>
            </w:r>
            <w:r w:rsidR="00954410" w:rsidRPr="00954410">
              <w:rPr>
                <w:sz w:val="28"/>
                <w:szCs w:val="28"/>
              </w:rPr>
              <w:t>samaksa par pakalpojumu nedrīkst pārsniegt ar pakalpojuma sniegšanu saistītās izmaksas</w:t>
            </w:r>
            <w:r w:rsidR="00954410">
              <w:rPr>
                <w:sz w:val="28"/>
                <w:szCs w:val="28"/>
              </w:rPr>
              <w:t>.</w:t>
            </w:r>
          </w:p>
        </w:tc>
      </w:tr>
      <w:tr w:rsidR="003B1A79" w:rsidRPr="00300104" w14:paraId="6724BED9" w14:textId="77777777" w:rsidTr="00472147">
        <w:trPr>
          <w:jc w:val="center"/>
        </w:trPr>
        <w:tc>
          <w:tcPr>
            <w:tcW w:w="1838" w:type="dxa"/>
            <w:hideMark/>
          </w:tcPr>
          <w:p w14:paraId="7FA6AFFD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lastRenderedPageBreak/>
              <w:t>6.1. detalizēts ieņēmumu aprēķins</w:t>
            </w:r>
          </w:p>
        </w:tc>
        <w:tc>
          <w:tcPr>
            <w:tcW w:w="7791" w:type="dxa"/>
            <w:gridSpan w:val="7"/>
            <w:vMerge/>
            <w:hideMark/>
          </w:tcPr>
          <w:p w14:paraId="38BA88F4" w14:textId="77777777" w:rsidR="003B1A79" w:rsidRPr="00DE6A31" w:rsidRDefault="003B1A79" w:rsidP="003B1A79">
            <w:pPr>
              <w:rPr>
                <w:sz w:val="28"/>
                <w:szCs w:val="28"/>
              </w:rPr>
            </w:pPr>
          </w:p>
        </w:tc>
      </w:tr>
      <w:tr w:rsidR="003B1A79" w:rsidRPr="00300104" w14:paraId="7D9C5AE0" w14:textId="77777777" w:rsidTr="00472147">
        <w:trPr>
          <w:jc w:val="center"/>
        </w:trPr>
        <w:tc>
          <w:tcPr>
            <w:tcW w:w="1838" w:type="dxa"/>
            <w:hideMark/>
          </w:tcPr>
          <w:p w14:paraId="07BA6C3E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6.2. detalizēts izdevumu aprēķins</w:t>
            </w:r>
          </w:p>
        </w:tc>
        <w:tc>
          <w:tcPr>
            <w:tcW w:w="7791" w:type="dxa"/>
            <w:gridSpan w:val="7"/>
            <w:vMerge/>
            <w:hideMark/>
          </w:tcPr>
          <w:p w14:paraId="15D73F19" w14:textId="77777777" w:rsidR="003B1A79" w:rsidRPr="00DE6A31" w:rsidRDefault="003B1A79" w:rsidP="003B1A79">
            <w:pPr>
              <w:rPr>
                <w:sz w:val="28"/>
                <w:szCs w:val="28"/>
              </w:rPr>
            </w:pPr>
          </w:p>
        </w:tc>
      </w:tr>
      <w:tr w:rsidR="003B1A79" w:rsidRPr="00300104" w14:paraId="101CBDBD" w14:textId="77777777" w:rsidTr="00472147">
        <w:trPr>
          <w:jc w:val="center"/>
        </w:trPr>
        <w:tc>
          <w:tcPr>
            <w:tcW w:w="1838" w:type="dxa"/>
            <w:hideMark/>
          </w:tcPr>
          <w:p w14:paraId="72573770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7. Amata vietu skaita izmaiņas</w:t>
            </w:r>
          </w:p>
        </w:tc>
        <w:tc>
          <w:tcPr>
            <w:tcW w:w="7791" w:type="dxa"/>
            <w:gridSpan w:val="7"/>
            <w:hideMark/>
          </w:tcPr>
          <w:p w14:paraId="16F6AB77" w14:textId="5A1ED468" w:rsidR="003B1A79" w:rsidRPr="00DE6A31" w:rsidRDefault="003B1A79" w:rsidP="003B1A79">
            <w:pPr>
              <w:tabs>
                <w:tab w:val="left" w:pos="3135"/>
              </w:tabs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Noteikumu projekts šo jomu neskar.</w:t>
            </w:r>
          </w:p>
        </w:tc>
      </w:tr>
      <w:tr w:rsidR="003B1A79" w:rsidRPr="00300104" w14:paraId="099505C1" w14:textId="77777777" w:rsidTr="00472147">
        <w:trPr>
          <w:jc w:val="center"/>
        </w:trPr>
        <w:tc>
          <w:tcPr>
            <w:tcW w:w="1838" w:type="dxa"/>
            <w:hideMark/>
          </w:tcPr>
          <w:p w14:paraId="39A7B668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8. Cita informācija</w:t>
            </w:r>
          </w:p>
        </w:tc>
        <w:tc>
          <w:tcPr>
            <w:tcW w:w="7791" w:type="dxa"/>
            <w:gridSpan w:val="7"/>
            <w:hideMark/>
          </w:tcPr>
          <w:p w14:paraId="720D76D7" w14:textId="7706A7E8" w:rsidR="003B1A79" w:rsidRPr="00DE6A31" w:rsidRDefault="004465B2" w:rsidP="00B009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Veicot grozījumus noteikumos Nr.</w:t>
            </w:r>
            <w:r w:rsidR="009878F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345 un precizējot VID maksas pakalpojumu cenas, nav paredzēts precizēt Finanšu ministrijas budžeta programmā 33.00.00 “</w:t>
            </w:r>
            <w:r w:rsidRPr="00B40295">
              <w:rPr>
                <w:sz w:val="28"/>
                <w:szCs w:val="28"/>
              </w:rPr>
              <w:t>Valsts ieņēmumu un muitas politikas nodrošināšana</w:t>
            </w:r>
            <w:r>
              <w:rPr>
                <w:sz w:val="28"/>
                <w:szCs w:val="28"/>
              </w:rPr>
              <w:t>” plānoto ieņēmumu no maksas pakalpojumiem apmēru, jo nav iespējams prognozēt pieprasījumu pēc VID sniegta</w:t>
            </w:r>
            <w:r w:rsidR="009878FC"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>iem maksas pakalpojumiem un sniegto maksas pakalpojumu apjoms pa gadiem var būt svārstīgs.</w:t>
            </w:r>
          </w:p>
        </w:tc>
      </w:tr>
    </w:tbl>
    <w:p w14:paraId="350A631A" w14:textId="5F2A6398" w:rsidR="003B1A79" w:rsidRPr="00DE6A31" w:rsidRDefault="003B1A79" w:rsidP="003B1A79">
      <w:pPr>
        <w:rPr>
          <w:sz w:val="28"/>
          <w:szCs w:val="28"/>
        </w:rPr>
      </w:pPr>
    </w:p>
    <w:tbl>
      <w:tblPr>
        <w:tblW w:w="5008" w:type="pct"/>
        <w:tblInd w:w="-8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38"/>
      </w:tblGrid>
      <w:tr w:rsidR="003B1A79" w:rsidRPr="00300104" w14:paraId="1A4CFA1E" w14:textId="77777777" w:rsidTr="003B1A79">
        <w:trPr>
          <w:trHeight w:val="360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A88B9CE" w14:textId="77777777" w:rsidR="003B1A79" w:rsidRPr="00DE6A31" w:rsidRDefault="003B1A79" w:rsidP="003B1A79">
            <w:pPr>
              <w:spacing w:before="100" w:beforeAutospacing="1" w:after="100" w:afterAutospacing="1" w:line="293" w:lineRule="atLeast"/>
              <w:jc w:val="center"/>
              <w:rPr>
                <w:b/>
                <w:bCs/>
                <w:sz w:val="28"/>
                <w:szCs w:val="28"/>
              </w:rPr>
            </w:pPr>
            <w:r w:rsidRPr="00DE6A31">
              <w:rPr>
                <w:b/>
                <w:bCs/>
                <w:sz w:val="28"/>
                <w:szCs w:val="28"/>
              </w:rPr>
              <w:t>IV. Tiesību akta projekta ietekme uz spēkā esošo tiesību normu sistēmu</w:t>
            </w:r>
          </w:p>
        </w:tc>
      </w:tr>
      <w:tr w:rsidR="003B1A79" w:rsidRPr="00300104" w14:paraId="7E6F8C8D" w14:textId="77777777" w:rsidTr="003B1A79">
        <w:trPr>
          <w:trHeight w:val="525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624020E" w14:textId="77777777" w:rsidR="003B1A79" w:rsidRPr="00DE6A31" w:rsidRDefault="003B1A79" w:rsidP="003B1A79">
            <w:pPr>
              <w:spacing w:before="100" w:beforeAutospacing="1" w:after="100" w:afterAutospacing="1" w:line="293" w:lineRule="atLeast"/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Noteikumu projekts šo jomu neskar.</w:t>
            </w:r>
          </w:p>
        </w:tc>
      </w:tr>
    </w:tbl>
    <w:p w14:paraId="4AE24128" w14:textId="77777777" w:rsidR="00CC2C0A" w:rsidRPr="00CC2C0A" w:rsidRDefault="00CC2C0A">
      <w:pPr>
        <w:rPr>
          <w:sz w:val="28"/>
          <w:szCs w:val="28"/>
        </w:rPr>
      </w:pPr>
    </w:p>
    <w:tbl>
      <w:tblPr>
        <w:tblW w:w="5008" w:type="pct"/>
        <w:tblInd w:w="-8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38"/>
      </w:tblGrid>
      <w:tr w:rsidR="003B1A79" w:rsidRPr="00300104" w14:paraId="1D2E9B57" w14:textId="77777777" w:rsidTr="003B1A79">
        <w:trPr>
          <w:trHeight w:val="360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87009A4" w14:textId="77777777" w:rsidR="003B1A79" w:rsidRPr="00DE6A31" w:rsidRDefault="003B1A79" w:rsidP="003B1A79">
            <w:pPr>
              <w:spacing w:before="100" w:beforeAutospacing="1" w:after="100" w:afterAutospacing="1" w:line="293" w:lineRule="atLeast"/>
              <w:jc w:val="center"/>
              <w:rPr>
                <w:b/>
                <w:bCs/>
                <w:sz w:val="28"/>
                <w:szCs w:val="28"/>
              </w:rPr>
            </w:pPr>
            <w:r w:rsidRPr="00DE6A31">
              <w:rPr>
                <w:b/>
                <w:bCs/>
                <w:sz w:val="28"/>
                <w:szCs w:val="28"/>
              </w:rPr>
              <w:t>V. Tiesību akta projekta atbilstība Latvijas Republikas starptautiskajām saistībām</w:t>
            </w:r>
          </w:p>
        </w:tc>
      </w:tr>
      <w:tr w:rsidR="003B1A79" w:rsidRPr="00300104" w14:paraId="41553B90" w14:textId="77777777" w:rsidTr="003B1A79">
        <w:trPr>
          <w:trHeight w:val="525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00A2C61" w14:textId="77777777" w:rsidR="003B1A79" w:rsidRPr="00DE6A31" w:rsidRDefault="003B1A79" w:rsidP="003B1A79">
            <w:pPr>
              <w:spacing w:before="100" w:beforeAutospacing="1" w:after="100" w:afterAutospacing="1" w:line="293" w:lineRule="atLeast"/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Noteikumu projekts šo jomu neskar.</w:t>
            </w:r>
          </w:p>
        </w:tc>
      </w:tr>
    </w:tbl>
    <w:p w14:paraId="5F4DE54A" w14:textId="77777777" w:rsidR="00035BB2" w:rsidRPr="00DE6A31" w:rsidRDefault="00035BB2" w:rsidP="003B1A79">
      <w:pPr>
        <w:rPr>
          <w:color w:val="414142"/>
          <w:sz w:val="28"/>
          <w:szCs w:val="28"/>
        </w:rPr>
      </w:pPr>
    </w:p>
    <w:tbl>
      <w:tblPr>
        <w:tblStyle w:val="TableGrid"/>
        <w:tblW w:w="5003" w:type="pct"/>
        <w:tblLayout w:type="fixed"/>
        <w:tblLook w:val="04A0" w:firstRow="1" w:lastRow="0" w:firstColumn="1" w:lastColumn="0" w:noHBand="0" w:noVBand="1"/>
      </w:tblPr>
      <w:tblGrid>
        <w:gridCol w:w="563"/>
        <w:gridCol w:w="1559"/>
        <w:gridCol w:w="7513"/>
      </w:tblGrid>
      <w:tr w:rsidR="003B1A79" w:rsidRPr="00300104" w14:paraId="014F36F5" w14:textId="77777777" w:rsidTr="0062535A">
        <w:tc>
          <w:tcPr>
            <w:tcW w:w="5000" w:type="pct"/>
            <w:gridSpan w:val="3"/>
            <w:hideMark/>
          </w:tcPr>
          <w:p w14:paraId="4E99E767" w14:textId="319A5251" w:rsidR="003B1A79" w:rsidRPr="00DE6A31" w:rsidRDefault="003B1A79" w:rsidP="003B1A79">
            <w:pPr>
              <w:spacing w:before="100" w:beforeAutospacing="1" w:after="100" w:afterAutospacing="1" w:line="360" w:lineRule="auto"/>
              <w:ind w:firstLine="300"/>
              <w:jc w:val="center"/>
              <w:rPr>
                <w:b/>
                <w:bCs/>
                <w:sz w:val="28"/>
                <w:szCs w:val="28"/>
              </w:rPr>
            </w:pPr>
            <w:r w:rsidRPr="00DE6A31">
              <w:rPr>
                <w:b/>
                <w:bCs/>
                <w:sz w:val="28"/>
                <w:szCs w:val="28"/>
              </w:rPr>
              <w:t>VI.</w:t>
            </w:r>
            <w:r w:rsidR="00672335">
              <w:rPr>
                <w:b/>
                <w:bCs/>
                <w:sz w:val="28"/>
                <w:szCs w:val="28"/>
              </w:rPr>
              <w:t> </w:t>
            </w:r>
            <w:r w:rsidRPr="00DE6A31">
              <w:rPr>
                <w:b/>
                <w:bCs/>
                <w:sz w:val="28"/>
                <w:szCs w:val="28"/>
              </w:rPr>
              <w:t>Sabiedrības līdzdalība un komunikācijas aktivitātes</w:t>
            </w:r>
          </w:p>
        </w:tc>
      </w:tr>
      <w:tr w:rsidR="003B1A79" w:rsidRPr="00300104" w14:paraId="2CD5B747" w14:textId="77777777" w:rsidTr="00CC2C0A">
        <w:tc>
          <w:tcPr>
            <w:tcW w:w="292" w:type="pct"/>
            <w:hideMark/>
          </w:tcPr>
          <w:p w14:paraId="56FC14FE" w14:textId="77777777" w:rsidR="003B1A79" w:rsidRPr="00DE6A31" w:rsidRDefault="003B1A79" w:rsidP="0062535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1.</w:t>
            </w:r>
          </w:p>
        </w:tc>
        <w:tc>
          <w:tcPr>
            <w:tcW w:w="809" w:type="pct"/>
            <w:hideMark/>
          </w:tcPr>
          <w:p w14:paraId="1FBE32C3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Plānotās sabiedrības līdzdalības un komunikācijas aktivitātes saistībā ar projektu</w:t>
            </w:r>
          </w:p>
        </w:tc>
        <w:tc>
          <w:tcPr>
            <w:tcW w:w="3899" w:type="pct"/>
            <w:hideMark/>
          </w:tcPr>
          <w:p w14:paraId="61572359" w14:textId="077F7D95" w:rsidR="003474E8" w:rsidRPr="00672335" w:rsidRDefault="003474E8" w:rsidP="002671C8">
            <w:pPr>
              <w:jc w:val="both"/>
              <w:rPr>
                <w:bCs/>
                <w:sz w:val="28"/>
                <w:szCs w:val="28"/>
              </w:rPr>
            </w:pPr>
            <w:r w:rsidRPr="00672335">
              <w:rPr>
                <w:bCs/>
                <w:sz w:val="28"/>
                <w:szCs w:val="28"/>
              </w:rPr>
              <w:t xml:space="preserve">Informācija par noteikumu projekta izstrādi </w:t>
            </w:r>
            <w:r w:rsidR="00672335" w:rsidRPr="00672335">
              <w:rPr>
                <w:bCs/>
                <w:sz w:val="28"/>
                <w:szCs w:val="28"/>
              </w:rPr>
              <w:t>2021.</w:t>
            </w:r>
            <w:r w:rsidR="009878FC">
              <w:rPr>
                <w:bCs/>
                <w:sz w:val="28"/>
                <w:szCs w:val="28"/>
              </w:rPr>
              <w:t> gada 19. jūlijā</w:t>
            </w:r>
            <w:r w:rsidR="00672335" w:rsidRPr="00672335">
              <w:rPr>
                <w:bCs/>
                <w:sz w:val="28"/>
                <w:szCs w:val="28"/>
              </w:rPr>
              <w:t xml:space="preserve"> </w:t>
            </w:r>
            <w:r w:rsidRPr="00672335">
              <w:rPr>
                <w:bCs/>
                <w:sz w:val="28"/>
                <w:szCs w:val="28"/>
              </w:rPr>
              <w:t>ir publicēta</w:t>
            </w:r>
            <w:r w:rsidR="00B739C9" w:rsidRPr="00672335">
              <w:rPr>
                <w:bCs/>
                <w:sz w:val="28"/>
                <w:szCs w:val="28"/>
              </w:rPr>
              <w:t xml:space="preserve"> </w:t>
            </w:r>
            <w:r w:rsidRPr="00672335">
              <w:rPr>
                <w:bCs/>
                <w:sz w:val="28"/>
                <w:szCs w:val="28"/>
              </w:rPr>
              <w:t xml:space="preserve">Finanšu ministrijas </w:t>
            </w:r>
            <w:r w:rsidR="00672335" w:rsidRPr="00672335">
              <w:rPr>
                <w:bCs/>
                <w:sz w:val="28"/>
                <w:szCs w:val="28"/>
              </w:rPr>
              <w:t>tīmekļvietnes</w:t>
            </w:r>
            <w:r w:rsidRPr="00672335">
              <w:rPr>
                <w:bCs/>
                <w:sz w:val="28"/>
                <w:szCs w:val="28"/>
              </w:rPr>
              <w:t xml:space="preserve"> sadaļā “Sabiedrības līdzdalība” – “Tiesību aktu projekti” – “Valsts budžeta politika”</w:t>
            </w:r>
            <w:r w:rsidR="00672335" w:rsidRPr="00672335">
              <w:rPr>
                <w:bCs/>
                <w:sz w:val="28"/>
                <w:szCs w:val="28"/>
              </w:rPr>
              <w:t>.</w:t>
            </w:r>
          </w:p>
          <w:p w14:paraId="66F40657" w14:textId="63F0D970" w:rsidR="003474E8" w:rsidRPr="00672335" w:rsidRDefault="009878FC" w:rsidP="002671C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Tādējādi</w:t>
            </w:r>
            <w:r w:rsidR="003474E8" w:rsidRPr="00672335">
              <w:rPr>
                <w:bCs/>
                <w:sz w:val="28"/>
                <w:szCs w:val="28"/>
              </w:rPr>
              <w:t xml:space="preserve"> sabiedrības pārstāvji var līdzdarboties </w:t>
            </w:r>
            <w:r w:rsidR="005D47AA">
              <w:rPr>
                <w:bCs/>
                <w:sz w:val="28"/>
                <w:szCs w:val="28"/>
              </w:rPr>
              <w:t xml:space="preserve">noteikumu </w:t>
            </w:r>
            <w:r w:rsidR="003474E8" w:rsidRPr="00672335">
              <w:rPr>
                <w:bCs/>
                <w:sz w:val="28"/>
                <w:szCs w:val="28"/>
              </w:rPr>
              <w:t xml:space="preserve">projekta izstrādē, </w:t>
            </w:r>
            <w:proofErr w:type="spellStart"/>
            <w:r w:rsidR="003474E8" w:rsidRPr="00672335">
              <w:rPr>
                <w:bCs/>
                <w:sz w:val="28"/>
                <w:szCs w:val="28"/>
              </w:rPr>
              <w:t>rakstveidā</w:t>
            </w:r>
            <w:proofErr w:type="spellEnd"/>
            <w:r w:rsidR="003474E8" w:rsidRPr="00672335">
              <w:rPr>
                <w:bCs/>
                <w:sz w:val="28"/>
                <w:szCs w:val="28"/>
              </w:rPr>
              <w:t xml:space="preserve"> sniedzot viedokļus. </w:t>
            </w:r>
            <w:r w:rsidR="00B739C9" w:rsidRPr="00672335">
              <w:rPr>
                <w:bCs/>
                <w:sz w:val="28"/>
                <w:szCs w:val="28"/>
              </w:rPr>
              <w:t xml:space="preserve">Sabiedrības pārstāvji var </w:t>
            </w:r>
            <w:r w:rsidR="003474E8" w:rsidRPr="00672335">
              <w:rPr>
                <w:bCs/>
                <w:sz w:val="28"/>
                <w:szCs w:val="28"/>
              </w:rPr>
              <w:t xml:space="preserve">izteikt viedokli par </w:t>
            </w:r>
            <w:r w:rsidR="005D47AA">
              <w:rPr>
                <w:bCs/>
                <w:sz w:val="28"/>
                <w:szCs w:val="28"/>
              </w:rPr>
              <w:t xml:space="preserve">noteikumu </w:t>
            </w:r>
            <w:r w:rsidR="003474E8" w:rsidRPr="00672335">
              <w:rPr>
                <w:bCs/>
                <w:sz w:val="28"/>
                <w:szCs w:val="28"/>
              </w:rPr>
              <w:t>projektu līdz 2021.</w:t>
            </w:r>
            <w:r>
              <w:rPr>
                <w:bCs/>
                <w:sz w:val="28"/>
                <w:szCs w:val="28"/>
              </w:rPr>
              <w:t> </w:t>
            </w:r>
            <w:r w:rsidR="003474E8" w:rsidRPr="00672335">
              <w:rPr>
                <w:bCs/>
                <w:sz w:val="28"/>
                <w:szCs w:val="28"/>
              </w:rPr>
              <w:t xml:space="preserve">gada </w:t>
            </w:r>
            <w:r w:rsidR="00B739C9" w:rsidRPr="00672335">
              <w:rPr>
                <w:bCs/>
                <w:sz w:val="28"/>
                <w:szCs w:val="28"/>
              </w:rPr>
              <w:t>10.</w:t>
            </w:r>
            <w:r>
              <w:rPr>
                <w:bCs/>
                <w:sz w:val="28"/>
                <w:szCs w:val="28"/>
              </w:rPr>
              <w:t> </w:t>
            </w:r>
            <w:r w:rsidR="00B739C9" w:rsidRPr="00672335">
              <w:rPr>
                <w:bCs/>
                <w:sz w:val="28"/>
                <w:szCs w:val="28"/>
              </w:rPr>
              <w:t>augustam.</w:t>
            </w:r>
          </w:p>
          <w:p w14:paraId="1B628003" w14:textId="532338A9" w:rsidR="003B1A79" w:rsidRPr="00672335" w:rsidRDefault="003B1A79" w:rsidP="002671C8">
            <w:pPr>
              <w:jc w:val="both"/>
              <w:rPr>
                <w:sz w:val="28"/>
                <w:szCs w:val="28"/>
              </w:rPr>
            </w:pPr>
            <w:r w:rsidRPr="00672335">
              <w:rPr>
                <w:bCs/>
                <w:sz w:val="28"/>
                <w:szCs w:val="28"/>
              </w:rPr>
              <w:t xml:space="preserve">Pēc pieņemšanas Ministru kabinetā noteikumi tiks publicēti </w:t>
            </w:r>
            <w:r w:rsidR="00B82DF2" w:rsidRPr="00672335">
              <w:rPr>
                <w:sz w:val="28"/>
                <w:szCs w:val="28"/>
              </w:rPr>
              <w:t>VID</w:t>
            </w:r>
            <w:r w:rsidRPr="00672335">
              <w:rPr>
                <w:bCs/>
                <w:sz w:val="28"/>
                <w:szCs w:val="28"/>
              </w:rPr>
              <w:t xml:space="preserve"> </w:t>
            </w:r>
            <w:r w:rsidR="004465B2" w:rsidRPr="00672335">
              <w:rPr>
                <w:bCs/>
                <w:sz w:val="28"/>
                <w:szCs w:val="28"/>
              </w:rPr>
              <w:t>tīmekļvietnē</w:t>
            </w:r>
            <w:r w:rsidRPr="00672335">
              <w:rPr>
                <w:bCs/>
                <w:sz w:val="28"/>
                <w:szCs w:val="28"/>
              </w:rPr>
              <w:t xml:space="preserve"> </w:t>
            </w:r>
            <w:hyperlink r:id="rId11" w:history="1">
              <w:r w:rsidRPr="00672335">
                <w:rPr>
                  <w:bCs/>
                  <w:sz w:val="28"/>
                  <w:szCs w:val="28"/>
                </w:rPr>
                <w:t>http://www.vid.gov.lv</w:t>
              </w:r>
            </w:hyperlink>
            <w:r w:rsidR="0086117C" w:rsidRPr="00672335">
              <w:rPr>
                <w:bCs/>
                <w:sz w:val="28"/>
                <w:szCs w:val="28"/>
              </w:rPr>
              <w:t>.</w:t>
            </w:r>
          </w:p>
        </w:tc>
      </w:tr>
      <w:tr w:rsidR="003B1A79" w:rsidRPr="00300104" w14:paraId="29813D70" w14:textId="77777777" w:rsidTr="00CC2C0A">
        <w:tc>
          <w:tcPr>
            <w:tcW w:w="292" w:type="pct"/>
            <w:hideMark/>
          </w:tcPr>
          <w:p w14:paraId="1DE4DD83" w14:textId="77777777" w:rsidR="003B1A79" w:rsidRPr="00DE6A31" w:rsidRDefault="003B1A79" w:rsidP="0062535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2.</w:t>
            </w:r>
          </w:p>
        </w:tc>
        <w:tc>
          <w:tcPr>
            <w:tcW w:w="809" w:type="pct"/>
            <w:hideMark/>
          </w:tcPr>
          <w:p w14:paraId="70129F56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 xml:space="preserve">Sabiedrības līdzdalība </w:t>
            </w:r>
            <w:r w:rsidRPr="00DE6A31">
              <w:rPr>
                <w:sz w:val="28"/>
                <w:szCs w:val="28"/>
              </w:rPr>
              <w:lastRenderedPageBreak/>
              <w:t>projekta izstrādē</w:t>
            </w:r>
          </w:p>
        </w:tc>
        <w:tc>
          <w:tcPr>
            <w:tcW w:w="3899" w:type="pct"/>
            <w:hideMark/>
          </w:tcPr>
          <w:p w14:paraId="1577A1A7" w14:textId="711B6707" w:rsidR="003B1A79" w:rsidRPr="00672335" w:rsidRDefault="004923FA" w:rsidP="002671C8">
            <w:pPr>
              <w:jc w:val="both"/>
              <w:rPr>
                <w:sz w:val="28"/>
                <w:szCs w:val="28"/>
              </w:rPr>
            </w:pPr>
            <w:r w:rsidRPr="00672335">
              <w:rPr>
                <w:sz w:val="28"/>
                <w:szCs w:val="28"/>
              </w:rPr>
              <w:lastRenderedPageBreak/>
              <w:t xml:space="preserve">Informācija par noteikumu projekta izstrādi </w:t>
            </w:r>
            <w:r w:rsidR="00B739C9" w:rsidRPr="00672335">
              <w:rPr>
                <w:sz w:val="28"/>
                <w:szCs w:val="28"/>
              </w:rPr>
              <w:t>2021</w:t>
            </w:r>
            <w:r w:rsidR="00B739C9" w:rsidRPr="00672335">
              <w:rPr>
                <w:i/>
                <w:sz w:val="28"/>
                <w:szCs w:val="28"/>
              </w:rPr>
              <w:t>.</w:t>
            </w:r>
            <w:r w:rsidR="00D20F6C">
              <w:rPr>
                <w:bCs/>
                <w:sz w:val="28"/>
                <w:szCs w:val="28"/>
              </w:rPr>
              <w:t> gada 19. jūlijā</w:t>
            </w:r>
            <w:r w:rsidRPr="00672335">
              <w:rPr>
                <w:sz w:val="28"/>
                <w:szCs w:val="28"/>
              </w:rPr>
              <w:t xml:space="preserve"> </w:t>
            </w:r>
            <w:r w:rsidR="00672335" w:rsidRPr="00672335">
              <w:rPr>
                <w:sz w:val="28"/>
                <w:szCs w:val="28"/>
              </w:rPr>
              <w:t xml:space="preserve">ir </w:t>
            </w:r>
            <w:r w:rsidRPr="00672335">
              <w:rPr>
                <w:sz w:val="28"/>
                <w:szCs w:val="28"/>
              </w:rPr>
              <w:t xml:space="preserve">publicēta Finanšu ministrijas tīmekļvietnes sadaļā “Sabiedrības </w:t>
            </w:r>
            <w:r w:rsidRPr="00672335">
              <w:rPr>
                <w:sz w:val="28"/>
                <w:szCs w:val="28"/>
              </w:rPr>
              <w:lastRenderedPageBreak/>
              <w:t>līdzdalība”</w:t>
            </w:r>
            <w:r w:rsidR="00B739C9" w:rsidRPr="00672335">
              <w:t xml:space="preserve"> – “</w:t>
            </w:r>
            <w:r w:rsidR="00B739C9" w:rsidRPr="00672335">
              <w:rPr>
                <w:sz w:val="28"/>
                <w:szCs w:val="28"/>
              </w:rPr>
              <w:t>Tiesību aktu projekti” – “Valsts budžeta politika”</w:t>
            </w:r>
            <w:r w:rsidR="00B739C9" w:rsidRPr="00672335">
              <w:t xml:space="preserve"> (</w:t>
            </w:r>
            <w:r w:rsidR="00B739C9" w:rsidRPr="00672335">
              <w:rPr>
                <w:sz w:val="28"/>
                <w:szCs w:val="28"/>
              </w:rPr>
              <w:t>https://www.fm.gov.lv/lv/mk-noteikumu-projekts-grozijumi-ministru-kabineta-2018-gada-19-junija-noteikumos-nr-345-valsts-ienemumu-dienesta-maksas-pakalpojumu-cenradis)</w:t>
            </w:r>
            <w:r w:rsidR="00B739C9" w:rsidRPr="00672335">
              <w:t xml:space="preserve"> </w:t>
            </w:r>
            <w:r w:rsidR="00B739C9" w:rsidRPr="00672335">
              <w:rPr>
                <w:sz w:val="28"/>
                <w:szCs w:val="28"/>
              </w:rPr>
              <w:t>un Valsts kancelejas tīmekļ</w:t>
            </w:r>
            <w:r w:rsidR="00672335">
              <w:rPr>
                <w:sz w:val="28"/>
                <w:szCs w:val="28"/>
              </w:rPr>
              <w:t>vietnes</w:t>
            </w:r>
            <w:r w:rsidR="00B739C9" w:rsidRPr="00672335">
              <w:rPr>
                <w:sz w:val="28"/>
                <w:szCs w:val="28"/>
              </w:rPr>
              <w:t xml:space="preserve"> sadaļā “Sabiedrības līdzdalība”</w:t>
            </w:r>
            <w:r w:rsidR="00B739C9" w:rsidRPr="00672335">
              <w:t xml:space="preserve"> (</w:t>
            </w:r>
            <w:r w:rsidR="00B739C9" w:rsidRPr="00672335">
              <w:rPr>
                <w:sz w:val="28"/>
                <w:szCs w:val="28"/>
              </w:rPr>
              <w:t>https://www.mk.gov.lv/lv/ministru-kabineta-diskusiju-dokumenti).</w:t>
            </w:r>
          </w:p>
        </w:tc>
      </w:tr>
      <w:tr w:rsidR="003B1A79" w:rsidRPr="00300104" w14:paraId="1BE8E1E7" w14:textId="77777777" w:rsidTr="00CC2C0A">
        <w:tc>
          <w:tcPr>
            <w:tcW w:w="292" w:type="pct"/>
            <w:hideMark/>
          </w:tcPr>
          <w:p w14:paraId="5E1ECD40" w14:textId="77777777" w:rsidR="003B1A79" w:rsidRPr="00DE6A31" w:rsidRDefault="003B1A79" w:rsidP="0062535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809" w:type="pct"/>
            <w:hideMark/>
          </w:tcPr>
          <w:p w14:paraId="5EB4E8BD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Sabiedrības līdzdalības rezultāti</w:t>
            </w:r>
          </w:p>
        </w:tc>
        <w:tc>
          <w:tcPr>
            <w:tcW w:w="3899" w:type="pct"/>
            <w:hideMark/>
          </w:tcPr>
          <w:p w14:paraId="5D51885B" w14:textId="6981ECD9" w:rsidR="003B1A79" w:rsidRPr="00DE6A31" w:rsidRDefault="005D47AA" w:rsidP="002671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Iebildumi un priekšlikumi nav saņemti</w:t>
            </w:r>
            <w:r w:rsidR="009A4A90" w:rsidRPr="00DE6A31">
              <w:rPr>
                <w:sz w:val="28"/>
                <w:szCs w:val="28"/>
              </w:rPr>
              <w:t>.</w:t>
            </w:r>
          </w:p>
        </w:tc>
      </w:tr>
      <w:tr w:rsidR="003B1A79" w:rsidRPr="00300104" w14:paraId="342E11B6" w14:textId="77777777" w:rsidTr="00CC2C0A">
        <w:tc>
          <w:tcPr>
            <w:tcW w:w="292" w:type="pct"/>
            <w:hideMark/>
          </w:tcPr>
          <w:p w14:paraId="502F2266" w14:textId="77777777" w:rsidR="003B1A79" w:rsidRPr="00DE6A31" w:rsidRDefault="003B1A79" w:rsidP="0062535A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4.</w:t>
            </w:r>
          </w:p>
        </w:tc>
        <w:tc>
          <w:tcPr>
            <w:tcW w:w="809" w:type="pct"/>
            <w:hideMark/>
          </w:tcPr>
          <w:p w14:paraId="3B4787D5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Cita informācija</w:t>
            </w:r>
          </w:p>
        </w:tc>
        <w:tc>
          <w:tcPr>
            <w:tcW w:w="3899" w:type="pct"/>
            <w:hideMark/>
          </w:tcPr>
          <w:p w14:paraId="4232DBFB" w14:textId="000E532D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Nav</w:t>
            </w:r>
          </w:p>
        </w:tc>
      </w:tr>
    </w:tbl>
    <w:p w14:paraId="29050D8B" w14:textId="77777777" w:rsidR="004465B2" w:rsidRPr="00DE6A31" w:rsidRDefault="004465B2" w:rsidP="003B1A79">
      <w:pPr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6"/>
        <w:gridCol w:w="3198"/>
        <w:gridCol w:w="5705"/>
      </w:tblGrid>
      <w:tr w:rsidR="003B1A79" w:rsidRPr="00300104" w14:paraId="113AE95A" w14:textId="77777777" w:rsidTr="003B1A79">
        <w:tc>
          <w:tcPr>
            <w:tcW w:w="0" w:type="auto"/>
            <w:gridSpan w:val="3"/>
            <w:hideMark/>
          </w:tcPr>
          <w:p w14:paraId="17CC3C88" w14:textId="3747EF0F" w:rsidR="003B1A79" w:rsidRPr="00DE6A31" w:rsidRDefault="003B1A79" w:rsidP="00672335">
            <w:pPr>
              <w:spacing w:before="100" w:beforeAutospacing="1" w:after="100" w:afterAutospacing="1" w:line="293" w:lineRule="atLeast"/>
              <w:jc w:val="center"/>
              <w:rPr>
                <w:b/>
                <w:bCs/>
                <w:sz w:val="28"/>
                <w:szCs w:val="28"/>
              </w:rPr>
            </w:pPr>
            <w:r w:rsidRPr="00DE6A31">
              <w:rPr>
                <w:b/>
                <w:bCs/>
                <w:sz w:val="28"/>
                <w:szCs w:val="28"/>
              </w:rPr>
              <w:t>VII.</w:t>
            </w:r>
            <w:r w:rsidR="00672335">
              <w:rPr>
                <w:b/>
                <w:bCs/>
                <w:sz w:val="28"/>
                <w:szCs w:val="28"/>
              </w:rPr>
              <w:t> </w:t>
            </w:r>
            <w:r w:rsidRPr="00DE6A31">
              <w:rPr>
                <w:b/>
                <w:bCs/>
                <w:sz w:val="28"/>
                <w:szCs w:val="28"/>
              </w:rPr>
              <w:t>Tiesību akta projekta izpildes nodrošināšana un tās ietekme uz institūcijām</w:t>
            </w:r>
          </w:p>
        </w:tc>
      </w:tr>
      <w:tr w:rsidR="003B1A79" w:rsidRPr="00300104" w14:paraId="0C1FE5E8" w14:textId="77777777" w:rsidTr="003B1A79">
        <w:tc>
          <w:tcPr>
            <w:tcW w:w="361" w:type="pct"/>
            <w:hideMark/>
          </w:tcPr>
          <w:p w14:paraId="1C16E129" w14:textId="77777777" w:rsidR="003B1A79" w:rsidRPr="00DE6A31" w:rsidRDefault="003B1A79" w:rsidP="003B1A79">
            <w:pPr>
              <w:spacing w:before="100" w:beforeAutospacing="1" w:after="100" w:afterAutospacing="1" w:line="360" w:lineRule="auto"/>
              <w:ind w:firstLine="300"/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1.</w:t>
            </w:r>
          </w:p>
        </w:tc>
        <w:tc>
          <w:tcPr>
            <w:tcW w:w="1669" w:type="pct"/>
            <w:hideMark/>
          </w:tcPr>
          <w:p w14:paraId="34C8B5F7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Projekta izpildē iesaistītās institūcijas</w:t>
            </w:r>
          </w:p>
        </w:tc>
        <w:tc>
          <w:tcPr>
            <w:tcW w:w="2969" w:type="pct"/>
            <w:hideMark/>
          </w:tcPr>
          <w:p w14:paraId="12F996EE" w14:textId="4099A496" w:rsidR="003B1A79" w:rsidRPr="00DE6A31" w:rsidRDefault="00A35E8B" w:rsidP="00A35E8B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VID</w:t>
            </w:r>
          </w:p>
        </w:tc>
      </w:tr>
      <w:tr w:rsidR="003B1A79" w:rsidRPr="00300104" w14:paraId="3F6451C9" w14:textId="77777777" w:rsidTr="003B1A79">
        <w:tc>
          <w:tcPr>
            <w:tcW w:w="361" w:type="pct"/>
            <w:hideMark/>
          </w:tcPr>
          <w:p w14:paraId="3EC3A6A9" w14:textId="77777777" w:rsidR="003B1A79" w:rsidRPr="00DE6A31" w:rsidRDefault="003B1A79" w:rsidP="003B1A79">
            <w:pPr>
              <w:spacing w:before="100" w:beforeAutospacing="1" w:after="100" w:afterAutospacing="1" w:line="360" w:lineRule="auto"/>
              <w:ind w:firstLine="300"/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2.</w:t>
            </w:r>
          </w:p>
        </w:tc>
        <w:tc>
          <w:tcPr>
            <w:tcW w:w="1669" w:type="pct"/>
            <w:hideMark/>
          </w:tcPr>
          <w:p w14:paraId="72DD6FC4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Projekta izpildes ietekme uz pārvaldes funkcijām un institucionālo struktūru.</w:t>
            </w:r>
            <w:r w:rsidRPr="00DE6A31">
              <w:rPr>
                <w:sz w:val="28"/>
                <w:szCs w:val="28"/>
              </w:rPr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2969" w:type="pct"/>
            <w:hideMark/>
          </w:tcPr>
          <w:p w14:paraId="3415B242" w14:textId="6CCA54FD" w:rsidR="003B1A79" w:rsidRPr="00DE6A31" w:rsidRDefault="00DE5BA7" w:rsidP="00986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Noteikumu projekt</w:t>
            </w:r>
            <w:r w:rsidR="00791753">
              <w:rPr>
                <w:sz w:val="28"/>
                <w:szCs w:val="28"/>
              </w:rPr>
              <w:t>a</w:t>
            </w:r>
            <w:r w:rsidR="003B1A79" w:rsidRPr="00DE6A31">
              <w:rPr>
                <w:sz w:val="28"/>
                <w:szCs w:val="28"/>
              </w:rPr>
              <w:t xml:space="preserve"> izpilde tiks nodrošināta līdzšinējo funkciju ietvaros. Jaunas institūcijas netiks izveidotas, netiks veikta esošu institūciju likvidācija vai reorganizācija.</w:t>
            </w:r>
            <w:r w:rsidR="005D47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Noteikumu p</w:t>
            </w:r>
            <w:r w:rsidR="005D47AA">
              <w:rPr>
                <w:sz w:val="28"/>
                <w:szCs w:val="28"/>
              </w:rPr>
              <w:t>rojekts tiks realizēts esošo cilvēkresursu ietvaros.</w:t>
            </w:r>
          </w:p>
        </w:tc>
      </w:tr>
      <w:tr w:rsidR="003B1A79" w:rsidRPr="00300104" w14:paraId="24FAD0D8" w14:textId="77777777" w:rsidTr="003B1A79">
        <w:tc>
          <w:tcPr>
            <w:tcW w:w="361" w:type="pct"/>
            <w:hideMark/>
          </w:tcPr>
          <w:p w14:paraId="06A274A0" w14:textId="77777777" w:rsidR="003B1A79" w:rsidRPr="00DE6A31" w:rsidRDefault="003B1A79" w:rsidP="003B1A79">
            <w:pPr>
              <w:spacing w:before="100" w:beforeAutospacing="1" w:after="100" w:afterAutospacing="1" w:line="360" w:lineRule="auto"/>
              <w:ind w:firstLine="300"/>
              <w:jc w:val="center"/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3.</w:t>
            </w:r>
          </w:p>
        </w:tc>
        <w:tc>
          <w:tcPr>
            <w:tcW w:w="1669" w:type="pct"/>
            <w:hideMark/>
          </w:tcPr>
          <w:p w14:paraId="2160C11E" w14:textId="77777777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Cita informācija</w:t>
            </w:r>
          </w:p>
        </w:tc>
        <w:tc>
          <w:tcPr>
            <w:tcW w:w="2969" w:type="pct"/>
            <w:hideMark/>
          </w:tcPr>
          <w:p w14:paraId="17DD6F12" w14:textId="614BF405" w:rsidR="003B1A79" w:rsidRPr="00DE6A31" w:rsidRDefault="003B1A79" w:rsidP="003B1A79">
            <w:pPr>
              <w:rPr>
                <w:sz w:val="28"/>
                <w:szCs w:val="28"/>
              </w:rPr>
            </w:pPr>
            <w:r w:rsidRPr="00DE6A31">
              <w:rPr>
                <w:sz w:val="28"/>
                <w:szCs w:val="28"/>
              </w:rPr>
              <w:t>Nav</w:t>
            </w:r>
          </w:p>
        </w:tc>
      </w:tr>
    </w:tbl>
    <w:p w14:paraId="452AB700" w14:textId="77777777" w:rsidR="00214094" w:rsidRPr="00300104" w:rsidRDefault="00214094" w:rsidP="00D53978">
      <w:pPr>
        <w:pStyle w:val="naisf"/>
        <w:tabs>
          <w:tab w:val="left" w:pos="5760"/>
        </w:tabs>
        <w:spacing w:before="0" w:after="0"/>
        <w:ind w:firstLine="0"/>
        <w:rPr>
          <w:sz w:val="28"/>
          <w:szCs w:val="28"/>
        </w:rPr>
      </w:pPr>
    </w:p>
    <w:p w14:paraId="12BB4E40" w14:textId="0D562682" w:rsidR="008D5DC0" w:rsidRDefault="008D5DC0" w:rsidP="00D53978">
      <w:pPr>
        <w:pStyle w:val="naisf"/>
        <w:spacing w:before="0" w:after="0"/>
        <w:ind w:firstLine="0"/>
        <w:rPr>
          <w:sz w:val="28"/>
          <w:szCs w:val="28"/>
        </w:rPr>
      </w:pPr>
    </w:p>
    <w:p w14:paraId="36B59929" w14:textId="617AC3E3" w:rsidR="008D5DC0" w:rsidRPr="00300104" w:rsidRDefault="006A17AE" w:rsidP="00D20F6C">
      <w:pPr>
        <w:pStyle w:val="naisf"/>
        <w:tabs>
          <w:tab w:val="left" w:pos="8080"/>
        </w:tabs>
        <w:spacing w:before="0" w:after="0"/>
        <w:ind w:firstLine="0"/>
        <w:rPr>
          <w:sz w:val="28"/>
          <w:szCs w:val="28"/>
        </w:rPr>
      </w:pPr>
      <w:r w:rsidRPr="00300104">
        <w:rPr>
          <w:sz w:val="28"/>
          <w:szCs w:val="28"/>
        </w:rPr>
        <w:t>Finanšu ministr</w:t>
      </w:r>
      <w:r w:rsidR="006F5BE2">
        <w:rPr>
          <w:sz w:val="28"/>
          <w:szCs w:val="28"/>
        </w:rPr>
        <w:t>s</w:t>
      </w:r>
      <w:r w:rsidRPr="00300104">
        <w:rPr>
          <w:sz w:val="28"/>
          <w:szCs w:val="28"/>
        </w:rPr>
        <w:t xml:space="preserve"> </w:t>
      </w:r>
      <w:r w:rsidR="00D20F6C">
        <w:rPr>
          <w:sz w:val="28"/>
          <w:szCs w:val="28"/>
        </w:rPr>
        <w:tab/>
      </w:r>
      <w:r w:rsidR="006F5BE2">
        <w:rPr>
          <w:sz w:val="28"/>
          <w:szCs w:val="28"/>
        </w:rPr>
        <w:t>J. Reirs</w:t>
      </w:r>
    </w:p>
    <w:p w14:paraId="6FC17E4D" w14:textId="43FF3A62" w:rsidR="008D5DC0" w:rsidRDefault="008D5DC0" w:rsidP="00D53978">
      <w:pPr>
        <w:pStyle w:val="naisf"/>
        <w:spacing w:before="0" w:after="0"/>
        <w:ind w:firstLine="0"/>
        <w:rPr>
          <w:sz w:val="28"/>
          <w:szCs w:val="28"/>
        </w:rPr>
      </w:pPr>
    </w:p>
    <w:p w14:paraId="316F9419" w14:textId="20915C66" w:rsidR="00CE0A2D" w:rsidRDefault="00CE0A2D" w:rsidP="00D53978">
      <w:pPr>
        <w:pStyle w:val="naisf"/>
        <w:spacing w:before="0" w:after="0"/>
        <w:ind w:firstLine="0"/>
        <w:rPr>
          <w:sz w:val="28"/>
          <w:szCs w:val="28"/>
        </w:rPr>
      </w:pPr>
    </w:p>
    <w:p w14:paraId="5B3F8D6A" w14:textId="77777777" w:rsidR="00DE5BA7" w:rsidRDefault="00DE5BA7" w:rsidP="00D53978"/>
    <w:p w14:paraId="7C993BAE" w14:textId="77777777" w:rsidR="00DE5BA7" w:rsidRDefault="00DE5BA7" w:rsidP="00D53978"/>
    <w:p w14:paraId="3E8ED339" w14:textId="77777777" w:rsidR="00DE5BA7" w:rsidRDefault="00DE5BA7" w:rsidP="00D53978"/>
    <w:p w14:paraId="1CAF5FC4" w14:textId="77777777" w:rsidR="00DE5BA7" w:rsidRDefault="00DE5BA7" w:rsidP="00D53978"/>
    <w:p w14:paraId="6D1749F4" w14:textId="084A125E" w:rsidR="00041B28" w:rsidRPr="00D20F6C" w:rsidRDefault="006F5BE2" w:rsidP="00D53978">
      <w:r w:rsidRPr="00D20F6C">
        <w:t>Ņetjosins</w:t>
      </w:r>
      <w:r w:rsidR="006A17AE" w:rsidRPr="00D20F6C">
        <w:t xml:space="preserve"> 6712024</w:t>
      </w:r>
      <w:r w:rsidRPr="00D20F6C">
        <w:t>6</w:t>
      </w:r>
      <w:r w:rsidR="006A17AE" w:rsidRPr="00D20F6C">
        <w:t xml:space="preserve"> </w:t>
      </w:r>
    </w:p>
    <w:p w14:paraId="317D0AC1" w14:textId="7CA442DD" w:rsidR="00685ABC" w:rsidRPr="00300104" w:rsidRDefault="00A174E1" w:rsidP="00D53978">
      <w:pPr>
        <w:rPr>
          <w:sz w:val="28"/>
          <w:szCs w:val="28"/>
        </w:rPr>
      </w:pPr>
      <w:hyperlink r:id="rId12" w:history="1">
        <w:r w:rsidR="006F5BE2" w:rsidRPr="002671C8">
          <w:rPr>
            <w:rStyle w:val="Hyperlink"/>
            <w:color w:val="auto"/>
            <w:u w:val="none"/>
          </w:rPr>
          <w:t>aleksejs.netjosins@vid.gov.lv</w:t>
        </w:r>
      </w:hyperlink>
    </w:p>
    <w:sectPr w:rsidR="00685ABC" w:rsidRPr="00300104" w:rsidSect="003B1A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849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841B5" w14:textId="77777777" w:rsidR="00A174E1" w:rsidRDefault="00A174E1">
      <w:r>
        <w:separator/>
      </w:r>
    </w:p>
  </w:endnote>
  <w:endnote w:type="continuationSeparator" w:id="0">
    <w:p w14:paraId="10341C11" w14:textId="77777777" w:rsidR="00A174E1" w:rsidRDefault="00A1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0316F" w14:textId="77777777" w:rsidR="00B314B4" w:rsidRDefault="00B314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9DDEE" w14:textId="263F7877" w:rsidR="00736856" w:rsidRPr="009271EC" w:rsidRDefault="009271EC" w:rsidP="009271EC">
    <w:pPr>
      <w:pStyle w:val="Footer"/>
      <w:rPr>
        <w:sz w:val="20"/>
      </w:rPr>
    </w:pPr>
    <w:r w:rsidRPr="009271EC">
      <w:rPr>
        <w:sz w:val="20"/>
      </w:rPr>
      <w:fldChar w:fldCharType="begin"/>
    </w:r>
    <w:r w:rsidRPr="009271EC">
      <w:rPr>
        <w:sz w:val="20"/>
        <w:lang w:val="en-US"/>
      </w:rPr>
      <w:instrText xml:space="preserve"> FILENAME \* MERGEFORMAT </w:instrText>
    </w:r>
    <w:r w:rsidRPr="009271EC">
      <w:rPr>
        <w:sz w:val="20"/>
      </w:rPr>
      <w:fldChar w:fldCharType="separate"/>
    </w:r>
    <w:r w:rsidR="00801B2D">
      <w:rPr>
        <w:noProof/>
        <w:sz w:val="20"/>
        <w:lang w:val="en-US"/>
      </w:rPr>
      <w:t>FManot_100821_VID_cenradis</w:t>
    </w:r>
    <w:r w:rsidRPr="009271EC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BB993" w14:textId="6411AEA5" w:rsidR="00736856" w:rsidRPr="00765F6E" w:rsidRDefault="009271EC" w:rsidP="00D01D51">
    <w:pPr>
      <w:pStyle w:val="NormalWeb"/>
      <w:spacing w:before="0" w:beforeAutospacing="0" w:after="0" w:afterAutospacing="0"/>
      <w:jc w:val="both"/>
      <w:rPr>
        <w:b/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\* MERGEFORMAT </w:instrText>
    </w:r>
    <w:r>
      <w:rPr>
        <w:sz w:val="18"/>
        <w:szCs w:val="18"/>
      </w:rPr>
      <w:fldChar w:fldCharType="separate"/>
    </w:r>
    <w:r w:rsidR="00801B2D">
      <w:rPr>
        <w:noProof/>
        <w:sz w:val="18"/>
        <w:szCs w:val="18"/>
      </w:rPr>
      <w:t>FManot_100821_VID_cenradis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495E1" w14:textId="77777777" w:rsidR="00A174E1" w:rsidRDefault="00A174E1">
      <w:r>
        <w:separator/>
      </w:r>
    </w:p>
  </w:footnote>
  <w:footnote w:type="continuationSeparator" w:id="0">
    <w:p w14:paraId="490F60CA" w14:textId="77777777" w:rsidR="00A174E1" w:rsidRDefault="00A17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2419E" w14:textId="77777777" w:rsidR="00736856" w:rsidRDefault="00736856" w:rsidP="003C449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4C4368" w14:textId="77777777" w:rsidR="00736856" w:rsidRDefault="007368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FFC28" w14:textId="7081C398" w:rsidR="00736856" w:rsidRDefault="00736856" w:rsidP="003C449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09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895708" w14:textId="77777777" w:rsidR="00736856" w:rsidRPr="009271EC" w:rsidRDefault="00736856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0E441" w14:textId="77777777" w:rsidR="00B314B4" w:rsidRDefault="00B314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C123E"/>
    <w:multiLevelType w:val="hybridMultilevel"/>
    <w:tmpl w:val="F4B2051A"/>
    <w:lvl w:ilvl="0" w:tplc="E5C42FA6">
      <w:start w:val="1"/>
      <w:numFmt w:val="bullet"/>
      <w:lvlText w:val="▌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AC214A" w:tentative="1">
      <w:start w:val="1"/>
      <w:numFmt w:val="bullet"/>
      <w:lvlText w:val="▌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164E3E" w:tentative="1">
      <w:start w:val="1"/>
      <w:numFmt w:val="bullet"/>
      <w:lvlText w:val="▌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1E60" w:tentative="1">
      <w:start w:val="1"/>
      <w:numFmt w:val="bullet"/>
      <w:lvlText w:val="▌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98ECD8" w:tentative="1">
      <w:start w:val="1"/>
      <w:numFmt w:val="bullet"/>
      <w:lvlText w:val="▌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CCE20E" w:tentative="1">
      <w:start w:val="1"/>
      <w:numFmt w:val="bullet"/>
      <w:lvlText w:val="▌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D8E280" w:tentative="1">
      <w:start w:val="1"/>
      <w:numFmt w:val="bullet"/>
      <w:lvlText w:val="▌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68F6B4" w:tentative="1">
      <w:start w:val="1"/>
      <w:numFmt w:val="bullet"/>
      <w:lvlText w:val="▌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8C91D4" w:tentative="1">
      <w:start w:val="1"/>
      <w:numFmt w:val="bullet"/>
      <w:lvlText w:val="▌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1C0C4F"/>
    <w:multiLevelType w:val="hybridMultilevel"/>
    <w:tmpl w:val="A6D837A8"/>
    <w:lvl w:ilvl="0" w:tplc="AE768F0E">
      <w:start w:val="1"/>
      <w:numFmt w:val="bullet"/>
      <w:lvlText w:val="▌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FC3BB6" w:tentative="1">
      <w:start w:val="1"/>
      <w:numFmt w:val="bullet"/>
      <w:lvlText w:val="▌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D032CE" w:tentative="1">
      <w:start w:val="1"/>
      <w:numFmt w:val="bullet"/>
      <w:lvlText w:val="▌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70E7EA" w:tentative="1">
      <w:start w:val="1"/>
      <w:numFmt w:val="bullet"/>
      <w:lvlText w:val="▌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3003C6" w:tentative="1">
      <w:start w:val="1"/>
      <w:numFmt w:val="bullet"/>
      <w:lvlText w:val="▌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46781A" w:tentative="1">
      <w:start w:val="1"/>
      <w:numFmt w:val="bullet"/>
      <w:lvlText w:val="▌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30F4FA" w:tentative="1">
      <w:start w:val="1"/>
      <w:numFmt w:val="bullet"/>
      <w:lvlText w:val="▌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CC9286" w:tentative="1">
      <w:start w:val="1"/>
      <w:numFmt w:val="bullet"/>
      <w:lvlText w:val="▌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849E64" w:tentative="1">
      <w:start w:val="1"/>
      <w:numFmt w:val="bullet"/>
      <w:lvlText w:val="▌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B9B34B7"/>
    <w:multiLevelType w:val="hybridMultilevel"/>
    <w:tmpl w:val="49188FE0"/>
    <w:lvl w:ilvl="0" w:tplc="67AE0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5CF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84B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78C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C2C5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0C0B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C2D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DC87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D6F4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CC6F21"/>
    <w:multiLevelType w:val="hybridMultilevel"/>
    <w:tmpl w:val="2CFE9B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F440C"/>
    <w:multiLevelType w:val="hybridMultilevel"/>
    <w:tmpl w:val="91CCED8A"/>
    <w:lvl w:ilvl="0" w:tplc="978E8B8C">
      <w:start w:val="1"/>
      <w:numFmt w:val="bullet"/>
      <w:lvlText w:val="▌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D641B4" w:tentative="1">
      <w:start w:val="1"/>
      <w:numFmt w:val="bullet"/>
      <w:lvlText w:val="▌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6A314E" w:tentative="1">
      <w:start w:val="1"/>
      <w:numFmt w:val="bullet"/>
      <w:lvlText w:val="▌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D8C7F6" w:tentative="1">
      <w:start w:val="1"/>
      <w:numFmt w:val="bullet"/>
      <w:lvlText w:val="▌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6641EE" w:tentative="1">
      <w:start w:val="1"/>
      <w:numFmt w:val="bullet"/>
      <w:lvlText w:val="▌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86CD2A" w:tentative="1">
      <w:start w:val="1"/>
      <w:numFmt w:val="bullet"/>
      <w:lvlText w:val="▌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E2AB6E" w:tentative="1">
      <w:start w:val="1"/>
      <w:numFmt w:val="bullet"/>
      <w:lvlText w:val="▌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689F6A" w:tentative="1">
      <w:start w:val="1"/>
      <w:numFmt w:val="bullet"/>
      <w:lvlText w:val="▌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4EFD2A" w:tentative="1">
      <w:start w:val="1"/>
      <w:numFmt w:val="bullet"/>
      <w:lvlText w:val="▌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3C50EE"/>
    <w:multiLevelType w:val="hybridMultilevel"/>
    <w:tmpl w:val="ED6856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23A21"/>
    <w:multiLevelType w:val="hybridMultilevel"/>
    <w:tmpl w:val="7F64A1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71E33"/>
    <w:multiLevelType w:val="hybridMultilevel"/>
    <w:tmpl w:val="D3865A0E"/>
    <w:lvl w:ilvl="0" w:tplc="8A0A0B8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3362B8EE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7ECFDD8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2887588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F443218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136358E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D503324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50286DC2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ADCA5B8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2CC821CA"/>
    <w:multiLevelType w:val="hybridMultilevel"/>
    <w:tmpl w:val="08CE17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C5C9A"/>
    <w:multiLevelType w:val="multilevel"/>
    <w:tmpl w:val="82D841C6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 w15:restartNumberingAfterBreak="0">
    <w:nsid w:val="30B95F6E"/>
    <w:multiLevelType w:val="hybridMultilevel"/>
    <w:tmpl w:val="AAA04280"/>
    <w:lvl w:ilvl="0" w:tplc="EACAD464">
      <w:start w:val="1"/>
      <w:numFmt w:val="bullet"/>
      <w:lvlText w:val=""/>
      <w:lvlJc w:val="left"/>
      <w:pPr>
        <w:ind w:left="9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81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53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</w:abstractNum>
  <w:abstractNum w:abstractNumId="11" w15:restartNumberingAfterBreak="0">
    <w:nsid w:val="3E980D35"/>
    <w:multiLevelType w:val="hybridMultilevel"/>
    <w:tmpl w:val="ABEC075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3513493"/>
    <w:multiLevelType w:val="hybridMultilevel"/>
    <w:tmpl w:val="0660EC44"/>
    <w:lvl w:ilvl="0" w:tplc="AA3642E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346C6304" w:tentative="1">
      <w:start w:val="1"/>
      <w:numFmt w:val="lowerLetter"/>
      <w:lvlText w:val="%2."/>
      <w:lvlJc w:val="left"/>
      <w:pPr>
        <w:ind w:left="1320" w:hanging="360"/>
      </w:pPr>
    </w:lvl>
    <w:lvl w:ilvl="2" w:tplc="FD7AF99C" w:tentative="1">
      <w:start w:val="1"/>
      <w:numFmt w:val="lowerRoman"/>
      <w:lvlText w:val="%3."/>
      <w:lvlJc w:val="right"/>
      <w:pPr>
        <w:ind w:left="2040" w:hanging="180"/>
      </w:pPr>
    </w:lvl>
    <w:lvl w:ilvl="3" w:tplc="84C4BE68" w:tentative="1">
      <w:start w:val="1"/>
      <w:numFmt w:val="decimal"/>
      <w:lvlText w:val="%4."/>
      <w:lvlJc w:val="left"/>
      <w:pPr>
        <w:ind w:left="2760" w:hanging="360"/>
      </w:pPr>
    </w:lvl>
    <w:lvl w:ilvl="4" w:tplc="3F840BBE" w:tentative="1">
      <w:start w:val="1"/>
      <w:numFmt w:val="lowerLetter"/>
      <w:lvlText w:val="%5."/>
      <w:lvlJc w:val="left"/>
      <w:pPr>
        <w:ind w:left="3480" w:hanging="360"/>
      </w:pPr>
    </w:lvl>
    <w:lvl w:ilvl="5" w:tplc="CBAE4A40" w:tentative="1">
      <w:start w:val="1"/>
      <w:numFmt w:val="lowerRoman"/>
      <w:lvlText w:val="%6."/>
      <w:lvlJc w:val="right"/>
      <w:pPr>
        <w:ind w:left="4200" w:hanging="180"/>
      </w:pPr>
    </w:lvl>
    <w:lvl w:ilvl="6" w:tplc="00FE8990" w:tentative="1">
      <w:start w:val="1"/>
      <w:numFmt w:val="decimal"/>
      <w:lvlText w:val="%7."/>
      <w:lvlJc w:val="left"/>
      <w:pPr>
        <w:ind w:left="4920" w:hanging="360"/>
      </w:pPr>
    </w:lvl>
    <w:lvl w:ilvl="7" w:tplc="BB8C847A" w:tentative="1">
      <w:start w:val="1"/>
      <w:numFmt w:val="lowerLetter"/>
      <w:lvlText w:val="%8."/>
      <w:lvlJc w:val="left"/>
      <w:pPr>
        <w:ind w:left="5640" w:hanging="360"/>
      </w:pPr>
    </w:lvl>
    <w:lvl w:ilvl="8" w:tplc="C8A4B626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48744A95"/>
    <w:multiLevelType w:val="hybridMultilevel"/>
    <w:tmpl w:val="FA345D46"/>
    <w:lvl w:ilvl="0" w:tplc="63982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99A830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3683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5422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060B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461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22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44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BEB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D72F2E"/>
    <w:multiLevelType w:val="hybridMultilevel"/>
    <w:tmpl w:val="7B04B352"/>
    <w:lvl w:ilvl="0" w:tplc="9970F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8EE364" w:tentative="1">
      <w:start w:val="1"/>
      <w:numFmt w:val="lowerLetter"/>
      <w:lvlText w:val="%2."/>
      <w:lvlJc w:val="left"/>
      <w:pPr>
        <w:ind w:left="1440" w:hanging="360"/>
      </w:pPr>
    </w:lvl>
    <w:lvl w:ilvl="2" w:tplc="348419BC" w:tentative="1">
      <w:start w:val="1"/>
      <w:numFmt w:val="lowerRoman"/>
      <w:lvlText w:val="%3."/>
      <w:lvlJc w:val="right"/>
      <w:pPr>
        <w:ind w:left="2160" w:hanging="180"/>
      </w:pPr>
    </w:lvl>
    <w:lvl w:ilvl="3" w:tplc="B7E201C8" w:tentative="1">
      <w:start w:val="1"/>
      <w:numFmt w:val="decimal"/>
      <w:lvlText w:val="%4."/>
      <w:lvlJc w:val="left"/>
      <w:pPr>
        <w:ind w:left="2880" w:hanging="360"/>
      </w:pPr>
    </w:lvl>
    <w:lvl w:ilvl="4" w:tplc="C8BEA72E" w:tentative="1">
      <w:start w:val="1"/>
      <w:numFmt w:val="lowerLetter"/>
      <w:lvlText w:val="%5."/>
      <w:lvlJc w:val="left"/>
      <w:pPr>
        <w:ind w:left="3600" w:hanging="360"/>
      </w:pPr>
    </w:lvl>
    <w:lvl w:ilvl="5" w:tplc="3E1055F8" w:tentative="1">
      <w:start w:val="1"/>
      <w:numFmt w:val="lowerRoman"/>
      <w:lvlText w:val="%6."/>
      <w:lvlJc w:val="right"/>
      <w:pPr>
        <w:ind w:left="4320" w:hanging="180"/>
      </w:pPr>
    </w:lvl>
    <w:lvl w:ilvl="6" w:tplc="61903D56" w:tentative="1">
      <w:start w:val="1"/>
      <w:numFmt w:val="decimal"/>
      <w:lvlText w:val="%7."/>
      <w:lvlJc w:val="left"/>
      <w:pPr>
        <w:ind w:left="5040" w:hanging="360"/>
      </w:pPr>
    </w:lvl>
    <w:lvl w:ilvl="7" w:tplc="83A4BCAC" w:tentative="1">
      <w:start w:val="1"/>
      <w:numFmt w:val="lowerLetter"/>
      <w:lvlText w:val="%8."/>
      <w:lvlJc w:val="left"/>
      <w:pPr>
        <w:ind w:left="5760" w:hanging="360"/>
      </w:pPr>
    </w:lvl>
    <w:lvl w:ilvl="8" w:tplc="C90A4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24FFD"/>
    <w:multiLevelType w:val="hybridMultilevel"/>
    <w:tmpl w:val="6B562544"/>
    <w:lvl w:ilvl="0" w:tplc="B9741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9C50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B4B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B4D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D08B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1822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902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487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AAC7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137551"/>
    <w:multiLevelType w:val="hybridMultilevel"/>
    <w:tmpl w:val="845087C0"/>
    <w:lvl w:ilvl="0" w:tplc="9E98DE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37ADD50" w:tentative="1">
      <w:start w:val="1"/>
      <w:numFmt w:val="lowerLetter"/>
      <w:lvlText w:val="%2."/>
      <w:lvlJc w:val="left"/>
      <w:pPr>
        <w:ind w:left="1440" w:hanging="360"/>
      </w:pPr>
    </w:lvl>
    <w:lvl w:ilvl="2" w:tplc="D08415B0" w:tentative="1">
      <w:start w:val="1"/>
      <w:numFmt w:val="lowerRoman"/>
      <w:lvlText w:val="%3."/>
      <w:lvlJc w:val="right"/>
      <w:pPr>
        <w:ind w:left="2160" w:hanging="180"/>
      </w:pPr>
    </w:lvl>
    <w:lvl w:ilvl="3" w:tplc="3FEEE2DE" w:tentative="1">
      <w:start w:val="1"/>
      <w:numFmt w:val="decimal"/>
      <w:lvlText w:val="%4."/>
      <w:lvlJc w:val="left"/>
      <w:pPr>
        <w:ind w:left="2880" w:hanging="360"/>
      </w:pPr>
    </w:lvl>
    <w:lvl w:ilvl="4" w:tplc="FC60BBFC" w:tentative="1">
      <w:start w:val="1"/>
      <w:numFmt w:val="lowerLetter"/>
      <w:lvlText w:val="%5."/>
      <w:lvlJc w:val="left"/>
      <w:pPr>
        <w:ind w:left="3600" w:hanging="360"/>
      </w:pPr>
    </w:lvl>
    <w:lvl w:ilvl="5" w:tplc="34841362" w:tentative="1">
      <w:start w:val="1"/>
      <w:numFmt w:val="lowerRoman"/>
      <w:lvlText w:val="%6."/>
      <w:lvlJc w:val="right"/>
      <w:pPr>
        <w:ind w:left="4320" w:hanging="180"/>
      </w:pPr>
    </w:lvl>
    <w:lvl w:ilvl="6" w:tplc="E884C6C2" w:tentative="1">
      <w:start w:val="1"/>
      <w:numFmt w:val="decimal"/>
      <w:lvlText w:val="%7."/>
      <w:lvlJc w:val="left"/>
      <w:pPr>
        <w:ind w:left="5040" w:hanging="360"/>
      </w:pPr>
    </w:lvl>
    <w:lvl w:ilvl="7" w:tplc="7D7A4EB0" w:tentative="1">
      <w:start w:val="1"/>
      <w:numFmt w:val="lowerLetter"/>
      <w:lvlText w:val="%8."/>
      <w:lvlJc w:val="left"/>
      <w:pPr>
        <w:ind w:left="5760" w:hanging="360"/>
      </w:pPr>
    </w:lvl>
    <w:lvl w:ilvl="8" w:tplc="095ED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36F00"/>
    <w:multiLevelType w:val="hybridMultilevel"/>
    <w:tmpl w:val="546C25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D2BC9"/>
    <w:multiLevelType w:val="hybridMultilevel"/>
    <w:tmpl w:val="D75C78A0"/>
    <w:lvl w:ilvl="0" w:tplc="D7E62A3C">
      <w:start w:val="1"/>
      <w:numFmt w:val="bullet"/>
      <w:lvlText w:val="▌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8A32A2" w:tentative="1">
      <w:start w:val="1"/>
      <w:numFmt w:val="bullet"/>
      <w:lvlText w:val="▌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729BF2" w:tentative="1">
      <w:start w:val="1"/>
      <w:numFmt w:val="bullet"/>
      <w:lvlText w:val="▌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4E0C8E" w:tentative="1">
      <w:start w:val="1"/>
      <w:numFmt w:val="bullet"/>
      <w:lvlText w:val="▌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4ECE04" w:tentative="1">
      <w:start w:val="1"/>
      <w:numFmt w:val="bullet"/>
      <w:lvlText w:val="▌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1CB730" w:tentative="1">
      <w:start w:val="1"/>
      <w:numFmt w:val="bullet"/>
      <w:lvlText w:val="▌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36250C" w:tentative="1">
      <w:start w:val="1"/>
      <w:numFmt w:val="bullet"/>
      <w:lvlText w:val="▌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2C688C" w:tentative="1">
      <w:start w:val="1"/>
      <w:numFmt w:val="bullet"/>
      <w:lvlText w:val="▌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40354C" w:tentative="1">
      <w:start w:val="1"/>
      <w:numFmt w:val="bullet"/>
      <w:lvlText w:val="▌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53D3E1B"/>
    <w:multiLevelType w:val="hybridMultilevel"/>
    <w:tmpl w:val="927C3864"/>
    <w:lvl w:ilvl="0" w:tplc="9EB4010E">
      <w:start w:val="1"/>
      <w:numFmt w:val="decimal"/>
      <w:lvlText w:val="%1."/>
      <w:lvlJc w:val="left"/>
      <w:pPr>
        <w:ind w:left="720" w:hanging="360"/>
      </w:pPr>
    </w:lvl>
    <w:lvl w:ilvl="1" w:tplc="C4CA306E" w:tentative="1">
      <w:start w:val="1"/>
      <w:numFmt w:val="lowerLetter"/>
      <w:lvlText w:val="%2."/>
      <w:lvlJc w:val="left"/>
      <w:pPr>
        <w:ind w:left="1440" w:hanging="360"/>
      </w:pPr>
    </w:lvl>
    <w:lvl w:ilvl="2" w:tplc="5FA813BA" w:tentative="1">
      <w:start w:val="1"/>
      <w:numFmt w:val="lowerRoman"/>
      <w:lvlText w:val="%3."/>
      <w:lvlJc w:val="right"/>
      <w:pPr>
        <w:ind w:left="2160" w:hanging="180"/>
      </w:pPr>
    </w:lvl>
    <w:lvl w:ilvl="3" w:tplc="33884292" w:tentative="1">
      <w:start w:val="1"/>
      <w:numFmt w:val="decimal"/>
      <w:lvlText w:val="%4."/>
      <w:lvlJc w:val="left"/>
      <w:pPr>
        <w:ind w:left="2880" w:hanging="360"/>
      </w:pPr>
    </w:lvl>
    <w:lvl w:ilvl="4" w:tplc="368A9B54" w:tentative="1">
      <w:start w:val="1"/>
      <w:numFmt w:val="lowerLetter"/>
      <w:lvlText w:val="%5."/>
      <w:lvlJc w:val="left"/>
      <w:pPr>
        <w:ind w:left="3600" w:hanging="360"/>
      </w:pPr>
    </w:lvl>
    <w:lvl w:ilvl="5" w:tplc="6EC05916" w:tentative="1">
      <w:start w:val="1"/>
      <w:numFmt w:val="lowerRoman"/>
      <w:lvlText w:val="%6."/>
      <w:lvlJc w:val="right"/>
      <w:pPr>
        <w:ind w:left="4320" w:hanging="180"/>
      </w:pPr>
    </w:lvl>
    <w:lvl w:ilvl="6" w:tplc="2B6E83F6" w:tentative="1">
      <w:start w:val="1"/>
      <w:numFmt w:val="decimal"/>
      <w:lvlText w:val="%7."/>
      <w:lvlJc w:val="left"/>
      <w:pPr>
        <w:ind w:left="5040" w:hanging="360"/>
      </w:pPr>
    </w:lvl>
    <w:lvl w:ilvl="7" w:tplc="08529926" w:tentative="1">
      <w:start w:val="1"/>
      <w:numFmt w:val="lowerLetter"/>
      <w:lvlText w:val="%8."/>
      <w:lvlJc w:val="left"/>
      <w:pPr>
        <w:ind w:left="5760" w:hanging="360"/>
      </w:pPr>
    </w:lvl>
    <w:lvl w:ilvl="8" w:tplc="B6489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C7582"/>
    <w:multiLevelType w:val="hybridMultilevel"/>
    <w:tmpl w:val="7ABE272A"/>
    <w:lvl w:ilvl="0" w:tplc="2DF8DC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524F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FCA1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CC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2864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F290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6E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9015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EAA7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61899"/>
    <w:multiLevelType w:val="hybridMultilevel"/>
    <w:tmpl w:val="C4628448"/>
    <w:lvl w:ilvl="0" w:tplc="AEBC01BE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5530671A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C34E3FA4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DAA18A6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DD6ACE8C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68CA6A7C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B29223EC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85DEFF88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C6B0DF20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0C23AF1"/>
    <w:multiLevelType w:val="multilevel"/>
    <w:tmpl w:val="CB0C16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632A1A20"/>
    <w:multiLevelType w:val="hybridMultilevel"/>
    <w:tmpl w:val="CF5202E0"/>
    <w:lvl w:ilvl="0" w:tplc="FE86EC42">
      <w:start w:val="1"/>
      <w:numFmt w:val="bullet"/>
      <w:lvlText w:val="▌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6C2CE0" w:tentative="1">
      <w:start w:val="1"/>
      <w:numFmt w:val="bullet"/>
      <w:lvlText w:val="▌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F86330" w:tentative="1">
      <w:start w:val="1"/>
      <w:numFmt w:val="bullet"/>
      <w:lvlText w:val="▌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8A8CA0" w:tentative="1">
      <w:start w:val="1"/>
      <w:numFmt w:val="bullet"/>
      <w:lvlText w:val="▌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9888B4" w:tentative="1">
      <w:start w:val="1"/>
      <w:numFmt w:val="bullet"/>
      <w:lvlText w:val="▌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ECCC7E" w:tentative="1">
      <w:start w:val="1"/>
      <w:numFmt w:val="bullet"/>
      <w:lvlText w:val="▌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502E56" w:tentative="1">
      <w:start w:val="1"/>
      <w:numFmt w:val="bullet"/>
      <w:lvlText w:val="▌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360FE6" w:tentative="1">
      <w:start w:val="1"/>
      <w:numFmt w:val="bullet"/>
      <w:lvlText w:val="▌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ECD09C" w:tentative="1">
      <w:start w:val="1"/>
      <w:numFmt w:val="bullet"/>
      <w:lvlText w:val="▌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7B54CD8"/>
    <w:multiLevelType w:val="hybridMultilevel"/>
    <w:tmpl w:val="5B7ABA5E"/>
    <w:lvl w:ilvl="0" w:tplc="5420A3A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B354219E">
      <w:start w:val="1"/>
      <w:numFmt w:val="lowerLetter"/>
      <w:lvlText w:val="%2."/>
      <w:lvlJc w:val="left"/>
      <w:pPr>
        <w:ind w:left="1800" w:hanging="360"/>
      </w:pPr>
    </w:lvl>
    <w:lvl w:ilvl="2" w:tplc="3208C80E">
      <w:start w:val="1"/>
      <w:numFmt w:val="lowerRoman"/>
      <w:lvlText w:val="%3."/>
      <w:lvlJc w:val="right"/>
      <w:pPr>
        <w:ind w:left="2520" w:hanging="180"/>
      </w:pPr>
    </w:lvl>
    <w:lvl w:ilvl="3" w:tplc="3520794A">
      <w:start w:val="1"/>
      <w:numFmt w:val="decimal"/>
      <w:lvlText w:val="%4."/>
      <w:lvlJc w:val="left"/>
      <w:pPr>
        <w:ind w:left="3240" w:hanging="360"/>
      </w:pPr>
    </w:lvl>
    <w:lvl w:ilvl="4" w:tplc="A736310E">
      <w:start w:val="1"/>
      <w:numFmt w:val="lowerLetter"/>
      <w:lvlText w:val="%5."/>
      <w:lvlJc w:val="left"/>
      <w:pPr>
        <w:ind w:left="3960" w:hanging="360"/>
      </w:pPr>
    </w:lvl>
    <w:lvl w:ilvl="5" w:tplc="68D66EB0">
      <w:start w:val="1"/>
      <w:numFmt w:val="lowerRoman"/>
      <w:lvlText w:val="%6."/>
      <w:lvlJc w:val="right"/>
      <w:pPr>
        <w:ind w:left="4680" w:hanging="180"/>
      </w:pPr>
    </w:lvl>
    <w:lvl w:ilvl="6" w:tplc="CE542BD2">
      <w:start w:val="1"/>
      <w:numFmt w:val="decimal"/>
      <w:lvlText w:val="%7."/>
      <w:lvlJc w:val="left"/>
      <w:pPr>
        <w:ind w:left="5400" w:hanging="360"/>
      </w:pPr>
    </w:lvl>
    <w:lvl w:ilvl="7" w:tplc="66CADEC4">
      <w:start w:val="1"/>
      <w:numFmt w:val="lowerLetter"/>
      <w:lvlText w:val="%8."/>
      <w:lvlJc w:val="left"/>
      <w:pPr>
        <w:ind w:left="6120" w:hanging="360"/>
      </w:pPr>
    </w:lvl>
    <w:lvl w:ilvl="8" w:tplc="905827FC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F0409C"/>
    <w:multiLevelType w:val="hybridMultilevel"/>
    <w:tmpl w:val="AE545C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4"/>
  </w:num>
  <w:num w:numId="4">
    <w:abstractNumId w:val="1"/>
  </w:num>
  <w:num w:numId="5">
    <w:abstractNumId w:val="0"/>
  </w:num>
  <w:num w:numId="6">
    <w:abstractNumId w:val="18"/>
  </w:num>
  <w:num w:numId="7">
    <w:abstractNumId w:val="23"/>
  </w:num>
  <w:num w:numId="8">
    <w:abstractNumId w:val="13"/>
  </w:num>
  <w:num w:numId="9">
    <w:abstractNumId w:val="2"/>
  </w:num>
  <w:num w:numId="10">
    <w:abstractNumId w:val="14"/>
  </w:num>
  <w:num w:numId="11">
    <w:abstractNumId w:val="15"/>
  </w:num>
  <w:num w:numId="12">
    <w:abstractNumId w:val="20"/>
  </w:num>
  <w:num w:numId="13">
    <w:abstractNumId w:val="21"/>
  </w:num>
  <w:num w:numId="14">
    <w:abstractNumId w:val="16"/>
  </w:num>
  <w:num w:numId="15">
    <w:abstractNumId w:val="12"/>
  </w:num>
  <w:num w:numId="16">
    <w:abstractNumId w:val="7"/>
  </w:num>
  <w:num w:numId="17">
    <w:abstractNumId w:val="19"/>
  </w:num>
  <w:num w:numId="18">
    <w:abstractNumId w:val="11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0"/>
  </w:num>
  <w:num w:numId="22">
    <w:abstractNumId w:val="8"/>
  </w:num>
  <w:num w:numId="23">
    <w:abstractNumId w:val="5"/>
  </w:num>
  <w:num w:numId="24">
    <w:abstractNumId w:val="3"/>
  </w:num>
  <w:num w:numId="25">
    <w:abstractNumId w:val="17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BB3"/>
    <w:rsid w:val="00000352"/>
    <w:rsid w:val="00003D8A"/>
    <w:rsid w:val="000044EC"/>
    <w:rsid w:val="00013586"/>
    <w:rsid w:val="00014239"/>
    <w:rsid w:val="00035853"/>
    <w:rsid w:val="00035BB2"/>
    <w:rsid w:val="00041B28"/>
    <w:rsid w:val="000431E2"/>
    <w:rsid w:val="000441E8"/>
    <w:rsid w:val="00045AE8"/>
    <w:rsid w:val="000628BD"/>
    <w:rsid w:val="00070DBE"/>
    <w:rsid w:val="00072D9F"/>
    <w:rsid w:val="00082B23"/>
    <w:rsid w:val="00092EC7"/>
    <w:rsid w:val="00093F3B"/>
    <w:rsid w:val="000A1730"/>
    <w:rsid w:val="000A1AF9"/>
    <w:rsid w:val="000A3803"/>
    <w:rsid w:val="000A4F1B"/>
    <w:rsid w:val="000A70F8"/>
    <w:rsid w:val="000B739D"/>
    <w:rsid w:val="000C2A7E"/>
    <w:rsid w:val="000C3D91"/>
    <w:rsid w:val="000C5072"/>
    <w:rsid w:val="000D0110"/>
    <w:rsid w:val="000D13A6"/>
    <w:rsid w:val="000D1B23"/>
    <w:rsid w:val="000D1B68"/>
    <w:rsid w:val="000F10F7"/>
    <w:rsid w:val="000F1C5B"/>
    <w:rsid w:val="0010093A"/>
    <w:rsid w:val="001019BF"/>
    <w:rsid w:val="00102E31"/>
    <w:rsid w:val="00105165"/>
    <w:rsid w:val="00113D19"/>
    <w:rsid w:val="00114557"/>
    <w:rsid w:val="00117CDE"/>
    <w:rsid w:val="00123749"/>
    <w:rsid w:val="00125D6B"/>
    <w:rsid w:val="00140836"/>
    <w:rsid w:val="00142B04"/>
    <w:rsid w:val="00142E3E"/>
    <w:rsid w:val="0015060C"/>
    <w:rsid w:val="0015287F"/>
    <w:rsid w:val="00157E4B"/>
    <w:rsid w:val="00161D45"/>
    <w:rsid w:val="0016267D"/>
    <w:rsid w:val="00173ECD"/>
    <w:rsid w:val="00180526"/>
    <w:rsid w:val="00184ED6"/>
    <w:rsid w:val="0018786F"/>
    <w:rsid w:val="00191848"/>
    <w:rsid w:val="001963F8"/>
    <w:rsid w:val="00197D93"/>
    <w:rsid w:val="001A05C0"/>
    <w:rsid w:val="001A0F1A"/>
    <w:rsid w:val="001B58F0"/>
    <w:rsid w:val="001C2DA5"/>
    <w:rsid w:val="001D49D3"/>
    <w:rsid w:val="001D538F"/>
    <w:rsid w:val="001E0F23"/>
    <w:rsid w:val="001E25B4"/>
    <w:rsid w:val="001E350F"/>
    <w:rsid w:val="001E38FD"/>
    <w:rsid w:val="001E54F4"/>
    <w:rsid w:val="001F226E"/>
    <w:rsid w:val="00210B89"/>
    <w:rsid w:val="00214094"/>
    <w:rsid w:val="002272F8"/>
    <w:rsid w:val="0023194E"/>
    <w:rsid w:val="002326BC"/>
    <w:rsid w:val="002342C2"/>
    <w:rsid w:val="00241502"/>
    <w:rsid w:val="00241900"/>
    <w:rsid w:val="00244A82"/>
    <w:rsid w:val="00244B98"/>
    <w:rsid w:val="00253F77"/>
    <w:rsid w:val="00254E59"/>
    <w:rsid w:val="00257B7B"/>
    <w:rsid w:val="00260B15"/>
    <w:rsid w:val="002624C0"/>
    <w:rsid w:val="0026689C"/>
    <w:rsid w:val="002671C8"/>
    <w:rsid w:val="00281372"/>
    <w:rsid w:val="00281988"/>
    <w:rsid w:val="0028294B"/>
    <w:rsid w:val="002911D1"/>
    <w:rsid w:val="00291F6A"/>
    <w:rsid w:val="00293794"/>
    <w:rsid w:val="002A19C2"/>
    <w:rsid w:val="002A2A00"/>
    <w:rsid w:val="002A400B"/>
    <w:rsid w:val="002B0D83"/>
    <w:rsid w:val="002B3079"/>
    <w:rsid w:val="002B7364"/>
    <w:rsid w:val="002C5DE5"/>
    <w:rsid w:val="002D38F3"/>
    <w:rsid w:val="002E183E"/>
    <w:rsid w:val="002E1992"/>
    <w:rsid w:val="002E2A76"/>
    <w:rsid w:val="002E59A4"/>
    <w:rsid w:val="002E67F3"/>
    <w:rsid w:val="002F6930"/>
    <w:rsid w:val="00300104"/>
    <w:rsid w:val="0030278B"/>
    <w:rsid w:val="003040AB"/>
    <w:rsid w:val="00304A87"/>
    <w:rsid w:val="003109EE"/>
    <w:rsid w:val="003117B3"/>
    <w:rsid w:val="0031628A"/>
    <w:rsid w:val="003204F8"/>
    <w:rsid w:val="00333975"/>
    <w:rsid w:val="003403BD"/>
    <w:rsid w:val="00340C2B"/>
    <w:rsid w:val="00344741"/>
    <w:rsid w:val="00344BAE"/>
    <w:rsid w:val="003474E8"/>
    <w:rsid w:val="00361B0D"/>
    <w:rsid w:val="00362B32"/>
    <w:rsid w:val="0036468E"/>
    <w:rsid w:val="00364B0E"/>
    <w:rsid w:val="00372F11"/>
    <w:rsid w:val="003734F2"/>
    <w:rsid w:val="003828A4"/>
    <w:rsid w:val="00397592"/>
    <w:rsid w:val="003A05DD"/>
    <w:rsid w:val="003B1A79"/>
    <w:rsid w:val="003B30AA"/>
    <w:rsid w:val="003B4425"/>
    <w:rsid w:val="003C449B"/>
    <w:rsid w:val="003C6A68"/>
    <w:rsid w:val="003D5A55"/>
    <w:rsid w:val="003D61F8"/>
    <w:rsid w:val="003E246A"/>
    <w:rsid w:val="003E3E27"/>
    <w:rsid w:val="003F2CA1"/>
    <w:rsid w:val="003F6F05"/>
    <w:rsid w:val="004022B0"/>
    <w:rsid w:val="00402FE1"/>
    <w:rsid w:val="00404A62"/>
    <w:rsid w:val="00405893"/>
    <w:rsid w:val="004151FB"/>
    <w:rsid w:val="00415787"/>
    <w:rsid w:val="00415910"/>
    <w:rsid w:val="004165BE"/>
    <w:rsid w:val="00416E5A"/>
    <w:rsid w:val="00430FFB"/>
    <w:rsid w:val="00432184"/>
    <w:rsid w:val="00436FEB"/>
    <w:rsid w:val="0044126E"/>
    <w:rsid w:val="00442075"/>
    <w:rsid w:val="004465B2"/>
    <w:rsid w:val="00457C39"/>
    <w:rsid w:val="00463FE5"/>
    <w:rsid w:val="00465775"/>
    <w:rsid w:val="00467F2D"/>
    <w:rsid w:val="00472147"/>
    <w:rsid w:val="00491B25"/>
    <w:rsid w:val="004923FA"/>
    <w:rsid w:val="004A1FC1"/>
    <w:rsid w:val="004A6CDF"/>
    <w:rsid w:val="004B3534"/>
    <w:rsid w:val="004B5A79"/>
    <w:rsid w:val="004B6D67"/>
    <w:rsid w:val="004C45C9"/>
    <w:rsid w:val="004D198D"/>
    <w:rsid w:val="004D4D27"/>
    <w:rsid w:val="004D6F2E"/>
    <w:rsid w:val="004E1B64"/>
    <w:rsid w:val="004E5CB9"/>
    <w:rsid w:val="004F0E30"/>
    <w:rsid w:val="004F30BF"/>
    <w:rsid w:val="004F3E37"/>
    <w:rsid w:val="00504231"/>
    <w:rsid w:val="00521359"/>
    <w:rsid w:val="00527C57"/>
    <w:rsid w:val="00535A90"/>
    <w:rsid w:val="0053753C"/>
    <w:rsid w:val="00542D57"/>
    <w:rsid w:val="005447DE"/>
    <w:rsid w:val="0055131B"/>
    <w:rsid w:val="005537C6"/>
    <w:rsid w:val="00553FCC"/>
    <w:rsid w:val="00554EFC"/>
    <w:rsid w:val="00561FF5"/>
    <w:rsid w:val="005628AE"/>
    <w:rsid w:val="0056487A"/>
    <w:rsid w:val="00582D16"/>
    <w:rsid w:val="005857D3"/>
    <w:rsid w:val="0059784A"/>
    <w:rsid w:val="005A1532"/>
    <w:rsid w:val="005A30B6"/>
    <w:rsid w:val="005A7FB5"/>
    <w:rsid w:val="005B4B09"/>
    <w:rsid w:val="005C06CB"/>
    <w:rsid w:val="005C17D1"/>
    <w:rsid w:val="005D1722"/>
    <w:rsid w:val="005D47AA"/>
    <w:rsid w:val="005E0382"/>
    <w:rsid w:val="005F1B0A"/>
    <w:rsid w:val="005F385D"/>
    <w:rsid w:val="005F40F9"/>
    <w:rsid w:val="005F45D2"/>
    <w:rsid w:val="005F6482"/>
    <w:rsid w:val="006038A6"/>
    <w:rsid w:val="00611B05"/>
    <w:rsid w:val="00613127"/>
    <w:rsid w:val="00616816"/>
    <w:rsid w:val="00622EDE"/>
    <w:rsid w:val="006251AD"/>
    <w:rsid w:val="0062535A"/>
    <w:rsid w:val="00630451"/>
    <w:rsid w:val="00636950"/>
    <w:rsid w:val="00656093"/>
    <w:rsid w:val="006568BA"/>
    <w:rsid w:val="006618D7"/>
    <w:rsid w:val="00664846"/>
    <w:rsid w:val="00667D6D"/>
    <w:rsid w:val="006707AE"/>
    <w:rsid w:val="00672335"/>
    <w:rsid w:val="00675649"/>
    <w:rsid w:val="00683849"/>
    <w:rsid w:val="0068544F"/>
    <w:rsid w:val="00685ABC"/>
    <w:rsid w:val="006915B6"/>
    <w:rsid w:val="00693503"/>
    <w:rsid w:val="00696556"/>
    <w:rsid w:val="006A1086"/>
    <w:rsid w:val="006A1454"/>
    <w:rsid w:val="006A17AE"/>
    <w:rsid w:val="006A42C9"/>
    <w:rsid w:val="006A43C3"/>
    <w:rsid w:val="006A4724"/>
    <w:rsid w:val="006B1986"/>
    <w:rsid w:val="006B384A"/>
    <w:rsid w:val="006B3C18"/>
    <w:rsid w:val="006C3714"/>
    <w:rsid w:val="006C483E"/>
    <w:rsid w:val="006C52A5"/>
    <w:rsid w:val="006D5CC9"/>
    <w:rsid w:val="006D690D"/>
    <w:rsid w:val="006E2D5D"/>
    <w:rsid w:val="006E6BC9"/>
    <w:rsid w:val="006E6EEF"/>
    <w:rsid w:val="006E7088"/>
    <w:rsid w:val="006F5BE2"/>
    <w:rsid w:val="006F6E07"/>
    <w:rsid w:val="006F7A5C"/>
    <w:rsid w:val="00702453"/>
    <w:rsid w:val="007029DA"/>
    <w:rsid w:val="007115E0"/>
    <w:rsid w:val="00711DC1"/>
    <w:rsid w:val="00714FF9"/>
    <w:rsid w:val="00715AD2"/>
    <w:rsid w:val="00727EC5"/>
    <w:rsid w:val="007305BC"/>
    <w:rsid w:val="00736856"/>
    <w:rsid w:val="00743509"/>
    <w:rsid w:val="007457CB"/>
    <w:rsid w:val="00746217"/>
    <w:rsid w:val="00755CD5"/>
    <w:rsid w:val="0075726E"/>
    <w:rsid w:val="007607EF"/>
    <w:rsid w:val="00761B2C"/>
    <w:rsid w:val="00765F6E"/>
    <w:rsid w:val="00770F22"/>
    <w:rsid w:val="00773CD2"/>
    <w:rsid w:val="0077482E"/>
    <w:rsid w:val="00790713"/>
    <w:rsid w:val="00791753"/>
    <w:rsid w:val="00797568"/>
    <w:rsid w:val="007A041C"/>
    <w:rsid w:val="007A095F"/>
    <w:rsid w:val="007A3877"/>
    <w:rsid w:val="007A5674"/>
    <w:rsid w:val="007B11A7"/>
    <w:rsid w:val="007B2E70"/>
    <w:rsid w:val="007B6C31"/>
    <w:rsid w:val="007C0511"/>
    <w:rsid w:val="007C36B8"/>
    <w:rsid w:val="007C4CD6"/>
    <w:rsid w:val="007C5346"/>
    <w:rsid w:val="007C7502"/>
    <w:rsid w:val="007E21F1"/>
    <w:rsid w:val="007E378F"/>
    <w:rsid w:val="007E4445"/>
    <w:rsid w:val="007E44D3"/>
    <w:rsid w:val="007E457C"/>
    <w:rsid w:val="007E4912"/>
    <w:rsid w:val="007F03D0"/>
    <w:rsid w:val="00801B2D"/>
    <w:rsid w:val="0081243C"/>
    <w:rsid w:val="0081412F"/>
    <w:rsid w:val="00816574"/>
    <w:rsid w:val="00821F25"/>
    <w:rsid w:val="00827E56"/>
    <w:rsid w:val="008317D6"/>
    <w:rsid w:val="00834743"/>
    <w:rsid w:val="00841AFB"/>
    <w:rsid w:val="00850208"/>
    <w:rsid w:val="0086117C"/>
    <w:rsid w:val="00863F1E"/>
    <w:rsid w:val="00866CAB"/>
    <w:rsid w:val="00870675"/>
    <w:rsid w:val="00871021"/>
    <w:rsid w:val="00871AC9"/>
    <w:rsid w:val="00872FC3"/>
    <w:rsid w:val="00881B6F"/>
    <w:rsid w:val="00884EDA"/>
    <w:rsid w:val="0088611D"/>
    <w:rsid w:val="00886B71"/>
    <w:rsid w:val="00893E3E"/>
    <w:rsid w:val="0089511E"/>
    <w:rsid w:val="008A3982"/>
    <w:rsid w:val="008B3692"/>
    <w:rsid w:val="008C5649"/>
    <w:rsid w:val="008D5DC0"/>
    <w:rsid w:val="008E161B"/>
    <w:rsid w:val="008E3527"/>
    <w:rsid w:val="008E4481"/>
    <w:rsid w:val="008E6C6F"/>
    <w:rsid w:val="008F234E"/>
    <w:rsid w:val="008F2AA3"/>
    <w:rsid w:val="008F650C"/>
    <w:rsid w:val="009012AF"/>
    <w:rsid w:val="00904BAD"/>
    <w:rsid w:val="00911664"/>
    <w:rsid w:val="0091393C"/>
    <w:rsid w:val="009271EC"/>
    <w:rsid w:val="00931172"/>
    <w:rsid w:val="00931996"/>
    <w:rsid w:val="009358B2"/>
    <w:rsid w:val="009467B0"/>
    <w:rsid w:val="00951C35"/>
    <w:rsid w:val="00954410"/>
    <w:rsid w:val="009550F1"/>
    <w:rsid w:val="009611A5"/>
    <w:rsid w:val="0096558B"/>
    <w:rsid w:val="009665E1"/>
    <w:rsid w:val="00980E18"/>
    <w:rsid w:val="00983BE1"/>
    <w:rsid w:val="00985AD3"/>
    <w:rsid w:val="00986583"/>
    <w:rsid w:val="009878FC"/>
    <w:rsid w:val="00996A66"/>
    <w:rsid w:val="00997452"/>
    <w:rsid w:val="009A10EA"/>
    <w:rsid w:val="009A4A90"/>
    <w:rsid w:val="009B4123"/>
    <w:rsid w:val="009B6A00"/>
    <w:rsid w:val="009C1787"/>
    <w:rsid w:val="009D2D5E"/>
    <w:rsid w:val="009D62FD"/>
    <w:rsid w:val="009D7F3C"/>
    <w:rsid w:val="009E2364"/>
    <w:rsid w:val="009E6424"/>
    <w:rsid w:val="009E72E3"/>
    <w:rsid w:val="009E7D03"/>
    <w:rsid w:val="009F00ED"/>
    <w:rsid w:val="009F097D"/>
    <w:rsid w:val="009F1171"/>
    <w:rsid w:val="009F37F8"/>
    <w:rsid w:val="009F7567"/>
    <w:rsid w:val="00A05AA3"/>
    <w:rsid w:val="00A12A49"/>
    <w:rsid w:val="00A1368E"/>
    <w:rsid w:val="00A15565"/>
    <w:rsid w:val="00A174E1"/>
    <w:rsid w:val="00A17D8E"/>
    <w:rsid w:val="00A21699"/>
    <w:rsid w:val="00A26A20"/>
    <w:rsid w:val="00A27354"/>
    <w:rsid w:val="00A27F5A"/>
    <w:rsid w:val="00A35E8B"/>
    <w:rsid w:val="00A42FEB"/>
    <w:rsid w:val="00A4350A"/>
    <w:rsid w:val="00A47301"/>
    <w:rsid w:val="00A51ED8"/>
    <w:rsid w:val="00A61896"/>
    <w:rsid w:val="00A632DE"/>
    <w:rsid w:val="00A72730"/>
    <w:rsid w:val="00A7298B"/>
    <w:rsid w:val="00A77EA3"/>
    <w:rsid w:val="00A87440"/>
    <w:rsid w:val="00AA457D"/>
    <w:rsid w:val="00AA656D"/>
    <w:rsid w:val="00AA6BD6"/>
    <w:rsid w:val="00AB0A1B"/>
    <w:rsid w:val="00AB0CC2"/>
    <w:rsid w:val="00AB3A08"/>
    <w:rsid w:val="00AC0B08"/>
    <w:rsid w:val="00AD56EF"/>
    <w:rsid w:val="00AE0458"/>
    <w:rsid w:val="00AF0F73"/>
    <w:rsid w:val="00AF1EED"/>
    <w:rsid w:val="00AF7C43"/>
    <w:rsid w:val="00B00949"/>
    <w:rsid w:val="00B02C25"/>
    <w:rsid w:val="00B228C6"/>
    <w:rsid w:val="00B24D78"/>
    <w:rsid w:val="00B25991"/>
    <w:rsid w:val="00B26BB3"/>
    <w:rsid w:val="00B314B4"/>
    <w:rsid w:val="00B31CB0"/>
    <w:rsid w:val="00B40295"/>
    <w:rsid w:val="00B423F7"/>
    <w:rsid w:val="00B52573"/>
    <w:rsid w:val="00B5733B"/>
    <w:rsid w:val="00B60F84"/>
    <w:rsid w:val="00B64253"/>
    <w:rsid w:val="00B656F5"/>
    <w:rsid w:val="00B70317"/>
    <w:rsid w:val="00B7355F"/>
    <w:rsid w:val="00B739C9"/>
    <w:rsid w:val="00B77169"/>
    <w:rsid w:val="00B82DF2"/>
    <w:rsid w:val="00B830D5"/>
    <w:rsid w:val="00B90865"/>
    <w:rsid w:val="00B90CCC"/>
    <w:rsid w:val="00B9368D"/>
    <w:rsid w:val="00BA18AB"/>
    <w:rsid w:val="00BA26FC"/>
    <w:rsid w:val="00BA4079"/>
    <w:rsid w:val="00BB22B8"/>
    <w:rsid w:val="00BB5C4A"/>
    <w:rsid w:val="00BC0FBF"/>
    <w:rsid w:val="00BC3050"/>
    <w:rsid w:val="00BC312A"/>
    <w:rsid w:val="00BD0445"/>
    <w:rsid w:val="00BD3626"/>
    <w:rsid w:val="00BE047F"/>
    <w:rsid w:val="00BE088B"/>
    <w:rsid w:val="00BE0F3E"/>
    <w:rsid w:val="00BE161D"/>
    <w:rsid w:val="00BE3AE5"/>
    <w:rsid w:val="00BE59FE"/>
    <w:rsid w:val="00BE7E91"/>
    <w:rsid w:val="00C03379"/>
    <w:rsid w:val="00C15700"/>
    <w:rsid w:val="00C15BCB"/>
    <w:rsid w:val="00C219D6"/>
    <w:rsid w:val="00C226B3"/>
    <w:rsid w:val="00C23D8B"/>
    <w:rsid w:val="00C26E47"/>
    <w:rsid w:val="00C277C0"/>
    <w:rsid w:val="00C32759"/>
    <w:rsid w:val="00C43175"/>
    <w:rsid w:val="00C44B35"/>
    <w:rsid w:val="00C46C04"/>
    <w:rsid w:val="00C610CD"/>
    <w:rsid w:val="00C67741"/>
    <w:rsid w:val="00C774A4"/>
    <w:rsid w:val="00C90391"/>
    <w:rsid w:val="00C9265A"/>
    <w:rsid w:val="00CB3958"/>
    <w:rsid w:val="00CB5326"/>
    <w:rsid w:val="00CB64B5"/>
    <w:rsid w:val="00CC0764"/>
    <w:rsid w:val="00CC2C0A"/>
    <w:rsid w:val="00CC4E4F"/>
    <w:rsid w:val="00CD155C"/>
    <w:rsid w:val="00CD5C60"/>
    <w:rsid w:val="00CE0A2D"/>
    <w:rsid w:val="00CE1E75"/>
    <w:rsid w:val="00CE3FBE"/>
    <w:rsid w:val="00CF08E0"/>
    <w:rsid w:val="00D000B9"/>
    <w:rsid w:val="00D01D51"/>
    <w:rsid w:val="00D07BDF"/>
    <w:rsid w:val="00D11F71"/>
    <w:rsid w:val="00D20F6C"/>
    <w:rsid w:val="00D31AF2"/>
    <w:rsid w:val="00D35DFD"/>
    <w:rsid w:val="00D371A4"/>
    <w:rsid w:val="00D41D89"/>
    <w:rsid w:val="00D44A59"/>
    <w:rsid w:val="00D454DC"/>
    <w:rsid w:val="00D46639"/>
    <w:rsid w:val="00D50376"/>
    <w:rsid w:val="00D52AE1"/>
    <w:rsid w:val="00D53978"/>
    <w:rsid w:val="00D55700"/>
    <w:rsid w:val="00D570AF"/>
    <w:rsid w:val="00D63C66"/>
    <w:rsid w:val="00D746E4"/>
    <w:rsid w:val="00D7666D"/>
    <w:rsid w:val="00D968AC"/>
    <w:rsid w:val="00D97BE3"/>
    <w:rsid w:val="00DA03F9"/>
    <w:rsid w:val="00DA6292"/>
    <w:rsid w:val="00DA7A00"/>
    <w:rsid w:val="00DB042B"/>
    <w:rsid w:val="00DB427D"/>
    <w:rsid w:val="00DB5B7C"/>
    <w:rsid w:val="00DC2700"/>
    <w:rsid w:val="00DD02D2"/>
    <w:rsid w:val="00DD073A"/>
    <w:rsid w:val="00DD253B"/>
    <w:rsid w:val="00DD2BA8"/>
    <w:rsid w:val="00DD3431"/>
    <w:rsid w:val="00DD7476"/>
    <w:rsid w:val="00DD7AD4"/>
    <w:rsid w:val="00DE5AA2"/>
    <w:rsid w:val="00DE5BA7"/>
    <w:rsid w:val="00DE6A31"/>
    <w:rsid w:val="00DE7C67"/>
    <w:rsid w:val="00DF15CA"/>
    <w:rsid w:val="00DF3308"/>
    <w:rsid w:val="00DF5335"/>
    <w:rsid w:val="00DF6E15"/>
    <w:rsid w:val="00E01289"/>
    <w:rsid w:val="00E01793"/>
    <w:rsid w:val="00E04566"/>
    <w:rsid w:val="00E07EA6"/>
    <w:rsid w:val="00E101DF"/>
    <w:rsid w:val="00E1440A"/>
    <w:rsid w:val="00E1504F"/>
    <w:rsid w:val="00E22A3E"/>
    <w:rsid w:val="00E31188"/>
    <w:rsid w:val="00E31CF0"/>
    <w:rsid w:val="00E33034"/>
    <w:rsid w:val="00E40D06"/>
    <w:rsid w:val="00E522FB"/>
    <w:rsid w:val="00E542AB"/>
    <w:rsid w:val="00E55491"/>
    <w:rsid w:val="00E62490"/>
    <w:rsid w:val="00E72977"/>
    <w:rsid w:val="00E8787D"/>
    <w:rsid w:val="00E90D06"/>
    <w:rsid w:val="00E940BE"/>
    <w:rsid w:val="00E9502B"/>
    <w:rsid w:val="00E950FC"/>
    <w:rsid w:val="00EC57DB"/>
    <w:rsid w:val="00EC5A55"/>
    <w:rsid w:val="00EC753C"/>
    <w:rsid w:val="00ED2DCE"/>
    <w:rsid w:val="00ED4EBB"/>
    <w:rsid w:val="00ED5EBC"/>
    <w:rsid w:val="00EE1C43"/>
    <w:rsid w:val="00EE5BE6"/>
    <w:rsid w:val="00EE61E9"/>
    <w:rsid w:val="00EF075B"/>
    <w:rsid w:val="00EF64DB"/>
    <w:rsid w:val="00EF6FB8"/>
    <w:rsid w:val="00F011C4"/>
    <w:rsid w:val="00F03EF5"/>
    <w:rsid w:val="00F05A20"/>
    <w:rsid w:val="00F150CD"/>
    <w:rsid w:val="00F16765"/>
    <w:rsid w:val="00F16FF4"/>
    <w:rsid w:val="00F251D9"/>
    <w:rsid w:val="00F27D97"/>
    <w:rsid w:val="00F30AEB"/>
    <w:rsid w:val="00F319C2"/>
    <w:rsid w:val="00F32AB7"/>
    <w:rsid w:val="00F34621"/>
    <w:rsid w:val="00F436D4"/>
    <w:rsid w:val="00F46FB8"/>
    <w:rsid w:val="00F47CFF"/>
    <w:rsid w:val="00F534E3"/>
    <w:rsid w:val="00F553BD"/>
    <w:rsid w:val="00F565E2"/>
    <w:rsid w:val="00F66F3A"/>
    <w:rsid w:val="00F83D3C"/>
    <w:rsid w:val="00F92A06"/>
    <w:rsid w:val="00FA1845"/>
    <w:rsid w:val="00FA3FE0"/>
    <w:rsid w:val="00FA4900"/>
    <w:rsid w:val="00FB3F83"/>
    <w:rsid w:val="00FB44FC"/>
    <w:rsid w:val="00FC6756"/>
    <w:rsid w:val="00FC7904"/>
    <w:rsid w:val="00FD1EEA"/>
    <w:rsid w:val="00FD33DE"/>
    <w:rsid w:val="00FE295A"/>
    <w:rsid w:val="00FE401B"/>
    <w:rsid w:val="00FE7CC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92444F"/>
  <w15:docId w15:val="{790E2EA0-E8AB-4FC3-9EF2-B73FC151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D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564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C5649"/>
  </w:style>
  <w:style w:type="paragraph" w:customStyle="1" w:styleId="naisf">
    <w:name w:val="naisf"/>
    <w:basedOn w:val="Normal"/>
    <w:rsid w:val="008C5649"/>
    <w:pPr>
      <w:spacing w:before="75" w:after="75"/>
      <w:ind w:firstLine="375"/>
      <w:jc w:val="both"/>
    </w:pPr>
  </w:style>
  <w:style w:type="paragraph" w:customStyle="1" w:styleId="naisnod">
    <w:name w:val="naisnod"/>
    <w:basedOn w:val="Normal"/>
    <w:rsid w:val="008C5649"/>
    <w:pPr>
      <w:spacing w:before="150" w:after="150"/>
      <w:jc w:val="center"/>
    </w:pPr>
    <w:rPr>
      <w:b/>
      <w:bCs/>
    </w:rPr>
  </w:style>
  <w:style w:type="paragraph" w:customStyle="1" w:styleId="naislab">
    <w:name w:val="naislab"/>
    <w:basedOn w:val="Normal"/>
    <w:rsid w:val="008C5649"/>
    <w:pPr>
      <w:spacing w:before="75" w:after="75"/>
      <w:jc w:val="right"/>
    </w:pPr>
  </w:style>
  <w:style w:type="paragraph" w:customStyle="1" w:styleId="naiskr">
    <w:name w:val="naiskr"/>
    <w:basedOn w:val="Normal"/>
    <w:rsid w:val="008C5649"/>
    <w:pPr>
      <w:spacing w:before="75" w:after="75"/>
    </w:pPr>
  </w:style>
  <w:style w:type="paragraph" w:customStyle="1" w:styleId="naisc">
    <w:name w:val="naisc"/>
    <w:basedOn w:val="Normal"/>
    <w:rsid w:val="008C5649"/>
    <w:pPr>
      <w:spacing w:before="75" w:after="75"/>
      <w:jc w:val="center"/>
    </w:pPr>
  </w:style>
  <w:style w:type="character" w:customStyle="1" w:styleId="th1">
    <w:name w:val="th1"/>
    <w:rsid w:val="008C5649"/>
    <w:rPr>
      <w:b/>
      <w:bCs/>
      <w:color w:val="333333"/>
    </w:rPr>
  </w:style>
  <w:style w:type="character" w:styleId="CommentReference">
    <w:name w:val="annotation reference"/>
    <w:semiHidden/>
    <w:rsid w:val="008C564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C5649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8C5649"/>
    <w:rPr>
      <w:lang w:val="lv-LV" w:eastAsia="lv-LV" w:bidi="ar-SA"/>
    </w:rPr>
  </w:style>
  <w:style w:type="paragraph" w:styleId="BalloonText">
    <w:name w:val="Balloon Text"/>
    <w:basedOn w:val="Normal"/>
    <w:semiHidden/>
    <w:rsid w:val="008C56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C5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8C5649"/>
    <w:rPr>
      <w:sz w:val="20"/>
      <w:szCs w:val="20"/>
    </w:rPr>
  </w:style>
  <w:style w:type="character" w:styleId="FootnoteReference">
    <w:name w:val="footnote reference"/>
    <w:semiHidden/>
    <w:rsid w:val="008C5649"/>
    <w:rPr>
      <w:vertAlign w:val="superscript"/>
    </w:rPr>
  </w:style>
  <w:style w:type="paragraph" w:styleId="CommentSubject">
    <w:name w:val="annotation subject"/>
    <w:basedOn w:val="CommentText"/>
    <w:next w:val="CommentText"/>
    <w:semiHidden/>
    <w:rsid w:val="00262E2B"/>
    <w:rPr>
      <w:b/>
      <w:bCs/>
    </w:rPr>
  </w:style>
  <w:style w:type="paragraph" w:styleId="Footer">
    <w:name w:val="footer"/>
    <w:basedOn w:val="Normal"/>
    <w:link w:val="FooterChar"/>
    <w:rsid w:val="00262E2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231344"/>
    <w:rPr>
      <w:sz w:val="24"/>
      <w:szCs w:val="24"/>
      <w:lang w:val="lv-LV" w:eastAsia="lv-LV" w:bidi="ar-SA"/>
    </w:rPr>
  </w:style>
  <w:style w:type="character" w:styleId="Hyperlink">
    <w:name w:val="Hyperlink"/>
    <w:rsid w:val="007004FC"/>
    <w:rPr>
      <w:color w:val="0000FF"/>
      <w:u w:val="single"/>
    </w:rPr>
  </w:style>
  <w:style w:type="paragraph" w:styleId="DocumentMap">
    <w:name w:val="Document Map"/>
    <w:basedOn w:val="Normal"/>
    <w:semiHidden/>
    <w:rsid w:val="0084699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link w:val="BodyTextChar"/>
    <w:rsid w:val="008D5DC0"/>
    <w:pPr>
      <w:jc w:val="both"/>
    </w:pPr>
    <w:rPr>
      <w:sz w:val="28"/>
      <w:lang w:eastAsia="en-US"/>
    </w:rPr>
  </w:style>
  <w:style w:type="character" w:customStyle="1" w:styleId="BodyTextChar">
    <w:name w:val="Body Text Char"/>
    <w:link w:val="BodyText"/>
    <w:rsid w:val="008D5DC0"/>
    <w:rPr>
      <w:sz w:val="28"/>
      <w:szCs w:val="24"/>
      <w:lang w:eastAsia="en-US"/>
    </w:rPr>
  </w:style>
  <w:style w:type="paragraph" w:styleId="NormalWeb">
    <w:name w:val="Normal (Web)"/>
    <w:basedOn w:val="Normal"/>
    <w:uiPriority w:val="99"/>
    <w:rsid w:val="008D5DC0"/>
    <w:pPr>
      <w:spacing w:before="100" w:beforeAutospacing="1" w:after="100" w:afterAutospacing="1"/>
    </w:pPr>
    <w:rPr>
      <w:lang w:eastAsia="en-US"/>
    </w:rPr>
  </w:style>
  <w:style w:type="paragraph" w:styleId="Revision">
    <w:name w:val="Revision"/>
    <w:hidden/>
    <w:uiPriority w:val="99"/>
    <w:semiHidden/>
    <w:rsid w:val="009C05C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13C6"/>
    <w:pPr>
      <w:ind w:left="720"/>
      <w:contextualSpacing/>
    </w:pPr>
  </w:style>
  <w:style w:type="paragraph" w:customStyle="1" w:styleId="Normal1">
    <w:name w:val="Normal1"/>
    <w:basedOn w:val="Normal"/>
    <w:rsid w:val="00AC0B08"/>
    <w:pPr>
      <w:spacing w:before="120"/>
      <w:jc w:val="both"/>
    </w:pPr>
    <w:rPr>
      <w:sz w:val="18"/>
      <w:szCs w:val="18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AB0CC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5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9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eksejs.netjosins@vid.gov.l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d.gov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52C48976B619C498B789A3AB076037C" ma:contentTypeVersion="2" ma:contentTypeDescription="Izveidot jaunu dokumentu." ma:contentTypeScope="" ma:versionID="7b7164278237d5ae301cdb7d5eff3b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1724a61c00f74199a8bde9019bf745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5F9BE-2AAC-4867-B6A5-AAE8FC4023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043275-7538-44A8-832B-C74BA2CD5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2796F7-23DA-47BC-B3A0-C5A298BDF8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F6FB21-A9FB-4158-A82A-C341FC93A5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6807</Words>
  <Characters>3880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Noteikumu projekta “Grozījums Ministru kabineta 2018.gada 19.jūnija noteikumos Nr.345 “Valsts ieņēmumu dienesta maksas pakalpojumu cenrādis”” sākotnējās ietekmes novērtējuma ziņojums (anotācija)</vt:lpstr>
    </vt:vector>
  </TitlesOfParts>
  <Company>Finanšu ministrija (VID)</Company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 projekta “Grozījums Ministru kabineta 2018.gada 19.jūnija noteikumos Nr.345 “Valsts ieņēmumu dienesta maksas pakalpojumu cenrādis”” sākotnējās ietekmes novērtējuma ziņojums (anotācija)</dc:title>
  <dc:subject>Noteikumu projekta anotācija</dc:subject>
  <dc:creator>Aleksejs.Netjosins@vid.gov.lv</dc:creator>
  <cp:keywords/>
  <dc:description>67120246, Aleksejs.Netjosins@vid.gov.lv</dc:description>
  <cp:lastModifiedBy>Inguna Dancīte</cp:lastModifiedBy>
  <cp:revision>2</cp:revision>
  <cp:lastPrinted>2018-04-25T07:26:00Z</cp:lastPrinted>
  <dcterms:created xsi:type="dcterms:W3CDTF">2021-08-16T09:20:00Z</dcterms:created>
  <dcterms:modified xsi:type="dcterms:W3CDTF">2021-08-16T09:20:00Z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0x010100552C48976B619C498B789A3AB076037C</vt:lpwstr>
  </property>
</Properties>
</file>