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drawings/drawing8.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drawings/drawing10.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drawings/drawing11.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drawings/drawing12.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drawings/drawing13.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drawings/drawing14.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drawings/drawing15.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drawings/drawing16.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drawings/drawing17.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drawings/drawing18.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drawings/drawing19.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0.xml" ContentType="application/vnd.openxmlformats-officedocument.themeOverride+xml"/>
  <Override PartName="/word/drawings/drawing20.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1.xml" ContentType="application/vnd.openxmlformats-officedocument.themeOverride+xml"/>
  <Override PartName="/word/drawings/drawing21.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2.xml" ContentType="application/vnd.openxmlformats-officedocument.themeOverride+xml"/>
  <Override PartName="/word/drawings/drawing22.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drawings/drawing23.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4.xml" ContentType="application/vnd.openxmlformats-officedocument.themeOverride+xml"/>
  <Override PartName="/word/drawings/drawing24.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5.xml" ContentType="application/vnd.openxmlformats-officedocument.themeOverride+xml"/>
  <Override PartName="/word/drawings/drawing25.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6.xml" ContentType="application/vnd.openxmlformats-officedocument.themeOverride+xml"/>
  <Override PartName="/word/drawings/drawing26.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7.xml" ContentType="application/vnd.openxmlformats-officedocument.themeOverride+xml"/>
  <Override PartName="/word/drawings/drawing27.xml" ContentType="application/vnd.openxmlformats-officedocument.drawingml.chartshapes+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8.xml" ContentType="application/vnd.openxmlformats-officedocument.themeOverride+xml"/>
  <Override PartName="/word/drawings/drawing28.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9.xml" ContentType="application/vnd.openxmlformats-officedocument.themeOverride+xml"/>
  <Override PartName="/word/drawings/drawing29.xml" ContentType="application/vnd.openxmlformats-officedocument.drawingml.chartshapes+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0.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1.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2.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3.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4.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5.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6.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7.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8.xml" ContentType="application/vnd.openxmlformats-officedocument.themeOverride+xml"/>
  <Override PartName="/word/drawings/drawing30.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9.xml" ContentType="application/vnd.openxmlformats-officedocument.themeOverride+xml"/>
  <Override PartName="/word/drawings/drawing31.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0.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1.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2.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6.xml" ContentType="application/vnd.openxmlformats-officedocument.themeOverride+xml"/>
  <Override PartName="/word/drawings/drawing32.xml" ContentType="application/vnd.openxmlformats-officedocument.drawingml.chartshapes+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7.xml" ContentType="application/vnd.openxmlformats-officedocument.themeOverride+xml"/>
  <Override PartName="/word/drawings/drawing33.xml" ContentType="application/vnd.openxmlformats-officedocument.drawingml.chartshapes+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8.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9.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0.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1.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2.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3.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4.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5.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6.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7.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8.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9.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0.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1.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2.xml" ContentType="application/vnd.openxmlformats-officedocument.themeOverride+xml"/>
  <Override PartName="/word/drawings/drawing34.xml" ContentType="application/vnd.openxmlformats-officedocument.drawingml.chartshapes+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3.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4.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5.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6.xml" ContentType="application/vnd.openxmlformats-officedocument.themeOverride+xml"/>
  <Override PartName="/word/drawings/drawing35.xml" ContentType="application/vnd.openxmlformats-officedocument.drawingml.chartshapes+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7.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8.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9.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drawings/drawing36.xml" ContentType="application/vnd.openxmlformats-officedocument.drawingml.chartshapes+xml"/>
  <Override PartName="/word/charts/chart76.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7.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8.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9.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80.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1.xml" ContentType="application/vnd.openxmlformats-officedocument.drawingml.chart+xml"/>
  <Override PartName="/word/charts/style80.xml" ContentType="application/vnd.ms-office.chartstyle+xml"/>
  <Override PartName="/word/charts/colors80.xml" ContentType="application/vnd.ms-office.chartcolorstyle+xml"/>
  <Override PartName="/word/drawings/drawing37.xml" ContentType="application/vnd.openxmlformats-officedocument.drawingml.chartshapes+xml"/>
  <Override PartName="/word/charts/chart82.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3.xml" ContentType="application/vnd.openxmlformats-officedocument.drawingml.chart+xml"/>
  <Override PartName="/word/charts/style82.xml" ContentType="application/vnd.ms-office.chartstyle+xml"/>
  <Override PartName="/word/charts/colors82.xml" ContentType="application/vnd.ms-office.chartcolorstyle+xml"/>
  <Override PartName="/word/drawings/drawing38.xml" ContentType="application/vnd.openxmlformats-officedocument.drawingml.chartshapes+xml"/>
  <Override PartName="/word/charts/chart84.xml" ContentType="application/vnd.openxmlformats-officedocument.drawingml.chart+xml"/>
  <Override PartName="/word/charts/style83.xml" ContentType="application/vnd.ms-office.chartstyle+xml"/>
  <Override PartName="/word/charts/colors83.xml" ContentType="application/vnd.ms-office.chartcolorstyle+xml"/>
  <Override PartName="/word/drawings/drawing39.xml" ContentType="application/vnd.openxmlformats-officedocument.drawingml.chartshapes+xml"/>
  <Override PartName="/word/charts/chart85.xml" ContentType="application/vnd.openxmlformats-officedocument.drawingml.chart+xml"/>
  <Override PartName="/word/charts/style84.xml" ContentType="application/vnd.ms-office.chartstyle+xml"/>
  <Override PartName="/word/charts/colors84.xml" ContentType="application/vnd.ms-office.chartcolorstyle+xml"/>
  <Override PartName="/word/drawings/drawing40.xml" ContentType="application/vnd.openxmlformats-officedocument.drawingml.chartshapes+xml"/>
  <Override PartName="/word/charts/chart86.xml" ContentType="application/vnd.openxmlformats-officedocument.drawingml.chart+xml"/>
  <Override PartName="/word/charts/style85.xml" ContentType="application/vnd.ms-office.chartstyle+xml"/>
  <Override PartName="/word/charts/colors85.xml" ContentType="application/vnd.ms-office.chartcolorstyle+xml"/>
  <Override PartName="/word/drawings/drawing41.xml" ContentType="application/vnd.openxmlformats-officedocument.drawingml.chartshapes+xml"/>
  <Override PartName="/word/charts/chart87.xml" ContentType="application/vnd.openxmlformats-officedocument.drawingml.chart+xml"/>
  <Override PartName="/word/charts/style86.xml" ContentType="application/vnd.ms-office.chartstyle+xml"/>
  <Override PartName="/word/charts/colors86.xml" ContentType="application/vnd.ms-office.chartcolorstyle+xml"/>
  <Override PartName="/word/drawings/drawing42.xml" ContentType="application/vnd.openxmlformats-officedocument.drawingml.chartshapes+xml"/>
  <Override PartName="/word/charts/chart88.xml" ContentType="application/vnd.openxmlformats-officedocument.drawingml.chart+xml"/>
  <Override PartName="/word/charts/style87.xml" ContentType="application/vnd.ms-office.chartstyle+xml"/>
  <Override PartName="/word/charts/colors87.xml" ContentType="application/vnd.ms-office.chartcolorstyle+xml"/>
  <Override PartName="/word/drawings/drawing43.xml" ContentType="application/vnd.openxmlformats-officedocument.drawingml.chartshapes+xml"/>
  <Override PartName="/word/charts/chart89.xml" ContentType="application/vnd.openxmlformats-officedocument.drawingml.chart+xml"/>
  <Override PartName="/word/charts/style88.xml" ContentType="application/vnd.ms-office.chartstyle+xml"/>
  <Override PartName="/word/charts/colors88.xml" ContentType="application/vnd.ms-office.chartcolorstyle+xml"/>
  <Override PartName="/word/drawings/drawing44.xml" ContentType="application/vnd.openxmlformats-officedocument.drawingml.chartshapes+xml"/>
  <Override PartName="/word/charts/chart90.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70.xml" ContentType="application/vnd.openxmlformats-officedocument.themeOverride+xml"/>
  <Override PartName="/word/drawings/drawing45.xml" ContentType="application/vnd.openxmlformats-officedocument.drawingml.chartshapes+xml"/>
  <Override PartName="/word/charts/chartEx1.xml" ContentType="application/vnd.ms-office.chartex+xml"/>
  <Override PartName="/word/charts/style90.xml" ContentType="application/vnd.ms-office.chartstyle+xml"/>
  <Override PartName="/word/charts/colors90.xml" ContentType="application/vnd.ms-office.chartcolorstyle+xml"/>
  <Override PartName="/word/theme/themeOverride71.xml" ContentType="application/vnd.openxmlformats-officedocument.themeOverrid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72.xml" ContentType="application/vnd.openxmlformats-officedocument.themeOverride+xml"/>
  <Override PartName="/word/drawings/drawing46.xml" ContentType="application/vnd.openxmlformats-officedocument.drawingml.chartshapes+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73.xml" ContentType="application/vnd.openxmlformats-officedocument.themeOverride+xml"/>
  <Override PartName="/word/drawings/drawing47.xml" ContentType="application/vnd.openxmlformats-officedocument.drawingml.chartshapes+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74.xml" ContentType="application/vnd.openxmlformats-officedocument.themeOverride+xml"/>
  <Override PartName="/word/drawings/drawing48.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9DE4B" w14:textId="687841FF" w:rsidR="00CE0303" w:rsidRPr="00CE0303" w:rsidRDefault="000F2241" w:rsidP="00CE0303">
      <w:r w:rsidRPr="000F2241">
        <w:rPr>
          <w:noProof/>
          <w:lang w:val="lv-LV" w:eastAsia="lv-LV"/>
        </w:rPr>
        <w:drawing>
          <wp:inline distT="0" distB="0" distL="0" distR="0" wp14:anchorId="2888843B" wp14:editId="71F422D0">
            <wp:extent cx="5760085" cy="3844013"/>
            <wp:effectExtent l="0" t="0" r="0" b="4445"/>
            <wp:docPr id="11" name="Picture 11" descr="D:\Users\fud-allen\Desktop\statistics-3338106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fud-allen\Desktop\statistics-3338106_19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3844013"/>
                    </a:xfrm>
                    <a:prstGeom prst="rect">
                      <a:avLst/>
                    </a:prstGeom>
                    <a:noFill/>
                    <a:ln>
                      <a:noFill/>
                    </a:ln>
                  </pic:spPr>
                </pic:pic>
              </a:graphicData>
            </a:graphic>
          </wp:inline>
        </w:drawing>
      </w:r>
    </w:p>
    <w:p w14:paraId="57AFA705" w14:textId="77777777" w:rsidR="00CE0303" w:rsidRDefault="00CE0303" w:rsidP="00C83DF6">
      <w:pPr>
        <w:tabs>
          <w:tab w:val="left" w:pos="993"/>
        </w:tabs>
        <w:jc w:val="center"/>
        <w:rPr>
          <w:rFonts w:cs="Times New Roman"/>
          <w:b/>
          <w:sz w:val="36"/>
          <w:lang w:val="lv-LV"/>
        </w:rPr>
      </w:pPr>
    </w:p>
    <w:p w14:paraId="2CA2A455" w14:textId="2A7EA5E9" w:rsidR="00C83DF6" w:rsidRDefault="00C83DF6" w:rsidP="00C83DF6">
      <w:pPr>
        <w:tabs>
          <w:tab w:val="left" w:pos="993"/>
        </w:tabs>
        <w:jc w:val="center"/>
        <w:rPr>
          <w:rFonts w:cs="Times New Roman"/>
          <w:b/>
          <w:sz w:val="36"/>
          <w:lang w:val="lv-LV"/>
        </w:rPr>
      </w:pPr>
      <w:r w:rsidRPr="002E2D0A">
        <w:rPr>
          <w:rFonts w:cs="Times New Roman"/>
          <w:b/>
          <w:sz w:val="36"/>
          <w:lang w:val="lv-LV"/>
        </w:rPr>
        <w:t>Informatīvais ziņojums “Par valsts budžeta izdevumu pārskatīšanas rezultātiem un priekšlikumi par šo rezultātu izmantošanu likumprojekta “Par vidēja termiņa budžeta ietvaru 202</w:t>
      </w:r>
      <w:r>
        <w:rPr>
          <w:rFonts w:cs="Times New Roman"/>
          <w:b/>
          <w:sz w:val="36"/>
          <w:lang w:val="lv-LV"/>
        </w:rPr>
        <w:t>2</w:t>
      </w:r>
      <w:r w:rsidRPr="002E2D0A">
        <w:rPr>
          <w:rFonts w:cs="Times New Roman"/>
          <w:b/>
          <w:sz w:val="36"/>
          <w:lang w:val="lv-LV"/>
        </w:rPr>
        <w:t>., 202</w:t>
      </w:r>
      <w:r>
        <w:rPr>
          <w:rFonts w:cs="Times New Roman"/>
          <w:b/>
          <w:sz w:val="36"/>
          <w:lang w:val="lv-LV"/>
        </w:rPr>
        <w:t>3</w:t>
      </w:r>
      <w:r w:rsidRPr="002E2D0A">
        <w:rPr>
          <w:rFonts w:cs="Times New Roman"/>
          <w:b/>
          <w:sz w:val="36"/>
          <w:lang w:val="lv-LV"/>
        </w:rPr>
        <w:t>. un 202</w:t>
      </w:r>
      <w:r>
        <w:rPr>
          <w:rFonts w:cs="Times New Roman"/>
          <w:b/>
          <w:sz w:val="36"/>
          <w:lang w:val="lv-LV"/>
        </w:rPr>
        <w:t>4</w:t>
      </w:r>
      <w:r w:rsidRPr="002E2D0A">
        <w:rPr>
          <w:rFonts w:cs="Times New Roman"/>
          <w:b/>
          <w:sz w:val="36"/>
          <w:lang w:val="lv-LV"/>
        </w:rPr>
        <w:t>. gadam” un likumprojekta “Par valsts budžetu 202</w:t>
      </w:r>
      <w:r>
        <w:rPr>
          <w:rFonts w:cs="Times New Roman"/>
          <w:b/>
          <w:sz w:val="36"/>
          <w:lang w:val="lv-LV"/>
        </w:rPr>
        <w:t>2</w:t>
      </w:r>
      <w:r w:rsidRPr="002E2D0A">
        <w:rPr>
          <w:rFonts w:cs="Times New Roman"/>
          <w:b/>
          <w:sz w:val="36"/>
          <w:lang w:val="lv-LV"/>
        </w:rPr>
        <w:t>. gadam” izstrādes procesā”</w:t>
      </w:r>
    </w:p>
    <w:p w14:paraId="76870A6C" w14:textId="77777777" w:rsidR="00C83DF6" w:rsidRDefault="00C83DF6" w:rsidP="00C83DF6">
      <w:pPr>
        <w:tabs>
          <w:tab w:val="left" w:pos="993"/>
        </w:tabs>
        <w:jc w:val="center"/>
        <w:rPr>
          <w:rFonts w:cs="Times New Roman"/>
          <w:b/>
          <w:sz w:val="36"/>
          <w:lang w:val="lv-LV"/>
        </w:rPr>
      </w:pPr>
    </w:p>
    <w:p w14:paraId="35A7BE42" w14:textId="77777777" w:rsidR="00C83DF6" w:rsidRDefault="00C83DF6" w:rsidP="00C83DF6">
      <w:pPr>
        <w:tabs>
          <w:tab w:val="left" w:pos="993"/>
        </w:tabs>
        <w:jc w:val="center"/>
        <w:rPr>
          <w:rFonts w:cs="Times New Roman"/>
          <w:b/>
          <w:sz w:val="36"/>
          <w:lang w:val="lv-LV"/>
        </w:rPr>
      </w:pPr>
    </w:p>
    <w:p w14:paraId="7F3AA88A" w14:textId="77777777" w:rsidR="00C83DF6" w:rsidRDefault="00C83DF6" w:rsidP="00C83DF6">
      <w:pPr>
        <w:tabs>
          <w:tab w:val="left" w:pos="993"/>
        </w:tabs>
        <w:jc w:val="center"/>
        <w:rPr>
          <w:rFonts w:cs="Times New Roman"/>
          <w:b/>
          <w:sz w:val="36"/>
          <w:lang w:val="lv-LV"/>
        </w:rPr>
      </w:pPr>
    </w:p>
    <w:p w14:paraId="0860A9AD" w14:textId="77777777" w:rsidR="00C83DF6" w:rsidRDefault="00C83DF6" w:rsidP="00C83DF6">
      <w:pPr>
        <w:tabs>
          <w:tab w:val="left" w:pos="993"/>
        </w:tabs>
        <w:jc w:val="center"/>
        <w:rPr>
          <w:rFonts w:cs="Times New Roman"/>
          <w:b/>
          <w:sz w:val="36"/>
          <w:lang w:val="lv-LV"/>
        </w:rPr>
      </w:pPr>
    </w:p>
    <w:p w14:paraId="7F5A08EB" w14:textId="77777777" w:rsidR="00C83DF6" w:rsidRDefault="00C83DF6" w:rsidP="00C83DF6">
      <w:pPr>
        <w:tabs>
          <w:tab w:val="left" w:pos="993"/>
        </w:tabs>
        <w:jc w:val="center"/>
        <w:rPr>
          <w:rFonts w:cs="Times New Roman"/>
          <w:b/>
          <w:sz w:val="36"/>
          <w:lang w:val="lv-LV"/>
        </w:rPr>
      </w:pPr>
    </w:p>
    <w:p w14:paraId="3C150C9E" w14:textId="3FD815FE" w:rsidR="00C83DF6" w:rsidRDefault="00C83DF6" w:rsidP="00C83DF6">
      <w:pPr>
        <w:tabs>
          <w:tab w:val="left" w:pos="993"/>
        </w:tabs>
        <w:jc w:val="center"/>
        <w:rPr>
          <w:rFonts w:cs="Times New Roman"/>
          <w:b/>
          <w:sz w:val="36"/>
          <w:lang w:val="lv-LV"/>
        </w:rPr>
      </w:pPr>
    </w:p>
    <w:p w14:paraId="647DF726" w14:textId="753137F2" w:rsidR="00CE0303" w:rsidRDefault="00CE0303" w:rsidP="007B09AA">
      <w:pPr>
        <w:tabs>
          <w:tab w:val="left" w:pos="993"/>
        </w:tabs>
        <w:rPr>
          <w:rFonts w:cs="Times New Roman"/>
          <w:b/>
          <w:sz w:val="36"/>
          <w:lang w:val="lv-LV"/>
        </w:rPr>
      </w:pPr>
    </w:p>
    <w:p w14:paraId="7162040A" w14:textId="5F5541D1" w:rsidR="001A6D91" w:rsidRPr="009208FB" w:rsidRDefault="00C83DF6" w:rsidP="00CE0303">
      <w:pPr>
        <w:tabs>
          <w:tab w:val="left" w:pos="993"/>
        </w:tabs>
        <w:jc w:val="center"/>
        <w:rPr>
          <w:rFonts w:cs="Times New Roman"/>
          <w:b/>
          <w:sz w:val="32"/>
          <w:lang w:val="lv-LV"/>
        </w:rPr>
      </w:pPr>
      <w:r w:rsidRPr="009208FB">
        <w:rPr>
          <w:rFonts w:cs="Times New Roman"/>
          <w:b/>
          <w:sz w:val="32"/>
          <w:lang w:val="lv-LV"/>
        </w:rPr>
        <w:t>Rīga 2021</w:t>
      </w:r>
    </w:p>
    <w:p w14:paraId="24854A45" w14:textId="77777777" w:rsidR="005C73F1" w:rsidRDefault="005C73F1" w:rsidP="005C73F1">
      <w:pPr>
        <w:rPr>
          <w:lang w:val="lv-LV"/>
        </w:rPr>
      </w:pPr>
    </w:p>
    <w:p w14:paraId="0CD5F7B3" w14:textId="0DC39DB1" w:rsidR="00F51283" w:rsidRPr="005C73F1" w:rsidRDefault="00F51283" w:rsidP="005C73F1">
      <w:pPr>
        <w:jc w:val="center"/>
        <w:rPr>
          <w:sz w:val="32"/>
          <w:lang w:val="lv-LV"/>
        </w:rPr>
      </w:pPr>
      <w:r w:rsidRPr="005C73F1">
        <w:rPr>
          <w:sz w:val="32"/>
          <w:lang w:val="lv-LV"/>
        </w:rPr>
        <w:lastRenderedPageBreak/>
        <w:t>SATURS</w:t>
      </w:r>
    </w:p>
    <w:p w14:paraId="50632BB2" w14:textId="4B4E6C09" w:rsidR="005C73F1" w:rsidRPr="005C73F1" w:rsidRDefault="005C73F1" w:rsidP="005C73F1">
      <w:pPr>
        <w:rPr>
          <w:lang w:val="lv-LV"/>
        </w:rPr>
      </w:pPr>
    </w:p>
    <w:p w14:paraId="4D0B93D7" w14:textId="19840C19" w:rsidR="003968A3" w:rsidRDefault="00F51283">
      <w:pPr>
        <w:pStyle w:val="TOC1"/>
        <w:rPr>
          <w:rFonts w:asciiTheme="minorHAnsi" w:hAnsiTheme="minorHAnsi"/>
          <w:b w:val="0"/>
          <w:noProof/>
          <w:sz w:val="22"/>
          <w:lang w:val="lv-LV" w:eastAsia="lv-LV"/>
        </w:rPr>
      </w:pPr>
      <w:r>
        <w:rPr>
          <w:lang w:val="lv-LV"/>
        </w:rPr>
        <w:fldChar w:fldCharType="begin"/>
      </w:r>
      <w:r>
        <w:rPr>
          <w:lang w:val="lv-LV"/>
        </w:rPr>
        <w:instrText xml:space="preserve"> TOC \o "1-3" \h \z \u </w:instrText>
      </w:r>
      <w:r>
        <w:rPr>
          <w:lang w:val="lv-LV"/>
        </w:rPr>
        <w:fldChar w:fldCharType="separate"/>
      </w:r>
      <w:hyperlink w:anchor="_Toc80178406" w:history="1">
        <w:r w:rsidR="003968A3" w:rsidRPr="00432DAA">
          <w:rPr>
            <w:rStyle w:val="Hyperlink"/>
            <w:noProof/>
            <w:lang w:val="lv-LV"/>
          </w:rPr>
          <w:t>IEVADS</w:t>
        </w:r>
        <w:r w:rsidR="003968A3">
          <w:rPr>
            <w:noProof/>
            <w:webHidden/>
          </w:rPr>
          <w:tab/>
        </w:r>
        <w:r w:rsidR="003968A3">
          <w:rPr>
            <w:noProof/>
            <w:webHidden/>
          </w:rPr>
          <w:fldChar w:fldCharType="begin"/>
        </w:r>
        <w:r w:rsidR="003968A3">
          <w:rPr>
            <w:noProof/>
            <w:webHidden/>
          </w:rPr>
          <w:instrText xml:space="preserve"> PAGEREF _Toc80178406 \h </w:instrText>
        </w:r>
        <w:r w:rsidR="003968A3">
          <w:rPr>
            <w:noProof/>
            <w:webHidden/>
          </w:rPr>
        </w:r>
        <w:r w:rsidR="003968A3">
          <w:rPr>
            <w:noProof/>
            <w:webHidden/>
          </w:rPr>
          <w:fldChar w:fldCharType="separate"/>
        </w:r>
        <w:r w:rsidR="003968A3">
          <w:rPr>
            <w:noProof/>
            <w:webHidden/>
          </w:rPr>
          <w:t>5</w:t>
        </w:r>
        <w:r w:rsidR="003968A3">
          <w:rPr>
            <w:noProof/>
            <w:webHidden/>
          </w:rPr>
          <w:fldChar w:fldCharType="end"/>
        </w:r>
      </w:hyperlink>
    </w:p>
    <w:p w14:paraId="5033707A" w14:textId="3297ED8C" w:rsidR="003968A3" w:rsidRDefault="00D8747B">
      <w:pPr>
        <w:pStyle w:val="TOC1"/>
        <w:rPr>
          <w:rFonts w:asciiTheme="minorHAnsi" w:hAnsiTheme="minorHAnsi"/>
          <w:b w:val="0"/>
          <w:noProof/>
          <w:sz w:val="22"/>
          <w:lang w:val="lv-LV" w:eastAsia="lv-LV"/>
        </w:rPr>
      </w:pPr>
      <w:hyperlink w:anchor="_Toc80178407" w:history="1">
        <w:r w:rsidR="003968A3" w:rsidRPr="00432DAA">
          <w:rPr>
            <w:rStyle w:val="Hyperlink"/>
            <w:noProof/>
            <w:lang w:val="lv-LV"/>
          </w:rPr>
          <w:t>1.</w:t>
        </w:r>
        <w:r w:rsidR="003968A3">
          <w:rPr>
            <w:rFonts w:asciiTheme="minorHAnsi" w:hAnsiTheme="minorHAnsi"/>
            <w:b w:val="0"/>
            <w:noProof/>
            <w:sz w:val="22"/>
            <w:lang w:val="lv-LV" w:eastAsia="lv-LV"/>
          </w:rPr>
          <w:tab/>
        </w:r>
        <w:r w:rsidR="003968A3" w:rsidRPr="00432DAA">
          <w:rPr>
            <w:rStyle w:val="Hyperlink"/>
            <w:noProof/>
            <w:lang w:val="lv-LV"/>
          </w:rPr>
          <w:t>IEPRIEKŠĒJĀS IZDEVUMU PĀRSKATĪŠANAS REZULTĀTU IEVIEŠANA</w:t>
        </w:r>
        <w:r w:rsidR="003968A3">
          <w:rPr>
            <w:noProof/>
            <w:webHidden/>
          </w:rPr>
          <w:tab/>
        </w:r>
        <w:r w:rsidR="003968A3">
          <w:rPr>
            <w:noProof/>
            <w:webHidden/>
          </w:rPr>
          <w:fldChar w:fldCharType="begin"/>
        </w:r>
        <w:r w:rsidR="003968A3">
          <w:rPr>
            <w:noProof/>
            <w:webHidden/>
          </w:rPr>
          <w:instrText xml:space="preserve"> PAGEREF _Toc80178407 \h </w:instrText>
        </w:r>
        <w:r w:rsidR="003968A3">
          <w:rPr>
            <w:noProof/>
            <w:webHidden/>
          </w:rPr>
        </w:r>
        <w:r w:rsidR="003968A3">
          <w:rPr>
            <w:noProof/>
            <w:webHidden/>
          </w:rPr>
          <w:fldChar w:fldCharType="separate"/>
        </w:r>
        <w:r w:rsidR="003968A3">
          <w:rPr>
            <w:noProof/>
            <w:webHidden/>
          </w:rPr>
          <w:t>9</w:t>
        </w:r>
        <w:r w:rsidR="003968A3">
          <w:rPr>
            <w:noProof/>
            <w:webHidden/>
          </w:rPr>
          <w:fldChar w:fldCharType="end"/>
        </w:r>
      </w:hyperlink>
    </w:p>
    <w:p w14:paraId="606EDC33" w14:textId="5E01052F" w:rsidR="003968A3" w:rsidRDefault="00D8747B">
      <w:pPr>
        <w:pStyle w:val="TOC1"/>
        <w:rPr>
          <w:rFonts w:asciiTheme="minorHAnsi" w:hAnsiTheme="minorHAnsi"/>
          <w:b w:val="0"/>
          <w:noProof/>
          <w:sz w:val="22"/>
          <w:lang w:val="lv-LV" w:eastAsia="lv-LV"/>
        </w:rPr>
      </w:pPr>
      <w:hyperlink w:anchor="_Toc80178408" w:history="1">
        <w:r w:rsidR="003968A3" w:rsidRPr="00432DAA">
          <w:rPr>
            <w:rStyle w:val="Hyperlink"/>
            <w:caps/>
            <w:noProof/>
            <w:lang w:val="lv-LV"/>
          </w:rPr>
          <w:t>2.</w:t>
        </w:r>
        <w:r w:rsidR="003968A3">
          <w:rPr>
            <w:rFonts w:asciiTheme="minorHAnsi" w:hAnsiTheme="minorHAnsi"/>
            <w:b w:val="0"/>
            <w:noProof/>
            <w:sz w:val="22"/>
            <w:lang w:val="lv-LV" w:eastAsia="lv-LV"/>
          </w:rPr>
          <w:tab/>
        </w:r>
        <w:r w:rsidR="003968A3" w:rsidRPr="00432DAA">
          <w:rPr>
            <w:rStyle w:val="Hyperlink"/>
            <w:caps/>
            <w:noProof/>
            <w:lang w:val="lv-LV"/>
          </w:rPr>
          <w:t>Horizontālie pasākumi finanšu resursu pārdalei par labu aktuālajām prioritātēm</w:t>
        </w:r>
        <w:r w:rsidR="003968A3">
          <w:rPr>
            <w:noProof/>
            <w:webHidden/>
          </w:rPr>
          <w:tab/>
        </w:r>
        <w:r w:rsidR="003968A3">
          <w:rPr>
            <w:noProof/>
            <w:webHidden/>
          </w:rPr>
          <w:fldChar w:fldCharType="begin"/>
        </w:r>
        <w:r w:rsidR="003968A3">
          <w:rPr>
            <w:noProof/>
            <w:webHidden/>
          </w:rPr>
          <w:instrText xml:space="preserve"> PAGEREF _Toc80178408 \h </w:instrText>
        </w:r>
        <w:r w:rsidR="003968A3">
          <w:rPr>
            <w:noProof/>
            <w:webHidden/>
          </w:rPr>
        </w:r>
        <w:r w:rsidR="003968A3">
          <w:rPr>
            <w:noProof/>
            <w:webHidden/>
          </w:rPr>
          <w:fldChar w:fldCharType="separate"/>
        </w:r>
        <w:r w:rsidR="003968A3">
          <w:rPr>
            <w:noProof/>
            <w:webHidden/>
          </w:rPr>
          <w:t>26</w:t>
        </w:r>
        <w:r w:rsidR="003968A3">
          <w:rPr>
            <w:noProof/>
            <w:webHidden/>
          </w:rPr>
          <w:fldChar w:fldCharType="end"/>
        </w:r>
      </w:hyperlink>
    </w:p>
    <w:p w14:paraId="18026F3D" w14:textId="1D056C22" w:rsidR="003968A3" w:rsidRDefault="00D8747B">
      <w:pPr>
        <w:pStyle w:val="TOC2"/>
        <w:rPr>
          <w:rFonts w:asciiTheme="minorHAnsi" w:hAnsiTheme="minorHAnsi"/>
          <w:noProof/>
          <w:sz w:val="22"/>
          <w:lang w:val="lv-LV" w:eastAsia="lv-LV"/>
        </w:rPr>
      </w:pPr>
      <w:hyperlink w:anchor="_Toc80178409" w:history="1">
        <w:r w:rsidR="003968A3" w:rsidRPr="00432DAA">
          <w:rPr>
            <w:rStyle w:val="Hyperlink"/>
            <w:noProof/>
          </w:rPr>
          <w:t>2.1.</w:t>
        </w:r>
        <w:r w:rsidR="003968A3">
          <w:rPr>
            <w:rFonts w:asciiTheme="minorHAnsi" w:hAnsiTheme="minorHAnsi"/>
            <w:noProof/>
            <w:sz w:val="22"/>
            <w:lang w:val="lv-LV" w:eastAsia="lv-LV"/>
          </w:rPr>
          <w:tab/>
        </w:r>
        <w:r w:rsidR="003968A3" w:rsidRPr="00432DAA">
          <w:rPr>
            <w:rStyle w:val="Hyperlink"/>
            <w:noProof/>
          </w:rPr>
          <w:t>Covid-19 ietekme uz ministriju un kopējiem valsts budžeta izdevumiem</w:t>
        </w:r>
        <w:r w:rsidR="003968A3">
          <w:rPr>
            <w:noProof/>
            <w:webHidden/>
          </w:rPr>
          <w:tab/>
        </w:r>
        <w:r w:rsidR="003968A3">
          <w:rPr>
            <w:noProof/>
            <w:webHidden/>
          </w:rPr>
          <w:fldChar w:fldCharType="begin"/>
        </w:r>
        <w:r w:rsidR="003968A3">
          <w:rPr>
            <w:noProof/>
            <w:webHidden/>
          </w:rPr>
          <w:instrText xml:space="preserve"> PAGEREF _Toc80178409 \h </w:instrText>
        </w:r>
        <w:r w:rsidR="003968A3">
          <w:rPr>
            <w:noProof/>
            <w:webHidden/>
          </w:rPr>
        </w:r>
        <w:r w:rsidR="003968A3">
          <w:rPr>
            <w:noProof/>
            <w:webHidden/>
          </w:rPr>
          <w:fldChar w:fldCharType="separate"/>
        </w:r>
        <w:r w:rsidR="003968A3">
          <w:rPr>
            <w:noProof/>
            <w:webHidden/>
          </w:rPr>
          <w:t>26</w:t>
        </w:r>
        <w:r w:rsidR="003968A3">
          <w:rPr>
            <w:noProof/>
            <w:webHidden/>
          </w:rPr>
          <w:fldChar w:fldCharType="end"/>
        </w:r>
      </w:hyperlink>
    </w:p>
    <w:p w14:paraId="3072416A" w14:textId="0AA0AC02" w:rsidR="003968A3" w:rsidRDefault="00D8747B">
      <w:pPr>
        <w:pStyle w:val="TOC2"/>
        <w:rPr>
          <w:rFonts w:asciiTheme="minorHAnsi" w:hAnsiTheme="minorHAnsi"/>
          <w:noProof/>
          <w:sz w:val="22"/>
          <w:lang w:val="lv-LV" w:eastAsia="lv-LV"/>
        </w:rPr>
      </w:pPr>
      <w:hyperlink w:anchor="_Toc80178410" w:history="1">
        <w:r w:rsidR="003968A3" w:rsidRPr="00432DAA">
          <w:rPr>
            <w:rStyle w:val="Hyperlink"/>
            <w:noProof/>
          </w:rPr>
          <w:t>2.2.</w:t>
        </w:r>
        <w:r w:rsidR="003968A3">
          <w:rPr>
            <w:rFonts w:asciiTheme="minorHAnsi" w:hAnsiTheme="minorHAnsi"/>
            <w:noProof/>
            <w:sz w:val="22"/>
            <w:lang w:val="lv-LV" w:eastAsia="lv-LV"/>
          </w:rPr>
          <w:tab/>
        </w:r>
        <w:r w:rsidR="003968A3" w:rsidRPr="00432DAA">
          <w:rPr>
            <w:rStyle w:val="Hyperlink"/>
            <w:noProof/>
          </w:rPr>
          <w:t>Nozares ministriju izdevumu analīze un ietekme uz 2022. gada budžetu</w:t>
        </w:r>
        <w:r w:rsidR="003968A3">
          <w:rPr>
            <w:noProof/>
            <w:webHidden/>
          </w:rPr>
          <w:tab/>
        </w:r>
        <w:r w:rsidR="003968A3">
          <w:rPr>
            <w:noProof/>
            <w:webHidden/>
          </w:rPr>
          <w:fldChar w:fldCharType="begin"/>
        </w:r>
        <w:r w:rsidR="003968A3">
          <w:rPr>
            <w:noProof/>
            <w:webHidden/>
          </w:rPr>
          <w:instrText xml:space="preserve"> PAGEREF _Toc80178410 \h </w:instrText>
        </w:r>
        <w:r w:rsidR="003968A3">
          <w:rPr>
            <w:noProof/>
            <w:webHidden/>
          </w:rPr>
        </w:r>
        <w:r w:rsidR="003968A3">
          <w:rPr>
            <w:noProof/>
            <w:webHidden/>
          </w:rPr>
          <w:fldChar w:fldCharType="separate"/>
        </w:r>
        <w:r w:rsidR="003968A3">
          <w:rPr>
            <w:noProof/>
            <w:webHidden/>
          </w:rPr>
          <w:t>38</w:t>
        </w:r>
        <w:r w:rsidR="003968A3">
          <w:rPr>
            <w:noProof/>
            <w:webHidden/>
          </w:rPr>
          <w:fldChar w:fldCharType="end"/>
        </w:r>
      </w:hyperlink>
    </w:p>
    <w:p w14:paraId="2A445993" w14:textId="1E15813E" w:rsidR="003968A3" w:rsidRDefault="00D8747B">
      <w:pPr>
        <w:pStyle w:val="TOC2"/>
        <w:rPr>
          <w:rFonts w:asciiTheme="minorHAnsi" w:hAnsiTheme="minorHAnsi"/>
          <w:noProof/>
          <w:sz w:val="22"/>
          <w:lang w:val="lv-LV" w:eastAsia="lv-LV"/>
        </w:rPr>
      </w:pPr>
      <w:hyperlink w:anchor="_Toc80178411" w:history="1">
        <w:r w:rsidR="003968A3" w:rsidRPr="00432DAA">
          <w:rPr>
            <w:rStyle w:val="Hyperlink"/>
            <w:noProof/>
          </w:rPr>
          <w:t>2.2.1.</w:t>
        </w:r>
        <w:r w:rsidR="003968A3">
          <w:rPr>
            <w:rFonts w:asciiTheme="minorHAnsi" w:hAnsiTheme="minorHAnsi"/>
            <w:noProof/>
            <w:sz w:val="22"/>
            <w:lang w:val="lv-LV" w:eastAsia="lv-LV"/>
          </w:rPr>
          <w:tab/>
        </w:r>
        <w:r w:rsidR="003968A3" w:rsidRPr="00432DAA">
          <w:rPr>
            <w:rStyle w:val="Hyperlink"/>
            <w:noProof/>
          </w:rPr>
          <w:t>Nozares ministriju patstāvīgi veikto bāzes izdevumu pārskatīšanas rezultāti kopskatā ar izdevumu neizpildes analīzi</w:t>
        </w:r>
        <w:r w:rsidR="003968A3">
          <w:rPr>
            <w:noProof/>
            <w:webHidden/>
          </w:rPr>
          <w:tab/>
        </w:r>
        <w:r w:rsidR="003968A3">
          <w:rPr>
            <w:noProof/>
            <w:webHidden/>
          </w:rPr>
          <w:fldChar w:fldCharType="begin"/>
        </w:r>
        <w:r w:rsidR="003968A3">
          <w:rPr>
            <w:noProof/>
            <w:webHidden/>
          </w:rPr>
          <w:instrText xml:space="preserve"> PAGEREF _Toc80178411 \h </w:instrText>
        </w:r>
        <w:r w:rsidR="003968A3">
          <w:rPr>
            <w:noProof/>
            <w:webHidden/>
          </w:rPr>
        </w:r>
        <w:r w:rsidR="003968A3">
          <w:rPr>
            <w:noProof/>
            <w:webHidden/>
          </w:rPr>
          <w:fldChar w:fldCharType="separate"/>
        </w:r>
        <w:r w:rsidR="003968A3">
          <w:rPr>
            <w:noProof/>
            <w:webHidden/>
          </w:rPr>
          <w:t>38</w:t>
        </w:r>
        <w:r w:rsidR="003968A3">
          <w:rPr>
            <w:noProof/>
            <w:webHidden/>
          </w:rPr>
          <w:fldChar w:fldCharType="end"/>
        </w:r>
      </w:hyperlink>
    </w:p>
    <w:p w14:paraId="1B2D1C9E" w14:textId="227E4255" w:rsidR="003968A3" w:rsidRDefault="00D8747B">
      <w:pPr>
        <w:pStyle w:val="TOC2"/>
        <w:rPr>
          <w:rFonts w:asciiTheme="minorHAnsi" w:hAnsiTheme="minorHAnsi"/>
          <w:noProof/>
          <w:sz w:val="22"/>
          <w:lang w:val="lv-LV" w:eastAsia="lv-LV"/>
        </w:rPr>
      </w:pPr>
      <w:hyperlink w:anchor="_Toc80178412" w:history="1">
        <w:r w:rsidR="003968A3" w:rsidRPr="00432DAA">
          <w:rPr>
            <w:rStyle w:val="Hyperlink"/>
            <w:noProof/>
          </w:rPr>
          <w:t>2.3.</w:t>
        </w:r>
        <w:r w:rsidR="003968A3">
          <w:rPr>
            <w:rFonts w:asciiTheme="minorHAnsi" w:hAnsiTheme="minorHAnsi"/>
            <w:noProof/>
            <w:sz w:val="22"/>
            <w:lang w:val="lv-LV" w:eastAsia="lv-LV"/>
          </w:rPr>
          <w:tab/>
        </w:r>
        <w:r w:rsidR="003968A3" w:rsidRPr="00432DAA">
          <w:rPr>
            <w:rStyle w:val="Hyperlink"/>
            <w:noProof/>
          </w:rPr>
          <w:t>Kārtējā budžeta gadā un iepriekšējos gados piešķirtā finansējuma attīstības izdevumiem pārskatīšana</w:t>
        </w:r>
        <w:r w:rsidR="003968A3">
          <w:rPr>
            <w:noProof/>
            <w:webHidden/>
          </w:rPr>
          <w:tab/>
        </w:r>
        <w:r w:rsidR="003968A3">
          <w:rPr>
            <w:noProof/>
            <w:webHidden/>
          </w:rPr>
          <w:fldChar w:fldCharType="begin"/>
        </w:r>
        <w:r w:rsidR="003968A3">
          <w:rPr>
            <w:noProof/>
            <w:webHidden/>
          </w:rPr>
          <w:instrText xml:space="preserve"> PAGEREF _Toc80178412 \h </w:instrText>
        </w:r>
        <w:r w:rsidR="003968A3">
          <w:rPr>
            <w:noProof/>
            <w:webHidden/>
          </w:rPr>
        </w:r>
        <w:r w:rsidR="003968A3">
          <w:rPr>
            <w:noProof/>
            <w:webHidden/>
          </w:rPr>
          <w:fldChar w:fldCharType="separate"/>
        </w:r>
        <w:r w:rsidR="003968A3">
          <w:rPr>
            <w:noProof/>
            <w:webHidden/>
          </w:rPr>
          <w:t>81</w:t>
        </w:r>
        <w:r w:rsidR="003968A3">
          <w:rPr>
            <w:noProof/>
            <w:webHidden/>
          </w:rPr>
          <w:fldChar w:fldCharType="end"/>
        </w:r>
      </w:hyperlink>
    </w:p>
    <w:p w14:paraId="2CAFA66D" w14:textId="1514775A" w:rsidR="003968A3" w:rsidRDefault="00D8747B">
      <w:pPr>
        <w:pStyle w:val="TOC2"/>
        <w:rPr>
          <w:rFonts w:asciiTheme="minorHAnsi" w:hAnsiTheme="minorHAnsi"/>
          <w:noProof/>
          <w:sz w:val="22"/>
          <w:lang w:val="lv-LV" w:eastAsia="lv-LV"/>
        </w:rPr>
      </w:pPr>
      <w:hyperlink w:anchor="_Toc80178413" w:history="1">
        <w:r w:rsidR="003968A3" w:rsidRPr="00432DAA">
          <w:rPr>
            <w:rStyle w:val="Hyperlink"/>
            <w:noProof/>
          </w:rPr>
          <w:t>2.4.</w:t>
        </w:r>
        <w:r w:rsidR="003968A3">
          <w:rPr>
            <w:rFonts w:asciiTheme="minorHAnsi" w:hAnsiTheme="minorHAnsi"/>
            <w:noProof/>
            <w:sz w:val="22"/>
            <w:lang w:val="lv-LV" w:eastAsia="lv-LV"/>
          </w:rPr>
          <w:tab/>
        </w:r>
        <w:r w:rsidR="003968A3" w:rsidRPr="00432DAA">
          <w:rPr>
            <w:rStyle w:val="Hyperlink"/>
            <w:noProof/>
          </w:rPr>
          <w:t>Valsts budžeta paskaidrojumos ietverto politikas rezultatīvo rādītāju izpildes un sasaistes ar finansējumu analīze</w:t>
        </w:r>
        <w:r w:rsidR="003968A3">
          <w:rPr>
            <w:noProof/>
            <w:webHidden/>
          </w:rPr>
          <w:tab/>
        </w:r>
        <w:r w:rsidR="003968A3">
          <w:rPr>
            <w:noProof/>
            <w:webHidden/>
          </w:rPr>
          <w:fldChar w:fldCharType="begin"/>
        </w:r>
        <w:r w:rsidR="003968A3">
          <w:rPr>
            <w:noProof/>
            <w:webHidden/>
          </w:rPr>
          <w:instrText xml:space="preserve"> PAGEREF _Toc80178413 \h </w:instrText>
        </w:r>
        <w:r w:rsidR="003968A3">
          <w:rPr>
            <w:noProof/>
            <w:webHidden/>
          </w:rPr>
        </w:r>
        <w:r w:rsidR="003968A3">
          <w:rPr>
            <w:noProof/>
            <w:webHidden/>
          </w:rPr>
          <w:fldChar w:fldCharType="separate"/>
        </w:r>
        <w:r w:rsidR="003968A3">
          <w:rPr>
            <w:noProof/>
            <w:webHidden/>
          </w:rPr>
          <w:t>99</w:t>
        </w:r>
        <w:r w:rsidR="003968A3">
          <w:rPr>
            <w:noProof/>
            <w:webHidden/>
          </w:rPr>
          <w:fldChar w:fldCharType="end"/>
        </w:r>
      </w:hyperlink>
    </w:p>
    <w:p w14:paraId="699072F2" w14:textId="408B8B14" w:rsidR="003968A3" w:rsidRDefault="00D8747B">
      <w:pPr>
        <w:pStyle w:val="TOC2"/>
        <w:rPr>
          <w:rFonts w:asciiTheme="minorHAnsi" w:hAnsiTheme="minorHAnsi"/>
          <w:noProof/>
          <w:sz w:val="22"/>
          <w:lang w:val="lv-LV" w:eastAsia="lv-LV"/>
        </w:rPr>
      </w:pPr>
      <w:hyperlink w:anchor="_Toc80178414" w:history="1">
        <w:r w:rsidR="003968A3" w:rsidRPr="00432DAA">
          <w:rPr>
            <w:rStyle w:val="Hyperlink"/>
            <w:noProof/>
          </w:rPr>
          <w:t>2.5.</w:t>
        </w:r>
        <w:r w:rsidR="003968A3">
          <w:rPr>
            <w:rFonts w:asciiTheme="minorHAnsi" w:hAnsiTheme="minorHAnsi"/>
            <w:noProof/>
            <w:sz w:val="22"/>
            <w:lang w:val="lv-LV" w:eastAsia="lv-LV"/>
          </w:rPr>
          <w:tab/>
        </w:r>
        <w:r w:rsidR="003968A3" w:rsidRPr="00432DAA">
          <w:rPr>
            <w:rStyle w:val="Hyperlink"/>
            <w:noProof/>
          </w:rPr>
          <w:t>Maksas pakalpojumu cenrāžu aktualizācija</w:t>
        </w:r>
        <w:r w:rsidR="003968A3">
          <w:rPr>
            <w:noProof/>
            <w:webHidden/>
          </w:rPr>
          <w:tab/>
        </w:r>
        <w:r w:rsidR="003968A3">
          <w:rPr>
            <w:noProof/>
            <w:webHidden/>
          </w:rPr>
          <w:fldChar w:fldCharType="begin"/>
        </w:r>
        <w:r w:rsidR="003968A3">
          <w:rPr>
            <w:noProof/>
            <w:webHidden/>
          </w:rPr>
          <w:instrText xml:space="preserve"> PAGEREF _Toc80178414 \h </w:instrText>
        </w:r>
        <w:r w:rsidR="003968A3">
          <w:rPr>
            <w:noProof/>
            <w:webHidden/>
          </w:rPr>
        </w:r>
        <w:r w:rsidR="003968A3">
          <w:rPr>
            <w:noProof/>
            <w:webHidden/>
          </w:rPr>
          <w:fldChar w:fldCharType="separate"/>
        </w:r>
        <w:r w:rsidR="003968A3">
          <w:rPr>
            <w:noProof/>
            <w:webHidden/>
          </w:rPr>
          <w:t>135</w:t>
        </w:r>
        <w:r w:rsidR="003968A3">
          <w:rPr>
            <w:noProof/>
            <w:webHidden/>
          </w:rPr>
          <w:fldChar w:fldCharType="end"/>
        </w:r>
      </w:hyperlink>
    </w:p>
    <w:p w14:paraId="65969577" w14:textId="4FAB5ACD" w:rsidR="003968A3" w:rsidRDefault="00D8747B">
      <w:pPr>
        <w:pStyle w:val="TOC1"/>
        <w:rPr>
          <w:rFonts w:asciiTheme="minorHAnsi" w:hAnsiTheme="minorHAnsi"/>
          <w:b w:val="0"/>
          <w:noProof/>
          <w:sz w:val="22"/>
          <w:lang w:val="lv-LV" w:eastAsia="lv-LV"/>
        </w:rPr>
      </w:pPr>
      <w:hyperlink w:anchor="_Toc80178415" w:history="1">
        <w:r w:rsidR="003968A3" w:rsidRPr="00432DAA">
          <w:rPr>
            <w:rStyle w:val="Hyperlink"/>
            <w:rFonts w:eastAsiaTheme="majorEastAsia" w:cstheme="majorBidi"/>
            <w:noProof/>
            <w:lang w:val="lv-LV"/>
          </w:rPr>
          <w:t>3.</w:t>
        </w:r>
        <w:r w:rsidR="003968A3">
          <w:rPr>
            <w:rFonts w:asciiTheme="minorHAnsi" w:hAnsiTheme="minorHAnsi"/>
            <w:b w:val="0"/>
            <w:noProof/>
            <w:sz w:val="22"/>
            <w:lang w:val="lv-LV" w:eastAsia="lv-LV"/>
          </w:rPr>
          <w:tab/>
        </w:r>
        <w:r w:rsidR="003968A3" w:rsidRPr="00432DAA">
          <w:rPr>
            <w:rStyle w:val="Hyperlink"/>
            <w:rFonts w:eastAsiaTheme="majorEastAsia" w:cstheme="majorBidi"/>
            <w:noProof/>
            <w:lang w:val="lv-LV"/>
          </w:rPr>
          <w:t>NOZARES MINISTRIJU PĀRRAUDZĪBĀ ESOŠO FINANSĒŠANAS POLITIKU ANALĪZE</w:t>
        </w:r>
        <w:r w:rsidR="003968A3">
          <w:rPr>
            <w:noProof/>
            <w:webHidden/>
          </w:rPr>
          <w:tab/>
        </w:r>
        <w:r w:rsidR="003968A3">
          <w:rPr>
            <w:noProof/>
            <w:webHidden/>
          </w:rPr>
          <w:fldChar w:fldCharType="begin"/>
        </w:r>
        <w:r w:rsidR="003968A3">
          <w:rPr>
            <w:noProof/>
            <w:webHidden/>
          </w:rPr>
          <w:instrText xml:space="preserve"> PAGEREF _Toc80178415 \h </w:instrText>
        </w:r>
        <w:r w:rsidR="003968A3">
          <w:rPr>
            <w:noProof/>
            <w:webHidden/>
          </w:rPr>
        </w:r>
        <w:r w:rsidR="003968A3">
          <w:rPr>
            <w:noProof/>
            <w:webHidden/>
          </w:rPr>
          <w:fldChar w:fldCharType="separate"/>
        </w:r>
        <w:r w:rsidR="003968A3">
          <w:rPr>
            <w:noProof/>
            <w:webHidden/>
          </w:rPr>
          <w:t>139</w:t>
        </w:r>
        <w:r w:rsidR="003968A3">
          <w:rPr>
            <w:noProof/>
            <w:webHidden/>
          </w:rPr>
          <w:fldChar w:fldCharType="end"/>
        </w:r>
      </w:hyperlink>
    </w:p>
    <w:p w14:paraId="5CF0D11E" w14:textId="79CB2B16" w:rsidR="003968A3" w:rsidRDefault="00D8747B">
      <w:pPr>
        <w:pStyle w:val="TOC2"/>
        <w:rPr>
          <w:rFonts w:asciiTheme="minorHAnsi" w:hAnsiTheme="minorHAnsi"/>
          <w:noProof/>
          <w:sz w:val="22"/>
          <w:lang w:val="lv-LV" w:eastAsia="lv-LV"/>
        </w:rPr>
      </w:pPr>
      <w:hyperlink w:anchor="_Toc80178416" w:history="1">
        <w:r w:rsidR="003968A3" w:rsidRPr="00432DAA">
          <w:rPr>
            <w:rStyle w:val="Hyperlink"/>
            <w:noProof/>
          </w:rPr>
          <w:t>3.1.</w:t>
        </w:r>
        <w:r w:rsidR="003968A3">
          <w:rPr>
            <w:rFonts w:asciiTheme="minorHAnsi" w:hAnsiTheme="minorHAnsi"/>
            <w:noProof/>
            <w:sz w:val="22"/>
            <w:lang w:val="lv-LV" w:eastAsia="lv-LV"/>
          </w:rPr>
          <w:tab/>
        </w:r>
        <w:r w:rsidR="003968A3" w:rsidRPr="00432DAA">
          <w:rPr>
            <w:rStyle w:val="Hyperlink"/>
            <w:noProof/>
          </w:rPr>
          <w:t>Veselības nozares izvērtējums: rezidentūra, starptautiskie norēķini, kompensējamie medikamenti</w:t>
        </w:r>
        <w:r w:rsidR="003968A3">
          <w:rPr>
            <w:noProof/>
            <w:webHidden/>
          </w:rPr>
          <w:tab/>
        </w:r>
        <w:r w:rsidR="003968A3">
          <w:rPr>
            <w:noProof/>
            <w:webHidden/>
          </w:rPr>
          <w:fldChar w:fldCharType="begin"/>
        </w:r>
        <w:r w:rsidR="003968A3">
          <w:rPr>
            <w:noProof/>
            <w:webHidden/>
          </w:rPr>
          <w:instrText xml:space="preserve"> PAGEREF _Toc80178416 \h </w:instrText>
        </w:r>
        <w:r w:rsidR="003968A3">
          <w:rPr>
            <w:noProof/>
            <w:webHidden/>
          </w:rPr>
        </w:r>
        <w:r w:rsidR="003968A3">
          <w:rPr>
            <w:noProof/>
            <w:webHidden/>
          </w:rPr>
          <w:fldChar w:fldCharType="separate"/>
        </w:r>
        <w:r w:rsidR="003968A3">
          <w:rPr>
            <w:noProof/>
            <w:webHidden/>
          </w:rPr>
          <w:t>139</w:t>
        </w:r>
        <w:r w:rsidR="003968A3">
          <w:rPr>
            <w:noProof/>
            <w:webHidden/>
          </w:rPr>
          <w:fldChar w:fldCharType="end"/>
        </w:r>
      </w:hyperlink>
    </w:p>
    <w:p w14:paraId="1D935267" w14:textId="19606E6F" w:rsidR="003968A3" w:rsidRDefault="00D8747B">
      <w:pPr>
        <w:pStyle w:val="TOC2"/>
        <w:rPr>
          <w:rFonts w:asciiTheme="minorHAnsi" w:hAnsiTheme="minorHAnsi"/>
          <w:noProof/>
          <w:sz w:val="22"/>
          <w:lang w:val="lv-LV" w:eastAsia="lv-LV"/>
        </w:rPr>
      </w:pPr>
      <w:hyperlink w:anchor="_Toc80178417" w:history="1">
        <w:r w:rsidR="003968A3" w:rsidRPr="00432DAA">
          <w:rPr>
            <w:rStyle w:val="Hyperlink"/>
            <w:noProof/>
          </w:rPr>
          <w:t>3.2.</w:t>
        </w:r>
        <w:r w:rsidR="003968A3">
          <w:rPr>
            <w:rFonts w:asciiTheme="minorHAnsi" w:hAnsiTheme="minorHAnsi"/>
            <w:noProof/>
            <w:sz w:val="22"/>
            <w:lang w:val="lv-LV" w:eastAsia="lv-LV"/>
          </w:rPr>
          <w:tab/>
        </w:r>
        <w:r w:rsidR="003968A3" w:rsidRPr="00432DAA">
          <w:rPr>
            <w:rStyle w:val="Hyperlink"/>
            <w:noProof/>
          </w:rPr>
          <w:t>Kultūras nozares izvērtējums: digitalizācija, kultūras mantojums, funkciju pārklāšanās</w:t>
        </w:r>
        <w:r w:rsidR="003968A3">
          <w:rPr>
            <w:noProof/>
            <w:webHidden/>
          </w:rPr>
          <w:tab/>
        </w:r>
        <w:r w:rsidR="003968A3">
          <w:rPr>
            <w:noProof/>
            <w:webHidden/>
          </w:rPr>
          <w:fldChar w:fldCharType="begin"/>
        </w:r>
        <w:r w:rsidR="003968A3">
          <w:rPr>
            <w:noProof/>
            <w:webHidden/>
          </w:rPr>
          <w:instrText xml:space="preserve"> PAGEREF _Toc80178417 \h </w:instrText>
        </w:r>
        <w:r w:rsidR="003968A3">
          <w:rPr>
            <w:noProof/>
            <w:webHidden/>
          </w:rPr>
        </w:r>
        <w:r w:rsidR="003968A3">
          <w:rPr>
            <w:noProof/>
            <w:webHidden/>
          </w:rPr>
          <w:fldChar w:fldCharType="separate"/>
        </w:r>
        <w:r w:rsidR="003968A3">
          <w:rPr>
            <w:noProof/>
            <w:webHidden/>
          </w:rPr>
          <w:t>158</w:t>
        </w:r>
        <w:r w:rsidR="003968A3">
          <w:rPr>
            <w:noProof/>
            <w:webHidden/>
          </w:rPr>
          <w:fldChar w:fldCharType="end"/>
        </w:r>
      </w:hyperlink>
    </w:p>
    <w:p w14:paraId="37CCFF7A" w14:textId="4B87A46F" w:rsidR="003968A3" w:rsidRDefault="00D8747B">
      <w:pPr>
        <w:pStyle w:val="TOC2"/>
        <w:rPr>
          <w:rFonts w:asciiTheme="minorHAnsi" w:hAnsiTheme="minorHAnsi"/>
          <w:noProof/>
          <w:sz w:val="22"/>
          <w:lang w:val="lv-LV" w:eastAsia="lv-LV"/>
        </w:rPr>
      </w:pPr>
      <w:hyperlink w:anchor="_Toc80178418" w:history="1">
        <w:r w:rsidR="003968A3" w:rsidRPr="00432DAA">
          <w:rPr>
            <w:rStyle w:val="Hyperlink"/>
            <w:noProof/>
          </w:rPr>
          <w:t>3.3.</w:t>
        </w:r>
        <w:r w:rsidR="003968A3">
          <w:rPr>
            <w:rFonts w:asciiTheme="minorHAnsi" w:hAnsiTheme="minorHAnsi"/>
            <w:noProof/>
            <w:sz w:val="22"/>
            <w:lang w:val="lv-LV" w:eastAsia="lv-LV"/>
          </w:rPr>
          <w:tab/>
        </w:r>
        <w:r w:rsidR="003968A3" w:rsidRPr="00432DAA">
          <w:rPr>
            <w:rStyle w:val="Hyperlink"/>
            <w:noProof/>
          </w:rPr>
          <w:t>Diasporas pasākumu īstenošanai piešķirtā finansējuma analīze</w:t>
        </w:r>
        <w:r w:rsidR="003968A3">
          <w:rPr>
            <w:noProof/>
            <w:webHidden/>
          </w:rPr>
          <w:tab/>
        </w:r>
        <w:r w:rsidR="003968A3">
          <w:rPr>
            <w:noProof/>
            <w:webHidden/>
          </w:rPr>
          <w:fldChar w:fldCharType="begin"/>
        </w:r>
        <w:r w:rsidR="003968A3">
          <w:rPr>
            <w:noProof/>
            <w:webHidden/>
          </w:rPr>
          <w:instrText xml:space="preserve"> PAGEREF _Toc80178418 \h </w:instrText>
        </w:r>
        <w:r w:rsidR="003968A3">
          <w:rPr>
            <w:noProof/>
            <w:webHidden/>
          </w:rPr>
        </w:r>
        <w:r w:rsidR="003968A3">
          <w:rPr>
            <w:noProof/>
            <w:webHidden/>
          </w:rPr>
          <w:fldChar w:fldCharType="separate"/>
        </w:r>
        <w:r w:rsidR="003968A3">
          <w:rPr>
            <w:noProof/>
            <w:webHidden/>
          </w:rPr>
          <w:t>171</w:t>
        </w:r>
        <w:r w:rsidR="003968A3">
          <w:rPr>
            <w:noProof/>
            <w:webHidden/>
          </w:rPr>
          <w:fldChar w:fldCharType="end"/>
        </w:r>
      </w:hyperlink>
    </w:p>
    <w:p w14:paraId="4E71BECA" w14:textId="37B1A89D" w:rsidR="003968A3" w:rsidRDefault="00D8747B">
      <w:pPr>
        <w:pStyle w:val="TOC2"/>
        <w:rPr>
          <w:rFonts w:asciiTheme="minorHAnsi" w:hAnsiTheme="minorHAnsi"/>
          <w:noProof/>
          <w:sz w:val="22"/>
          <w:lang w:val="lv-LV" w:eastAsia="lv-LV"/>
        </w:rPr>
      </w:pPr>
      <w:hyperlink w:anchor="_Toc80178419" w:history="1">
        <w:r w:rsidR="003968A3" w:rsidRPr="00432DAA">
          <w:rPr>
            <w:rStyle w:val="Hyperlink"/>
            <w:noProof/>
          </w:rPr>
          <w:t>3.4.</w:t>
        </w:r>
        <w:r w:rsidR="003968A3">
          <w:rPr>
            <w:rFonts w:asciiTheme="minorHAnsi" w:hAnsiTheme="minorHAnsi"/>
            <w:noProof/>
            <w:sz w:val="22"/>
            <w:lang w:val="lv-LV" w:eastAsia="lv-LV"/>
          </w:rPr>
          <w:tab/>
        </w:r>
        <w:r w:rsidR="003968A3" w:rsidRPr="00432DAA">
          <w:rPr>
            <w:rStyle w:val="Hyperlink"/>
            <w:noProof/>
          </w:rPr>
          <w:t>Izdienas pensiju sistēmas ilgtspējas analīze</w:t>
        </w:r>
        <w:r w:rsidR="003968A3">
          <w:rPr>
            <w:noProof/>
            <w:webHidden/>
          </w:rPr>
          <w:tab/>
        </w:r>
        <w:r w:rsidR="003968A3">
          <w:rPr>
            <w:noProof/>
            <w:webHidden/>
          </w:rPr>
          <w:fldChar w:fldCharType="begin"/>
        </w:r>
        <w:r w:rsidR="003968A3">
          <w:rPr>
            <w:noProof/>
            <w:webHidden/>
          </w:rPr>
          <w:instrText xml:space="preserve"> PAGEREF _Toc80178419 \h </w:instrText>
        </w:r>
        <w:r w:rsidR="003968A3">
          <w:rPr>
            <w:noProof/>
            <w:webHidden/>
          </w:rPr>
        </w:r>
        <w:r w:rsidR="003968A3">
          <w:rPr>
            <w:noProof/>
            <w:webHidden/>
          </w:rPr>
          <w:fldChar w:fldCharType="separate"/>
        </w:r>
        <w:r w:rsidR="003968A3">
          <w:rPr>
            <w:noProof/>
            <w:webHidden/>
          </w:rPr>
          <w:t>179</w:t>
        </w:r>
        <w:r w:rsidR="003968A3">
          <w:rPr>
            <w:noProof/>
            <w:webHidden/>
          </w:rPr>
          <w:fldChar w:fldCharType="end"/>
        </w:r>
      </w:hyperlink>
    </w:p>
    <w:p w14:paraId="7CB1328E" w14:textId="50DFD938" w:rsidR="003968A3" w:rsidRDefault="00D8747B">
      <w:pPr>
        <w:pStyle w:val="TOC1"/>
        <w:rPr>
          <w:rFonts w:asciiTheme="minorHAnsi" w:hAnsiTheme="minorHAnsi"/>
          <w:b w:val="0"/>
          <w:noProof/>
          <w:sz w:val="22"/>
          <w:lang w:val="lv-LV" w:eastAsia="lv-LV"/>
        </w:rPr>
      </w:pPr>
      <w:hyperlink w:anchor="_Toc80178420" w:history="1">
        <w:r w:rsidR="003968A3" w:rsidRPr="00432DAA">
          <w:rPr>
            <w:rStyle w:val="Hyperlink"/>
            <w:caps/>
            <w:noProof/>
          </w:rPr>
          <w:t>4.</w:t>
        </w:r>
        <w:r w:rsidR="003968A3">
          <w:rPr>
            <w:rFonts w:asciiTheme="minorHAnsi" w:hAnsiTheme="minorHAnsi"/>
            <w:b w:val="0"/>
            <w:noProof/>
            <w:sz w:val="22"/>
            <w:lang w:val="lv-LV" w:eastAsia="lv-LV"/>
          </w:rPr>
          <w:tab/>
        </w:r>
        <w:r w:rsidR="003968A3" w:rsidRPr="00432DAA">
          <w:rPr>
            <w:rStyle w:val="Hyperlink"/>
            <w:caps/>
            <w:noProof/>
          </w:rPr>
          <w:t>Procesu un sistēmu pilnveidošana</w:t>
        </w:r>
        <w:r w:rsidR="003968A3">
          <w:rPr>
            <w:noProof/>
            <w:webHidden/>
          </w:rPr>
          <w:tab/>
        </w:r>
        <w:r w:rsidR="003968A3">
          <w:rPr>
            <w:noProof/>
            <w:webHidden/>
          </w:rPr>
          <w:fldChar w:fldCharType="begin"/>
        </w:r>
        <w:r w:rsidR="003968A3">
          <w:rPr>
            <w:noProof/>
            <w:webHidden/>
          </w:rPr>
          <w:instrText xml:space="preserve"> PAGEREF _Toc80178420 \h </w:instrText>
        </w:r>
        <w:r w:rsidR="003968A3">
          <w:rPr>
            <w:noProof/>
            <w:webHidden/>
          </w:rPr>
        </w:r>
        <w:r w:rsidR="003968A3">
          <w:rPr>
            <w:noProof/>
            <w:webHidden/>
          </w:rPr>
          <w:fldChar w:fldCharType="separate"/>
        </w:r>
        <w:r w:rsidR="003968A3">
          <w:rPr>
            <w:noProof/>
            <w:webHidden/>
          </w:rPr>
          <w:t>181</w:t>
        </w:r>
        <w:r w:rsidR="003968A3">
          <w:rPr>
            <w:noProof/>
            <w:webHidden/>
          </w:rPr>
          <w:fldChar w:fldCharType="end"/>
        </w:r>
      </w:hyperlink>
    </w:p>
    <w:p w14:paraId="34ED765C" w14:textId="67402F93" w:rsidR="003968A3" w:rsidRDefault="00D8747B">
      <w:pPr>
        <w:pStyle w:val="TOC2"/>
        <w:rPr>
          <w:rFonts w:asciiTheme="minorHAnsi" w:hAnsiTheme="minorHAnsi"/>
          <w:noProof/>
          <w:sz w:val="22"/>
          <w:lang w:val="lv-LV" w:eastAsia="lv-LV"/>
        </w:rPr>
      </w:pPr>
      <w:hyperlink w:anchor="_Toc80178421" w:history="1">
        <w:r w:rsidR="003968A3" w:rsidRPr="00432DAA">
          <w:rPr>
            <w:rStyle w:val="Hyperlink"/>
            <w:noProof/>
          </w:rPr>
          <w:t>4.1.</w:t>
        </w:r>
        <w:r w:rsidR="003968A3">
          <w:rPr>
            <w:rFonts w:asciiTheme="minorHAnsi" w:hAnsiTheme="minorHAnsi"/>
            <w:noProof/>
            <w:sz w:val="22"/>
            <w:lang w:val="lv-LV" w:eastAsia="lv-LV"/>
          </w:rPr>
          <w:tab/>
        </w:r>
        <w:r w:rsidR="003968A3" w:rsidRPr="00432DAA">
          <w:rPr>
            <w:rStyle w:val="Hyperlink"/>
            <w:noProof/>
          </w:rPr>
          <w:t>Finanšu vadības sistēmas un procesu pilnveide</w:t>
        </w:r>
        <w:r w:rsidR="003968A3">
          <w:rPr>
            <w:noProof/>
            <w:webHidden/>
          </w:rPr>
          <w:tab/>
        </w:r>
        <w:r w:rsidR="003968A3">
          <w:rPr>
            <w:noProof/>
            <w:webHidden/>
          </w:rPr>
          <w:fldChar w:fldCharType="begin"/>
        </w:r>
        <w:r w:rsidR="003968A3">
          <w:rPr>
            <w:noProof/>
            <w:webHidden/>
          </w:rPr>
          <w:instrText xml:space="preserve"> PAGEREF _Toc80178421 \h </w:instrText>
        </w:r>
        <w:r w:rsidR="003968A3">
          <w:rPr>
            <w:noProof/>
            <w:webHidden/>
          </w:rPr>
        </w:r>
        <w:r w:rsidR="003968A3">
          <w:rPr>
            <w:noProof/>
            <w:webHidden/>
          </w:rPr>
          <w:fldChar w:fldCharType="separate"/>
        </w:r>
        <w:r w:rsidR="003968A3">
          <w:rPr>
            <w:noProof/>
            <w:webHidden/>
          </w:rPr>
          <w:t>181</w:t>
        </w:r>
        <w:r w:rsidR="003968A3">
          <w:rPr>
            <w:noProof/>
            <w:webHidden/>
          </w:rPr>
          <w:fldChar w:fldCharType="end"/>
        </w:r>
      </w:hyperlink>
    </w:p>
    <w:p w14:paraId="14E27C2B" w14:textId="4A86C876" w:rsidR="003968A3" w:rsidRDefault="00D8747B">
      <w:pPr>
        <w:pStyle w:val="TOC2"/>
        <w:rPr>
          <w:rFonts w:asciiTheme="minorHAnsi" w:hAnsiTheme="minorHAnsi"/>
          <w:noProof/>
          <w:sz w:val="22"/>
          <w:lang w:val="lv-LV" w:eastAsia="lv-LV"/>
        </w:rPr>
      </w:pPr>
      <w:hyperlink w:anchor="_Toc80178422" w:history="1">
        <w:r w:rsidR="003968A3" w:rsidRPr="00432DAA">
          <w:rPr>
            <w:rStyle w:val="Hyperlink"/>
            <w:noProof/>
          </w:rPr>
          <w:t>4.2.</w:t>
        </w:r>
        <w:r w:rsidR="003968A3">
          <w:rPr>
            <w:rFonts w:asciiTheme="minorHAnsi" w:hAnsiTheme="minorHAnsi"/>
            <w:noProof/>
            <w:sz w:val="22"/>
            <w:lang w:val="lv-LV" w:eastAsia="lv-LV"/>
          </w:rPr>
          <w:tab/>
        </w:r>
        <w:r w:rsidR="003968A3" w:rsidRPr="00432DAA">
          <w:rPr>
            <w:rStyle w:val="Hyperlink"/>
            <w:noProof/>
          </w:rPr>
          <w:t>Atbalsta funkciju centralizācijas iespējas</w:t>
        </w:r>
        <w:r w:rsidR="003968A3">
          <w:rPr>
            <w:noProof/>
            <w:webHidden/>
          </w:rPr>
          <w:tab/>
        </w:r>
        <w:r w:rsidR="003968A3">
          <w:rPr>
            <w:noProof/>
            <w:webHidden/>
          </w:rPr>
          <w:fldChar w:fldCharType="begin"/>
        </w:r>
        <w:r w:rsidR="003968A3">
          <w:rPr>
            <w:noProof/>
            <w:webHidden/>
          </w:rPr>
          <w:instrText xml:space="preserve"> PAGEREF _Toc80178422 \h </w:instrText>
        </w:r>
        <w:r w:rsidR="003968A3">
          <w:rPr>
            <w:noProof/>
            <w:webHidden/>
          </w:rPr>
        </w:r>
        <w:r w:rsidR="003968A3">
          <w:rPr>
            <w:noProof/>
            <w:webHidden/>
          </w:rPr>
          <w:fldChar w:fldCharType="separate"/>
        </w:r>
        <w:r w:rsidR="003968A3">
          <w:rPr>
            <w:noProof/>
            <w:webHidden/>
          </w:rPr>
          <w:t>188</w:t>
        </w:r>
        <w:r w:rsidR="003968A3">
          <w:rPr>
            <w:noProof/>
            <w:webHidden/>
          </w:rPr>
          <w:fldChar w:fldCharType="end"/>
        </w:r>
      </w:hyperlink>
    </w:p>
    <w:p w14:paraId="561A9166" w14:textId="2CB23E44" w:rsidR="001B07E1" w:rsidRDefault="00F51283" w:rsidP="001B07E1">
      <w:pPr>
        <w:rPr>
          <w:lang w:val="lv-LV"/>
        </w:rPr>
      </w:pPr>
      <w:r>
        <w:rPr>
          <w:lang w:val="lv-LV"/>
        </w:rPr>
        <w:fldChar w:fldCharType="end"/>
      </w:r>
    </w:p>
    <w:p w14:paraId="71E0DC04" w14:textId="5A6574CC" w:rsidR="001B07E1" w:rsidRDefault="001B07E1" w:rsidP="001B07E1">
      <w:pPr>
        <w:rPr>
          <w:lang w:val="lv-LV"/>
        </w:rPr>
      </w:pPr>
    </w:p>
    <w:p w14:paraId="013E8CF5" w14:textId="57B2341F" w:rsidR="001B07E1" w:rsidRDefault="001B07E1" w:rsidP="001B07E1">
      <w:pPr>
        <w:rPr>
          <w:lang w:val="lv-LV"/>
        </w:rPr>
      </w:pPr>
    </w:p>
    <w:p w14:paraId="6A866E0A" w14:textId="423866B3" w:rsidR="001B07E1" w:rsidRDefault="001B07E1" w:rsidP="001B07E1">
      <w:pPr>
        <w:rPr>
          <w:lang w:val="lv-LV"/>
        </w:rPr>
      </w:pPr>
    </w:p>
    <w:p w14:paraId="08C8BE8B" w14:textId="184281FC" w:rsidR="001B07E1" w:rsidRDefault="001B07E1" w:rsidP="001B07E1">
      <w:pPr>
        <w:rPr>
          <w:lang w:val="lv-LV"/>
        </w:rPr>
      </w:pPr>
    </w:p>
    <w:p w14:paraId="4A816FD2" w14:textId="62ABABDF" w:rsidR="001B07E1" w:rsidRDefault="001B07E1" w:rsidP="001B07E1">
      <w:pPr>
        <w:rPr>
          <w:lang w:val="lv-LV"/>
        </w:rPr>
      </w:pPr>
    </w:p>
    <w:p w14:paraId="6EED6905" w14:textId="24E2CAF2" w:rsidR="001B07E1" w:rsidRDefault="001B07E1" w:rsidP="001B07E1">
      <w:pPr>
        <w:rPr>
          <w:lang w:val="lv-LV"/>
        </w:rPr>
      </w:pPr>
    </w:p>
    <w:p w14:paraId="2B906F92" w14:textId="5F14FCB8" w:rsidR="001B07E1" w:rsidRDefault="001B07E1" w:rsidP="001B07E1">
      <w:pPr>
        <w:rPr>
          <w:lang w:val="lv-LV"/>
        </w:rPr>
      </w:pPr>
    </w:p>
    <w:p w14:paraId="28813450" w14:textId="572E7DB6" w:rsidR="001B07E1" w:rsidRDefault="001B07E1" w:rsidP="001B07E1">
      <w:pPr>
        <w:rPr>
          <w:lang w:val="lv-LV"/>
        </w:rPr>
      </w:pPr>
    </w:p>
    <w:p w14:paraId="2D999ACA" w14:textId="77777777" w:rsidR="000732F2" w:rsidRDefault="000732F2" w:rsidP="001B07E1">
      <w:pPr>
        <w:rPr>
          <w:lang w:val="lv-LV"/>
        </w:rPr>
      </w:pPr>
    </w:p>
    <w:p w14:paraId="1B384AAC" w14:textId="77777777" w:rsidR="001B07E1" w:rsidRPr="001B07E1" w:rsidRDefault="001B07E1" w:rsidP="00FF342C">
      <w:pPr>
        <w:spacing w:after="160"/>
        <w:jc w:val="center"/>
        <w:rPr>
          <w:rFonts w:eastAsiaTheme="minorHAnsi"/>
          <w:b/>
          <w:szCs w:val="24"/>
          <w:lang w:val="lv-LV"/>
        </w:rPr>
      </w:pPr>
      <w:r w:rsidRPr="001B07E1">
        <w:rPr>
          <w:rFonts w:eastAsiaTheme="minorHAnsi"/>
          <w:b/>
          <w:szCs w:val="24"/>
          <w:lang w:val="lv-LV"/>
        </w:rPr>
        <w:lastRenderedPageBreak/>
        <w:t>INFORMATĪVAJĀ ZIŅOJUMĀ LIETOTIE SAĪSINĀJUMI</w:t>
      </w:r>
    </w:p>
    <w:tbl>
      <w:tblPr>
        <w:tblW w:w="9214" w:type="dxa"/>
        <w:tblLook w:val="04A0" w:firstRow="1" w:lastRow="0" w:firstColumn="1" w:lastColumn="0" w:noHBand="0" w:noVBand="1"/>
      </w:tblPr>
      <w:tblGrid>
        <w:gridCol w:w="1560"/>
        <w:gridCol w:w="7654"/>
      </w:tblGrid>
      <w:tr w:rsidR="001D7A9E" w:rsidRPr="001D7A9E" w14:paraId="11D0CD16" w14:textId="77777777" w:rsidTr="001768BA">
        <w:trPr>
          <w:trHeight w:val="269"/>
        </w:trPr>
        <w:tc>
          <w:tcPr>
            <w:tcW w:w="1560" w:type="dxa"/>
            <w:shd w:val="clear" w:color="auto" w:fill="auto"/>
          </w:tcPr>
          <w:p w14:paraId="3F3DDFC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AiM</w:t>
            </w:r>
          </w:p>
        </w:tc>
        <w:tc>
          <w:tcPr>
            <w:tcW w:w="7654" w:type="dxa"/>
            <w:shd w:val="clear" w:color="auto" w:fill="auto"/>
          </w:tcPr>
          <w:p w14:paraId="43BF0287"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Aizsardzības ministrija</w:t>
            </w:r>
          </w:p>
        </w:tc>
      </w:tr>
      <w:tr w:rsidR="001D7A9E" w:rsidRPr="001D7A9E" w14:paraId="1E005126" w14:textId="77777777" w:rsidTr="001768BA">
        <w:trPr>
          <w:trHeight w:val="269"/>
        </w:trPr>
        <w:tc>
          <w:tcPr>
            <w:tcW w:w="1560" w:type="dxa"/>
            <w:shd w:val="clear" w:color="auto" w:fill="auto"/>
          </w:tcPr>
          <w:p w14:paraId="125888E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ALN</w:t>
            </w:r>
          </w:p>
        </w:tc>
        <w:tc>
          <w:tcPr>
            <w:tcW w:w="7654" w:type="dxa"/>
            <w:shd w:val="clear" w:color="auto" w:fill="auto"/>
          </w:tcPr>
          <w:p w14:paraId="6987E8F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Autoceļu lietošanas nodeva</w:t>
            </w:r>
          </w:p>
        </w:tc>
      </w:tr>
      <w:tr w:rsidR="001D7A9E" w:rsidRPr="001D7A9E" w14:paraId="1AC6D89D" w14:textId="77777777" w:rsidTr="001768BA">
        <w:trPr>
          <w:trHeight w:val="269"/>
        </w:trPr>
        <w:tc>
          <w:tcPr>
            <w:tcW w:w="1560" w:type="dxa"/>
            <w:shd w:val="clear" w:color="auto" w:fill="auto"/>
          </w:tcPr>
          <w:p w14:paraId="0D35F25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ASV</w:t>
            </w:r>
          </w:p>
        </w:tc>
        <w:tc>
          <w:tcPr>
            <w:tcW w:w="7654" w:type="dxa"/>
            <w:shd w:val="clear" w:color="auto" w:fill="auto"/>
          </w:tcPr>
          <w:p w14:paraId="699F2E7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Amerikas Savienotās Valstis</w:t>
            </w:r>
          </w:p>
        </w:tc>
      </w:tr>
      <w:tr w:rsidR="001D7A9E" w:rsidRPr="001D7A9E" w14:paraId="5E845D9E" w14:textId="77777777" w:rsidTr="001768BA">
        <w:trPr>
          <w:trHeight w:val="269"/>
        </w:trPr>
        <w:tc>
          <w:tcPr>
            <w:tcW w:w="1560" w:type="dxa"/>
            <w:shd w:val="clear" w:color="auto" w:fill="auto"/>
          </w:tcPr>
          <w:p w14:paraId="5970ADC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ĀM</w:t>
            </w:r>
          </w:p>
        </w:tc>
        <w:tc>
          <w:tcPr>
            <w:tcW w:w="7654" w:type="dxa"/>
            <w:shd w:val="clear" w:color="auto" w:fill="auto"/>
          </w:tcPr>
          <w:p w14:paraId="52C8056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Ārlietu ministrija</w:t>
            </w:r>
          </w:p>
        </w:tc>
      </w:tr>
      <w:tr w:rsidR="001D7A9E" w:rsidRPr="00D8747B" w14:paraId="34A8F52D" w14:textId="77777777" w:rsidTr="001768BA">
        <w:trPr>
          <w:trHeight w:val="269"/>
        </w:trPr>
        <w:tc>
          <w:tcPr>
            <w:tcW w:w="1560" w:type="dxa"/>
            <w:shd w:val="clear" w:color="auto" w:fill="auto"/>
          </w:tcPr>
          <w:p w14:paraId="1708536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CFLA</w:t>
            </w:r>
          </w:p>
        </w:tc>
        <w:tc>
          <w:tcPr>
            <w:tcW w:w="7654" w:type="dxa"/>
            <w:shd w:val="clear" w:color="auto" w:fill="auto"/>
          </w:tcPr>
          <w:p w14:paraId="3573C067"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Centrālā finanšu un līgumu aģentūra</w:t>
            </w:r>
          </w:p>
        </w:tc>
      </w:tr>
      <w:tr w:rsidR="001D7A9E" w:rsidRPr="001D7A9E" w14:paraId="3238038D" w14:textId="77777777" w:rsidTr="001768BA">
        <w:trPr>
          <w:trHeight w:val="269"/>
        </w:trPr>
        <w:tc>
          <w:tcPr>
            <w:tcW w:w="1560" w:type="dxa"/>
            <w:shd w:val="clear" w:color="auto" w:fill="auto"/>
          </w:tcPr>
          <w:p w14:paraId="50D29D4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Covid-19</w:t>
            </w:r>
          </w:p>
        </w:tc>
        <w:tc>
          <w:tcPr>
            <w:tcW w:w="7654" w:type="dxa"/>
            <w:shd w:val="clear" w:color="auto" w:fill="auto"/>
          </w:tcPr>
          <w:p w14:paraId="3AE9B0F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Koronavīrusa SARS-CoV-2 izraisītās infekcijas slimība</w:t>
            </w:r>
          </w:p>
        </w:tc>
      </w:tr>
      <w:tr w:rsidR="001D7A9E" w:rsidRPr="001D7A9E" w14:paraId="356B664C" w14:textId="77777777" w:rsidTr="001768BA">
        <w:trPr>
          <w:trHeight w:val="269"/>
        </w:trPr>
        <w:tc>
          <w:tcPr>
            <w:tcW w:w="1560" w:type="dxa"/>
            <w:shd w:val="clear" w:color="auto" w:fill="auto"/>
          </w:tcPr>
          <w:p w14:paraId="29ECF4B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CSDD</w:t>
            </w:r>
          </w:p>
        </w:tc>
        <w:tc>
          <w:tcPr>
            <w:tcW w:w="7654" w:type="dxa"/>
            <w:shd w:val="clear" w:color="auto" w:fill="auto"/>
          </w:tcPr>
          <w:p w14:paraId="0273F42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Ceļu satiksmes drošības direkcija</w:t>
            </w:r>
          </w:p>
        </w:tc>
      </w:tr>
      <w:tr w:rsidR="001D7A9E" w:rsidRPr="001D7A9E" w14:paraId="44D572F0" w14:textId="77777777" w:rsidTr="001768BA">
        <w:trPr>
          <w:trHeight w:val="269"/>
        </w:trPr>
        <w:tc>
          <w:tcPr>
            <w:tcW w:w="1560" w:type="dxa"/>
            <w:shd w:val="clear" w:color="auto" w:fill="auto"/>
          </w:tcPr>
          <w:p w14:paraId="7440466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CSP</w:t>
            </w:r>
          </w:p>
        </w:tc>
        <w:tc>
          <w:tcPr>
            <w:tcW w:w="7654" w:type="dxa"/>
            <w:shd w:val="clear" w:color="auto" w:fill="auto"/>
          </w:tcPr>
          <w:p w14:paraId="60DACC1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Centrālā statistikas pārvalde</w:t>
            </w:r>
          </w:p>
        </w:tc>
      </w:tr>
      <w:tr w:rsidR="001D7A9E" w:rsidRPr="001D7A9E" w14:paraId="362BA66D" w14:textId="77777777" w:rsidTr="001768BA">
        <w:trPr>
          <w:trHeight w:val="269"/>
        </w:trPr>
        <w:tc>
          <w:tcPr>
            <w:tcW w:w="1560" w:type="dxa"/>
            <w:shd w:val="clear" w:color="auto" w:fill="auto"/>
          </w:tcPr>
          <w:p w14:paraId="4BA74B6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CVK</w:t>
            </w:r>
          </w:p>
        </w:tc>
        <w:tc>
          <w:tcPr>
            <w:tcW w:w="7654" w:type="dxa"/>
            <w:shd w:val="clear" w:color="auto" w:fill="auto"/>
          </w:tcPr>
          <w:p w14:paraId="6C05D0E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Centrālā vēlēšanu komisija</w:t>
            </w:r>
          </w:p>
        </w:tc>
      </w:tr>
      <w:tr w:rsidR="001D7A9E" w:rsidRPr="001D7A9E" w14:paraId="0BC3FB00" w14:textId="77777777" w:rsidTr="001768BA">
        <w:trPr>
          <w:trHeight w:val="269"/>
        </w:trPr>
        <w:tc>
          <w:tcPr>
            <w:tcW w:w="1560" w:type="dxa"/>
            <w:shd w:val="clear" w:color="auto" w:fill="auto"/>
          </w:tcPr>
          <w:p w14:paraId="439C772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EEZ</w:t>
            </w:r>
          </w:p>
        </w:tc>
        <w:tc>
          <w:tcPr>
            <w:tcW w:w="7654" w:type="dxa"/>
            <w:shd w:val="clear" w:color="auto" w:fill="auto"/>
          </w:tcPr>
          <w:p w14:paraId="64938E3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Eiropas Ekonomiskā zona</w:t>
            </w:r>
          </w:p>
        </w:tc>
      </w:tr>
      <w:tr w:rsidR="001D7A9E" w:rsidRPr="001D7A9E" w14:paraId="51EC61A0" w14:textId="77777777" w:rsidTr="001768BA">
        <w:trPr>
          <w:trHeight w:val="269"/>
        </w:trPr>
        <w:tc>
          <w:tcPr>
            <w:tcW w:w="1560" w:type="dxa"/>
            <w:shd w:val="clear" w:color="auto" w:fill="auto"/>
          </w:tcPr>
          <w:p w14:paraId="7880DDC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EK</w:t>
            </w:r>
          </w:p>
        </w:tc>
        <w:tc>
          <w:tcPr>
            <w:tcW w:w="7654" w:type="dxa"/>
            <w:shd w:val="clear" w:color="auto" w:fill="auto"/>
          </w:tcPr>
          <w:p w14:paraId="02C81C2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Eiropas Komisija</w:t>
            </w:r>
          </w:p>
        </w:tc>
      </w:tr>
      <w:tr w:rsidR="001D7A9E" w:rsidRPr="001D7A9E" w14:paraId="317F8958" w14:textId="77777777" w:rsidTr="001768BA">
        <w:trPr>
          <w:trHeight w:val="269"/>
        </w:trPr>
        <w:tc>
          <w:tcPr>
            <w:tcW w:w="1560" w:type="dxa"/>
            <w:shd w:val="clear" w:color="auto" w:fill="auto"/>
          </w:tcPr>
          <w:p w14:paraId="746A1B14" w14:textId="77777777" w:rsidR="001D7A9E" w:rsidRPr="001D7A9E" w:rsidRDefault="001D7A9E" w:rsidP="001D7A9E">
            <w:pPr>
              <w:tabs>
                <w:tab w:val="left" w:pos="1494"/>
              </w:tabs>
              <w:spacing w:after="0" w:line="240" w:lineRule="auto"/>
              <w:rPr>
                <w:rFonts w:eastAsiaTheme="minorHAnsi"/>
                <w:szCs w:val="24"/>
                <w:lang w:val="lv-LV" w:eastAsia="lv-LV"/>
              </w:rPr>
            </w:pPr>
            <w:r w:rsidRPr="001D7A9E">
              <w:rPr>
                <w:rFonts w:eastAsiaTheme="minorHAnsi"/>
                <w:szCs w:val="24"/>
                <w:lang w:val="lv-LV"/>
              </w:rPr>
              <w:t>EKK</w:t>
            </w:r>
          </w:p>
        </w:tc>
        <w:tc>
          <w:tcPr>
            <w:tcW w:w="7654" w:type="dxa"/>
            <w:shd w:val="clear" w:color="auto" w:fill="auto"/>
          </w:tcPr>
          <w:p w14:paraId="259DCAF3" w14:textId="77777777" w:rsidR="001D7A9E" w:rsidRPr="001D7A9E" w:rsidRDefault="001D7A9E" w:rsidP="001D7A9E">
            <w:pPr>
              <w:tabs>
                <w:tab w:val="left" w:pos="1494"/>
              </w:tabs>
              <w:spacing w:after="0" w:line="240" w:lineRule="auto"/>
              <w:rPr>
                <w:rFonts w:eastAsiaTheme="minorHAnsi"/>
                <w:szCs w:val="24"/>
                <w:lang w:val="lv-LV" w:eastAsia="lv-LV"/>
              </w:rPr>
            </w:pPr>
            <w:r w:rsidRPr="001D7A9E">
              <w:rPr>
                <w:rFonts w:eastAsiaTheme="minorHAnsi"/>
                <w:szCs w:val="24"/>
                <w:lang w:val="lv-LV"/>
              </w:rPr>
              <w:t>Ekonomiskās klasifikācijas kodi</w:t>
            </w:r>
          </w:p>
        </w:tc>
      </w:tr>
      <w:tr w:rsidR="001D7A9E" w:rsidRPr="001D7A9E" w14:paraId="67B49C52" w14:textId="77777777" w:rsidTr="001768BA">
        <w:trPr>
          <w:trHeight w:val="269"/>
        </w:trPr>
        <w:tc>
          <w:tcPr>
            <w:tcW w:w="1560" w:type="dxa"/>
            <w:shd w:val="clear" w:color="auto" w:fill="auto"/>
          </w:tcPr>
          <w:p w14:paraId="04C4D03C"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ERAF</w:t>
            </w:r>
          </w:p>
        </w:tc>
        <w:tc>
          <w:tcPr>
            <w:tcW w:w="7654" w:type="dxa"/>
            <w:shd w:val="clear" w:color="auto" w:fill="auto"/>
          </w:tcPr>
          <w:p w14:paraId="0D754A6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Eiropas Reģionālās attīstības fonds</w:t>
            </w:r>
          </w:p>
        </w:tc>
      </w:tr>
      <w:tr w:rsidR="001D7A9E" w:rsidRPr="001D7A9E" w14:paraId="4EB865DD" w14:textId="77777777" w:rsidTr="001768BA">
        <w:trPr>
          <w:trHeight w:val="284"/>
        </w:trPr>
        <w:tc>
          <w:tcPr>
            <w:tcW w:w="1560" w:type="dxa"/>
            <w:shd w:val="clear" w:color="auto" w:fill="auto"/>
          </w:tcPr>
          <w:p w14:paraId="16DDF18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ES</w:t>
            </w:r>
          </w:p>
        </w:tc>
        <w:tc>
          <w:tcPr>
            <w:tcW w:w="7654" w:type="dxa"/>
            <w:shd w:val="clear" w:color="auto" w:fill="auto"/>
          </w:tcPr>
          <w:p w14:paraId="5B866AB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Eiropas Savienība</w:t>
            </w:r>
          </w:p>
        </w:tc>
      </w:tr>
      <w:tr w:rsidR="001D7A9E" w:rsidRPr="001D7A9E" w14:paraId="422B8AC4" w14:textId="77777777" w:rsidTr="001768BA">
        <w:trPr>
          <w:trHeight w:val="284"/>
        </w:trPr>
        <w:tc>
          <w:tcPr>
            <w:tcW w:w="1560" w:type="dxa"/>
            <w:shd w:val="clear" w:color="auto" w:fill="auto"/>
          </w:tcPr>
          <w:p w14:paraId="1328AD6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FM</w:t>
            </w:r>
          </w:p>
        </w:tc>
        <w:tc>
          <w:tcPr>
            <w:tcW w:w="7654" w:type="dxa"/>
            <w:shd w:val="clear" w:color="auto" w:fill="auto"/>
          </w:tcPr>
          <w:p w14:paraId="1A90DAE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Finanšu ministrija</w:t>
            </w:r>
          </w:p>
        </w:tc>
      </w:tr>
      <w:tr w:rsidR="001D7A9E" w:rsidRPr="001D7A9E" w14:paraId="28B8ED4C" w14:textId="77777777" w:rsidTr="001768BA">
        <w:trPr>
          <w:trHeight w:val="269"/>
        </w:trPr>
        <w:tc>
          <w:tcPr>
            <w:tcW w:w="1560" w:type="dxa"/>
            <w:shd w:val="clear" w:color="auto" w:fill="auto"/>
          </w:tcPr>
          <w:p w14:paraId="1B7764C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IeM</w:t>
            </w:r>
          </w:p>
        </w:tc>
        <w:tc>
          <w:tcPr>
            <w:tcW w:w="7654" w:type="dxa"/>
            <w:shd w:val="clear" w:color="auto" w:fill="auto"/>
          </w:tcPr>
          <w:p w14:paraId="4E6235D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cs="Times New Roman"/>
                <w:szCs w:val="24"/>
                <w:lang w:val="lv-LV"/>
              </w:rPr>
              <w:t>Iekšlietu ministrija</w:t>
            </w:r>
          </w:p>
        </w:tc>
      </w:tr>
      <w:tr w:rsidR="001D7A9E" w:rsidRPr="001D7A9E" w14:paraId="621F4C06" w14:textId="77777777" w:rsidTr="001768BA">
        <w:trPr>
          <w:trHeight w:val="269"/>
        </w:trPr>
        <w:tc>
          <w:tcPr>
            <w:tcW w:w="1560" w:type="dxa"/>
            <w:shd w:val="clear" w:color="auto" w:fill="auto"/>
          </w:tcPr>
          <w:p w14:paraId="5974552C"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IeM IC</w:t>
            </w:r>
          </w:p>
        </w:tc>
        <w:tc>
          <w:tcPr>
            <w:tcW w:w="7654" w:type="dxa"/>
            <w:shd w:val="clear" w:color="auto" w:fill="auto"/>
          </w:tcPr>
          <w:p w14:paraId="5EF46DA5"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cs="Times New Roman"/>
                <w:szCs w:val="24"/>
                <w:lang w:val="lv-LV"/>
              </w:rPr>
              <w:t>Iekšlietu ministrijas Informācijas centrs</w:t>
            </w:r>
          </w:p>
        </w:tc>
      </w:tr>
      <w:tr w:rsidR="001D7A9E" w:rsidRPr="001D7A9E" w14:paraId="43EC000F" w14:textId="77777777" w:rsidTr="001768BA">
        <w:trPr>
          <w:trHeight w:val="269"/>
        </w:trPr>
        <w:tc>
          <w:tcPr>
            <w:tcW w:w="1560" w:type="dxa"/>
            <w:shd w:val="clear" w:color="auto" w:fill="auto"/>
          </w:tcPr>
          <w:p w14:paraId="65B4706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IeVP</w:t>
            </w:r>
          </w:p>
        </w:tc>
        <w:tc>
          <w:tcPr>
            <w:tcW w:w="7654" w:type="dxa"/>
            <w:shd w:val="clear" w:color="auto" w:fill="auto"/>
          </w:tcPr>
          <w:p w14:paraId="5648DA5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cs="Times New Roman"/>
                <w:szCs w:val="24"/>
                <w:lang w:val="lv-LV"/>
              </w:rPr>
              <w:t>Ieslodzījuma vietu pārvalde</w:t>
            </w:r>
          </w:p>
        </w:tc>
      </w:tr>
      <w:tr w:rsidR="001D7A9E" w:rsidRPr="001D7A9E" w14:paraId="35F5E830" w14:textId="77777777" w:rsidTr="001768BA">
        <w:trPr>
          <w:trHeight w:val="269"/>
        </w:trPr>
        <w:tc>
          <w:tcPr>
            <w:tcW w:w="1560" w:type="dxa"/>
            <w:shd w:val="clear" w:color="auto" w:fill="auto"/>
          </w:tcPr>
          <w:p w14:paraId="4FCB26D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IKP</w:t>
            </w:r>
          </w:p>
        </w:tc>
        <w:tc>
          <w:tcPr>
            <w:tcW w:w="7654" w:type="dxa"/>
            <w:shd w:val="clear" w:color="auto" w:fill="auto"/>
          </w:tcPr>
          <w:p w14:paraId="3F9E4626"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cs="Times New Roman"/>
                <w:szCs w:val="24"/>
                <w:lang w:val="lv-LV"/>
              </w:rPr>
              <w:t>Iekšzemes kopprodukts</w:t>
            </w:r>
          </w:p>
        </w:tc>
      </w:tr>
      <w:tr w:rsidR="001D7A9E" w:rsidRPr="001D7A9E" w14:paraId="0D8E0495" w14:textId="77777777" w:rsidTr="001768BA">
        <w:trPr>
          <w:trHeight w:val="269"/>
        </w:trPr>
        <w:tc>
          <w:tcPr>
            <w:tcW w:w="1560" w:type="dxa"/>
            <w:shd w:val="clear" w:color="auto" w:fill="auto"/>
          </w:tcPr>
          <w:p w14:paraId="35D93EB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IKT</w:t>
            </w:r>
          </w:p>
        </w:tc>
        <w:tc>
          <w:tcPr>
            <w:tcW w:w="7654" w:type="dxa"/>
            <w:shd w:val="clear" w:color="auto" w:fill="auto"/>
          </w:tcPr>
          <w:p w14:paraId="6A48FFE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Informācijas un komunikācijas tehnoloģijas</w:t>
            </w:r>
          </w:p>
        </w:tc>
      </w:tr>
      <w:tr w:rsidR="001D7A9E" w:rsidRPr="001D7A9E" w14:paraId="7484955E" w14:textId="77777777" w:rsidTr="001768BA">
        <w:trPr>
          <w:trHeight w:val="269"/>
        </w:trPr>
        <w:tc>
          <w:tcPr>
            <w:tcW w:w="1560" w:type="dxa"/>
            <w:shd w:val="clear" w:color="auto" w:fill="auto"/>
          </w:tcPr>
          <w:p w14:paraId="1C527C6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IT</w:t>
            </w:r>
          </w:p>
        </w:tc>
        <w:tc>
          <w:tcPr>
            <w:tcW w:w="7654" w:type="dxa"/>
            <w:shd w:val="clear" w:color="auto" w:fill="auto"/>
          </w:tcPr>
          <w:p w14:paraId="237C598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Informācijas tehnoloģijas</w:t>
            </w:r>
          </w:p>
        </w:tc>
      </w:tr>
      <w:tr w:rsidR="001D7A9E" w:rsidRPr="001D7A9E" w14:paraId="233FF758" w14:textId="77777777" w:rsidTr="001768BA">
        <w:trPr>
          <w:trHeight w:val="269"/>
        </w:trPr>
        <w:tc>
          <w:tcPr>
            <w:tcW w:w="1560" w:type="dxa"/>
            <w:shd w:val="clear" w:color="auto" w:fill="auto"/>
          </w:tcPr>
          <w:p w14:paraId="1D632FDC"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cs="Times New Roman"/>
                <w:szCs w:val="24"/>
                <w:lang w:val="lv-LV"/>
              </w:rPr>
              <w:t>IUB</w:t>
            </w:r>
          </w:p>
        </w:tc>
        <w:tc>
          <w:tcPr>
            <w:tcW w:w="7654" w:type="dxa"/>
            <w:shd w:val="clear" w:color="auto" w:fill="auto"/>
          </w:tcPr>
          <w:p w14:paraId="012FD66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cs="Times New Roman"/>
                <w:szCs w:val="24"/>
                <w:lang w:val="lv-LV"/>
              </w:rPr>
              <w:t>Iepirkumu uzraudzības birojs</w:t>
            </w:r>
          </w:p>
        </w:tc>
      </w:tr>
      <w:tr w:rsidR="001D7A9E" w:rsidRPr="001D7A9E" w14:paraId="28703C2A" w14:textId="77777777" w:rsidTr="001768BA">
        <w:trPr>
          <w:trHeight w:val="269"/>
        </w:trPr>
        <w:tc>
          <w:tcPr>
            <w:tcW w:w="1560" w:type="dxa"/>
            <w:shd w:val="clear" w:color="auto" w:fill="auto"/>
          </w:tcPr>
          <w:p w14:paraId="6800B5F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IZM</w:t>
            </w:r>
          </w:p>
        </w:tc>
        <w:tc>
          <w:tcPr>
            <w:tcW w:w="7654" w:type="dxa"/>
            <w:shd w:val="clear" w:color="auto" w:fill="auto"/>
          </w:tcPr>
          <w:p w14:paraId="7E51EFFA"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Izglītības un zinātnes ministrija</w:t>
            </w:r>
          </w:p>
        </w:tc>
      </w:tr>
      <w:tr w:rsidR="001D7A9E" w:rsidRPr="001D7A9E" w14:paraId="1F8C3C24" w14:textId="77777777" w:rsidTr="001768BA">
        <w:trPr>
          <w:trHeight w:val="153"/>
        </w:trPr>
        <w:tc>
          <w:tcPr>
            <w:tcW w:w="1560" w:type="dxa"/>
            <w:shd w:val="clear" w:color="auto" w:fill="auto"/>
          </w:tcPr>
          <w:p w14:paraId="74C0D1EC"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KM</w:t>
            </w:r>
          </w:p>
        </w:tc>
        <w:tc>
          <w:tcPr>
            <w:tcW w:w="7654" w:type="dxa"/>
            <w:shd w:val="clear" w:color="auto" w:fill="auto"/>
          </w:tcPr>
          <w:p w14:paraId="2442538E"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Kultūras ministrija</w:t>
            </w:r>
          </w:p>
        </w:tc>
      </w:tr>
      <w:tr w:rsidR="001D7A9E" w:rsidRPr="001D7A9E" w14:paraId="3D736C7A" w14:textId="77777777" w:rsidTr="001768BA">
        <w:trPr>
          <w:trHeight w:val="269"/>
        </w:trPr>
        <w:tc>
          <w:tcPr>
            <w:tcW w:w="1560" w:type="dxa"/>
            <w:shd w:val="clear" w:color="auto" w:fill="auto"/>
          </w:tcPr>
          <w:p w14:paraId="61EBE47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KZS</w:t>
            </w:r>
          </w:p>
        </w:tc>
        <w:tc>
          <w:tcPr>
            <w:tcW w:w="7654" w:type="dxa"/>
            <w:shd w:val="clear" w:color="auto" w:fill="auto"/>
          </w:tcPr>
          <w:p w14:paraId="31A90D6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Kompensējamo zāļu saraksts</w:t>
            </w:r>
          </w:p>
        </w:tc>
      </w:tr>
      <w:tr w:rsidR="001D7A9E" w:rsidRPr="001D7A9E" w14:paraId="5EB4918F" w14:textId="77777777" w:rsidTr="001768BA">
        <w:trPr>
          <w:trHeight w:val="119"/>
        </w:trPr>
        <w:tc>
          <w:tcPr>
            <w:tcW w:w="1560" w:type="dxa"/>
            <w:shd w:val="clear" w:color="auto" w:fill="auto"/>
          </w:tcPr>
          <w:p w14:paraId="1015522D"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LB</w:t>
            </w:r>
          </w:p>
        </w:tc>
        <w:tc>
          <w:tcPr>
            <w:tcW w:w="7654" w:type="dxa"/>
            <w:shd w:val="clear" w:color="auto" w:fill="auto"/>
          </w:tcPr>
          <w:p w14:paraId="1CFE3143"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Latvijas Banka</w:t>
            </w:r>
          </w:p>
        </w:tc>
      </w:tr>
      <w:tr w:rsidR="001D7A9E" w:rsidRPr="001D7A9E" w14:paraId="1B3E6BEF" w14:textId="77777777" w:rsidTr="001768BA">
        <w:trPr>
          <w:trHeight w:val="219"/>
        </w:trPr>
        <w:tc>
          <w:tcPr>
            <w:tcW w:w="1560" w:type="dxa"/>
            <w:shd w:val="clear" w:color="auto" w:fill="auto"/>
          </w:tcPr>
          <w:p w14:paraId="5040F9F5"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LBFV</w:t>
            </w:r>
          </w:p>
        </w:tc>
        <w:tc>
          <w:tcPr>
            <w:tcW w:w="7654" w:type="dxa"/>
            <w:shd w:val="clear" w:color="auto" w:fill="auto"/>
          </w:tcPr>
          <w:p w14:paraId="67C21221"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Likums par budžetu un finanšu vadību</w:t>
            </w:r>
          </w:p>
        </w:tc>
      </w:tr>
      <w:tr w:rsidR="001D7A9E" w:rsidRPr="001D7A9E" w14:paraId="0C1EF48F" w14:textId="77777777" w:rsidTr="001768BA">
        <w:trPr>
          <w:trHeight w:val="219"/>
        </w:trPr>
        <w:tc>
          <w:tcPr>
            <w:tcW w:w="1560" w:type="dxa"/>
            <w:shd w:val="clear" w:color="auto" w:fill="auto"/>
          </w:tcPr>
          <w:p w14:paraId="44BF718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LDC</w:t>
            </w:r>
          </w:p>
        </w:tc>
        <w:tc>
          <w:tcPr>
            <w:tcW w:w="7654" w:type="dxa"/>
            <w:shd w:val="clear" w:color="auto" w:fill="auto"/>
          </w:tcPr>
          <w:p w14:paraId="7F737A12"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Lauksaimniecības datu centrs</w:t>
            </w:r>
          </w:p>
        </w:tc>
      </w:tr>
      <w:tr w:rsidR="001D7A9E" w:rsidRPr="001D7A9E" w14:paraId="44F98167" w14:textId="77777777" w:rsidTr="001768BA">
        <w:trPr>
          <w:trHeight w:val="219"/>
        </w:trPr>
        <w:tc>
          <w:tcPr>
            <w:tcW w:w="1560" w:type="dxa"/>
            <w:shd w:val="clear" w:color="auto" w:fill="auto"/>
          </w:tcPr>
          <w:p w14:paraId="1A98DAB5" w14:textId="77777777" w:rsidR="001D7A9E" w:rsidRPr="001D7A9E" w:rsidRDefault="001D7A9E" w:rsidP="001D7A9E">
            <w:pPr>
              <w:tabs>
                <w:tab w:val="left" w:pos="1494"/>
              </w:tabs>
              <w:spacing w:after="0" w:line="240" w:lineRule="auto"/>
              <w:rPr>
                <w:rFonts w:eastAsiaTheme="minorHAnsi"/>
                <w:szCs w:val="24"/>
                <w:lang w:val="lv-LV"/>
              </w:rPr>
            </w:pPr>
            <w:r w:rsidRPr="001D7A9E">
              <w:rPr>
                <w:rFonts w:cs="Times New Roman"/>
                <w:lang w:val="lv-LV"/>
              </w:rPr>
              <w:t>LFK</w:t>
            </w:r>
          </w:p>
        </w:tc>
        <w:tc>
          <w:tcPr>
            <w:tcW w:w="7654" w:type="dxa"/>
            <w:shd w:val="clear" w:color="auto" w:fill="auto"/>
          </w:tcPr>
          <w:p w14:paraId="750B138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folkloras krātuve</w:t>
            </w:r>
          </w:p>
        </w:tc>
      </w:tr>
      <w:tr w:rsidR="001D7A9E" w:rsidRPr="001D7A9E" w14:paraId="4A956A3C" w14:textId="77777777" w:rsidTr="001768BA">
        <w:trPr>
          <w:trHeight w:val="219"/>
        </w:trPr>
        <w:tc>
          <w:tcPr>
            <w:tcW w:w="1560" w:type="dxa"/>
            <w:shd w:val="clear" w:color="auto" w:fill="auto"/>
          </w:tcPr>
          <w:p w14:paraId="32E63864" w14:textId="77777777" w:rsidR="001D7A9E" w:rsidRPr="001D7A9E" w:rsidRDefault="001D7A9E" w:rsidP="001D7A9E">
            <w:pPr>
              <w:tabs>
                <w:tab w:val="left" w:pos="1494"/>
              </w:tabs>
              <w:spacing w:after="0" w:line="240" w:lineRule="auto"/>
              <w:rPr>
                <w:rFonts w:cs="Times New Roman"/>
                <w:lang w:val="lv-LV"/>
              </w:rPr>
            </w:pPr>
            <w:r w:rsidRPr="001D7A9E">
              <w:rPr>
                <w:rFonts w:cs="Times New Roman"/>
                <w:lang w:val="lv-LV"/>
              </w:rPr>
              <w:t>LIAA</w:t>
            </w:r>
          </w:p>
        </w:tc>
        <w:tc>
          <w:tcPr>
            <w:tcW w:w="7654" w:type="dxa"/>
            <w:shd w:val="clear" w:color="auto" w:fill="auto"/>
          </w:tcPr>
          <w:p w14:paraId="450E245A" w14:textId="761CC29A" w:rsidR="001D7A9E" w:rsidRPr="001D7A9E" w:rsidRDefault="00D57D2C" w:rsidP="001D7A9E">
            <w:pPr>
              <w:tabs>
                <w:tab w:val="left" w:pos="1494"/>
              </w:tabs>
              <w:spacing w:after="0" w:line="240" w:lineRule="auto"/>
              <w:rPr>
                <w:rFonts w:eastAsiaTheme="minorHAnsi"/>
                <w:szCs w:val="24"/>
                <w:lang w:val="lv-LV"/>
              </w:rPr>
            </w:pPr>
            <w:r>
              <w:rPr>
                <w:rFonts w:eastAsiaTheme="minorHAnsi"/>
                <w:szCs w:val="24"/>
                <w:lang w:val="lv-LV"/>
              </w:rPr>
              <w:t>Latvijas I</w:t>
            </w:r>
            <w:r w:rsidR="001D7A9E" w:rsidRPr="001D7A9E">
              <w:rPr>
                <w:rFonts w:eastAsiaTheme="minorHAnsi"/>
                <w:szCs w:val="24"/>
                <w:lang w:val="lv-LV"/>
              </w:rPr>
              <w:t xml:space="preserve">nvestīciju </w:t>
            </w:r>
            <w:r>
              <w:rPr>
                <w:rFonts w:eastAsiaTheme="minorHAnsi"/>
                <w:szCs w:val="24"/>
                <w:lang w:val="lv-LV"/>
              </w:rPr>
              <w:t xml:space="preserve">un </w:t>
            </w:r>
            <w:r w:rsidR="001D7A9E" w:rsidRPr="001D7A9E">
              <w:rPr>
                <w:rFonts w:eastAsiaTheme="minorHAnsi"/>
                <w:szCs w:val="24"/>
                <w:lang w:val="lv-LV"/>
              </w:rPr>
              <w:t>attīstības aģentūra</w:t>
            </w:r>
          </w:p>
        </w:tc>
      </w:tr>
      <w:tr w:rsidR="001D7A9E" w:rsidRPr="001D7A9E" w14:paraId="340D1777" w14:textId="77777777" w:rsidTr="001768BA">
        <w:trPr>
          <w:trHeight w:val="284"/>
        </w:trPr>
        <w:tc>
          <w:tcPr>
            <w:tcW w:w="1560" w:type="dxa"/>
            <w:shd w:val="clear" w:color="auto" w:fill="auto"/>
          </w:tcPr>
          <w:p w14:paraId="61195BF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LM</w:t>
            </w:r>
          </w:p>
        </w:tc>
        <w:tc>
          <w:tcPr>
            <w:tcW w:w="7654" w:type="dxa"/>
            <w:shd w:val="clear" w:color="auto" w:fill="auto"/>
          </w:tcPr>
          <w:p w14:paraId="24E9AFE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Labklājības ministrija</w:t>
            </w:r>
          </w:p>
        </w:tc>
      </w:tr>
      <w:tr w:rsidR="001D7A9E" w:rsidRPr="001D7A9E" w14:paraId="73D3BF27" w14:textId="77777777" w:rsidTr="001768BA">
        <w:trPr>
          <w:trHeight w:val="284"/>
        </w:trPr>
        <w:tc>
          <w:tcPr>
            <w:tcW w:w="1560" w:type="dxa"/>
            <w:shd w:val="clear" w:color="auto" w:fill="auto"/>
          </w:tcPr>
          <w:p w14:paraId="754A0A1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LNA</w:t>
            </w:r>
          </w:p>
        </w:tc>
        <w:tc>
          <w:tcPr>
            <w:tcW w:w="7654" w:type="dxa"/>
            <w:shd w:val="clear" w:color="auto" w:fill="auto"/>
          </w:tcPr>
          <w:p w14:paraId="3471263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Nacionālais arhīvs</w:t>
            </w:r>
          </w:p>
        </w:tc>
      </w:tr>
      <w:tr w:rsidR="001D7A9E" w:rsidRPr="001D7A9E" w14:paraId="4326DFD1" w14:textId="77777777" w:rsidTr="001768BA">
        <w:trPr>
          <w:trHeight w:val="284"/>
        </w:trPr>
        <w:tc>
          <w:tcPr>
            <w:tcW w:w="1560" w:type="dxa"/>
            <w:shd w:val="clear" w:color="auto" w:fill="auto"/>
          </w:tcPr>
          <w:p w14:paraId="1D593DB2"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LNG</w:t>
            </w:r>
          </w:p>
        </w:tc>
        <w:tc>
          <w:tcPr>
            <w:tcW w:w="7654" w:type="dxa"/>
            <w:shd w:val="clear" w:color="auto" w:fill="auto"/>
          </w:tcPr>
          <w:p w14:paraId="03A0995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Līdzekļi neparedzētiem gadījumiem</w:t>
            </w:r>
          </w:p>
        </w:tc>
      </w:tr>
      <w:tr w:rsidR="001D7A9E" w:rsidRPr="001D7A9E" w14:paraId="5BC778CA" w14:textId="77777777" w:rsidTr="001768BA">
        <w:trPr>
          <w:trHeight w:val="284"/>
        </w:trPr>
        <w:tc>
          <w:tcPr>
            <w:tcW w:w="1560" w:type="dxa"/>
            <w:shd w:val="clear" w:color="auto" w:fill="auto"/>
          </w:tcPr>
          <w:p w14:paraId="45652686" w14:textId="77777777" w:rsidR="001D7A9E" w:rsidRPr="001D7A9E" w:rsidRDefault="001D7A9E" w:rsidP="001D7A9E">
            <w:pPr>
              <w:tabs>
                <w:tab w:val="left" w:pos="1494"/>
              </w:tabs>
              <w:spacing w:after="0" w:line="240" w:lineRule="auto"/>
              <w:rPr>
                <w:rFonts w:eastAsiaTheme="minorHAnsi"/>
                <w:szCs w:val="24"/>
                <w:lang w:val="lv-LV"/>
              </w:rPr>
            </w:pPr>
            <w:r w:rsidRPr="001D7A9E">
              <w:rPr>
                <w:rFonts w:cs="Times New Roman"/>
                <w:lang w:val="lv-LV"/>
              </w:rPr>
              <w:t>LNKC</w:t>
            </w:r>
          </w:p>
        </w:tc>
        <w:tc>
          <w:tcPr>
            <w:tcW w:w="7654" w:type="dxa"/>
            <w:shd w:val="clear" w:color="auto" w:fill="auto"/>
          </w:tcPr>
          <w:p w14:paraId="5483B51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Nacionālais kultūras centrs</w:t>
            </w:r>
          </w:p>
        </w:tc>
      </w:tr>
      <w:tr w:rsidR="001D7A9E" w:rsidRPr="001D7A9E" w14:paraId="5BA770BF" w14:textId="77777777" w:rsidTr="001768BA">
        <w:trPr>
          <w:trHeight w:val="284"/>
        </w:trPr>
        <w:tc>
          <w:tcPr>
            <w:tcW w:w="1560" w:type="dxa"/>
            <w:shd w:val="clear" w:color="auto" w:fill="auto"/>
          </w:tcPr>
          <w:p w14:paraId="0E71CF2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LOK</w:t>
            </w:r>
          </w:p>
        </w:tc>
        <w:tc>
          <w:tcPr>
            <w:tcW w:w="7654" w:type="dxa"/>
            <w:shd w:val="clear" w:color="auto" w:fill="auto"/>
          </w:tcPr>
          <w:p w14:paraId="3F23CE2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Olimpiskā komiteja</w:t>
            </w:r>
          </w:p>
        </w:tc>
      </w:tr>
      <w:tr w:rsidR="001D7A9E" w:rsidRPr="001D7A9E" w14:paraId="785BCFED" w14:textId="77777777" w:rsidTr="001768BA">
        <w:trPr>
          <w:trHeight w:val="284"/>
        </w:trPr>
        <w:tc>
          <w:tcPr>
            <w:tcW w:w="1560" w:type="dxa"/>
            <w:shd w:val="clear" w:color="auto" w:fill="auto"/>
          </w:tcPr>
          <w:p w14:paraId="419D486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LOSF</w:t>
            </w:r>
          </w:p>
        </w:tc>
        <w:tc>
          <w:tcPr>
            <w:tcW w:w="7654" w:type="dxa"/>
            <w:shd w:val="clear" w:color="auto" w:fill="auto"/>
          </w:tcPr>
          <w:p w14:paraId="49EF31F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Olimpiešu sociālais fonds</w:t>
            </w:r>
          </w:p>
        </w:tc>
      </w:tr>
      <w:tr w:rsidR="001D7A9E" w:rsidRPr="001D7A9E" w14:paraId="6BBA70DA" w14:textId="77777777" w:rsidTr="001768BA">
        <w:trPr>
          <w:trHeight w:val="284"/>
        </w:trPr>
        <w:tc>
          <w:tcPr>
            <w:tcW w:w="1560" w:type="dxa"/>
            <w:shd w:val="clear" w:color="auto" w:fill="auto"/>
          </w:tcPr>
          <w:p w14:paraId="7544AE1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LOV</w:t>
            </w:r>
          </w:p>
        </w:tc>
        <w:tc>
          <w:tcPr>
            <w:tcW w:w="7654" w:type="dxa"/>
            <w:shd w:val="clear" w:color="auto" w:fill="auto"/>
          </w:tcPr>
          <w:p w14:paraId="66D7468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Olimpiskā vienība</w:t>
            </w:r>
          </w:p>
        </w:tc>
      </w:tr>
      <w:tr w:rsidR="001D7A9E" w:rsidRPr="001D7A9E" w14:paraId="421C1DBE" w14:textId="77777777" w:rsidTr="001768BA">
        <w:trPr>
          <w:trHeight w:val="284"/>
        </w:trPr>
        <w:tc>
          <w:tcPr>
            <w:tcW w:w="1560" w:type="dxa"/>
            <w:shd w:val="clear" w:color="auto" w:fill="auto"/>
          </w:tcPr>
          <w:p w14:paraId="6A884F08"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LR</w:t>
            </w:r>
          </w:p>
        </w:tc>
        <w:tc>
          <w:tcPr>
            <w:tcW w:w="7654" w:type="dxa"/>
            <w:shd w:val="clear" w:color="auto" w:fill="auto"/>
          </w:tcPr>
          <w:p w14:paraId="0A4CDF38"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Republika</w:t>
            </w:r>
          </w:p>
        </w:tc>
      </w:tr>
      <w:tr w:rsidR="001D7A9E" w:rsidRPr="001D7A9E" w14:paraId="0964099D" w14:textId="77777777" w:rsidTr="001768BA">
        <w:trPr>
          <w:trHeight w:val="284"/>
        </w:trPr>
        <w:tc>
          <w:tcPr>
            <w:tcW w:w="1560" w:type="dxa"/>
            <w:shd w:val="clear" w:color="auto" w:fill="auto"/>
          </w:tcPr>
          <w:p w14:paraId="4BADD6E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LU</w:t>
            </w:r>
          </w:p>
        </w:tc>
        <w:tc>
          <w:tcPr>
            <w:tcW w:w="7654" w:type="dxa"/>
            <w:shd w:val="clear" w:color="auto" w:fill="auto"/>
          </w:tcPr>
          <w:p w14:paraId="671AC77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Universitāte</w:t>
            </w:r>
          </w:p>
        </w:tc>
      </w:tr>
      <w:tr w:rsidR="001D7A9E" w:rsidRPr="001D7A9E" w14:paraId="7D9F8CC6" w14:textId="77777777" w:rsidTr="001768BA">
        <w:trPr>
          <w:trHeight w:val="284"/>
        </w:trPr>
        <w:tc>
          <w:tcPr>
            <w:tcW w:w="1560" w:type="dxa"/>
            <w:shd w:val="clear" w:color="auto" w:fill="auto"/>
          </w:tcPr>
          <w:p w14:paraId="5DD18188" w14:textId="77777777" w:rsidR="001D7A9E" w:rsidRPr="001D7A9E" w:rsidRDefault="001D7A9E" w:rsidP="001D7A9E">
            <w:pPr>
              <w:tabs>
                <w:tab w:val="left" w:pos="1494"/>
              </w:tabs>
              <w:spacing w:after="0" w:line="240" w:lineRule="auto"/>
              <w:rPr>
                <w:rFonts w:eastAsiaTheme="minorHAnsi"/>
                <w:szCs w:val="24"/>
                <w:lang w:val="lv-LV"/>
              </w:rPr>
            </w:pPr>
            <w:r w:rsidRPr="001D7A9E">
              <w:rPr>
                <w:rFonts w:cs="Times New Roman"/>
                <w:lang w:val="lv-LV"/>
              </w:rPr>
              <w:t>LU LFMI</w:t>
            </w:r>
          </w:p>
        </w:tc>
        <w:tc>
          <w:tcPr>
            <w:tcW w:w="7654" w:type="dxa"/>
            <w:shd w:val="clear" w:color="auto" w:fill="auto"/>
          </w:tcPr>
          <w:p w14:paraId="496332C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Latvijas Universitātes Literatūras, folkloras un mākslas institūts</w:t>
            </w:r>
          </w:p>
        </w:tc>
      </w:tr>
      <w:tr w:rsidR="001D7A9E" w:rsidRPr="001D7A9E" w14:paraId="22C923B4" w14:textId="77777777" w:rsidTr="001768BA">
        <w:trPr>
          <w:trHeight w:val="284"/>
        </w:trPr>
        <w:tc>
          <w:tcPr>
            <w:tcW w:w="1560" w:type="dxa"/>
            <w:shd w:val="clear" w:color="auto" w:fill="auto"/>
          </w:tcPr>
          <w:p w14:paraId="6CE886A2" w14:textId="77777777" w:rsidR="001D7A9E" w:rsidRPr="001D7A9E" w:rsidRDefault="001D7A9E" w:rsidP="001D7A9E">
            <w:pPr>
              <w:tabs>
                <w:tab w:val="left" w:pos="1494"/>
              </w:tabs>
              <w:spacing w:after="0" w:line="240" w:lineRule="auto"/>
              <w:rPr>
                <w:rFonts w:cs="Times New Roman"/>
                <w:lang w:val="lv-LV"/>
              </w:rPr>
            </w:pPr>
            <w:r w:rsidRPr="001D7A9E">
              <w:rPr>
                <w:rFonts w:cs="Times New Roman"/>
                <w:lang w:val="lv-LV"/>
              </w:rPr>
              <w:t>LVC</w:t>
            </w:r>
          </w:p>
        </w:tc>
        <w:tc>
          <w:tcPr>
            <w:tcW w:w="7654" w:type="dxa"/>
            <w:shd w:val="clear" w:color="auto" w:fill="auto"/>
          </w:tcPr>
          <w:p w14:paraId="2F81D4B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VSIA “Latvijas Valsts ceļi”</w:t>
            </w:r>
          </w:p>
        </w:tc>
      </w:tr>
      <w:tr w:rsidR="001D7A9E" w:rsidRPr="001D7A9E" w14:paraId="7FA6E1EC" w14:textId="77777777" w:rsidTr="001768BA">
        <w:trPr>
          <w:trHeight w:val="284"/>
        </w:trPr>
        <w:tc>
          <w:tcPr>
            <w:tcW w:w="1560" w:type="dxa"/>
            <w:shd w:val="clear" w:color="auto" w:fill="auto"/>
          </w:tcPr>
          <w:p w14:paraId="196B79F9" w14:textId="77777777" w:rsidR="001D7A9E" w:rsidRPr="001D7A9E" w:rsidRDefault="001D7A9E" w:rsidP="001D7A9E">
            <w:pPr>
              <w:tabs>
                <w:tab w:val="left" w:pos="1494"/>
              </w:tabs>
              <w:spacing w:after="0" w:line="240" w:lineRule="auto"/>
              <w:rPr>
                <w:rFonts w:cs="Times New Roman"/>
                <w:lang w:val="lv-LV"/>
              </w:rPr>
            </w:pPr>
            <w:r w:rsidRPr="001D7A9E">
              <w:rPr>
                <w:rFonts w:eastAsiaTheme="minorHAnsi" w:cs="Times New Roman"/>
                <w:szCs w:val="24"/>
                <w:lang w:val="lv-LV"/>
              </w:rPr>
              <w:t>LVĢMC</w:t>
            </w:r>
          </w:p>
        </w:tc>
        <w:tc>
          <w:tcPr>
            <w:tcW w:w="7654" w:type="dxa"/>
            <w:shd w:val="clear" w:color="auto" w:fill="auto"/>
          </w:tcPr>
          <w:p w14:paraId="4B33072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VSIA “Latvijas Vides, ģeoloģijas un meteoroloģijas centrs”</w:t>
            </w:r>
          </w:p>
        </w:tc>
      </w:tr>
      <w:tr w:rsidR="001D7A9E" w:rsidRPr="001D7A9E" w14:paraId="6FDC6ACC" w14:textId="77777777" w:rsidTr="001768BA">
        <w:trPr>
          <w:trHeight w:val="284"/>
        </w:trPr>
        <w:tc>
          <w:tcPr>
            <w:tcW w:w="1560" w:type="dxa"/>
            <w:shd w:val="clear" w:color="auto" w:fill="auto"/>
          </w:tcPr>
          <w:p w14:paraId="40360AC1"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cs="Times New Roman"/>
                <w:szCs w:val="24"/>
                <w:lang w:val="lv-LV"/>
              </w:rPr>
              <w:t>LVRTC</w:t>
            </w:r>
          </w:p>
        </w:tc>
        <w:tc>
          <w:tcPr>
            <w:tcW w:w="7654" w:type="dxa"/>
            <w:shd w:val="clear" w:color="auto" w:fill="auto"/>
          </w:tcPr>
          <w:p w14:paraId="744756D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VAS “Latvijas Valsts radio un televīzijas centrs”</w:t>
            </w:r>
          </w:p>
        </w:tc>
      </w:tr>
      <w:tr w:rsidR="001D7A9E" w:rsidRPr="001D7A9E" w14:paraId="17433C80" w14:textId="77777777" w:rsidTr="001768BA">
        <w:trPr>
          <w:trHeight w:val="284"/>
        </w:trPr>
        <w:tc>
          <w:tcPr>
            <w:tcW w:w="1560" w:type="dxa"/>
            <w:shd w:val="clear" w:color="auto" w:fill="auto"/>
          </w:tcPr>
          <w:p w14:paraId="75FA0087"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Ministrijas</w:t>
            </w:r>
          </w:p>
        </w:tc>
        <w:tc>
          <w:tcPr>
            <w:tcW w:w="7654" w:type="dxa"/>
            <w:shd w:val="clear" w:color="auto" w:fill="auto"/>
          </w:tcPr>
          <w:p w14:paraId="12F334F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Ministrijas un citas centrālās valsts iestādes</w:t>
            </w:r>
          </w:p>
        </w:tc>
      </w:tr>
      <w:tr w:rsidR="0091267E" w:rsidRPr="001D7A9E" w14:paraId="6BF68B98" w14:textId="77777777" w:rsidTr="001768BA">
        <w:trPr>
          <w:trHeight w:val="284"/>
        </w:trPr>
        <w:tc>
          <w:tcPr>
            <w:tcW w:w="1560" w:type="dxa"/>
            <w:shd w:val="clear" w:color="auto" w:fill="auto"/>
          </w:tcPr>
          <w:p w14:paraId="4A117137" w14:textId="12EFBE7D" w:rsidR="0091267E" w:rsidRPr="001D7A9E" w:rsidRDefault="0091267E" w:rsidP="001D7A9E">
            <w:pPr>
              <w:tabs>
                <w:tab w:val="left" w:pos="1494"/>
              </w:tabs>
              <w:spacing w:after="0" w:line="240" w:lineRule="auto"/>
              <w:rPr>
                <w:rFonts w:eastAsiaTheme="minorHAnsi"/>
                <w:szCs w:val="24"/>
                <w:lang w:val="lv-LV"/>
              </w:rPr>
            </w:pPr>
            <w:r w:rsidRPr="000C3B1B">
              <w:rPr>
                <w:rFonts w:eastAsia="Calibri" w:cs="Times New Roman"/>
                <w:szCs w:val="24"/>
                <w:lang w:val="lv-LV"/>
              </w:rPr>
              <w:t>MPK</w:t>
            </w:r>
          </w:p>
        </w:tc>
        <w:tc>
          <w:tcPr>
            <w:tcW w:w="7654" w:type="dxa"/>
            <w:shd w:val="clear" w:color="auto" w:fill="auto"/>
          </w:tcPr>
          <w:p w14:paraId="1A312F76" w14:textId="0E9BFC2D" w:rsidR="0091267E" w:rsidRPr="001D7A9E" w:rsidRDefault="0091267E" w:rsidP="001D7A9E">
            <w:pPr>
              <w:tabs>
                <w:tab w:val="left" w:pos="1494"/>
              </w:tabs>
              <w:spacing w:after="0" w:line="240" w:lineRule="auto"/>
              <w:rPr>
                <w:rFonts w:eastAsiaTheme="minorHAnsi"/>
                <w:szCs w:val="24"/>
                <w:lang w:val="lv-LV"/>
              </w:rPr>
            </w:pPr>
            <w:r>
              <w:rPr>
                <w:rFonts w:eastAsiaTheme="minorHAnsi"/>
                <w:szCs w:val="24"/>
                <w:lang w:val="lv-LV"/>
              </w:rPr>
              <w:t>Maksas pakalpojumi</w:t>
            </w:r>
          </w:p>
        </w:tc>
      </w:tr>
      <w:tr w:rsidR="001D7A9E" w:rsidRPr="001D7A9E" w14:paraId="3BA3AB57" w14:textId="77777777" w:rsidTr="001768BA">
        <w:trPr>
          <w:trHeight w:val="284"/>
        </w:trPr>
        <w:tc>
          <w:tcPr>
            <w:tcW w:w="1560" w:type="dxa"/>
            <w:shd w:val="clear" w:color="auto" w:fill="auto"/>
          </w:tcPr>
          <w:p w14:paraId="0974B56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MK</w:t>
            </w:r>
          </w:p>
        </w:tc>
        <w:tc>
          <w:tcPr>
            <w:tcW w:w="7654" w:type="dxa"/>
            <w:shd w:val="clear" w:color="auto" w:fill="auto"/>
          </w:tcPr>
          <w:p w14:paraId="5D5FB4B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Ministru kabinets</w:t>
            </w:r>
          </w:p>
        </w:tc>
      </w:tr>
      <w:tr w:rsidR="001D7A9E" w:rsidRPr="001D7A9E" w14:paraId="079C7D31" w14:textId="77777777" w:rsidTr="001768BA">
        <w:trPr>
          <w:trHeight w:val="284"/>
        </w:trPr>
        <w:tc>
          <w:tcPr>
            <w:tcW w:w="1560" w:type="dxa"/>
            <w:shd w:val="clear" w:color="auto" w:fill="auto"/>
          </w:tcPr>
          <w:p w14:paraId="10F0F58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NATO</w:t>
            </w:r>
          </w:p>
        </w:tc>
        <w:tc>
          <w:tcPr>
            <w:tcW w:w="7654" w:type="dxa"/>
            <w:shd w:val="clear" w:color="auto" w:fill="auto"/>
          </w:tcPr>
          <w:p w14:paraId="0709375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Ziemeļatlantijas līguma organizācija</w:t>
            </w:r>
          </w:p>
        </w:tc>
      </w:tr>
      <w:tr w:rsidR="001D7A9E" w:rsidRPr="001D7A9E" w14:paraId="010DFCA4" w14:textId="77777777" w:rsidTr="001768BA">
        <w:trPr>
          <w:trHeight w:val="284"/>
        </w:trPr>
        <w:tc>
          <w:tcPr>
            <w:tcW w:w="1560" w:type="dxa"/>
            <w:shd w:val="clear" w:color="auto" w:fill="auto"/>
          </w:tcPr>
          <w:p w14:paraId="197B74F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NBS</w:t>
            </w:r>
          </w:p>
        </w:tc>
        <w:tc>
          <w:tcPr>
            <w:tcW w:w="7654" w:type="dxa"/>
            <w:shd w:val="clear" w:color="auto" w:fill="auto"/>
          </w:tcPr>
          <w:p w14:paraId="3042784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Nacionālie bruņotie spēki</w:t>
            </w:r>
          </w:p>
        </w:tc>
      </w:tr>
      <w:tr w:rsidR="001D7A9E" w:rsidRPr="00D8747B" w14:paraId="38E52465" w14:textId="77777777" w:rsidTr="001768BA">
        <w:trPr>
          <w:trHeight w:val="284"/>
        </w:trPr>
        <w:tc>
          <w:tcPr>
            <w:tcW w:w="1560" w:type="dxa"/>
            <w:shd w:val="clear" w:color="auto" w:fill="auto"/>
          </w:tcPr>
          <w:p w14:paraId="10A1CAD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imes New Roman" w:cs="Times New Roman"/>
                <w:color w:val="000000"/>
                <w:szCs w:val="24"/>
                <w:lang w:val="lv-LV" w:eastAsia="lv-LV"/>
              </w:rPr>
              <w:t>NEPLP</w:t>
            </w:r>
          </w:p>
        </w:tc>
        <w:tc>
          <w:tcPr>
            <w:tcW w:w="7654" w:type="dxa"/>
            <w:shd w:val="clear" w:color="auto" w:fill="auto"/>
          </w:tcPr>
          <w:p w14:paraId="29EE5FF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Nacionālā elektronisko plašsaziņas līdzekļu padome</w:t>
            </w:r>
          </w:p>
        </w:tc>
      </w:tr>
      <w:tr w:rsidR="00252758" w:rsidRPr="00514C20" w14:paraId="04244333" w14:textId="77777777" w:rsidTr="001768BA">
        <w:trPr>
          <w:trHeight w:val="284"/>
        </w:trPr>
        <w:tc>
          <w:tcPr>
            <w:tcW w:w="1560" w:type="dxa"/>
            <w:shd w:val="clear" w:color="auto" w:fill="auto"/>
          </w:tcPr>
          <w:p w14:paraId="05CCD5B2" w14:textId="4D6DCBB0" w:rsidR="00252758" w:rsidRPr="001D7A9E" w:rsidRDefault="00252758" w:rsidP="001D7A9E">
            <w:pPr>
              <w:tabs>
                <w:tab w:val="left" w:pos="1494"/>
              </w:tabs>
              <w:spacing w:after="0" w:line="240" w:lineRule="auto"/>
              <w:rPr>
                <w:rFonts w:eastAsia="Times New Roman" w:cs="Times New Roman"/>
                <w:color w:val="000000"/>
                <w:szCs w:val="24"/>
                <w:lang w:val="lv-LV" w:eastAsia="lv-LV"/>
              </w:rPr>
            </w:pPr>
            <w:r>
              <w:rPr>
                <w:rFonts w:eastAsia="Times New Roman" w:cs="Times New Roman"/>
                <w:color w:val="000000"/>
                <w:szCs w:val="24"/>
                <w:lang w:val="lv-LV" w:eastAsia="lv-LV"/>
              </w:rPr>
              <w:lastRenderedPageBreak/>
              <w:t>NKC</w:t>
            </w:r>
          </w:p>
        </w:tc>
        <w:tc>
          <w:tcPr>
            <w:tcW w:w="7654" w:type="dxa"/>
            <w:shd w:val="clear" w:color="auto" w:fill="auto"/>
          </w:tcPr>
          <w:p w14:paraId="1E2ECABC" w14:textId="1CD616D9" w:rsidR="00252758" w:rsidRPr="001D7A9E" w:rsidRDefault="00252758" w:rsidP="001D7A9E">
            <w:pPr>
              <w:tabs>
                <w:tab w:val="left" w:pos="1494"/>
              </w:tabs>
              <w:spacing w:after="0" w:line="240" w:lineRule="auto"/>
              <w:rPr>
                <w:rFonts w:eastAsiaTheme="minorHAnsi"/>
                <w:szCs w:val="24"/>
                <w:lang w:val="lv-LV"/>
              </w:rPr>
            </w:pPr>
            <w:r>
              <w:rPr>
                <w:rFonts w:eastAsiaTheme="minorHAnsi"/>
                <w:szCs w:val="24"/>
                <w:lang w:val="lv-LV"/>
              </w:rPr>
              <w:t>Nacionālais kino centrs</w:t>
            </w:r>
          </w:p>
        </w:tc>
      </w:tr>
      <w:tr w:rsidR="001D7A9E" w:rsidRPr="001D7A9E" w14:paraId="39FE8872" w14:textId="77777777" w:rsidTr="001768BA">
        <w:trPr>
          <w:trHeight w:val="284"/>
        </w:trPr>
        <w:tc>
          <w:tcPr>
            <w:tcW w:w="1560" w:type="dxa"/>
            <w:shd w:val="clear" w:color="auto" w:fill="auto"/>
          </w:tcPr>
          <w:p w14:paraId="49B210B8" w14:textId="77777777" w:rsidR="001D7A9E" w:rsidRPr="001D7A9E" w:rsidRDefault="001D7A9E" w:rsidP="001D7A9E">
            <w:pPr>
              <w:tabs>
                <w:tab w:val="left" w:pos="1494"/>
              </w:tabs>
              <w:spacing w:after="0" w:line="240" w:lineRule="auto"/>
              <w:rPr>
                <w:rFonts w:eastAsia="Times New Roman" w:cs="Times New Roman"/>
                <w:color w:val="000000"/>
                <w:szCs w:val="24"/>
                <w:lang w:val="lv-LV" w:eastAsia="lv-LV"/>
              </w:rPr>
            </w:pPr>
            <w:r w:rsidRPr="001D7A9E">
              <w:rPr>
                <w:rFonts w:eastAsia="Times New Roman" w:cs="Times New Roman"/>
                <w:color w:val="000000"/>
                <w:szCs w:val="24"/>
                <w:lang w:val="lv-LV" w:eastAsia="lv-LV"/>
              </w:rPr>
              <w:t>NVO</w:t>
            </w:r>
          </w:p>
        </w:tc>
        <w:tc>
          <w:tcPr>
            <w:tcW w:w="7654" w:type="dxa"/>
            <w:shd w:val="clear" w:color="auto" w:fill="auto"/>
          </w:tcPr>
          <w:p w14:paraId="4F3832B7"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Nevalstiska organizācija</w:t>
            </w:r>
          </w:p>
        </w:tc>
      </w:tr>
      <w:tr w:rsidR="001D7A9E" w:rsidRPr="001D7A9E" w14:paraId="51785E91" w14:textId="77777777" w:rsidTr="001768BA">
        <w:trPr>
          <w:trHeight w:val="205"/>
        </w:trPr>
        <w:tc>
          <w:tcPr>
            <w:tcW w:w="1560" w:type="dxa"/>
            <w:shd w:val="clear" w:color="auto" w:fill="auto"/>
          </w:tcPr>
          <w:p w14:paraId="74C561D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OECD</w:t>
            </w:r>
          </w:p>
        </w:tc>
        <w:tc>
          <w:tcPr>
            <w:tcW w:w="7654" w:type="dxa"/>
            <w:shd w:val="clear" w:color="auto" w:fill="auto"/>
          </w:tcPr>
          <w:p w14:paraId="5346780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Ekonomiskās sadarbības un attīstības organizācija</w:t>
            </w:r>
          </w:p>
        </w:tc>
      </w:tr>
      <w:tr w:rsidR="001D7A9E" w:rsidRPr="001D7A9E" w14:paraId="16EEA232" w14:textId="77777777" w:rsidTr="001768BA">
        <w:trPr>
          <w:trHeight w:val="205"/>
        </w:trPr>
        <w:tc>
          <w:tcPr>
            <w:tcW w:w="1560" w:type="dxa"/>
            <w:shd w:val="clear" w:color="auto" w:fill="auto"/>
          </w:tcPr>
          <w:p w14:paraId="11D0C455" w14:textId="77777777" w:rsidR="001D7A9E" w:rsidRPr="001D7A9E" w:rsidRDefault="001D7A9E" w:rsidP="001D7A9E">
            <w:pPr>
              <w:tabs>
                <w:tab w:val="left" w:pos="1494"/>
              </w:tabs>
              <w:spacing w:after="0" w:line="240" w:lineRule="auto"/>
              <w:rPr>
                <w:rFonts w:eastAsiaTheme="minorHAnsi"/>
                <w:szCs w:val="24"/>
                <w:lang w:val="lv-LV"/>
              </w:rPr>
            </w:pPr>
            <w:r w:rsidRPr="001D7A9E">
              <w:rPr>
                <w:rFonts w:cs="Times New Roman"/>
                <w:szCs w:val="24"/>
                <w:lang w:val="lv-LV"/>
              </w:rPr>
              <w:t>NVA</w:t>
            </w:r>
          </w:p>
        </w:tc>
        <w:tc>
          <w:tcPr>
            <w:tcW w:w="7654" w:type="dxa"/>
            <w:shd w:val="clear" w:color="auto" w:fill="auto"/>
          </w:tcPr>
          <w:p w14:paraId="1108BAB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Nodarbinātības valsts aģentūra</w:t>
            </w:r>
          </w:p>
        </w:tc>
      </w:tr>
      <w:tr w:rsidR="001D7A9E" w:rsidRPr="001D7A9E" w14:paraId="7A9DCDF3" w14:textId="77777777" w:rsidTr="001768BA">
        <w:trPr>
          <w:trHeight w:val="269"/>
        </w:trPr>
        <w:tc>
          <w:tcPr>
            <w:tcW w:w="1560" w:type="dxa"/>
            <w:shd w:val="clear" w:color="auto" w:fill="auto"/>
          </w:tcPr>
          <w:p w14:paraId="5BD10AB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NVD</w:t>
            </w:r>
          </w:p>
        </w:tc>
        <w:tc>
          <w:tcPr>
            <w:tcW w:w="7654" w:type="dxa"/>
            <w:shd w:val="clear" w:color="auto" w:fill="auto"/>
          </w:tcPr>
          <w:p w14:paraId="7D95E5CC"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Nacionālais veselības dienests</w:t>
            </w:r>
          </w:p>
        </w:tc>
      </w:tr>
      <w:tr w:rsidR="001D7A9E" w:rsidRPr="001D7A9E" w14:paraId="796652B7" w14:textId="77777777" w:rsidTr="001768BA">
        <w:trPr>
          <w:trHeight w:val="269"/>
        </w:trPr>
        <w:tc>
          <w:tcPr>
            <w:tcW w:w="1560" w:type="dxa"/>
            <w:shd w:val="clear" w:color="auto" w:fill="auto"/>
          </w:tcPr>
          <w:p w14:paraId="12F2D37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PMPL</w:t>
            </w:r>
          </w:p>
        </w:tc>
        <w:tc>
          <w:tcPr>
            <w:tcW w:w="7654" w:type="dxa"/>
            <w:shd w:val="clear" w:color="auto" w:fill="auto"/>
          </w:tcPr>
          <w:p w14:paraId="08A6931C"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Pilsonības un migrācijas lietu pārvalde</w:t>
            </w:r>
          </w:p>
        </w:tc>
      </w:tr>
      <w:tr w:rsidR="001D7A9E" w:rsidRPr="001D7A9E" w14:paraId="2108AB24" w14:textId="77777777" w:rsidTr="001768BA">
        <w:trPr>
          <w:trHeight w:val="269"/>
        </w:trPr>
        <w:tc>
          <w:tcPr>
            <w:tcW w:w="1560" w:type="dxa"/>
            <w:shd w:val="clear" w:color="auto" w:fill="auto"/>
          </w:tcPr>
          <w:p w14:paraId="6580238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cs="Times New Roman"/>
                <w:szCs w:val="24"/>
                <w:lang w:val="lv-LV"/>
              </w:rPr>
              <w:t>PP</w:t>
            </w:r>
          </w:p>
        </w:tc>
        <w:tc>
          <w:tcPr>
            <w:tcW w:w="7654" w:type="dxa"/>
            <w:shd w:val="clear" w:color="auto" w:fill="auto"/>
          </w:tcPr>
          <w:p w14:paraId="7FDECA6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Prioritārais pasākums</w:t>
            </w:r>
          </w:p>
        </w:tc>
      </w:tr>
      <w:tr w:rsidR="001D7A9E" w:rsidRPr="001D7A9E" w14:paraId="1413DC1F" w14:textId="77777777" w:rsidTr="001768BA">
        <w:trPr>
          <w:trHeight w:val="269"/>
        </w:trPr>
        <w:tc>
          <w:tcPr>
            <w:tcW w:w="1560" w:type="dxa"/>
            <w:shd w:val="clear" w:color="auto" w:fill="auto"/>
          </w:tcPr>
          <w:p w14:paraId="649A3B2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eastAsia="lv-LV"/>
              </w:rPr>
              <w:t>PVD</w:t>
            </w:r>
          </w:p>
        </w:tc>
        <w:tc>
          <w:tcPr>
            <w:tcW w:w="7654" w:type="dxa"/>
            <w:shd w:val="clear" w:color="auto" w:fill="auto"/>
          </w:tcPr>
          <w:p w14:paraId="0BDC0E0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eastAsia="lv-LV"/>
              </w:rPr>
              <w:t>Pārtikas un veterinārais dienests</w:t>
            </w:r>
          </w:p>
        </w:tc>
      </w:tr>
      <w:tr w:rsidR="001D7A9E" w:rsidRPr="001D7A9E" w14:paraId="249E36FA" w14:textId="77777777" w:rsidTr="001768BA">
        <w:trPr>
          <w:trHeight w:val="269"/>
        </w:trPr>
        <w:tc>
          <w:tcPr>
            <w:tcW w:w="1560" w:type="dxa"/>
            <w:shd w:val="clear" w:color="auto" w:fill="auto"/>
          </w:tcPr>
          <w:p w14:paraId="58F04B1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PKC</w:t>
            </w:r>
          </w:p>
        </w:tc>
        <w:tc>
          <w:tcPr>
            <w:tcW w:w="7654" w:type="dxa"/>
            <w:shd w:val="clear" w:color="auto" w:fill="auto"/>
          </w:tcPr>
          <w:p w14:paraId="157E2D58"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Pārresoru koordinācijas centrs</w:t>
            </w:r>
          </w:p>
        </w:tc>
      </w:tr>
      <w:tr w:rsidR="001D7A9E" w:rsidRPr="001D7A9E" w14:paraId="65B09B06" w14:textId="77777777" w:rsidTr="001768BA">
        <w:trPr>
          <w:trHeight w:val="269"/>
        </w:trPr>
        <w:tc>
          <w:tcPr>
            <w:tcW w:w="1560" w:type="dxa"/>
            <w:shd w:val="clear" w:color="auto" w:fill="auto"/>
          </w:tcPr>
          <w:p w14:paraId="64AFDC8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PVN</w:t>
            </w:r>
          </w:p>
        </w:tc>
        <w:tc>
          <w:tcPr>
            <w:tcW w:w="7654" w:type="dxa"/>
            <w:shd w:val="clear" w:color="auto" w:fill="auto"/>
          </w:tcPr>
          <w:p w14:paraId="49ABFA5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Pievienotās vērtības nodoklis</w:t>
            </w:r>
          </w:p>
        </w:tc>
      </w:tr>
      <w:tr w:rsidR="001D7A9E" w:rsidRPr="001D7A9E" w14:paraId="76B2C41A" w14:textId="77777777" w:rsidTr="001768BA">
        <w:trPr>
          <w:trHeight w:val="269"/>
        </w:trPr>
        <w:tc>
          <w:tcPr>
            <w:tcW w:w="1560" w:type="dxa"/>
            <w:shd w:val="clear" w:color="auto" w:fill="auto"/>
          </w:tcPr>
          <w:p w14:paraId="43381BD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RSU</w:t>
            </w:r>
          </w:p>
        </w:tc>
        <w:tc>
          <w:tcPr>
            <w:tcW w:w="7654" w:type="dxa"/>
            <w:shd w:val="clear" w:color="auto" w:fill="auto"/>
          </w:tcPr>
          <w:p w14:paraId="5A908E5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Rīgas Stradiņa universitāte</w:t>
            </w:r>
          </w:p>
        </w:tc>
      </w:tr>
      <w:tr w:rsidR="001D7A9E" w:rsidRPr="001D7A9E" w14:paraId="1A011982" w14:textId="77777777" w:rsidTr="001768BA">
        <w:trPr>
          <w:trHeight w:val="269"/>
        </w:trPr>
        <w:tc>
          <w:tcPr>
            <w:tcW w:w="1560" w:type="dxa"/>
            <w:shd w:val="clear" w:color="auto" w:fill="auto"/>
          </w:tcPr>
          <w:p w14:paraId="431A015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RTV</w:t>
            </w:r>
          </w:p>
        </w:tc>
        <w:tc>
          <w:tcPr>
            <w:tcW w:w="7654" w:type="dxa"/>
            <w:shd w:val="clear" w:color="auto" w:fill="auto"/>
          </w:tcPr>
          <w:p w14:paraId="57B370F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Radio un televīzija</w:t>
            </w:r>
          </w:p>
        </w:tc>
      </w:tr>
      <w:tr w:rsidR="001D7A9E" w:rsidRPr="001D7A9E" w14:paraId="2163C55E" w14:textId="77777777" w:rsidTr="001768BA">
        <w:trPr>
          <w:trHeight w:val="269"/>
        </w:trPr>
        <w:tc>
          <w:tcPr>
            <w:tcW w:w="1560" w:type="dxa"/>
            <w:shd w:val="clear" w:color="auto" w:fill="auto"/>
          </w:tcPr>
          <w:p w14:paraId="373C540A" w14:textId="77777777" w:rsidR="001D7A9E" w:rsidRPr="001D7A9E" w:rsidRDefault="001D7A9E" w:rsidP="001D7A9E">
            <w:pPr>
              <w:tabs>
                <w:tab w:val="left" w:pos="1494"/>
              </w:tabs>
              <w:spacing w:after="0" w:line="240" w:lineRule="auto"/>
              <w:rPr>
                <w:rFonts w:eastAsiaTheme="minorHAnsi"/>
                <w:szCs w:val="24"/>
                <w:lang w:val="lv-LV"/>
              </w:rPr>
            </w:pPr>
            <w:r w:rsidRPr="001D7A9E">
              <w:rPr>
                <w:rFonts w:cs="Times New Roman"/>
                <w:lang w:val="lv-LV"/>
              </w:rPr>
              <w:t>SAM</w:t>
            </w:r>
          </w:p>
        </w:tc>
        <w:tc>
          <w:tcPr>
            <w:tcW w:w="7654" w:type="dxa"/>
            <w:shd w:val="clear" w:color="auto" w:fill="auto"/>
          </w:tcPr>
          <w:p w14:paraId="2070C5D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Specifiskā atbalsta mērķis</w:t>
            </w:r>
          </w:p>
        </w:tc>
      </w:tr>
      <w:tr w:rsidR="001D7A9E" w:rsidRPr="00D8747B" w14:paraId="214BCC40" w14:textId="77777777" w:rsidTr="001768BA">
        <w:trPr>
          <w:trHeight w:val="269"/>
        </w:trPr>
        <w:tc>
          <w:tcPr>
            <w:tcW w:w="1560" w:type="dxa"/>
            <w:shd w:val="clear" w:color="auto" w:fill="auto"/>
          </w:tcPr>
          <w:p w14:paraId="0B977A5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SEPLP</w:t>
            </w:r>
          </w:p>
        </w:tc>
        <w:tc>
          <w:tcPr>
            <w:tcW w:w="7654" w:type="dxa"/>
            <w:shd w:val="clear" w:color="auto" w:fill="auto"/>
          </w:tcPr>
          <w:p w14:paraId="4D3C6717"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Sabiedrisko elektronisko plašsaziņas līdzekļu padome</w:t>
            </w:r>
          </w:p>
        </w:tc>
      </w:tr>
      <w:tr w:rsidR="001D7A9E" w:rsidRPr="001D7A9E" w14:paraId="18C0E8B5" w14:textId="77777777" w:rsidTr="001768BA">
        <w:trPr>
          <w:trHeight w:val="269"/>
        </w:trPr>
        <w:tc>
          <w:tcPr>
            <w:tcW w:w="1560" w:type="dxa"/>
            <w:shd w:val="clear" w:color="auto" w:fill="auto"/>
          </w:tcPr>
          <w:p w14:paraId="73E7867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SIF</w:t>
            </w:r>
          </w:p>
        </w:tc>
        <w:tc>
          <w:tcPr>
            <w:tcW w:w="7654" w:type="dxa"/>
            <w:shd w:val="clear" w:color="auto" w:fill="auto"/>
          </w:tcPr>
          <w:p w14:paraId="141F886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Sabiedrības integrācijas fonds</w:t>
            </w:r>
          </w:p>
        </w:tc>
      </w:tr>
      <w:tr w:rsidR="001D7A9E" w:rsidRPr="001D7A9E" w14:paraId="166A17F0" w14:textId="77777777" w:rsidTr="001768BA">
        <w:trPr>
          <w:trHeight w:val="269"/>
        </w:trPr>
        <w:tc>
          <w:tcPr>
            <w:tcW w:w="1560" w:type="dxa"/>
            <w:shd w:val="clear" w:color="auto" w:fill="auto"/>
          </w:tcPr>
          <w:p w14:paraId="3BAC22F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SKII</w:t>
            </w:r>
          </w:p>
        </w:tc>
        <w:tc>
          <w:tcPr>
            <w:tcW w:w="7654" w:type="dxa"/>
            <w:shd w:val="clear" w:color="auto" w:fill="auto"/>
          </w:tcPr>
          <w:p w14:paraId="55C58AC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Sociālās korekcijas izglītības iestāde</w:t>
            </w:r>
          </w:p>
        </w:tc>
      </w:tr>
      <w:tr w:rsidR="001D7A9E" w:rsidRPr="001D7A9E" w14:paraId="1DEF6A24" w14:textId="77777777" w:rsidTr="001768BA">
        <w:trPr>
          <w:trHeight w:val="217"/>
        </w:trPr>
        <w:tc>
          <w:tcPr>
            <w:tcW w:w="1560" w:type="dxa"/>
            <w:shd w:val="clear" w:color="auto" w:fill="auto"/>
          </w:tcPr>
          <w:p w14:paraId="7F2520A2"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SM</w:t>
            </w:r>
          </w:p>
        </w:tc>
        <w:tc>
          <w:tcPr>
            <w:tcW w:w="7654" w:type="dxa"/>
            <w:shd w:val="clear" w:color="auto" w:fill="auto"/>
          </w:tcPr>
          <w:p w14:paraId="4E61EDDF"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Satiksmes ministrija</w:t>
            </w:r>
          </w:p>
        </w:tc>
      </w:tr>
      <w:tr w:rsidR="0081019D" w:rsidRPr="001D7A9E" w14:paraId="4058A39F" w14:textId="77777777" w:rsidTr="001768BA">
        <w:trPr>
          <w:trHeight w:val="217"/>
        </w:trPr>
        <w:tc>
          <w:tcPr>
            <w:tcW w:w="1560" w:type="dxa"/>
            <w:shd w:val="clear" w:color="auto" w:fill="auto"/>
          </w:tcPr>
          <w:p w14:paraId="3BBE60D7" w14:textId="4E2AE712" w:rsidR="0081019D" w:rsidRPr="001D7A9E" w:rsidRDefault="0081019D" w:rsidP="001D7A9E">
            <w:pPr>
              <w:tabs>
                <w:tab w:val="left" w:pos="1494"/>
              </w:tabs>
              <w:spacing w:after="0" w:line="240" w:lineRule="auto"/>
              <w:rPr>
                <w:rFonts w:eastAsiaTheme="minorHAnsi"/>
                <w:szCs w:val="24"/>
                <w:lang w:val="lv-LV"/>
              </w:rPr>
            </w:pPr>
            <w:r>
              <w:rPr>
                <w:rFonts w:eastAsiaTheme="minorHAnsi"/>
                <w:szCs w:val="24"/>
                <w:lang w:val="lv-LV"/>
              </w:rPr>
              <w:t>ST</w:t>
            </w:r>
          </w:p>
        </w:tc>
        <w:tc>
          <w:tcPr>
            <w:tcW w:w="7654" w:type="dxa"/>
            <w:shd w:val="clear" w:color="auto" w:fill="auto"/>
          </w:tcPr>
          <w:p w14:paraId="1195F159" w14:textId="3335C78B" w:rsidR="0081019D" w:rsidRPr="001D7A9E" w:rsidRDefault="0081019D" w:rsidP="001D7A9E">
            <w:pPr>
              <w:tabs>
                <w:tab w:val="left" w:pos="1494"/>
              </w:tabs>
              <w:spacing w:after="0" w:line="240" w:lineRule="auto"/>
              <w:rPr>
                <w:rFonts w:eastAsiaTheme="minorHAnsi"/>
                <w:szCs w:val="24"/>
                <w:lang w:val="lv-LV"/>
              </w:rPr>
            </w:pPr>
            <w:r>
              <w:rPr>
                <w:rFonts w:eastAsiaTheme="minorHAnsi"/>
                <w:szCs w:val="24"/>
                <w:lang w:val="lv-LV"/>
              </w:rPr>
              <w:t>Satversmes tiesa</w:t>
            </w:r>
          </w:p>
        </w:tc>
      </w:tr>
      <w:tr w:rsidR="001D7A9E" w:rsidRPr="001D7A9E" w14:paraId="1CBDC21D" w14:textId="77777777" w:rsidTr="001768BA">
        <w:trPr>
          <w:trHeight w:val="217"/>
        </w:trPr>
        <w:tc>
          <w:tcPr>
            <w:tcW w:w="1560" w:type="dxa"/>
            <w:shd w:val="clear" w:color="auto" w:fill="auto"/>
          </w:tcPr>
          <w:p w14:paraId="04C7B0A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TB</w:t>
            </w:r>
          </w:p>
        </w:tc>
        <w:tc>
          <w:tcPr>
            <w:tcW w:w="7654" w:type="dxa"/>
            <w:shd w:val="clear" w:color="auto" w:fill="auto"/>
          </w:tcPr>
          <w:p w14:paraId="7BD1051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Tiesībsarga birojs</w:t>
            </w:r>
          </w:p>
        </w:tc>
      </w:tr>
      <w:tr w:rsidR="001D7A9E" w:rsidRPr="001D7A9E" w14:paraId="68016BDD" w14:textId="77777777" w:rsidTr="001768BA">
        <w:trPr>
          <w:trHeight w:val="284"/>
        </w:trPr>
        <w:tc>
          <w:tcPr>
            <w:tcW w:w="1560" w:type="dxa"/>
            <w:shd w:val="clear" w:color="auto" w:fill="auto"/>
          </w:tcPr>
          <w:p w14:paraId="36CC9C3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TM</w:t>
            </w:r>
          </w:p>
        </w:tc>
        <w:tc>
          <w:tcPr>
            <w:tcW w:w="7654" w:type="dxa"/>
            <w:shd w:val="clear" w:color="auto" w:fill="auto"/>
          </w:tcPr>
          <w:p w14:paraId="6290CC7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Tieslietu ministrija</w:t>
            </w:r>
          </w:p>
        </w:tc>
      </w:tr>
      <w:tr w:rsidR="009D468E" w:rsidRPr="001D7A9E" w14:paraId="0D1E5C64" w14:textId="77777777" w:rsidTr="001768BA">
        <w:trPr>
          <w:trHeight w:val="284"/>
        </w:trPr>
        <w:tc>
          <w:tcPr>
            <w:tcW w:w="1560" w:type="dxa"/>
            <w:shd w:val="clear" w:color="auto" w:fill="auto"/>
          </w:tcPr>
          <w:p w14:paraId="74D438C9" w14:textId="7FAB90A7" w:rsidR="009D468E" w:rsidRPr="001D7A9E" w:rsidRDefault="009D468E" w:rsidP="001D7A9E">
            <w:pPr>
              <w:tabs>
                <w:tab w:val="left" w:pos="1494"/>
              </w:tabs>
              <w:spacing w:after="0" w:line="240" w:lineRule="auto"/>
              <w:rPr>
                <w:rFonts w:eastAsiaTheme="minorHAnsi"/>
                <w:szCs w:val="24"/>
                <w:lang w:val="lv-LV"/>
              </w:rPr>
            </w:pPr>
            <w:r>
              <w:rPr>
                <w:rFonts w:eastAsiaTheme="minorHAnsi"/>
                <w:szCs w:val="24"/>
                <w:lang w:val="lv-LV"/>
              </w:rPr>
              <w:t>VADC</w:t>
            </w:r>
          </w:p>
        </w:tc>
        <w:tc>
          <w:tcPr>
            <w:tcW w:w="7654" w:type="dxa"/>
            <w:shd w:val="clear" w:color="auto" w:fill="auto"/>
          </w:tcPr>
          <w:p w14:paraId="0C9361DF" w14:textId="512FCE86" w:rsidR="009D468E" w:rsidRPr="001D7A9E" w:rsidRDefault="009D468E" w:rsidP="001D7A9E">
            <w:pPr>
              <w:tabs>
                <w:tab w:val="left" w:pos="1494"/>
              </w:tabs>
              <w:spacing w:after="0" w:line="240" w:lineRule="auto"/>
              <w:rPr>
                <w:rFonts w:eastAsiaTheme="minorHAnsi"/>
                <w:szCs w:val="24"/>
                <w:lang w:val="lv-LV"/>
              </w:rPr>
            </w:pPr>
            <w:r w:rsidRPr="009D468E">
              <w:rPr>
                <w:rFonts w:eastAsiaTheme="minorHAnsi"/>
                <w:szCs w:val="24"/>
                <w:lang w:val="lv-LV"/>
              </w:rPr>
              <w:t>Valsts asinsdo</w:t>
            </w:r>
            <w:r>
              <w:rPr>
                <w:rFonts w:eastAsiaTheme="minorHAnsi"/>
                <w:szCs w:val="24"/>
                <w:lang w:val="lv-LV"/>
              </w:rPr>
              <w:t>noru centrs</w:t>
            </w:r>
          </w:p>
        </w:tc>
      </w:tr>
      <w:tr w:rsidR="001D7A9E" w:rsidRPr="001D7A9E" w14:paraId="5A659616" w14:textId="77777777" w:rsidTr="001768BA">
        <w:trPr>
          <w:trHeight w:val="269"/>
        </w:trPr>
        <w:tc>
          <w:tcPr>
            <w:tcW w:w="1560" w:type="dxa"/>
            <w:shd w:val="clear" w:color="auto" w:fill="auto"/>
          </w:tcPr>
          <w:p w14:paraId="1993EDA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VARAM</w:t>
            </w:r>
          </w:p>
        </w:tc>
        <w:tc>
          <w:tcPr>
            <w:tcW w:w="7654" w:type="dxa"/>
            <w:shd w:val="clear" w:color="auto" w:fill="auto"/>
          </w:tcPr>
          <w:p w14:paraId="5B11F15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Vides aizsardzības un reģionālās attīstības ministrija</w:t>
            </w:r>
          </w:p>
        </w:tc>
      </w:tr>
      <w:tr w:rsidR="001D7A9E" w:rsidRPr="001D7A9E" w14:paraId="15324879" w14:textId="77777777" w:rsidTr="001768BA">
        <w:trPr>
          <w:trHeight w:val="269"/>
        </w:trPr>
        <w:tc>
          <w:tcPr>
            <w:tcW w:w="1560" w:type="dxa"/>
            <w:shd w:val="clear" w:color="auto" w:fill="auto"/>
          </w:tcPr>
          <w:p w14:paraId="063BBC4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VID</w:t>
            </w:r>
          </w:p>
        </w:tc>
        <w:tc>
          <w:tcPr>
            <w:tcW w:w="7654" w:type="dxa"/>
            <w:shd w:val="clear" w:color="auto" w:fill="auto"/>
          </w:tcPr>
          <w:p w14:paraId="3CB209E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ieņēmumu dienests</w:t>
            </w:r>
          </w:p>
        </w:tc>
      </w:tr>
      <w:tr w:rsidR="001D7A9E" w:rsidRPr="001D7A9E" w14:paraId="10E240B3" w14:textId="77777777" w:rsidTr="001768BA">
        <w:trPr>
          <w:trHeight w:val="269"/>
        </w:trPr>
        <w:tc>
          <w:tcPr>
            <w:tcW w:w="1560" w:type="dxa"/>
            <w:shd w:val="clear" w:color="auto" w:fill="auto"/>
          </w:tcPr>
          <w:p w14:paraId="4512F8DD"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VIIS</w:t>
            </w:r>
          </w:p>
        </w:tc>
        <w:tc>
          <w:tcPr>
            <w:tcW w:w="7654" w:type="dxa"/>
            <w:shd w:val="clear" w:color="auto" w:fill="auto"/>
          </w:tcPr>
          <w:p w14:paraId="03E204E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izglītības informācijas sistēma</w:t>
            </w:r>
          </w:p>
        </w:tc>
      </w:tr>
      <w:tr w:rsidR="001D7A9E" w:rsidRPr="001D7A9E" w14:paraId="72222779" w14:textId="77777777" w:rsidTr="001768BA">
        <w:trPr>
          <w:trHeight w:val="269"/>
        </w:trPr>
        <w:tc>
          <w:tcPr>
            <w:tcW w:w="1560" w:type="dxa"/>
            <w:shd w:val="clear" w:color="auto" w:fill="auto"/>
          </w:tcPr>
          <w:p w14:paraId="52D8CA66" w14:textId="77777777" w:rsidR="001D7A9E" w:rsidRPr="001D7A9E" w:rsidRDefault="001D7A9E" w:rsidP="001D7A9E">
            <w:pPr>
              <w:tabs>
                <w:tab w:val="left" w:pos="1494"/>
              </w:tabs>
              <w:spacing w:after="0" w:line="240" w:lineRule="auto"/>
              <w:rPr>
                <w:rFonts w:eastAsiaTheme="minorHAnsi"/>
                <w:szCs w:val="24"/>
                <w:lang w:val="lv-LV"/>
              </w:rPr>
            </w:pPr>
            <w:r w:rsidRPr="001D7A9E">
              <w:rPr>
                <w:lang w:val="lv-LV"/>
              </w:rPr>
              <w:t>VISC</w:t>
            </w:r>
          </w:p>
        </w:tc>
        <w:tc>
          <w:tcPr>
            <w:tcW w:w="7654" w:type="dxa"/>
            <w:shd w:val="clear" w:color="auto" w:fill="auto"/>
          </w:tcPr>
          <w:p w14:paraId="61D98DC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izglītības satura centrs</w:t>
            </w:r>
          </w:p>
        </w:tc>
      </w:tr>
      <w:tr w:rsidR="001D7A9E" w:rsidRPr="001D7A9E" w14:paraId="23460D91" w14:textId="77777777" w:rsidTr="001768BA">
        <w:trPr>
          <w:trHeight w:val="269"/>
        </w:trPr>
        <w:tc>
          <w:tcPr>
            <w:tcW w:w="1560" w:type="dxa"/>
            <w:shd w:val="clear" w:color="auto" w:fill="auto"/>
          </w:tcPr>
          <w:p w14:paraId="23512EA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VESPC</w:t>
            </w:r>
          </w:p>
        </w:tc>
        <w:tc>
          <w:tcPr>
            <w:tcW w:w="7654" w:type="dxa"/>
            <w:shd w:val="clear" w:color="auto" w:fill="auto"/>
          </w:tcPr>
          <w:p w14:paraId="7C78043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elektronisko sakaru pakalpojumu centrs</w:t>
            </w:r>
          </w:p>
        </w:tc>
      </w:tr>
      <w:tr w:rsidR="001D7A9E" w:rsidRPr="001D7A9E" w14:paraId="6120F4D2" w14:textId="77777777" w:rsidTr="001768BA">
        <w:trPr>
          <w:trHeight w:val="269"/>
        </w:trPr>
        <w:tc>
          <w:tcPr>
            <w:tcW w:w="1560" w:type="dxa"/>
            <w:shd w:val="clear" w:color="auto" w:fill="auto"/>
          </w:tcPr>
          <w:p w14:paraId="5183430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VK</w:t>
            </w:r>
          </w:p>
        </w:tc>
        <w:tc>
          <w:tcPr>
            <w:tcW w:w="7654" w:type="dxa"/>
            <w:shd w:val="clear" w:color="auto" w:fill="auto"/>
          </w:tcPr>
          <w:p w14:paraId="33AF24B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kanceleja</w:t>
            </w:r>
          </w:p>
        </w:tc>
      </w:tr>
      <w:tr w:rsidR="001D7A9E" w:rsidRPr="001D7A9E" w14:paraId="5CA3114E" w14:textId="77777777" w:rsidTr="001768BA">
        <w:trPr>
          <w:trHeight w:val="269"/>
        </w:trPr>
        <w:tc>
          <w:tcPr>
            <w:tcW w:w="1560" w:type="dxa"/>
            <w:shd w:val="clear" w:color="auto" w:fill="auto"/>
          </w:tcPr>
          <w:p w14:paraId="485D02CA" w14:textId="77777777" w:rsidR="001D7A9E" w:rsidRPr="001D7A9E" w:rsidRDefault="001D7A9E" w:rsidP="001D7A9E">
            <w:pPr>
              <w:tabs>
                <w:tab w:val="left" w:pos="1494"/>
              </w:tabs>
              <w:spacing w:after="0" w:line="240" w:lineRule="auto"/>
              <w:rPr>
                <w:rFonts w:eastAsiaTheme="minorHAnsi"/>
                <w:szCs w:val="24"/>
                <w:lang w:val="lv-LV"/>
              </w:rPr>
            </w:pPr>
            <w:r w:rsidRPr="001D7A9E">
              <w:rPr>
                <w:lang w:val="lv-LV"/>
              </w:rPr>
              <w:t>VKKF</w:t>
            </w:r>
          </w:p>
        </w:tc>
        <w:tc>
          <w:tcPr>
            <w:tcW w:w="7654" w:type="dxa"/>
            <w:shd w:val="clear" w:color="auto" w:fill="auto"/>
          </w:tcPr>
          <w:p w14:paraId="3340EBC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kultūrkapitāla fonds</w:t>
            </w:r>
          </w:p>
        </w:tc>
      </w:tr>
      <w:tr w:rsidR="001D7A9E" w:rsidRPr="001D7A9E" w14:paraId="171C38BF" w14:textId="77777777" w:rsidTr="001768BA">
        <w:trPr>
          <w:trHeight w:val="169"/>
        </w:trPr>
        <w:tc>
          <w:tcPr>
            <w:tcW w:w="1560" w:type="dxa"/>
            <w:shd w:val="clear" w:color="auto" w:fill="auto"/>
          </w:tcPr>
          <w:p w14:paraId="76DBC482"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VKo</w:t>
            </w:r>
          </w:p>
        </w:tc>
        <w:tc>
          <w:tcPr>
            <w:tcW w:w="7654" w:type="dxa"/>
            <w:shd w:val="clear" w:color="auto" w:fill="auto"/>
          </w:tcPr>
          <w:p w14:paraId="680EB3FF" w14:textId="77777777" w:rsidR="001D7A9E" w:rsidRPr="001D7A9E" w:rsidRDefault="001D7A9E" w:rsidP="001D7A9E">
            <w:pPr>
              <w:tabs>
                <w:tab w:val="left" w:pos="1494"/>
              </w:tabs>
              <w:spacing w:after="0" w:line="240" w:lineRule="auto"/>
              <w:rPr>
                <w:rFonts w:eastAsiaTheme="minorHAnsi" w:cs="Times New Roman"/>
                <w:szCs w:val="24"/>
                <w:lang w:val="lv-LV"/>
              </w:rPr>
            </w:pPr>
            <w:r w:rsidRPr="001D7A9E">
              <w:rPr>
                <w:rFonts w:eastAsiaTheme="minorHAnsi"/>
                <w:szCs w:val="24"/>
                <w:lang w:val="lv-LV"/>
              </w:rPr>
              <w:t>Valsts kontrole</w:t>
            </w:r>
          </w:p>
        </w:tc>
      </w:tr>
      <w:tr w:rsidR="001D7A9E" w:rsidRPr="001D7A9E" w14:paraId="05FA1B04" w14:textId="77777777" w:rsidTr="001768BA">
        <w:trPr>
          <w:trHeight w:val="169"/>
        </w:trPr>
        <w:tc>
          <w:tcPr>
            <w:tcW w:w="1560" w:type="dxa"/>
            <w:shd w:val="clear" w:color="auto" w:fill="auto"/>
          </w:tcPr>
          <w:p w14:paraId="30B9BB9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VM</w:t>
            </w:r>
          </w:p>
        </w:tc>
        <w:tc>
          <w:tcPr>
            <w:tcW w:w="7654" w:type="dxa"/>
            <w:shd w:val="clear" w:color="auto" w:fill="auto"/>
          </w:tcPr>
          <w:p w14:paraId="605DB51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Veselības ministrija</w:t>
            </w:r>
          </w:p>
        </w:tc>
      </w:tr>
      <w:tr w:rsidR="001D7A9E" w:rsidRPr="001D7A9E" w14:paraId="2303B7BE" w14:textId="77777777" w:rsidTr="001768BA">
        <w:trPr>
          <w:trHeight w:val="169"/>
        </w:trPr>
        <w:tc>
          <w:tcPr>
            <w:tcW w:w="1560" w:type="dxa"/>
            <w:shd w:val="clear" w:color="auto" w:fill="auto"/>
          </w:tcPr>
          <w:p w14:paraId="66EB1722"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VMD</w:t>
            </w:r>
          </w:p>
        </w:tc>
        <w:tc>
          <w:tcPr>
            <w:tcW w:w="7654" w:type="dxa"/>
            <w:shd w:val="clear" w:color="auto" w:fill="auto"/>
          </w:tcPr>
          <w:p w14:paraId="63E35368"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mežu dienests</w:t>
            </w:r>
          </w:p>
        </w:tc>
      </w:tr>
      <w:tr w:rsidR="001D7A9E" w:rsidRPr="001D7A9E" w14:paraId="1DBADE55" w14:textId="77777777" w:rsidTr="001768BA">
        <w:trPr>
          <w:trHeight w:val="169"/>
        </w:trPr>
        <w:tc>
          <w:tcPr>
            <w:tcW w:w="1560" w:type="dxa"/>
            <w:shd w:val="clear" w:color="auto" w:fill="auto"/>
          </w:tcPr>
          <w:p w14:paraId="60ACAA45"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VNĪ</w:t>
            </w:r>
          </w:p>
        </w:tc>
        <w:tc>
          <w:tcPr>
            <w:tcW w:w="7654" w:type="dxa"/>
            <w:shd w:val="clear" w:color="auto" w:fill="auto"/>
          </w:tcPr>
          <w:p w14:paraId="5B0D0663"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akciju sabiedrība "Valsts nekustamie īpašumi"</w:t>
            </w:r>
          </w:p>
        </w:tc>
      </w:tr>
      <w:tr w:rsidR="001D7A9E" w:rsidRPr="001D7A9E" w14:paraId="77FCB20A" w14:textId="77777777" w:rsidTr="001768BA">
        <w:trPr>
          <w:trHeight w:val="169"/>
        </w:trPr>
        <w:tc>
          <w:tcPr>
            <w:tcW w:w="1560" w:type="dxa"/>
            <w:shd w:val="clear" w:color="auto" w:fill="auto"/>
          </w:tcPr>
          <w:p w14:paraId="24F0189B"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eastAsia="lv-LV"/>
              </w:rPr>
              <w:t>VP</w:t>
            </w:r>
          </w:p>
        </w:tc>
        <w:tc>
          <w:tcPr>
            <w:tcW w:w="7654" w:type="dxa"/>
            <w:shd w:val="clear" w:color="auto" w:fill="auto"/>
          </w:tcPr>
          <w:p w14:paraId="29ECAED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bCs/>
                <w:szCs w:val="24"/>
                <w:lang w:val="lv-LV"/>
              </w:rPr>
              <w:t>Valsts policija</w:t>
            </w:r>
          </w:p>
        </w:tc>
      </w:tr>
      <w:tr w:rsidR="001D7A9E" w:rsidRPr="001D7A9E" w14:paraId="28E71230" w14:textId="77777777" w:rsidTr="001768BA">
        <w:trPr>
          <w:trHeight w:val="274"/>
        </w:trPr>
        <w:tc>
          <w:tcPr>
            <w:tcW w:w="1560" w:type="dxa"/>
            <w:shd w:val="clear" w:color="auto" w:fill="auto"/>
          </w:tcPr>
          <w:p w14:paraId="34472976"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eastAsia="lv-LV"/>
              </w:rPr>
              <w:t>VRP</w:t>
            </w:r>
          </w:p>
        </w:tc>
        <w:tc>
          <w:tcPr>
            <w:tcW w:w="7654" w:type="dxa"/>
            <w:shd w:val="clear" w:color="auto" w:fill="auto"/>
          </w:tcPr>
          <w:p w14:paraId="290E6936" w14:textId="77777777" w:rsidR="001D7A9E" w:rsidRPr="001D7A9E" w:rsidRDefault="001D7A9E" w:rsidP="001D7A9E">
            <w:pPr>
              <w:spacing w:after="0" w:line="240" w:lineRule="auto"/>
              <w:jc w:val="left"/>
              <w:rPr>
                <w:rFonts w:eastAsiaTheme="minorHAnsi"/>
                <w:szCs w:val="24"/>
                <w:lang w:val="lv-LV"/>
              </w:rPr>
            </w:pPr>
            <w:r w:rsidRPr="001D7A9E">
              <w:rPr>
                <w:rFonts w:eastAsiaTheme="minorHAnsi"/>
                <w:bCs/>
                <w:szCs w:val="24"/>
                <w:lang w:val="lv-LV"/>
              </w:rPr>
              <w:t>Valdības rīcības plāns</w:t>
            </w:r>
          </w:p>
        </w:tc>
      </w:tr>
      <w:tr w:rsidR="001D7A9E" w:rsidRPr="001D7A9E" w14:paraId="6EAD3853" w14:textId="77777777" w:rsidTr="001768BA">
        <w:trPr>
          <w:trHeight w:val="274"/>
        </w:trPr>
        <w:tc>
          <w:tcPr>
            <w:tcW w:w="1560" w:type="dxa"/>
            <w:shd w:val="clear" w:color="auto" w:fill="auto"/>
          </w:tcPr>
          <w:p w14:paraId="43B17F8C" w14:textId="77777777" w:rsidR="001D7A9E" w:rsidRPr="001D7A9E" w:rsidRDefault="001D7A9E" w:rsidP="001D7A9E">
            <w:pPr>
              <w:tabs>
                <w:tab w:val="left" w:pos="1494"/>
              </w:tabs>
              <w:spacing w:after="0" w:line="240" w:lineRule="auto"/>
              <w:rPr>
                <w:rFonts w:eastAsiaTheme="minorHAnsi"/>
                <w:szCs w:val="24"/>
                <w:lang w:val="lv-LV" w:eastAsia="lv-LV"/>
              </w:rPr>
            </w:pPr>
            <w:r w:rsidRPr="001D7A9E">
              <w:rPr>
                <w:rFonts w:eastAsiaTheme="minorHAnsi"/>
                <w:szCs w:val="24"/>
                <w:lang w:val="lv-LV" w:eastAsia="lv-LV"/>
              </w:rPr>
              <w:t>VSIA</w:t>
            </w:r>
          </w:p>
        </w:tc>
        <w:tc>
          <w:tcPr>
            <w:tcW w:w="7654" w:type="dxa"/>
            <w:shd w:val="clear" w:color="auto" w:fill="auto"/>
          </w:tcPr>
          <w:p w14:paraId="0B76FBF9" w14:textId="77777777" w:rsidR="001D7A9E" w:rsidRPr="001D7A9E" w:rsidRDefault="001D7A9E" w:rsidP="001D7A9E">
            <w:pPr>
              <w:spacing w:after="0" w:line="240" w:lineRule="auto"/>
              <w:jc w:val="left"/>
              <w:rPr>
                <w:rFonts w:eastAsiaTheme="minorHAnsi"/>
                <w:bCs/>
                <w:szCs w:val="24"/>
                <w:lang w:val="lv-LV"/>
              </w:rPr>
            </w:pPr>
            <w:r w:rsidRPr="001D7A9E">
              <w:rPr>
                <w:rFonts w:eastAsiaTheme="minorHAnsi"/>
                <w:bCs/>
                <w:szCs w:val="24"/>
                <w:lang w:val="lv-LV"/>
              </w:rPr>
              <w:t>Valsts sabiedrība ar ierobežotu atbildību</w:t>
            </w:r>
          </w:p>
        </w:tc>
      </w:tr>
      <w:tr w:rsidR="001D7A9E" w:rsidRPr="001D7A9E" w14:paraId="6BD3409B" w14:textId="77777777" w:rsidTr="001768BA">
        <w:trPr>
          <w:trHeight w:val="274"/>
        </w:trPr>
        <w:tc>
          <w:tcPr>
            <w:tcW w:w="1560" w:type="dxa"/>
            <w:shd w:val="clear" w:color="auto" w:fill="auto"/>
          </w:tcPr>
          <w:p w14:paraId="0656C33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VSS</w:t>
            </w:r>
          </w:p>
        </w:tc>
        <w:tc>
          <w:tcPr>
            <w:tcW w:w="7654" w:type="dxa"/>
            <w:shd w:val="clear" w:color="auto" w:fill="auto"/>
          </w:tcPr>
          <w:p w14:paraId="498AC5CE" w14:textId="77777777" w:rsidR="001D7A9E" w:rsidRPr="001D7A9E" w:rsidRDefault="001D7A9E" w:rsidP="001D7A9E">
            <w:pPr>
              <w:spacing w:after="0" w:line="240" w:lineRule="auto"/>
              <w:jc w:val="left"/>
              <w:rPr>
                <w:rFonts w:eastAsiaTheme="minorHAnsi"/>
                <w:szCs w:val="24"/>
                <w:lang w:val="lv-LV"/>
              </w:rPr>
            </w:pPr>
            <w:r w:rsidRPr="001D7A9E">
              <w:rPr>
                <w:rFonts w:eastAsiaTheme="minorHAnsi"/>
                <w:szCs w:val="24"/>
                <w:lang w:val="lv-LV"/>
              </w:rPr>
              <w:t>Valsts sekretāru sanāksme</w:t>
            </w:r>
          </w:p>
        </w:tc>
      </w:tr>
      <w:tr w:rsidR="001D7A9E" w:rsidRPr="001D7A9E" w14:paraId="4964CB51" w14:textId="77777777" w:rsidTr="001768BA">
        <w:trPr>
          <w:trHeight w:val="274"/>
        </w:trPr>
        <w:tc>
          <w:tcPr>
            <w:tcW w:w="1560" w:type="dxa"/>
            <w:shd w:val="clear" w:color="auto" w:fill="auto"/>
          </w:tcPr>
          <w:p w14:paraId="2262732C"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VTUA</w:t>
            </w:r>
          </w:p>
        </w:tc>
        <w:tc>
          <w:tcPr>
            <w:tcW w:w="7654" w:type="dxa"/>
            <w:shd w:val="clear" w:color="auto" w:fill="auto"/>
          </w:tcPr>
          <w:p w14:paraId="35E91203" w14:textId="77777777" w:rsidR="001D7A9E" w:rsidRPr="001D7A9E" w:rsidRDefault="001D7A9E" w:rsidP="001D7A9E">
            <w:pPr>
              <w:spacing w:after="0" w:line="240" w:lineRule="auto"/>
              <w:jc w:val="left"/>
              <w:rPr>
                <w:rFonts w:eastAsiaTheme="minorHAnsi"/>
                <w:szCs w:val="24"/>
                <w:lang w:val="lv-LV"/>
              </w:rPr>
            </w:pPr>
            <w:r w:rsidRPr="001D7A9E">
              <w:rPr>
                <w:rFonts w:eastAsiaTheme="minorHAnsi"/>
                <w:szCs w:val="24"/>
                <w:lang w:val="lv-LV"/>
              </w:rPr>
              <w:t>Valsts tehniskās uzraudzības aģentūra</w:t>
            </w:r>
          </w:p>
        </w:tc>
      </w:tr>
      <w:tr w:rsidR="001D7A9E" w:rsidRPr="001D7A9E" w14:paraId="5C04CED2" w14:textId="77777777" w:rsidTr="001768BA">
        <w:trPr>
          <w:trHeight w:val="269"/>
        </w:trPr>
        <w:tc>
          <w:tcPr>
            <w:tcW w:w="1560" w:type="dxa"/>
            <w:shd w:val="clear" w:color="auto" w:fill="auto"/>
          </w:tcPr>
          <w:p w14:paraId="3AD8AE2E"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VUGD</w:t>
            </w:r>
          </w:p>
        </w:tc>
        <w:tc>
          <w:tcPr>
            <w:tcW w:w="7654" w:type="dxa"/>
            <w:shd w:val="clear" w:color="auto" w:fill="auto"/>
          </w:tcPr>
          <w:p w14:paraId="259EE6B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ugunsdzēsības un glābšanas dienests</w:t>
            </w:r>
          </w:p>
        </w:tc>
      </w:tr>
      <w:tr w:rsidR="001D7A9E" w:rsidRPr="001D7A9E" w14:paraId="11630D8D" w14:textId="77777777" w:rsidTr="001768BA">
        <w:trPr>
          <w:trHeight w:val="269"/>
        </w:trPr>
        <w:tc>
          <w:tcPr>
            <w:tcW w:w="1560" w:type="dxa"/>
            <w:shd w:val="clear" w:color="auto" w:fill="auto"/>
          </w:tcPr>
          <w:p w14:paraId="3F7F22CF"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VVD</w:t>
            </w:r>
          </w:p>
        </w:tc>
        <w:tc>
          <w:tcPr>
            <w:tcW w:w="7654" w:type="dxa"/>
            <w:shd w:val="clear" w:color="auto" w:fill="auto"/>
          </w:tcPr>
          <w:p w14:paraId="0B6734D9"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vides dienests</w:t>
            </w:r>
          </w:p>
        </w:tc>
      </w:tr>
      <w:tr w:rsidR="001D7A9E" w:rsidRPr="001D7A9E" w14:paraId="1A9DC933" w14:textId="77777777" w:rsidTr="001768BA">
        <w:trPr>
          <w:trHeight w:val="284"/>
        </w:trPr>
        <w:tc>
          <w:tcPr>
            <w:tcW w:w="1560" w:type="dxa"/>
            <w:shd w:val="clear" w:color="auto" w:fill="auto"/>
          </w:tcPr>
          <w:p w14:paraId="200B8DDA"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cs="Times New Roman"/>
                <w:szCs w:val="24"/>
                <w:lang w:val="lv-LV"/>
              </w:rPr>
              <w:t>VZD</w:t>
            </w:r>
          </w:p>
        </w:tc>
        <w:tc>
          <w:tcPr>
            <w:tcW w:w="7654" w:type="dxa"/>
            <w:shd w:val="clear" w:color="auto" w:fill="auto"/>
          </w:tcPr>
          <w:p w14:paraId="764D9D70"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Valsts zemes dienests</w:t>
            </w:r>
          </w:p>
        </w:tc>
      </w:tr>
      <w:tr w:rsidR="001D7A9E" w:rsidRPr="001D7A9E" w14:paraId="45DA876C" w14:textId="77777777" w:rsidTr="001768BA">
        <w:trPr>
          <w:trHeight w:val="284"/>
        </w:trPr>
        <w:tc>
          <w:tcPr>
            <w:tcW w:w="1560" w:type="dxa"/>
            <w:shd w:val="clear" w:color="auto" w:fill="auto"/>
          </w:tcPr>
          <w:p w14:paraId="323C7894"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ZM</w:t>
            </w:r>
          </w:p>
        </w:tc>
        <w:tc>
          <w:tcPr>
            <w:tcW w:w="7654" w:type="dxa"/>
            <w:shd w:val="clear" w:color="auto" w:fill="auto"/>
          </w:tcPr>
          <w:p w14:paraId="54EA9171" w14:textId="77777777" w:rsidR="001D7A9E" w:rsidRPr="001D7A9E" w:rsidRDefault="001D7A9E" w:rsidP="001D7A9E">
            <w:pPr>
              <w:tabs>
                <w:tab w:val="left" w:pos="1494"/>
              </w:tabs>
              <w:spacing w:after="0" w:line="240" w:lineRule="auto"/>
              <w:rPr>
                <w:rFonts w:eastAsiaTheme="minorHAnsi"/>
                <w:szCs w:val="24"/>
                <w:lang w:val="lv-LV"/>
              </w:rPr>
            </w:pPr>
            <w:r w:rsidRPr="001D7A9E">
              <w:rPr>
                <w:rFonts w:eastAsiaTheme="minorHAnsi"/>
                <w:szCs w:val="24"/>
                <w:lang w:val="lv-LV"/>
              </w:rPr>
              <w:t>Zemkopības ministrija</w:t>
            </w:r>
          </w:p>
        </w:tc>
      </w:tr>
    </w:tbl>
    <w:p w14:paraId="1AEC99D9" w14:textId="6DB4016C" w:rsidR="001B07E1" w:rsidRDefault="001B07E1" w:rsidP="001B07E1">
      <w:pPr>
        <w:rPr>
          <w:lang w:val="lv-LV"/>
        </w:rPr>
      </w:pPr>
    </w:p>
    <w:p w14:paraId="2DA76F24" w14:textId="67CA2839" w:rsidR="00E61582" w:rsidRDefault="00E61582" w:rsidP="001B07E1">
      <w:pPr>
        <w:rPr>
          <w:lang w:val="lv-LV"/>
        </w:rPr>
      </w:pPr>
    </w:p>
    <w:p w14:paraId="517609C4" w14:textId="70247A8B" w:rsidR="00E61582" w:rsidRDefault="00E61582" w:rsidP="001B07E1">
      <w:pPr>
        <w:rPr>
          <w:lang w:val="lv-LV"/>
        </w:rPr>
      </w:pPr>
    </w:p>
    <w:p w14:paraId="427E15B1" w14:textId="3F15F049" w:rsidR="00E61582" w:rsidRDefault="00E61582" w:rsidP="001B07E1">
      <w:pPr>
        <w:rPr>
          <w:lang w:val="lv-LV"/>
        </w:rPr>
      </w:pPr>
    </w:p>
    <w:p w14:paraId="47AFE4B4" w14:textId="48558259" w:rsidR="00E61582" w:rsidRDefault="00E61582" w:rsidP="001B07E1">
      <w:pPr>
        <w:rPr>
          <w:lang w:val="lv-LV"/>
        </w:rPr>
      </w:pPr>
    </w:p>
    <w:p w14:paraId="3DA4B805" w14:textId="14DDF3CF" w:rsidR="001D7A9E" w:rsidRDefault="001D7A9E" w:rsidP="001B07E1">
      <w:pPr>
        <w:rPr>
          <w:lang w:val="lv-LV"/>
        </w:rPr>
      </w:pPr>
    </w:p>
    <w:p w14:paraId="0F1D56A1" w14:textId="5CADCA39" w:rsidR="00C83DF6" w:rsidRDefault="00C83DF6" w:rsidP="003B4874">
      <w:pPr>
        <w:pStyle w:val="Heading1"/>
        <w:numPr>
          <w:ilvl w:val="0"/>
          <w:numId w:val="0"/>
        </w:numPr>
        <w:rPr>
          <w:lang w:val="lv-LV"/>
        </w:rPr>
      </w:pPr>
      <w:bookmarkStart w:id="0" w:name="_Toc80178406"/>
      <w:r w:rsidRPr="00C83DF6">
        <w:rPr>
          <w:lang w:val="lv-LV"/>
        </w:rPr>
        <w:lastRenderedPageBreak/>
        <w:t>IEVADS</w:t>
      </w:r>
      <w:bookmarkEnd w:id="0"/>
    </w:p>
    <w:p w14:paraId="42BA0360" w14:textId="77777777" w:rsidR="00AC3A41" w:rsidRDefault="00AC3A41" w:rsidP="00AC3A41">
      <w:pPr>
        <w:ind w:firstLine="720"/>
        <w:rPr>
          <w:rFonts w:eastAsiaTheme="minorHAnsi"/>
          <w:szCs w:val="24"/>
          <w:lang w:val="lv-LV"/>
        </w:rPr>
      </w:pPr>
    </w:p>
    <w:p w14:paraId="30DD156B" w14:textId="335799F4" w:rsidR="00AC3A41" w:rsidRPr="00AC3A41" w:rsidRDefault="00AC3A41" w:rsidP="00AC3A41">
      <w:pPr>
        <w:ind w:firstLine="720"/>
        <w:rPr>
          <w:rFonts w:eastAsiaTheme="minorHAnsi"/>
          <w:szCs w:val="24"/>
          <w:lang w:val="lv-LV"/>
        </w:rPr>
      </w:pPr>
      <w:r w:rsidRPr="00AC3A41">
        <w:rPr>
          <w:rFonts w:eastAsiaTheme="minorHAnsi"/>
          <w:szCs w:val="24"/>
          <w:lang w:val="lv-LV"/>
        </w:rPr>
        <w:t>Atbilstoši LBFV 16.</w:t>
      </w:r>
      <w:r w:rsidRPr="00AC3A41">
        <w:rPr>
          <w:rFonts w:eastAsiaTheme="minorHAnsi"/>
          <w:szCs w:val="24"/>
          <w:vertAlign w:val="superscript"/>
          <w:lang w:val="lv-LV"/>
        </w:rPr>
        <w:t>3</w:t>
      </w:r>
      <w:r w:rsidRPr="00AC3A41">
        <w:rPr>
          <w:rFonts w:eastAsiaTheme="minorHAnsi"/>
          <w:szCs w:val="24"/>
          <w:lang w:val="lv-LV"/>
        </w:rPr>
        <w:t xml:space="preserve"> pantam, lai efektīvāk un ekonomiskāk īstenotu valsts politiku, kā arī regulāri optimizētu budžeta izdevumus un izvērtētu to atbilstību attīstības plānošanas dokumentos noteiktajām prioritātēm un mērķiem, ik gadu tiek nodrošināta pastāvīga un sistemātiska valsts budžeta izdevumu pārskatīšana. </w:t>
      </w:r>
    </w:p>
    <w:p w14:paraId="2C8B81FD" w14:textId="77777777" w:rsidR="00AC3A41" w:rsidRPr="00AC3A41" w:rsidRDefault="00AC3A41" w:rsidP="00AC3A41">
      <w:pPr>
        <w:ind w:firstLine="720"/>
        <w:rPr>
          <w:rFonts w:eastAsiaTheme="minorHAnsi"/>
          <w:szCs w:val="24"/>
          <w:lang w:val="lv-LV"/>
        </w:rPr>
      </w:pPr>
      <w:r w:rsidRPr="00AC3A41">
        <w:rPr>
          <w:rFonts w:eastAsiaTheme="minorHAnsi"/>
          <w:szCs w:val="24"/>
          <w:lang w:val="lv-LV"/>
        </w:rPr>
        <w:t>Ņemot vērā līdzšinējo darbu un pieredzi izdevumu pārskatīšanā, kā arī starptautisko pieredzi, kas gūta OECD organizētajās sanāksmēs</w:t>
      </w:r>
      <w:r w:rsidRPr="00AC3A41">
        <w:rPr>
          <w:rFonts w:eastAsiaTheme="minorHAnsi"/>
          <w:sz w:val="20"/>
          <w:szCs w:val="24"/>
          <w:vertAlign w:val="superscript"/>
          <w:lang w:val="lv-LV"/>
        </w:rPr>
        <w:footnoteReference w:id="1"/>
      </w:r>
      <w:r w:rsidRPr="00AC3A41">
        <w:rPr>
          <w:rFonts w:eastAsiaTheme="minorHAnsi"/>
          <w:szCs w:val="24"/>
          <w:lang w:val="lv-LV"/>
        </w:rPr>
        <w:t xml:space="preserve">, par </w:t>
      </w:r>
      <w:r w:rsidRPr="00AC3A41">
        <w:rPr>
          <w:rFonts w:eastAsiaTheme="minorHAnsi"/>
          <w:szCs w:val="24"/>
          <w:u w:val="single"/>
          <w:lang w:val="lv-LV"/>
        </w:rPr>
        <w:t>2021. gada izdevumu pārskatīšanas pamatmērķiem tika izvirzīti</w:t>
      </w:r>
      <w:r w:rsidRPr="00AC3A41">
        <w:rPr>
          <w:rFonts w:eastAsiaTheme="minorHAnsi"/>
          <w:szCs w:val="24"/>
          <w:lang w:val="lv-LV"/>
        </w:rPr>
        <w:t xml:space="preserve">: </w:t>
      </w:r>
    </w:p>
    <w:p w14:paraId="7F0691C3" w14:textId="77777777" w:rsidR="00AC3A41" w:rsidRPr="00AC3A41" w:rsidRDefault="00AC3A41" w:rsidP="004C1C06">
      <w:pPr>
        <w:numPr>
          <w:ilvl w:val="0"/>
          <w:numId w:val="36"/>
        </w:numPr>
        <w:jc w:val="left"/>
        <w:rPr>
          <w:rFonts w:eastAsiaTheme="minorHAnsi"/>
          <w:szCs w:val="24"/>
          <w:lang w:val="lv-LV"/>
        </w:rPr>
      </w:pPr>
      <w:r w:rsidRPr="00AC3A41">
        <w:rPr>
          <w:rFonts w:eastAsiaTheme="minorHAnsi"/>
          <w:szCs w:val="24"/>
          <w:lang w:val="lv-LV"/>
        </w:rPr>
        <w:t>stiprināt sadarbību ar nozaru ministrijām, veicinot ministriju patstāvīgu bāzes izdevumu pārskatīšanu;</w:t>
      </w:r>
    </w:p>
    <w:p w14:paraId="3A12D14A" w14:textId="5F3DA467" w:rsidR="00AC3A41" w:rsidRDefault="00AC3A41" w:rsidP="004C1C06">
      <w:pPr>
        <w:numPr>
          <w:ilvl w:val="0"/>
          <w:numId w:val="36"/>
        </w:numPr>
        <w:jc w:val="left"/>
        <w:rPr>
          <w:rFonts w:eastAsiaTheme="minorHAnsi"/>
          <w:szCs w:val="24"/>
          <w:lang w:val="lv-LV"/>
        </w:rPr>
      </w:pPr>
      <w:r w:rsidRPr="00AC3A41">
        <w:rPr>
          <w:rFonts w:eastAsiaTheme="minorHAnsi"/>
          <w:szCs w:val="24"/>
          <w:lang w:val="lv-LV"/>
        </w:rPr>
        <w:t>atbalstīt un attīstīt politikas maiņu iniciatīvas, veicinot valsts pārvaldē esošo procesu un valsts budžeta res</w:t>
      </w:r>
      <w:r>
        <w:rPr>
          <w:rFonts w:eastAsiaTheme="minorHAnsi"/>
          <w:szCs w:val="24"/>
          <w:lang w:val="lv-LV"/>
        </w:rPr>
        <w:t>ursu izlietojumu efektivizāciju;</w:t>
      </w:r>
    </w:p>
    <w:p w14:paraId="5AD8D996" w14:textId="2EEA8DC7" w:rsidR="00AC3A41" w:rsidRPr="00AC3A41" w:rsidRDefault="00AC3A41" w:rsidP="004C1C06">
      <w:pPr>
        <w:numPr>
          <w:ilvl w:val="0"/>
          <w:numId w:val="36"/>
        </w:numPr>
        <w:jc w:val="left"/>
        <w:rPr>
          <w:rFonts w:eastAsiaTheme="minorHAnsi"/>
          <w:szCs w:val="24"/>
          <w:lang w:val="lv-LV"/>
        </w:rPr>
      </w:pPr>
      <w:r>
        <w:rPr>
          <w:rFonts w:eastAsiaTheme="minorHAnsi"/>
          <w:szCs w:val="24"/>
          <w:lang w:val="lv-LV"/>
        </w:rPr>
        <w:t>veikt Covid-19 ietekmes izvērtējumu, attiecībā uz valsts pārvaldē esošo procesu pārmaiņām.</w:t>
      </w:r>
    </w:p>
    <w:p w14:paraId="7EF3C9A3" w14:textId="77777777" w:rsidR="00AC3A41" w:rsidRPr="00AC3A41" w:rsidRDefault="00AC3A41" w:rsidP="00AC3A41">
      <w:pPr>
        <w:ind w:firstLine="720"/>
        <w:rPr>
          <w:rFonts w:eastAsiaTheme="minorHAnsi"/>
          <w:szCs w:val="24"/>
          <w:lang w:val="lv-LV"/>
        </w:rPr>
      </w:pPr>
      <w:r w:rsidRPr="00AC3A41">
        <w:rPr>
          <w:rFonts w:eastAsiaTheme="minorHAnsi"/>
          <w:szCs w:val="24"/>
          <w:lang w:val="lv-LV"/>
        </w:rPr>
        <w:t>Jau pirms 2021. gada izdevumu pārskatīšanas tvēruma sagatavošanas nozaru ministrijas tika aicinātas uz tikšanos, lai stāstītu par arvien pieaugošo izdevumu pārskatīšanas lomu budžeta sagatavošanas procesā, tās norisi un nozīmi, par izdevumu pārskatīšanas mītiem un patiesību, ministriju iespējām iesaistīties, iespējamiem ieguvumiem, kā arī aicinātu ministrijas analizēt savā pārziņā esošos procesus, aktivitātes, funkcijas un izdevumus, ko būtu nepieciešams mainīt, meklējot labākus risinājumus. Šie jautājumi, kopā ar FM veikto analīzi tika pārrunāti arī ar katru ministriju atsevišķi izdevumu pārskatīšanas darba grupā.</w:t>
      </w:r>
    </w:p>
    <w:p w14:paraId="698B7689" w14:textId="77777777" w:rsidR="00AC3A41" w:rsidRPr="00AC3A41" w:rsidRDefault="00AC3A41" w:rsidP="00AC3A41">
      <w:pPr>
        <w:ind w:firstLine="720"/>
        <w:rPr>
          <w:rFonts w:eastAsiaTheme="minorHAnsi"/>
          <w:szCs w:val="24"/>
          <w:lang w:val="lv-LV"/>
        </w:rPr>
      </w:pPr>
      <w:r w:rsidRPr="00AC3A41">
        <w:rPr>
          <w:rFonts w:eastAsiaTheme="minorHAnsi"/>
          <w:szCs w:val="24"/>
          <w:lang w:val="lv-LV"/>
        </w:rPr>
        <w:t xml:space="preserve"> Turpinot uzsākto sadarbību izdevumu pārskatīšanas tvēruma sagatavošanā un izstrādē, ar priekšlikumiem 2021. gadam tika aicināti iesaistīties izdevumu pārskatīšanas darba grupas locekļi un nozaru ministrijas, tai skaitā piesakot iespējamās politikas maiņas un nepieciešamās starpinstitucionālās sarunas. </w:t>
      </w:r>
    </w:p>
    <w:p w14:paraId="264F5D95" w14:textId="77777777" w:rsidR="00AC3A41" w:rsidRPr="00AC3A41" w:rsidRDefault="00AC3A41" w:rsidP="00AC3A41">
      <w:pPr>
        <w:ind w:firstLine="720"/>
        <w:rPr>
          <w:rFonts w:eastAsiaTheme="minorHAnsi"/>
          <w:szCs w:val="24"/>
          <w:lang w:val="lv-LV"/>
        </w:rPr>
      </w:pPr>
      <w:r w:rsidRPr="00AC3A41">
        <w:rPr>
          <w:rFonts w:eastAsiaTheme="minorHAnsi"/>
          <w:szCs w:val="24"/>
          <w:lang w:val="lv-LV"/>
        </w:rPr>
        <w:t xml:space="preserve">Saskaņā ar MK 2021. gada 25. marta rīkojumu Nr. 207 “Par likumprojekta “Par vidēja termiņa budžeta ietvaru 2022., 2023. un 2024. gadam” un likumprojekta “Par valsts budžetu 2022. gadam” sagatavošanas grafiku” 2. punktu tika noteikts izdevumu pārskatīšanas tvērums (Attēls Nr. 1), atbilstoši kuram 2021. gadā strukturēta un veidota izdevumu pārskatīšana, kā arī atbilstoši šī rīkojuma pielikuma 12. punktam sagatavots šis informatīvais ziņojums. </w:t>
      </w:r>
    </w:p>
    <w:p w14:paraId="4DC5E19D" w14:textId="77777777" w:rsidR="00AC3A41" w:rsidRPr="00AC3A41" w:rsidRDefault="00AC3A41" w:rsidP="00AC3A41">
      <w:pPr>
        <w:ind w:firstLine="720"/>
        <w:rPr>
          <w:rFonts w:eastAsiaTheme="minorHAnsi"/>
          <w:szCs w:val="24"/>
          <w:lang w:val="lv-LV"/>
        </w:rPr>
      </w:pPr>
      <w:r w:rsidRPr="00AC3A41">
        <w:rPr>
          <w:rFonts w:eastAsiaTheme="minorHAnsi"/>
          <w:szCs w:val="24"/>
          <w:lang w:val="lv-LV"/>
        </w:rPr>
        <w:t>Tvērumā noteikti izdevumu pārskatīšanas trīs galvenie bloki – Nozaru ministriju pārraudzībā esošo finansēšanas politiku analīze, Horizontālie pasākumi finanšu resursu pārdalei par labu aktuālajām prioritātēm, Procesu un sistēmu pilnveidošana.</w:t>
      </w:r>
    </w:p>
    <w:p w14:paraId="3B6D1EA0" w14:textId="77777777" w:rsidR="00AC3A41" w:rsidRPr="00AC3A41" w:rsidRDefault="00AC3A41" w:rsidP="00AC3A41">
      <w:pPr>
        <w:ind w:firstLine="720"/>
        <w:rPr>
          <w:rFonts w:eastAsiaTheme="minorHAnsi"/>
          <w:szCs w:val="24"/>
          <w:lang w:val="lv-LV"/>
        </w:rPr>
      </w:pPr>
    </w:p>
    <w:p w14:paraId="643CAAC0" w14:textId="77777777" w:rsidR="00AC3A41" w:rsidRPr="00AC3A41" w:rsidRDefault="00AC3A41" w:rsidP="00AC3A41">
      <w:pPr>
        <w:ind w:firstLine="720"/>
        <w:rPr>
          <w:rFonts w:eastAsiaTheme="minorHAnsi"/>
          <w:szCs w:val="24"/>
          <w:lang w:val="lv-LV"/>
        </w:rPr>
      </w:pPr>
    </w:p>
    <w:p w14:paraId="058FBA86" w14:textId="0149F758" w:rsidR="00AC3A41" w:rsidRDefault="00AC3A41" w:rsidP="00AC3A41">
      <w:pPr>
        <w:rPr>
          <w:rFonts w:eastAsiaTheme="minorHAnsi"/>
          <w:szCs w:val="24"/>
          <w:lang w:val="lv-LV"/>
        </w:rPr>
      </w:pPr>
    </w:p>
    <w:p w14:paraId="0DA29741" w14:textId="77777777" w:rsidR="00AC3A41" w:rsidRPr="00AC3A41" w:rsidRDefault="00AC3A41" w:rsidP="00AC3A41">
      <w:pPr>
        <w:rPr>
          <w:rFonts w:eastAsiaTheme="minorHAnsi"/>
          <w:szCs w:val="24"/>
          <w:lang w:val="lv-LV"/>
        </w:rPr>
      </w:pPr>
    </w:p>
    <w:p w14:paraId="75F3549C" w14:textId="77777777" w:rsidR="00AC3A41" w:rsidRPr="00AC3A41" w:rsidRDefault="00AC3A41" w:rsidP="00AC3A41">
      <w:pPr>
        <w:ind w:left="720"/>
        <w:contextualSpacing/>
        <w:jc w:val="left"/>
        <w:rPr>
          <w:rFonts w:eastAsiaTheme="minorHAnsi"/>
          <w:b/>
          <w:sz w:val="20"/>
          <w:szCs w:val="24"/>
          <w:lang w:val="lv-LV"/>
        </w:rPr>
      </w:pPr>
    </w:p>
    <w:p w14:paraId="1301CBC7" w14:textId="77777777" w:rsidR="00AC3A41" w:rsidRPr="00AC3A41" w:rsidRDefault="00AC3A41" w:rsidP="004C1C06">
      <w:pPr>
        <w:numPr>
          <w:ilvl w:val="0"/>
          <w:numId w:val="37"/>
        </w:numPr>
        <w:spacing w:after="160"/>
        <w:contextualSpacing/>
        <w:jc w:val="center"/>
        <w:rPr>
          <w:rFonts w:eastAsiaTheme="minorHAnsi"/>
          <w:b/>
          <w:sz w:val="20"/>
          <w:szCs w:val="24"/>
          <w:lang w:val="lv-LV"/>
        </w:rPr>
      </w:pPr>
      <w:r w:rsidRPr="00AC3A41">
        <w:rPr>
          <w:rFonts w:eastAsiaTheme="minorHAnsi"/>
          <w:b/>
          <w:i/>
          <w:sz w:val="20"/>
          <w:szCs w:val="24"/>
          <w:lang w:val="lv-LV"/>
        </w:rPr>
        <w:lastRenderedPageBreak/>
        <w:t>Attēls</w:t>
      </w:r>
      <w:r w:rsidRPr="00AC3A41">
        <w:rPr>
          <w:rFonts w:eastAsiaTheme="minorHAnsi"/>
          <w:b/>
          <w:sz w:val="20"/>
          <w:szCs w:val="24"/>
          <w:lang w:val="lv-LV"/>
        </w:rPr>
        <w:t xml:space="preserve"> Izdevumu pārskatīšanas tvērums 2021</w:t>
      </w:r>
    </w:p>
    <w:p w14:paraId="46F3425F" w14:textId="77777777" w:rsidR="00AC3A41" w:rsidRPr="00AC3A41" w:rsidRDefault="00AC3A41" w:rsidP="00AC3A41">
      <w:pPr>
        <w:rPr>
          <w:rFonts w:eastAsiaTheme="minorHAnsi"/>
          <w:szCs w:val="24"/>
          <w:lang w:val="lv-LV"/>
        </w:rPr>
      </w:pPr>
      <w:r w:rsidRPr="00AC3A41">
        <w:rPr>
          <w:rFonts w:eastAsiaTheme="minorHAnsi"/>
          <w:noProof/>
          <w:szCs w:val="24"/>
          <w:lang w:val="lv-LV" w:eastAsia="lv-LV"/>
        </w:rPr>
        <w:drawing>
          <wp:inline distT="0" distB="0" distL="0" distR="0" wp14:anchorId="392D0FEA" wp14:editId="10C85858">
            <wp:extent cx="5759743" cy="3709155"/>
            <wp:effectExtent l="0" t="0" r="0" b="5715"/>
            <wp:docPr id="2259" name="Picture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316"/>
                    <a:stretch/>
                  </pic:blipFill>
                  <pic:spPr bwMode="auto">
                    <a:xfrm>
                      <a:off x="0" y="0"/>
                      <a:ext cx="5760085" cy="3709375"/>
                    </a:xfrm>
                    <a:prstGeom prst="rect">
                      <a:avLst/>
                    </a:prstGeom>
                    <a:noFill/>
                    <a:ln>
                      <a:noFill/>
                    </a:ln>
                    <a:extLst>
                      <a:ext uri="{53640926-AAD7-44D8-BBD7-CCE9431645EC}">
                        <a14:shadowObscured xmlns:a14="http://schemas.microsoft.com/office/drawing/2010/main"/>
                      </a:ext>
                    </a:extLst>
                  </pic:spPr>
                </pic:pic>
              </a:graphicData>
            </a:graphic>
          </wp:inline>
        </w:drawing>
      </w:r>
    </w:p>
    <w:p w14:paraId="7D460F60" w14:textId="77777777" w:rsidR="00AC3A41" w:rsidRPr="00AC3A41" w:rsidRDefault="00AC3A41" w:rsidP="00AC3A41">
      <w:pPr>
        <w:spacing w:after="160"/>
        <w:jc w:val="left"/>
        <w:rPr>
          <w:rFonts w:eastAsiaTheme="minorHAnsi"/>
          <w:szCs w:val="24"/>
          <w:highlight w:val="yellow"/>
          <w:lang w:val="lv-LV"/>
        </w:rPr>
      </w:pPr>
    </w:p>
    <w:p w14:paraId="03C8C00D" w14:textId="77777777" w:rsidR="00AC3A41" w:rsidRPr="00AC3A41" w:rsidRDefault="00AC3A41" w:rsidP="00AC3A41">
      <w:pPr>
        <w:spacing w:after="160"/>
        <w:ind w:firstLine="720"/>
        <w:rPr>
          <w:rFonts w:eastAsiaTheme="minorHAnsi"/>
          <w:szCs w:val="24"/>
          <w:lang w:val="lv-LV"/>
        </w:rPr>
      </w:pPr>
      <w:r w:rsidRPr="00AC3A41">
        <w:rPr>
          <w:rFonts w:eastAsiaTheme="minorHAnsi"/>
          <w:szCs w:val="24"/>
          <w:lang w:val="lv-LV"/>
        </w:rPr>
        <w:t xml:space="preserve">Sadaļā Horizontālie pasākumi finanšu resursu pārdalei par labu aktuālajām prioritātēm, tika analizēti vairāki horizontāli aspekti ar mērķi nodrošināt valsts budžeta finansēto funkciju ekonomiskāku un racionālāku īstenošanu, administratīvā sloga mazināšanu, kā arī iespējamus priekšlikumus politikas izmaiņām. </w:t>
      </w:r>
    </w:p>
    <w:p w14:paraId="477C7509" w14:textId="3D2CB385" w:rsidR="00AC3A41" w:rsidRPr="00AC3A41" w:rsidRDefault="00AC3A41" w:rsidP="00AC3A41">
      <w:pPr>
        <w:spacing w:after="160"/>
        <w:ind w:firstLine="720"/>
        <w:rPr>
          <w:rFonts w:eastAsiaTheme="minorHAnsi"/>
          <w:szCs w:val="24"/>
          <w:lang w:val="lv-LV"/>
        </w:rPr>
      </w:pPr>
      <w:r w:rsidRPr="00AC3A41">
        <w:rPr>
          <w:rFonts w:eastAsiaTheme="minorHAnsi"/>
          <w:szCs w:val="24"/>
          <w:lang w:val="lv-LV"/>
        </w:rPr>
        <w:t xml:space="preserve">Tika veikts </w:t>
      </w:r>
      <w:r w:rsidRPr="00AC3A41">
        <w:rPr>
          <w:rFonts w:eastAsiaTheme="minorHAnsi"/>
          <w:b/>
          <w:szCs w:val="24"/>
          <w:lang w:val="lv-LV"/>
        </w:rPr>
        <w:t>COVID</w:t>
      </w:r>
      <w:r w:rsidR="00F979B5">
        <w:rPr>
          <w:rFonts w:eastAsiaTheme="minorHAnsi"/>
          <w:b/>
          <w:szCs w:val="24"/>
          <w:lang w:val="lv-LV"/>
        </w:rPr>
        <w:t>-</w:t>
      </w:r>
      <w:r w:rsidRPr="00AC3A41">
        <w:rPr>
          <w:rFonts w:eastAsiaTheme="minorHAnsi"/>
          <w:b/>
          <w:szCs w:val="24"/>
          <w:lang w:val="lv-LV"/>
        </w:rPr>
        <w:t>19 ietekmes izvērtējums</w:t>
      </w:r>
      <w:r w:rsidRPr="00AC3A41">
        <w:rPr>
          <w:rFonts w:eastAsiaTheme="minorHAnsi"/>
          <w:szCs w:val="24"/>
          <w:lang w:val="lv-LV"/>
        </w:rPr>
        <w:t xml:space="preserve"> uz ministriju un kopējiem valsts budžeta izdevumiem, secinot, ka veidojas finanšu resursu ekonomija vairākos EKK - gan izsludināto ierobežojumu dēļ, piemēram, pilnīga vai daļēja pāreja uz attālinātā darba organizēšanu, ceļošanas ierobežojumi un sanāksmju attālināta organizēšana, kā arī ārējo faktoru ietekmē. Finansējuma izlietojuma prognozes 2021. gadam tika noteiktas optimistiskas, kā rezultātā vairākas ministrijas ir identificējušas iespējamos finanšu resursus pārdalei citām prioritātēm.</w:t>
      </w:r>
    </w:p>
    <w:p w14:paraId="0CA2AA99" w14:textId="3C300C1D" w:rsidR="00AC3A41" w:rsidRPr="000B672B" w:rsidRDefault="00AC3A41" w:rsidP="00AC3A41">
      <w:pPr>
        <w:ind w:firstLine="720"/>
        <w:rPr>
          <w:rFonts w:eastAsiaTheme="minorHAnsi"/>
          <w:szCs w:val="24"/>
          <w:lang w:val="lv-LV"/>
        </w:rPr>
      </w:pPr>
      <w:r w:rsidRPr="00AC3A41">
        <w:rPr>
          <w:rFonts w:eastAsiaTheme="minorHAnsi"/>
          <w:szCs w:val="24"/>
          <w:lang w:val="lv-LV"/>
        </w:rPr>
        <w:t xml:space="preserve"> </w:t>
      </w:r>
      <w:r w:rsidRPr="000B672B">
        <w:rPr>
          <w:rFonts w:eastAsiaTheme="minorHAnsi"/>
          <w:szCs w:val="24"/>
          <w:lang w:val="lv-LV"/>
        </w:rPr>
        <w:t xml:space="preserve">Stiprinot sadarbību izdevumu pārskatīšanā ar nozares ministrijām, tās tika aicinātas patstāvīgi veikt </w:t>
      </w:r>
      <w:r w:rsidRPr="000B672B">
        <w:rPr>
          <w:rFonts w:eastAsiaTheme="minorHAnsi"/>
          <w:b/>
          <w:szCs w:val="24"/>
          <w:lang w:val="lv-LV"/>
        </w:rPr>
        <w:t>bāzes izdevumu pārskatīšanu</w:t>
      </w:r>
      <w:r w:rsidR="00D31BE1">
        <w:rPr>
          <w:rFonts w:eastAsiaTheme="minorHAnsi"/>
          <w:szCs w:val="24"/>
          <w:lang w:val="lv-LV"/>
        </w:rPr>
        <w:t xml:space="preserve">, paralēli FM veicot </w:t>
      </w:r>
      <w:r w:rsidRPr="000B672B">
        <w:rPr>
          <w:rFonts w:eastAsiaTheme="minorHAnsi"/>
          <w:b/>
          <w:szCs w:val="24"/>
          <w:lang w:val="lv-LV"/>
        </w:rPr>
        <w:t>izdevumu neizpildes analīzi</w:t>
      </w:r>
      <w:r w:rsidRPr="000B672B">
        <w:rPr>
          <w:rFonts w:eastAsiaTheme="minorHAnsi"/>
          <w:szCs w:val="24"/>
          <w:lang w:val="lv-LV"/>
        </w:rPr>
        <w:t xml:space="preserve">, kas rezultējās ar ievērojamiem finanšu resursiem </w:t>
      </w:r>
      <w:r w:rsidR="00762984" w:rsidRPr="000B672B">
        <w:rPr>
          <w:rFonts w:eastAsiaTheme="minorHAnsi"/>
          <w:szCs w:val="24"/>
          <w:lang w:val="lv-LV"/>
        </w:rPr>
        <w:t xml:space="preserve">- </w:t>
      </w:r>
      <w:r w:rsidR="004C5EB0">
        <w:rPr>
          <w:rFonts w:eastAsiaTheme="minorHAnsi"/>
          <w:b/>
          <w:lang w:val="lv-LV"/>
        </w:rPr>
        <w:t>103,9</w:t>
      </w:r>
      <w:r w:rsidR="00762984" w:rsidRPr="000B672B">
        <w:rPr>
          <w:rFonts w:eastAsiaTheme="minorHAnsi"/>
          <w:b/>
          <w:lang w:val="lv-LV"/>
        </w:rPr>
        <w:t xml:space="preserve"> milj. </w:t>
      </w:r>
      <w:r w:rsidR="00762984" w:rsidRPr="000B672B">
        <w:rPr>
          <w:rFonts w:eastAsiaTheme="minorHAnsi"/>
          <w:b/>
          <w:i/>
          <w:lang w:val="lv-LV"/>
        </w:rPr>
        <w:t>euro</w:t>
      </w:r>
      <w:r w:rsidR="00762984" w:rsidRPr="000B672B">
        <w:rPr>
          <w:rFonts w:eastAsiaTheme="minorHAnsi"/>
          <w:szCs w:val="24"/>
          <w:lang w:val="lv-LV"/>
        </w:rPr>
        <w:t xml:space="preserve"> </w:t>
      </w:r>
      <w:r w:rsidRPr="000B672B">
        <w:rPr>
          <w:rFonts w:eastAsiaTheme="minorHAnsi"/>
          <w:szCs w:val="24"/>
          <w:lang w:val="lv-LV"/>
        </w:rPr>
        <w:t>apmērā</w:t>
      </w:r>
      <w:r w:rsidR="00762984" w:rsidRPr="000B672B">
        <w:rPr>
          <w:rFonts w:eastAsiaTheme="minorHAnsi"/>
          <w:szCs w:val="24"/>
          <w:lang w:val="lv-LV"/>
        </w:rPr>
        <w:t xml:space="preserve"> bāzes izdevumu pārskatīšanai un </w:t>
      </w:r>
      <w:r w:rsidR="00052832" w:rsidRPr="000B672B">
        <w:rPr>
          <w:rFonts w:eastAsiaTheme="minorHAnsi"/>
          <w:b/>
          <w:lang w:val="lv-LV"/>
        </w:rPr>
        <w:t>14,</w:t>
      </w:r>
      <w:r w:rsidR="004C5EB0">
        <w:rPr>
          <w:rFonts w:eastAsiaTheme="minorHAnsi"/>
          <w:b/>
          <w:lang w:val="lv-LV"/>
        </w:rPr>
        <w:t>2</w:t>
      </w:r>
      <w:r w:rsidR="00762984" w:rsidRPr="000B672B">
        <w:rPr>
          <w:rFonts w:eastAsiaTheme="minorHAnsi"/>
          <w:b/>
          <w:lang w:val="lv-LV"/>
        </w:rPr>
        <w:t xml:space="preserve"> milj. </w:t>
      </w:r>
      <w:r w:rsidR="00762984" w:rsidRPr="000B672B">
        <w:rPr>
          <w:rFonts w:eastAsiaTheme="minorHAnsi"/>
          <w:b/>
          <w:i/>
          <w:lang w:val="lv-LV"/>
        </w:rPr>
        <w:t>euro</w:t>
      </w:r>
      <w:r w:rsidR="0027718C" w:rsidRPr="000B672B">
        <w:rPr>
          <w:rFonts w:eastAsiaTheme="minorHAnsi"/>
          <w:b/>
          <w:i/>
          <w:lang w:val="lv-LV"/>
        </w:rPr>
        <w:t xml:space="preserve"> </w:t>
      </w:r>
      <w:r w:rsidR="0027718C" w:rsidRPr="000B672B">
        <w:rPr>
          <w:rFonts w:eastAsiaTheme="minorHAnsi"/>
          <w:lang w:val="lv-LV"/>
        </w:rPr>
        <w:t>apmērā neizpilžu analīzes rezultātā. Konstatētos resursus</w:t>
      </w:r>
      <w:r w:rsidRPr="000B672B">
        <w:rPr>
          <w:rFonts w:eastAsiaTheme="minorHAnsi"/>
          <w:szCs w:val="24"/>
          <w:lang w:val="lv-LV"/>
        </w:rPr>
        <w:t xml:space="preserve"> iespējams novirzīt citām nozares ministrijas prioritātēm.</w:t>
      </w:r>
    </w:p>
    <w:p w14:paraId="57775844" w14:textId="29D080BD" w:rsidR="00AC3A41" w:rsidRPr="00AC3A41" w:rsidRDefault="00AC3A41" w:rsidP="00AC3A41">
      <w:pPr>
        <w:ind w:firstLine="720"/>
        <w:rPr>
          <w:rFonts w:eastAsiaTheme="minorHAnsi"/>
          <w:szCs w:val="24"/>
          <w:lang w:val="lv-LV"/>
        </w:rPr>
      </w:pPr>
      <w:r w:rsidRPr="000B672B">
        <w:rPr>
          <w:rFonts w:eastAsiaTheme="minorHAnsi"/>
          <w:szCs w:val="24"/>
          <w:lang w:val="lv-LV"/>
        </w:rPr>
        <w:t xml:space="preserve">Ik gadu tiek veikta kārtējā budžeta gadā un iepriekšējos gados </w:t>
      </w:r>
      <w:r w:rsidRPr="000B672B">
        <w:rPr>
          <w:rFonts w:eastAsiaTheme="minorHAnsi"/>
          <w:b/>
          <w:szCs w:val="24"/>
          <w:lang w:val="lv-LV"/>
        </w:rPr>
        <w:t>piešķirtā finansējuma attīstības izdevumiem pārskatīšana</w:t>
      </w:r>
      <w:r w:rsidRPr="000B672B">
        <w:rPr>
          <w:rFonts w:eastAsiaTheme="minorHAnsi"/>
          <w:szCs w:val="24"/>
          <w:lang w:val="lv-LV"/>
        </w:rPr>
        <w:t xml:space="preserve">, vērtējot elastību (piešķirtā finansējuma pārdale), efektivitāti (izdevumu un rezultatīvo rādītāju izpilde), PP aktualitāti, sabiedrības intereses (vai PP iespējams turpināt par mazāku finansējumu), valdības lomu (vai PP ir iekļauts </w:t>
      </w:r>
      <w:r w:rsidR="007D00BC" w:rsidRPr="000B672B">
        <w:rPr>
          <w:rFonts w:eastAsiaTheme="minorHAnsi"/>
          <w:szCs w:val="24"/>
          <w:lang w:val="lv-LV"/>
        </w:rPr>
        <w:t>VRP</w:t>
      </w:r>
      <w:r w:rsidRPr="000B672B">
        <w:rPr>
          <w:rFonts w:eastAsiaTheme="minorHAnsi"/>
          <w:szCs w:val="24"/>
          <w:lang w:val="lv-LV"/>
        </w:rPr>
        <w:t xml:space="preserve">). Tāpat ministrijas iesniedza informāciju par citu pārskatīto pasākumu īstenošanas izmaiņām, kā piemēram, finansējums ar Brexit saistītiem pasākumiem, Latvijas simtgadei veltītās loterijas un stipendiju piešķiršanas turpināšana, Grāmatvedības ārpakalpojuma sniedzēju licencēšanas nodrošināšana, Procesuālo izdevumu apmaksa, finansējums VP transportlīdzekļu izpirkšanai, </w:t>
      </w:r>
      <w:r w:rsidRPr="000B672B">
        <w:rPr>
          <w:rFonts w:eastAsiaTheme="minorHAnsi"/>
          <w:bCs/>
          <w:szCs w:val="24"/>
          <w:lang w:val="lv-LV"/>
        </w:rPr>
        <w:lastRenderedPageBreak/>
        <w:t>Autoceļu lietošanas nodeva, Par izmaiņām Valsts elektronisko sakaru pakalpojumu centra pakalpojumu finansēšanas kārtībā, VVD administrējamās valsts nodevas</w:t>
      </w:r>
      <w:r w:rsidR="000B672B" w:rsidRPr="000B672B">
        <w:rPr>
          <w:rFonts w:eastAsiaTheme="minorHAnsi"/>
          <w:bCs/>
          <w:szCs w:val="24"/>
          <w:lang w:val="lv-LV"/>
        </w:rPr>
        <w:t>, ZM AS “Latvijas valsts meži” dividendēs izmaksājamā peļņas daļa</w:t>
      </w:r>
      <w:r w:rsidRPr="000B672B">
        <w:rPr>
          <w:rFonts w:eastAsiaTheme="minorHAnsi"/>
          <w:bCs/>
          <w:szCs w:val="24"/>
          <w:lang w:val="lv-LV"/>
        </w:rPr>
        <w:t xml:space="preserve">. Veiktā analīzes rezultātā konstatēti resursi </w:t>
      </w:r>
      <w:r w:rsidR="004C5EB0">
        <w:rPr>
          <w:rFonts w:eastAsiaTheme="minorHAnsi"/>
          <w:b/>
          <w:szCs w:val="24"/>
          <w:lang w:val="lv-LV"/>
        </w:rPr>
        <w:t>35,3</w:t>
      </w:r>
      <w:r w:rsidRPr="000B672B">
        <w:rPr>
          <w:rFonts w:eastAsiaTheme="minorHAnsi"/>
          <w:b/>
          <w:szCs w:val="24"/>
          <w:lang w:val="lv-LV"/>
        </w:rPr>
        <w:t xml:space="preserve"> milj. </w:t>
      </w:r>
      <w:r w:rsidRPr="000B672B">
        <w:rPr>
          <w:rFonts w:eastAsiaTheme="minorHAnsi"/>
          <w:b/>
          <w:i/>
          <w:szCs w:val="24"/>
          <w:lang w:val="lv-LV"/>
        </w:rPr>
        <w:t>euro</w:t>
      </w:r>
      <w:r w:rsidRPr="000B672B">
        <w:rPr>
          <w:rFonts w:eastAsiaTheme="minorHAnsi"/>
          <w:szCs w:val="24"/>
          <w:lang w:val="lv-LV"/>
        </w:rPr>
        <w:t xml:space="preserve"> apmērā</w:t>
      </w:r>
      <w:r w:rsidRPr="0027718C">
        <w:rPr>
          <w:rFonts w:eastAsiaTheme="minorHAnsi"/>
          <w:szCs w:val="24"/>
          <w:lang w:val="lv-LV"/>
        </w:rPr>
        <w:t>,</w:t>
      </w:r>
      <w:r w:rsidRPr="00AC3A41">
        <w:rPr>
          <w:rFonts w:eastAsiaTheme="minorHAnsi"/>
          <w:szCs w:val="24"/>
          <w:lang w:val="lv-LV"/>
        </w:rPr>
        <w:t xml:space="preserve"> novirzīšanai citām nozares ministrijas prioritātēm.</w:t>
      </w:r>
    </w:p>
    <w:p w14:paraId="18821ABF" w14:textId="3767C8EF" w:rsidR="00AC3A41" w:rsidRPr="00AC3A41" w:rsidRDefault="00AC3A41" w:rsidP="00AC3A41">
      <w:pPr>
        <w:ind w:firstLine="720"/>
        <w:rPr>
          <w:rFonts w:eastAsiaTheme="minorHAnsi"/>
          <w:szCs w:val="24"/>
          <w:lang w:val="lv-LV"/>
        </w:rPr>
      </w:pPr>
      <w:r w:rsidRPr="00AC3A41">
        <w:rPr>
          <w:rFonts w:eastAsiaTheme="minorHAnsi"/>
          <w:szCs w:val="24"/>
          <w:lang w:val="lv-LV"/>
        </w:rPr>
        <w:t xml:space="preserve">Lai novērtētu izlietotā finansējuma snieguma rezultātus tika analizēta </w:t>
      </w:r>
      <w:r w:rsidRPr="00AC3A41">
        <w:rPr>
          <w:rFonts w:eastAsiaTheme="minorHAnsi"/>
          <w:b/>
          <w:szCs w:val="24"/>
          <w:lang w:val="lv-LV"/>
        </w:rPr>
        <w:t>valsts budžeta paskaidrojumos ietverto politikas rezultatīvo rādītāju izpilde</w:t>
      </w:r>
      <w:r w:rsidRPr="00AC3A41">
        <w:rPr>
          <w:rFonts w:eastAsiaTheme="minorHAnsi"/>
          <w:szCs w:val="24"/>
          <w:lang w:val="lv-LV"/>
        </w:rPr>
        <w:t>, ar kuru palīdzību iespējams izvērtēt ieguldīto resursu (finanšu un cilvēkresursu) izlietojumu atbilstoši politikas mērķim. Tika analizēti 2020. gada budžeta paskaidrojumos iekļautie 235 politikas rezultatīvie rādītāji, norādot uz pilnveides iespējām t.sk. iesaistot un uzklausot PKC piedāvājumus iespējamām izmaiņām politika</w:t>
      </w:r>
      <w:r w:rsidR="001E47BA">
        <w:rPr>
          <w:rFonts w:eastAsiaTheme="minorHAnsi"/>
          <w:szCs w:val="24"/>
          <w:lang w:val="lv-LV"/>
        </w:rPr>
        <w:t>s un resursu vadības kartēs.</w:t>
      </w:r>
    </w:p>
    <w:p w14:paraId="5248D665" w14:textId="77777777" w:rsidR="00AC3A41" w:rsidRPr="00AC3A41" w:rsidRDefault="00AC3A41" w:rsidP="00AC3A41">
      <w:pPr>
        <w:ind w:firstLine="720"/>
        <w:rPr>
          <w:rFonts w:eastAsiaTheme="minorHAnsi"/>
          <w:szCs w:val="24"/>
          <w:lang w:val="lv-LV"/>
        </w:rPr>
      </w:pPr>
      <w:r w:rsidRPr="00AC3A41">
        <w:rPr>
          <w:rFonts w:eastAsiaTheme="minorHAnsi"/>
          <w:szCs w:val="24"/>
          <w:lang w:val="lv-LV"/>
        </w:rPr>
        <w:t xml:space="preserve">Izdevumu pārskatīšanas procesā tika analizēti </w:t>
      </w:r>
      <w:r w:rsidRPr="00AC3A41">
        <w:rPr>
          <w:rFonts w:eastAsiaTheme="minorHAnsi"/>
          <w:b/>
          <w:szCs w:val="24"/>
          <w:lang w:val="lv-LV"/>
        </w:rPr>
        <w:t>maksas pakalpojumu cenrāži</w:t>
      </w:r>
      <w:r w:rsidRPr="00AC3A41">
        <w:rPr>
          <w:rFonts w:eastAsiaTheme="minorHAnsi"/>
          <w:szCs w:val="24"/>
          <w:lang w:val="lv-LV"/>
        </w:rPr>
        <w:t xml:space="preserve"> un izvērtēta to izmaksu aktualitāte, secinot, ka aktualizējot maksas pakalpojumu cenrāžus, kas nav aktualizēti divus gadus un vairāk, valsts budžetā indikatīvi tiktu iegūti papildu resursi </w:t>
      </w:r>
      <w:r w:rsidRPr="00AC3A41">
        <w:rPr>
          <w:rFonts w:eastAsiaTheme="minorHAnsi"/>
          <w:b/>
          <w:szCs w:val="24"/>
          <w:lang w:val="lv-LV"/>
        </w:rPr>
        <w:t xml:space="preserve">4,2 milj. </w:t>
      </w:r>
      <w:r w:rsidRPr="00AC3A41">
        <w:rPr>
          <w:rFonts w:eastAsiaTheme="minorHAnsi"/>
          <w:b/>
          <w:i/>
          <w:szCs w:val="24"/>
          <w:lang w:val="lv-LV"/>
        </w:rPr>
        <w:t>euro</w:t>
      </w:r>
      <w:r w:rsidRPr="00AC3A41">
        <w:rPr>
          <w:rFonts w:eastAsiaTheme="minorHAnsi"/>
          <w:b/>
          <w:szCs w:val="24"/>
          <w:lang w:val="lv-LV"/>
        </w:rPr>
        <w:t xml:space="preserve"> apmērā.</w:t>
      </w:r>
    </w:p>
    <w:p w14:paraId="4F55C5B2" w14:textId="22E290C0" w:rsidR="00AC3A41" w:rsidRPr="00AC3A41" w:rsidRDefault="00AC3A41" w:rsidP="00AC3A41">
      <w:pPr>
        <w:ind w:firstLine="720"/>
        <w:rPr>
          <w:rFonts w:eastAsiaTheme="minorHAnsi"/>
          <w:szCs w:val="24"/>
          <w:lang w:val="lv-LV"/>
        </w:rPr>
      </w:pPr>
      <w:r w:rsidRPr="00AC3A41">
        <w:rPr>
          <w:rFonts w:eastAsiaTheme="minorHAnsi"/>
          <w:szCs w:val="24"/>
          <w:lang w:val="lv-LV"/>
        </w:rPr>
        <w:t xml:space="preserve">Tāpat tika turpināta ministriju pārraudzībā esošo finansēšanas </w:t>
      </w:r>
      <w:r w:rsidRPr="00AC3A41">
        <w:rPr>
          <w:rFonts w:eastAsiaTheme="minorHAnsi"/>
          <w:b/>
          <w:szCs w:val="24"/>
          <w:lang w:val="lv-LV"/>
        </w:rPr>
        <w:t>politiku analīze</w:t>
      </w:r>
      <w:r w:rsidR="007D00BC">
        <w:rPr>
          <w:rFonts w:eastAsiaTheme="minorHAnsi"/>
          <w:szCs w:val="24"/>
          <w:lang w:val="lv-LV"/>
        </w:rPr>
        <w:t xml:space="preserve">. </w:t>
      </w:r>
      <w:r w:rsidRPr="00AC3A41">
        <w:rPr>
          <w:rFonts w:eastAsiaTheme="minorHAnsi"/>
          <w:szCs w:val="24"/>
          <w:lang w:val="lv-LV"/>
        </w:rPr>
        <w:t xml:space="preserve">Gan atskatoties uz iepriekšējās izdevumu pārskatīšanās uzsāktām politikas maiņām, t.sk. sporta nozarē, gan turpinot </w:t>
      </w:r>
      <w:r w:rsidRPr="00AC3A41">
        <w:rPr>
          <w:rFonts w:eastAsiaTheme="minorHAnsi"/>
          <w:b/>
          <w:szCs w:val="24"/>
          <w:lang w:val="lv-LV"/>
        </w:rPr>
        <w:t>veselības nozares izvērtēšanu</w:t>
      </w:r>
      <w:r w:rsidRPr="00AC3A41">
        <w:rPr>
          <w:rFonts w:eastAsiaTheme="minorHAnsi"/>
          <w:szCs w:val="24"/>
          <w:lang w:val="lv-LV"/>
        </w:rPr>
        <w:t xml:space="preserve">: </w:t>
      </w:r>
    </w:p>
    <w:p w14:paraId="288E11CF" w14:textId="77777777" w:rsidR="00AC3A41" w:rsidRPr="00AC3A41" w:rsidRDefault="00AC3A41" w:rsidP="004C1C06">
      <w:pPr>
        <w:numPr>
          <w:ilvl w:val="0"/>
          <w:numId w:val="39"/>
        </w:numPr>
        <w:spacing w:after="160"/>
        <w:ind w:left="1134" w:hanging="357"/>
        <w:rPr>
          <w:rFonts w:eastAsiaTheme="minorHAnsi"/>
          <w:szCs w:val="24"/>
          <w:lang w:val="lv-LV"/>
        </w:rPr>
      </w:pPr>
      <w:r w:rsidRPr="00AC3A41">
        <w:rPr>
          <w:rFonts w:eastAsiaTheme="minorHAnsi"/>
          <w:b/>
          <w:szCs w:val="24"/>
          <w:lang w:val="lv-LV"/>
        </w:rPr>
        <w:t>rezidentūras finansēšana</w:t>
      </w:r>
      <w:r w:rsidRPr="00AC3A41">
        <w:rPr>
          <w:rFonts w:eastAsiaTheme="minorHAnsi"/>
          <w:szCs w:val="24"/>
          <w:lang w:val="lv-LV"/>
        </w:rPr>
        <w:t xml:space="preserve">, kā rezultātā FM rosina pārskatīt studiju ilgumu tajās ārstu specialitāšu grupās, kurās mācību ilgums Latvijā ir lielāks nekā ES direktīvā noteiktais minimālais studiju ilgums. Īstenojot šādu pieeju, aprēķināts potenciālais iekšējais resurss </w:t>
      </w:r>
      <w:r w:rsidRPr="00AC3A41">
        <w:rPr>
          <w:rFonts w:eastAsiaTheme="minorHAnsi"/>
          <w:b/>
          <w:szCs w:val="24"/>
          <w:lang w:val="lv-LV"/>
        </w:rPr>
        <w:t xml:space="preserve">2,6 milj. </w:t>
      </w:r>
      <w:r w:rsidRPr="00AC3A41">
        <w:rPr>
          <w:rFonts w:eastAsiaTheme="minorHAnsi"/>
          <w:b/>
          <w:i/>
          <w:szCs w:val="24"/>
          <w:lang w:val="lv-LV"/>
        </w:rPr>
        <w:t>euro</w:t>
      </w:r>
      <w:r w:rsidRPr="00AC3A41">
        <w:rPr>
          <w:rFonts w:eastAsiaTheme="minorHAnsi"/>
          <w:szCs w:val="24"/>
          <w:lang w:val="lv-LV"/>
        </w:rPr>
        <w:t xml:space="preserve"> apmērā;</w:t>
      </w:r>
    </w:p>
    <w:p w14:paraId="6D4E0B5D" w14:textId="77777777" w:rsidR="00AC3A41" w:rsidRPr="00AC3A41" w:rsidRDefault="00AC3A41" w:rsidP="004C1C06">
      <w:pPr>
        <w:numPr>
          <w:ilvl w:val="0"/>
          <w:numId w:val="39"/>
        </w:numPr>
        <w:spacing w:after="160"/>
        <w:ind w:left="1134" w:hanging="357"/>
        <w:rPr>
          <w:rFonts w:eastAsiaTheme="minorHAnsi"/>
          <w:szCs w:val="24"/>
          <w:lang w:val="lv-LV"/>
        </w:rPr>
      </w:pPr>
      <w:r w:rsidRPr="00AC3A41">
        <w:rPr>
          <w:rFonts w:eastAsiaTheme="minorHAnsi"/>
          <w:b/>
          <w:szCs w:val="24"/>
          <w:lang w:val="lv-LV"/>
        </w:rPr>
        <w:t>starptautiskie norēķini</w:t>
      </w:r>
      <w:r w:rsidRPr="00AC3A41">
        <w:rPr>
          <w:rFonts w:eastAsiaTheme="minorHAnsi"/>
          <w:szCs w:val="24"/>
          <w:lang w:val="lv-LV"/>
        </w:rPr>
        <w:t>, konstatējot vairākus plānveida veselības aprūpes pakalpojumus, kuri netiek nodrošināti Latvijā, taču ar speciālu NVD atļauju tiek veikti ārzemēs, tos apmaksājot no valsts budžeta līdzekļiem. Pēc FM aicinājuma VM ir izvērtējusi atsevišķu veselības aprūpes pakalpojumu sniegšanas iespējas Latvijā, vairumu no tiem atzīstot par realizējamiem;</w:t>
      </w:r>
    </w:p>
    <w:p w14:paraId="6616CE77" w14:textId="77777777" w:rsidR="00AC3A41" w:rsidRPr="00AC3A41" w:rsidRDefault="00AC3A41" w:rsidP="004C1C06">
      <w:pPr>
        <w:numPr>
          <w:ilvl w:val="0"/>
          <w:numId w:val="39"/>
        </w:numPr>
        <w:spacing w:after="160"/>
        <w:ind w:left="1134" w:hanging="357"/>
        <w:rPr>
          <w:rFonts w:eastAsiaTheme="minorHAnsi"/>
          <w:szCs w:val="24"/>
          <w:lang w:val="lv-LV"/>
        </w:rPr>
      </w:pPr>
      <w:r w:rsidRPr="00AC3A41">
        <w:rPr>
          <w:rFonts w:eastAsiaTheme="minorHAnsi"/>
          <w:b/>
          <w:szCs w:val="24"/>
          <w:lang w:val="lv-LV"/>
        </w:rPr>
        <w:t>kompensējamie medikamenti</w:t>
      </w:r>
      <w:r w:rsidRPr="00AC3A41">
        <w:rPr>
          <w:rFonts w:eastAsiaTheme="minorHAnsi"/>
          <w:szCs w:val="24"/>
          <w:lang w:val="lv-LV"/>
        </w:rPr>
        <w:t xml:space="preserve">, VM izdevies rast ietaupījumu no medikamentu cenas vai pacienta līdzmaksājuma samazināšanas, tādējādi paaugstinot zāļu iegādes izdevumu kompensācijas sistēmas efektivitāti, palielinot medikamentus saņemošo pacientu skaitu un sasniedzot augstākus rezultatīvos rādītājus. Pārskatot līgumus ar zāļu ražotājiem 2022. gadā potenciāli paredzams ietaupījums </w:t>
      </w:r>
      <w:r w:rsidRPr="00AC3A41">
        <w:rPr>
          <w:rFonts w:eastAsiaTheme="minorHAnsi"/>
          <w:b/>
          <w:szCs w:val="24"/>
          <w:lang w:val="lv-LV"/>
        </w:rPr>
        <w:t xml:space="preserve">12,0 milj. </w:t>
      </w:r>
      <w:r w:rsidRPr="00AC3A41">
        <w:rPr>
          <w:rFonts w:eastAsiaTheme="minorHAnsi"/>
          <w:b/>
          <w:i/>
          <w:iCs/>
          <w:szCs w:val="24"/>
          <w:lang w:val="lv-LV"/>
        </w:rPr>
        <w:t>euro</w:t>
      </w:r>
      <w:r w:rsidRPr="00AC3A41">
        <w:rPr>
          <w:rFonts w:eastAsiaTheme="minorHAnsi"/>
          <w:szCs w:val="24"/>
          <w:lang w:val="lv-LV"/>
        </w:rPr>
        <w:t xml:space="preserve"> apmērā.</w:t>
      </w:r>
    </w:p>
    <w:p w14:paraId="13FBA9CA" w14:textId="77777777" w:rsidR="00AC3A41" w:rsidRPr="00AC3A41" w:rsidRDefault="00AC3A41" w:rsidP="00AC3A41">
      <w:pPr>
        <w:ind w:firstLine="720"/>
        <w:rPr>
          <w:rFonts w:eastAsiaTheme="minorHAnsi"/>
          <w:szCs w:val="24"/>
          <w:lang w:val="lv-LV"/>
        </w:rPr>
      </w:pPr>
      <w:r w:rsidRPr="00AC3A41">
        <w:rPr>
          <w:rFonts w:eastAsiaTheme="minorHAnsi"/>
          <w:szCs w:val="24"/>
          <w:lang w:val="lv-LV"/>
        </w:rPr>
        <w:t xml:space="preserve">Veikts arī </w:t>
      </w:r>
      <w:r w:rsidRPr="00AC3A41">
        <w:rPr>
          <w:rFonts w:eastAsiaTheme="minorHAnsi"/>
          <w:b/>
          <w:szCs w:val="24"/>
          <w:lang w:val="lv-LV"/>
        </w:rPr>
        <w:t>kultūras nozares izvērtējums</w:t>
      </w:r>
      <w:r w:rsidRPr="00AC3A41">
        <w:rPr>
          <w:rFonts w:eastAsiaTheme="minorHAnsi"/>
          <w:szCs w:val="24"/>
          <w:lang w:val="lv-LV"/>
        </w:rPr>
        <w:t>, analizējot digitalizācijas iespējas, kultūras mantojumu un iestāžu iespējamu funkciju pārklāšanos, KM izteiktas rekomendācijas politiku pilnveidei.</w:t>
      </w:r>
    </w:p>
    <w:p w14:paraId="38AD55D8" w14:textId="77777777" w:rsidR="00AC3A41" w:rsidRPr="00AC3A41" w:rsidRDefault="00AC3A41" w:rsidP="00AC3A41">
      <w:pPr>
        <w:ind w:firstLine="720"/>
        <w:rPr>
          <w:rFonts w:eastAsiaTheme="minorHAnsi"/>
          <w:szCs w:val="24"/>
          <w:highlight w:val="yellow"/>
          <w:lang w:val="lv-LV"/>
        </w:rPr>
      </w:pPr>
      <w:r w:rsidRPr="00AC3A41">
        <w:rPr>
          <w:rFonts w:eastAsiaTheme="minorHAnsi"/>
          <w:szCs w:val="24"/>
          <w:lang w:val="lv-LV"/>
        </w:rPr>
        <w:t xml:space="preserve">Savukārt, </w:t>
      </w:r>
      <w:r w:rsidRPr="00AC3A41">
        <w:rPr>
          <w:rFonts w:eastAsiaTheme="minorHAnsi"/>
          <w:b/>
          <w:szCs w:val="24"/>
          <w:lang w:val="lv-LV"/>
        </w:rPr>
        <w:t>diasporas pasākumu īstenošanai</w:t>
      </w:r>
      <w:r w:rsidRPr="00AC3A41">
        <w:rPr>
          <w:rFonts w:eastAsiaTheme="minorHAnsi"/>
          <w:szCs w:val="24"/>
          <w:lang w:val="lv-LV"/>
        </w:rPr>
        <w:t xml:space="preserve"> piešķirtā finansējuma analīzes ietvaros konstatēts potenciālais pieejamais iekšējais resurss 2022. – 2023. gadam </w:t>
      </w:r>
      <w:r w:rsidRPr="00AC3A41">
        <w:rPr>
          <w:rFonts w:eastAsiaTheme="minorHAnsi"/>
          <w:b/>
          <w:szCs w:val="24"/>
          <w:lang w:val="lv-LV"/>
        </w:rPr>
        <w:t xml:space="preserve">0,6 milj. </w:t>
      </w:r>
      <w:r w:rsidRPr="00AC3A41">
        <w:rPr>
          <w:rFonts w:eastAsiaTheme="minorHAnsi"/>
          <w:b/>
          <w:i/>
          <w:szCs w:val="24"/>
          <w:lang w:val="lv-LV"/>
        </w:rPr>
        <w:t>euro</w:t>
      </w:r>
      <w:r w:rsidRPr="00AC3A41">
        <w:rPr>
          <w:rFonts w:eastAsiaTheme="minorHAnsi"/>
          <w:szCs w:val="24"/>
          <w:lang w:val="lv-LV"/>
        </w:rPr>
        <w:t xml:space="preserve"> apmērā ik gadu.</w:t>
      </w:r>
    </w:p>
    <w:p w14:paraId="0FF4684F" w14:textId="4EC2050D" w:rsidR="00AC3A41" w:rsidRPr="00AC3A41" w:rsidRDefault="00AC3A41" w:rsidP="00525A10">
      <w:pPr>
        <w:ind w:firstLine="720"/>
        <w:rPr>
          <w:rFonts w:eastAsiaTheme="minorHAnsi"/>
          <w:szCs w:val="24"/>
          <w:lang w:val="lv-LV"/>
        </w:rPr>
      </w:pPr>
      <w:r w:rsidRPr="00AC3A41">
        <w:rPr>
          <w:rFonts w:eastAsiaTheme="minorHAnsi"/>
          <w:szCs w:val="24"/>
          <w:lang w:val="lv-LV"/>
        </w:rPr>
        <w:t xml:space="preserve">Pēdējo gadu laikā EK savās specifiskajās rekomendācijās vairākkārt ieteikusi Latvijai palielināt publiskā sektora efektivitāti, ko iespējams sasniegt, tai skaitā pilnveidojot budžeta plānošanas procesus. FM, strādājot pie valsts budžeta izdevumu pārskatīšanas, ik gadu pievērš būtisku uzmanību </w:t>
      </w:r>
      <w:r w:rsidRPr="00AC3A41">
        <w:rPr>
          <w:rFonts w:eastAsiaTheme="minorHAnsi"/>
          <w:b/>
          <w:szCs w:val="24"/>
          <w:lang w:val="lv-LV"/>
        </w:rPr>
        <w:t>procesu un sistēmu pilnveidošanai</w:t>
      </w:r>
      <w:r w:rsidRPr="00AC3A41">
        <w:rPr>
          <w:rFonts w:eastAsiaTheme="minorHAnsi"/>
          <w:szCs w:val="24"/>
          <w:lang w:val="lv-LV"/>
        </w:rPr>
        <w:t xml:space="preserve">, turpinot finanšu vadības sistēmas un procesu pilnveidi, kā arī sadarbībā ar VK analizējot atbalsta funkciju centralizācijas iespējas. </w:t>
      </w:r>
    </w:p>
    <w:p w14:paraId="2E526B5A" w14:textId="0E86847D" w:rsidR="00AC3A41" w:rsidRPr="00AC3A41" w:rsidRDefault="00AC3A41" w:rsidP="00AC3A41">
      <w:pPr>
        <w:ind w:firstLine="720"/>
        <w:rPr>
          <w:rFonts w:eastAsiaTheme="minorHAnsi"/>
          <w:szCs w:val="24"/>
          <w:lang w:val="lv-LV"/>
        </w:rPr>
      </w:pPr>
      <w:r w:rsidRPr="00AC3A41">
        <w:rPr>
          <w:rFonts w:eastAsiaTheme="minorHAnsi"/>
          <w:szCs w:val="24"/>
          <w:lang w:val="lv-LV"/>
        </w:rPr>
        <w:lastRenderedPageBreak/>
        <w:t xml:space="preserve">Apkopojot nozaru ministriju veikto izdevumu pārskatīšanas finansiālo novērtējumu, gan FM veikto finansiālo novērtējumu 2021. gada izdevumu pārskatīšanas rezultāti </w:t>
      </w:r>
      <w:r w:rsidR="00FF7FFA">
        <w:rPr>
          <w:rFonts w:eastAsiaTheme="minorHAnsi"/>
          <w:szCs w:val="24"/>
          <w:lang w:val="lv-LV"/>
        </w:rPr>
        <w:t>(p</w:t>
      </w:r>
      <w:r w:rsidR="00FF7FFA">
        <w:rPr>
          <w:lang w:val="lv-LV"/>
        </w:rPr>
        <w:t>ielikums</w:t>
      </w:r>
      <w:r w:rsidR="00FF7FFA" w:rsidRPr="00FF7FFA">
        <w:rPr>
          <w:lang w:val="lv-LV"/>
        </w:rPr>
        <w:t xml:space="preserve"> Nr.</w:t>
      </w:r>
      <w:r w:rsidR="00FF7FFA">
        <w:rPr>
          <w:lang w:val="lv-LV"/>
        </w:rPr>
        <w:t xml:space="preserve"> </w:t>
      </w:r>
      <w:r w:rsidR="00FF7FFA" w:rsidRPr="00FF7FFA">
        <w:rPr>
          <w:lang w:val="lv-LV"/>
        </w:rPr>
        <w:t>1</w:t>
      </w:r>
      <w:r w:rsidR="00CA5079" w:rsidRPr="00AC3A41">
        <w:rPr>
          <w:rFonts w:eastAsiaTheme="minorHAnsi"/>
          <w:szCs w:val="24"/>
          <w:lang w:val="lv-LV"/>
        </w:rPr>
        <w:t>)</w:t>
      </w:r>
      <w:r w:rsidR="00CA5079">
        <w:rPr>
          <w:rFonts w:eastAsiaTheme="minorHAnsi"/>
          <w:szCs w:val="24"/>
          <w:lang w:val="lv-LV"/>
        </w:rPr>
        <w:t xml:space="preserve"> </w:t>
      </w:r>
      <w:r w:rsidRPr="00EC64F4">
        <w:rPr>
          <w:rFonts w:eastAsiaTheme="minorHAnsi"/>
          <w:szCs w:val="24"/>
          <w:lang w:val="lv-LV"/>
        </w:rPr>
        <w:t xml:space="preserve">veido 2022. gada budžetā </w:t>
      </w:r>
      <w:r w:rsidR="00EC64F4" w:rsidRPr="00EC64F4">
        <w:rPr>
          <w:rFonts w:eastAsiaTheme="minorHAnsi"/>
          <w:b/>
          <w:szCs w:val="24"/>
          <w:lang w:val="lv-LV"/>
        </w:rPr>
        <w:t>172,</w:t>
      </w:r>
      <w:r w:rsidR="001E4DAF">
        <w:rPr>
          <w:rFonts w:eastAsiaTheme="minorHAnsi"/>
          <w:b/>
          <w:szCs w:val="24"/>
          <w:lang w:val="lv-LV"/>
        </w:rPr>
        <w:t xml:space="preserve">8 </w:t>
      </w:r>
      <w:r w:rsidRPr="00EC64F4">
        <w:rPr>
          <w:rFonts w:eastAsiaTheme="minorHAnsi"/>
          <w:b/>
          <w:szCs w:val="24"/>
          <w:lang w:val="lv-LV"/>
        </w:rPr>
        <w:t xml:space="preserve">milj. </w:t>
      </w:r>
      <w:r w:rsidRPr="00EC64F4">
        <w:rPr>
          <w:rFonts w:eastAsiaTheme="minorHAnsi"/>
          <w:b/>
          <w:i/>
          <w:szCs w:val="24"/>
          <w:lang w:val="lv-LV"/>
        </w:rPr>
        <w:t>euro</w:t>
      </w:r>
      <w:r w:rsidRPr="00EC64F4">
        <w:rPr>
          <w:rFonts w:eastAsiaTheme="minorHAnsi"/>
          <w:szCs w:val="24"/>
          <w:lang w:val="lv-LV"/>
        </w:rPr>
        <w:t xml:space="preserve">, 2023. gadā </w:t>
      </w:r>
      <w:r w:rsidR="004C5EB0">
        <w:rPr>
          <w:rFonts w:eastAsiaTheme="minorHAnsi"/>
          <w:b/>
          <w:szCs w:val="24"/>
          <w:lang w:val="lv-LV"/>
        </w:rPr>
        <w:t>47,5</w:t>
      </w:r>
      <w:r w:rsidR="006A642E" w:rsidRPr="00EC64F4">
        <w:rPr>
          <w:rFonts w:eastAsiaTheme="minorHAnsi"/>
          <w:b/>
          <w:szCs w:val="24"/>
          <w:lang w:val="lv-LV"/>
        </w:rPr>
        <w:t xml:space="preserve"> </w:t>
      </w:r>
      <w:r w:rsidRPr="00EC64F4">
        <w:rPr>
          <w:rFonts w:eastAsiaTheme="minorHAnsi"/>
          <w:b/>
          <w:szCs w:val="24"/>
          <w:lang w:val="lv-LV"/>
        </w:rPr>
        <w:t xml:space="preserve">milj. </w:t>
      </w:r>
      <w:r w:rsidRPr="00EC64F4">
        <w:rPr>
          <w:rFonts w:eastAsiaTheme="minorHAnsi"/>
          <w:b/>
          <w:i/>
          <w:szCs w:val="24"/>
          <w:lang w:val="lv-LV"/>
        </w:rPr>
        <w:t>euro</w:t>
      </w:r>
      <w:r w:rsidRPr="00EC64F4">
        <w:rPr>
          <w:rFonts w:eastAsiaTheme="minorHAnsi"/>
          <w:i/>
          <w:szCs w:val="24"/>
          <w:lang w:val="lv-LV"/>
        </w:rPr>
        <w:t xml:space="preserve">, </w:t>
      </w:r>
      <w:r w:rsidRPr="00EC64F4">
        <w:rPr>
          <w:rFonts w:eastAsiaTheme="minorHAnsi"/>
          <w:szCs w:val="24"/>
          <w:lang w:val="lv-LV"/>
        </w:rPr>
        <w:t xml:space="preserve">2024. gadā </w:t>
      </w:r>
      <w:r w:rsidR="001E4DAF">
        <w:rPr>
          <w:rFonts w:eastAsiaTheme="minorHAnsi"/>
          <w:b/>
          <w:szCs w:val="24"/>
          <w:lang w:val="lv-LV"/>
        </w:rPr>
        <w:t>30,</w:t>
      </w:r>
      <w:r w:rsidR="004C5EB0">
        <w:rPr>
          <w:rFonts w:eastAsiaTheme="minorHAnsi"/>
          <w:b/>
          <w:szCs w:val="24"/>
          <w:lang w:val="lv-LV"/>
        </w:rPr>
        <w:t>8</w:t>
      </w:r>
      <w:r w:rsidRPr="00EC64F4">
        <w:rPr>
          <w:rFonts w:eastAsiaTheme="minorHAnsi"/>
          <w:b/>
          <w:szCs w:val="24"/>
          <w:lang w:val="lv-LV"/>
        </w:rPr>
        <w:t xml:space="preserve"> milj. </w:t>
      </w:r>
      <w:r w:rsidRPr="00EC64F4">
        <w:rPr>
          <w:rFonts w:eastAsiaTheme="minorHAnsi"/>
          <w:b/>
          <w:i/>
          <w:szCs w:val="24"/>
          <w:lang w:val="lv-LV"/>
        </w:rPr>
        <w:t>euro</w:t>
      </w:r>
      <w:r w:rsidRPr="00EC64F4">
        <w:rPr>
          <w:rFonts w:eastAsiaTheme="minorHAnsi"/>
          <w:szCs w:val="24"/>
          <w:lang w:val="lv-LV"/>
        </w:rPr>
        <w:t xml:space="preserve">. No tiem </w:t>
      </w:r>
      <w:r w:rsidR="00525A10">
        <w:rPr>
          <w:rFonts w:eastAsiaTheme="minorHAnsi"/>
          <w:b/>
          <w:szCs w:val="24"/>
          <w:lang w:val="lv-LV"/>
        </w:rPr>
        <w:t xml:space="preserve">70,6 </w:t>
      </w:r>
      <w:r w:rsidRPr="00EC64F4">
        <w:rPr>
          <w:rFonts w:eastAsiaTheme="minorHAnsi"/>
          <w:b/>
          <w:szCs w:val="24"/>
          <w:lang w:val="lv-LV"/>
        </w:rPr>
        <w:t xml:space="preserve">milj. </w:t>
      </w:r>
      <w:r w:rsidRPr="00EC64F4">
        <w:rPr>
          <w:rFonts w:eastAsiaTheme="minorHAnsi"/>
          <w:b/>
          <w:i/>
          <w:szCs w:val="24"/>
          <w:lang w:val="lv-LV"/>
        </w:rPr>
        <w:t>euro</w:t>
      </w:r>
      <w:r w:rsidRPr="00EC64F4">
        <w:rPr>
          <w:rFonts w:eastAsiaTheme="minorHAnsi"/>
          <w:szCs w:val="24"/>
          <w:lang w:val="lv-LV"/>
        </w:rPr>
        <w:t xml:space="preserve"> novirzāmi </w:t>
      </w:r>
      <w:r w:rsidR="00751B88">
        <w:rPr>
          <w:rFonts w:eastAsiaTheme="minorHAnsi"/>
          <w:szCs w:val="24"/>
          <w:lang w:val="lv-LV"/>
        </w:rPr>
        <w:t>c</w:t>
      </w:r>
      <w:r w:rsidR="00751B88" w:rsidRPr="00751B88">
        <w:rPr>
          <w:rFonts w:eastAsiaTheme="minorHAnsi"/>
          <w:szCs w:val="24"/>
          <w:lang w:val="lv-LV"/>
        </w:rPr>
        <w:t>itām kopējām prioritātēm</w:t>
      </w:r>
      <w:r w:rsidRPr="00EC64F4">
        <w:rPr>
          <w:rFonts w:eastAsiaTheme="minorHAnsi"/>
          <w:szCs w:val="24"/>
          <w:lang w:val="lv-LV"/>
        </w:rPr>
        <w:t xml:space="preserve">, savukārt </w:t>
      </w:r>
      <w:r w:rsidR="001E4DAF">
        <w:rPr>
          <w:rFonts w:eastAsiaTheme="minorHAnsi"/>
          <w:b/>
          <w:szCs w:val="24"/>
          <w:lang w:val="lv-LV"/>
        </w:rPr>
        <w:t>102,2</w:t>
      </w:r>
      <w:r w:rsidR="006A642E" w:rsidRPr="00EC64F4">
        <w:rPr>
          <w:rFonts w:eastAsiaTheme="minorHAnsi"/>
          <w:b/>
          <w:szCs w:val="24"/>
          <w:lang w:val="lv-LV"/>
        </w:rPr>
        <w:t xml:space="preserve"> </w:t>
      </w:r>
      <w:r w:rsidRPr="00EC64F4">
        <w:rPr>
          <w:rFonts w:eastAsiaTheme="minorHAnsi"/>
          <w:b/>
          <w:szCs w:val="24"/>
          <w:lang w:val="lv-LV"/>
        </w:rPr>
        <w:t xml:space="preserve">milj. </w:t>
      </w:r>
      <w:r w:rsidRPr="00EC64F4">
        <w:rPr>
          <w:rFonts w:eastAsiaTheme="minorHAnsi"/>
          <w:b/>
          <w:i/>
          <w:szCs w:val="24"/>
          <w:lang w:val="lv-LV"/>
        </w:rPr>
        <w:t>euro</w:t>
      </w:r>
      <w:r w:rsidRPr="00AC3A41">
        <w:rPr>
          <w:rFonts w:eastAsiaTheme="minorHAnsi"/>
          <w:szCs w:val="24"/>
          <w:lang w:val="lv-LV"/>
        </w:rPr>
        <w:t xml:space="preserve"> novirzāmi ministriju aktuālo prioritāšu finansēšanai. Vienlaikus jāņem vērā, ka ne tikai kārtējā gadā veiktā izdevumu pārskatīšana sniedz rezultātu uz nākamo gadu, bet arī iepriekš veiktās izdevumu pārskatīšanas atstāj ietekmi uz vidēju termiņa budžetu. Tā, piemēram, 2022. gadam potenciālais resurss iekšējām prioritātēm ir konstatēts gan, veicot 2019. – 2021. gada izdevumu pārskatīšanu (52,3 milj. </w:t>
      </w:r>
      <w:r w:rsidRPr="00AC3A41">
        <w:rPr>
          <w:rFonts w:eastAsiaTheme="minorHAnsi"/>
          <w:i/>
          <w:szCs w:val="24"/>
          <w:lang w:val="lv-LV"/>
        </w:rPr>
        <w:t>euro</w:t>
      </w:r>
      <w:r w:rsidRPr="00AC3A41">
        <w:rPr>
          <w:rFonts w:eastAsiaTheme="minorHAnsi"/>
          <w:szCs w:val="24"/>
          <w:lang w:val="lv-LV"/>
        </w:rPr>
        <w:t xml:space="preserve">), gan veicot 2020. – 2022. gada izdevumu pārskatīšanu (36,8 milj. </w:t>
      </w:r>
      <w:r w:rsidRPr="00AC3A41">
        <w:rPr>
          <w:rFonts w:eastAsiaTheme="minorHAnsi"/>
          <w:i/>
          <w:szCs w:val="24"/>
          <w:lang w:val="lv-LV"/>
        </w:rPr>
        <w:t>euro</w:t>
      </w:r>
      <w:r w:rsidRPr="00AC3A41">
        <w:rPr>
          <w:rFonts w:eastAsiaTheme="minorHAnsi"/>
          <w:szCs w:val="24"/>
          <w:lang w:val="lv-LV"/>
        </w:rPr>
        <w:t xml:space="preserve">). Līdz ar to ministrijām jau šobrīd iekšējo prioritāšu īstenošanai 2022. gadā ir pieejami kopumā </w:t>
      </w:r>
      <w:r w:rsidRPr="00AC3A41">
        <w:rPr>
          <w:rFonts w:eastAsiaTheme="minorHAnsi"/>
          <w:b/>
          <w:szCs w:val="24"/>
          <w:lang w:val="lv-LV"/>
        </w:rPr>
        <w:t xml:space="preserve">89,2 milj. </w:t>
      </w:r>
      <w:r w:rsidRPr="00AC3A41">
        <w:rPr>
          <w:rFonts w:eastAsiaTheme="minorHAnsi"/>
          <w:b/>
          <w:i/>
          <w:szCs w:val="24"/>
          <w:lang w:val="lv-LV"/>
        </w:rPr>
        <w:t>euro</w:t>
      </w:r>
      <w:r w:rsidRPr="00AC3A41">
        <w:rPr>
          <w:rFonts w:eastAsiaTheme="minorHAnsi"/>
          <w:szCs w:val="24"/>
          <w:lang w:val="lv-LV"/>
        </w:rPr>
        <w:t xml:space="preserve">. </w:t>
      </w:r>
    </w:p>
    <w:p w14:paraId="2AED2E91" w14:textId="06334C9F" w:rsidR="00AC3A41" w:rsidRPr="00AC3A41" w:rsidRDefault="00AC3A41" w:rsidP="00AC3A41">
      <w:pPr>
        <w:ind w:firstLine="720"/>
        <w:rPr>
          <w:rFonts w:eastAsiaTheme="minorHAnsi"/>
          <w:szCs w:val="24"/>
          <w:lang w:val="lv-LV"/>
        </w:rPr>
      </w:pPr>
      <w:r w:rsidRPr="00AC3A41">
        <w:rPr>
          <w:rFonts w:eastAsiaTheme="minorHAnsi"/>
          <w:szCs w:val="24"/>
          <w:lang w:val="lv-LV"/>
        </w:rPr>
        <w:t xml:space="preserve">Tāpat šo gadu laikā ir izveidojusies veiksmīga sadarbība ar starpinstitucionālās darba grupas partneriem. </w:t>
      </w:r>
      <w:r w:rsidRPr="00AC3A41">
        <w:rPr>
          <w:rFonts w:eastAsiaTheme="minorHAnsi" w:cs="Times New Roman"/>
          <w:szCs w:val="24"/>
          <w:lang w:val="lv-LV"/>
        </w:rPr>
        <w:t>Starpinstitucionālā darba grupa ir izveidota, lai sagatavotu priekšlikumus valsts budžeta izdevumu pārskatīšanai, diskutētu par izvērtējumu rezultātiem un labākajiem risinājuma variantiem, iesniegtu finanšu ministram izdevumu pārskatīšanas rezultātus un priekšlikumus par šo rezultātu izmantošanu budžeta izstrādes procesā. Darba grupas locekļi pārstāv šādas institūcijas: FM, LB, PKC, VK, kā arī novērotāja statusā piedalās</w:t>
      </w:r>
      <w:r w:rsidR="00E04386">
        <w:rPr>
          <w:rFonts w:eastAsiaTheme="minorHAnsi" w:cs="Times New Roman"/>
          <w:szCs w:val="24"/>
          <w:lang w:val="lv-LV"/>
        </w:rPr>
        <w:t xml:space="preserve"> VKo pārstāvis. Kopumā notika 22</w:t>
      </w:r>
      <w:r w:rsidRPr="00AC3A41">
        <w:rPr>
          <w:rFonts w:eastAsiaTheme="minorHAnsi" w:cs="Times New Roman"/>
          <w:szCs w:val="24"/>
          <w:lang w:val="lv-LV"/>
        </w:rPr>
        <w:t xml:space="preserve"> darba grupas sanāksme</w:t>
      </w:r>
      <w:r w:rsidR="00E04386">
        <w:rPr>
          <w:rFonts w:eastAsiaTheme="minorHAnsi" w:cs="Times New Roman"/>
          <w:szCs w:val="24"/>
          <w:lang w:val="lv-LV"/>
        </w:rPr>
        <w:t>s</w:t>
      </w:r>
      <w:r w:rsidRPr="00AC3A41">
        <w:rPr>
          <w:rFonts w:eastAsiaTheme="minorHAnsi" w:cs="Times New Roman"/>
          <w:szCs w:val="24"/>
          <w:lang w:val="lv-LV"/>
        </w:rPr>
        <w:t xml:space="preserve">, kurās diskutēts par šādām tēmām: </w:t>
      </w:r>
    </w:p>
    <w:p w14:paraId="68204677" w14:textId="77777777" w:rsidR="00AC3A41" w:rsidRPr="00AC3A41" w:rsidRDefault="00AC3A41" w:rsidP="004C1C06">
      <w:pPr>
        <w:numPr>
          <w:ilvl w:val="0"/>
          <w:numId w:val="35"/>
        </w:numPr>
        <w:spacing w:after="160"/>
        <w:ind w:hanging="357"/>
        <w:jc w:val="left"/>
        <w:rPr>
          <w:rFonts w:eastAsiaTheme="minorHAnsi" w:cs="Times New Roman"/>
          <w:szCs w:val="24"/>
          <w:lang w:val="lv-LV"/>
        </w:rPr>
      </w:pPr>
      <w:r w:rsidRPr="00AC3A41">
        <w:rPr>
          <w:rFonts w:eastAsiaTheme="minorHAnsi" w:cs="Times New Roman"/>
          <w:szCs w:val="24"/>
          <w:lang w:val="lv-LV"/>
        </w:rPr>
        <w:t>Priekšlikumi 2021. gada izdevumu pārskatīšanas tvērumam (FM prezentācija);</w:t>
      </w:r>
    </w:p>
    <w:p w14:paraId="393C429C" w14:textId="77777777" w:rsidR="00AC3A41" w:rsidRPr="00AC3A41" w:rsidRDefault="00AC3A41" w:rsidP="004C1C06">
      <w:pPr>
        <w:numPr>
          <w:ilvl w:val="0"/>
          <w:numId w:val="35"/>
        </w:numPr>
        <w:spacing w:after="160"/>
        <w:ind w:hanging="357"/>
        <w:jc w:val="left"/>
        <w:rPr>
          <w:rFonts w:eastAsiaTheme="minorHAnsi" w:cs="Times New Roman"/>
          <w:szCs w:val="24"/>
          <w:lang w:val="lv-LV"/>
        </w:rPr>
      </w:pPr>
      <w:r w:rsidRPr="00AC3A41">
        <w:rPr>
          <w:rFonts w:eastAsiaTheme="minorHAnsi" w:cs="Times New Roman"/>
          <w:szCs w:val="24"/>
          <w:lang w:val="lv-LV"/>
        </w:rPr>
        <w:t>Izdevumu pārskatīšanas tvērums 2021. gadam (FM prezentācija);</w:t>
      </w:r>
    </w:p>
    <w:p w14:paraId="57D42C6B" w14:textId="77777777" w:rsidR="00AC3A41" w:rsidRPr="00AC3A41" w:rsidRDefault="00AC3A41" w:rsidP="004C1C06">
      <w:pPr>
        <w:numPr>
          <w:ilvl w:val="0"/>
          <w:numId w:val="35"/>
        </w:numPr>
        <w:spacing w:after="160"/>
        <w:ind w:hanging="357"/>
        <w:jc w:val="left"/>
        <w:rPr>
          <w:rFonts w:eastAsiaTheme="minorHAnsi" w:cs="Times New Roman"/>
          <w:szCs w:val="24"/>
          <w:lang w:val="lv-LV"/>
        </w:rPr>
      </w:pPr>
      <w:r w:rsidRPr="00AC3A41">
        <w:rPr>
          <w:rFonts w:eastAsiaTheme="minorHAnsi" w:cs="Times New Roman"/>
          <w:szCs w:val="24"/>
          <w:lang w:val="lv-LV"/>
        </w:rPr>
        <w:t>Izdienas pensijas – materiālā atbalsta shēma (LM prezentācija);</w:t>
      </w:r>
    </w:p>
    <w:p w14:paraId="01B8E53C" w14:textId="6FFF392D" w:rsidR="00AC3A41" w:rsidRPr="00AC3A41" w:rsidRDefault="00CE0303" w:rsidP="004C1C06">
      <w:pPr>
        <w:numPr>
          <w:ilvl w:val="0"/>
          <w:numId w:val="35"/>
        </w:numPr>
        <w:spacing w:after="160"/>
        <w:ind w:hanging="357"/>
        <w:jc w:val="left"/>
        <w:rPr>
          <w:rFonts w:eastAsiaTheme="minorHAnsi" w:cs="Times New Roman"/>
          <w:szCs w:val="24"/>
          <w:lang w:val="lv-LV"/>
        </w:rPr>
      </w:pPr>
      <w:r>
        <w:rPr>
          <w:rFonts w:eastAsiaTheme="minorHAnsi" w:cs="Times New Roman"/>
          <w:szCs w:val="24"/>
          <w:lang w:val="lv-LV"/>
        </w:rPr>
        <w:t>IKT</w:t>
      </w:r>
      <w:r w:rsidR="00AC3A41" w:rsidRPr="00AC3A41">
        <w:rPr>
          <w:rFonts w:eastAsiaTheme="minorHAnsi" w:cs="Times New Roman"/>
          <w:szCs w:val="24"/>
          <w:lang w:val="lv-LV"/>
        </w:rPr>
        <w:t xml:space="preserve"> attīstība valsts pārvaldē (VARAM prezentācija), Norēķināšanās par datu centru izmantošanu mehānisma problemātika (SM prezentācija);</w:t>
      </w:r>
    </w:p>
    <w:p w14:paraId="2D3ED28A" w14:textId="77777777" w:rsidR="00AC3A41" w:rsidRPr="00AC3A41" w:rsidRDefault="00AC3A41" w:rsidP="004C1C06">
      <w:pPr>
        <w:numPr>
          <w:ilvl w:val="0"/>
          <w:numId w:val="35"/>
        </w:numPr>
        <w:spacing w:after="160"/>
        <w:ind w:hanging="357"/>
        <w:jc w:val="left"/>
        <w:rPr>
          <w:rFonts w:eastAsiaTheme="minorHAnsi" w:cs="Times New Roman"/>
          <w:szCs w:val="24"/>
          <w:lang w:val="lv-LV"/>
        </w:rPr>
      </w:pPr>
      <w:r w:rsidRPr="00AC3A41">
        <w:rPr>
          <w:rFonts w:eastAsiaTheme="minorHAnsi" w:cs="Times New Roman"/>
          <w:szCs w:val="24"/>
          <w:lang w:val="lv-LV"/>
        </w:rPr>
        <w:t>KM prezentācija par kultūras nozares finansēšanu un Latvijas Nacionālā kultūras centra un Latvijas Nacionālā arhīva funkcijām, IZM prezentācija par 2020. gada izdevumu pārskatīšanas ietvaros uzdoto uzdevumu izpildi sporta nozarē;</w:t>
      </w:r>
    </w:p>
    <w:p w14:paraId="5E1FC443" w14:textId="77777777" w:rsidR="00AC3A41" w:rsidRPr="00AC3A41" w:rsidRDefault="00AC3A41" w:rsidP="004C1C06">
      <w:pPr>
        <w:numPr>
          <w:ilvl w:val="0"/>
          <w:numId w:val="35"/>
        </w:numPr>
        <w:spacing w:after="160"/>
        <w:ind w:hanging="357"/>
        <w:jc w:val="left"/>
        <w:rPr>
          <w:rFonts w:eastAsiaTheme="minorHAnsi" w:cs="Times New Roman"/>
          <w:szCs w:val="24"/>
          <w:lang w:val="lv-LV"/>
        </w:rPr>
      </w:pPr>
      <w:r w:rsidRPr="00AC3A41">
        <w:rPr>
          <w:rFonts w:eastAsiaTheme="minorHAnsi" w:cs="Times New Roman"/>
          <w:szCs w:val="24"/>
          <w:lang w:val="lv-LV"/>
        </w:rPr>
        <w:t xml:space="preserve">– 18. izdevumu pārskatīšanas darba grupas tikšanās ar katru ministriju, darba grupas sanāksmes strukturējot trīs galvenajos blokos: </w:t>
      </w:r>
    </w:p>
    <w:p w14:paraId="03B91DCD" w14:textId="77777777" w:rsidR="00AC3A41" w:rsidRPr="00AC3A41" w:rsidRDefault="00AC3A41" w:rsidP="004C1C06">
      <w:pPr>
        <w:numPr>
          <w:ilvl w:val="0"/>
          <w:numId w:val="38"/>
        </w:numPr>
        <w:spacing w:after="160"/>
        <w:ind w:hanging="357"/>
        <w:jc w:val="left"/>
        <w:rPr>
          <w:rFonts w:eastAsiaTheme="minorHAnsi" w:cs="Times New Roman"/>
          <w:szCs w:val="24"/>
          <w:lang w:val="lv-LV"/>
        </w:rPr>
      </w:pPr>
      <w:r w:rsidRPr="00AC3A41">
        <w:rPr>
          <w:rFonts w:eastAsiaTheme="minorHAnsi" w:cs="Times New Roman"/>
          <w:szCs w:val="24"/>
          <w:lang w:val="lv-LV"/>
        </w:rPr>
        <w:t>FM prezentācija par veikto ministrijas izdevumu analīzi;</w:t>
      </w:r>
    </w:p>
    <w:p w14:paraId="6FB904AE" w14:textId="77777777" w:rsidR="00AC3A41" w:rsidRPr="00AC3A41" w:rsidRDefault="00AC3A41" w:rsidP="004C1C06">
      <w:pPr>
        <w:numPr>
          <w:ilvl w:val="0"/>
          <w:numId w:val="38"/>
        </w:numPr>
        <w:spacing w:after="160"/>
        <w:ind w:hanging="357"/>
        <w:jc w:val="left"/>
        <w:rPr>
          <w:rFonts w:eastAsiaTheme="minorHAnsi" w:cs="Times New Roman"/>
          <w:szCs w:val="24"/>
          <w:lang w:val="lv-LV"/>
        </w:rPr>
      </w:pPr>
      <w:r w:rsidRPr="00AC3A41">
        <w:rPr>
          <w:rFonts w:eastAsiaTheme="minorHAnsi" w:cs="Times New Roman"/>
          <w:szCs w:val="24"/>
          <w:lang w:val="lv-LV"/>
        </w:rPr>
        <w:t>PKC prezentācija par ministrijas politikas un resursu vadības kartēm;</w:t>
      </w:r>
    </w:p>
    <w:p w14:paraId="27F584CB" w14:textId="77777777" w:rsidR="00AC3A41" w:rsidRPr="00AC3A41" w:rsidRDefault="00AC3A41" w:rsidP="004C1C06">
      <w:pPr>
        <w:numPr>
          <w:ilvl w:val="0"/>
          <w:numId w:val="38"/>
        </w:numPr>
        <w:spacing w:after="160"/>
        <w:ind w:hanging="357"/>
        <w:jc w:val="left"/>
        <w:rPr>
          <w:rFonts w:eastAsiaTheme="minorHAnsi" w:cs="Times New Roman"/>
          <w:szCs w:val="24"/>
          <w:lang w:val="lv-LV"/>
        </w:rPr>
      </w:pPr>
      <w:r w:rsidRPr="00AC3A41">
        <w:rPr>
          <w:rFonts w:eastAsiaTheme="minorHAnsi" w:cs="Times New Roman"/>
          <w:szCs w:val="24"/>
          <w:lang w:val="lv-LV"/>
        </w:rPr>
        <w:t>Ministrijas atbildes uz FM prezentācijā uzdotajiem jautājumiem;</w:t>
      </w:r>
    </w:p>
    <w:p w14:paraId="10F423B6" w14:textId="77777777" w:rsidR="00AC3A41" w:rsidRPr="00AC3A41" w:rsidRDefault="00AC3A41" w:rsidP="004C1C06">
      <w:pPr>
        <w:numPr>
          <w:ilvl w:val="0"/>
          <w:numId w:val="40"/>
        </w:numPr>
        <w:spacing w:after="160"/>
        <w:ind w:hanging="357"/>
        <w:jc w:val="left"/>
        <w:rPr>
          <w:rFonts w:eastAsiaTheme="minorHAnsi" w:cs="Times New Roman"/>
          <w:szCs w:val="24"/>
          <w:lang w:val="lv-LV"/>
        </w:rPr>
      </w:pPr>
      <w:r w:rsidRPr="00AC3A41">
        <w:rPr>
          <w:rFonts w:eastAsiaTheme="minorHAnsi" w:cs="Times New Roman"/>
          <w:szCs w:val="24"/>
          <w:lang w:val="lv-LV"/>
        </w:rPr>
        <w:t>FM prezentācija par iepriekšējo izdevumu pārskatīšanas rezultātiem un informatīvā ziņojuma saturu, PKC prezentācija par izdienas pensijām;</w:t>
      </w:r>
    </w:p>
    <w:p w14:paraId="010AA6EE" w14:textId="77777777" w:rsidR="00AC3A41" w:rsidRPr="00AC3A41" w:rsidRDefault="00AC3A41" w:rsidP="004C1C06">
      <w:pPr>
        <w:numPr>
          <w:ilvl w:val="0"/>
          <w:numId w:val="40"/>
        </w:numPr>
        <w:spacing w:after="160"/>
        <w:ind w:hanging="357"/>
        <w:jc w:val="left"/>
        <w:rPr>
          <w:rFonts w:eastAsiaTheme="minorHAnsi" w:cs="Times New Roman"/>
          <w:szCs w:val="24"/>
          <w:lang w:val="lv-LV"/>
        </w:rPr>
      </w:pPr>
      <w:r w:rsidRPr="00AC3A41">
        <w:rPr>
          <w:rFonts w:eastAsiaTheme="minorHAnsi"/>
          <w:color w:val="000000"/>
          <w:szCs w:val="24"/>
          <w:lang w:val="lv-LV"/>
        </w:rPr>
        <w:t>Valsts kases prezentācija par grāmatvedības uzskaites pakalpojumu;</w:t>
      </w:r>
    </w:p>
    <w:p w14:paraId="10B2B994" w14:textId="77777777" w:rsidR="00AC3A41" w:rsidRPr="00AC3A41" w:rsidRDefault="00AC3A41" w:rsidP="004C1C06">
      <w:pPr>
        <w:numPr>
          <w:ilvl w:val="0"/>
          <w:numId w:val="40"/>
        </w:numPr>
        <w:spacing w:after="160"/>
        <w:ind w:hanging="357"/>
        <w:jc w:val="left"/>
        <w:rPr>
          <w:rFonts w:eastAsiaTheme="minorHAnsi" w:cs="Times New Roman"/>
          <w:szCs w:val="24"/>
          <w:lang w:val="lv-LV"/>
        </w:rPr>
      </w:pPr>
      <w:r w:rsidRPr="00AC3A41">
        <w:rPr>
          <w:rFonts w:eastAsiaTheme="minorHAnsi"/>
          <w:szCs w:val="24"/>
          <w:lang w:val="lv-LV"/>
        </w:rPr>
        <w:t>FM prezentācija par izdevumu pārskatīšanas starprezultātiem;</w:t>
      </w:r>
    </w:p>
    <w:p w14:paraId="33861053" w14:textId="77777777" w:rsidR="00AC3A41" w:rsidRPr="00AC3A41" w:rsidRDefault="00AC3A41" w:rsidP="004C1C06">
      <w:pPr>
        <w:numPr>
          <w:ilvl w:val="0"/>
          <w:numId w:val="40"/>
        </w:numPr>
        <w:spacing w:after="160"/>
        <w:ind w:hanging="357"/>
        <w:jc w:val="left"/>
        <w:rPr>
          <w:rFonts w:eastAsiaTheme="minorHAnsi" w:cs="Times New Roman"/>
          <w:szCs w:val="24"/>
          <w:lang w:val="lv-LV"/>
        </w:rPr>
      </w:pPr>
      <w:r w:rsidRPr="00AC3A41">
        <w:rPr>
          <w:rFonts w:eastAsiaTheme="minorHAnsi" w:cs="Times New Roman"/>
          <w:szCs w:val="24"/>
          <w:lang w:val="lv-LV"/>
        </w:rPr>
        <w:t>Izdevumu pārskatīšanas ziņojuma apspriede.</w:t>
      </w:r>
    </w:p>
    <w:p w14:paraId="1233C99F" w14:textId="77777777" w:rsidR="00AC3A41" w:rsidRPr="00AC3A41" w:rsidRDefault="00AC3A41" w:rsidP="00AC3A41">
      <w:pPr>
        <w:rPr>
          <w:lang w:val="lv-LV"/>
        </w:rPr>
      </w:pPr>
    </w:p>
    <w:p w14:paraId="739107D9" w14:textId="1915E1DB" w:rsidR="00D2674E" w:rsidRDefault="00D2674E" w:rsidP="0005194E">
      <w:pPr>
        <w:pStyle w:val="Heading1"/>
        <w:numPr>
          <w:ilvl w:val="0"/>
          <w:numId w:val="1"/>
        </w:numPr>
        <w:rPr>
          <w:lang w:val="lv-LV"/>
        </w:rPr>
      </w:pPr>
      <w:bookmarkStart w:id="1" w:name="_Toc11145955"/>
      <w:bookmarkStart w:id="2" w:name="_Toc16781637"/>
      <w:bookmarkStart w:id="3" w:name="_Toc48200642"/>
      <w:bookmarkStart w:id="4" w:name="_Toc80178407"/>
      <w:r w:rsidRPr="000837FF">
        <w:rPr>
          <w:lang w:val="lv-LV"/>
        </w:rPr>
        <w:lastRenderedPageBreak/>
        <w:t>IEPRIEKŠĒJĀS IZDEVUMU PĀRSKATĪŠANAS REZULTĀTU IEVIEŠANA</w:t>
      </w:r>
      <w:bookmarkEnd w:id="1"/>
      <w:bookmarkEnd w:id="2"/>
      <w:bookmarkEnd w:id="3"/>
      <w:bookmarkEnd w:id="4"/>
    </w:p>
    <w:p w14:paraId="5A1C05EC" w14:textId="676948EE" w:rsidR="00E04386" w:rsidRPr="00177F30" w:rsidRDefault="00177F30" w:rsidP="007D273E">
      <w:pPr>
        <w:spacing w:before="120"/>
        <w:ind w:firstLine="720"/>
        <w:rPr>
          <w:lang w:val="lv-LV"/>
        </w:rPr>
      </w:pPr>
      <w:r w:rsidRPr="00177F30">
        <w:rPr>
          <w:lang w:val="lv-LV"/>
        </w:rPr>
        <w:t xml:space="preserve">Atbilstoši MK 2020. gada 18. augusta sēdes protokolam Nr. 49 46.§ informatīvais ziņojums “Par valsts budžeta izdevumu pārskatīšanas rezultātiem un priekšlikumi par šo rezultātu izmantošanu likumprojekta “Par vidēja termiņa budžeta ietvaru 2021., 2022. un 2023. gadam” un likumprojekta “Par valsts budžetu 2021. gadam” izstrādes procesā” (turpmāk – MK 2020. gada 18. augusta sēdes protokols Nr. 49 46.§) nolemtajam izdevumu pārskatīšanas rezultātā identificēti pieejamie resursi 2021. gadam 53,6 milj. </w:t>
      </w:r>
      <w:r w:rsidRPr="00177F30">
        <w:rPr>
          <w:i/>
          <w:lang w:val="lv-LV"/>
        </w:rPr>
        <w:t>euro</w:t>
      </w:r>
      <w:r w:rsidRPr="00177F30">
        <w:rPr>
          <w:lang w:val="lv-LV"/>
        </w:rPr>
        <w:t xml:space="preserve"> un 2022. gadam 38,4 milj. </w:t>
      </w:r>
      <w:r w:rsidRPr="00177F30">
        <w:rPr>
          <w:i/>
          <w:lang w:val="lv-LV"/>
        </w:rPr>
        <w:t>euro</w:t>
      </w:r>
      <w:r w:rsidR="006746B5">
        <w:rPr>
          <w:lang w:val="lv-LV"/>
        </w:rPr>
        <w:t xml:space="preserve"> apmērā (Attēls</w:t>
      </w:r>
      <w:r w:rsidRPr="00177F30">
        <w:rPr>
          <w:lang w:val="lv-LV"/>
        </w:rPr>
        <w:t xml:space="preserve"> Nr. 1.1.).</w:t>
      </w:r>
    </w:p>
    <w:p w14:paraId="1E457CCC" w14:textId="77777777" w:rsidR="00177F30" w:rsidRPr="00177F30" w:rsidRDefault="00177F30" w:rsidP="00177F30">
      <w:pPr>
        <w:spacing w:line="240" w:lineRule="auto"/>
        <w:jc w:val="center"/>
        <w:rPr>
          <w:b/>
          <w:i/>
          <w:sz w:val="22"/>
          <w:lang w:val="lv-LV"/>
        </w:rPr>
      </w:pPr>
      <w:r w:rsidRPr="00177F30">
        <w:rPr>
          <w:b/>
          <w:i/>
          <w:iCs/>
          <w:sz w:val="22"/>
          <w:lang w:val="lv-LV"/>
        </w:rPr>
        <w:t>1.1. attēls</w:t>
      </w:r>
      <w:r w:rsidRPr="00177F30">
        <w:rPr>
          <w:b/>
          <w:sz w:val="22"/>
          <w:lang w:val="lv-LV"/>
        </w:rPr>
        <w:t xml:space="preserve"> Iepriekšējā gadā izdevumu pārskatīšanas rezultātā identificētie pieejamie resursi un ministriju ieviestais, milj. </w:t>
      </w:r>
      <w:r w:rsidRPr="00177F30">
        <w:rPr>
          <w:b/>
          <w:i/>
          <w:sz w:val="22"/>
          <w:lang w:val="lv-LV"/>
        </w:rPr>
        <w:t>euro</w:t>
      </w:r>
    </w:p>
    <w:p w14:paraId="6AD15448" w14:textId="77777777" w:rsidR="00177F30" w:rsidRPr="00177F30" w:rsidRDefault="00177F30" w:rsidP="00177F30">
      <w:pPr>
        <w:spacing w:line="240" w:lineRule="auto"/>
        <w:jc w:val="center"/>
        <w:rPr>
          <w:lang w:val="lv-LV"/>
        </w:rPr>
      </w:pPr>
      <w:r w:rsidRPr="00177F30">
        <w:rPr>
          <w:noProof/>
          <w:sz w:val="36"/>
          <w:lang w:val="lv-LV" w:eastAsia="lv-LV"/>
        </w:rPr>
        <w:drawing>
          <wp:inline distT="0" distB="0" distL="0" distR="0" wp14:anchorId="1F2BC0A3" wp14:editId="12206FC8">
            <wp:extent cx="5688330" cy="2743200"/>
            <wp:effectExtent l="0" t="0" r="762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9B3481" w14:textId="77777777" w:rsidR="00177F30" w:rsidRPr="00177F30" w:rsidRDefault="00177F30" w:rsidP="00177F30">
      <w:pPr>
        <w:ind w:firstLine="720"/>
        <w:rPr>
          <w:lang w:val="lv-LV"/>
        </w:rPr>
      </w:pPr>
      <w:r w:rsidRPr="00177F30">
        <w:rPr>
          <w:lang w:val="lv-LV"/>
        </w:rPr>
        <w:t>Kā redzams attēlā Nr. 1.1., iepriekšējās izdevumu pārskatīšanas rezultātu ieviešana ir bijusi veiksmīga, jo ieviesta lielākā daļa no konstatētā. 2021. gadā tika pārskatīti un citām prioritātēm novirzīti 46,4 milj. </w:t>
      </w:r>
      <w:r w:rsidRPr="00177F30">
        <w:rPr>
          <w:i/>
          <w:lang w:val="lv-LV"/>
        </w:rPr>
        <w:t>euro</w:t>
      </w:r>
      <w:r w:rsidRPr="00177F30">
        <w:rPr>
          <w:lang w:val="lv-LV"/>
        </w:rPr>
        <w:t xml:space="preserve"> jeb 86,6% no plānotā, savukārt 2022. gadam pārskatīto un citām prioritātēm novirzīto resursu summa sasniedz 36,8 milj. </w:t>
      </w:r>
      <w:r w:rsidRPr="00177F30">
        <w:rPr>
          <w:i/>
          <w:lang w:val="lv-LV"/>
        </w:rPr>
        <w:t>euro</w:t>
      </w:r>
      <w:r w:rsidRPr="00177F30">
        <w:rPr>
          <w:lang w:val="lv-LV"/>
        </w:rPr>
        <w:t xml:space="preserve"> jeb 95,8% no plānotā. </w:t>
      </w:r>
    </w:p>
    <w:p w14:paraId="0C3A3DDD" w14:textId="2133B740" w:rsidR="00177F30" w:rsidRPr="00177F30" w:rsidRDefault="00177F30" w:rsidP="00177F30">
      <w:pPr>
        <w:ind w:firstLine="720"/>
        <w:rPr>
          <w:lang w:val="lv-LV"/>
        </w:rPr>
      </w:pPr>
      <w:r w:rsidRPr="00177F30">
        <w:rPr>
          <w:lang w:val="lv-LV"/>
        </w:rPr>
        <w:t xml:space="preserve">Detalizētāk skatot ieviestos rezultātus, secināms, ka vislielākais finansiālais apjoms, ko novirzīt aktuālāku prioritāšu īstenošanai 2021. gadam, konstatēts, pārskatot iepriekšējo periodu prioritāros un citus pasākumus – 38,9 milj. </w:t>
      </w:r>
      <w:r w:rsidRPr="00177F30">
        <w:rPr>
          <w:i/>
          <w:lang w:val="lv-LV"/>
        </w:rPr>
        <w:t>euro</w:t>
      </w:r>
      <w:r w:rsidRPr="00177F30">
        <w:rPr>
          <w:lang w:val="lv-LV"/>
        </w:rPr>
        <w:t xml:space="preserve">, no kuriem ieviesti 38,9 milj. </w:t>
      </w:r>
      <w:r w:rsidRPr="00177F30">
        <w:rPr>
          <w:i/>
          <w:lang w:val="lv-LV"/>
        </w:rPr>
        <w:t>euro</w:t>
      </w:r>
      <w:r w:rsidRPr="00177F30">
        <w:rPr>
          <w:lang w:val="lv-LV"/>
        </w:rPr>
        <w:t xml:space="preserve"> jeb 99,9%, savukārt 2022. gadam konstatēti 23,7 milj. </w:t>
      </w:r>
      <w:r w:rsidRPr="00177F30">
        <w:rPr>
          <w:i/>
          <w:iCs/>
          <w:lang w:val="lv-LV"/>
        </w:rPr>
        <w:t>euro</w:t>
      </w:r>
      <w:r w:rsidRPr="00177F30">
        <w:rPr>
          <w:lang w:val="lv-LV"/>
        </w:rPr>
        <w:t xml:space="preserve">, kuri ieviesti 100% apmērā. VM, pārskatot izdevumus valsts apmaksātajiem veselības aprūpes pakalpojumiem, spēja novirzīt iekšējiem resursiem 2021. gadam 5,2 milj. </w:t>
      </w:r>
      <w:r w:rsidRPr="00177F30">
        <w:rPr>
          <w:i/>
          <w:iCs/>
          <w:lang w:val="lv-LV"/>
        </w:rPr>
        <w:t>euro</w:t>
      </w:r>
      <w:r w:rsidRPr="00177F30">
        <w:rPr>
          <w:lang w:val="lv-LV"/>
        </w:rPr>
        <w:t xml:space="preserve"> jeb 48,0% no sākotnēji konstatētā un 2022. gadam 10,7 milj.</w:t>
      </w:r>
      <w:r w:rsidRPr="00177F30">
        <w:rPr>
          <w:i/>
          <w:lang w:val="lv-LV"/>
        </w:rPr>
        <w:t xml:space="preserve"> euro</w:t>
      </w:r>
      <w:r w:rsidRPr="00177F30">
        <w:rPr>
          <w:lang w:val="lv-LV"/>
        </w:rPr>
        <w:t xml:space="preserve"> jeb 100% no sākotnēji konstatētā. IZM, izvērtējot izdevumus profesionālajai izglītībai, iekšējiem resursiem novirzīja 2021. un 2022. gadam 1,5 milj. </w:t>
      </w:r>
      <w:r w:rsidRPr="00177F30">
        <w:rPr>
          <w:i/>
          <w:lang w:val="lv-LV"/>
        </w:rPr>
        <w:t>euro</w:t>
      </w:r>
      <w:r w:rsidRPr="00177F30">
        <w:rPr>
          <w:lang w:val="lv-LV"/>
        </w:rPr>
        <w:t xml:space="preserve"> ik gadu jeb 100% no sākotnēji konstatētā. Savukārt IeM, veicot iekšlietu nozares budžeta analīzi, rada iespēju novirzīt ie</w:t>
      </w:r>
      <w:r w:rsidR="00FF342C">
        <w:rPr>
          <w:lang w:val="lv-LV"/>
        </w:rPr>
        <w:t>kšējiem resursiem 2021. un 2022</w:t>
      </w:r>
      <w:r w:rsidRPr="00177F30">
        <w:rPr>
          <w:lang w:val="lv-LV"/>
        </w:rPr>
        <w:t>.</w:t>
      </w:r>
      <w:r w:rsidR="00FF342C">
        <w:rPr>
          <w:lang w:val="lv-LV"/>
        </w:rPr>
        <w:t xml:space="preserve"> </w:t>
      </w:r>
      <w:r w:rsidRPr="00177F30">
        <w:rPr>
          <w:lang w:val="lv-LV"/>
        </w:rPr>
        <w:t xml:space="preserve">gadam 0,8 milj. </w:t>
      </w:r>
      <w:r w:rsidRPr="00177F30">
        <w:rPr>
          <w:i/>
          <w:iCs/>
          <w:lang w:val="lv-LV"/>
        </w:rPr>
        <w:t>euro</w:t>
      </w:r>
      <w:r w:rsidRPr="00177F30">
        <w:rPr>
          <w:lang w:val="lv-LV"/>
        </w:rPr>
        <w:t xml:space="preserve"> ik gadu jeb 34,6% no sākotnēji konstatētā.</w:t>
      </w:r>
    </w:p>
    <w:p w14:paraId="05DD188A" w14:textId="69B15810" w:rsidR="00E04386" w:rsidRDefault="00177F30" w:rsidP="006A642E">
      <w:pPr>
        <w:ind w:firstLine="720"/>
        <w:rPr>
          <w:lang w:val="lv-LV"/>
        </w:rPr>
      </w:pPr>
      <w:r w:rsidRPr="00177F30">
        <w:rPr>
          <w:lang w:val="lv-LV"/>
        </w:rPr>
        <w:t xml:space="preserve">Veicot funkciju un aktivitāšu pārskatīšanu, IZM konstatēja, ka ir iespējams atteikties no datu atjaunošanas platformā “Skolu karte”, novirzot iekšējiem resursiem (dalībai Eiropas skolu tīklā) 2021. un 2022. gadam 0,04 milj. </w:t>
      </w:r>
      <w:r w:rsidRPr="00177F30">
        <w:rPr>
          <w:i/>
          <w:iCs/>
          <w:lang w:val="lv-LV"/>
        </w:rPr>
        <w:t>euro</w:t>
      </w:r>
      <w:r w:rsidRPr="00177F30">
        <w:rPr>
          <w:lang w:val="lv-LV"/>
        </w:rPr>
        <w:t xml:space="preserve"> ik gadu jeb 100% no sākotnēji konstatētā.</w:t>
      </w:r>
    </w:p>
    <w:p w14:paraId="3F8FAC76" w14:textId="77777777" w:rsidR="006A642E" w:rsidRDefault="006A642E" w:rsidP="00177F30">
      <w:pPr>
        <w:jc w:val="center"/>
        <w:rPr>
          <w:rFonts w:cs="Times New Roman"/>
          <w:b/>
          <w:i/>
          <w:sz w:val="22"/>
          <w:lang w:val="lv-LV"/>
        </w:rPr>
      </w:pPr>
    </w:p>
    <w:p w14:paraId="65F94118" w14:textId="52025BFC" w:rsidR="00177F30" w:rsidRPr="00177F30" w:rsidRDefault="00177F30" w:rsidP="00177F30">
      <w:pPr>
        <w:jc w:val="center"/>
        <w:rPr>
          <w:rFonts w:cs="Times New Roman"/>
          <w:b/>
          <w:sz w:val="22"/>
          <w:lang w:val="lv-LV"/>
        </w:rPr>
      </w:pPr>
      <w:r w:rsidRPr="00177F30">
        <w:rPr>
          <w:rFonts w:cs="Times New Roman"/>
          <w:b/>
          <w:i/>
          <w:sz w:val="22"/>
          <w:lang w:val="lv-LV"/>
        </w:rPr>
        <w:lastRenderedPageBreak/>
        <w:t xml:space="preserve">1.1. tabula </w:t>
      </w:r>
      <w:r w:rsidRPr="00177F30">
        <w:rPr>
          <w:rFonts w:cs="Times New Roman"/>
          <w:b/>
          <w:sz w:val="22"/>
          <w:lang w:val="lv-LV"/>
        </w:rPr>
        <w:t xml:space="preserve">Iepriekšējo izdevumu pārskatīšanu rezultātu ietekme uz 2022. gadu, </w:t>
      </w:r>
      <w:r w:rsidRPr="00177F30">
        <w:rPr>
          <w:rFonts w:cs="Times New Roman"/>
          <w:b/>
          <w:i/>
          <w:sz w:val="22"/>
          <w:lang w:val="lv-LV"/>
        </w:rPr>
        <w:t>euro</w:t>
      </w:r>
    </w:p>
    <w:tbl>
      <w:tblPr>
        <w:tblStyle w:val="TableGrid"/>
        <w:tblW w:w="5000" w:type="pct"/>
        <w:tblLook w:val="04A0" w:firstRow="1" w:lastRow="0" w:firstColumn="1" w:lastColumn="0" w:noHBand="0" w:noVBand="1"/>
      </w:tblPr>
      <w:tblGrid>
        <w:gridCol w:w="1820"/>
        <w:gridCol w:w="1810"/>
        <w:gridCol w:w="1811"/>
        <w:gridCol w:w="1810"/>
        <w:gridCol w:w="1810"/>
      </w:tblGrid>
      <w:tr w:rsidR="00177F30" w:rsidRPr="00177F30" w14:paraId="75478A23" w14:textId="77777777" w:rsidTr="00D00D0D">
        <w:trPr>
          <w:trHeight w:val="671"/>
        </w:trPr>
        <w:tc>
          <w:tcPr>
            <w:tcW w:w="1004" w:type="pct"/>
            <w:shd w:val="clear" w:color="auto" w:fill="F2F2F2" w:themeFill="background1" w:themeFillShade="F2"/>
            <w:vAlign w:val="center"/>
          </w:tcPr>
          <w:p w14:paraId="264317CD" w14:textId="77777777" w:rsidR="00177F30" w:rsidRPr="00177F30" w:rsidRDefault="00177F30" w:rsidP="00177F30">
            <w:pPr>
              <w:spacing w:after="0"/>
              <w:jc w:val="center"/>
              <w:rPr>
                <w:b/>
                <w:lang w:val="lv-LV"/>
              </w:rPr>
            </w:pPr>
            <w:r w:rsidRPr="00177F30">
              <w:rPr>
                <w:b/>
                <w:lang w:val="lv-LV"/>
              </w:rPr>
              <w:t>Izdevumu pārskatīšanas gads</w:t>
            </w:r>
          </w:p>
        </w:tc>
        <w:tc>
          <w:tcPr>
            <w:tcW w:w="998" w:type="pct"/>
            <w:shd w:val="clear" w:color="auto" w:fill="F2F2F2" w:themeFill="background1" w:themeFillShade="F2"/>
            <w:vAlign w:val="center"/>
          </w:tcPr>
          <w:p w14:paraId="76F4E464" w14:textId="77777777" w:rsidR="00177F30" w:rsidRPr="00177F30" w:rsidRDefault="00177F30" w:rsidP="00177F30">
            <w:pPr>
              <w:spacing w:after="0"/>
              <w:jc w:val="center"/>
              <w:rPr>
                <w:b/>
                <w:lang w:val="lv-LV"/>
              </w:rPr>
            </w:pPr>
            <w:r w:rsidRPr="00177F30">
              <w:rPr>
                <w:b/>
                <w:lang w:val="lv-LV"/>
              </w:rPr>
              <w:t>2020</w:t>
            </w:r>
          </w:p>
        </w:tc>
        <w:tc>
          <w:tcPr>
            <w:tcW w:w="999" w:type="pct"/>
            <w:shd w:val="clear" w:color="auto" w:fill="F2F2F2" w:themeFill="background1" w:themeFillShade="F2"/>
            <w:vAlign w:val="center"/>
          </w:tcPr>
          <w:p w14:paraId="2BEAD720" w14:textId="77777777" w:rsidR="00177F30" w:rsidRPr="00177F30" w:rsidRDefault="00177F30" w:rsidP="00177F30">
            <w:pPr>
              <w:spacing w:after="0"/>
              <w:jc w:val="center"/>
              <w:rPr>
                <w:b/>
                <w:lang w:val="lv-LV"/>
              </w:rPr>
            </w:pPr>
            <w:r w:rsidRPr="00177F30">
              <w:rPr>
                <w:b/>
                <w:lang w:val="lv-LV"/>
              </w:rPr>
              <w:t>2021</w:t>
            </w:r>
          </w:p>
        </w:tc>
        <w:tc>
          <w:tcPr>
            <w:tcW w:w="999" w:type="pct"/>
            <w:shd w:val="clear" w:color="auto" w:fill="70AD47" w:themeFill="accent6"/>
            <w:vAlign w:val="center"/>
          </w:tcPr>
          <w:p w14:paraId="6B4BB7C5" w14:textId="77777777" w:rsidR="00177F30" w:rsidRPr="00177F30" w:rsidRDefault="00177F30" w:rsidP="00177F30">
            <w:pPr>
              <w:spacing w:after="0"/>
              <w:jc w:val="center"/>
              <w:rPr>
                <w:b/>
                <w:lang w:val="lv-LV"/>
              </w:rPr>
            </w:pPr>
            <w:r w:rsidRPr="00177F30">
              <w:rPr>
                <w:b/>
                <w:lang w:val="lv-LV"/>
              </w:rPr>
              <w:t>2022</w:t>
            </w:r>
          </w:p>
        </w:tc>
        <w:tc>
          <w:tcPr>
            <w:tcW w:w="999" w:type="pct"/>
            <w:shd w:val="clear" w:color="auto" w:fill="F2F2F2" w:themeFill="background1" w:themeFillShade="F2"/>
            <w:vAlign w:val="center"/>
          </w:tcPr>
          <w:p w14:paraId="52D5F5E7" w14:textId="77777777" w:rsidR="00177F30" w:rsidRPr="00177F30" w:rsidRDefault="00177F30" w:rsidP="00177F30">
            <w:pPr>
              <w:spacing w:after="0"/>
              <w:jc w:val="center"/>
              <w:rPr>
                <w:b/>
                <w:lang w:val="lv-LV"/>
              </w:rPr>
            </w:pPr>
            <w:r w:rsidRPr="00177F30">
              <w:rPr>
                <w:b/>
                <w:lang w:val="lv-LV"/>
              </w:rPr>
              <w:t>2023</w:t>
            </w:r>
          </w:p>
        </w:tc>
      </w:tr>
      <w:tr w:rsidR="00177F30" w:rsidRPr="00177F30" w14:paraId="207E81EA" w14:textId="77777777" w:rsidTr="00D00D0D">
        <w:trPr>
          <w:trHeight w:val="177"/>
        </w:trPr>
        <w:tc>
          <w:tcPr>
            <w:tcW w:w="1004" w:type="pct"/>
          </w:tcPr>
          <w:p w14:paraId="548B5E25" w14:textId="77777777" w:rsidR="00177F30" w:rsidRPr="00177F30" w:rsidRDefault="00177F30" w:rsidP="00177F30">
            <w:pPr>
              <w:spacing w:after="0"/>
              <w:jc w:val="center"/>
              <w:rPr>
                <w:lang w:val="lv-LV"/>
              </w:rPr>
            </w:pPr>
            <w:r w:rsidRPr="00177F30">
              <w:rPr>
                <w:lang w:val="lv-LV"/>
              </w:rPr>
              <w:t>2019-2021</w:t>
            </w:r>
          </w:p>
        </w:tc>
        <w:tc>
          <w:tcPr>
            <w:tcW w:w="998" w:type="pct"/>
          </w:tcPr>
          <w:p w14:paraId="01A78DFB" w14:textId="77777777" w:rsidR="00177F30" w:rsidRPr="00177F30" w:rsidRDefault="00177F30" w:rsidP="00177F30">
            <w:pPr>
              <w:spacing w:after="0"/>
              <w:jc w:val="center"/>
              <w:rPr>
                <w:lang w:val="lv-LV"/>
              </w:rPr>
            </w:pPr>
            <w:r w:rsidRPr="00177F30">
              <w:rPr>
                <w:lang w:val="lv-LV"/>
              </w:rPr>
              <w:t>95 463 984</w:t>
            </w:r>
          </w:p>
        </w:tc>
        <w:tc>
          <w:tcPr>
            <w:tcW w:w="999" w:type="pct"/>
          </w:tcPr>
          <w:p w14:paraId="13FE962D" w14:textId="77777777" w:rsidR="00177F30" w:rsidRPr="00177F30" w:rsidRDefault="00177F30" w:rsidP="00177F30">
            <w:pPr>
              <w:spacing w:after="0"/>
              <w:jc w:val="center"/>
              <w:rPr>
                <w:lang w:val="lv-LV"/>
              </w:rPr>
            </w:pPr>
            <w:r w:rsidRPr="00177F30">
              <w:rPr>
                <w:lang w:val="lv-LV"/>
              </w:rPr>
              <w:t>37 609 738</w:t>
            </w:r>
          </w:p>
        </w:tc>
        <w:tc>
          <w:tcPr>
            <w:tcW w:w="999" w:type="pct"/>
            <w:shd w:val="clear" w:color="auto" w:fill="E2EFD9" w:themeFill="accent6" w:themeFillTint="33"/>
          </w:tcPr>
          <w:p w14:paraId="28D3F479" w14:textId="77777777" w:rsidR="00177F30" w:rsidRPr="00177F30" w:rsidRDefault="00177F30" w:rsidP="00177F30">
            <w:pPr>
              <w:spacing w:after="0"/>
              <w:jc w:val="center"/>
              <w:rPr>
                <w:lang w:val="lv-LV"/>
              </w:rPr>
            </w:pPr>
            <w:r w:rsidRPr="00177F30">
              <w:rPr>
                <w:lang w:val="lv-LV"/>
              </w:rPr>
              <w:t>52 330 808</w:t>
            </w:r>
          </w:p>
        </w:tc>
        <w:tc>
          <w:tcPr>
            <w:tcW w:w="999" w:type="pct"/>
          </w:tcPr>
          <w:p w14:paraId="665686CE" w14:textId="77777777" w:rsidR="00177F30" w:rsidRPr="00177F30" w:rsidRDefault="00177F30" w:rsidP="00177F30">
            <w:pPr>
              <w:spacing w:after="0"/>
              <w:jc w:val="center"/>
              <w:rPr>
                <w:lang w:val="lv-LV"/>
              </w:rPr>
            </w:pPr>
            <w:r w:rsidRPr="00177F30">
              <w:rPr>
                <w:lang w:val="lv-LV"/>
              </w:rPr>
              <w:t>-</w:t>
            </w:r>
          </w:p>
        </w:tc>
      </w:tr>
      <w:tr w:rsidR="00177F30" w:rsidRPr="00177F30" w14:paraId="27A298BE" w14:textId="77777777" w:rsidTr="00D00D0D">
        <w:trPr>
          <w:trHeight w:val="177"/>
        </w:trPr>
        <w:tc>
          <w:tcPr>
            <w:tcW w:w="1004" w:type="pct"/>
          </w:tcPr>
          <w:p w14:paraId="304AAD8C" w14:textId="77777777" w:rsidR="00177F30" w:rsidRPr="00177F30" w:rsidRDefault="00177F30" w:rsidP="00177F30">
            <w:pPr>
              <w:spacing w:after="0"/>
              <w:jc w:val="center"/>
              <w:rPr>
                <w:lang w:val="lv-LV"/>
              </w:rPr>
            </w:pPr>
            <w:r w:rsidRPr="00177F30">
              <w:rPr>
                <w:lang w:val="lv-LV"/>
              </w:rPr>
              <w:t>2020-2022</w:t>
            </w:r>
          </w:p>
        </w:tc>
        <w:tc>
          <w:tcPr>
            <w:tcW w:w="998" w:type="pct"/>
          </w:tcPr>
          <w:p w14:paraId="3BF0AEE6" w14:textId="77777777" w:rsidR="00177F30" w:rsidRPr="00177F30" w:rsidRDefault="00177F30" w:rsidP="00177F30">
            <w:pPr>
              <w:spacing w:after="0"/>
              <w:jc w:val="center"/>
              <w:rPr>
                <w:lang w:val="lv-LV"/>
              </w:rPr>
            </w:pPr>
            <w:r w:rsidRPr="00177F30">
              <w:rPr>
                <w:lang w:val="lv-LV"/>
              </w:rPr>
              <w:t>-</w:t>
            </w:r>
          </w:p>
        </w:tc>
        <w:tc>
          <w:tcPr>
            <w:tcW w:w="999" w:type="pct"/>
          </w:tcPr>
          <w:p w14:paraId="1B727BA2" w14:textId="77777777" w:rsidR="00177F30" w:rsidRPr="00177F30" w:rsidRDefault="00177F30" w:rsidP="00177F30">
            <w:pPr>
              <w:spacing w:after="0"/>
              <w:jc w:val="center"/>
              <w:rPr>
                <w:lang w:val="lv-LV"/>
              </w:rPr>
            </w:pPr>
            <w:r w:rsidRPr="00177F30">
              <w:rPr>
                <w:lang w:val="lv-LV"/>
              </w:rPr>
              <w:t>46 449 995</w:t>
            </w:r>
          </w:p>
        </w:tc>
        <w:tc>
          <w:tcPr>
            <w:tcW w:w="999" w:type="pct"/>
            <w:shd w:val="clear" w:color="auto" w:fill="E2EFD9" w:themeFill="accent6" w:themeFillTint="33"/>
          </w:tcPr>
          <w:p w14:paraId="11FDB3AC" w14:textId="77777777" w:rsidR="00177F30" w:rsidRPr="00177F30" w:rsidRDefault="00177F30" w:rsidP="00177F30">
            <w:pPr>
              <w:spacing w:after="0"/>
              <w:jc w:val="center"/>
              <w:rPr>
                <w:lang w:val="lv-LV"/>
              </w:rPr>
            </w:pPr>
            <w:r w:rsidRPr="00177F30">
              <w:rPr>
                <w:lang w:val="lv-LV"/>
              </w:rPr>
              <w:t>36 841 858</w:t>
            </w:r>
          </w:p>
        </w:tc>
        <w:tc>
          <w:tcPr>
            <w:tcW w:w="999" w:type="pct"/>
          </w:tcPr>
          <w:p w14:paraId="4CE27B57" w14:textId="77777777" w:rsidR="00177F30" w:rsidRPr="00177F30" w:rsidRDefault="00177F30" w:rsidP="00177F30">
            <w:pPr>
              <w:spacing w:after="0"/>
              <w:jc w:val="center"/>
              <w:rPr>
                <w:lang w:val="lv-LV"/>
              </w:rPr>
            </w:pPr>
            <w:r w:rsidRPr="00177F30">
              <w:rPr>
                <w:lang w:val="lv-LV"/>
              </w:rPr>
              <w:t>36 804 892</w:t>
            </w:r>
          </w:p>
        </w:tc>
      </w:tr>
      <w:tr w:rsidR="00177F30" w:rsidRPr="00177F30" w14:paraId="71B9025A" w14:textId="77777777" w:rsidTr="00D00D0D">
        <w:trPr>
          <w:trHeight w:val="177"/>
        </w:trPr>
        <w:tc>
          <w:tcPr>
            <w:tcW w:w="1004" w:type="pct"/>
          </w:tcPr>
          <w:p w14:paraId="23CA6639" w14:textId="77777777" w:rsidR="00177F30" w:rsidRPr="00177F30" w:rsidRDefault="00177F30" w:rsidP="00177F30">
            <w:pPr>
              <w:spacing w:after="0"/>
              <w:jc w:val="right"/>
              <w:rPr>
                <w:b/>
                <w:lang w:val="lv-LV"/>
              </w:rPr>
            </w:pPr>
            <w:r w:rsidRPr="00177F30">
              <w:rPr>
                <w:b/>
                <w:lang w:val="lv-LV"/>
              </w:rPr>
              <w:t>KOPĀ:</w:t>
            </w:r>
          </w:p>
        </w:tc>
        <w:tc>
          <w:tcPr>
            <w:tcW w:w="998" w:type="pct"/>
          </w:tcPr>
          <w:p w14:paraId="26C07133" w14:textId="77777777" w:rsidR="00177F30" w:rsidRPr="00177F30" w:rsidRDefault="00177F30" w:rsidP="00177F30">
            <w:pPr>
              <w:spacing w:after="0"/>
              <w:jc w:val="center"/>
              <w:rPr>
                <w:b/>
                <w:lang w:val="lv-LV"/>
              </w:rPr>
            </w:pPr>
            <w:r w:rsidRPr="00177F30">
              <w:rPr>
                <w:b/>
                <w:lang w:val="lv-LV"/>
              </w:rPr>
              <w:t>95 463 984</w:t>
            </w:r>
          </w:p>
        </w:tc>
        <w:tc>
          <w:tcPr>
            <w:tcW w:w="999" w:type="pct"/>
          </w:tcPr>
          <w:p w14:paraId="3FC378DC" w14:textId="77777777" w:rsidR="00177F30" w:rsidRPr="00177F30" w:rsidRDefault="00177F30" w:rsidP="00177F30">
            <w:pPr>
              <w:spacing w:after="0"/>
              <w:jc w:val="center"/>
              <w:rPr>
                <w:b/>
                <w:lang w:val="lv-LV"/>
              </w:rPr>
            </w:pPr>
            <w:r w:rsidRPr="00177F30">
              <w:rPr>
                <w:b/>
                <w:lang w:val="lv-LV"/>
              </w:rPr>
              <w:t>84 059 733</w:t>
            </w:r>
          </w:p>
        </w:tc>
        <w:tc>
          <w:tcPr>
            <w:tcW w:w="999" w:type="pct"/>
            <w:shd w:val="clear" w:color="auto" w:fill="E2EFD9" w:themeFill="accent6" w:themeFillTint="33"/>
          </w:tcPr>
          <w:p w14:paraId="490066C3" w14:textId="77777777" w:rsidR="00177F30" w:rsidRPr="00177F30" w:rsidRDefault="00177F30" w:rsidP="00177F30">
            <w:pPr>
              <w:spacing w:after="0"/>
              <w:jc w:val="center"/>
              <w:rPr>
                <w:b/>
                <w:lang w:val="lv-LV"/>
              </w:rPr>
            </w:pPr>
            <w:r w:rsidRPr="00177F30">
              <w:rPr>
                <w:b/>
                <w:lang w:val="lv-LV"/>
              </w:rPr>
              <w:t>89 172 666</w:t>
            </w:r>
          </w:p>
        </w:tc>
        <w:tc>
          <w:tcPr>
            <w:tcW w:w="999" w:type="pct"/>
          </w:tcPr>
          <w:p w14:paraId="2F7334B0" w14:textId="77777777" w:rsidR="00177F30" w:rsidRPr="00177F30" w:rsidRDefault="00177F30" w:rsidP="00177F30">
            <w:pPr>
              <w:spacing w:after="0"/>
              <w:jc w:val="center"/>
              <w:rPr>
                <w:b/>
                <w:lang w:val="lv-LV"/>
              </w:rPr>
            </w:pPr>
            <w:r w:rsidRPr="00177F30">
              <w:rPr>
                <w:b/>
                <w:lang w:val="lv-LV"/>
              </w:rPr>
              <w:t>36 804 892</w:t>
            </w:r>
          </w:p>
        </w:tc>
      </w:tr>
    </w:tbl>
    <w:p w14:paraId="619C1C4C" w14:textId="44F62218" w:rsidR="00177F30" w:rsidRPr="00177F30" w:rsidRDefault="00177F30" w:rsidP="00177F30">
      <w:pPr>
        <w:spacing w:before="240"/>
        <w:ind w:right="-1" w:firstLine="720"/>
        <w:rPr>
          <w:rFonts w:cs="Times New Roman"/>
          <w:lang w:val="lv-LV"/>
        </w:rPr>
      </w:pPr>
      <w:r w:rsidRPr="00177F30">
        <w:rPr>
          <w:rFonts w:cs="Times New Roman"/>
          <w:lang w:val="lv-LV"/>
        </w:rPr>
        <w:t>Vienlaikus jāņem vērā, ka ne tikai kārtējā gadā veiktā izdevumu pārskatīšana sniedz rezultātu uz nākamo gadu, bet arī iepriekš veiktās izdevumu pārskatīšanas atstāj ietekmi uz vidēju termiņa budžetu. Tā, piemēram, 2022. gadam potenciālais resurss iekšējām prioritātēm ir konstatēts gan, veicot 2019.</w:t>
      </w:r>
      <w:r w:rsidRPr="00177F30">
        <w:rPr>
          <w:lang w:val="lv-LV"/>
        </w:rPr>
        <w:t xml:space="preserve"> – </w:t>
      </w:r>
      <w:r w:rsidRPr="00177F30">
        <w:rPr>
          <w:rFonts w:cs="Times New Roman"/>
          <w:lang w:val="lv-LV"/>
        </w:rPr>
        <w:t xml:space="preserve">2021. gada izdevumu pārskatīšanu (52,3 milj. </w:t>
      </w:r>
      <w:r w:rsidRPr="00177F30">
        <w:rPr>
          <w:rFonts w:cs="Times New Roman"/>
          <w:i/>
          <w:lang w:val="lv-LV"/>
        </w:rPr>
        <w:t>euro</w:t>
      </w:r>
      <w:r w:rsidRPr="00177F30">
        <w:rPr>
          <w:rFonts w:cs="Times New Roman"/>
          <w:lang w:val="lv-LV"/>
        </w:rPr>
        <w:t>), gan veicot 2020.</w:t>
      </w:r>
      <w:r w:rsidRPr="00177F30">
        <w:rPr>
          <w:lang w:val="lv-LV"/>
        </w:rPr>
        <w:t xml:space="preserve"> – </w:t>
      </w:r>
      <w:r w:rsidRPr="00177F30">
        <w:rPr>
          <w:rFonts w:cs="Times New Roman"/>
          <w:lang w:val="lv-LV"/>
        </w:rPr>
        <w:t xml:space="preserve">2022. gada izdevumu pārskatīšanu (36,8 milj. </w:t>
      </w:r>
      <w:r w:rsidRPr="00177F30">
        <w:rPr>
          <w:rFonts w:cs="Times New Roman"/>
          <w:i/>
          <w:lang w:val="lv-LV"/>
        </w:rPr>
        <w:t>euro</w:t>
      </w:r>
      <w:r w:rsidRPr="00177F30">
        <w:rPr>
          <w:rFonts w:cs="Times New Roman"/>
          <w:lang w:val="lv-LV"/>
        </w:rPr>
        <w:t xml:space="preserve">). Līdz ar to ministrijām jau šobrīd iekšējo prioritāšu īstenošanai 2022. gadā ir pieejami kopumā </w:t>
      </w:r>
      <w:r w:rsidRPr="00177F30">
        <w:rPr>
          <w:rFonts w:cs="Times New Roman"/>
          <w:b/>
          <w:lang w:val="lv-LV"/>
        </w:rPr>
        <w:t xml:space="preserve">89,2 milj. </w:t>
      </w:r>
      <w:r w:rsidRPr="00177F30">
        <w:rPr>
          <w:rFonts w:cs="Times New Roman"/>
          <w:b/>
          <w:i/>
          <w:lang w:val="lv-LV"/>
        </w:rPr>
        <w:t>euro</w:t>
      </w:r>
      <w:r w:rsidRPr="00177F30">
        <w:rPr>
          <w:rFonts w:cs="Times New Roman"/>
          <w:lang w:val="lv-LV"/>
        </w:rPr>
        <w:t xml:space="preserve">. </w:t>
      </w:r>
    </w:p>
    <w:p w14:paraId="55F89E46" w14:textId="3ED62095" w:rsidR="00177F30" w:rsidRPr="00177F30" w:rsidRDefault="00177F30" w:rsidP="00177F30">
      <w:pPr>
        <w:pStyle w:val="Caption"/>
        <w:ind w:firstLine="720"/>
        <w:jc w:val="both"/>
        <w:rPr>
          <w:i w:val="0"/>
          <w:color w:val="auto"/>
          <w:sz w:val="24"/>
          <w:szCs w:val="24"/>
        </w:rPr>
      </w:pPr>
      <w:r w:rsidRPr="00177F30">
        <w:rPr>
          <w:i w:val="0"/>
          <w:color w:val="auto"/>
          <w:sz w:val="24"/>
          <w:szCs w:val="24"/>
        </w:rPr>
        <w:t xml:space="preserve">Ar MK 2020. gada 18. augusta sēdes protokolu Nr. 49 46. § ministrijām tika uzdoti 36 uzdevumi. Lielākoties uzdevumu izpildes statuss ir izpildīts – 67%, savukārt </w:t>
      </w:r>
      <w:r w:rsidR="006746B5">
        <w:rPr>
          <w:i w:val="0"/>
          <w:color w:val="auto"/>
          <w:sz w:val="24"/>
          <w:szCs w:val="24"/>
        </w:rPr>
        <w:t>uzsākti ir 33% uzdevumu (Attēls</w:t>
      </w:r>
      <w:r w:rsidRPr="00177F30">
        <w:rPr>
          <w:i w:val="0"/>
          <w:color w:val="auto"/>
          <w:sz w:val="24"/>
          <w:szCs w:val="24"/>
        </w:rPr>
        <w:t xml:space="preserve"> Nr. 1.2.). Tālāk tekstā detalizēta sniegta informācija uzdevumu izpildes progresu.</w:t>
      </w:r>
      <w:bookmarkStart w:id="5" w:name="_Ref46844618"/>
    </w:p>
    <w:bookmarkEnd w:id="5"/>
    <w:p w14:paraId="3DDCC61C" w14:textId="77777777" w:rsidR="00177F30" w:rsidRPr="00177F30" w:rsidRDefault="00177F30" w:rsidP="00177F30">
      <w:pPr>
        <w:spacing w:line="240" w:lineRule="auto"/>
        <w:jc w:val="center"/>
        <w:rPr>
          <w:b/>
          <w:sz w:val="22"/>
          <w:lang w:val="lv-LV"/>
        </w:rPr>
      </w:pPr>
      <w:r w:rsidRPr="00177F30">
        <w:rPr>
          <w:b/>
          <w:i/>
          <w:iCs/>
          <w:sz w:val="22"/>
          <w:lang w:val="lv-LV"/>
        </w:rPr>
        <w:t>1.2. attēls</w:t>
      </w:r>
      <w:r w:rsidRPr="00177F30">
        <w:rPr>
          <w:b/>
          <w:sz w:val="22"/>
          <w:lang w:val="lv-LV"/>
        </w:rPr>
        <w:t xml:space="preserve"> Uzdoto uzdevumu izpildes statuss par MK 2020. gada 18. augusta sēdes protokolu</w:t>
      </w:r>
    </w:p>
    <w:p w14:paraId="59A9027A" w14:textId="77777777" w:rsidR="00177F30" w:rsidRPr="00177F30" w:rsidRDefault="00177F30" w:rsidP="00177F30">
      <w:pPr>
        <w:spacing w:line="240" w:lineRule="auto"/>
        <w:jc w:val="center"/>
        <w:rPr>
          <w:lang w:val="lv-LV"/>
        </w:rPr>
      </w:pPr>
      <w:r w:rsidRPr="00177F30">
        <w:rPr>
          <w:noProof/>
          <w:lang w:val="lv-LV" w:eastAsia="lv-LV"/>
        </w:rPr>
        <w:drawing>
          <wp:inline distT="0" distB="0" distL="0" distR="0" wp14:anchorId="00D1143A" wp14:editId="7D824508">
            <wp:extent cx="4942936" cy="2234242"/>
            <wp:effectExtent l="0" t="0" r="10160" b="1397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D0E826" w14:textId="77777777" w:rsidR="00177F30" w:rsidRPr="00177F30" w:rsidRDefault="00177F30" w:rsidP="00D00D0D">
      <w:pPr>
        <w:spacing w:before="240"/>
        <w:rPr>
          <w:rFonts w:cs="Times New Roman"/>
          <w:b/>
          <w:u w:val="single"/>
          <w:lang w:val="lv-LV"/>
        </w:rPr>
      </w:pPr>
      <w:r w:rsidRPr="00177F30">
        <w:rPr>
          <w:rFonts w:cs="Times New Roman"/>
          <w:b/>
          <w:u w:val="single"/>
          <w:lang w:val="lv-LV"/>
        </w:rPr>
        <w:t>Izpildītie uzdevumi:</w:t>
      </w:r>
    </w:p>
    <w:p w14:paraId="4066CDE0" w14:textId="77777777" w:rsidR="00177F30" w:rsidRPr="00177F30" w:rsidRDefault="00177F30" w:rsidP="00D00D0D">
      <w:pPr>
        <w:ind w:firstLine="720"/>
        <w:rPr>
          <w:rFonts w:cs="Times New Roman"/>
          <w:lang w:val="lv-LV"/>
        </w:rPr>
      </w:pPr>
      <w:r w:rsidRPr="00177F30">
        <w:rPr>
          <w:rFonts w:cs="Times New Roman"/>
          <w:lang w:val="lv-LV"/>
        </w:rPr>
        <w:t>“</w:t>
      </w:r>
      <w:r w:rsidRPr="00177F30">
        <w:rPr>
          <w:rFonts w:cs="Times New Roman"/>
          <w:b/>
          <w:lang w:val="lv-LV"/>
        </w:rPr>
        <w:t xml:space="preserve">8.7., 9., 10., 11., 12., 13., 23., 24., 25., 26., 27., 30.. 31., 33. un 34. punktā </w:t>
      </w:r>
      <w:r w:rsidRPr="00177F30">
        <w:rPr>
          <w:rFonts w:cs="Times New Roman"/>
          <w:i/>
          <w:lang w:val="lv-LV"/>
        </w:rPr>
        <w:t>noteikts atbalstīt finansējuma pārdales</w:t>
      </w:r>
      <w:r w:rsidRPr="00177F30">
        <w:rPr>
          <w:rFonts w:cs="Times New Roman"/>
          <w:lang w:val="lv-LV"/>
        </w:rPr>
        <w:t>”</w:t>
      </w:r>
    </w:p>
    <w:p w14:paraId="42F4DC92" w14:textId="77777777" w:rsidR="00177F30" w:rsidRPr="00177F30" w:rsidRDefault="00177F30" w:rsidP="00D00D0D">
      <w:pPr>
        <w:ind w:firstLine="720"/>
        <w:rPr>
          <w:rFonts w:cs="Times New Roman"/>
          <w:lang w:val="lv-LV"/>
        </w:rPr>
      </w:pPr>
      <w:r w:rsidRPr="00177F30">
        <w:rPr>
          <w:rFonts w:cs="Times New Roman"/>
          <w:lang w:val="lv-LV"/>
        </w:rPr>
        <w:t>Veiktas finansējuma pārdales atbilstoši protokollēmumā noteiktajam.</w:t>
      </w:r>
    </w:p>
    <w:p w14:paraId="46BEB0D8" w14:textId="77777777" w:rsidR="00177F30" w:rsidRPr="00177F30" w:rsidRDefault="00177F30" w:rsidP="00D00D0D">
      <w:pPr>
        <w:spacing w:before="120"/>
        <w:rPr>
          <w:rFonts w:cs="Times New Roman"/>
          <w:lang w:val="lv-LV"/>
        </w:rPr>
      </w:pPr>
      <w:r w:rsidRPr="00177F30">
        <w:rPr>
          <w:rFonts w:cs="Times New Roman"/>
          <w:lang w:val="lv-LV"/>
        </w:rPr>
        <w:t>“</w:t>
      </w:r>
      <w:r w:rsidRPr="00177F30">
        <w:rPr>
          <w:rFonts w:cs="Times New Roman"/>
          <w:b/>
          <w:lang w:val="lv-LV"/>
        </w:rPr>
        <w:t xml:space="preserve">8.1. punkts </w:t>
      </w:r>
      <w:r w:rsidRPr="00177F30">
        <w:rPr>
          <w:b/>
          <w:iCs/>
          <w:lang w:val="lv-LV"/>
        </w:rPr>
        <w:t>Ā</w:t>
      </w:r>
      <w:r w:rsidRPr="00177F30">
        <w:rPr>
          <w:b/>
          <w:lang w:val="lv-LV"/>
        </w:rPr>
        <w:t>rlietu ministrijai sadarbībā ar Ekonomikas ministriju</w:t>
      </w:r>
      <w:r w:rsidRPr="00177F30">
        <w:rPr>
          <w:lang w:val="lv-LV"/>
        </w:rPr>
        <w:t xml:space="preserve"> </w:t>
      </w:r>
      <w:r w:rsidRPr="00177F30">
        <w:rPr>
          <w:i/>
          <w:iCs/>
          <w:lang w:val="lv-LV"/>
        </w:rPr>
        <w:t>izvērtēt Latvijas Institūta reorganizācijas iespējas un līdz 2021. gada 1. jūnijam iesniegt informāciju izskatīšanai Ministru kabinetā</w:t>
      </w:r>
      <w:r w:rsidRPr="00177F30">
        <w:rPr>
          <w:rFonts w:cs="Times New Roman"/>
          <w:lang w:val="lv-LV"/>
        </w:rPr>
        <w:t>”</w:t>
      </w:r>
    </w:p>
    <w:p w14:paraId="1C932636" w14:textId="77777777" w:rsidR="00177F30" w:rsidRPr="00177F30" w:rsidRDefault="00177F30" w:rsidP="00D00D0D">
      <w:pPr>
        <w:spacing w:before="120"/>
        <w:ind w:firstLine="720"/>
        <w:rPr>
          <w:rFonts w:cs="Times New Roman"/>
          <w:lang w:val="lv-LV"/>
        </w:rPr>
      </w:pPr>
      <w:r w:rsidRPr="00177F30">
        <w:rPr>
          <w:rFonts w:cs="Times New Roman"/>
          <w:lang w:val="lv-LV"/>
        </w:rPr>
        <w:t xml:space="preserve">Pieņemts MK 2021. gada 21. janvāra rīkojums Nr. 39 “Par Latvijas institūta pievienošanu Latvijas Investīciju un attīstības aģentūrai”, kas paredz saskaņā ar Valsts pārvaldes iekārtas likuma 15. panta ceturtās daļas 1. punktu ar 2021. gada 1. jūniju likvidēt ārlietu ministra pārraudzībā esošo tiešās pārvaldes iestādi Latvijas institūtu, pievienojot to ekonomikas ministra pakļautībā esošajai tiešās pārvaldes iestādei Latvijas Investīciju un </w:t>
      </w:r>
      <w:r w:rsidRPr="00177F30">
        <w:rPr>
          <w:rFonts w:cs="Times New Roman"/>
          <w:lang w:val="lv-LV"/>
        </w:rPr>
        <w:lastRenderedPageBreak/>
        <w:t xml:space="preserve">attīstības aģentūrai, lai stiprinātu Latvijas ārējo tēlu. Rezultātā 2021. gadā no ĀM uz EM tika pārdalīti 120,8 tūkst. </w:t>
      </w:r>
      <w:r w:rsidRPr="00177F30">
        <w:rPr>
          <w:rFonts w:cs="Times New Roman"/>
          <w:i/>
          <w:iCs/>
          <w:lang w:val="lv-LV"/>
        </w:rPr>
        <w:t>euro</w:t>
      </w:r>
      <w:r w:rsidRPr="00177F30">
        <w:rPr>
          <w:rFonts w:cs="Times New Roman"/>
          <w:lang w:val="lv-LV"/>
        </w:rPr>
        <w:t xml:space="preserve">, bet 2022. gadā un turpmāk ik gadu tiks pārdalīti 162,2 tūkst. </w:t>
      </w:r>
      <w:r w:rsidRPr="00177F30">
        <w:rPr>
          <w:rFonts w:cs="Times New Roman"/>
          <w:i/>
          <w:iCs/>
          <w:lang w:val="lv-LV"/>
        </w:rPr>
        <w:t>euro</w:t>
      </w:r>
      <w:r w:rsidRPr="00177F30">
        <w:rPr>
          <w:rFonts w:cs="Times New Roman"/>
          <w:lang w:val="lv-LV"/>
        </w:rPr>
        <w:t>.</w:t>
      </w:r>
    </w:p>
    <w:p w14:paraId="542DB3FE"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8.2. punkts </w:t>
      </w:r>
      <w:r w:rsidRPr="00177F30">
        <w:rPr>
          <w:b/>
          <w:iCs/>
          <w:lang w:val="lv-LV"/>
        </w:rPr>
        <w:t>Kultūras ministrijai sadarbībā ar Izglītības un zinātnes ministriju</w:t>
      </w:r>
      <w:r w:rsidRPr="00177F30">
        <w:rPr>
          <w:bCs/>
          <w:iCs/>
          <w:lang w:val="lv-LV"/>
        </w:rPr>
        <w:t xml:space="preserve"> </w:t>
      </w:r>
      <w:r w:rsidRPr="00177F30">
        <w:rPr>
          <w:bCs/>
          <w:i/>
          <w:iCs/>
          <w:lang w:val="lv-LV"/>
        </w:rPr>
        <w:t>izvērtēt Izglītības un zinātnes ministrijas valsts budžeta apakšprogrammas 05.04.00 “Krišjāņa Barona Dainu skapis” funkcijas nodošanas iespējas Kultūras ministrijai, veicinot vienotas valsts politikas īstenošanu kultūras un nacionālā mantojuma saglabāšanas jomā.</w:t>
      </w:r>
      <w:r w:rsidRPr="00177F30">
        <w:rPr>
          <w:rFonts w:cs="Times New Roman"/>
          <w:lang w:val="lv-LV"/>
        </w:rPr>
        <w:t>”</w:t>
      </w:r>
    </w:p>
    <w:p w14:paraId="785EF0F6" w14:textId="4BD8F072" w:rsidR="00177F30" w:rsidRPr="00177F30" w:rsidRDefault="00177F30" w:rsidP="00D00D0D">
      <w:pPr>
        <w:ind w:firstLine="709"/>
        <w:rPr>
          <w:rFonts w:cs="Times New Roman"/>
          <w:lang w:val="lv-LV"/>
        </w:rPr>
      </w:pPr>
      <w:r w:rsidRPr="00177F30">
        <w:rPr>
          <w:rFonts w:cs="Times New Roman"/>
          <w:lang w:val="lv-LV"/>
        </w:rPr>
        <w:t>K</w:t>
      </w:r>
      <w:r w:rsidR="00F979B5">
        <w:rPr>
          <w:rFonts w:cs="Times New Roman"/>
          <w:lang w:val="lv-LV"/>
        </w:rPr>
        <w:t>M budžeta programmas 21.00.00 “</w:t>
      </w:r>
      <w:r w:rsidRPr="00177F30">
        <w:rPr>
          <w:rFonts w:cs="Times New Roman"/>
          <w:lang w:val="lv-LV"/>
        </w:rPr>
        <w:t>Kultūras mantojums” mērķis ir nodrošināt kultūras mantojuma saglabāšanu, aizsardzību, izpēti, popularizēšanu un pieejamību sabiedrībai, kā arī nemateriālā kultūras mantojuma, t.sk. Dziesmu un deju svētku tradīcijas, saglabāšanu un attīstību. Programmas īstenošanas ietvaros nemateriālā kultūras mantojuma jomā galvenās aktivitātes ir Latvijas Nemateriālā kultūras mantojuma saraksta uzturēšana un papildināšana un konsultatīva un metodiska atbalsta sniegšana nemateriālā kultūras mantojuma saglabāšanā. Latvijas folkloras krātuves (LFK) krājuma institucionālo piederību Latvijas Universitātes Literatūras, folkloras un mākslas institūta (LU LFMI), kā arī tā atrašanos Latvijas Nacionālās bibliotēkas ēkā nosaka Nemateriālā kultūras mantojuma likums. Savukārt IZM budžeta apakšprogrammas 05.04.00 “Krišjāņa Barona Dainu skapis” mērķis ir uzturēt LU LFMI LFK krājumu (kurā ietilpst K. Barona Dainu skapis), nodrošinot tā izpēti, saglabāšanu, digitalizāciju un publisku pieejamību. Apakšprogrammas ietvaros tiek veikta LFK digitālā un fiziskā arhīva uzturēšana un attīstīšana, kā arī folkloras pētniecība. Apakšprogramma pēc būtības nodrošina viena LU LFMI darbības virziena īstenošanu, papildus LFK krājuma kā Latvijas Nemateriālā kultūras mantojuma saraksta vērtības saglabāšanai īstenot institūta zinātnisko darbību, kas neatbilst budžeta programmas 21.00.00 “Kultūras mantojums” mērķiem, līdz ar to budžeta apakšprogrammas 05.04.00 “Krišjāņa Barona Dainu skapis” funkcijas nodošana KM nav uzskatāma par lietderīgu.</w:t>
      </w:r>
    </w:p>
    <w:p w14:paraId="6D4EF777"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15. punkts </w:t>
      </w:r>
      <w:r w:rsidRPr="00177F30">
        <w:rPr>
          <w:b/>
          <w:bCs/>
          <w:lang w:val="lv-LV"/>
        </w:rPr>
        <w:t>Finanšu ministrijai</w:t>
      </w:r>
      <w:r w:rsidRPr="00177F30">
        <w:rPr>
          <w:i/>
          <w:iCs/>
          <w:lang w:val="lv-LV"/>
        </w:rPr>
        <w:t>, ņemot vērā informatīvajā ziņojumā minēto, izvērtēt valsts budžeta izpildes analīzes pilnveidošanas iespējas un līdz 2021. gada 1. jūnijam sagatavot atbilstošus priekšlikumus grozījumiem 2018. gada 10. aprīļa Ministru kabineta instrukcijā Nr. 2 “Instrukcija par valsts budžeta izpildes analīzi”.</w:t>
      </w:r>
      <w:r w:rsidRPr="00177F30">
        <w:rPr>
          <w:rFonts w:cs="Times New Roman"/>
          <w:lang w:val="lv-LV"/>
        </w:rPr>
        <w:t>”</w:t>
      </w:r>
    </w:p>
    <w:p w14:paraId="097871DE" w14:textId="77777777" w:rsidR="00177F30" w:rsidRPr="00177F30" w:rsidRDefault="00177F30" w:rsidP="00D00D0D">
      <w:pPr>
        <w:ind w:firstLine="709"/>
        <w:rPr>
          <w:rFonts w:cs="Times New Roman"/>
          <w:lang w:val="lv-LV"/>
        </w:rPr>
      </w:pPr>
      <w:r w:rsidRPr="00177F30">
        <w:rPr>
          <w:rFonts w:cs="Times New Roman"/>
          <w:lang w:val="lv-LV"/>
        </w:rPr>
        <w:t xml:space="preserve">Izanalizēti priekšlikumi un veikti grozījumi MK 2018. gada 10. aprīļa instrukcijā Nr. 2 “Instrukcija par valsts budžeta izpildes analīzi”, kas apstiprināti MK 2021. gada 22. jūnijā. </w:t>
      </w:r>
    </w:p>
    <w:p w14:paraId="6CB4F8D5"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16. punkts </w:t>
      </w:r>
      <w:r w:rsidRPr="00177F30">
        <w:rPr>
          <w:b/>
          <w:bCs/>
          <w:lang w:val="lv-LV"/>
        </w:rPr>
        <w:t>Iekšlietu ministrijai</w:t>
      </w:r>
      <w:r w:rsidRPr="00177F30">
        <w:rPr>
          <w:lang w:val="lv-LV"/>
        </w:rPr>
        <w:t xml:space="preserve"> </w:t>
      </w:r>
      <w:r w:rsidRPr="00177F30">
        <w:rPr>
          <w:i/>
          <w:iCs/>
          <w:lang w:val="lv-LV"/>
        </w:rPr>
        <w:t xml:space="preserve">izvērtēt </w:t>
      </w:r>
      <w:r w:rsidRPr="00177F30">
        <w:rPr>
          <w:rFonts w:eastAsiaTheme="majorEastAsia" w:cstheme="majorBidi"/>
          <w:i/>
          <w:iCs/>
          <w:lang w:val="lv-LV"/>
        </w:rPr>
        <w:t xml:space="preserve">VSIA “Iekšlietu ministrijas poliklīnikas” </w:t>
      </w:r>
      <w:r w:rsidRPr="00177F30">
        <w:rPr>
          <w:i/>
          <w:iCs/>
          <w:lang w:val="lv-LV"/>
        </w:rPr>
        <w:t>un tās “Centrālas medicīniskās ekspertīzes komisijas” darbību atbilstoši informatīvajā ziņojumā minētajam un iesniegt attiecīgu informāciju 2021. gada izdevumu pārskatīšanas ietvaros.</w:t>
      </w:r>
      <w:r w:rsidRPr="00177F30">
        <w:rPr>
          <w:rFonts w:cs="Times New Roman"/>
          <w:lang w:val="lv-LV"/>
        </w:rPr>
        <w:t>”</w:t>
      </w:r>
    </w:p>
    <w:p w14:paraId="75BB0381" w14:textId="7C1319F4" w:rsidR="00177F30" w:rsidRPr="00177F30" w:rsidRDefault="00177F30" w:rsidP="00D00D0D">
      <w:pPr>
        <w:ind w:firstLine="709"/>
        <w:rPr>
          <w:rFonts w:cs="Times New Roman"/>
          <w:lang w:val="lv-LV"/>
        </w:rPr>
      </w:pPr>
      <w:r w:rsidRPr="00177F30">
        <w:rPr>
          <w:rFonts w:cs="Times New Roman"/>
          <w:lang w:val="lv-LV"/>
        </w:rPr>
        <w:t xml:space="preserve">IeM ir sagatavojusi un MK 2021. gada 8. jūnijā </w:t>
      </w:r>
      <w:r w:rsidR="00D57D2C">
        <w:rPr>
          <w:rFonts w:cs="Times New Roman"/>
          <w:lang w:val="lv-LV"/>
        </w:rPr>
        <w:t>(prot. Nr.46 41.§)</w:t>
      </w:r>
      <w:r w:rsidR="00D57D2C" w:rsidRPr="00177F30">
        <w:rPr>
          <w:rFonts w:cs="Times New Roman"/>
          <w:lang w:val="lv-LV"/>
        </w:rPr>
        <w:t xml:space="preserve"> </w:t>
      </w:r>
      <w:r w:rsidRPr="00177F30">
        <w:rPr>
          <w:rFonts w:cs="Times New Roman"/>
          <w:lang w:val="lv-LV"/>
        </w:rPr>
        <w:t xml:space="preserve">izskatījis informatīvo ziņojumu “Par valsts līdzdalības pārvērtēšanu valsts sabiedrībā ar ierobežotu atbildību “Iekšlietu ministrijas poliklīnika””, kurš paredz, ka valsts līdzdalība ir saglabājama, jo VSIA “Iekšlietu ministrijas poliklīnika” sniegtie pakalpojumi ir stratēģiski svarīgi valsts drošībai, jo kapitālsabiedrība piedalās dienesta pienākumu izpildei atbilstoša personāla nodrošināšanā IeM sistēmas iestādēs un </w:t>
      </w:r>
      <w:r w:rsidR="00CE0303">
        <w:rPr>
          <w:rFonts w:cs="Times New Roman"/>
          <w:lang w:val="lv-LV"/>
        </w:rPr>
        <w:t>IeVP</w:t>
      </w:r>
      <w:r w:rsidRPr="00177F30">
        <w:rPr>
          <w:rFonts w:cs="Times New Roman"/>
          <w:lang w:val="lv-LV"/>
        </w:rPr>
        <w:t>, veicot amatpersonu ar speciālajām dienesta pakāpēm, tai skaitā tādu, kuru amata pienākumi un dienests ir valsts noslēpuma objekts, veselības stāvokļa kontroli, amatpersonas pieņemot dienestā, dienesta gaitā, kā arī atvaļinot no dienesta. Vienlaikus kapitālsabiedrība sniedz sabiedrībai nozīmīgus pakalpojumus – kvalitatīvus ambulatorās veselības aprūpes pakalpojumus fiziskām personām saskaņā ar valsts veselības aprūpes sistēmu.</w:t>
      </w:r>
    </w:p>
    <w:p w14:paraId="22825D15" w14:textId="77777777" w:rsidR="00177F30" w:rsidRPr="00177F30" w:rsidRDefault="00177F30" w:rsidP="00D00D0D">
      <w:pPr>
        <w:rPr>
          <w:rFonts w:cs="Times New Roman"/>
          <w:lang w:val="lv-LV"/>
        </w:rPr>
      </w:pPr>
      <w:r w:rsidRPr="00177F30">
        <w:rPr>
          <w:rFonts w:cs="Times New Roman"/>
          <w:lang w:val="lv-LV"/>
        </w:rPr>
        <w:lastRenderedPageBreak/>
        <w:t>“</w:t>
      </w:r>
      <w:r w:rsidRPr="00177F30">
        <w:rPr>
          <w:rFonts w:cs="Times New Roman"/>
          <w:b/>
          <w:lang w:val="lv-LV"/>
        </w:rPr>
        <w:t xml:space="preserve">20. punkts </w:t>
      </w:r>
      <w:r w:rsidRPr="00177F30">
        <w:rPr>
          <w:b/>
          <w:bCs/>
          <w:lang w:val="lv-LV"/>
        </w:rPr>
        <w:t>Izglītības un zinātnes ministrijai</w:t>
      </w:r>
      <w:r w:rsidRPr="00177F30">
        <w:rPr>
          <w:lang w:val="lv-LV"/>
        </w:rPr>
        <w:t xml:space="preserve"> </w:t>
      </w:r>
      <w:r w:rsidRPr="00177F30">
        <w:rPr>
          <w:i/>
          <w:iCs/>
          <w:lang w:val="lv-LV"/>
        </w:rPr>
        <w:t>izvērtēt nodibinājuma “Latvijas Olimpiešu sociālā fonda” darbību sporta nozarei paredzēto valsts budžeta līdzekļu administrēšanas kontekstā atbilstoši informatīvajā ziņojumā minētajam un iesniegt attiecīgu informāciju 2021. gada izdevumu pārskatīšanas ietvaros.</w:t>
      </w:r>
      <w:r w:rsidRPr="00177F30">
        <w:rPr>
          <w:rFonts w:cs="Times New Roman"/>
          <w:lang w:val="lv-LV"/>
        </w:rPr>
        <w:t>”</w:t>
      </w:r>
    </w:p>
    <w:p w14:paraId="7E39B3C9" w14:textId="77777777" w:rsidR="00177F30" w:rsidRPr="00177F30" w:rsidRDefault="00177F30" w:rsidP="00D00D0D">
      <w:pPr>
        <w:ind w:firstLine="709"/>
        <w:rPr>
          <w:rFonts w:cs="Times New Roman"/>
          <w:lang w:val="lv-LV"/>
        </w:rPr>
      </w:pPr>
      <w:r w:rsidRPr="00177F30">
        <w:rPr>
          <w:rFonts w:cs="Times New Roman"/>
          <w:lang w:val="lv-LV"/>
        </w:rPr>
        <w:t>Latvijas Nacionālās sporta padomes 2021. gada 27. janvāra sēdē atbalstītas izmaiņas augstu sasniegumu sporta finansēšanas modelī, kas paredz Latvijas Olimpiešu sociālā fonda (LOSF) reorganizāciju, daļu funkciju nododot Latvijas Olimpiskajai komitejai (LOK). Izmaiņu rezultātā LOSF turpinās veikt savu pamatfunkciju, sniedzot atbalstu sporta senioriem, savukārt LOSF neraksturīgo funkciju izmaksāt no valsts budžeta piešķirtos pabalstus Latvijas Olimpiskās vienības (LOV) sportistiem un viņu treneriem ar 2021. gada 1. jūliju pārņem LOK. Reorganizācijas rezultātā par 43% (81 500 </w:t>
      </w:r>
      <w:r w:rsidRPr="00177F30">
        <w:rPr>
          <w:rFonts w:cs="Times New Roman"/>
          <w:i/>
          <w:iCs/>
          <w:lang w:val="lv-LV"/>
        </w:rPr>
        <w:t>euro</w:t>
      </w:r>
      <w:r w:rsidRPr="00177F30">
        <w:rPr>
          <w:rFonts w:cs="Times New Roman"/>
          <w:lang w:val="lv-LV"/>
        </w:rPr>
        <w:t>) samazinātas LOSF administratīvās, organizatoriskās un saimnieciskās izmaksas, turklāt, pārņemot būtisku daļu no LOSF un a LOV funkcijām, LOK administratīvās, organizatoriskās un saimnieciskās izmaksas palielinājušās tikai par 12,7% (54 027 </w:t>
      </w:r>
      <w:r w:rsidRPr="00177F30">
        <w:rPr>
          <w:rFonts w:cs="Times New Roman"/>
          <w:i/>
          <w:iCs/>
          <w:lang w:val="lv-LV"/>
        </w:rPr>
        <w:t>euro</w:t>
      </w:r>
      <w:r w:rsidRPr="00177F30">
        <w:rPr>
          <w:rFonts w:cs="Times New Roman"/>
          <w:lang w:val="lv-LV"/>
        </w:rPr>
        <w:t xml:space="preserve">), kas panākts, veicot strukturālas izmaiņas LOK. </w:t>
      </w:r>
    </w:p>
    <w:p w14:paraId="06B318F7"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21. punkts </w:t>
      </w:r>
      <w:r w:rsidRPr="00177F30">
        <w:rPr>
          <w:b/>
          <w:bCs/>
          <w:lang w:val="lv-LV"/>
        </w:rPr>
        <w:t>Izglītības un zinātnes ministrijai</w:t>
      </w:r>
      <w:r w:rsidRPr="00177F30">
        <w:rPr>
          <w:lang w:val="lv-LV"/>
        </w:rPr>
        <w:t xml:space="preserve"> </w:t>
      </w:r>
      <w:r w:rsidRPr="00177F30">
        <w:rPr>
          <w:i/>
          <w:iCs/>
          <w:lang w:val="lv-LV"/>
        </w:rPr>
        <w:t>izvērtēt iespējas samazināt sporta nozarei paredzēto valsts budžeta līdzekļu administrēšanā un apgūšanā iesaistīto organizāciju skaitu atbilstoši informatīvajā ziņojumā minētajam un iesniegt attiecīgu informāciju 2021. gada izdevumu pārskatīšanas ietvaros.</w:t>
      </w:r>
      <w:r w:rsidRPr="00177F30">
        <w:rPr>
          <w:rFonts w:cs="Times New Roman"/>
          <w:lang w:val="lv-LV"/>
        </w:rPr>
        <w:t>”</w:t>
      </w:r>
    </w:p>
    <w:p w14:paraId="1FD1616C" w14:textId="77777777" w:rsidR="00177F30" w:rsidRPr="00177F30" w:rsidRDefault="00177F30" w:rsidP="00D00D0D">
      <w:pPr>
        <w:ind w:firstLine="720"/>
        <w:rPr>
          <w:rFonts w:cs="Times New Roman"/>
          <w:lang w:val="lv-LV"/>
        </w:rPr>
      </w:pPr>
      <w:r w:rsidRPr="00177F30">
        <w:rPr>
          <w:rFonts w:cs="Times New Roman"/>
          <w:lang w:val="lv-LV"/>
        </w:rPr>
        <w:t>LOV 2020. gada 2. novembra dalībnieku sapulcē un pēc tam arī Latvijas Nacionālās sporta padomes 2021. gada 27. janvāra sēdē atbalstītās izmaiņas augstu sasniegumu sporta finansēšanas modelī paredz, ka daļa no LOV funkcijām tiek nodota LOK un sporta federācijām, attiecīgi veicot LOV reorganizāciju. Tā rezultātā LOV sportistiem paredzēto finanšu sadales funkciju turpmāk veiks LOK sadarbībā ar sporta federācijām (vasaras sporta veidiem ar 2021. gada 1. janvāri, ziemas sporta veidiem ar 2021. gada 1. aprīli), LOV turpinās sniegt medicīnas, rehabilitācijas un servisa pakalpojumus LOV sportistiem.</w:t>
      </w:r>
    </w:p>
    <w:p w14:paraId="3E932DB9" w14:textId="77777777" w:rsidR="00177F30" w:rsidRPr="00177F30" w:rsidRDefault="00177F30" w:rsidP="00D00D0D">
      <w:pPr>
        <w:ind w:firstLine="709"/>
        <w:rPr>
          <w:rFonts w:cs="Times New Roman"/>
          <w:lang w:val="lv-LV"/>
        </w:rPr>
      </w:pPr>
      <w:r w:rsidRPr="00177F30">
        <w:rPr>
          <w:rFonts w:cs="Times New Roman"/>
          <w:lang w:val="lv-LV"/>
        </w:rPr>
        <w:t>Ar 2021. gada 1. janvāri ieviests „Vienas pieturas aģentūras” princips jeb viena līguma ar vienu sporta federāciju pieeja, līdz ar to valsts budžeta apakšprogrammā 09.21.00 ir tikai viens IZM līgums ar LOK (vairs neslēdzot atsevišķu līgumu ar LOV un LOSF), bet olimpiskajām federācijām viens pamatlīgums ar LOK, savukārt valsts budžeta apakšprogrammā 09.09.00 sporta federācijām ir viens pamatlīgums ar Latvijas Sporta federāciju padomi.</w:t>
      </w:r>
    </w:p>
    <w:p w14:paraId="2F4DE29B"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28. punkts </w:t>
      </w:r>
      <w:r w:rsidRPr="00177F30">
        <w:rPr>
          <w:b/>
          <w:bCs/>
          <w:lang w:val="lv-LV"/>
        </w:rPr>
        <w:t xml:space="preserve">Zemkopības ministrijai </w:t>
      </w:r>
      <w:r w:rsidRPr="00177F30">
        <w:rPr>
          <w:i/>
          <w:iCs/>
          <w:lang w:val="lv-LV"/>
        </w:rPr>
        <w:t>nodrošināt maksājuma pieprasījuma iesniegšanu Eiropas Komisijā atbilstoši Eiropas Parlamenta un Padomes 2014. gada 15. maija Regulai (ES) Nr. 652/2014, ar ko paredz noteikumus tādu izdevumu pārvaldībai, kuri attiecas uz pārtikas apriti, dzīvnieku veselību un dzīvnieku labturību, augu veselību un augu reproduktīvo materiālu, un ar ko groza Padomes Direktīvas 98/56/EK, 2000/29/EK un 2008/90/EK, Eiropas Parlamenta un Padomes Regulas (EK) Nr. 178/2002, (EK) Nr. 882/2004 un (EK) Nr. 396/2005, Eiropas Parlamenta un Padomes Direktīvu 2009/128/EK un Eiropas Parlamenta un Padomes Regulu (EK) Nr. 1107/2009 un atceļ Padomes Lēmumus 66/399/EEK, 76/894/EEK un 2009/470/EK, lai valsts budžetā daļēji atgūtu dzīvnieku veselības un pārtikas un dzīvnieku barības nekaitīguma uzraudzības pasākumu īstenošanā izlietotos līdzekļus.</w:t>
      </w:r>
      <w:r w:rsidRPr="00177F30">
        <w:rPr>
          <w:rFonts w:cs="Times New Roman"/>
          <w:lang w:val="lv-LV"/>
        </w:rPr>
        <w:t>”</w:t>
      </w:r>
    </w:p>
    <w:p w14:paraId="59FB2A53" w14:textId="77777777" w:rsidR="00177F30" w:rsidRPr="00177F30" w:rsidRDefault="00177F30" w:rsidP="00D00D0D">
      <w:pPr>
        <w:ind w:firstLine="709"/>
        <w:rPr>
          <w:rFonts w:cs="Times New Roman"/>
          <w:lang w:val="lv-LV"/>
        </w:rPr>
      </w:pPr>
      <w:r w:rsidRPr="00177F30">
        <w:rPr>
          <w:rFonts w:cs="Times New Roman"/>
          <w:lang w:val="lv-LV"/>
        </w:rPr>
        <w:t>Attiecīgais uzdevums uzskatāms par regulāri veicamu un tam nevar noteikt izpildes termiņu, līdz ar to tas uzskatāms par izpildītu.</w:t>
      </w:r>
    </w:p>
    <w:p w14:paraId="1393A013" w14:textId="77777777" w:rsidR="00177F30" w:rsidRPr="00177F30" w:rsidRDefault="00177F30" w:rsidP="00D00D0D">
      <w:pPr>
        <w:rPr>
          <w:rFonts w:cs="Times New Roman"/>
          <w:lang w:val="lv-LV"/>
        </w:rPr>
      </w:pPr>
      <w:r w:rsidRPr="00177F30">
        <w:rPr>
          <w:rFonts w:cs="Times New Roman"/>
          <w:lang w:val="lv-LV"/>
        </w:rPr>
        <w:lastRenderedPageBreak/>
        <w:t>“</w:t>
      </w:r>
      <w:r w:rsidRPr="00177F30">
        <w:rPr>
          <w:rFonts w:cs="Times New Roman"/>
          <w:b/>
          <w:lang w:val="lv-LV"/>
        </w:rPr>
        <w:t xml:space="preserve">29. punkts </w:t>
      </w:r>
      <w:r w:rsidRPr="00177F30">
        <w:rPr>
          <w:i/>
          <w:iCs/>
          <w:lang w:val="lv-LV"/>
        </w:rPr>
        <w:t>Atzīt Ministru kabineta 2014. gada 4. septembra ārkārtas sēdes protokollēmumu (prot. Nr. 47 1. §) "Informatīvais ziņojums “Par Pārtikas un veterinārā dienesta kapacitāti Āfrikas cūku mēra apkarošanas un izplatības ierobežošanas nodrošināšanai”” un Ministru kabineta 2018. gada 18. decembra sēdes protokollēmumu (prot. Nr. 60 104. §) "Informatīvais ziņojums “Par Āfrikas cūku mēra uzraudzības un apkarošanas programmas īstenošanu un Pārtikas un veterinārā dienesta kapacitāti Āfrikas cūku mēra uzraudzības un izplatības ierobežošanas nodrošināšanai”” par aktualitāti zaudējušu</w:t>
      </w:r>
      <w:r w:rsidRPr="00177F30">
        <w:rPr>
          <w:rFonts w:cs="Times New Roman"/>
          <w:lang w:val="lv-LV"/>
        </w:rPr>
        <w:t>”</w:t>
      </w:r>
    </w:p>
    <w:p w14:paraId="2170BE4A" w14:textId="77777777" w:rsidR="00177F30" w:rsidRPr="00177F30" w:rsidRDefault="00177F30" w:rsidP="00D00D0D">
      <w:pPr>
        <w:ind w:firstLine="709"/>
        <w:rPr>
          <w:rFonts w:cs="Times New Roman"/>
          <w:lang w:val="lv-LV"/>
        </w:rPr>
      </w:pPr>
      <w:r w:rsidRPr="00177F30">
        <w:rPr>
          <w:rFonts w:cs="Times New Roman"/>
          <w:lang w:val="lv-LV"/>
        </w:rPr>
        <w:t>Attiecīgais uzdevums maina statusu citam MK lēmumam, līdz ar to tā izpilde nav vērtējama un tas uzskatāms par izpildītu.</w:t>
      </w:r>
    </w:p>
    <w:p w14:paraId="7D40D7FF"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32. punkts </w:t>
      </w:r>
      <w:r w:rsidRPr="00177F30">
        <w:rPr>
          <w:b/>
          <w:bCs/>
          <w:lang w:val="lv-LV"/>
        </w:rPr>
        <w:t>Kultūras ministrijai</w:t>
      </w:r>
      <w:r w:rsidRPr="00177F30">
        <w:rPr>
          <w:lang w:val="lv-LV"/>
        </w:rPr>
        <w:t xml:space="preserve"> </w:t>
      </w:r>
      <w:r w:rsidRPr="00177F30">
        <w:rPr>
          <w:i/>
          <w:iCs/>
          <w:lang w:val="lv-LV"/>
        </w:rPr>
        <w:t>pārskatīt savā padotībā esošo profesionālās izglītības mācību iestāžu izdevumus kontekstā ar mācību programmu un apmācāmo audzēkņu skaitu atbilstoši informatīvajā ziņojumā minētajam un iesniegt attiecīgu informāciju 2021. gada izdevumu pārskatīšanas ietvaros.</w:t>
      </w:r>
      <w:r w:rsidRPr="00177F30">
        <w:rPr>
          <w:rFonts w:cs="Times New Roman"/>
          <w:lang w:val="lv-LV"/>
        </w:rPr>
        <w:t>”</w:t>
      </w:r>
    </w:p>
    <w:p w14:paraId="3BAB5DE7" w14:textId="507F25CC" w:rsidR="00177F30" w:rsidRPr="00177F30" w:rsidRDefault="00177F30" w:rsidP="00D00D0D">
      <w:pPr>
        <w:ind w:firstLine="709"/>
        <w:rPr>
          <w:rFonts w:cs="Times New Roman"/>
          <w:lang w:val="lv-LV"/>
        </w:rPr>
      </w:pPr>
      <w:r w:rsidRPr="00177F30">
        <w:rPr>
          <w:rFonts w:cs="Times New Roman"/>
          <w:lang w:val="lv-LV"/>
        </w:rPr>
        <w:t>KM izdevumu pārskatīšanas darba grupas sanāksmēs ir norādījusi, ka tās padotībā esošās profesionālās vidusskolas nodrošina audzēkņu skaita pieaugumu esošā budžeta ietvaros, kā arī, izvērtējot 2020. gada faktiskos un 2021. gada plānotos izdevumus, panākts samazinājums vidējām izmaksām uz vienu audzēkni. Aprēķinātas izmaksas uz vienu audzēkni pa programmu grupām, tajā skaitā nodalīts finansējums pedagogu darba samaksai atbilstoši izglī</w:t>
      </w:r>
      <w:r w:rsidR="001E47BA">
        <w:rPr>
          <w:rFonts w:cs="Times New Roman"/>
          <w:lang w:val="lv-LV"/>
        </w:rPr>
        <w:t>tības programmai. Tāpat veikta u</w:t>
      </w:r>
      <w:r w:rsidRPr="00177F30">
        <w:rPr>
          <w:rFonts w:cs="Times New Roman"/>
          <w:lang w:val="lv-LV"/>
        </w:rPr>
        <w:t>zturēšanas izdevumu, administratīvo izdevumu, mācību līdzekļu iegādes, kapitālieguldījumu un citu izdevumu iekļaušana programmu izmaksās proporcionāli audzēkņu skaitam.</w:t>
      </w:r>
    </w:p>
    <w:p w14:paraId="383E41F5" w14:textId="77777777" w:rsidR="00177F30" w:rsidRPr="00177F30" w:rsidRDefault="00177F30" w:rsidP="00D00D0D">
      <w:pPr>
        <w:spacing w:before="240"/>
        <w:rPr>
          <w:rFonts w:cs="Times New Roman"/>
          <w:b/>
          <w:u w:val="single"/>
          <w:lang w:val="lv-LV"/>
        </w:rPr>
      </w:pPr>
      <w:r w:rsidRPr="00177F30">
        <w:rPr>
          <w:rFonts w:cs="Times New Roman"/>
          <w:b/>
          <w:u w:val="single"/>
          <w:lang w:val="lv-LV"/>
        </w:rPr>
        <w:t>Uzsāktie uzdevumi:</w:t>
      </w:r>
    </w:p>
    <w:p w14:paraId="47752214" w14:textId="79810D71"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8.3. punkts </w:t>
      </w:r>
      <w:r w:rsidRPr="00177F30">
        <w:rPr>
          <w:b/>
          <w:bCs/>
          <w:lang w:val="lv-LV"/>
        </w:rPr>
        <w:t>Zemkopības ministrijai sadarbībā ar Iekšlietu ministriju</w:t>
      </w:r>
      <w:r w:rsidRPr="00177F30">
        <w:rPr>
          <w:lang w:val="lv-LV"/>
        </w:rPr>
        <w:t xml:space="preserve"> </w:t>
      </w:r>
      <w:r w:rsidRPr="00177F30">
        <w:rPr>
          <w:bCs/>
          <w:i/>
          <w:lang w:val="lv-LV"/>
        </w:rPr>
        <w:t xml:space="preserve">izvērtēt iespējamos risinājumus meža ugunsapsardzības un ugunsdzēsības valsts un privātajos </w:t>
      </w:r>
      <w:r w:rsidR="007D00BC">
        <w:rPr>
          <w:bCs/>
          <w:i/>
          <w:lang w:val="lv-LV"/>
        </w:rPr>
        <w:t xml:space="preserve">mežos funkcijas nodrošināšanai, </w:t>
      </w:r>
      <w:r w:rsidRPr="00177F30">
        <w:rPr>
          <w:bCs/>
          <w:i/>
          <w:lang w:val="lv-LV"/>
        </w:rPr>
        <w:t xml:space="preserve">tai skaitā izvērtējot </w:t>
      </w:r>
      <w:r w:rsidRPr="00177F30">
        <w:rPr>
          <w:i/>
          <w:lang w:val="lv-LV"/>
        </w:rPr>
        <w:t>nepieciešamo investīciju materiāltehniskās bāzes uzlabošanai nodrošināšanu Nacionālā attīstības plāna 2021.-2027. gadam ietvaros un līdz 2021. gada 1. jūnijam iesniegt informāciju izskatīšanai Ministru kabinetā.</w:t>
      </w:r>
      <w:r w:rsidRPr="00177F30">
        <w:rPr>
          <w:rFonts w:cs="Times New Roman"/>
          <w:lang w:val="lv-LV"/>
        </w:rPr>
        <w:t>”</w:t>
      </w:r>
    </w:p>
    <w:p w14:paraId="73A93D71" w14:textId="31F2E6D9" w:rsidR="00177F30" w:rsidRPr="00177F30" w:rsidRDefault="00177F30" w:rsidP="00D00D0D">
      <w:pPr>
        <w:ind w:firstLine="709"/>
        <w:rPr>
          <w:rFonts w:cs="Times New Roman"/>
          <w:lang w:val="lv-LV"/>
        </w:rPr>
      </w:pPr>
      <w:r w:rsidRPr="00177F30">
        <w:rPr>
          <w:rFonts w:cs="Times New Roman"/>
          <w:lang w:val="lv-LV"/>
        </w:rPr>
        <w:t>Notikusi sanāksme, kurā piedalījās ZM, IeM, VMD un VUGD pārstāvji, izrunājot aktuālākās problēmas saistībā ar mežu ugunsgrēku dzēšanas nodrošināšanu un iespējamās nākotnes vīzijas.</w:t>
      </w:r>
      <w:r w:rsidRPr="00177F30">
        <w:rPr>
          <w:lang w:val="lv-LV"/>
        </w:rPr>
        <w:t xml:space="preserve"> </w:t>
      </w:r>
      <w:r w:rsidRPr="00177F30">
        <w:rPr>
          <w:rFonts w:cs="Times New Roman"/>
          <w:lang w:val="lv-LV"/>
        </w:rPr>
        <w:t xml:space="preserve">ZM sagatavojusi informatīvā ziņojuma projektu iesniegšanai MK, kurā analizēta esošā situācija un turpmākie risinājumi, paredzot, ka VUGD un VMD īsteno kopīgu pētījumu, ar ko plānots izvērtēt esošo situāciju un iespējamos risinājumus meža ugunsapsardzības un ugunsdzēsības valsts un privātajos mežos funkcijas nodrošināšanai, tai skaitā izvērtējot nepieciešamo investīciju materiāltehniskās bāzes uzlabošanai un finansiālo ietekmi uz valsts budžetu un ZM pētījuma rezultātus plāno ietvert konceptuālajā ziņojumā, un noteiktā kārtībā iesniegt to </w:t>
      </w:r>
      <w:r w:rsidR="007D00BC">
        <w:rPr>
          <w:rFonts w:cs="Times New Roman"/>
          <w:lang w:val="lv-LV"/>
        </w:rPr>
        <w:t>VK</w:t>
      </w:r>
      <w:r w:rsidRPr="00177F30">
        <w:rPr>
          <w:rFonts w:cs="Times New Roman"/>
          <w:lang w:val="lv-LV"/>
        </w:rPr>
        <w:t xml:space="preserve"> līdz 2025. gada 1. jūnijam.</w:t>
      </w:r>
    </w:p>
    <w:p w14:paraId="3EA712A2" w14:textId="679C9BF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8.4. punkts </w:t>
      </w:r>
      <w:r w:rsidRPr="00177F30">
        <w:rPr>
          <w:b/>
          <w:iCs/>
          <w:lang w:val="lv-LV"/>
        </w:rPr>
        <w:t>Zemkopības ministrijai sadarbībā ar Latvijas Lauksaimniecības universitāti</w:t>
      </w:r>
      <w:r w:rsidRPr="00177F30">
        <w:rPr>
          <w:bCs/>
          <w:iCs/>
          <w:lang w:val="lv-LV"/>
        </w:rPr>
        <w:t xml:space="preserve"> </w:t>
      </w:r>
      <w:r w:rsidR="007D00BC">
        <w:rPr>
          <w:bCs/>
          <w:i/>
          <w:lang w:val="lv-LV"/>
        </w:rPr>
        <w:t xml:space="preserve">izvērtēt </w:t>
      </w:r>
      <w:r w:rsidRPr="00177F30">
        <w:rPr>
          <w:bCs/>
          <w:i/>
          <w:lang w:val="lv-LV"/>
        </w:rPr>
        <w:t>Bulduru Dārzkopības vidusskolas darbības modeli un līdz 2021. gada 1. jūnijam sagatavot un iesniegt informāciju par tālāko rīcību izskatīšanai Ministru kabinetā.</w:t>
      </w:r>
      <w:r w:rsidRPr="00177F30">
        <w:rPr>
          <w:rFonts w:cs="Times New Roman"/>
          <w:lang w:val="lv-LV"/>
        </w:rPr>
        <w:t>”</w:t>
      </w:r>
    </w:p>
    <w:p w14:paraId="2A82B0FC" w14:textId="77777777" w:rsidR="00177F30" w:rsidRPr="00177F30" w:rsidRDefault="00177F30" w:rsidP="00D00D0D">
      <w:pPr>
        <w:ind w:firstLine="709"/>
        <w:rPr>
          <w:rFonts w:cs="Times New Roman"/>
          <w:lang w:val="lv-LV"/>
        </w:rPr>
      </w:pPr>
      <w:r w:rsidRPr="00177F30">
        <w:rPr>
          <w:rFonts w:cs="Times New Roman"/>
          <w:lang w:val="lv-LV"/>
        </w:rPr>
        <w:t xml:space="preserve">ZM sagatavojusi informatīvā ziņojuma “Par Bulduru Dārzkopības vidusskolas darbības modeli” projektu iesniegšanai MK, kurā akcentē kapitālsabiedrības statusa sniegtās priekšrocības, kas rezultējušās gan izglītojamo skaita pieaugumā, gan ienākumu no maksas </w:t>
      </w:r>
      <w:r w:rsidRPr="00177F30">
        <w:rPr>
          <w:rFonts w:cs="Times New Roman"/>
          <w:lang w:val="lv-LV"/>
        </w:rPr>
        <w:lastRenderedPageBreak/>
        <w:t>pakalpojumiem palielinājumā, līdz ar to attiecīgais statuss Bulduru Dārzkopības vidusskolai būtu saglabājams.</w:t>
      </w:r>
    </w:p>
    <w:p w14:paraId="72CC8F1B"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8.5. punkts </w:t>
      </w:r>
      <w:r w:rsidRPr="00177F30">
        <w:rPr>
          <w:b/>
          <w:iCs/>
          <w:lang w:val="lv-LV"/>
        </w:rPr>
        <w:t xml:space="preserve">Labklājības ministrijai sadarbībā ar Izglītības un zinātnes ministriju un Pārresoru koordinācijas centru </w:t>
      </w:r>
      <w:r w:rsidRPr="00177F30">
        <w:rPr>
          <w:bCs/>
          <w:i/>
          <w:lang w:val="lv-LV"/>
        </w:rPr>
        <w:t>līdz 2021. gada 1. jūnijam sagatavot un iesniegt izskatīšanai Ministru kabinetā priekšlikumus par finansējumu asistenta izglītībā (atbalsta speciālistu) pakalpojuma izglītojamajam nodrošināšanai izglītības iestādē.</w:t>
      </w:r>
      <w:r w:rsidRPr="00177F30">
        <w:rPr>
          <w:rFonts w:cs="Times New Roman"/>
          <w:lang w:val="lv-LV"/>
        </w:rPr>
        <w:t>”</w:t>
      </w:r>
    </w:p>
    <w:p w14:paraId="2C9AFDAA" w14:textId="1E9AED62" w:rsidR="00177F30" w:rsidRPr="00177F30" w:rsidRDefault="00177F30" w:rsidP="00D00D0D">
      <w:pPr>
        <w:ind w:firstLine="709"/>
        <w:rPr>
          <w:rFonts w:cs="Times New Roman"/>
          <w:lang w:val="lv-LV"/>
        </w:rPr>
      </w:pPr>
      <w:r w:rsidRPr="00177F30">
        <w:rPr>
          <w:rFonts w:cs="Times New Roman"/>
          <w:lang w:val="lv-LV"/>
        </w:rPr>
        <w:t>PKC sagatavotajā MK rīkojuma projektā par “</w:t>
      </w:r>
      <w:r w:rsidR="00CA5079" w:rsidRPr="00CA5079">
        <w:rPr>
          <w:rFonts w:cs="Times New Roman"/>
          <w:lang w:val="lv-LV"/>
        </w:rPr>
        <w:t xml:space="preserve">Par Pedagoģiski </w:t>
      </w:r>
      <w:r w:rsidR="00CA5079">
        <w:rPr>
          <w:rFonts w:cs="Times New Roman"/>
          <w:lang w:val="lv-LV"/>
        </w:rPr>
        <w:t xml:space="preserve">psiholoģiskā atbalsta dienesta </w:t>
      </w:r>
      <w:r w:rsidR="00CA5079" w:rsidRPr="00CA5079">
        <w:rPr>
          <w:rFonts w:cs="Times New Roman"/>
          <w:lang w:val="lv-LV"/>
        </w:rPr>
        <w:t>izveidošanu un darbība</w:t>
      </w:r>
      <w:r w:rsidR="00CA5079">
        <w:rPr>
          <w:rFonts w:cs="Times New Roman"/>
          <w:lang w:val="lv-LV"/>
        </w:rPr>
        <w:t>s uzsākšanas nodrošināšanu</w:t>
      </w:r>
      <w:r w:rsidRPr="00177F30">
        <w:rPr>
          <w:rFonts w:cs="Times New Roman"/>
          <w:lang w:val="lv-LV"/>
        </w:rPr>
        <w:t>” pievienotā protokollēmuma 3.1. punktā paredzēts, ka Pedagoģiski psiholoģiskā atbalsta dienests no 2022. gada 1. septembra uzsāk no valsts budžeta apmaksātu asistentu pakalpojumu pārvietošanās atbalstam un pašaprūpes veikšanai izglītojamām personām ar invaliditāti izglītības iestādē nodrošināšanu. Šobrīd šī jautājuma izskatīšana ir atlikta. Attiecīgi līdz brīdim, kamēr nav apstiprināta Pedagoģiski psiholoģiskā atbalsta dienesta izveide, tiek turpināta esošā pieeja pakalpojuma nodrošināšanai.</w:t>
      </w:r>
    </w:p>
    <w:p w14:paraId="51022A2A"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8.6. punkts </w:t>
      </w:r>
      <w:r w:rsidRPr="00177F30">
        <w:rPr>
          <w:b/>
          <w:lang w:val="lv-LV"/>
        </w:rPr>
        <w:t>Labklājības ministrijai,</w:t>
      </w:r>
      <w:r w:rsidRPr="00177F30">
        <w:rPr>
          <w:bCs/>
          <w:lang w:val="lv-LV"/>
        </w:rPr>
        <w:t xml:space="preserve"> </w:t>
      </w:r>
      <w:r w:rsidRPr="00177F30">
        <w:rPr>
          <w:bCs/>
          <w:i/>
          <w:iCs/>
          <w:lang w:val="lv-LV"/>
        </w:rPr>
        <w:t xml:space="preserve">ņemot vērā ziņojumā konstatēto, </w:t>
      </w:r>
      <w:r w:rsidRPr="00177F30">
        <w:rPr>
          <w:i/>
          <w:iCs/>
          <w:lang w:val="lv-LV"/>
        </w:rPr>
        <w:t>izvērtēt funkciju “</w:t>
      </w:r>
      <w:r w:rsidRPr="00177F30">
        <w:rPr>
          <w:bCs/>
          <w:i/>
          <w:iCs/>
          <w:lang w:val="lv-LV"/>
        </w:rPr>
        <w:t>Atlīdzināt kredītprocentus personas ar invaliditāti mājokļa pielāgošanai”</w:t>
      </w:r>
      <w:r w:rsidRPr="00177F30">
        <w:rPr>
          <w:i/>
          <w:iCs/>
          <w:lang w:val="lv-LV"/>
        </w:rPr>
        <w:t xml:space="preserve"> un nepieciešamības gadījumā līdz 2020. gada 31. decembrim sagatavot atbilstošus priekšlikumus grozījumiem Invaliditātes likumā.</w:t>
      </w:r>
      <w:r w:rsidRPr="00177F30">
        <w:rPr>
          <w:rFonts w:cs="Times New Roman"/>
          <w:lang w:val="lv-LV"/>
        </w:rPr>
        <w:t>”</w:t>
      </w:r>
    </w:p>
    <w:p w14:paraId="5B186B11" w14:textId="725BFF45" w:rsidR="00177F30" w:rsidRPr="00177F30" w:rsidRDefault="00177F30" w:rsidP="00D00D0D">
      <w:pPr>
        <w:ind w:firstLine="720"/>
        <w:rPr>
          <w:rFonts w:cs="Times New Roman"/>
          <w:lang w:val="lv-LV"/>
        </w:rPr>
      </w:pPr>
      <w:r w:rsidRPr="00177F30">
        <w:rPr>
          <w:rFonts w:cs="Times New Roman"/>
          <w:lang w:val="lv-LV"/>
        </w:rPr>
        <w:t>LM ir sagatavojusi grozījumu projektu, kas paredz izslēgt no Invaliditātes likuma 12. panta pirmās daļas 9. punktu, plānojot atteikties no pakalpojuma kredīta procentu segšanai invalīdiem, kuri ņēmuši kredītu mājokļa pielāgošanai. Grozījumi 2021. gada 20. maijā izskatīti VSS</w:t>
      </w:r>
      <w:r w:rsidR="0059413B">
        <w:rPr>
          <w:rFonts w:cs="Times New Roman"/>
          <w:lang w:val="lv-LV"/>
        </w:rPr>
        <w:t xml:space="preserve"> (prot. Nr.19 14.§, VSS-469)</w:t>
      </w:r>
      <w:r w:rsidRPr="00177F30">
        <w:rPr>
          <w:rFonts w:cs="Times New Roman"/>
          <w:lang w:val="lv-LV"/>
        </w:rPr>
        <w:t>.</w:t>
      </w:r>
    </w:p>
    <w:p w14:paraId="52D054E6"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8.8. punkts </w:t>
      </w:r>
      <w:r w:rsidRPr="00177F30">
        <w:rPr>
          <w:bCs/>
          <w:i/>
          <w:iCs/>
          <w:lang w:val="lv-LV"/>
        </w:rPr>
        <w:t xml:space="preserve">pieņemt zināšanai, ka likumprojekta “Par valsts budžetu 2021. gadam” sagatavošanas gaitā </w:t>
      </w:r>
      <w:r w:rsidRPr="00177F30">
        <w:rPr>
          <w:b/>
          <w:lang w:val="lv-LV"/>
        </w:rPr>
        <w:t>Kultūras ministrija</w:t>
      </w:r>
      <w:r w:rsidRPr="00177F30">
        <w:rPr>
          <w:bCs/>
          <w:i/>
          <w:iCs/>
          <w:lang w:val="lv-LV"/>
        </w:rPr>
        <w:t xml:space="preserve"> sniegs priekšlikumus par valsts budžeta apakšprogrammā 22.05.00 “Valsts vienotā bibliotēku informācijas sistēma” esošā finansējuma pārdali uz citām programmām/apakšprogrammām un izdevumu turpmāku izmantošanu.</w:t>
      </w:r>
      <w:r w:rsidRPr="00177F30">
        <w:rPr>
          <w:rFonts w:cs="Times New Roman"/>
          <w:lang w:val="lv-LV"/>
        </w:rPr>
        <w:t>”</w:t>
      </w:r>
    </w:p>
    <w:p w14:paraId="1D55E0B6" w14:textId="77777777" w:rsidR="00177F30" w:rsidRPr="00177F30" w:rsidRDefault="00177F30" w:rsidP="00D00D0D">
      <w:pPr>
        <w:ind w:firstLine="720"/>
        <w:rPr>
          <w:rFonts w:cs="Times New Roman"/>
          <w:lang w:val="lv-LV"/>
        </w:rPr>
      </w:pPr>
      <w:r w:rsidRPr="00177F30">
        <w:rPr>
          <w:rFonts w:cs="Times New Roman"/>
          <w:lang w:val="lv-LV"/>
        </w:rPr>
        <w:t>Uzdevuma izpilde būs vērtējama kopsakarā ar KM uzsākto Kultūras informācijas sistēmu centra reorganizāciju, kura ietvaros līdz 2022. gadam atsevišķi uz bibliotēku politiku attiecināmi uzdevumi tiks nodoti izpildei Latvijas Nacionālajai bibliotēkai.</w:t>
      </w:r>
    </w:p>
    <w:p w14:paraId="029A61D7"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8.9. punkts </w:t>
      </w:r>
      <w:r w:rsidRPr="00177F30">
        <w:rPr>
          <w:b/>
          <w:bCs/>
          <w:lang w:val="lv-LV"/>
        </w:rPr>
        <w:t>Kultūras ministrijai sadarbībā ar Izglītības ministriju, Labklājības ministriju un Tieslietu ministriju</w:t>
      </w:r>
      <w:r w:rsidRPr="00177F30">
        <w:rPr>
          <w:lang w:val="lv-LV"/>
        </w:rPr>
        <w:t xml:space="preserve"> </w:t>
      </w:r>
      <w:r w:rsidRPr="00177F30">
        <w:rPr>
          <w:i/>
          <w:iCs/>
          <w:lang w:val="lv-LV"/>
        </w:rPr>
        <w:t>atkārtoti izvērtēt valsts politiku sabiedrības integrācijas jomā, virzoties uz vienotu un koordinētu valsts politikas īstenošanu sabiedrības integrācijas jomā, kā arī ņemot vērā sabiedrības integrācijas politikas horizontālo raksturu un katras iesaistītās ministrijas funkcijas un Kultūras ministrijai iesniegt attiecīgu informāciju 2021. gada izdevumu pārskatīšanas ietvaros</w:t>
      </w:r>
      <w:r w:rsidRPr="00177F30">
        <w:rPr>
          <w:rFonts w:cs="Times New Roman"/>
          <w:i/>
          <w:iCs/>
          <w:lang w:val="lv-LV"/>
        </w:rPr>
        <w:t>.</w:t>
      </w:r>
      <w:r w:rsidRPr="00177F30">
        <w:rPr>
          <w:rFonts w:cs="Times New Roman"/>
          <w:lang w:val="lv-LV"/>
        </w:rPr>
        <w:t>”</w:t>
      </w:r>
    </w:p>
    <w:p w14:paraId="77A81FA9" w14:textId="01FB8E70" w:rsidR="00177F30" w:rsidRPr="00177F30" w:rsidRDefault="00177F30" w:rsidP="00D00D0D">
      <w:pPr>
        <w:ind w:firstLine="720"/>
        <w:rPr>
          <w:rFonts w:cs="Times New Roman"/>
          <w:lang w:val="lv-LV"/>
        </w:rPr>
      </w:pPr>
      <w:r w:rsidRPr="00177F30">
        <w:rPr>
          <w:rFonts w:cs="Times New Roman"/>
          <w:lang w:val="lv-LV"/>
        </w:rPr>
        <w:t xml:space="preserve">Sadarbībā ar IZM, LM un TM tiks uzsākts darbs, lai atkārtoti izvērtētu valsts politiku sabiedrības integrācijas jomā, tomēr jāņem vērā arī MK pieņemtie lēmumi, piemēram, pildot Ministru prezidenta A.K. Kariņa 2021. gada 10. marta rezolūciju Nr. 90TA-450, KM sadarbībā ar IZM, LM, FM, IeM, EM un SIF sagatavoja atbildes projektu Saeimas Pilsonības, migrācijas un sabiedrības saliedētības komisijai, norādot, ka priekšlikums par SIF kā atbildīgās iestādes noteikšanu par starptautiskās aizsardzības saņēmēju sociālekonomiskās iekļaušanas koordināciju un starptautiskās aizsardzības saņēmēju sociālekonomiskās iekļaušanas koordināciju ir konceptuāli atbalstāms, tomēr, nododot LM kompetencē esošos jautājums SIF kompetencē, nemainot Rīcības plānā noteiktās ministriju atbildības jomas, konceptuāli par to ir </w:t>
      </w:r>
      <w:r w:rsidRPr="00177F30">
        <w:rPr>
          <w:rFonts w:cs="Times New Roman"/>
          <w:lang w:val="lv-LV"/>
        </w:rPr>
        <w:lastRenderedPageBreak/>
        <w:t>jādiskutē budžeta sagatavošanas procesā. Savukārt, ja SIF nepieciešams paplašināt pārņemto funkciju īstenošanu, tad jautājums par finansējumu to nodrošināšanai ir skatāms budžeta sagatavošanas procesā.</w:t>
      </w:r>
      <w:r w:rsidR="001E47BA">
        <w:rPr>
          <w:rFonts w:cs="Times New Roman"/>
          <w:lang w:val="lv-LV"/>
        </w:rPr>
        <w:t xml:space="preserve"> </w:t>
      </w:r>
      <w:r w:rsidR="001E47BA" w:rsidRPr="001E47BA">
        <w:rPr>
          <w:rFonts w:cs="Times New Roman"/>
          <w:lang w:val="lv-LV"/>
        </w:rPr>
        <w:t>Atbilstoši Ministr</w:t>
      </w:r>
      <w:r w:rsidR="001E47BA">
        <w:rPr>
          <w:rFonts w:cs="Times New Roman"/>
          <w:lang w:val="lv-LV"/>
        </w:rPr>
        <w:t xml:space="preserve">u prezidenta A. K. Kariņa </w:t>
      </w:r>
      <w:r w:rsidR="001E47BA" w:rsidRPr="001E47BA">
        <w:rPr>
          <w:rFonts w:cs="Times New Roman"/>
          <w:lang w:val="lv-LV"/>
        </w:rPr>
        <w:t>2021.</w:t>
      </w:r>
      <w:r w:rsidR="001E47BA">
        <w:rPr>
          <w:rFonts w:cs="Times New Roman"/>
          <w:lang w:val="lv-LV"/>
        </w:rPr>
        <w:t xml:space="preserve"> gada 6. jūlija</w:t>
      </w:r>
      <w:r w:rsidR="001E47BA" w:rsidRPr="001E47BA">
        <w:rPr>
          <w:rFonts w:cs="Times New Roman"/>
          <w:lang w:val="lv-LV"/>
        </w:rPr>
        <w:t xml:space="preserve"> rezolūcijā  Nr. 7.8.5./2021-DOC-1196-1767 noteiktajam </w:t>
      </w:r>
      <w:r w:rsidR="001E47BA">
        <w:rPr>
          <w:rFonts w:cs="Times New Roman"/>
          <w:lang w:val="lv-LV"/>
        </w:rPr>
        <w:t>IeM</w:t>
      </w:r>
      <w:r w:rsidR="001E47BA" w:rsidRPr="001E47BA">
        <w:rPr>
          <w:rFonts w:cs="Times New Roman"/>
          <w:lang w:val="lv-LV"/>
        </w:rPr>
        <w:t xml:space="preserve"> sadarbībā ar </w:t>
      </w:r>
      <w:r w:rsidR="001E47BA">
        <w:rPr>
          <w:rFonts w:cs="Times New Roman"/>
          <w:lang w:val="lv-LV"/>
        </w:rPr>
        <w:t>LM</w:t>
      </w:r>
      <w:r w:rsidR="001E47BA" w:rsidRPr="001E47BA">
        <w:rPr>
          <w:rFonts w:cs="Times New Roman"/>
          <w:lang w:val="lv-LV"/>
        </w:rPr>
        <w:t xml:space="preserve"> un </w:t>
      </w:r>
      <w:r w:rsidR="001E47BA">
        <w:rPr>
          <w:rFonts w:cs="Times New Roman"/>
          <w:lang w:val="lv-LV"/>
        </w:rPr>
        <w:t xml:space="preserve">FM </w:t>
      </w:r>
      <w:r w:rsidR="001E47BA" w:rsidRPr="001E47BA">
        <w:rPr>
          <w:rFonts w:cs="Times New Roman"/>
          <w:lang w:val="lv-LV"/>
        </w:rPr>
        <w:t xml:space="preserve">jāizstrādā un jāiesniedz izskatīšanai </w:t>
      </w:r>
      <w:r w:rsidR="001E47BA">
        <w:rPr>
          <w:rFonts w:cs="Times New Roman"/>
          <w:lang w:val="lv-LV"/>
        </w:rPr>
        <w:t>MK</w:t>
      </w:r>
      <w:r w:rsidR="001E47BA" w:rsidRPr="001E47BA">
        <w:rPr>
          <w:rFonts w:cs="Times New Roman"/>
          <w:lang w:val="lv-LV"/>
        </w:rPr>
        <w:t xml:space="preserve"> informatīvais ziņojums par koordinējošās iestādes izveidi personu, kurām nepieciešama starptautiskā aizsardzība, sociālekonomiskās iekļaušanas koordinācijas jomā, izvērtējot </w:t>
      </w:r>
      <w:r w:rsidR="001E47BA">
        <w:rPr>
          <w:rFonts w:cs="Times New Roman"/>
          <w:lang w:val="lv-LV"/>
        </w:rPr>
        <w:t>SIF</w:t>
      </w:r>
      <w:r w:rsidR="001E47BA" w:rsidRPr="001E47BA">
        <w:rPr>
          <w:rFonts w:cs="Times New Roman"/>
          <w:lang w:val="lv-LV"/>
        </w:rPr>
        <w:t xml:space="preserve"> noteikšanu par patvēruma meklētāju un starptautiskās aizsardzības saņēmēju sociālekonomiskās iekļaušanas koordinācijas jomas atbildīgo iestādi un turpmākās nepieciešamās darbības un uzdevumus šī risinājuma īstenošanai, tostarp nepieciešamajiem normatīvo aktu grozījumiem, kā arī informāciju par tam nepieciešamo finansējumu.</w:t>
      </w:r>
    </w:p>
    <w:p w14:paraId="07D39D32"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8.10. punkts </w:t>
      </w:r>
      <w:r w:rsidRPr="00177F30">
        <w:rPr>
          <w:b/>
          <w:iCs/>
          <w:lang w:val="lv-LV"/>
        </w:rPr>
        <w:t>Kultūras ministrijai</w:t>
      </w:r>
      <w:r w:rsidRPr="00177F30">
        <w:rPr>
          <w:bCs/>
          <w:iCs/>
          <w:lang w:val="lv-LV"/>
        </w:rPr>
        <w:t xml:space="preserve"> </w:t>
      </w:r>
      <w:r w:rsidRPr="00177F30">
        <w:rPr>
          <w:bCs/>
          <w:i/>
          <w:lang w:val="lv-LV"/>
        </w:rPr>
        <w:t>izvērtēt Latvijas valsts simtgades biroja turpmāko darbību un līdz 2021. gada 1. jūnijam iesniegt informāciju izskatīšanai Ministru kabinetā.</w:t>
      </w:r>
      <w:r w:rsidRPr="00177F30">
        <w:rPr>
          <w:rFonts w:cs="Times New Roman"/>
          <w:lang w:val="lv-LV"/>
        </w:rPr>
        <w:t>”</w:t>
      </w:r>
    </w:p>
    <w:p w14:paraId="5C4248E0" w14:textId="6D825DEB" w:rsidR="00177F30" w:rsidRPr="00177F30" w:rsidRDefault="00177F30" w:rsidP="00D00D0D">
      <w:pPr>
        <w:ind w:firstLine="709"/>
        <w:rPr>
          <w:rFonts w:cs="Times New Roman"/>
          <w:lang w:val="lv-LV"/>
        </w:rPr>
      </w:pPr>
      <w:r w:rsidRPr="00177F30">
        <w:rPr>
          <w:rFonts w:cs="Times New Roman"/>
          <w:lang w:val="lv-LV"/>
        </w:rPr>
        <w:t xml:space="preserve">KM 2021. gada 15. jūlijā nosūtīja saskaņošanai ministrijām un </w:t>
      </w:r>
      <w:r w:rsidR="007D00BC">
        <w:rPr>
          <w:rFonts w:cs="Times New Roman"/>
          <w:lang w:val="lv-LV"/>
        </w:rPr>
        <w:t>VK</w:t>
      </w:r>
      <w:r w:rsidRPr="00177F30">
        <w:rPr>
          <w:rFonts w:cs="Times New Roman"/>
          <w:lang w:val="lv-LV"/>
        </w:rPr>
        <w:t xml:space="preserve"> sagatavoto informatīvo ziņojumu par Latvijas valsts simtgades biroja turpmāko darbību. KM priekšlikumi Latvijas valsts simtgades biroja turpmākajai darbībai paredz vienas amata vietas pārcelšanu uz Latvijas Investīciju un attīstības aģentūru, sākot ar 2021. gada 7. maiju, kā arī turpmāk saglabāt 4 amata vietas, vienlaikus Latvijas skolas somas projekta īstenošanu no 2022. gada nododot LNKC.</w:t>
      </w:r>
    </w:p>
    <w:p w14:paraId="75F29EAD"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14. punkts </w:t>
      </w:r>
      <w:r w:rsidRPr="00177F30">
        <w:rPr>
          <w:b/>
          <w:bCs/>
          <w:lang w:val="lv-LV"/>
        </w:rPr>
        <w:t>Finanšu ministrijai (Centrālai finanšu un līgumu aģentūrai kā publiskās un privātās partnerības kompetences centram)</w:t>
      </w:r>
      <w:r w:rsidRPr="00177F30">
        <w:rPr>
          <w:lang w:val="lv-LV"/>
        </w:rPr>
        <w:t xml:space="preserve"> </w:t>
      </w:r>
      <w:r w:rsidRPr="00177F30">
        <w:rPr>
          <w:i/>
          <w:iCs/>
          <w:lang w:val="lv-LV"/>
        </w:rPr>
        <w:t>atbilstoši informatīvajā ziņojumā izdarītajiem secinājumiem līdz 2021. gada 31. decembrim sagatavot un iesniegt izskatīšanai Ministru kabinetā informatīvo ziņojumu ar priekšlikumiem par valsts un pašvaldību vajadzību nodrošināšanai nepieciešamo projektu, kuri nav finansējami no Eiropas Savienības struktūrfondiem un Kohēzijas fonda, kā arī citas ārvalstu finanšu palīdzības, īstenošanu publiskās un privātās partnerības ietvaros, nodrošinot to uzskaiti ārpus budžeta bilances.</w:t>
      </w:r>
      <w:r w:rsidRPr="00177F30">
        <w:rPr>
          <w:rFonts w:cs="Times New Roman"/>
          <w:lang w:val="lv-LV"/>
        </w:rPr>
        <w:t>”</w:t>
      </w:r>
    </w:p>
    <w:p w14:paraId="77BE42DD" w14:textId="77777777" w:rsidR="00177F30" w:rsidRPr="00177F30" w:rsidRDefault="00177F30" w:rsidP="00D00D0D">
      <w:pPr>
        <w:ind w:firstLine="720"/>
        <w:rPr>
          <w:rFonts w:cs="Times New Roman"/>
          <w:lang w:val="lv-LV"/>
        </w:rPr>
      </w:pPr>
      <w:r w:rsidRPr="00177F30">
        <w:rPr>
          <w:rFonts w:cs="Times New Roman"/>
          <w:lang w:val="lv-LV"/>
        </w:rPr>
        <w:t>Uzsākta darba izpildes plānošana, apzinot nepieciešamos uzdevumus (aptauju veikšana, rezultātu apkopošana u.c.), līdz ar to par uzdevuma izpildi, t.sk. par uzdevuma izpildes statusu CFLA varēs informēt 2021. gada 2. pusgadā.</w:t>
      </w:r>
    </w:p>
    <w:p w14:paraId="59180767"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17. punkts </w:t>
      </w:r>
      <w:r w:rsidRPr="00177F30">
        <w:rPr>
          <w:b/>
          <w:bCs/>
          <w:color w:val="000000" w:themeColor="text1"/>
          <w:lang w:val="lv-LV"/>
        </w:rPr>
        <w:t>Tieslietu ministrijai sadarbībā ar Iekšlietu ministriju</w:t>
      </w:r>
      <w:r w:rsidRPr="00177F30">
        <w:rPr>
          <w:color w:val="000000" w:themeColor="text1"/>
          <w:lang w:val="lv-LV"/>
        </w:rPr>
        <w:t xml:space="preserve"> </w:t>
      </w:r>
      <w:r w:rsidRPr="00177F30">
        <w:rPr>
          <w:i/>
          <w:iCs/>
          <w:color w:val="000000" w:themeColor="text1"/>
          <w:lang w:val="lv-LV"/>
        </w:rPr>
        <w:t>izvērtēt ieslodzīto konvojēšanas funkcijas nodrošinājumu Valsts policijā un Ieslodzījuma vietu pārvaldē, izstrādājot efektīvāko risinājumu, tai skaitā vērtējot tiesas procesu organizēšanas iespējas ar videokonferenču starpniecību un ar esošajām valsts budžeta finansiālajām iespējām, pēc saskaņošanas ar Finanšu ministriju līdz 2021. gada 1. jūnijam iesniegt priekšlikumus ieslodzīto konvojēšanas funkcijas pārskatīšanai izskatīšanai Ministru kabinetā.</w:t>
      </w:r>
      <w:r w:rsidRPr="00177F30">
        <w:rPr>
          <w:rFonts w:cs="Times New Roman"/>
          <w:lang w:val="lv-LV"/>
        </w:rPr>
        <w:t>”</w:t>
      </w:r>
    </w:p>
    <w:p w14:paraId="09E0E2A6" w14:textId="7E020393" w:rsidR="00177F30" w:rsidRPr="00177F30" w:rsidRDefault="00177F30" w:rsidP="00D00D0D">
      <w:pPr>
        <w:ind w:firstLine="709"/>
        <w:rPr>
          <w:rFonts w:cs="Times New Roman"/>
          <w:lang w:val="lv-LV"/>
        </w:rPr>
      </w:pPr>
      <w:r w:rsidRPr="00177F30">
        <w:rPr>
          <w:rFonts w:cs="Times New Roman"/>
          <w:lang w:val="lv-LV"/>
        </w:rPr>
        <w:t xml:space="preserve">TM informējusi, ka tiek ilgstoši strādāts pie attiecīga informatīvā ziņojuma par konvoja kompetences pārdales risinājumu izstrādes, tomēr ir ieildzis informatīvā ziņojuma saskaņošanas process ar IeM. Tāpat COVID-19 situācija ir būtiski mainījusi normatīvos noteikto ieslodzīto konvojēšanas regulējumu un praktiskos risinājumus, vienlaikus pierādot, ka ir iespējami citi, valsts budžetu taupošāki, risinājumi nekā bija paredzēts informatīvajā ziņojumā. Ņemot vērā minēto, ir nepieciešams izstrādāt citu risinājumu, kas atbilst COVID-19 ieviestajām izmaiņām ieslodzīto konvojēšanā. TM norāda, ka lielu daļa no darbībām, kuru dēļ tika veikta konvojēšana, var īstenot attālināti, kā ieguvumus norādot mazāku nepieciešamo finansējumu konvojēšanai, īsākus konvojēšanas maršrutus (samazinātos arī izdevumi ieslodzīto </w:t>
      </w:r>
      <w:r w:rsidRPr="00177F30">
        <w:rPr>
          <w:rFonts w:cs="Times New Roman"/>
          <w:lang w:val="lv-LV"/>
        </w:rPr>
        <w:lastRenderedPageBreak/>
        <w:t xml:space="preserve">uzturēšanai </w:t>
      </w:r>
      <w:r w:rsidR="007D00BC">
        <w:rPr>
          <w:rFonts w:cs="Times New Roman"/>
          <w:lang w:val="lv-LV"/>
        </w:rPr>
        <w:t>VP</w:t>
      </w:r>
      <w:r w:rsidRPr="00177F30">
        <w:rPr>
          <w:rFonts w:cs="Times New Roman"/>
          <w:lang w:val="lv-LV"/>
        </w:rPr>
        <w:t xml:space="preserve"> telpās), kā arī to, ka </w:t>
      </w:r>
      <w:r w:rsidR="007D00BC">
        <w:rPr>
          <w:rFonts w:cs="Times New Roman"/>
          <w:lang w:val="lv-LV"/>
        </w:rPr>
        <w:t>VP</w:t>
      </w:r>
      <w:r w:rsidRPr="00177F30">
        <w:rPr>
          <w:rFonts w:cs="Times New Roman"/>
          <w:lang w:val="lv-LV"/>
        </w:rPr>
        <w:t xml:space="preserve"> cilvēkresursus varētu novirzīt citu uzdevumu izpildei. TM uzdevumu izpildīs 2021. gada laikā. </w:t>
      </w:r>
    </w:p>
    <w:p w14:paraId="1363A0D2"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18. punkts </w:t>
      </w:r>
      <w:r w:rsidRPr="00177F30">
        <w:rPr>
          <w:b/>
          <w:bCs/>
          <w:lang w:val="lv-LV"/>
        </w:rPr>
        <w:t>Izglītības un zinātnes ministrijai sadarbībā ar Ekonomikas ministriju, Kultūras ministriju, Iekšlietu ministriju, Zemkopības ministriju un Veselības ministriju</w:t>
      </w:r>
      <w:r w:rsidRPr="00177F30">
        <w:rPr>
          <w:lang w:val="lv-LV"/>
        </w:rPr>
        <w:t xml:space="preserve"> </w:t>
      </w:r>
      <w:r w:rsidRPr="00177F30">
        <w:rPr>
          <w:i/>
          <w:iCs/>
          <w:lang w:val="lv-LV"/>
        </w:rPr>
        <w:t>izvērtēt profesionālās izglītības mācību programmu piedāvājumu izglītības iestādēs un to atbilstību darba tirgus tendencēm un Izglītības un zinātnes ministrijai iesniegt attiecīgu informāciju 2021. gada izdevumu pārskatīšanas ietvaros.</w:t>
      </w:r>
      <w:r w:rsidRPr="00177F30">
        <w:rPr>
          <w:rFonts w:cs="Times New Roman"/>
          <w:lang w:val="lv-LV"/>
        </w:rPr>
        <w:t>”</w:t>
      </w:r>
    </w:p>
    <w:p w14:paraId="701D59B3" w14:textId="647F3773" w:rsidR="00177F30" w:rsidRPr="00177F30" w:rsidRDefault="00177F30" w:rsidP="00D00D0D">
      <w:pPr>
        <w:ind w:firstLine="720"/>
        <w:rPr>
          <w:rFonts w:cs="Times New Roman"/>
          <w:lang w:val="lv-LV"/>
        </w:rPr>
      </w:pPr>
      <w:r w:rsidRPr="00177F30">
        <w:rPr>
          <w:rFonts w:cs="Times New Roman"/>
          <w:lang w:val="lv-LV"/>
        </w:rPr>
        <w:t>Lai izstrādātu ietvaru absolventu monitoringa ieviešanai profesionālajā izglītībā un nodrošinātu absolventu turpmāko gaitu monitoringu, IZM sagatavojusi informatīvo ziņojumu “Par absolventu monitoringa sistēmas izveidi profesionālajā izglītībā”, kas izsludināts VSS 2021. gada 14. janvārī</w:t>
      </w:r>
      <w:r w:rsidR="0059413B">
        <w:rPr>
          <w:rFonts w:cs="Times New Roman"/>
          <w:lang w:val="lv-LV"/>
        </w:rPr>
        <w:t xml:space="preserve"> (prot. Nr.2 16.§, VSS-29)</w:t>
      </w:r>
      <w:r w:rsidRPr="00177F30">
        <w:rPr>
          <w:rFonts w:cs="Times New Roman"/>
          <w:lang w:val="lv-LV"/>
        </w:rPr>
        <w:t>, un šobrīd notiek darbs pie informatīvā ziņojuma pilnveides, lai nodrošinātu tā tālāku virzību izskatīšanai MK.</w:t>
      </w:r>
    </w:p>
    <w:p w14:paraId="310717D2" w14:textId="77777777" w:rsidR="00177F30" w:rsidRPr="00177F30" w:rsidRDefault="00177F30" w:rsidP="00D00D0D">
      <w:pPr>
        <w:ind w:firstLine="720"/>
        <w:rPr>
          <w:rFonts w:cs="Times New Roman"/>
          <w:lang w:val="lv-LV"/>
        </w:rPr>
      </w:pPr>
      <w:r w:rsidRPr="00177F30">
        <w:rPr>
          <w:rFonts w:cs="Times New Roman"/>
          <w:lang w:val="lv-LV"/>
        </w:rPr>
        <w:t xml:space="preserve">Tāpat arī 2020. gada beigās no CSP saņemti pirmie testa dati par 2018. gada absolventu turpmākajām gaitām. Notiek darbs pie absolventu monitoringa sistēmas izveides saskaņā ar informatīvajā ziņojumā noteikto laika grafiku, lai jau 2022. gadā tiktu publicēti dati par profesionālās izglītības programmu absolventiem. </w:t>
      </w:r>
    </w:p>
    <w:p w14:paraId="7829AD6D" w14:textId="4D156794" w:rsidR="00177F30" w:rsidRPr="00177F30" w:rsidRDefault="00177F30" w:rsidP="00D00D0D">
      <w:pPr>
        <w:ind w:firstLine="720"/>
        <w:rPr>
          <w:rFonts w:cs="Times New Roman"/>
          <w:lang w:val="lv-LV"/>
        </w:rPr>
      </w:pPr>
      <w:r w:rsidRPr="00177F30">
        <w:rPr>
          <w:rFonts w:cs="Times New Roman"/>
          <w:lang w:val="lv-LV"/>
        </w:rPr>
        <w:t xml:space="preserve">Saskaņā ar IZM 2021. gada 6. aprīļa rīkojumu Nr. 1-2e/21/119 “Par profesionālās izglītības kompetences centru uzdevumiem” </w:t>
      </w:r>
      <w:r w:rsidR="004E5856">
        <w:rPr>
          <w:rFonts w:cs="Times New Roman"/>
          <w:lang w:val="lv-LV"/>
        </w:rPr>
        <w:t xml:space="preserve">un </w:t>
      </w:r>
      <w:r w:rsidR="004E5856" w:rsidRPr="00170AAA">
        <w:rPr>
          <w:rFonts w:cs="Times New Roman"/>
          <w:lang w:val="lv-LV"/>
        </w:rPr>
        <w:t>2021. gada 30.  jūnija rīkojumu Nr. 1-2e/21/225 „Grozījums Izglītības un zinātnes ministrijas 2021. gada 6. aprīļa rīkojumā Nr.  1-2e/21/119 „Par profesionālās izglītības kompetences centru uzdevumiem”</w:t>
      </w:r>
      <w:r w:rsidR="004E5856">
        <w:rPr>
          <w:rFonts w:cs="Times New Roman"/>
          <w:lang w:val="lv-LV"/>
        </w:rPr>
        <w:t xml:space="preserve"> </w:t>
      </w:r>
      <w:r w:rsidRPr="00177F30">
        <w:rPr>
          <w:rFonts w:cs="Times New Roman"/>
          <w:lang w:val="lv-LV"/>
        </w:rPr>
        <w:t xml:space="preserve">IZM padotībā esošajiem profesionālās izglītības kompetences centriem atbilstoši noteiktajam nozaru sadalījumam, sadarbojoties nozaru pārstāvjiem un iesaistot izglītības iestādes, kas īsteno izglītības programmas attiecīgajā metodiskajā jomā, nodrošināt metodiskā darba virsvadības un līdzatbildības uzdevumu izpildi: izstrādāt un aktualizēt profesionālās izglītības programmu saturu, pilnveidot kvalitāti, pielāgot un integrēt vispārējās izglītības saturu, izstrādāt vai aktualizēt profesionālās izglītības programmu paraugus īstenošanai, nosakot profesionālo kvalifikāciju kopumu, profesionālās kvalifikācijas un/vai specializācijas ieguves ilgumu, prakses moduļu apjomu stundās, atzīstamu profesionālās kvalifikācijas daļu saturu un apjomu, izstrādāt jaunas profesionālās izglītības programmas vai profesionālo kompetenču moduļus atbilstoši darba tirgus pieprasījumam, izstrādāt metodiskos materiālus, nodrošināt izcilības un labās prakses ieviešanu, vadot seminārus, praktiskās darbnīcas un meistarklases. </w:t>
      </w:r>
    </w:p>
    <w:p w14:paraId="71EF1C24" w14:textId="4CD82851" w:rsidR="00177F30" w:rsidRPr="00177F30" w:rsidRDefault="00177F30" w:rsidP="00D00D0D">
      <w:pPr>
        <w:ind w:firstLine="720"/>
        <w:rPr>
          <w:rFonts w:cs="Times New Roman"/>
          <w:lang w:val="lv-LV"/>
        </w:rPr>
      </w:pPr>
      <w:r w:rsidRPr="00177F30">
        <w:rPr>
          <w:rFonts w:cs="Times New Roman"/>
          <w:lang w:val="lv-LV"/>
        </w:rPr>
        <w:t xml:space="preserve">VSS 2020. gada 12. novembrī </w:t>
      </w:r>
      <w:r w:rsidR="0059413B">
        <w:rPr>
          <w:rFonts w:cs="Times New Roman"/>
          <w:lang w:val="lv-LV"/>
        </w:rPr>
        <w:t xml:space="preserve">(prot. Nr.45 15.§, VSS-975) </w:t>
      </w:r>
      <w:r w:rsidRPr="00177F30">
        <w:rPr>
          <w:rFonts w:cs="Times New Roman"/>
          <w:lang w:val="lv-LV"/>
        </w:rPr>
        <w:t xml:space="preserve">izsludināts konceptuālais ziņojums “Par profesionālās izglītības programmu finansēšanu”, kurā sniegti priekšlikumi profesionālās izglītības programmu finansēšanas pilnveidei, t.sk., lai nodrošinātu profesionālās izglītības programmu pilnvērtīgai īstenošanai nepieciešamo finansējumu. Tāpat arī sniegti priekšlikumi, lai dotu iespēju pašvaldību un citu dibinātāju izglītības iestādēm pretendēt uz valsts budžeta līdzekļiem profesionālās izglītības programmu īstenošanai atbilstoši noteiktiem kritērijiem. Konceptuālais ziņojums šobrīd atrodas saskaņošanas procesā. </w:t>
      </w:r>
    </w:p>
    <w:p w14:paraId="7D17807E" w14:textId="2A551002" w:rsidR="00177F30" w:rsidRPr="00177F30" w:rsidRDefault="00177F30" w:rsidP="00D00D0D">
      <w:pPr>
        <w:ind w:firstLine="720"/>
        <w:rPr>
          <w:rFonts w:cs="Times New Roman"/>
          <w:lang w:val="lv-LV"/>
        </w:rPr>
      </w:pPr>
      <w:r w:rsidRPr="00177F30">
        <w:rPr>
          <w:rFonts w:cs="Times New Roman"/>
          <w:lang w:val="lv-LV"/>
        </w:rPr>
        <w:t xml:space="preserve">VM sadarbībā ar IZM ir rosinājusi grozījumus Augstskolu likuma 51. panta </w:t>
      </w:r>
      <w:r w:rsidR="0059413B">
        <w:rPr>
          <w:rFonts w:cs="Times New Roman"/>
          <w:lang w:val="lv-LV"/>
        </w:rPr>
        <w:t>otrajā</w:t>
      </w:r>
      <w:r w:rsidR="0059413B" w:rsidRPr="00177F30">
        <w:rPr>
          <w:rFonts w:cs="Times New Roman"/>
          <w:lang w:val="lv-LV"/>
        </w:rPr>
        <w:t xml:space="preserve"> </w:t>
      </w:r>
      <w:r w:rsidRPr="00177F30">
        <w:rPr>
          <w:rFonts w:cs="Times New Roman"/>
          <w:lang w:val="lv-LV"/>
        </w:rPr>
        <w:t>daļā, lai paredzētu, ka studējošo skaits medicīnas studiju programmās tiek plānots, ņemot vērā ārstniecības iestāžu kapacitāti nodrošināt kvalitatīvu studiju programmu klīniski praktisko mācību apguvi. Saskaņā ar konceptuālo ziņojumu “Par māsu profesijas attīstību”, lai nodrošinātu pakāpenisku pāreju uz profesiju “vispārējās aprūpes māsa” atbilstoši darba tirgus attīstības tendencēm, 2021. gadā pārtraukta uzņemšana māszinību studiju programmās gan VM, gan padotības IZM koledžās (turpmāk realizēs augstskolas).</w:t>
      </w:r>
    </w:p>
    <w:p w14:paraId="09A965E0" w14:textId="77777777" w:rsidR="00177F30" w:rsidRPr="00177F30" w:rsidRDefault="00177F30" w:rsidP="00D00D0D">
      <w:pPr>
        <w:rPr>
          <w:rFonts w:cs="Times New Roman"/>
          <w:lang w:val="lv-LV"/>
        </w:rPr>
      </w:pPr>
      <w:r w:rsidRPr="00177F30">
        <w:rPr>
          <w:rFonts w:cs="Times New Roman"/>
          <w:lang w:val="lv-LV"/>
        </w:rPr>
        <w:lastRenderedPageBreak/>
        <w:t>“</w:t>
      </w:r>
      <w:r w:rsidRPr="00177F30">
        <w:rPr>
          <w:rFonts w:cs="Times New Roman"/>
          <w:b/>
          <w:lang w:val="lv-LV"/>
        </w:rPr>
        <w:t xml:space="preserve">19. punkts </w:t>
      </w:r>
      <w:r w:rsidRPr="00177F30">
        <w:rPr>
          <w:b/>
          <w:bCs/>
          <w:lang w:val="lv-LV"/>
        </w:rPr>
        <w:t>Izglītības un zinātnes ministrijai</w:t>
      </w:r>
      <w:r w:rsidRPr="00177F30">
        <w:rPr>
          <w:lang w:val="lv-LV"/>
        </w:rPr>
        <w:t xml:space="preserve"> </w:t>
      </w:r>
      <w:r w:rsidRPr="00177F30">
        <w:rPr>
          <w:i/>
          <w:iCs/>
          <w:lang w:val="lv-LV"/>
        </w:rPr>
        <w:t>uzlabot datu kvalitāti un nodrošināt datu analīzi, tai skaitā pa izglītības finansēšanas avotiem, Valsts izglītības informācijas sistēmā (VIIS) par profesionālās izglītības mācību iestādēm, kā arī uzlabot no augstskolām saņemto finansējuma izlietojuma datu kvalitāti atbilstoši informatīvajā ziņojumā izdarītajiem secinājumiem un iesniegt attiecīgu informāciju 2021. gada izdevumu pārskatīšanas ietvaros.</w:t>
      </w:r>
      <w:r w:rsidRPr="00177F30">
        <w:rPr>
          <w:rFonts w:cs="Times New Roman"/>
          <w:lang w:val="lv-LV"/>
        </w:rPr>
        <w:t>”</w:t>
      </w:r>
    </w:p>
    <w:p w14:paraId="42B5FED8" w14:textId="77777777" w:rsidR="00177F30" w:rsidRPr="00177F30" w:rsidRDefault="00177F30" w:rsidP="00D00D0D">
      <w:pPr>
        <w:ind w:firstLine="720"/>
        <w:rPr>
          <w:rFonts w:cs="Times New Roman"/>
          <w:lang w:val="lv-LV"/>
        </w:rPr>
      </w:pPr>
      <w:r w:rsidRPr="00177F30">
        <w:rPr>
          <w:rFonts w:cs="Times New Roman"/>
          <w:lang w:val="lv-LV"/>
        </w:rPr>
        <w:t>Lai uzlabotu datu kvalitāti un nodrošināt datu analīzi, tiek turpināts darbs VIIS darba grupā pie VIIS pilnveides un uzlabošanas pasākumiem. Tiek veidoti informatīvie materiāli (t.sk. instrukcijas un prezentācijas) par VIIS funkcionalitāti un aktualitātēm, lai veicinātu izglītības iestāžu izpratni par VIIS datu kvalitātes nozīmību un nepieciešamību. Tiek nodrošināta un tiks turpināta VIIS ievadītās informācijas analīze, t.sk. metodiskais darbs ar izglītības iestādēm, lai nodrošinātu korektas informācijas ievadi VIIS.</w:t>
      </w:r>
    </w:p>
    <w:p w14:paraId="5AFE6E59" w14:textId="797FCDC7" w:rsidR="00177F30" w:rsidRPr="00177F30" w:rsidRDefault="00177F30" w:rsidP="00D00D0D">
      <w:pPr>
        <w:ind w:firstLine="720"/>
        <w:rPr>
          <w:rFonts w:cs="Times New Roman"/>
          <w:lang w:val="lv-LV"/>
        </w:rPr>
      </w:pPr>
      <w:r w:rsidRPr="00177F30">
        <w:rPr>
          <w:rFonts w:cs="Times New Roman"/>
          <w:lang w:val="lv-LV"/>
        </w:rPr>
        <w:t>Tāpat IZM SAM 8.3.6.</w:t>
      </w:r>
      <w:r w:rsidR="000732F2">
        <w:rPr>
          <w:rFonts w:cs="Times New Roman"/>
          <w:lang w:val="lv-LV"/>
        </w:rPr>
        <w:t xml:space="preserve"> </w:t>
      </w:r>
      <w:r w:rsidRPr="00177F30">
        <w:rPr>
          <w:rFonts w:cs="Times New Roman"/>
          <w:lang w:val="lv-LV"/>
        </w:rPr>
        <w:t xml:space="preserve">2. projekta ietvaros turpina darbu pie VIIS attīstības ar mērķi nodrošināt izglītības kvalitātes monitoringa sistēmas izveidi, kur viens no uzdevumiem ir iepriekšminētā absolventu monitoringa ieviešana profesionālajā izglītībā. </w:t>
      </w:r>
    </w:p>
    <w:p w14:paraId="6DDC29EA" w14:textId="549E1477" w:rsidR="00177F30" w:rsidRPr="00177F30" w:rsidRDefault="00177F30" w:rsidP="00D00D0D">
      <w:pPr>
        <w:ind w:firstLine="720"/>
        <w:rPr>
          <w:rFonts w:cs="Times New Roman"/>
          <w:lang w:val="lv-LV"/>
        </w:rPr>
      </w:pPr>
      <w:r w:rsidRPr="00177F30">
        <w:rPr>
          <w:rFonts w:cs="Times New Roman"/>
          <w:lang w:val="lv-LV"/>
        </w:rPr>
        <w:t xml:space="preserve">IZM iesniedza grozījumus Augstskolu likumā par datu apmaiņu, kas paredz izteikt Augstskolu likuma 75. panta otro daļu šādā redakcijā: “(2) Augstskola un koledža sagatavo un iesniedz Izglītības un zinātnes ministrijai informāciju par savu darbību politikas plānošanas un ieviešanas uzraudzības procesu nodrošināšanai atbilstoši politikas prioritātēm augstākajā izglītībā. Izglītības un zinātnes ministrijai iesniedzamās informācijas satura, apjoma, iesniegšanas, kā arī tās publiskošanas kārtību un termiņus nosaka Ministru kabinets.” Pēc šo grozījumu apstiprināšanas tiks izdoti jauni MK noteikumi par IZM iesniedzamās informācijas satura, apjoma, iesniegšanas, kā arī tās publiskošanas kārtību un termiņus un ar ko tiks aizstāti MK 2006. gada 2. maija noteikumi Nr. 348 “Kārtība, kādā augstskola un koledža iesniedz Izglītības un zinātnes ministrijā informāciju par savu darbību” un nepieciešamības gadījumā tiks veikti grozījumi MK </w:t>
      </w:r>
      <w:r w:rsidR="0059413B" w:rsidRPr="0059413B">
        <w:rPr>
          <w:rFonts w:cs="Times New Roman"/>
          <w:lang w:val="lv-LV"/>
        </w:rPr>
        <w:t xml:space="preserve">2019.gada 25.jūnija </w:t>
      </w:r>
      <w:r w:rsidRPr="00177F30">
        <w:rPr>
          <w:rFonts w:cs="Times New Roman"/>
          <w:lang w:val="lv-LV"/>
        </w:rPr>
        <w:t xml:space="preserve">noteikumos Nr. 276 “Valsts izglītības informācijas sistēmas noteikumi”. </w:t>
      </w:r>
    </w:p>
    <w:p w14:paraId="3240F131"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22. punkts </w:t>
      </w:r>
      <w:r w:rsidRPr="00177F30">
        <w:rPr>
          <w:b/>
          <w:lang w:val="lv-LV"/>
        </w:rPr>
        <w:t>Finanšu ministrijai (VSIA “Valsts nekustamie īpašumi”) sadarbībā ar Izglītības un zinātnes ministriju, Kultūras ministriju, Zemkopības ministriju, Veselības ministriju</w:t>
      </w:r>
      <w:r w:rsidRPr="00177F30">
        <w:rPr>
          <w:bCs/>
          <w:lang w:val="lv-LV"/>
        </w:rPr>
        <w:t xml:space="preserve"> </w:t>
      </w:r>
      <w:r w:rsidRPr="00177F30">
        <w:rPr>
          <w:bCs/>
          <w:i/>
          <w:iCs/>
          <w:lang w:val="lv-LV"/>
        </w:rPr>
        <w:t xml:space="preserve">izvērtēt augstskolu un profesionālās izglītības iestāžu nekustāmā īpašuma izmantošanas efektivitāti un iesniegt </w:t>
      </w:r>
      <w:r w:rsidRPr="00177F30">
        <w:rPr>
          <w:i/>
          <w:iCs/>
          <w:lang w:val="lv-LV"/>
        </w:rPr>
        <w:t>attiecīgu informāciju 2021. gada izdevumu pārskatīšanas ietvaros</w:t>
      </w:r>
      <w:r w:rsidRPr="00177F30">
        <w:rPr>
          <w:rFonts w:cs="Times New Roman"/>
          <w:i/>
          <w:iCs/>
          <w:lang w:val="lv-LV"/>
        </w:rPr>
        <w:t>.</w:t>
      </w:r>
      <w:r w:rsidRPr="00177F30">
        <w:rPr>
          <w:rFonts w:cs="Times New Roman"/>
          <w:lang w:val="lv-LV"/>
        </w:rPr>
        <w:t>”</w:t>
      </w:r>
    </w:p>
    <w:p w14:paraId="0071AFF5" w14:textId="673BC6C7" w:rsidR="00177F30" w:rsidRPr="00177F30" w:rsidRDefault="00177F30" w:rsidP="00D00D0D">
      <w:pPr>
        <w:ind w:firstLine="720"/>
        <w:rPr>
          <w:rFonts w:cs="Times New Roman"/>
          <w:lang w:val="lv-LV"/>
        </w:rPr>
      </w:pPr>
      <w:r w:rsidRPr="00177F30">
        <w:rPr>
          <w:rFonts w:cs="Times New Roman"/>
          <w:lang w:val="lv-LV"/>
        </w:rPr>
        <w:t>Izpildot minēto uzdevumu, 2021.</w:t>
      </w:r>
      <w:r w:rsidR="00FF342C">
        <w:rPr>
          <w:rFonts w:cs="Times New Roman"/>
          <w:lang w:val="lv-LV"/>
        </w:rPr>
        <w:t xml:space="preserve"> </w:t>
      </w:r>
      <w:r w:rsidRPr="00177F30">
        <w:rPr>
          <w:rFonts w:cs="Times New Roman"/>
          <w:lang w:val="lv-LV"/>
        </w:rPr>
        <w:t>gada 8.</w:t>
      </w:r>
      <w:r w:rsidR="00FF342C">
        <w:rPr>
          <w:rFonts w:cs="Times New Roman"/>
          <w:lang w:val="lv-LV"/>
        </w:rPr>
        <w:t xml:space="preserve"> </w:t>
      </w:r>
      <w:r w:rsidRPr="00177F30">
        <w:rPr>
          <w:rFonts w:cs="Times New Roman"/>
          <w:lang w:val="lv-LV"/>
        </w:rPr>
        <w:t xml:space="preserve">jūnijā ar </w:t>
      </w:r>
      <w:r w:rsidR="00FE4015">
        <w:rPr>
          <w:rFonts w:cs="Times New Roman"/>
          <w:lang w:val="lv-LV"/>
        </w:rPr>
        <w:t>VNĪ</w:t>
      </w:r>
      <w:r w:rsidRPr="00177F30">
        <w:rPr>
          <w:rFonts w:cs="Times New Roman"/>
          <w:lang w:val="lv-LV"/>
        </w:rPr>
        <w:t xml:space="preserve"> rīkojumu Nr. RIK/2021/91 tika izveidota darba grupa, kuras sastāvā iekļauti FM, IZM, KM, ZM, VM deleģētie pārstāvji, kā arī pārstāvji no </w:t>
      </w:r>
      <w:r w:rsidR="00FE4015">
        <w:rPr>
          <w:rFonts w:cs="Times New Roman"/>
          <w:lang w:val="lv-LV"/>
        </w:rPr>
        <w:t>VNĪ</w:t>
      </w:r>
      <w:r w:rsidRPr="00177F30">
        <w:rPr>
          <w:rFonts w:cs="Times New Roman"/>
          <w:lang w:val="lv-LV"/>
        </w:rPr>
        <w:t>.</w:t>
      </w:r>
    </w:p>
    <w:p w14:paraId="2478049A" w14:textId="77777777" w:rsidR="00177F30" w:rsidRPr="00177F30" w:rsidRDefault="00177F30" w:rsidP="00D00D0D">
      <w:pPr>
        <w:ind w:firstLine="720"/>
        <w:rPr>
          <w:rFonts w:cs="Times New Roman"/>
          <w:lang w:val="lv-LV"/>
        </w:rPr>
      </w:pPr>
      <w:r w:rsidRPr="00177F30">
        <w:rPr>
          <w:rFonts w:cs="Times New Roman"/>
          <w:lang w:val="lv-LV"/>
        </w:rPr>
        <w:t>Darba grupa, ņemot vērā apstākli, ka uzdevums ir noteikts ļoti vispārīgi, diskusiju rezultātā vienojās par nepieciešamību precizēt uzdoto uzdevumu, atsevišķi izdalot augstākās izglītības iestāžu un profesionālās izglītības iestāžu izvērtējumus, šādu apsvērumu dēļ:</w:t>
      </w:r>
    </w:p>
    <w:p w14:paraId="2B553D12" w14:textId="77777777" w:rsidR="00177F30" w:rsidRPr="00177F30" w:rsidRDefault="00177F30" w:rsidP="004C1C06">
      <w:pPr>
        <w:pStyle w:val="ListParagraph"/>
        <w:numPr>
          <w:ilvl w:val="0"/>
          <w:numId w:val="34"/>
        </w:numPr>
        <w:ind w:left="1434" w:hanging="357"/>
        <w:contextualSpacing w:val="0"/>
        <w:rPr>
          <w:rFonts w:cs="Times New Roman"/>
          <w:lang w:val="lv-LV"/>
        </w:rPr>
      </w:pPr>
      <w:r w:rsidRPr="00177F30">
        <w:rPr>
          <w:rFonts w:cs="Times New Roman"/>
          <w:lang w:val="lv-LV"/>
        </w:rPr>
        <w:t>izglītības iestāžu atšķirīgais tiesiskais statuss un padotības forma;</w:t>
      </w:r>
    </w:p>
    <w:p w14:paraId="0014B891" w14:textId="77777777" w:rsidR="00177F30" w:rsidRPr="00177F30" w:rsidRDefault="00177F30" w:rsidP="004C1C06">
      <w:pPr>
        <w:pStyle w:val="ListParagraph"/>
        <w:numPr>
          <w:ilvl w:val="0"/>
          <w:numId w:val="34"/>
        </w:numPr>
        <w:ind w:left="1434" w:hanging="357"/>
        <w:contextualSpacing w:val="0"/>
        <w:rPr>
          <w:rFonts w:cs="Times New Roman"/>
          <w:lang w:val="lv-LV"/>
        </w:rPr>
      </w:pPr>
      <w:r w:rsidRPr="00177F30">
        <w:rPr>
          <w:rFonts w:cs="Times New Roman"/>
          <w:lang w:val="lv-LV"/>
        </w:rPr>
        <w:t>dažādo nekustamo īpašumu īpašuma tiesību iegūšanas veidu un rīcības brīvību, nodrošinot nekustamo īpašumu pārvaldīšanu, apsaimniekošanu un attīstību.</w:t>
      </w:r>
    </w:p>
    <w:p w14:paraId="35F9466A" w14:textId="1717D005" w:rsidR="00177F30" w:rsidRPr="00177F30" w:rsidRDefault="00177F30" w:rsidP="00D00D0D">
      <w:pPr>
        <w:ind w:firstLine="720"/>
        <w:rPr>
          <w:rFonts w:cs="Times New Roman"/>
          <w:lang w:val="lv-LV"/>
        </w:rPr>
      </w:pPr>
      <w:r w:rsidRPr="00177F30">
        <w:rPr>
          <w:rFonts w:cs="Times New Roman"/>
          <w:lang w:val="lv-LV"/>
        </w:rPr>
        <w:t xml:space="preserve">Darba grupa, ņemot vērā iesaistīto iestāžu skaitu, apkopojamās un kvalitatīvi izvērtējamās informācijas apjomu, vienojās, ka ir nepieciešams pagarināt uzdevuma izpildes termiņu, lai to varētu izmantot 2022. gada informatīvā ziņojuma “Par valsts budžeta izdevumu </w:t>
      </w:r>
      <w:r w:rsidRPr="00177F30">
        <w:rPr>
          <w:rFonts w:cs="Times New Roman"/>
          <w:lang w:val="lv-LV"/>
        </w:rPr>
        <w:lastRenderedPageBreak/>
        <w:t>pārskatīšanas rezultātiem un priekšlikumi par šo rezultātu izmantošanu likumprojekta “Par vidēja termiņa budžeta ietvaru 2023., 2024. un 2025. gadam” un likumprojekta “Par valsts budžetu 2023.</w:t>
      </w:r>
      <w:r w:rsidR="00FF342C">
        <w:rPr>
          <w:rFonts w:cs="Times New Roman"/>
          <w:lang w:val="lv-LV"/>
        </w:rPr>
        <w:t xml:space="preserve"> </w:t>
      </w:r>
      <w:r w:rsidRPr="00177F30">
        <w:rPr>
          <w:rFonts w:cs="Times New Roman"/>
          <w:lang w:val="lv-LV"/>
        </w:rPr>
        <w:t>gadam” izstrādei.</w:t>
      </w:r>
    </w:p>
    <w:p w14:paraId="54EA6701" w14:textId="0E3E7A5A" w:rsidR="000732F2" w:rsidRPr="00177F30" w:rsidRDefault="00177F30" w:rsidP="001E47BA">
      <w:pPr>
        <w:ind w:firstLine="720"/>
        <w:rPr>
          <w:rFonts w:cs="Times New Roman"/>
          <w:lang w:val="lv-LV"/>
        </w:rPr>
      </w:pPr>
      <w:r w:rsidRPr="00177F30">
        <w:rPr>
          <w:rFonts w:cs="Times New Roman"/>
          <w:lang w:val="lv-LV"/>
        </w:rPr>
        <w:t>Darba grupa 2021. gada 15. jūlija kārtējās sanāksmes laikā vienojās par tās darbībai nepieciešamās informācijas apkopošanas formu un kārtību, kā arī tālākās rīcības indikatīvo laika grafiku:</w:t>
      </w:r>
    </w:p>
    <w:p w14:paraId="5B66ECC9" w14:textId="77777777" w:rsidR="00177F30" w:rsidRPr="00177F30" w:rsidRDefault="00177F30" w:rsidP="00D00D0D">
      <w:pPr>
        <w:ind w:firstLine="720"/>
        <w:rPr>
          <w:rFonts w:cs="Times New Roman"/>
          <w:lang w:val="lv-LV"/>
        </w:rPr>
      </w:pPr>
      <w:r w:rsidRPr="00177F30">
        <w:rPr>
          <w:rFonts w:cs="Times New Roman"/>
          <w:lang w:val="lv-LV"/>
        </w:rPr>
        <w:t>1.1.</w:t>
      </w:r>
      <w:r w:rsidRPr="00177F30">
        <w:rPr>
          <w:rFonts w:cs="Times New Roman"/>
          <w:lang w:val="lv-LV"/>
        </w:rPr>
        <w:tab/>
      </w:r>
      <w:r w:rsidRPr="00177F30">
        <w:rPr>
          <w:rFonts w:cs="Times New Roman"/>
          <w:b/>
          <w:bCs/>
          <w:lang w:val="lv-LV"/>
        </w:rPr>
        <w:t>Profesionālās izglītības iestāžu gadījumā:</w:t>
      </w:r>
    </w:p>
    <w:p w14:paraId="1696C379" w14:textId="77777777" w:rsidR="00177F30" w:rsidRPr="00177F30" w:rsidRDefault="00177F30" w:rsidP="00C111BC">
      <w:pPr>
        <w:tabs>
          <w:tab w:val="left" w:pos="1418"/>
        </w:tabs>
        <w:ind w:firstLine="709"/>
        <w:rPr>
          <w:rFonts w:cs="Times New Roman"/>
          <w:lang w:val="lv-LV"/>
        </w:rPr>
      </w:pPr>
      <w:r w:rsidRPr="00177F30">
        <w:rPr>
          <w:rFonts w:cs="Times New Roman"/>
          <w:lang w:val="lv-LV"/>
        </w:rPr>
        <w:t>1.1.1. saraksts ar katras izglītības iestādes izmantotajiem nekustamajiem īpašumiem, kā arī nekustamajiem īpašumiem, kas nav pašlaik vai nākotnē nebūs nepieciešami izglītības procesam;</w:t>
      </w:r>
    </w:p>
    <w:p w14:paraId="30D5B460" w14:textId="77777777" w:rsidR="00177F30" w:rsidRPr="00177F30" w:rsidRDefault="00177F30" w:rsidP="00C111BC">
      <w:pPr>
        <w:tabs>
          <w:tab w:val="left" w:pos="1560"/>
        </w:tabs>
        <w:ind w:firstLine="709"/>
        <w:rPr>
          <w:rFonts w:cs="Times New Roman"/>
          <w:lang w:val="lv-LV"/>
        </w:rPr>
      </w:pPr>
      <w:r w:rsidRPr="00177F30">
        <w:rPr>
          <w:rFonts w:cs="Times New Roman"/>
          <w:lang w:val="lv-LV"/>
        </w:rPr>
        <w:t>1.1.2. katrai izglītības iestādei pieejamais un nepieciešamais finansējums, t.sk. kāda daļa no piešķirtā finansējums tiek izmantota nekustamo īpašumu uzturēšanai;</w:t>
      </w:r>
    </w:p>
    <w:p w14:paraId="1175A24A" w14:textId="77777777" w:rsidR="00177F30" w:rsidRPr="00177F30" w:rsidRDefault="00177F30" w:rsidP="00C111BC">
      <w:pPr>
        <w:tabs>
          <w:tab w:val="left" w:pos="1560"/>
        </w:tabs>
        <w:ind w:firstLine="709"/>
        <w:rPr>
          <w:rFonts w:cs="Times New Roman"/>
          <w:lang w:val="lv-LV"/>
        </w:rPr>
      </w:pPr>
      <w:r w:rsidRPr="00177F30">
        <w:rPr>
          <w:rFonts w:cs="Times New Roman"/>
          <w:lang w:val="lv-LV"/>
        </w:rPr>
        <w:t>1.1.3. informācija par to, vai izglītības iestādei ir nekustamo īpašumu attīstības plāns, un tai ir zināms, kā nākotnē rīkoties ar katru nekustamo īpašumu;</w:t>
      </w:r>
    </w:p>
    <w:p w14:paraId="68DFBB6F" w14:textId="77777777" w:rsidR="00177F30" w:rsidRPr="00177F30" w:rsidRDefault="00177F30" w:rsidP="00C111BC">
      <w:pPr>
        <w:tabs>
          <w:tab w:val="left" w:pos="1560"/>
        </w:tabs>
        <w:ind w:firstLine="709"/>
        <w:rPr>
          <w:rFonts w:cs="Times New Roman"/>
          <w:lang w:val="lv-LV"/>
        </w:rPr>
      </w:pPr>
      <w:r w:rsidRPr="00177F30">
        <w:rPr>
          <w:rFonts w:cs="Times New Roman"/>
          <w:lang w:val="lv-LV"/>
        </w:rPr>
        <w:t>1.1.4. saraksts ar problemātiskajiem nekustamajiem īpašumiem, priekšlikumi tālākai rīcībai šo īpašumu sakārtošanai, indikatīvi nepieciešamais finansējums un ieteikums par nekustamo īpašumu sakārtošanas veicēju un kārtību.</w:t>
      </w:r>
    </w:p>
    <w:p w14:paraId="5A4A62FC" w14:textId="77777777" w:rsidR="00C111BC" w:rsidRDefault="00177F30" w:rsidP="00C111BC">
      <w:pPr>
        <w:ind w:firstLine="720"/>
        <w:rPr>
          <w:rFonts w:cs="Times New Roman"/>
          <w:lang w:val="lv-LV"/>
        </w:rPr>
      </w:pPr>
      <w:r w:rsidRPr="00177F30">
        <w:rPr>
          <w:rFonts w:cs="Times New Roman"/>
          <w:lang w:val="lv-LV"/>
        </w:rPr>
        <w:t>1.2.</w:t>
      </w:r>
      <w:r w:rsidRPr="00177F30">
        <w:rPr>
          <w:rFonts w:cs="Times New Roman"/>
          <w:lang w:val="lv-LV"/>
        </w:rPr>
        <w:tab/>
      </w:r>
      <w:r w:rsidRPr="00177F30">
        <w:rPr>
          <w:rFonts w:cs="Times New Roman"/>
          <w:b/>
          <w:bCs/>
          <w:lang w:val="lv-LV"/>
        </w:rPr>
        <w:t>Augstskolu gadījumā</w:t>
      </w:r>
      <w:r w:rsidRPr="00177F30">
        <w:rPr>
          <w:rFonts w:cs="Times New Roman"/>
          <w:lang w:val="lv-LV"/>
        </w:rPr>
        <w:t xml:space="preserve"> – darba grupa var veikt apkopojumu par augstskolu izstrādātajiem vai izstrādes procesā esošajiem nekustamo īpašumu attīstības plāniem, kas tiek sagatavoti saskaņā ar Augstskolu likuma un Ministru kabineta 2018. gada 10. aprīļa noteikumu Nr. 208 “Valsts augstskolu nekustamā īpašuma attīstības plāna sagatavošanas un valsts augstskolas bez atlīdzības nodotā valsts nekustamā īpašuma atsavināšanas kārtība” prasībām (apkopojot informāciju par izstrādes statusu, un prognozējamo pieņemšanas laika grafiku).</w:t>
      </w:r>
    </w:p>
    <w:p w14:paraId="46B40512" w14:textId="75B72925" w:rsidR="00C111BC" w:rsidRPr="00C111BC" w:rsidRDefault="00C111BC" w:rsidP="00C111BC">
      <w:pPr>
        <w:ind w:firstLine="720"/>
        <w:rPr>
          <w:rFonts w:cs="Times New Roman"/>
          <w:lang w:val="lv-LV"/>
        </w:rPr>
      </w:pPr>
      <w:r>
        <w:rPr>
          <w:rFonts w:cs="Times New Roman"/>
          <w:lang w:val="lv-LV"/>
        </w:rPr>
        <w:t xml:space="preserve">1.3. </w:t>
      </w:r>
      <w:r>
        <w:rPr>
          <w:rFonts w:cs="Times New Roman"/>
          <w:lang w:val="lv-LV"/>
        </w:rPr>
        <w:tab/>
      </w:r>
      <w:r w:rsidRPr="00C111BC">
        <w:rPr>
          <w:rFonts w:cs="Times New Roman"/>
          <w:b/>
          <w:bCs/>
          <w:szCs w:val="24"/>
          <w:lang w:val="lv-LV"/>
        </w:rPr>
        <w:t>Ņemot vērā iepriekš minēto, 2021.</w:t>
      </w:r>
      <w:r w:rsidR="000B7642">
        <w:rPr>
          <w:rFonts w:cs="Times New Roman"/>
          <w:b/>
          <w:bCs/>
          <w:szCs w:val="24"/>
          <w:lang w:val="lv-LV"/>
        </w:rPr>
        <w:t xml:space="preserve"> </w:t>
      </w:r>
      <w:r w:rsidRPr="00C111BC">
        <w:rPr>
          <w:rFonts w:cs="Times New Roman"/>
          <w:b/>
          <w:bCs/>
          <w:szCs w:val="24"/>
          <w:lang w:val="lv-LV"/>
        </w:rPr>
        <w:t xml:space="preserve">gada izdevumu pārskatīšanas ziņojumā </w:t>
      </w:r>
      <w:r w:rsidR="000B7642">
        <w:rPr>
          <w:rFonts w:cs="Times New Roman"/>
          <w:b/>
          <w:bCs/>
          <w:szCs w:val="24"/>
          <w:lang w:val="lv-LV"/>
        </w:rPr>
        <w:t>ir</w:t>
      </w:r>
      <w:r w:rsidRPr="00C111BC">
        <w:rPr>
          <w:rFonts w:cs="Times New Roman"/>
          <w:b/>
          <w:bCs/>
          <w:szCs w:val="24"/>
          <w:lang w:val="lv-LV"/>
        </w:rPr>
        <w:t xml:space="preserve"> precizējami darba grupas uzdevumi un nosakāmi šādā redakcijā</w:t>
      </w:r>
      <w:r w:rsidRPr="00C111BC">
        <w:rPr>
          <w:rFonts w:cs="Times New Roman"/>
          <w:szCs w:val="24"/>
          <w:lang w:val="lv-LV"/>
        </w:rPr>
        <w:t>:</w:t>
      </w:r>
    </w:p>
    <w:p w14:paraId="0333603B" w14:textId="4621B55F" w:rsidR="00C111BC" w:rsidRPr="00C111BC" w:rsidRDefault="00C111BC" w:rsidP="004C1C06">
      <w:pPr>
        <w:pStyle w:val="ListParagraph"/>
        <w:numPr>
          <w:ilvl w:val="2"/>
          <w:numId w:val="37"/>
        </w:numPr>
        <w:spacing w:after="60" w:line="240" w:lineRule="auto"/>
        <w:ind w:left="0" w:firstLine="709"/>
        <w:rPr>
          <w:rFonts w:cs="Times New Roman"/>
          <w:szCs w:val="24"/>
          <w:lang w:val="lv-LV"/>
        </w:rPr>
      </w:pPr>
      <w:r w:rsidRPr="00C111BC">
        <w:rPr>
          <w:rFonts w:cs="Times New Roman"/>
          <w:szCs w:val="24"/>
          <w:lang w:val="lv-LV"/>
        </w:rPr>
        <w:t>Lai nodrošinātu profesionālās izglītības iestāžu izmantotā nekustamā īpašuma efektivitātes uzlabošanu, izvērtēt profesionālo izglītības iestāžu valdījumā un lietošanā esošo nekustamo īpašumu portfeļa struktūru, sagatavot priekšlikumus portfeļa struktūras sakārtošanai un optimizācijas nodrošināšanai;</w:t>
      </w:r>
    </w:p>
    <w:p w14:paraId="64FF5EFE" w14:textId="77777777" w:rsidR="00C111BC" w:rsidRPr="00C111BC" w:rsidRDefault="00C111BC" w:rsidP="004C1C06">
      <w:pPr>
        <w:pStyle w:val="ListParagraph"/>
        <w:numPr>
          <w:ilvl w:val="2"/>
          <w:numId w:val="37"/>
        </w:numPr>
        <w:spacing w:after="60" w:line="240" w:lineRule="auto"/>
        <w:ind w:left="0" w:firstLine="709"/>
        <w:rPr>
          <w:rFonts w:cs="Times New Roman"/>
          <w:szCs w:val="24"/>
          <w:lang w:val="lv-LV"/>
        </w:rPr>
      </w:pPr>
      <w:r w:rsidRPr="00C111BC">
        <w:rPr>
          <w:rFonts w:cs="Times New Roman"/>
          <w:szCs w:val="24"/>
          <w:lang w:val="lv-LV"/>
        </w:rPr>
        <w:t>Apkopot informāciju par augstskolu izstrādātajiem nekustamo īpašumu attīstības plāniem, kā arī augstskolu  funkcijas nodrošināšanai nepieciešamo nekustamo īpašumu aktuālajām ilgtermiņa attīstības tendencēm.</w:t>
      </w:r>
    </w:p>
    <w:p w14:paraId="698491E2" w14:textId="50DA269D" w:rsidR="00C111BC" w:rsidRPr="000B7642" w:rsidRDefault="00C111BC" w:rsidP="004C1C06">
      <w:pPr>
        <w:pStyle w:val="ListParagraph"/>
        <w:numPr>
          <w:ilvl w:val="2"/>
          <w:numId w:val="37"/>
        </w:numPr>
        <w:spacing w:after="60" w:line="240" w:lineRule="auto"/>
        <w:ind w:left="0" w:firstLine="709"/>
        <w:rPr>
          <w:rFonts w:cs="Times New Roman"/>
          <w:szCs w:val="24"/>
          <w:lang w:val="lv-LV"/>
        </w:rPr>
      </w:pPr>
      <w:r w:rsidRPr="00C111BC">
        <w:rPr>
          <w:rFonts w:cs="Times New Roman"/>
          <w:szCs w:val="24"/>
          <w:lang w:val="lv-LV"/>
        </w:rPr>
        <w:t>Darba grupas ziņojums sagatavojams līdz 2022.</w:t>
      </w:r>
      <w:r w:rsidR="000B7642">
        <w:rPr>
          <w:rFonts w:cs="Times New Roman"/>
          <w:szCs w:val="24"/>
          <w:lang w:val="lv-LV"/>
        </w:rPr>
        <w:t xml:space="preserve"> </w:t>
      </w:r>
      <w:r w:rsidRPr="00C111BC">
        <w:rPr>
          <w:rFonts w:cs="Times New Roman"/>
          <w:szCs w:val="24"/>
          <w:lang w:val="lv-LV"/>
        </w:rPr>
        <w:t>gada 31.</w:t>
      </w:r>
      <w:r w:rsidR="000B7642">
        <w:rPr>
          <w:rFonts w:cs="Times New Roman"/>
          <w:szCs w:val="24"/>
          <w:lang w:val="lv-LV"/>
        </w:rPr>
        <w:t xml:space="preserve"> </w:t>
      </w:r>
      <w:r w:rsidRPr="00C111BC">
        <w:rPr>
          <w:rFonts w:cs="Times New Roman"/>
          <w:szCs w:val="24"/>
          <w:lang w:val="lv-LV"/>
        </w:rPr>
        <w:t>maijam, lai profesionālās izglītības iestāžu izmantošanas efektivitātes izvērtējumu un apkopojumu par augstskolu izstrādātajiem nekustamo īpašumu attīstības plāniem varētu izmantot 2022.</w:t>
      </w:r>
      <w:r w:rsidR="000B7642">
        <w:rPr>
          <w:rFonts w:cs="Times New Roman"/>
          <w:szCs w:val="24"/>
          <w:lang w:val="lv-LV"/>
        </w:rPr>
        <w:t xml:space="preserve"> </w:t>
      </w:r>
      <w:r w:rsidRPr="00C111BC">
        <w:rPr>
          <w:rFonts w:cs="Times New Roman"/>
          <w:szCs w:val="24"/>
          <w:lang w:val="lv-LV"/>
        </w:rPr>
        <w:t>gada izdevumu pārskatīšanas ietvaros.</w:t>
      </w:r>
    </w:p>
    <w:p w14:paraId="0C4D6534" w14:textId="77777777" w:rsidR="00D00D0D" w:rsidRDefault="00D00D0D" w:rsidP="00D00D0D">
      <w:pPr>
        <w:spacing w:before="120" w:after="0"/>
        <w:jc w:val="center"/>
        <w:rPr>
          <w:rFonts w:cs="Times New Roman"/>
          <w:b/>
          <w:lang w:val="lv-LV"/>
        </w:rPr>
      </w:pPr>
    </w:p>
    <w:p w14:paraId="5A97CFD9" w14:textId="08505158" w:rsidR="00177F30" w:rsidRPr="00177F30" w:rsidRDefault="00177F30" w:rsidP="00D00D0D">
      <w:pPr>
        <w:spacing w:after="0"/>
        <w:jc w:val="center"/>
        <w:rPr>
          <w:rFonts w:cs="Times New Roman"/>
          <w:b/>
          <w:lang w:val="lv-LV"/>
        </w:rPr>
      </w:pPr>
      <w:r w:rsidRPr="00177F30">
        <w:rPr>
          <w:rFonts w:cs="Times New Roman"/>
          <w:b/>
          <w:lang w:val="lv-LV"/>
        </w:rPr>
        <w:t xml:space="preserve">Izpildes statuss par MK 2019. gada 20. augusta </w:t>
      </w:r>
    </w:p>
    <w:p w14:paraId="0D0D9F76" w14:textId="77777777" w:rsidR="00177F30" w:rsidRPr="00177F30" w:rsidRDefault="00177F30" w:rsidP="00D00D0D">
      <w:pPr>
        <w:spacing w:after="0"/>
        <w:jc w:val="center"/>
        <w:rPr>
          <w:rFonts w:cs="Times New Roman"/>
          <w:b/>
          <w:lang w:val="lv-LV"/>
        </w:rPr>
      </w:pPr>
      <w:r w:rsidRPr="00177F30">
        <w:rPr>
          <w:rFonts w:cs="Times New Roman"/>
          <w:b/>
          <w:lang w:val="lv-LV"/>
        </w:rPr>
        <w:t>sēdes protokola Nr. 35 26. § uzdevumiem</w:t>
      </w:r>
    </w:p>
    <w:p w14:paraId="5EAB2D5C" w14:textId="77777777" w:rsidR="00177F30" w:rsidRPr="00177F30" w:rsidRDefault="00177F30" w:rsidP="00D00D0D">
      <w:pPr>
        <w:rPr>
          <w:rFonts w:cs="Times New Roman"/>
          <w:b/>
          <w:u w:val="single"/>
          <w:lang w:val="lv-LV"/>
        </w:rPr>
      </w:pPr>
      <w:r w:rsidRPr="00177F30">
        <w:rPr>
          <w:rFonts w:cs="Times New Roman"/>
          <w:b/>
          <w:u w:val="single"/>
          <w:lang w:val="lv-LV"/>
        </w:rPr>
        <w:t>Izpildītie uzdevumi:</w:t>
      </w:r>
    </w:p>
    <w:p w14:paraId="67F804CD"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19. punktā </w:t>
      </w:r>
      <w:r w:rsidRPr="00177F30">
        <w:rPr>
          <w:rFonts w:cs="Times New Roman"/>
          <w:i/>
          <w:lang w:val="lv-LV"/>
        </w:rPr>
        <w:t>noteikts atbalstīt finansējuma pārdales</w:t>
      </w:r>
      <w:r w:rsidRPr="00177F30">
        <w:rPr>
          <w:rFonts w:cs="Times New Roman"/>
          <w:lang w:val="lv-LV"/>
        </w:rPr>
        <w:t>”</w:t>
      </w:r>
    </w:p>
    <w:p w14:paraId="30DD1945" w14:textId="77777777" w:rsidR="00177F30" w:rsidRPr="00177F30" w:rsidRDefault="00177F30" w:rsidP="00D00D0D">
      <w:pPr>
        <w:ind w:firstLine="709"/>
        <w:rPr>
          <w:rFonts w:cs="Times New Roman"/>
          <w:lang w:val="lv-LV"/>
        </w:rPr>
      </w:pPr>
      <w:r w:rsidRPr="00177F30">
        <w:rPr>
          <w:rFonts w:cs="Times New Roman"/>
          <w:lang w:val="lv-LV"/>
        </w:rPr>
        <w:t xml:space="preserve">Veiktas finansējuma pārdales atbilstoši protokollēmumā noteiktajam. </w:t>
      </w:r>
    </w:p>
    <w:p w14:paraId="2D1F3C04" w14:textId="77777777" w:rsidR="00177F30" w:rsidRPr="00177F30" w:rsidRDefault="00177F30" w:rsidP="00D00D0D">
      <w:pPr>
        <w:rPr>
          <w:rFonts w:cs="Times New Roman"/>
          <w:b/>
          <w:u w:val="single"/>
          <w:lang w:val="lv-LV"/>
        </w:rPr>
      </w:pPr>
      <w:r w:rsidRPr="00177F30">
        <w:rPr>
          <w:rFonts w:cs="Times New Roman"/>
          <w:b/>
          <w:u w:val="single"/>
          <w:lang w:val="lv-LV"/>
        </w:rPr>
        <w:t>Uzsāktie uzdevumi:</w:t>
      </w:r>
    </w:p>
    <w:p w14:paraId="224E3807" w14:textId="77777777" w:rsidR="00177F30" w:rsidRPr="00177F30" w:rsidRDefault="00177F30" w:rsidP="00D00D0D">
      <w:pPr>
        <w:rPr>
          <w:rFonts w:cs="Times New Roman"/>
          <w:lang w:val="lv-LV"/>
        </w:rPr>
      </w:pPr>
      <w:r w:rsidRPr="00177F30">
        <w:rPr>
          <w:rFonts w:cs="Times New Roman"/>
          <w:lang w:val="lv-LV"/>
        </w:rPr>
        <w:lastRenderedPageBreak/>
        <w:t>“</w:t>
      </w:r>
      <w:r w:rsidRPr="00177F30">
        <w:rPr>
          <w:rFonts w:cs="Times New Roman"/>
          <w:b/>
          <w:lang w:val="lv-LV"/>
        </w:rPr>
        <w:t>24. punkts Atbalstīt Izglītības un zinātnes ministrijas</w:t>
      </w:r>
      <w:r w:rsidRPr="00177F30">
        <w:rPr>
          <w:rFonts w:cs="Times New Roman"/>
          <w:lang w:val="lv-LV"/>
        </w:rPr>
        <w:t xml:space="preserve"> </w:t>
      </w:r>
      <w:r w:rsidRPr="00177F30">
        <w:rPr>
          <w:rFonts w:cs="Times New Roman"/>
          <w:i/>
          <w:lang w:val="lv-LV"/>
        </w:rPr>
        <w:t>priekšlikumu pārskatīt nosacījumus studentu uzņemšanai augstākās izglītības studiju programmās un valsts budžeta finansētas studiju vietas piešķiršanas kārtību (vidējā atzīme iepriekšējā mācību līmenī, iestājeksāmens u.tml.).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177F30">
        <w:rPr>
          <w:rFonts w:cs="Times New Roman"/>
          <w:lang w:val="lv-LV"/>
        </w:rPr>
        <w:t>”</w:t>
      </w:r>
    </w:p>
    <w:p w14:paraId="2DC81E77" w14:textId="676BCB7A" w:rsidR="00177F30" w:rsidRPr="00177F30" w:rsidRDefault="00177F30" w:rsidP="00D00D0D">
      <w:pPr>
        <w:ind w:firstLine="709"/>
        <w:rPr>
          <w:rFonts w:cs="Times New Roman"/>
          <w:lang w:val="lv-LV"/>
        </w:rPr>
      </w:pPr>
      <w:r w:rsidRPr="00177F30">
        <w:rPr>
          <w:rFonts w:cs="Times New Roman"/>
          <w:lang w:val="lv-LV"/>
        </w:rPr>
        <w:t>IZM veikusi datu analīzi ar mērķi noskaidrot korelāciju starp centralizēto eksāmenu rezultātiem un turpmāko atbirumu. Analīzes secinājumi tiks atspoguļoti konceptuālajā ziņojumā par turpmāko augstākas izglītības finansēšanu. Ziņojums par turpmāko augstākās izglītības finansēšanu tiks pakārtots Augstskolu likuma grozījumiem par augstskolu pārvaldības modeļa maiņu. Augstskolu likumā, kas paredz augstskolu tipoloģijas un iekšējās pārvaldības modeļa maiņu, ir atbalstīti Saeimā otrajā lasījumā</w:t>
      </w:r>
      <w:r w:rsidR="007128D7">
        <w:rPr>
          <w:rFonts w:cs="Times New Roman"/>
          <w:lang w:val="lv-LV"/>
        </w:rPr>
        <w:t xml:space="preserve"> (</w:t>
      </w:r>
      <w:r w:rsidR="007128D7" w:rsidRPr="007128D7">
        <w:rPr>
          <w:rFonts w:cs="Times New Roman"/>
          <w:lang w:val="lv-LV"/>
        </w:rPr>
        <w:t>Nr: 1085/Lp13</w:t>
      </w:r>
      <w:r w:rsidR="007128D7">
        <w:rPr>
          <w:rFonts w:cs="Times New Roman"/>
          <w:lang w:val="lv-LV"/>
        </w:rPr>
        <w:t>) un izsludināti 2021. gada 9. jūnijā</w:t>
      </w:r>
      <w:r w:rsidRPr="00177F30">
        <w:rPr>
          <w:rFonts w:cs="Times New Roman"/>
          <w:lang w:val="lv-LV"/>
        </w:rPr>
        <w:t>.</w:t>
      </w:r>
    </w:p>
    <w:p w14:paraId="71457E5D"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25. punkts Atbalstīt Izglītības un zinātnes ministrijas</w:t>
      </w:r>
      <w:r w:rsidRPr="00177F30">
        <w:rPr>
          <w:rFonts w:cs="Times New Roman"/>
          <w:lang w:val="lv-LV"/>
        </w:rPr>
        <w:t xml:space="preserve"> </w:t>
      </w:r>
      <w:r w:rsidRPr="00177F30">
        <w:rPr>
          <w:rFonts w:cs="Times New Roman"/>
          <w:i/>
          <w:lang w:val="lv-LV"/>
        </w:rPr>
        <w:t>priekšlikumu izvērtēt un piedāvāt izmaiņas studiju finansēšanas principos (1. pīlāra finansējums), tai skaitā izvērtējot budžeta vietas un maksas vietas finansēšanas principus.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177F30">
        <w:rPr>
          <w:rFonts w:cs="Times New Roman"/>
          <w:lang w:val="lv-LV"/>
        </w:rPr>
        <w:t>”</w:t>
      </w:r>
    </w:p>
    <w:p w14:paraId="120DAC66" w14:textId="77777777" w:rsidR="00177F30" w:rsidRPr="00177F30" w:rsidRDefault="00177F30" w:rsidP="00D00D0D">
      <w:pPr>
        <w:ind w:firstLine="709"/>
        <w:rPr>
          <w:rFonts w:cs="Times New Roman"/>
          <w:lang w:val="lv-LV"/>
        </w:rPr>
      </w:pPr>
      <w:r w:rsidRPr="00177F30">
        <w:rPr>
          <w:rFonts w:cs="Times New Roman"/>
          <w:lang w:val="lv-LV"/>
        </w:rPr>
        <w:t>IZM uzsākusi informācijas analīzi un ideju apkopojumu. Pamatojoties uz to, IZM gatavos konceptuālo informatīvo ziņojumu par turpmāku augstākās izglītības finansēšanu. Jau iepriekš Saeimas Augstākās izglītības, zinātnes un inovāciju apakškomisijas sēdēs tika prezentētas pamatidejas kontekstā ar augstskolu pārvaldības modeļa maiņu. Ziņojums par turpmāko augstākās izglītības finansēšanu tiks pakārtots Augstskolu likuma grozījumiem par augstskolu pārvaldības modeļa maiņu. Grozījumi Augstskolu likumā, kas paredz augstskolu tipoloģijas un iekšējās pārvaldības modeļa maiņu, ir atbalstīti Saeimā otrajā lasījumā.</w:t>
      </w:r>
    </w:p>
    <w:p w14:paraId="319B8D36"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27. punkts Atbalstīt Izglītības un zinātnes ministrijas </w:t>
      </w:r>
      <w:r w:rsidRPr="00177F30">
        <w:rPr>
          <w:rFonts w:cs="Times New Roman"/>
          <w:bCs/>
          <w:i/>
          <w:iCs/>
          <w:lang w:val="lv-LV"/>
        </w:rPr>
        <w:t>priekšlikumu nodrošināt studiju programmu skaita izmaiņas saskaņā ar mērķa rādītājiem Darbības programmas “Izaugsme un nodarbinātība” 8.2.1. specifiskā atbalsta mērķa “Samazināt studiju programmu fragmentāciju un stiprināt resursu koplietošanu” ietvaros no 916 studiju programmām 2017. gadā uz 800 programmām 2023. gadā, kā arī tā ietvaros plānoto jauno kopīgo doktorantūras programmu un programmu angļu valodā izveidi, tādā veidā uzlabojot Latvijas augstākās izglītības starptautisko konkurētspēju. Studiju jomu pārklāšanās ir vērtējama pēc jaunā akreditācijas posma, kas notiks no 2020. līdz 2023. gadam (piemēram, sociālo zinātņu programmās 2020.-2021. gadā).</w:t>
      </w:r>
      <w:r w:rsidRPr="00177F30">
        <w:rPr>
          <w:rFonts w:cs="Times New Roman"/>
          <w:lang w:val="lv-LV"/>
        </w:rPr>
        <w:t>”</w:t>
      </w:r>
    </w:p>
    <w:p w14:paraId="37852763" w14:textId="0B8B25C6" w:rsidR="00177F30" w:rsidRPr="00177F30" w:rsidRDefault="00177F30" w:rsidP="00D00D0D">
      <w:pPr>
        <w:ind w:firstLine="709"/>
        <w:rPr>
          <w:rFonts w:cs="Times New Roman"/>
          <w:lang w:val="lv-LV"/>
        </w:rPr>
      </w:pPr>
      <w:r w:rsidRPr="00177F30">
        <w:rPr>
          <w:rFonts w:cs="Times New Roman"/>
          <w:lang w:val="lv-LV"/>
        </w:rPr>
        <w:t>IZM norāda, ka 8.2.1. </w:t>
      </w:r>
      <w:r w:rsidR="00FE4015">
        <w:rPr>
          <w:rFonts w:cs="Times New Roman"/>
          <w:lang w:val="lv-LV"/>
        </w:rPr>
        <w:t>SAM</w:t>
      </w:r>
      <w:r w:rsidRPr="00177F30">
        <w:rPr>
          <w:rFonts w:cs="Times New Roman"/>
          <w:lang w:val="lv-LV"/>
        </w:rPr>
        <w:t xml:space="preserve"> “Samazināt studiju programmu fragmentāciju un stiprināt resursu koplietošanu” ietvaros tiek īstenoti 20 projekti (6 projekti 1. kārtā un 14 projekti 2. kārtā), kuru rezultātā līdz 2023. gada beigām tiks slēgtas 217 studiju programmas un izveidotas 8 jaunas kopīgās doktorantūras studiju programmas, kā arī 60 studiju programmas angļu valodā un 26 pedagoģijas studiju programmas.</w:t>
      </w:r>
    </w:p>
    <w:p w14:paraId="0A44C17B" w14:textId="153651A3"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28. punkts Atbalstīt Izglītības un zinātnes ministrijas</w:t>
      </w:r>
      <w:r w:rsidRPr="00177F30">
        <w:rPr>
          <w:rFonts w:cs="Times New Roman"/>
          <w:lang w:val="lv-LV"/>
        </w:rPr>
        <w:t xml:space="preserve"> </w:t>
      </w:r>
      <w:r w:rsidRPr="00177F30">
        <w:rPr>
          <w:rFonts w:cs="Times New Roman"/>
          <w:i/>
          <w:lang w:val="lv-LV"/>
        </w:rPr>
        <w:t xml:space="preserve">priekšlikumu sagatavot izmaiņas studiju maksas noteikšanas principos visu līmeņu studiju programmās. Pēc minēto darbību veikšanas Izglītības un zinātnes ministrijai iesniegt attiecīgu informāciju Finanšu ministrijā </w:t>
      </w:r>
      <w:r w:rsidRPr="00177F30">
        <w:rPr>
          <w:rFonts w:cs="Times New Roman"/>
          <w:i/>
          <w:lang w:val="lv-LV"/>
        </w:rPr>
        <w:lastRenderedPageBreak/>
        <w:t>izdevumu pārskatīšanas procesā saskaņā ar likumprojekta “Par vidēja termiņa budžeta ietvaru 2021., 2022. un 2023. gadam” un likumprojekta “Par valsts budžetu 2021.</w:t>
      </w:r>
      <w:r w:rsidR="00FF342C">
        <w:rPr>
          <w:rFonts w:cs="Times New Roman"/>
          <w:i/>
          <w:lang w:val="lv-LV"/>
        </w:rPr>
        <w:t xml:space="preserve"> </w:t>
      </w:r>
      <w:r w:rsidRPr="00177F30">
        <w:rPr>
          <w:rFonts w:cs="Times New Roman"/>
          <w:i/>
          <w:lang w:val="lv-LV"/>
        </w:rPr>
        <w:t>gadam” sagatavošanas grafikā noteiktajiem termiņiem.</w:t>
      </w:r>
      <w:r w:rsidRPr="00177F30">
        <w:rPr>
          <w:rFonts w:cs="Times New Roman"/>
          <w:lang w:val="lv-LV"/>
        </w:rPr>
        <w:t>”</w:t>
      </w:r>
    </w:p>
    <w:p w14:paraId="0ABF4E39" w14:textId="77777777" w:rsidR="00177F30" w:rsidRPr="00177F30" w:rsidRDefault="00177F30" w:rsidP="00D00D0D">
      <w:pPr>
        <w:ind w:firstLine="709"/>
        <w:rPr>
          <w:rFonts w:cs="Times New Roman"/>
          <w:lang w:val="lv-LV"/>
        </w:rPr>
      </w:pPr>
      <w:r w:rsidRPr="00177F30">
        <w:rPr>
          <w:rFonts w:cs="Times New Roman"/>
          <w:lang w:val="lv-LV"/>
        </w:rPr>
        <w:t>Uzdevums tiks veikts kontekstā ar izmaiņām augstākās izglītības finansēšanā. Ziņojums par turpmāko augstākās izglītības finansēšanu tiks pakārtots Augstskolu likuma grozījumiem par augstskolu pārvaldības modeļa maiņu. Grozījumi Augstskolu likumā, kas paredz augstskolu tipoloģijas un iekšējās pārvaldības modeļa maiņu, ir atbalstīti Saeimā otrajā lasījumā.</w:t>
      </w:r>
    </w:p>
    <w:p w14:paraId="68289F92"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29. punkts Izglītības un zinātnes ministrijai</w:t>
      </w:r>
      <w:r w:rsidRPr="00177F30">
        <w:rPr>
          <w:rFonts w:cs="Times New Roman"/>
          <w:lang w:val="lv-LV"/>
        </w:rPr>
        <w:t xml:space="preserve"> </w:t>
      </w:r>
      <w:r w:rsidRPr="00177F30">
        <w:rPr>
          <w:rFonts w:cs="Times New Roman"/>
          <w:i/>
          <w:lang w:val="lv-LV"/>
        </w:rPr>
        <w:t>nodrošināt Ministru kabineta 2018. gada 2. oktobra sēdes protokollēmumā (Nr. 45 23.§) dotā uzdevuma izpildi – ņemot vērā 2019. gadā veikto starptautisko novērtējumu, sešu mēnešu laikā no starptautiskā novērtējuma pabeigšanas dienas sagatavot un izglītības un zinātnes ministram iesniegt izskatīšanai Ministru kabinetā informatīvo ziņojumu par turpmāko publiskā finansējuma sasaisti ar starptautiskā novērtējuma rezultātiem, tai skaitā aprēķinot un piešķirot bāzes finansējumu zinātnisko institūciju reģistrā reģistrētajiem valsts zinātniskajiem institūtiem, valsts augstskolām, valsts augstskolu zinātniskajiem institūtiem, tajā skaitā valsts dibināto universitāšu zinātniskajiem institūtiem – atvasinātām publiskām personām, tostarp ievērojot, ka starptautiskais novērtējums ir veikts valsts augstskolu vērtējamām vienībām.</w:t>
      </w:r>
      <w:r w:rsidRPr="00177F30">
        <w:rPr>
          <w:rFonts w:cs="Times New Roman"/>
          <w:lang w:val="lv-LV"/>
        </w:rPr>
        <w:t>”</w:t>
      </w:r>
    </w:p>
    <w:p w14:paraId="797E8D16" w14:textId="77777777" w:rsidR="00177F30" w:rsidRPr="00177F30" w:rsidRDefault="00177F30" w:rsidP="00D00D0D">
      <w:pPr>
        <w:ind w:firstLine="709"/>
        <w:rPr>
          <w:rFonts w:cs="Times New Roman"/>
          <w:lang w:val="lv-LV"/>
        </w:rPr>
      </w:pPr>
      <w:r w:rsidRPr="00177F30">
        <w:rPr>
          <w:rFonts w:cs="Times New Roman"/>
          <w:lang w:val="lv-LV"/>
        </w:rPr>
        <w:t>Starptautiskais zinātnisko institūciju novērtējums pabeigts 2021. gada sākumā. Attiecīgi 6 mēnešu laikā IZM sagatavos informatīvo ziņojumu, piedāvājot publiskā finansējuma sasaisti ar starptautiskā novērtējuma rezultātiem, tai skaitā, aprēķinot un piešķirot bāzes finansējumu zinātnisko institūciju reģistrā reģistrētajiem valsts zinātniskajiem institūtiem, valsts augstskolām, valsts augstskolu zinātniskajiem institūtiem, tajā skaitā valsts dibināto universitāšu zinātniskajiem institūtiem – atvasinātām publiskām personām, tostarp ievērojot, ka starptautiskais novērtējums ir veikts valsts augstskolu vērtējamām vienībām.</w:t>
      </w:r>
    </w:p>
    <w:p w14:paraId="06F77829" w14:textId="6838414A" w:rsidR="00177F30" w:rsidRPr="00177F30" w:rsidRDefault="000732F2" w:rsidP="00D00D0D">
      <w:pPr>
        <w:rPr>
          <w:rFonts w:cs="Times New Roman"/>
          <w:lang w:val="lv-LV"/>
        </w:rPr>
      </w:pPr>
      <w:r>
        <w:rPr>
          <w:rFonts w:cs="Times New Roman"/>
          <w:lang w:val="lv-LV"/>
        </w:rPr>
        <w:t>“</w:t>
      </w:r>
      <w:r w:rsidR="00177F30" w:rsidRPr="00177F30">
        <w:rPr>
          <w:rFonts w:cs="Times New Roman"/>
          <w:b/>
          <w:bCs/>
          <w:lang w:val="lv-LV"/>
        </w:rPr>
        <w:t>32. punkts Veselības ministrijai</w:t>
      </w:r>
      <w:r w:rsidR="00177F30" w:rsidRPr="00177F30">
        <w:rPr>
          <w:rFonts w:cs="Times New Roman"/>
          <w:lang w:val="lv-LV"/>
        </w:rPr>
        <w:t xml:space="preserve"> </w:t>
      </w:r>
      <w:r w:rsidR="00177F30" w:rsidRPr="00177F30">
        <w:rPr>
          <w:rFonts w:cs="Times New Roman"/>
          <w:i/>
          <w:iCs/>
          <w:lang w:val="lv-LV"/>
        </w:rPr>
        <w:t>līdz 2021.</w:t>
      </w:r>
      <w:r w:rsidR="00FF342C">
        <w:rPr>
          <w:rFonts w:cs="Times New Roman"/>
          <w:i/>
          <w:iCs/>
          <w:lang w:val="lv-LV"/>
        </w:rPr>
        <w:t xml:space="preserve"> </w:t>
      </w:r>
      <w:r w:rsidR="00177F30" w:rsidRPr="00177F30">
        <w:rPr>
          <w:rFonts w:cs="Times New Roman"/>
          <w:i/>
          <w:iCs/>
          <w:lang w:val="lv-LV"/>
        </w:rPr>
        <w:t>gada 1.janvārim pārskatīt ģimenes ārsta darbības kvalitātes kritērijus saistībā ar viņa reģistrēto pacientu plūsmu stacionāru uzņemšanas nodaļās un hospitalizāciju skaitu attiecībā pret vidējo valstī.</w:t>
      </w:r>
      <w:r w:rsidR="00177F30" w:rsidRPr="00177F30">
        <w:rPr>
          <w:rFonts w:cs="Times New Roman"/>
          <w:lang w:val="lv-LV"/>
        </w:rPr>
        <w:t>”</w:t>
      </w:r>
    </w:p>
    <w:p w14:paraId="5EC97769" w14:textId="48107704" w:rsidR="00177F30" w:rsidRPr="00177F30" w:rsidRDefault="00177F30" w:rsidP="00D00D0D">
      <w:pPr>
        <w:ind w:firstLine="720"/>
        <w:rPr>
          <w:rFonts w:cs="Times New Roman"/>
          <w:lang w:val="lv-LV"/>
        </w:rPr>
      </w:pPr>
      <w:r w:rsidRPr="00177F30">
        <w:rPr>
          <w:rFonts w:cs="Times New Roman"/>
          <w:lang w:val="lv-LV"/>
        </w:rPr>
        <w:t xml:space="preserve">2020. gada jūlijā VM Nacionālajam veselības dienestam līdz 2020. gada 1. septembrim aicināja sniegt viedokli par ģimenes ārstu motivēšanas sistēmu, kas veicinātu ģimenes ārstu ieinteresētību veikt manipulācijas un pakalpojumus, vienlaikus izstrādājot kvalitātes kontroles kārtību, piemēram, profilaktisko pārbaužu veikšanai, uz ko </w:t>
      </w:r>
      <w:r w:rsidR="005D7EA5">
        <w:rPr>
          <w:rFonts w:cs="Times New Roman"/>
          <w:lang w:val="lv-LV"/>
        </w:rPr>
        <w:t>NVD</w:t>
      </w:r>
      <w:r w:rsidRPr="00177F30">
        <w:rPr>
          <w:rFonts w:cs="Times New Roman"/>
          <w:lang w:val="lv-LV"/>
        </w:rPr>
        <w:t xml:space="preserve"> septembrī iesniedzis savu viedokli. </w:t>
      </w:r>
      <w:r w:rsidR="005D7EA5">
        <w:rPr>
          <w:rFonts w:cs="Times New Roman"/>
          <w:lang w:val="lv-LV"/>
        </w:rPr>
        <w:t>NVD</w:t>
      </w:r>
      <w:r w:rsidRPr="00177F30">
        <w:rPr>
          <w:rFonts w:cs="Times New Roman"/>
          <w:lang w:val="lv-LV"/>
        </w:rPr>
        <w:t xml:space="preserve"> kritēriju izpildes uzlabošanai ir veicis pārrunas ar līgumu partneriem un ir organizējis diskusijas ar jauniem ģimenes ārstiem (2020</w:t>
      </w:r>
      <w:r w:rsidR="00FE4015">
        <w:rPr>
          <w:rFonts w:cs="Times New Roman"/>
          <w:lang w:val="lv-LV"/>
        </w:rPr>
        <w:t>. gada 11. augustā</w:t>
      </w:r>
      <w:r w:rsidRPr="00177F30">
        <w:rPr>
          <w:rFonts w:cs="Times New Roman"/>
          <w:lang w:val="lv-LV"/>
        </w:rPr>
        <w:t>) sadarbībā ar Latvijas Lauku Ģimenes ārstu asociāciju, kā arī 2020. gada 27. augustā organizēja sanāksmi ar ģimenes ārstu asociācijām un VM par ģimenes ārstu gada darbības novērtēšanas kritērijiem. Kvalitātes kritēriju ieviešana tādu, kā ģimenes ārsta prakses reģistrēto pacientu plūsmu stacionāru uzņemšanas nodaļās un hospitalizāciju skaitu attiecībā pret vidējo valstī no asociāciju puses nav atbalstīta.</w:t>
      </w:r>
    </w:p>
    <w:p w14:paraId="71F6F206" w14:textId="069B0954" w:rsidR="00177F30" w:rsidRPr="00177F30" w:rsidRDefault="00177F30" w:rsidP="00D00D0D">
      <w:pPr>
        <w:rPr>
          <w:rFonts w:cs="Times New Roman"/>
          <w:lang w:val="lv-LV"/>
        </w:rPr>
      </w:pPr>
      <w:r w:rsidRPr="00177F30">
        <w:rPr>
          <w:rFonts w:cs="Times New Roman"/>
          <w:lang w:val="lv-LV"/>
        </w:rPr>
        <w:t>“</w:t>
      </w:r>
      <w:r w:rsidRPr="00177F30">
        <w:rPr>
          <w:rFonts w:cs="Times New Roman"/>
          <w:b/>
          <w:bCs/>
          <w:lang w:val="lv-LV"/>
        </w:rPr>
        <w:t>33. punkts Veselības ministrijai</w:t>
      </w:r>
      <w:r w:rsidRPr="00177F30">
        <w:rPr>
          <w:rFonts w:cs="Times New Roman"/>
          <w:lang w:val="lv-LV"/>
        </w:rPr>
        <w:t xml:space="preserve"> </w:t>
      </w:r>
      <w:r w:rsidRPr="00177F30">
        <w:rPr>
          <w:rFonts w:cs="Times New Roman"/>
          <w:i/>
          <w:iCs/>
          <w:lang w:val="lv-LV"/>
        </w:rPr>
        <w:t>līdz 2020.</w:t>
      </w:r>
      <w:r w:rsidR="00FF342C">
        <w:rPr>
          <w:rFonts w:cs="Times New Roman"/>
          <w:i/>
          <w:iCs/>
          <w:lang w:val="lv-LV"/>
        </w:rPr>
        <w:t xml:space="preserve"> </w:t>
      </w:r>
      <w:r w:rsidRPr="00177F30">
        <w:rPr>
          <w:rFonts w:cs="Times New Roman"/>
          <w:i/>
          <w:iCs/>
          <w:lang w:val="lv-LV"/>
        </w:rPr>
        <w:t>gada 1.</w:t>
      </w:r>
      <w:r w:rsidR="00FF342C">
        <w:rPr>
          <w:rFonts w:cs="Times New Roman"/>
          <w:i/>
          <w:iCs/>
          <w:lang w:val="lv-LV"/>
        </w:rPr>
        <w:t xml:space="preserve"> </w:t>
      </w:r>
      <w:r w:rsidRPr="00177F30">
        <w:rPr>
          <w:rFonts w:cs="Times New Roman"/>
          <w:i/>
          <w:iCs/>
          <w:lang w:val="lv-LV"/>
        </w:rPr>
        <w:t>oktobrim iesniegt Finanšu ministrijā informāciju par projekta "Slimnīcu sadarbības teritorijas" rezultātiem, tai skaitā par identificētajām problēmām, izstrādātajiem ieteikumiem (par cik samazināti speciālisti, cik bijušas pārbaudes, vai slimnīcām ir izmaiņas līmeņos)</w:t>
      </w:r>
      <w:r w:rsidRPr="00177F30">
        <w:rPr>
          <w:rFonts w:cs="Times New Roman"/>
          <w:lang w:val="lv-LV"/>
        </w:rPr>
        <w:t>.”</w:t>
      </w:r>
    </w:p>
    <w:p w14:paraId="29AFCC30" w14:textId="0F437771" w:rsidR="00177F30" w:rsidRPr="00177F30" w:rsidRDefault="00177F30" w:rsidP="00D00D0D">
      <w:pPr>
        <w:ind w:firstLine="720"/>
        <w:rPr>
          <w:rFonts w:cs="Times New Roman"/>
          <w:lang w:val="lv-LV"/>
        </w:rPr>
      </w:pPr>
      <w:r w:rsidRPr="00177F30">
        <w:rPr>
          <w:rFonts w:cs="Times New Roman"/>
          <w:lang w:val="lv-LV"/>
        </w:rPr>
        <w:t xml:space="preserve">Informatīvā ziņojuma projekts “Par slimnīcu sniegto pakalpojumu atbilstību noteiktam slimnīcu līmenim” 2020. gada 9. oktobrī nosūtīts FM viedokļa sniegšanai. 2020. gada </w:t>
      </w:r>
      <w:r w:rsidRPr="00177F30">
        <w:rPr>
          <w:rFonts w:cs="Times New Roman"/>
          <w:lang w:val="lv-LV"/>
        </w:rPr>
        <w:lastRenderedPageBreak/>
        <w:t xml:space="preserve">16. oktobrī saņemts FM atzinums, ka neiebilst projekta tālākai virzībai izskatīšanai MK sēdē. 2020. gada 22. oktobrī informatīvā ziņojuma projekts tika apspriests ar Latvijas Slimnīcu biedrības pārstāvjiem, savukārt 2020. gada 17. novembrī nosūtīts </w:t>
      </w:r>
      <w:r w:rsidR="007D00BC">
        <w:rPr>
          <w:rFonts w:cs="Times New Roman"/>
          <w:lang w:val="lv-LV"/>
        </w:rPr>
        <w:t>VK</w:t>
      </w:r>
      <w:r w:rsidRPr="00177F30">
        <w:rPr>
          <w:rFonts w:cs="Times New Roman"/>
          <w:lang w:val="lv-LV"/>
        </w:rPr>
        <w:t xml:space="preserve"> izskatīšanai MK sēdē. 2020. gada 2. decembrī, 2021. gada 24. februārī un 28.aprīlī </w:t>
      </w:r>
      <w:r w:rsidR="007D00BC">
        <w:rPr>
          <w:rFonts w:cs="Times New Roman"/>
          <w:lang w:val="lv-LV"/>
        </w:rPr>
        <w:t>VK</w:t>
      </w:r>
      <w:r w:rsidRPr="00177F30">
        <w:rPr>
          <w:rFonts w:cs="Times New Roman"/>
          <w:lang w:val="lv-LV"/>
        </w:rPr>
        <w:t xml:space="preserve"> tika nosūtīts precizēts ziņojuma projekts. Izvērtējums ir veikts, bet ziņojuma projekts nav skatīts MK sēdē.</w:t>
      </w:r>
    </w:p>
    <w:p w14:paraId="58391897" w14:textId="63DC97C0" w:rsidR="00177F30" w:rsidRPr="00177F30" w:rsidRDefault="00177F30" w:rsidP="00D00D0D">
      <w:pPr>
        <w:rPr>
          <w:rFonts w:cs="Times New Roman"/>
          <w:lang w:val="lv-LV"/>
        </w:rPr>
      </w:pPr>
      <w:r w:rsidRPr="00177F30">
        <w:rPr>
          <w:rFonts w:cs="Times New Roman"/>
          <w:lang w:val="lv-LV"/>
        </w:rPr>
        <w:t>“</w:t>
      </w:r>
      <w:r w:rsidRPr="00177F30">
        <w:rPr>
          <w:rFonts w:cs="Times New Roman"/>
          <w:b/>
          <w:bCs/>
          <w:lang w:val="lv-LV"/>
        </w:rPr>
        <w:t>34. punkts Veselības ministrijai</w:t>
      </w:r>
      <w:r w:rsidRPr="00177F30">
        <w:rPr>
          <w:rFonts w:cs="Times New Roman"/>
          <w:lang w:val="lv-LV"/>
        </w:rPr>
        <w:t xml:space="preserve"> </w:t>
      </w:r>
      <w:r w:rsidRPr="00177F30">
        <w:rPr>
          <w:rFonts w:cs="Times New Roman"/>
          <w:i/>
          <w:iCs/>
          <w:lang w:val="lv-LV"/>
        </w:rPr>
        <w:t>izstrādāt sistemātisku daudzgadu valsts investīciju programmu ar nepieciešamajiem kapitālajiem ieguldījumiem ārstniecības iestādēs. Pēc minēto darbību veikšanas Veselības ministrijai iesniegt attiecīgu informāciju Finanšu ministrijā izdevumu pārskatīšanas procesā saskaņā ar likumprojekta “Par vidēja termiņa budžeta ietvaru 2021., 2022. un 2023.</w:t>
      </w:r>
      <w:r w:rsidR="00FF342C">
        <w:rPr>
          <w:rFonts w:cs="Times New Roman"/>
          <w:i/>
          <w:iCs/>
          <w:lang w:val="lv-LV"/>
        </w:rPr>
        <w:t xml:space="preserve"> </w:t>
      </w:r>
      <w:r w:rsidRPr="00177F30">
        <w:rPr>
          <w:rFonts w:cs="Times New Roman"/>
          <w:i/>
          <w:iCs/>
          <w:lang w:val="lv-LV"/>
        </w:rPr>
        <w:t>gadam” un likumprojekta “Par valsts budžetu 2021.</w:t>
      </w:r>
      <w:r w:rsidR="00FF342C">
        <w:rPr>
          <w:rFonts w:cs="Times New Roman"/>
          <w:i/>
          <w:iCs/>
          <w:lang w:val="lv-LV"/>
        </w:rPr>
        <w:t xml:space="preserve"> </w:t>
      </w:r>
      <w:r w:rsidRPr="00177F30">
        <w:rPr>
          <w:rFonts w:cs="Times New Roman"/>
          <w:i/>
          <w:iCs/>
          <w:lang w:val="lv-LV"/>
        </w:rPr>
        <w:t>gadam” sagatavošanas grafikā noteiktajiem termiņiem.</w:t>
      </w:r>
      <w:r w:rsidRPr="00177F30">
        <w:rPr>
          <w:rFonts w:cs="Times New Roman"/>
          <w:lang w:val="lv-LV"/>
        </w:rPr>
        <w:t>” un “</w:t>
      </w:r>
      <w:r w:rsidRPr="00177F30">
        <w:rPr>
          <w:rFonts w:cs="Times New Roman"/>
          <w:b/>
          <w:bCs/>
          <w:lang w:val="lv-LV"/>
        </w:rPr>
        <w:t>35. punkts Veselības ministrijai</w:t>
      </w:r>
      <w:r w:rsidRPr="00177F30">
        <w:rPr>
          <w:rFonts w:cs="Times New Roman"/>
          <w:lang w:val="lv-LV"/>
        </w:rPr>
        <w:t xml:space="preserve"> </w:t>
      </w:r>
      <w:r w:rsidRPr="00177F30">
        <w:rPr>
          <w:rFonts w:cs="Times New Roman"/>
          <w:i/>
          <w:iCs/>
          <w:lang w:val="lv-LV"/>
        </w:rPr>
        <w:t>izstrādāt investīciju programmu ar nepieciešamajiem kapitālajiem ieguldījumiem V līmeņa ārstniecības iestādēs 2020.</w:t>
      </w:r>
      <w:r w:rsidR="00FF342C">
        <w:rPr>
          <w:rFonts w:cs="Times New Roman"/>
          <w:i/>
          <w:iCs/>
          <w:lang w:val="lv-LV"/>
        </w:rPr>
        <w:t xml:space="preserve"> </w:t>
      </w:r>
      <w:r w:rsidRPr="00177F30">
        <w:rPr>
          <w:rFonts w:cs="Times New Roman"/>
          <w:i/>
          <w:iCs/>
          <w:lang w:val="lv-LV"/>
        </w:rPr>
        <w:t>gadā un likumprojektu “Par valsts budžetu 2020. gadam” un “Par vidēja termiņa budžeta ietvaru 2020., 2021. un 2022.</w:t>
      </w:r>
      <w:r w:rsidR="00FF342C">
        <w:rPr>
          <w:rFonts w:cs="Times New Roman"/>
          <w:i/>
          <w:iCs/>
          <w:lang w:val="lv-LV"/>
        </w:rPr>
        <w:t xml:space="preserve"> </w:t>
      </w:r>
      <w:r w:rsidRPr="00177F30">
        <w:rPr>
          <w:rFonts w:cs="Times New Roman"/>
          <w:i/>
          <w:iCs/>
          <w:lang w:val="lv-LV"/>
        </w:rPr>
        <w:t>gadam” sagatavošanas laikā iesniegt attiecīgu informāciju Finanšu ministrijā. Finanšu ministrijai iekļaut Veselības ministrijas maksimāli pieļaujamo valsts budžeta izdevumu kopējā apjomā (ieņēmumu daļā un attiecīgi finansēšanā “Akcijas un cita līdzdalība pašu kapitālā”) finansējumu, lai palielinātu pamatkapitālu ar finanšu ieguldījumu investīciju programmas īstenošanai V līmeņa ārstniecības iestādēs 2020. gadā, ja tiek nodrošināts fiskāli neitrāls risinājums, V līmeņa ārstniecības iestādēs palielinot papildus veselības aprūpes pakalpojumu apjomu un ieņēmumus.</w:t>
      </w:r>
      <w:r w:rsidRPr="00177F30">
        <w:rPr>
          <w:rFonts w:cs="Times New Roman"/>
          <w:lang w:val="lv-LV"/>
        </w:rPr>
        <w:t>”</w:t>
      </w:r>
    </w:p>
    <w:p w14:paraId="217139D1" w14:textId="77777777" w:rsidR="00177F30" w:rsidRPr="00177F30" w:rsidRDefault="00177F30" w:rsidP="00D00D0D">
      <w:pPr>
        <w:ind w:firstLine="720"/>
        <w:rPr>
          <w:rFonts w:cs="Times New Roman"/>
          <w:lang w:val="lv-LV"/>
        </w:rPr>
      </w:pPr>
      <w:r w:rsidRPr="00177F30">
        <w:rPr>
          <w:rFonts w:cs="Times New Roman"/>
          <w:lang w:val="lv-LV"/>
        </w:rPr>
        <w:t>Kopējo investīciju plānu plānots izveidot Atveseļošanās un noturības mehānisma ietvaros.</w:t>
      </w:r>
    </w:p>
    <w:p w14:paraId="0FC3BC0E"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46. punkts Izglītības un zinātnes ministrijai sadarbībā ar Tieslietu ministriju</w:t>
      </w:r>
      <w:r w:rsidRPr="00177F30">
        <w:rPr>
          <w:rFonts w:cs="Times New Roman"/>
          <w:lang w:val="lv-LV"/>
        </w:rPr>
        <w:t xml:space="preserve"> </w:t>
      </w:r>
      <w:r w:rsidRPr="00177F30">
        <w:rPr>
          <w:rFonts w:cs="Times New Roman"/>
          <w:i/>
          <w:lang w:val="lv-LV"/>
        </w:rPr>
        <w:t>izvērtēt sociālās korekcijas iestādes “Naukšēni” darbības efektivitāti un sagatavot attiecīgus priekšlikumus.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177F30">
        <w:rPr>
          <w:rFonts w:cs="Times New Roman"/>
          <w:lang w:val="lv-LV"/>
        </w:rPr>
        <w:t>”</w:t>
      </w:r>
    </w:p>
    <w:p w14:paraId="6312103E" w14:textId="76E259CF" w:rsidR="00177F30" w:rsidRPr="00177F30" w:rsidRDefault="00177F30" w:rsidP="00D00D0D">
      <w:pPr>
        <w:ind w:firstLine="709"/>
        <w:rPr>
          <w:rFonts w:cs="Times New Roman"/>
          <w:lang w:val="lv-LV"/>
        </w:rPr>
      </w:pPr>
      <w:r w:rsidRPr="00177F30">
        <w:rPr>
          <w:rFonts w:cs="Times New Roman"/>
          <w:lang w:val="lv-LV"/>
        </w:rPr>
        <w:t>Analizējot pašvaldības rīcību laika posmā no 2018. gada, secināms, ka pašvaldība nav ieinteresēta iesaistīties īpašuma uzturēšanas un reālās sadales jautājumos. Arī FM īpašumu neplāno pārņemt valdījumā. Savukārt Nacionālā kultūr</w:t>
      </w:r>
      <w:r w:rsidR="007D00BC">
        <w:rPr>
          <w:rFonts w:cs="Times New Roman"/>
          <w:lang w:val="lv-LV"/>
        </w:rPr>
        <w:t xml:space="preserve">as mantojuma pārvalde pieprasa </w:t>
      </w:r>
      <w:r w:rsidRPr="00177F30">
        <w:rPr>
          <w:rFonts w:cs="Times New Roman"/>
          <w:lang w:val="lv-LV"/>
        </w:rPr>
        <w:t>IZM sniegt informāciju par to, kā pēc IZM ierosinātās īpašuma sadalīšanas, atdalot tās norādītās četras būves un tām funkcionāli nepieciešamos zemesgabalus, tiktu nodrošināta atdalīto un atlikušo īpašuma daļu pārvaldība un izmantošana, lai saglabātu vēsturiski nedalīta, kompleksa kultūras pieminekļa vērtību. IZM šādu apliecinājumu sniegt nevar. Arī gadījumā, ja SKII “Naukšēni” pārvieto uz citām telpām, īpašuma nodošana pagaidām nevar notikt bez īpašuma sadalīšanas, jo valsts meža zeme, kas ir arī šajā īpašumā, nav atsavināma saskaņā ar Meža likuma normām.</w:t>
      </w:r>
    </w:p>
    <w:p w14:paraId="47060C57" w14:textId="77777777" w:rsidR="00177F30" w:rsidRPr="00177F30" w:rsidRDefault="00177F30" w:rsidP="00D00D0D">
      <w:pPr>
        <w:ind w:firstLine="709"/>
        <w:rPr>
          <w:rFonts w:cs="Times New Roman"/>
          <w:lang w:val="lv-LV"/>
        </w:rPr>
      </w:pPr>
      <w:r w:rsidRPr="00177F30">
        <w:rPr>
          <w:rFonts w:cs="Times New Roman"/>
          <w:lang w:val="lv-LV"/>
        </w:rPr>
        <w:t xml:space="preserve">Vienlaikus veiktas darbības SKII “Naukšēni” uzturēšanas optimizācijai, likvidējot vai samazinot amata vietu skaitu, atvieglotas prasības, lai audzēkņiem piešķirtu atvaļinājumu skolēnu vasaras brīvdienās, tādējādi samazinot darbinieku apmaksājamo darba stundu skaitu, veikts iepirkums, lai bērnu ēdināšanu nodrošinātu kā ārpakalpojumu, kā arī risināti jautājumi par iestādes infrastruktūras optimizāciju. Ņemot vērā veiktās darbības, kā arī to, ka SKII </w:t>
      </w:r>
      <w:r w:rsidRPr="00177F30">
        <w:rPr>
          <w:rFonts w:cs="Times New Roman"/>
          <w:lang w:val="lv-LV"/>
        </w:rPr>
        <w:lastRenderedPageBreak/>
        <w:t>“Naukšēni” turpmākā darbība jāskata jauna likumpārkāpumu izdarījušo bērnu atbalsta un uzraudzības likuma izveides kontekstā, minētais uzdevums būtu uzskatāms par izpildītu.</w:t>
      </w:r>
    </w:p>
    <w:p w14:paraId="4E143C12"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47. punkts Kultūras ministrijai</w:t>
      </w:r>
      <w:r w:rsidRPr="00177F30">
        <w:rPr>
          <w:rFonts w:cs="Times New Roman"/>
          <w:lang w:val="lv-LV"/>
        </w:rPr>
        <w:t xml:space="preserve"> </w:t>
      </w:r>
      <w:r w:rsidRPr="00177F30">
        <w:rPr>
          <w:rFonts w:cs="Times New Roman"/>
          <w:i/>
          <w:lang w:val="lv-LV"/>
        </w:rPr>
        <w:t>līdz 2020. gada 1. jūnijam sagatavot un kultūras ministram noteiktā kārtībā iesniegt izskatīšanai Ministru kabinetā konceptuālo ziņojumu par bibliotēku nozares politikas īstenošanas pilnveides pasākumiem, pārskatot bibliotēku pakalpojumu nodrošināšanā iesaistīto Kultūras ministrijas padotības iestāžu funkcijas un uzdevumus.</w:t>
      </w:r>
      <w:r w:rsidRPr="00177F30">
        <w:rPr>
          <w:rFonts w:cs="Times New Roman"/>
          <w:lang w:val="lv-LV"/>
        </w:rPr>
        <w:t>”</w:t>
      </w:r>
    </w:p>
    <w:p w14:paraId="79516FE7" w14:textId="7FFB3169" w:rsidR="00177F30" w:rsidRPr="00177F30" w:rsidRDefault="00177F30" w:rsidP="00D00D0D">
      <w:pPr>
        <w:ind w:firstLine="709"/>
        <w:rPr>
          <w:rFonts w:cs="Times New Roman"/>
          <w:lang w:val="lv-LV"/>
        </w:rPr>
      </w:pPr>
      <w:r w:rsidRPr="00177F30">
        <w:rPr>
          <w:rFonts w:cs="Times New Roman"/>
          <w:lang w:val="lv-LV"/>
        </w:rPr>
        <w:t>2020. gada oktobrī KM izstrādātais konceptuālā ziņojuma “Par bibliotēku nozares politikas īstenošanas pilnveides pasākumiem" projekts iesnieg</w:t>
      </w:r>
      <w:r w:rsidR="007128D7">
        <w:rPr>
          <w:rFonts w:cs="Times New Roman"/>
          <w:lang w:val="lv-LV"/>
        </w:rPr>
        <w:t xml:space="preserve">ts starpministriju saskaņošanai. </w:t>
      </w:r>
      <w:r w:rsidRPr="00177F30">
        <w:rPr>
          <w:rFonts w:cs="Times New Roman"/>
          <w:lang w:val="lv-LV"/>
        </w:rPr>
        <w:t>Risinājums paredz Latvijas Neredzīgo bibliotēkas reorganizēšanu, pārskatot tās funkcijas un uzdevumus un daļu no tiem nododot pašvaldību publiskajām bibliotēkām. Tāpat ar KM rīkojumu uzsākts Kultūras informācijas sistēmu centra reorganizācijas process, kura ietvaros līdz 2022. gadam atsevišķu uz bibliotēku politiku attiecināmu uzdevumu izpilde tiks nodota Latvijas Nacionālās bibliotēkas pārziņā.</w:t>
      </w:r>
    </w:p>
    <w:p w14:paraId="035756D7" w14:textId="0667329C" w:rsidR="000732F2" w:rsidRPr="00177F30" w:rsidRDefault="000732F2" w:rsidP="00762984">
      <w:pPr>
        <w:spacing w:after="0"/>
        <w:rPr>
          <w:rFonts w:cs="Times New Roman"/>
          <w:b/>
          <w:lang w:val="lv-LV"/>
        </w:rPr>
      </w:pPr>
    </w:p>
    <w:p w14:paraId="3CAF6FB4" w14:textId="77777777" w:rsidR="00177F30" w:rsidRPr="00177F30" w:rsidRDefault="00177F30" w:rsidP="00D00D0D">
      <w:pPr>
        <w:spacing w:after="0"/>
        <w:jc w:val="center"/>
        <w:rPr>
          <w:rFonts w:cs="Times New Roman"/>
          <w:b/>
          <w:lang w:val="lv-LV"/>
        </w:rPr>
      </w:pPr>
      <w:r w:rsidRPr="00177F30">
        <w:rPr>
          <w:rFonts w:cs="Times New Roman"/>
          <w:b/>
          <w:lang w:val="lv-LV"/>
        </w:rPr>
        <w:t xml:space="preserve">Izpildes statuss par MK 2019. gada 5. februāra </w:t>
      </w:r>
    </w:p>
    <w:p w14:paraId="315D1D2A" w14:textId="77777777" w:rsidR="00177F30" w:rsidRPr="00177F30" w:rsidRDefault="00177F30" w:rsidP="00D00D0D">
      <w:pPr>
        <w:spacing w:after="0"/>
        <w:jc w:val="center"/>
        <w:rPr>
          <w:rFonts w:cs="Times New Roman"/>
          <w:b/>
          <w:lang w:val="lv-LV"/>
        </w:rPr>
      </w:pPr>
      <w:r w:rsidRPr="00177F30">
        <w:rPr>
          <w:rFonts w:cs="Times New Roman"/>
          <w:b/>
          <w:lang w:val="lv-LV"/>
        </w:rPr>
        <w:t>sēdes protokola Nr. 5 33.§ uzdevumiem</w:t>
      </w:r>
    </w:p>
    <w:p w14:paraId="5C34A6C1" w14:textId="77777777" w:rsidR="00177F30" w:rsidRPr="00177F30" w:rsidRDefault="00177F30" w:rsidP="00D00D0D">
      <w:pPr>
        <w:spacing w:before="240"/>
        <w:rPr>
          <w:rFonts w:cs="Times New Roman"/>
          <w:b/>
          <w:u w:val="single"/>
          <w:lang w:val="lv-LV"/>
        </w:rPr>
      </w:pPr>
      <w:r w:rsidRPr="00177F30">
        <w:rPr>
          <w:rFonts w:cs="Times New Roman"/>
          <w:b/>
          <w:u w:val="single"/>
          <w:lang w:val="lv-LV"/>
        </w:rPr>
        <w:t>Uzsāktie uzdevumi:</w:t>
      </w:r>
    </w:p>
    <w:p w14:paraId="6AEE136D"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10.1. punkts Vides aizsardzības un reģionālās attīstības ministrijai sadarbībā ar Satiksmes ministriju, Tieslietu ministriju, Iekšlietu ministriju un Finanšu ministriju</w:t>
      </w:r>
      <w:r w:rsidRPr="00177F30">
        <w:rPr>
          <w:rFonts w:cs="Times New Roman"/>
          <w:lang w:val="lv-LV"/>
        </w:rPr>
        <w:t xml:space="preserve"> </w:t>
      </w:r>
      <w:r w:rsidRPr="00177F30">
        <w:rPr>
          <w:rFonts w:cs="Times New Roman"/>
          <w:i/>
          <w:lang w:val="lv-LV"/>
        </w:rPr>
        <w:t>līdz 2020. gada 30. decembrim sagatavot priekšlikumus par IKT kompetenču centru (valsts pārvaldes iestāžu un valsts kapitālsabiedrību, kuras sniedz informācijas un komunikāciju tehnoloģiju atbalsta pakalpojumus valsts pārvaldes institūcijām) finansēšanas un pārvaldības modeļu pilnveidošanu.</w:t>
      </w:r>
      <w:r w:rsidRPr="00177F30">
        <w:rPr>
          <w:rFonts w:cs="Times New Roman"/>
          <w:lang w:val="lv-LV"/>
        </w:rPr>
        <w:t>”</w:t>
      </w:r>
    </w:p>
    <w:p w14:paraId="4A6C2A38" w14:textId="77777777" w:rsidR="00177F30" w:rsidRPr="00177F30" w:rsidRDefault="00177F30" w:rsidP="00D00D0D">
      <w:pPr>
        <w:ind w:firstLine="709"/>
        <w:rPr>
          <w:rFonts w:cs="Times New Roman"/>
          <w:lang w:val="lv-LV"/>
        </w:rPr>
      </w:pPr>
      <w:r w:rsidRPr="00177F30">
        <w:rPr>
          <w:rFonts w:cs="Times New Roman"/>
          <w:lang w:val="lv-LV"/>
        </w:rPr>
        <w:t>Situācijā, kad iesaistīto ministriju (piemēram, SM un FM) viedokļi šajā jautājumā ir diametrāli pretēji, VARAM nesaskata ātru risinājumu un ierosina būtiski pagarināt uzdevuma izpildes termiņu – vismaz līdz 2022. gada jūnijam. No savas puses VARAM turpina attīstīt koplietošanas pakalpojumu pārvaldības procesus un to atbalsta sistēmas (konkrēti – sistēmu VIRSIS).</w:t>
      </w:r>
    </w:p>
    <w:p w14:paraId="329C764B"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10.2. punkts Vides aizsardzības un reģionālās attīstības ministrijai sadarbībā ar Valsts kanceleju un vadošajām IKT koplietošanas pakalpojumu sniedzēju iestādēm</w:t>
      </w:r>
      <w:r w:rsidRPr="00177F30">
        <w:rPr>
          <w:rFonts w:cs="Times New Roman"/>
          <w:lang w:val="lv-LV"/>
        </w:rPr>
        <w:t xml:space="preserve"> </w:t>
      </w:r>
      <w:r w:rsidRPr="00177F30">
        <w:rPr>
          <w:rFonts w:cs="Times New Roman"/>
          <w:i/>
          <w:lang w:val="lv-LV"/>
        </w:rPr>
        <w:t>līdz 2020. gada 30. decembrim sagatavot un iesniegt izskatīšanai Ministru kabinetā grozījumus Ministru kabineta 2010. gada 30. novembra noteikumos Nr. 1075 “Valsts un pašvaldību institūciju amatu katalogs”, papildinot valsts pārvaldes amatu saimes.</w:t>
      </w:r>
      <w:r w:rsidRPr="00177F30">
        <w:rPr>
          <w:rFonts w:cs="Times New Roman"/>
          <w:lang w:val="lv-LV"/>
        </w:rPr>
        <w:t>”</w:t>
      </w:r>
    </w:p>
    <w:p w14:paraId="3772EDD1" w14:textId="4D38E060" w:rsidR="00177F30" w:rsidRPr="00177F30" w:rsidRDefault="00177F30" w:rsidP="00D00D0D">
      <w:pPr>
        <w:ind w:firstLine="709"/>
        <w:rPr>
          <w:rFonts w:cs="Times New Roman"/>
          <w:lang w:val="lv-LV"/>
        </w:rPr>
      </w:pPr>
      <w:r w:rsidRPr="00177F30">
        <w:rPr>
          <w:rFonts w:cs="Times New Roman"/>
          <w:lang w:val="lv-LV"/>
        </w:rPr>
        <w:t xml:space="preserve">Uzdevuma izpilde ir atkarīga gan no informatīvā ziņojuma „Informatīvais ziņojums par valsts informācijas un komunikācijas tehnoloģiju resursu un kompetenču konsolidāciju” tālākas virzības, gan arī ir saistīta ar </w:t>
      </w:r>
      <w:r w:rsidR="007D00BC">
        <w:rPr>
          <w:rFonts w:cs="Times New Roman"/>
          <w:lang w:val="lv-LV"/>
        </w:rPr>
        <w:t>VK</w:t>
      </w:r>
      <w:r w:rsidRPr="00177F30">
        <w:rPr>
          <w:rFonts w:cs="Times New Roman"/>
          <w:lang w:val="lv-LV"/>
        </w:rPr>
        <w:t xml:space="preserve"> izstrādāto likumprojektu “Valsts un pašvaldību institūciju amatpersonu un darbinieku atlīdzības likums”</w:t>
      </w:r>
      <w:r w:rsidR="007128D7">
        <w:rPr>
          <w:rFonts w:cs="Times New Roman"/>
          <w:lang w:val="lv-LV"/>
        </w:rPr>
        <w:t xml:space="preserve"> (iesniegts VK uz MK sēdi, 2020. gada 20. oktobra MK sēdes prot. Nr. 62 21.§ jautājuma izskatīšana atlikta, VSS-64, TA-1975)</w:t>
      </w:r>
      <w:r w:rsidR="007128D7" w:rsidRPr="00177F30">
        <w:rPr>
          <w:rFonts w:cs="Times New Roman"/>
          <w:lang w:val="lv-LV"/>
        </w:rPr>
        <w:t>.</w:t>
      </w:r>
      <w:r w:rsidRPr="00177F30">
        <w:rPr>
          <w:rFonts w:cs="Times New Roman"/>
          <w:lang w:val="lv-LV"/>
        </w:rPr>
        <w:t xml:space="preserve"> Grozījumi MK 2010. gada 30. novembra noteikumos Nr. 1075 “Valsts un pašvaldību institūciju amatu katalogs” iespējami tikai pēc minētā likumprojekta pieņemšanas.</w:t>
      </w:r>
    </w:p>
    <w:p w14:paraId="4F1A4B35"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10.5. punkts Vides aizsardzības un reģionālās attīstības ministrijai (Valsts reģionālās attīstības aģentūrai) sadarbībā ar Labklājības ministriju (Valsts sociālās apdrošināšanas aģentūru), Zemkopības ministriju (Lauku atbalsta dienestu) un Satiksmes ministriju </w:t>
      </w:r>
      <w:r w:rsidRPr="00177F30">
        <w:rPr>
          <w:rFonts w:cs="Times New Roman"/>
          <w:b/>
          <w:lang w:val="lv-LV"/>
        </w:rPr>
        <w:lastRenderedPageBreak/>
        <w:t>(valsts akciju sabiedrību “Latvijas Valsts radio un televīzijas centrs”)</w:t>
      </w:r>
      <w:r w:rsidRPr="00177F30">
        <w:rPr>
          <w:rFonts w:cs="Times New Roman"/>
          <w:lang w:val="lv-LV"/>
        </w:rPr>
        <w:t xml:space="preserve"> </w:t>
      </w:r>
      <w:r w:rsidRPr="00177F30">
        <w:rPr>
          <w:rFonts w:cs="Times New Roman"/>
          <w:i/>
          <w:lang w:val="lv-LV"/>
        </w:rPr>
        <w:t>līdz 2020. gada 30. decembrim izvērtēt iespēju, savstarpēji sadarbojoties, izmantot specializēta “infrastruktūra kā pakalpojums” un “platforma kā pakalpojums” pakalpojumus augstas komplicētības pakalpojumu izmaksu efektīvākam nodrošinājumam.</w:t>
      </w:r>
      <w:r w:rsidRPr="00177F30">
        <w:rPr>
          <w:rFonts w:cs="Times New Roman"/>
          <w:lang w:val="lv-LV"/>
        </w:rPr>
        <w:t>”</w:t>
      </w:r>
    </w:p>
    <w:p w14:paraId="3EC419C1" w14:textId="719D2D24" w:rsidR="00177F30" w:rsidRDefault="00177F30" w:rsidP="00D00D0D">
      <w:pPr>
        <w:rPr>
          <w:rFonts w:cs="Times New Roman"/>
          <w:lang w:val="lv-LV"/>
        </w:rPr>
      </w:pPr>
      <w:r w:rsidRPr="00177F30">
        <w:rPr>
          <w:rFonts w:cs="Times New Roman"/>
          <w:lang w:val="lv-LV"/>
        </w:rPr>
        <w:tab/>
        <w:t>Ir analizēti risinājumi gan “DBVS ORACLE”, gan virtualizācijas platformas “VMware” jomās, tomēr līdz šim tas vēl nav sasniedzis tādu rezultātu, lai platformas pakalpojums būtu iekļaujams koplietošanas pakalpojumu katalogā. Ir identificēti arī jauni platformu pakalpojumu kandidāti – “Nutanix” un “DevOps” tehnoloģiskā nodrošinājuma platformas. VARAM ierosina pagarināt uzdevuma izpildes termiņu vismaz līdz 2022. gada 30. jūnijam.</w:t>
      </w:r>
    </w:p>
    <w:p w14:paraId="35D9BB5C" w14:textId="0B0052E0" w:rsidR="009C497E" w:rsidRPr="009C497E" w:rsidRDefault="009C497E" w:rsidP="009C497E">
      <w:pPr>
        <w:ind w:firstLine="720"/>
        <w:rPr>
          <w:rFonts w:cs="Times New Roman"/>
          <w:lang w:val="lv-LV"/>
        </w:rPr>
      </w:pPr>
      <w:r>
        <w:rPr>
          <w:lang w:val="lv-LV"/>
        </w:rPr>
        <w:t>LM informē, ka s</w:t>
      </w:r>
      <w:r w:rsidRPr="009C497E">
        <w:rPr>
          <w:lang w:val="lv-LV"/>
        </w:rPr>
        <w:t>akarā ar LM IT padomes lēmumu ir mainīta resora IKT centralizācijas koncepcija – VSAA datu centra infrastruktūras pakalpojums netiek attīstīts kā koplietošanas pakalpojums citu resoru iestādēm, bet tiek realizēta pakāpeniska pāreja uz LVRTC sniegto ārpakalpojumu, saglabājot VSAA IT personāla zināšanu un kompetenču turpmāku izmantošanu resora vajadzībām, nodrošinot pievienoto vērtību nozarei. Savukārt tehniskās infrastruktūras attīstību paredzēts virzīt uz konsolidāciju federālā IKT mākonī, ko veidos citi VARAM nominētie lielie valsts datu centri ar jaunāko infrastruktūru. Šādi tiks optimizētas IKT izmaksas valsts līmenī un ļaus LM koncentrēt uzmanību uz IKT atbalstu nozares pamatdarbībai.</w:t>
      </w:r>
    </w:p>
    <w:p w14:paraId="041CD15E"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10.10. punkts Vides aizsardzības un reģionālās attīstības ministrijai</w:t>
      </w:r>
      <w:r w:rsidRPr="00177F30">
        <w:rPr>
          <w:rFonts w:cs="Times New Roman"/>
          <w:lang w:val="lv-LV"/>
        </w:rPr>
        <w:t xml:space="preserve"> </w:t>
      </w:r>
      <w:r w:rsidRPr="00177F30">
        <w:rPr>
          <w:rFonts w:cs="Times New Roman"/>
          <w:i/>
          <w:lang w:val="lv-LV"/>
        </w:rPr>
        <w:t>līdz 2020. gada 30. decembrim sagatavot un virzīt nākamā struktūrfondu plānošanas perioda ietvaros priekšlikumu par publiskās pārvaldes informācijas sistēmu mākoņgatavības veicināšanu kā horizontālo pasākumu plānojamā Eiropas un reģionālās attīstības fonda IKT specifiskā atbalsta mērķa ietvaros.</w:t>
      </w:r>
      <w:r w:rsidRPr="00177F30">
        <w:rPr>
          <w:rFonts w:cs="Times New Roman"/>
          <w:lang w:val="lv-LV"/>
        </w:rPr>
        <w:t>”</w:t>
      </w:r>
    </w:p>
    <w:p w14:paraId="6098A4DD" w14:textId="3E6863F2" w:rsidR="00177F30" w:rsidRPr="00177F30" w:rsidRDefault="00177F30" w:rsidP="00D00D0D">
      <w:pPr>
        <w:rPr>
          <w:rFonts w:cs="Times New Roman"/>
          <w:lang w:val="lv-LV"/>
        </w:rPr>
      </w:pPr>
      <w:r w:rsidRPr="00177F30">
        <w:rPr>
          <w:rFonts w:cs="Times New Roman"/>
          <w:lang w:val="lv-LV"/>
        </w:rPr>
        <w:tab/>
        <w:t>2020. gada 30. jūnijā MK ir apstiprināts informatīvais ziņojums “Par valsts pārvaldes informācijas sistēmu arhitektūras reformu”</w:t>
      </w:r>
      <w:r w:rsidR="007128D7">
        <w:rPr>
          <w:rFonts w:cs="Times New Roman"/>
          <w:lang w:val="lv-LV"/>
        </w:rPr>
        <w:t xml:space="preserve"> (prot. Nr.42 67§)</w:t>
      </w:r>
      <w:r w:rsidRPr="00177F30">
        <w:rPr>
          <w:rFonts w:cs="Times New Roman"/>
          <w:lang w:val="lv-LV"/>
        </w:rPr>
        <w:t>, kas izvirza mākoņgatavības prasības no jauna attīstāmām un būtiski pārbūvējamām sistēmām. Šīs prasības šobrīd tiek nostiprinātas arī ar MK noteikumiem par valsts informācijas sistēmu vispārīgām nefunkcionālajām prasībām (MK noteikumu projekts “Grozījumi Ministru kabineta 2005. gada 11. oktobra noteikumos Nr. 764 “Valsts informācijas sistēmu vispārējās tehniskās prasības” (VSS-1005)), kā arī par valsts informācijas sistēmu uzraudzības kārtību (MK noteikumu projekts “Valsts informācijas sistēmu attīstības projektu uzraudzības kārtība”” (VSS-108</w:t>
      </w:r>
      <w:r w:rsidR="007D00BC">
        <w:rPr>
          <w:rFonts w:cs="Times New Roman"/>
          <w:lang w:val="lv-LV"/>
        </w:rPr>
        <w:t xml:space="preserve">8), iepriekš MK 2006. gada 24. </w:t>
      </w:r>
      <w:r w:rsidRPr="00177F30">
        <w:rPr>
          <w:rFonts w:cs="Times New Roman"/>
          <w:lang w:val="lv-LV"/>
        </w:rPr>
        <w:t>janvāra noteikumi Nr. 71 “Valsts informācijas sistēmu attīstības projektu uzraudzības kārtība”). Tādējādi tiks ieviesta vienveidīga sistēmu attīstības prasību un to izpildes uzraudzības kārtība, neatkarīgi no projektu finansēšanas avota. Minētās prasības ietvers prasības arī attiecībā uz sistēmu mākoņgatavību.</w:t>
      </w:r>
    </w:p>
    <w:p w14:paraId="5AF9A872" w14:textId="77777777" w:rsidR="00177F30" w:rsidRPr="00177F30" w:rsidRDefault="00177F30" w:rsidP="00D00D0D">
      <w:pPr>
        <w:spacing w:before="240"/>
        <w:rPr>
          <w:rFonts w:cs="Times New Roman"/>
          <w:b/>
          <w:u w:val="single"/>
          <w:lang w:val="lv-LV"/>
        </w:rPr>
      </w:pPr>
      <w:r w:rsidRPr="00177F30">
        <w:rPr>
          <w:rFonts w:cs="Times New Roman"/>
          <w:b/>
          <w:u w:val="single"/>
          <w:lang w:val="lv-LV"/>
        </w:rPr>
        <w:t>Aktualitāti zaudējušie uzdevumi:</w:t>
      </w:r>
    </w:p>
    <w:p w14:paraId="36C0086A" w14:textId="77777777" w:rsidR="00177F30" w:rsidRPr="00177F30" w:rsidRDefault="00177F30" w:rsidP="00D00D0D">
      <w:pPr>
        <w:rPr>
          <w:rFonts w:cs="Times New Roman"/>
          <w:iCs/>
          <w:lang w:val="lv-LV"/>
        </w:rPr>
      </w:pPr>
      <w:r w:rsidRPr="00177F30">
        <w:rPr>
          <w:rFonts w:cs="Times New Roman"/>
          <w:lang w:val="lv-LV"/>
        </w:rPr>
        <w:t>“</w:t>
      </w:r>
      <w:r w:rsidRPr="00177F30">
        <w:rPr>
          <w:rFonts w:cs="Times New Roman"/>
          <w:b/>
          <w:lang w:val="lv-LV"/>
        </w:rPr>
        <w:t xml:space="preserve">9.5. punkts </w:t>
      </w:r>
      <w:r w:rsidRPr="00177F30">
        <w:rPr>
          <w:rFonts w:cs="Times New Roman"/>
          <w:b/>
          <w:bCs/>
          <w:iCs/>
          <w:lang w:val="lv-LV"/>
        </w:rPr>
        <w:t>Vides aizsardzības un reģionālās attīstības ministrijai sadarbībā ar Aizsardzības ministriju, Iekšlietu ministriju un Tieslietu ministriju</w:t>
      </w:r>
      <w:r w:rsidRPr="00177F30">
        <w:rPr>
          <w:rFonts w:cs="Times New Roman"/>
          <w:i/>
          <w:lang w:val="lv-LV"/>
        </w:rPr>
        <w:t xml:space="preserve"> līdz 2019. gada 1. augustam sagatavot un iesniegt izskatīšanai Ministru kabinetā rīkojuma projektu par principa “viens dators vienam darbiniekam” ieviešanu, kurā noteikt, ka datoru skaits nedrīkst pārsniegt 1,1 datoru uz vienu publiskajā pārvaldē nodarbināto, paredzot izņēmumu ar valsts ārējo un iekšējo drošību saistītos gadījumos.</w:t>
      </w:r>
      <w:r w:rsidRPr="00177F30">
        <w:rPr>
          <w:rFonts w:cs="Times New Roman"/>
          <w:lang w:val="lv-LV"/>
        </w:rPr>
        <w:t>”</w:t>
      </w:r>
    </w:p>
    <w:p w14:paraId="000F8CAC" w14:textId="77777777" w:rsidR="00177F30" w:rsidRPr="00177F30" w:rsidRDefault="00177F30" w:rsidP="00D00D0D">
      <w:pPr>
        <w:rPr>
          <w:rFonts w:cs="Times New Roman"/>
          <w:lang w:val="lv-LV"/>
        </w:rPr>
      </w:pPr>
      <w:r w:rsidRPr="00177F30">
        <w:rPr>
          <w:rFonts w:cs="Times New Roman"/>
          <w:lang w:val="lv-LV"/>
        </w:rPr>
        <w:tab/>
        <w:t xml:space="preserve">Lai arī saskaņā ar MK 2020. gada 18. augusta protokola Nr. 49 46. § 3. punktu šis uzdevums ticis uzskatīts par izpildītu, jānorāda, ka COVID-19 pandēmija likusi pārskatīt </w:t>
      </w:r>
      <w:r w:rsidRPr="00177F30">
        <w:rPr>
          <w:rFonts w:cs="Times New Roman"/>
          <w:lang w:val="lv-LV"/>
        </w:rPr>
        <w:lastRenderedPageBreak/>
        <w:t>datortehnikas lietošanu publiskajā pārvaldē un ņemot vērā to, ka tiek nodrošināta attālināta darba iespējas, valsts pārvaldē ir sarežģītāk nodrošināt datoru skaita konsolidāciju līdz šajā punktā minētajam limitam, līdz ar to šis punkts uzskatāms par aktualitāti zaudējušu.</w:t>
      </w:r>
    </w:p>
    <w:p w14:paraId="6F9464DE" w14:textId="77777777" w:rsidR="00177F30" w:rsidRPr="00177F30" w:rsidRDefault="00177F30" w:rsidP="00D00D0D">
      <w:pPr>
        <w:rPr>
          <w:rFonts w:cs="Times New Roman"/>
          <w:iCs/>
          <w:lang w:val="lv-LV"/>
        </w:rPr>
      </w:pPr>
      <w:r w:rsidRPr="00177F30">
        <w:rPr>
          <w:rFonts w:cs="Times New Roman"/>
          <w:lang w:val="lv-LV"/>
        </w:rPr>
        <w:t>“</w:t>
      </w:r>
      <w:r w:rsidRPr="00177F30">
        <w:rPr>
          <w:rFonts w:cs="Times New Roman"/>
          <w:b/>
          <w:lang w:val="lv-LV"/>
        </w:rPr>
        <w:t xml:space="preserve">9.7. punkts </w:t>
      </w:r>
      <w:r w:rsidRPr="00177F30">
        <w:rPr>
          <w:rFonts w:cs="Times New Roman"/>
          <w:i/>
          <w:lang w:val="lv-LV"/>
        </w:rPr>
        <w:t>Lai nodrošinātu IKT pārvaldības optimizācijas priekšlikumu ieviešanu, kuru rezultātā ministrijām un citām centrālām valsts iestādēm var veidoties iekšējie resursi,</w:t>
      </w:r>
      <w:r w:rsidRPr="00177F30">
        <w:rPr>
          <w:rFonts w:cs="Times New Roman"/>
          <w:iCs/>
          <w:lang w:val="lv-LV"/>
        </w:rPr>
        <w:t xml:space="preserve"> </w:t>
      </w:r>
      <w:r w:rsidRPr="00177F30">
        <w:rPr>
          <w:rFonts w:cs="Times New Roman"/>
          <w:b/>
          <w:bCs/>
          <w:iCs/>
          <w:lang w:val="lv-LV"/>
        </w:rPr>
        <w:t>ministrijām sadarbībā ar datorizēto darba vietu atbalsta pakalpojumu sniedzējiem</w:t>
      </w:r>
      <w:r w:rsidRPr="00177F30">
        <w:rPr>
          <w:rFonts w:cs="Times New Roman"/>
          <w:iCs/>
          <w:lang w:val="lv-LV"/>
        </w:rPr>
        <w:t xml:space="preserve"> </w:t>
      </w:r>
      <w:r w:rsidRPr="00177F30">
        <w:rPr>
          <w:rFonts w:cs="Times New Roman"/>
          <w:i/>
          <w:lang w:val="lv-LV"/>
        </w:rPr>
        <w:t>nodrošināt iespēju darbiniekiem lietot darba vietās darba pienākumu veikšanai personīgos datorus (neizmantojot iestādes datorus), ar nosacījumu, ka tie atbilst izvirzītajām IKT drošības prasībām</w:t>
      </w:r>
      <w:r w:rsidRPr="00177F30">
        <w:rPr>
          <w:rFonts w:cs="Times New Roman"/>
          <w:lang w:val="lv-LV"/>
        </w:rPr>
        <w:t>.”</w:t>
      </w:r>
    </w:p>
    <w:p w14:paraId="2AEE964E" w14:textId="77777777" w:rsidR="00177F30" w:rsidRPr="00177F30" w:rsidRDefault="00177F30" w:rsidP="00D00D0D">
      <w:pPr>
        <w:rPr>
          <w:rFonts w:cs="Times New Roman"/>
          <w:lang w:val="lv-LV"/>
        </w:rPr>
      </w:pPr>
      <w:r w:rsidRPr="00177F30">
        <w:rPr>
          <w:rFonts w:cs="Times New Roman"/>
          <w:lang w:val="lv-LV"/>
        </w:rPr>
        <w:tab/>
        <w:t>COVID-19 pandēmija likusi pārvērtēt datoru skaita optimizāciju un šajos apstākļos datoru skaita samazināšanu vairs nevar uzskatīt par prioritāru, līdz ar to VARAM ierosina atzīt šo uzdevumu par spēku zaudējušu.</w:t>
      </w:r>
    </w:p>
    <w:p w14:paraId="1E0906FA"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10.3. punkts</w:t>
      </w:r>
      <w:r w:rsidRPr="00177F30">
        <w:rPr>
          <w:rFonts w:cs="Times New Roman"/>
          <w:lang w:val="lv-LV"/>
        </w:rPr>
        <w:t xml:space="preserve"> </w:t>
      </w:r>
      <w:r w:rsidRPr="00177F30">
        <w:rPr>
          <w:rFonts w:cs="Times New Roman"/>
          <w:b/>
          <w:lang w:val="lv-LV"/>
        </w:rPr>
        <w:t>Vides aizsardzības un reģionālās attīstības ministrijai (Valsts reģionālās attīstības aģentūrai) sadarbībā ar Iekšlietu ministriju (Iekšlietu ministrijas Informācijas centru) un Tieslietu ministriju (valsts akciju sabiedrību “Tiesu namu aģentūra”)</w:t>
      </w:r>
      <w:r w:rsidRPr="00177F30">
        <w:rPr>
          <w:rFonts w:cs="Times New Roman"/>
          <w:lang w:val="lv-LV"/>
        </w:rPr>
        <w:t xml:space="preserve"> </w:t>
      </w:r>
      <w:r w:rsidRPr="00177F30">
        <w:rPr>
          <w:rFonts w:cs="Times New Roman"/>
          <w:i/>
          <w:lang w:val="lv-LV"/>
        </w:rPr>
        <w:t>līdz 2020. gada 30. decembrim izvērtēt iespējas attīstīt kā pārresoru IKT koplietošanas pakalpojumu alternatīvu standartizētu datorizēto darba vietu atbalsta pakalpojumu.</w:t>
      </w:r>
      <w:r w:rsidRPr="00177F30">
        <w:rPr>
          <w:rFonts w:cs="Times New Roman"/>
          <w:lang w:val="lv-LV"/>
        </w:rPr>
        <w:t>”</w:t>
      </w:r>
    </w:p>
    <w:p w14:paraId="5B5D7A16" w14:textId="77777777" w:rsidR="00177F30" w:rsidRPr="00177F30" w:rsidRDefault="00177F30" w:rsidP="00D00D0D">
      <w:pPr>
        <w:ind w:firstLine="720"/>
        <w:rPr>
          <w:rFonts w:cs="Times New Roman"/>
          <w:lang w:val="lv-LV"/>
        </w:rPr>
      </w:pPr>
      <w:r w:rsidRPr="00177F30">
        <w:rPr>
          <w:rFonts w:cs="Times New Roman"/>
          <w:lang w:val="lv-LV"/>
        </w:rPr>
        <w:t>Pilotprojekta veidā alternatīvu tehnoloģiju standartizētu datorizēto darba vietu (virtualizēto darba virsmu) pakalpojumu EM iestādēm plāno sniegt Latvijas Nacionālā bibliotēka.</w:t>
      </w:r>
    </w:p>
    <w:p w14:paraId="2C2192F5" w14:textId="77777777" w:rsidR="00177F30" w:rsidRPr="00177F30" w:rsidRDefault="00177F30" w:rsidP="00D00D0D">
      <w:pPr>
        <w:ind w:firstLine="720"/>
        <w:rPr>
          <w:rFonts w:cs="Times New Roman"/>
          <w:lang w:val="lv-LV"/>
        </w:rPr>
      </w:pPr>
      <w:r w:rsidRPr="00177F30">
        <w:rPr>
          <w:rFonts w:cs="Times New Roman"/>
          <w:lang w:val="lv-LV"/>
        </w:rPr>
        <w:t>Pārresoru koplietošanas pakalpojumu attīstībai datorizēto darba vietu jomā pagaidām nav pietiekama atbalsta, tāpēc neviens no esošajiem faktiskajiem pakalpojumu sniedzējiem nav nostiprināts tiktāl, lai varētu atļauties arī alternatīvu pakalpojumu attīstīšanu. To neveicina arī pašreizējais koplietošanas pakalpojumu pārvaldības un finansēšanas modelis, kas galvenokārt ir fokusēts uz pakalpojuma sniedzēja izmaksu samazināšanu, bet ne vērtības pievienošanu.</w:t>
      </w:r>
    </w:p>
    <w:p w14:paraId="1F0F893D" w14:textId="77777777" w:rsidR="00177F30" w:rsidRPr="00177F30" w:rsidRDefault="00177F30" w:rsidP="00D00D0D">
      <w:pPr>
        <w:ind w:firstLine="709"/>
        <w:rPr>
          <w:rFonts w:cs="Times New Roman"/>
          <w:lang w:val="lv-LV"/>
        </w:rPr>
      </w:pPr>
      <w:r w:rsidRPr="00177F30">
        <w:rPr>
          <w:rFonts w:cs="Times New Roman"/>
          <w:lang w:val="lv-LV"/>
        </w:rPr>
        <w:t>Uzdevuma aktualitāti mazina arī apstāklis, ka nenotiek valdības līmeņa sarunas ar “Microsoft” korporāciju, kuru kontekstā alternatīvas attīstība būtu svarīga pasūtītāja puses pozīcijas nostiprināšanai. VARAM aicina atzīt uzdevumu par aktualitāti zaudējušu.</w:t>
      </w:r>
    </w:p>
    <w:p w14:paraId="3210A089"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10.7. punkts</w:t>
      </w:r>
      <w:r w:rsidRPr="00177F30">
        <w:rPr>
          <w:rFonts w:cs="Times New Roman"/>
          <w:lang w:val="lv-LV"/>
        </w:rPr>
        <w:t xml:space="preserve"> </w:t>
      </w:r>
      <w:r w:rsidRPr="00177F30">
        <w:rPr>
          <w:rFonts w:cs="Times New Roman"/>
          <w:b/>
          <w:lang w:val="lv-LV"/>
        </w:rPr>
        <w:t xml:space="preserve">Vides aizsardzības un reģionālās attīstības ministrijai sadarbībā ar Iekšlietu ministriju un Tieslietu ministriju </w:t>
      </w:r>
      <w:r w:rsidRPr="00177F30">
        <w:rPr>
          <w:rFonts w:cs="Times New Roman"/>
          <w:bCs/>
          <w:i/>
          <w:iCs/>
          <w:lang w:val="lv-LV"/>
        </w:rPr>
        <w:t>līdz 2020. gada 30. decembrim sagatavot priekšlikumu un ieviešanas plānu centralizēta personu kontaktu reģistra attīstībai un personu kontaktu datu pakāpeniskai izņemšanai no citām valsts pārvaldes informācijas sistēmām.</w:t>
      </w:r>
      <w:r w:rsidRPr="00177F30">
        <w:rPr>
          <w:rFonts w:cs="Times New Roman"/>
          <w:lang w:val="lv-LV"/>
        </w:rPr>
        <w:t>”</w:t>
      </w:r>
    </w:p>
    <w:p w14:paraId="42EB6429" w14:textId="77777777" w:rsidR="00177F30" w:rsidRPr="00177F30" w:rsidRDefault="00177F30" w:rsidP="00D00D0D">
      <w:pPr>
        <w:ind w:firstLine="709"/>
        <w:rPr>
          <w:rFonts w:cs="Times New Roman"/>
          <w:lang w:val="lv-LV"/>
        </w:rPr>
      </w:pPr>
      <w:r w:rsidRPr="00177F30">
        <w:rPr>
          <w:rFonts w:cs="Times New Roman"/>
          <w:lang w:val="lv-LV"/>
        </w:rPr>
        <w:t>Veiktajā analīzē VARAM secinājusi, ka tuvāko gadu laikā uzdevuma izpilde nav iespējama, tāpēc ierosina atzīt uzdevumu par aktualitāti zaudējušu.</w:t>
      </w:r>
    </w:p>
    <w:p w14:paraId="5B6E622B"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10.8. punkts</w:t>
      </w:r>
      <w:r w:rsidRPr="00177F30">
        <w:rPr>
          <w:rFonts w:cs="Times New Roman"/>
          <w:lang w:val="lv-LV"/>
        </w:rPr>
        <w:t xml:space="preserve"> </w:t>
      </w:r>
      <w:r w:rsidRPr="00177F30">
        <w:rPr>
          <w:rFonts w:cs="Times New Roman"/>
          <w:b/>
          <w:lang w:val="lv-LV"/>
        </w:rPr>
        <w:t xml:space="preserve">Vides aizsardzības un reģionālās attīstības ministrijai (Valsts reģionālās attīstības aģentūrai) sadarbībā ar Iekšlietu ministriju un Tieslietu ministriju </w:t>
      </w:r>
      <w:r w:rsidRPr="00177F30">
        <w:rPr>
          <w:rFonts w:cs="Times New Roman"/>
          <w:bCs/>
          <w:i/>
          <w:iCs/>
          <w:lang w:val="lv-LV"/>
        </w:rPr>
        <w:t>līdz 2020. gada 30. decembrim sagatavot priekšlikumu par oficiālās e-adreses risinājuma tālāku attīstību un “vienotās drukas” pakalpojuma attīstību un ieviešanu.</w:t>
      </w:r>
      <w:r w:rsidRPr="00177F30">
        <w:rPr>
          <w:rFonts w:cs="Times New Roman"/>
          <w:lang w:val="lv-LV"/>
        </w:rPr>
        <w:t>”</w:t>
      </w:r>
    </w:p>
    <w:p w14:paraId="34B8ED54" w14:textId="77777777" w:rsidR="00177F30" w:rsidRPr="00177F30" w:rsidRDefault="00177F30" w:rsidP="00D00D0D">
      <w:pPr>
        <w:ind w:firstLine="709"/>
        <w:rPr>
          <w:rFonts w:cs="Times New Roman"/>
          <w:lang w:val="lv-LV"/>
        </w:rPr>
      </w:pPr>
      <w:r w:rsidRPr="00177F30">
        <w:rPr>
          <w:rFonts w:cs="Times New Roman"/>
          <w:lang w:val="lv-LV"/>
        </w:rPr>
        <w:t>Veiktajā analīzē VARAM secinājusi, ka “vienotās drukas” ieviešana nav uzskatāma par lietderīgu, tāpēc ierosina atzīt uzdevumu par aktualitāti zaudējušu.</w:t>
      </w:r>
    </w:p>
    <w:p w14:paraId="357583F6"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10.9. punkts</w:t>
      </w:r>
      <w:r w:rsidRPr="00177F30">
        <w:rPr>
          <w:rFonts w:cs="Times New Roman"/>
          <w:lang w:val="lv-LV"/>
        </w:rPr>
        <w:t xml:space="preserve"> </w:t>
      </w:r>
      <w:r w:rsidRPr="00177F30">
        <w:rPr>
          <w:rFonts w:cs="Times New Roman"/>
          <w:b/>
          <w:lang w:val="lv-LV"/>
        </w:rPr>
        <w:t xml:space="preserve">Vides aizsardzības un reģionālās attīstības ministrijai sadarbībā ar Finanšu ministriju un pārējām ministrijām, </w:t>
      </w:r>
      <w:r w:rsidRPr="00177F30">
        <w:rPr>
          <w:rFonts w:cs="Times New Roman"/>
          <w:bCs/>
          <w:i/>
          <w:iCs/>
          <w:lang w:val="lv-LV"/>
        </w:rPr>
        <w:t xml:space="preserve">sākot ar 2021. gadu, izvērtēt jau sasniegtos rezultātus un </w:t>
      </w:r>
      <w:r w:rsidRPr="00177F30">
        <w:rPr>
          <w:rFonts w:cs="Times New Roman"/>
          <w:bCs/>
          <w:i/>
          <w:iCs/>
          <w:lang w:val="lv-LV"/>
        </w:rPr>
        <w:lastRenderedPageBreak/>
        <w:t>sagatavot priekšlikumus par IKT arhitektūras pārvaldības un iekšējo informācijas un komunikāciju tehnoloģiju konsultāciju funkcijas turpmākā finansējuma avotiem</w:t>
      </w:r>
      <w:r w:rsidRPr="00177F30">
        <w:rPr>
          <w:rFonts w:cs="Times New Roman"/>
          <w:lang w:val="lv-LV"/>
        </w:rPr>
        <w:t>.”</w:t>
      </w:r>
    </w:p>
    <w:p w14:paraId="7854430A" w14:textId="77777777" w:rsidR="00177F30" w:rsidRPr="00177F30" w:rsidRDefault="00177F30" w:rsidP="00D00D0D">
      <w:pPr>
        <w:ind w:firstLine="709"/>
        <w:rPr>
          <w:rFonts w:cs="Times New Roman"/>
          <w:lang w:val="lv-LV"/>
        </w:rPr>
      </w:pPr>
      <w:r w:rsidRPr="00177F30">
        <w:rPr>
          <w:rFonts w:cs="Times New Roman"/>
          <w:lang w:val="lv-LV"/>
        </w:rPr>
        <w:t>IKT attīstības projektu konsolidācijas tendence (piemēram, RRF un jaunā plānošanas perioda IKT ERAF) liek pārskatīt VARAM kompetenču attīstības prioritātes, IKT specializētu konsultāciju vietā fokusējoties uz projektu pārvaldības spējām, līdz ar to VARAM ierosina atzīt uzdevumu par aktualitāti zaudējušu.</w:t>
      </w:r>
    </w:p>
    <w:p w14:paraId="539CCC32" w14:textId="77777777" w:rsidR="00177F30" w:rsidRPr="00177F30" w:rsidRDefault="00177F30" w:rsidP="00D00D0D">
      <w:pPr>
        <w:tabs>
          <w:tab w:val="left" w:pos="2445"/>
        </w:tabs>
        <w:spacing w:after="0"/>
        <w:jc w:val="center"/>
        <w:rPr>
          <w:rFonts w:cs="Times New Roman"/>
          <w:b/>
          <w:lang w:val="lv-LV"/>
        </w:rPr>
      </w:pPr>
    </w:p>
    <w:p w14:paraId="3F45F7F0" w14:textId="77777777" w:rsidR="00D00D0D" w:rsidRDefault="00177F30" w:rsidP="00D00D0D">
      <w:pPr>
        <w:tabs>
          <w:tab w:val="left" w:pos="2445"/>
        </w:tabs>
        <w:spacing w:after="0"/>
        <w:jc w:val="center"/>
        <w:rPr>
          <w:rFonts w:cs="Times New Roman"/>
          <w:b/>
          <w:lang w:val="lv-LV"/>
        </w:rPr>
      </w:pPr>
      <w:r w:rsidRPr="00177F30">
        <w:rPr>
          <w:rFonts w:cs="Times New Roman"/>
          <w:b/>
          <w:lang w:val="lv-LV"/>
        </w:rPr>
        <w:t>Izpildes statuss</w:t>
      </w:r>
      <w:r w:rsidR="00D00D0D">
        <w:rPr>
          <w:rFonts w:cs="Times New Roman"/>
          <w:b/>
          <w:lang w:val="lv-LV"/>
        </w:rPr>
        <w:t xml:space="preserve"> par MK 2017. gada 28. augusta </w:t>
      </w:r>
    </w:p>
    <w:p w14:paraId="13335C4C" w14:textId="7500EB0B" w:rsidR="00177F30" w:rsidRPr="00177F30" w:rsidRDefault="00177F30" w:rsidP="00D00D0D">
      <w:pPr>
        <w:tabs>
          <w:tab w:val="left" w:pos="2445"/>
        </w:tabs>
        <w:spacing w:after="0"/>
        <w:jc w:val="center"/>
        <w:rPr>
          <w:rFonts w:cs="Times New Roman"/>
          <w:b/>
          <w:lang w:val="lv-LV"/>
        </w:rPr>
      </w:pPr>
      <w:r w:rsidRPr="00177F30">
        <w:rPr>
          <w:rFonts w:cs="Times New Roman"/>
          <w:b/>
          <w:lang w:val="lv-LV"/>
        </w:rPr>
        <w:t>sēdes protokola Nr. 41 1. § uzdevumiem</w:t>
      </w:r>
    </w:p>
    <w:p w14:paraId="34688AE1" w14:textId="77777777" w:rsidR="00177F30" w:rsidRPr="00177F30" w:rsidRDefault="00177F30" w:rsidP="00D00D0D">
      <w:pPr>
        <w:spacing w:before="240"/>
        <w:rPr>
          <w:rFonts w:cs="Times New Roman"/>
          <w:b/>
          <w:u w:val="single"/>
          <w:lang w:val="lv-LV"/>
        </w:rPr>
      </w:pPr>
      <w:r w:rsidRPr="00177F30">
        <w:rPr>
          <w:rFonts w:cs="Times New Roman"/>
          <w:b/>
          <w:u w:val="single"/>
          <w:lang w:val="lv-LV"/>
        </w:rPr>
        <w:t>Izpildītie uzdevumi:</w:t>
      </w:r>
    </w:p>
    <w:p w14:paraId="29A4A737" w14:textId="0AEBB17A" w:rsidR="00177F30" w:rsidRPr="00177F30" w:rsidRDefault="00177F30" w:rsidP="00D00D0D">
      <w:pPr>
        <w:rPr>
          <w:rFonts w:cs="Times New Roman"/>
          <w:lang w:val="lv-LV"/>
        </w:rPr>
      </w:pPr>
      <w:r w:rsidRPr="00177F30">
        <w:rPr>
          <w:rFonts w:cs="Times New Roman"/>
          <w:lang w:val="lv-LV"/>
        </w:rPr>
        <w:t>“</w:t>
      </w:r>
      <w:r w:rsidR="007128D7">
        <w:rPr>
          <w:rFonts w:cs="Times New Roman"/>
          <w:b/>
          <w:lang w:val="lv-LV"/>
        </w:rPr>
        <w:t>25</w:t>
      </w:r>
      <w:r w:rsidRPr="00177F30">
        <w:rPr>
          <w:rFonts w:cs="Times New Roman"/>
          <w:b/>
          <w:lang w:val="lv-LV"/>
        </w:rPr>
        <w:t xml:space="preserve">. punkts </w:t>
      </w:r>
      <w:r w:rsidRPr="00177F30">
        <w:rPr>
          <w:rFonts w:cs="Times New Roman"/>
          <w:b/>
          <w:bCs/>
          <w:iCs/>
          <w:lang w:val="lv-LV"/>
        </w:rPr>
        <w:t>Tieslietu ministrijai sadarbībā ar Iekšlietu ministriju</w:t>
      </w:r>
      <w:r w:rsidRPr="00177F30">
        <w:rPr>
          <w:rFonts w:cs="Times New Roman"/>
          <w:i/>
          <w:lang w:val="lv-LV"/>
        </w:rPr>
        <w:t xml:space="preserve"> līdz 2018. gada 1. jūnijam izvērtēt ieslodzīto konvojēšanas funkcijas nodrošinājumu Valsts policijā un Ieslodzījuma vietu pārvaldē, izstrādājot efektīvāko risinājumu ar esošajām valsts budžeta finansiālajām iespējām, un pēc saskaņošanas ar Finanšu ministriju iesniegt priekšlikumus ieslodzīto konvojēšanas funkcijas pārskatīšanai izskatīšanai Ministru kabinetā.</w:t>
      </w:r>
      <w:r w:rsidRPr="00177F30">
        <w:rPr>
          <w:rFonts w:cs="Times New Roman"/>
          <w:lang w:val="lv-LV"/>
        </w:rPr>
        <w:t>”</w:t>
      </w:r>
    </w:p>
    <w:p w14:paraId="2CAFBBC7" w14:textId="77777777" w:rsidR="00177F30" w:rsidRPr="00177F30" w:rsidRDefault="00177F30" w:rsidP="00D00D0D">
      <w:pPr>
        <w:rPr>
          <w:rFonts w:cs="Times New Roman"/>
          <w:lang w:val="lv-LV"/>
        </w:rPr>
      </w:pPr>
      <w:r w:rsidRPr="00177F30">
        <w:rPr>
          <w:rFonts w:cs="Times New Roman"/>
          <w:lang w:val="lv-LV"/>
        </w:rPr>
        <w:tab/>
        <w:t>MK 2020. gada 18. augusta protokola Nr. 49 46. § 17. punktā TM sadarbībā ar IeM dots jauns punkts, kas paredz ieslodzīto konvojēšanas funkcijas pārskatīšanu, līdz ar to šis punkts uzskatāms par izpildītu.</w:t>
      </w:r>
    </w:p>
    <w:p w14:paraId="6CC3901D"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34. punkts </w:t>
      </w:r>
      <w:r w:rsidRPr="00177F30">
        <w:rPr>
          <w:rFonts w:cs="Times New Roman"/>
          <w:i/>
          <w:lang w:val="lv-LV"/>
        </w:rPr>
        <w:t>Lai ministrijas atbrīvotu no tām neraksturīgas funkcijas – muzeju darbības un attīstības nodrošināšanas un novērstu valsts budžeta finansēto iestāžu funkciju dublēšanos,</w:t>
      </w:r>
      <w:r w:rsidRPr="00177F30">
        <w:rPr>
          <w:rFonts w:cs="Times New Roman"/>
          <w:lang w:val="lv-LV"/>
        </w:rPr>
        <w:t xml:space="preserve"> </w:t>
      </w:r>
      <w:r w:rsidRPr="00177F30">
        <w:rPr>
          <w:rFonts w:cs="Times New Roman"/>
          <w:b/>
          <w:lang w:val="lv-LV"/>
        </w:rPr>
        <w:t>Kultūras ministrijai sadarbībā ar ministrijām</w:t>
      </w:r>
      <w:r w:rsidRPr="00177F30">
        <w:rPr>
          <w:rFonts w:cs="Times New Roman"/>
          <w:lang w:val="lv-LV"/>
        </w:rPr>
        <w:t xml:space="preserve"> </w:t>
      </w:r>
      <w:r w:rsidRPr="00177F30">
        <w:rPr>
          <w:rFonts w:cs="Times New Roman"/>
          <w:i/>
          <w:lang w:val="lv-LV"/>
        </w:rPr>
        <w:t>izvērtēt iespējas ministriju padotībā esošos muzejus nodot Kultūras ministrijai, vai arī muzejus vai to atsevišķas filiāles nodot pašvaldību pārziņā, un iesniegt priekšlikumus Finanšu ministrijā.</w:t>
      </w:r>
      <w:r w:rsidRPr="00177F30">
        <w:rPr>
          <w:rFonts w:cs="Times New Roman"/>
          <w:lang w:val="lv-LV"/>
        </w:rPr>
        <w:t>”</w:t>
      </w:r>
    </w:p>
    <w:p w14:paraId="257CAC09" w14:textId="77777777" w:rsidR="00177F30" w:rsidRPr="00177F30" w:rsidRDefault="00177F30" w:rsidP="00D00D0D">
      <w:pPr>
        <w:rPr>
          <w:rFonts w:cs="Times New Roman"/>
          <w:lang w:val="lv-LV"/>
        </w:rPr>
      </w:pPr>
      <w:r w:rsidRPr="00177F30">
        <w:rPr>
          <w:rFonts w:cs="Times New Roman"/>
          <w:lang w:val="lv-LV"/>
        </w:rPr>
        <w:tab/>
        <w:t>KM pēc ministriju viedokļu apkopošanas secina, ka ministriju pakļautībā esošo valsts muzeju atrašanās dažādu nozaru ministriju pārziņā ļauj muzejiem darboties kā efektīviem nozaru politikas īstenotājiem, tādējādi sniedzot vislielāko atdevi sabiedrībai, valsts muzeju koncentrēšana KM pārziņā nenodrošina finansiālo resursu ekonomiju, tāpēc nav uzskatāma par lietderīgu. Vienlaikus ministriju pakļautībā esošo valsts muzeju nodošana pašvaldībām katrā konkrētā gadījumā ir jāvērtē individuāli, respektējot gan ministriju, gan pašvaldību viedokli. Šobrīd neviena no ministrijām nepiekrīt savā pārziņā esošo muzeju vai to filiāļu nodošanai pašvaldībām.</w:t>
      </w:r>
    </w:p>
    <w:p w14:paraId="3AE0A6B8" w14:textId="77777777" w:rsidR="00177F30" w:rsidRPr="00177F30" w:rsidRDefault="00177F30" w:rsidP="00D00D0D">
      <w:pPr>
        <w:ind w:firstLine="709"/>
        <w:rPr>
          <w:rFonts w:cs="Times New Roman"/>
          <w:lang w:val="lv-LV"/>
        </w:rPr>
      </w:pPr>
      <w:r w:rsidRPr="00177F30">
        <w:rPr>
          <w:rFonts w:cs="Times New Roman"/>
          <w:lang w:val="lv-LV"/>
        </w:rPr>
        <w:t>2021. gada 14. aprīlī stājās spēkā KM izstrādātie grozījumi Muzeju likumā, kas paredz valsts muzejiem jaunu iespējamo juridisko darbības formu „atvasināta publiska persona”, kuras piemērošana citu ministriju pakļautībā esošajiem muzejiem atbrīvotu ministrijas no tām neraksturīgām funkcijām, ministrijai slēdzot līgumu ar muzeju par funkciju izpildi.</w:t>
      </w:r>
    </w:p>
    <w:p w14:paraId="5768A554" w14:textId="77777777" w:rsidR="00177F30" w:rsidRPr="00177F30" w:rsidRDefault="00177F30" w:rsidP="00D00D0D">
      <w:pPr>
        <w:spacing w:before="240"/>
        <w:rPr>
          <w:rFonts w:cs="Times New Roman"/>
          <w:b/>
          <w:u w:val="single"/>
          <w:lang w:val="lv-LV"/>
        </w:rPr>
      </w:pPr>
      <w:r w:rsidRPr="00177F30">
        <w:rPr>
          <w:rFonts w:cs="Times New Roman"/>
          <w:b/>
          <w:u w:val="single"/>
          <w:lang w:val="lv-LV"/>
        </w:rPr>
        <w:t>Aktualitāti zaudējušie uzdevumi:</w:t>
      </w:r>
    </w:p>
    <w:p w14:paraId="649B621A"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18. punkts </w:t>
      </w:r>
      <w:r w:rsidRPr="00177F30">
        <w:rPr>
          <w:rFonts w:cs="Times New Roman"/>
          <w:b/>
          <w:bCs/>
          <w:iCs/>
          <w:lang w:val="lv-LV"/>
        </w:rPr>
        <w:t>Zemkopības ministrijai sadarbībā ar Veselības ministriju un Finanšu ministriju (Valsts ieņēmumu dienestu)</w:t>
      </w:r>
      <w:r w:rsidRPr="00177F30">
        <w:rPr>
          <w:rFonts w:cs="Times New Roman"/>
          <w:i/>
          <w:lang w:val="lv-LV"/>
        </w:rPr>
        <w:t>, lai novērstu funkcijas dublēšanos attiecībā uz zāļu kontroli robežkontroles punktos, līdz 2017. gada 1. decembrim izvērtēt iespējamos risinājumus un iesniegt Ministru kabinetā priekšlikumus turpmākai rīcībai.</w:t>
      </w:r>
      <w:r w:rsidRPr="00177F30">
        <w:rPr>
          <w:rFonts w:cs="Times New Roman"/>
          <w:lang w:val="lv-LV"/>
        </w:rPr>
        <w:t>”</w:t>
      </w:r>
    </w:p>
    <w:p w14:paraId="43594F3B" w14:textId="6EB3A8BF" w:rsidR="00177F30" w:rsidRPr="00F700BC" w:rsidRDefault="00177F30" w:rsidP="00F700BC">
      <w:pPr>
        <w:rPr>
          <w:rFonts w:cs="Times New Roman"/>
          <w:lang w:val="lv-LV"/>
        </w:rPr>
      </w:pPr>
      <w:r w:rsidRPr="00177F30">
        <w:rPr>
          <w:rFonts w:cs="Times New Roman"/>
          <w:lang w:val="lv-LV"/>
        </w:rPr>
        <w:tab/>
        <w:t>Ar MK 2021. gada 24. marta ārkārtas sēdes protokollēmuma (prot. Nr. 29 33. §) šajā punktā dotais uzdevums atzīts par tādu, kas zaudējis aktualitāti.</w:t>
      </w:r>
    </w:p>
    <w:p w14:paraId="54415C67" w14:textId="77777777" w:rsidR="00177F30" w:rsidRPr="00177F30" w:rsidRDefault="00177F30" w:rsidP="00D00D0D">
      <w:pPr>
        <w:spacing w:after="0"/>
        <w:jc w:val="center"/>
        <w:rPr>
          <w:rFonts w:cs="Times New Roman"/>
          <w:b/>
          <w:lang w:val="lv-LV"/>
        </w:rPr>
      </w:pPr>
      <w:r w:rsidRPr="00177F30">
        <w:rPr>
          <w:rFonts w:cs="Times New Roman"/>
          <w:b/>
          <w:lang w:val="lv-LV"/>
        </w:rPr>
        <w:lastRenderedPageBreak/>
        <w:t>Izpildes statuss par MK 2016. gada 31. maija</w:t>
      </w:r>
    </w:p>
    <w:p w14:paraId="6A82D0AE" w14:textId="77777777" w:rsidR="00177F30" w:rsidRPr="00177F30" w:rsidRDefault="00177F30" w:rsidP="00D00D0D">
      <w:pPr>
        <w:tabs>
          <w:tab w:val="left" w:pos="2445"/>
        </w:tabs>
        <w:spacing w:after="0"/>
        <w:jc w:val="center"/>
        <w:rPr>
          <w:rFonts w:cs="Times New Roman"/>
          <w:b/>
          <w:lang w:val="lv-LV"/>
        </w:rPr>
      </w:pPr>
      <w:r w:rsidRPr="00177F30">
        <w:rPr>
          <w:rFonts w:cs="Times New Roman"/>
          <w:b/>
          <w:lang w:val="lv-LV"/>
        </w:rPr>
        <w:t>sēdes protokola Nr. 26 39. § uzdevumiem</w:t>
      </w:r>
    </w:p>
    <w:p w14:paraId="378C8751" w14:textId="77777777" w:rsidR="00177F30" w:rsidRPr="00177F30" w:rsidRDefault="00177F30" w:rsidP="00D00D0D">
      <w:pPr>
        <w:spacing w:before="240"/>
        <w:rPr>
          <w:rFonts w:cs="Times New Roman"/>
          <w:b/>
          <w:u w:val="single"/>
          <w:lang w:val="lv-LV"/>
        </w:rPr>
      </w:pPr>
      <w:r w:rsidRPr="00177F30">
        <w:rPr>
          <w:rFonts w:cs="Times New Roman"/>
          <w:b/>
          <w:u w:val="single"/>
          <w:lang w:val="lv-LV"/>
        </w:rPr>
        <w:t>Uzsāktie uzdevumi:</w:t>
      </w:r>
    </w:p>
    <w:p w14:paraId="252FFBAE" w14:textId="77777777" w:rsidR="00177F30" w:rsidRPr="00177F30" w:rsidRDefault="00177F30" w:rsidP="00D00D0D">
      <w:pPr>
        <w:rPr>
          <w:rFonts w:cs="Times New Roman"/>
          <w:lang w:val="lv-LV"/>
        </w:rPr>
      </w:pPr>
      <w:r w:rsidRPr="00177F30">
        <w:rPr>
          <w:rFonts w:cs="Times New Roman"/>
          <w:lang w:val="lv-LV"/>
        </w:rPr>
        <w:t>“</w:t>
      </w:r>
      <w:r w:rsidRPr="00177F30">
        <w:rPr>
          <w:rFonts w:cs="Times New Roman"/>
          <w:b/>
          <w:lang w:val="lv-LV"/>
        </w:rPr>
        <w:t xml:space="preserve">6.9. punkts </w:t>
      </w:r>
      <w:r w:rsidRPr="00177F30">
        <w:rPr>
          <w:rFonts w:cs="Times New Roman"/>
          <w:b/>
          <w:bCs/>
          <w:iCs/>
          <w:lang w:val="lv-LV"/>
        </w:rPr>
        <w:t>Izglītības un zinātnes ministrijai</w:t>
      </w:r>
      <w:r w:rsidRPr="00177F30">
        <w:rPr>
          <w:rFonts w:cs="Times New Roman"/>
          <w:i/>
          <w:lang w:val="lv-LV"/>
        </w:rPr>
        <w:t xml:space="preserve"> profesionālās izglītības reformas ietvaros sagatavot un līdz 2016. gada 1. septembrim iesniegt izskatīšanai Ministru kabinetā profesionālās izglītības programmu finansēšanas modeli, tajā skaitā finansēšanas principus citu dibinātāju profesionālajām izglītības iestādēm.</w:t>
      </w:r>
      <w:r w:rsidRPr="00177F30">
        <w:rPr>
          <w:rFonts w:cs="Times New Roman"/>
          <w:lang w:val="lv-LV"/>
        </w:rPr>
        <w:t>”</w:t>
      </w:r>
    </w:p>
    <w:p w14:paraId="02E678E8" w14:textId="321709FE" w:rsidR="00762984" w:rsidRDefault="00177F30" w:rsidP="00177F30">
      <w:pPr>
        <w:rPr>
          <w:rFonts w:cs="Times New Roman"/>
          <w:lang w:val="lv-LV"/>
        </w:rPr>
      </w:pPr>
      <w:r w:rsidRPr="00177F30">
        <w:rPr>
          <w:rFonts w:cs="Times New Roman"/>
          <w:lang w:val="lv-LV"/>
        </w:rPr>
        <w:tab/>
        <w:t xml:space="preserve">IZM sagatavotie grozījumi Profesionālās izglītības likumā </w:t>
      </w:r>
      <w:r w:rsidR="00F700BC" w:rsidRPr="00F700BC">
        <w:rPr>
          <w:rFonts w:cs="Times New Roman"/>
          <w:lang w:val="lv-LV"/>
        </w:rPr>
        <w:t xml:space="preserve">(reģ. Nr. Saeimā 895/Lp13) </w:t>
      </w:r>
      <w:r w:rsidRPr="00177F30">
        <w:rPr>
          <w:rFonts w:cs="Times New Roman"/>
          <w:lang w:val="lv-LV"/>
        </w:rPr>
        <w:t>ir izstrādāti un iesniegti izskatīšanai Saeimā, savukārt konceptuālais ziņojums</w:t>
      </w:r>
      <w:r w:rsidRPr="004C118A">
        <w:rPr>
          <w:rFonts w:cs="Times New Roman"/>
          <w:lang w:val="lv-LV"/>
        </w:rPr>
        <w:t xml:space="preserve"> </w:t>
      </w:r>
      <w:r w:rsidRPr="00177F30">
        <w:rPr>
          <w:rFonts w:cs="Times New Roman"/>
          <w:lang w:val="lv-LV"/>
        </w:rPr>
        <w:t>“Par profesionālās izglītības programmu finansēšanu” šobrīd atrodas saskaņošanas procesā.</w:t>
      </w:r>
      <w:r w:rsidRPr="004C118A">
        <w:rPr>
          <w:rFonts w:cs="Times New Roman"/>
          <w:lang w:val="lv-LV"/>
        </w:rPr>
        <w:t xml:space="preserve"> </w:t>
      </w:r>
    </w:p>
    <w:p w14:paraId="38E733E9" w14:textId="2D7BE331" w:rsidR="00002906" w:rsidRDefault="00002906" w:rsidP="00177F30">
      <w:pPr>
        <w:rPr>
          <w:rFonts w:cs="Times New Roman"/>
          <w:lang w:val="lv-LV"/>
        </w:rPr>
      </w:pPr>
    </w:p>
    <w:p w14:paraId="1DE6F3DD" w14:textId="77777777" w:rsidR="00D2674E" w:rsidRPr="000E36B5" w:rsidRDefault="00D01CB6" w:rsidP="0005194E">
      <w:pPr>
        <w:pStyle w:val="Heading1"/>
        <w:numPr>
          <w:ilvl w:val="0"/>
          <w:numId w:val="1"/>
        </w:numPr>
        <w:rPr>
          <w:caps/>
          <w:lang w:val="lv-LV"/>
        </w:rPr>
      </w:pPr>
      <w:bookmarkStart w:id="6" w:name="_Toc80178408"/>
      <w:r w:rsidRPr="000E36B5">
        <w:rPr>
          <w:caps/>
          <w:lang w:val="lv-LV"/>
        </w:rPr>
        <w:t>Horizontālie pasākumi finanšu resursu pārdalei par labu aktuālajām prioritātēm</w:t>
      </w:r>
      <w:bookmarkEnd w:id="6"/>
    </w:p>
    <w:p w14:paraId="5AD1CD24" w14:textId="12ECA2F3" w:rsidR="00044D38" w:rsidRDefault="00D01CB6" w:rsidP="0005194E">
      <w:pPr>
        <w:pStyle w:val="Heading2"/>
        <w:numPr>
          <w:ilvl w:val="1"/>
          <w:numId w:val="1"/>
        </w:numPr>
      </w:pPr>
      <w:bookmarkStart w:id="7" w:name="_Toc80178409"/>
      <w:r w:rsidRPr="006B4F36">
        <w:t>C</w:t>
      </w:r>
      <w:r w:rsidR="007D769C">
        <w:t>ovid</w:t>
      </w:r>
      <w:r w:rsidR="00762984">
        <w:t>-</w:t>
      </w:r>
      <w:r w:rsidRPr="006B4F36">
        <w:t>19 ietekme uz ministriju un kopējiem valsts budžeta izdevumiem</w:t>
      </w:r>
      <w:bookmarkEnd w:id="7"/>
    </w:p>
    <w:p w14:paraId="1D9943AA" w14:textId="36A596E7" w:rsidR="00E61582" w:rsidRPr="00E61582" w:rsidRDefault="00E61582" w:rsidP="009D468E">
      <w:pPr>
        <w:spacing w:before="120"/>
        <w:ind w:firstLine="720"/>
        <w:rPr>
          <w:bCs/>
          <w:lang w:val="lv-LV"/>
        </w:rPr>
      </w:pPr>
      <w:r w:rsidRPr="00E61582">
        <w:rPr>
          <w:bCs/>
          <w:lang w:val="lv-LV"/>
        </w:rPr>
        <w:t>Covid-19 izraisītās pandēmijas ieviestie epidemioloģiskie ierobežojumi valstī 2020.</w:t>
      </w:r>
      <w:r w:rsidR="007D769C">
        <w:rPr>
          <w:bCs/>
          <w:lang w:val="lv-LV"/>
        </w:rPr>
        <w:t> </w:t>
      </w:r>
      <w:r w:rsidRPr="00E61582">
        <w:rPr>
          <w:bCs/>
          <w:lang w:val="lv-LV"/>
        </w:rPr>
        <w:t>gadā mainīja teju ikviena cilvēka ikdienu, arī valsts pārvaldē strādājošo darba organizācija piedzīvoja izmaiņas – darbu ofisos nomainīja attālinātais darbs, sanāksmes un dalība dažādās mācībās un konferencēs sāka noritēt attālināti, izmantojot digitālos instrumentos. Ņemot vērā minēto, izdevumu pārskatīšanas ietvaros tika analizēti resoru pamatbudžeta izdevumi pamatfunkciju īstenošanai atbilstoši izdevumu ekonomiskajām kategorijām (EKK), kurus šķietami visvairāk ietekmēja Covid-19 pandēmija, ārkārtējā situācija un tās noteik</w:t>
      </w:r>
      <w:r w:rsidR="007D00BC">
        <w:rPr>
          <w:bCs/>
          <w:lang w:val="lv-LV"/>
        </w:rPr>
        <w:t xml:space="preserve">tie </w:t>
      </w:r>
      <w:r w:rsidRPr="00E61582">
        <w:rPr>
          <w:bCs/>
          <w:lang w:val="lv-LV"/>
        </w:rPr>
        <w:t xml:space="preserve">ierobežojumi. </w:t>
      </w:r>
    </w:p>
    <w:p w14:paraId="5135C8C8" w14:textId="77BA091A" w:rsidR="00E61582" w:rsidRPr="00E61582" w:rsidRDefault="00E61582" w:rsidP="009D468E">
      <w:pPr>
        <w:spacing w:before="120"/>
        <w:ind w:firstLine="720"/>
        <w:rPr>
          <w:bCs/>
          <w:lang w:val="lv-LV"/>
        </w:rPr>
      </w:pPr>
      <w:r w:rsidRPr="00E61582">
        <w:rPr>
          <w:bCs/>
          <w:lang w:val="lv-LV"/>
        </w:rPr>
        <w:t>Analizējot Covid-19 ietekmi budžetu izdevumos atbilstoši EKK kodiem, svarīgi ir nošķirt tās izdevumu grupas, kuru izdevumu samazinājumu var sasaistīt ar darba organizācijas izmaiņām. Kā piemēru var minēt izdevumus par biroja precēm (EKK 2100 “Biroja preces”) – laikā, kad darbs no ofisa tiek pārvirzīts uz attālināto darbu, var pieņemt, ka izdevumi biroja precēm samazināsies un palielinoties digitalizācijas klātesamībai ikdienas darba vidē, samazināsies nepieciešamība</w:t>
      </w:r>
      <w:r>
        <w:rPr>
          <w:bCs/>
          <w:lang w:val="lv-LV"/>
        </w:rPr>
        <w:t xml:space="preserve"> </w:t>
      </w:r>
      <w:r w:rsidRPr="00E61582">
        <w:rPr>
          <w:bCs/>
          <w:lang w:val="lv-LV"/>
        </w:rPr>
        <w:t xml:space="preserve">printēt un kopēt dokumentus darba vajadzībām. </w:t>
      </w:r>
    </w:p>
    <w:p w14:paraId="1764801E" w14:textId="6627FF11" w:rsidR="00E61582" w:rsidRPr="00E61582" w:rsidRDefault="00E61582" w:rsidP="009D468E">
      <w:pPr>
        <w:spacing w:before="120"/>
        <w:ind w:firstLine="720"/>
        <w:rPr>
          <w:bCs/>
          <w:lang w:val="lv-LV"/>
        </w:rPr>
      </w:pPr>
      <w:r w:rsidRPr="00E61582">
        <w:rPr>
          <w:bCs/>
          <w:lang w:val="lv-LV"/>
        </w:rPr>
        <w:t xml:space="preserve">Detalizētāk apskatot izdevumu grupas, secināts, ka turpmākai analīzei pakļaujas apakškodi izdevumu grupās EKK 2000 “Preces un pakalpojumi” kā arī 5000 “Pamatkapitāla veidošana”. Šajās grupās ietvertie izdevumi atspoguļo resoru darba organizācijas patērētos resursus un to izmaiņas Covid-19 ietekmē. Jāņem vērā, ka 2020. gada 1. janvārī stājās spēkā grozījumi MK 2005. gada 27. decembra noteikumos Nr. 1031 “Noteikumi par budžetu izdevumu klasifikāciju atbilstoši ekonomiskajām kategorijām” </w:t>
      </w:r>
      <w:r w:rsidRPr="00E61582">
        <w:rPr>
          <w:lang w:val="lv-LV"/>
        </w:rPr>
        <w:t>(turpmāk – MK noteikumi Nr.1031)</w:t>
      </w:r>
      <w:r w:rsidRPr="00E61582">
        <w:rPr>
          <w:bCs/>
          <w:lang w:val="lv-LV"/>
        </w:rPr>
        <w:t>, kur tika svītroti vairāki grupas 2000 “Preces un pakalpojumi”</w:t>
      </w:r>
      <w:r>
        <w:rPr>
          <w:bCs/>
          <w:lang w:val="lv-LV"/>
        </w:rPr>
        <w:t>,</w:t>
      </w:r>
      <w:r w:rsidRPr="00E61582">
        <w:rPr>
          <w:bCs/>
          <w:lang w:val="lv-LV"/>
        </w:rPr>
        <w:t xml:space="preserve"> kā arī 5000 “Pamatkapitāla veidošana” apakškodi. Šo grozījumu rezultātā svītrotie apakškodi tika pārklasificēti uz citiem esošiem vai jaunizveidotiem kodiem, kā rezultātā nav iespējama izdevumu dinamikas pilnvērtīga analīze.</w:t>
      </w:r>
    </w:p>
    <w:p w14:paraId="0593C21D" w14:textId="385C5A24" w:rsidR="00E61582" w:rsidRPr="00E61582" w:rsidRDefault="00E61582" w:rsidP="009D468E">
      <w:pPr>
        <w:spacing w:before="120"/>
        <w:ind w:firstLine="720"/>
        <w:rPr>
          <w:bCs/>
          <w:lang w:val="lv-LV"/>
        </w:rPr>
      </w:pPr>
      <w:r w:rsidRPr="00E61582">
        <w:rPr>
          <w:bCs/>
          <w:lang w:val="lv-LV"/>
        </w:rPr>
        <w:t xml:space="preserve">Tālākajā analīzē tika apkopoti apakškodu izdevumi un to dinamika ar mērķi identificēt EKK apakškodus, kuros novērojama izdevumu samazināšanās 2020. gadā, izceļot ārkārtējās </w:t>
      </w:r>
      <w:r w:rsidRPr="00E61582">
        <w:rPr>
          <w:bCs/>
          <w:lang w:val="lv-LV"/>
        </w:rPr>
        <w:lastRenderedPageBreak/>
        <w:t>situācijas periodu valstī (12. marts – 10. jūnijs; 9. novembris – 2020. gada beigas). Kopumā tika identificēti septiņi EKK 2000 apakškodi kā arī viens EKK 5000 apakškods. Analīzei pakļautajiem EKK apakškodiem tika analizēti resoru kopējie izdevumi dinamikā pa mēnešiem</w:t>
      </w:r>
      <w:r w:rsidR="00FF79A4">
        <w:rPr>
          <w:bCs/>
          <w:lang w:val="lv-LV"/>
        </w:rPr>
        <w:t xml:space="preserve"> un gadiem</w:t>
      </w:r>
      <w:r w:rsidRPr="00E61582">
        <w:rPr>
          <w:bCs/>
          <w:lang w:val="lv-LV"/>
        </w:rPr>
        <w:t>, kā arī ministriju izdevumu dinamika pa gadiem. Zemāk tabulā nosaukti izvērtēšanai pakļautie EKK apakškodi un izv</w:t>
      </w:r>
      <w:r w:rsidR="007D769C">
        <w:rPr>
          <w:bCs/>
          <w:lang w:val="lv-LV"/>
        </w:rPr>
        <w:t>ē</w:t>
      </w:r>
      <w:r w:rsidRPr="00E61582">
        <w:rPr>
          <w:bCs/>
          <w:lang w:val="lv-LV"/>
        </w:rPr>
        <w:t>rtēšanā ietvertie izdevumi.</w:t>
      </w:r>
    </w:p>
    <w:p w14:paraId="108A8364" w14:textId="77777777" w:rsidR="00E61582" w:rsidRPr="00E61582" w:rsidRDefault="00E61582" w:rsidP="00E61582">
      <w:pPr>
        <w:jc w:val="center"/>
        <w:rPr>
          <w:sz w:val="22"/>
          <w:lang w:val="lv-LV"/>
        </w:rPr>
      </w:pPr>
      <w:r w:rsidRPr="00E61582">
        <w:rPr>
          <w:b/>
          <w:i/>
          <w:iCs/>
          <w:sz w:val="22"/>
          <w:lang w:val="lv-LV"/>
        </w:rPr>
        <w:t>2.1.2. tabula</w:t>
      </w:r>
      <w:r w:rsidRPr="00E61582">
        <w:rPr>
          <w:b/>
          <w:sz w:val="22"/>
          <w:lang w:val="lv-LV"/>
        </w:rPr>
        <w:t xml:space="preserve"> Ekonomiskās klasifikācijas kodi, kas pakļaujas analīzei</w:t>
      </w:r>
    </w:p>
    <w:tbl>
      <w:tblPr>
        <w:tblStyle w:val="TableGrid"/>
        <w:tblW w:w="0" w:type="auto"/>
        <w:jc w:val="center"/>
        <w:tblLook w:val="04A0" w:firstRow="1" w:lastRow="0" w:firstColumn="1" w:lastColumn="0" w:noHBand="0" w:noVBand="1"/>
      </w:tblPr>
      <w:tblGrid>
        <w:gridCol w:w="4815"/>
        <w:gridCol w:w="4246"/>
      </w:tblGrid>
      <w:tr w:rsidR="00E61582" w:rsidRPr="00E61582" w14:paraId="069E3A91" w14:textId="77777777" w:rsidTr="007D769C">
        <w:trPr>
          <w:trHeight w:val="70"/>
          <w:tblHeader/>
          <w:jc w:val="center"/>
        </w:trPr>
        <w:tc>
          <w:tcPr>
            <w:tcW w:w="4815" w:type="dxa"/>
          </w:tcPr>
          <w:p w14:paraId="2CDF574A" w14:textId="77777777" w:rsidR="00E61582" w:rsidRPr="00E61582" w:rsidRDefault="00E61582" w:rsidP="007D769C">
            <w:pPr>
              <w:spacing w:after="0"/>
              <w:rPr>
                <w:b/>
                <w:lang w:val="lv-LV"/>
              </w:rPr>
            </w:pPr>
            <w:r w:rsidRPr="00E61582">
              <w:rPr>
                <w:b/>
                <w:lang w:val="lv-LV"/>
              </w:rPr>
              <w:t>EKK nosaukums</w:t>
            </w:r>
          </w:p>
        </w:tc>
        <w:tc>
          <w:tcPr>
            <w:tcW w:w="4246" w:type="dxa"/>
          </w:tcPr>
          <w:p w14:paraId="0F24820F" w14:textId="77777777" w:rsidR="00E61582" w:rsidRPr="00E61582" w:rsidRDefault="00E61582" w:rsidP="007D769C">
            <w:pPr>
              <w:spacing w:after="0"/>
              <w:ind w:left="360"/>
              <w:rPr>
                <w:lang w:val="lv-LV"/>
              </w:rPr>
            </w:pPr>
            <w:r w:rsidRPr="00E61582">
              <w:rPr>
                <w:lang w:val="lv-LV"/>
              </w:rPr>
              <w:t>tika izvērtēts:</w:t>
            </w:r>
          </w:p>
        </w:tc>
      </w:tr>
      <w:tr w:rsidR="00E61582" w:rsidRPr="00D8747B" w14:paraId="040CC73A" w14:textId="77777777" w:rsidTr="00E61582">
        <w:trPr>
          <w:jc w:val="center"/>
        </w:trPr>
        <w:tc>
          <w:tcPr>
            <w:tcW w:w="4815" w:type="dxa"/>
          </w:tcPr>
          <w:p w14:paraId="7F397A3B" w14:textId="77777777" w:rsidR="00E61582" w:rsidRPr="00E61582" w:rsidRDefault="00E61582" w:rsidP="007D769C">
            <w:pPr>
              <w:spacing w:after="0"/>
              <w:rPr>
                <w:lang w:val="lv-LV"/>
              </w:rPr>
            </w:pPr>
            <w:r w:rsidRPr="00E61582">
              <w:rPr>
                <w:lang w:val="lv-LV"/>
              </w:rPr>
              <w:t>2100 Mācību, darba un dienesta komandējumi, darba braucieni</w:t>
            </w:r>
          </w:p>
        </w:tc>
        <w:tc>
          <w:tcPr>
            <w:tcW w:w="4246" w:type="dxa"/>
            <w:vMerge w:val="restart"/>
            <w:vAlign w:val="center"/>
          </w:tcPr>
          <w:p w14:paraId="5B13140E" w14:textId="77777777" w:rsidR="00E61582" w:rsidRPr="00E61582" w:rsidRDefault="00E61582" w:rsidP="007D769C">
            <w:pPr>
              <w:pStyle w:val="ListParagraph"/>
              <w:numPr>
                <w:ilvl w:val="0"/>
                <w:numId w:val="24"/>
              </w:numPr>
              <w:ind w:left="312" w:hanging="357"/>
              <w:contextualSpacing w:val="0"/>
              <w:rPr>
                <w:lang w:val="lv-LV"/>
              </w:rPr>
            </w:pPr>
            <w:r w:rsidRPr="00E61582">
              <w:rPr>
                <w:lang w:val="lv-LV"/>
              </w:rPr>
              <w:t>Vidējais izlietotais finansējums laikposmā no 2015. līdz 2019. gadam;</w:t>
            </w:r>
          </w:p>
          <w:p w14:paraId="05F54936" w14:textId="77777777" w:rsidR="00E61582" w:rsidRPr="00E61582" w:rsidRDefault="00E61582" w:rsidP="007D769C">
            <w:pPr>
              <w:pStyle w:val="ListParagraph"/>
              <w:numPr>
                <w:ilvl w:val="0"/>
                <w:numId w:val="24"/>
              </w:numPr>
              <w:ind w:left="312" w:hanging="357"/>
              <w:contextualSpacing w:val="0"/>
              <w:rPr>
                <w:lang w:val="lv-LV"/>
              </w:rPr>
            </w:pPr>
            <w:r w:rsidRPr="00E61582">
              <w:rPr>
                <w:lang w:val="lv-LV"/>
              </w:rPr>
              <w:t>2020. gada finansējuma izmaiņas pret 2019. gadu;</w:t>
            </w:r>
          </w:p>
          <w:p w14:paraId="2E065437" w14:textId="69BEA489" w:rsidR="00E61582" w:rsidRPr="00E61582" w:rsidRDefault="00E61582" w:rsidP="007D769C">
            <w:pPr>
              <w:pStyle w:val="ListParagraph"/>
              <w:numPr>
                <w:ilvl w:val="0"/>
                <w:numId w:val="24"/>
              </w:numPr>
              <w:ind w:left="312" w:hanging="357"/>
              <w:contextualSpacing w:val="0"/>
              <w:rPr>
                <w:lang w:val="lv-LV"/>
              </w:rPr>
            </w:pPr>
            <w:r w:rsidRPr="00E61582">
              <w:rPr>
                <w:lang w:val="lv-LV"/>
              </w:rPr>
              <w:t>Finansējuma dinamika ārkārtējās situācijas laikā (no 2020. gada 12.</w:t>
            </w:r>
            <w:r w:rsidR="007D769C">
              <w:rPr>
                <w:lang w:val="lv-LV"/>
              </w:rPr>
              <w:t> </w:t>
            </w:r>
            <w:r w:rsidRPr="00E61582">
              <w:rPr>
                <w:lang w:val="lv-LV"/>
              </w:rPr>
              <w:t>marta līdz 2020. gada 10. jūnijam kā arī no 2020. gada 9. novembra);</w:t>
            </w:r>
          </w:p>
          <w:p w14:paraId="0CF3E7B5" w14:textId="692021DA" w:rsidR="00E61582" w:rsidRPr="007D769C" w:rsidRDefault="00E61582" w:rsidP="007D769C">
            <w:pPr>
              <w:pStyle w:val="ListParagraph"/>
              <w:numPr>
                <w:ilvl w:val="0"/>
                <w:numId w:val="24"/>
              </w:numPr>
              <w:spacing w:after="0"/>
              <w:ind w:left="312" w:hanging="357"/>
              <w:contextualSpacing w:val="0"/>
              <w:rPr>
                <w:lang w:val="lv-LV"/>
              </w:rPr>
            </w:pPr>
            <w:r w:rsidRPr="00E61582">
              <w:rPr>
                <w:lang w:val="lv-LV"/>
              </w:rPr>
              <w:t>2021.</w:t>
            </w:r>
            <w:r w:rsidR="007D769C">
              <w:rPr>
                <w:lang w:val="lv-LV"/>
              </w:rPr>
              <w:t> </w:t>
            </w:r>
            <w:r w:rsidRPr="00E61582">
              <w:rPr>
                <w:lang w:val="lv-LV"/>
              </w:rPr>
              <w:t>gada plānotais izdevumu apmērs</w:t>
            </w:r>
            <w:r w:rsidR="00ED363A">
              <w:rPr>
                <w:lang w:val="lv-LV"/>
              </w:rPr>
              <w:t xml:space="preserve"> (2021. gada 31. janvāra tāmju dati)</w:t>
            </w:r>
            <w:r w:rsidRPr="00E61582">
              <w:rPr>
                <w:lang w:val="lv-LV"/>
              </w:rPr>
              <w:t>.</w:t>
            </w:r>
          </w:p>
        </w:tc>
      </w:tr>
      <w:tr w:rsidR="00E61582" w:rsidRPr="00D8747B" w14:paraId="7971A328" w14:textId="77777777" w:rsidTr="00E61582">
        <w:trPr>
          <w:jc w:val="center"/>
        </w:trPr>
        <w:tc>
          <w:tcPr>
            <w:tcW w:w="4815" w:type="dxa"/>
          </w:tcPr>
          <w:p w14:paraId="79439F95" w14:textId="77777777" w:rsidR="00E61582" w:rsidRPr="00E61582" w:rsidRDefault="00E61582" w:rsidP="007D769C">
            <w:pPr>
              <w:spacing w:after="0"/>
              <w:rPr>
                <w:lang w:val="lv-LV"/>
              </w:rPr>
            </w:pPr>
            <w:r w:rsidRPr="00E61582">
              <w:rPr>
                <w:lang w:val="lv-LV"/>
              </w:rPr>
              <w:t xml:space="preserve">2229 Izdevumi par pārējiem komunālajiem pakalpojumiem </w:t>
            </w:r>
          </w:p>
        </w:tc>
        <w:tc>
          <w:tcPr>
            <w:tcW w:w="4246" w:type="dxa"/>
            <w:vMerge/>
          </w:tcPr>
          <w:p w14:paraId="324E1B14" w14:textId="77777777" w:rsidR="00E61582" w:rsidRPr="00E61582" w:rsidRDefault="00E61582" w:rsidP="007D769C">
            <w:pPr>
              <w:spacing w:after="0"/>
              <w:rPr>
                <w:lang w:val="lv-LV"/>
              </w:rPr>
            </w:pPr>
          </w:p>
        </w:tc>
      </w:tr>
      <w:tr w:rsidR="00E61582" w:rsidRPr="00D8747B" w14:paraId="794EEEBE" w14:textId="77777777" w:rsidTr="00E61582">
        <w:trPr>
          <w:jc w:val="center"/>
        </w:trPr>
        <w:tc>
          <w:tcPr>
            <w:tcW w:w="4815" w:type="dxa"/>
          </w:tcPr>
          <w:p w14:paraId="178D2E05" w14:textId="77777777" w:rsidR="00E61582" w:rsidRPr="00E61582" w:rsidRDefault="00E61582" w:rsidP="007D769C">
            <w:pPr>
              <w:spacing w:after="0"/>
              <w:rPr>
                <w:lang w:val="lv-LV"/>
              </w:rPr>
            </w:pPr>
            <w:r w:rsidRPr="00E61582">
              <w:rPr>
                <w:lang w:val="lv-LV"/>
              </w:rPr>
              <w:t xml:space="preserve">2231 Izdevumi iestādes sabiedrisko aktivitāšu īstenošanai </w:t>
            </w:r>
          </w:p>
        </w:tc>
        <w:tc>
          <w:tcPr>
            <w:tcW w:w="4246" w:type="dxa"/>
            <w:vMerge/>
          </w:tcPr>
          <w:p w14:paraId="1E2B2C4B" w14:textId="77777777" w:rsidR="00E61582" w:rsidRPr="00E61582" w:rsidRDefault="00E61582" w:rsidP="007D769C">
            <w:pPr>
              <w:spacing w:after="0"/>
              <w:rPr>
                <w:lang w:val="lv-LV"/>
              </w:rPr>
            </w:pPr>
          </w:p>
        </w:tc>
      </w:tr>
      <w:tr w:rsidR="00E61582" w:rsidRPr="00E61582" w14:paraId="7F32B88E" w14:textId="77777777" w:rsidTr="00E61582">
        <w:trPr>
          <w:jc w:val="center"/>
        </w:trPr>
        <w:tc>
          <w:tcPr>
            <w:tcW w:w="4815" w:type="dxa"/>
          </w:tcPr>
          <w:p w14:paraId="6429E363" w14:textId="77777777" w:rsidR="00E61582" w:rsidRPr="00E61582" w:rsidRDefault="00E61582" w:rsidP="007D769C">
            <w:pPr>
              <w:spacing w:after="0"/>
              <w:rPr>
                <w:lang w:val="lv-LV"/>
              </w:rPr>
            </w:pPr>
            <w:r w:rsidRPr="00E61582">
              <w:rPr>
                <w:lang w:val="lv-LV"/>
              </w:rPr>
              <w:t xml:space="preserve">2233 Izdevumi par transporta pakalpojumiem </w:t>
            </w:r>
          </w:p>
        </w:tc>
        <w:tc>
          <w:tcPr>
            <w:tcW w:w="4246" w:type="dxa"/>
            <w:vMerge/>
          </w:tcPr>
          <w:p w14:paraId="36052A40" w14:textId="77777777" w:rsidR="00E61582" w:rsidRPr="00E61582" w:rsidRDefault="00E61582" w:rsidP="007D769C">
            <w:pPr>
              <w:spacing w:after="0"/>
              <w:rPr>
                <w:lang w:val="lv-LV"/>
              </w:rPr>
            </w:pPr>
          </w:p>
        </w:tc>
      </w:tr>
      <w:tr w:rsidR="00E61582" w:rsidRPr="00E61582" w14:paraId="0ECF71BA" w14:textId="77777777" w:rsidTr="00E61582">
        <w:trPr>
          <w:jc w:val="center"/>
        </w:trPr>
        <w:tc>
          <w:tcPr>
            <w:tcW w:w="4815" w:type="dxa"/>
          </w:tcPr>
          <w:p w14:paraId="57DF2196" w14:textId="77777777" w:rsidR="00E61582" w:rsidRPr="00E61582" w:rsidRDefault="00E61582" w:rsidP="007D769C">
            <w:pPr>
              <w:spacing w:after="0"/>
              <w:rPr>
                <w:lang w:val="lv-LV"/>
              </w:rPr>
            </w:pPr>
            <w:r w:rsidRPr="00E61582">
              <w:rPr>
                <w:lang w:val="lv-LV"/>
              </w:rPr>
              <w:t xml:space="preserve">2243 Iekārtas, inventāra un aparatūras remonts, tehniskā apkalpošana </w:t>
            </w:r>
          </w:p>
        </w:tc>
        <w:tc>
          <w:tcPr>
            <w:tcW w:w="4246" w:type="dxa"/>
            <w:vMerge/>
          </w:tcPr>
          <w:p w14:paraId="26185707" w14:textId="77777777" w:rsidR="00E61582" w:rsidRPr="00E61582" w:rsidRDefault="00E61582" w:rsidP="007D769C">
            <w:pPr>
              <w:spacing w:after="0"/>
              <w:rPr>
                <w:lang w:val="lv-LV"/>
              </w:rPr>
            </w:pPr>
          </w:p>
        </w:tc>
      </w:tr>
      <w:tr w:rsidR="00E61582" w:rsidRPr="00E61582" w14:paraId="47C7D823" w14:textId="77777777" w:rsidTr="00E61582">
        <w:trPr>
          <w:jc w:val="center"/>
        </w:trPr>
        <w:tc>
          <w:tcPr>
            <w:tcW w:w="4815" w:type="dxa"/>
          </w:tcPr>
          <w:p w14:paraId="474A994D" w14:textId="77777777" w:rsidR="00E61582" w:rsidRPr="00E61582" w:rsidRDefault="00E61582" w:rsidP="007D769C">
            <w:pPr>
              <w:spacing w:after="0"/>
              <w:rPr>
                <w:lang w:val="lv-LV"/>
              </w:rPr>
            </w:pPr>
            <w:r w:rsidRPr="00E61582">
              <w:rPr>
                <w:lang w:val="lv-LV"/>
              </w:rPr>
              <w:t xml:space="preserve">2311 Biroja preces </w:t>
            </w:r>
          </w:p>
        </w:tc>
        <w:tc>
          <w:tcPr>
            <w:tcW w:w="4246" w:type="dxa"/>
            <w:vMerge/>
          </w:tcPr>
          <w:p w14:paraId="13E809AC" w14:textId="77777777" w:rsidR="00E61582" w:rsidRPr="00E61582" w:rsidRDefault="00E61582" w:rsidP="007D769C">
            <w:pPr>
              <w:spacing w:after="0"/>
              <w:rPr>
                <w:lang w:val="lv-LV"/>
              </w:rPr>
            </w:pPr>
          </w:p>
        </w:tc>
      </w:tr>
      <w:tr w:rsidR="00E61582" w:rsidRPr="00E61582" w14:paraId="0B2F6A8A" w14:textId="77777777" w:rsidTr="00E61582">
        <w:trPr>
          <w:jc w:val="center"/>
        </w:trPr>
        <w:tc>
          <w:tcPr>
            <w:tcW w:w="4815" w:type="dxa"/>
          </w:tcPr>
          <w:p w14:paraId="58BB8996" w14:textId="77777777" w:rsidR="00E61582" w:rsidRPr="00E61582" w:rsidRDefault="00E61582" w:rsidP="007D769C">
            <w:pPr>
              <w:spacing w:after="0"/>
              <w:rPr>
                <w:lang w:val="lv-LV"/>
              </w:rPr>
            </w:pPr>
            <w:r w:rsidRPr="00E61582">
              <w:rPr>
                <w:lang w:val="lv-LV"/>
              </w:rPr>
              <w:t>2322 Degviela</w:t>
            </w:r>
          </w:p>
        </w:tc>
        <w:tc>
          <w:tcPr>
            <w:tcW w:w="4246" w:type="dxa"/>
            <w:vMerge/>
          </w:tcPr>
          <w:p w14:paraId="2D9A1549" w14:textId="77777777" w:rsidR="00E61582" w:rsidRPr="00E61582" w:rsidRDefault="00E61582" w:rsidP="007D769C">
            <w:pPr>
              <w:spacing w:after="0"/>
              <w:rPr>
                <w:lang w:val="lv-LV"/>
              </w:rPr>
            </w:pPr>
          </w:p>
        </w:tc>
      </w:tr>
      <w:tr w:rsidR="00E61582" w:rsidRPr="00E61582" w14:paraId="4286C22B" w14:textId="77777777" w:rsidTr="00E61582">
        <w:trPr>
          <w:jc w:val="center"/>
        </w:trPr>
        <w:tc>
          <w:tcPr>
            <w:tcW w:w="4815" w:type="dxa"/>
          </w:tcPr>
          <w:p w14:paraId="3516DB84" w14:textId="77777777" w:rsidR="00E61582" w:rsidRPr="00E61582" w:rsidRDefault="00E61582" w:rsidP="007D769C">
            <w:pPr>
              <w:spacing w:after="0"/>
              <w:rPr>
                <w:lang w:val="lv-LV"/>
              </w:rPr>
            </w:pPr>
            <w:r w:rsidRPr="00E61582">
              <w:rPr>
                <w:lang w:val="lv-LV"/>
              </w:rPr>
              <w:t xml:space="preserve">5220 Tehnoloģiskās iekārtas un mašīnas </w:t>
            </w:r>
          </w:p>
        </w:tc>
        <w:tc>
          <w:tcPr>
            <w:tcW w:w="4246" w:type="dxa"/>
            <w:vMerge/>
          </w:tcPr>
          <w:p w14:paraId="48F03750" w14:textId="77777777" w:rsidR="00E61582" w:rsidRPr="00E61582" w:rsidRDefault="00E61582" w:rsidP="007D769C">
            <w:pPr>
              <w:spacing w:after="0"/>
              <w:rPr>
                <w:lang w:val="lv-LV"/>
              </w:rPr>
            </w:pPr>
          </w:p>
        </w:tc>
      </w:tr>
    </w:tbl>
    <w:p w14:paraId="46D3B7C0" w14:textId="77777777" w:rsidR="00E61582" w:rsidRPr="00E61582" w:rsidRDefault="00E61582" w:rsidP="007D769C">
      <w:pPr>
        <w:spacing w:after="0"/>
        <w:rPr>
          <w:i/>
          <w:lang w:val="lv-LV"/>
        </w:rPr>
      </w:pPr>
    </w:p>
    <w:p w14:paraId="433D0935" w14:textId="77777777" w:rsidR="00E61582" w:rsidRPr="00E61582" w:rsidRDefault="00E61582" w:rsidP="00E61582">
      <w:pPr>
        <w:rPr>
          <w:lang w:val="lv-LV"/>
        </w:rPr>
      </w:pPr>
      <w:r w:rsidRPr="00E61582">
        <w:rPr>
          <w:u w:val="single"/>
          <w:lang w:val="lv-LV"/>
        </w:rPr>
        <w:t>EKK 2100 “Mācību, darba un dienesta komandējumi, darba braucieni”</w:t>
      </w:r>
      <w:r w:rsidRPr="00E61582">
        <w:rPr>
          <w:lang w:val="lv-LV"/>
        </w:rPr>
        <w:t xml:space="preserve"> </w:t>
      </w:r>
    </w:p>
    <w:p w14:paraId="17970289" w14:textId="77777777" w:rsidR="00E61582" w:rsidRPr="00E61582" w:rsidRDefault="00E61582" w:rsidP="00E61582">
      <w:pPr>
        <w:ind w:firstLine="720"/>
        <w:rPr>
          <w:lang w:val="lv-LV"/>
        </w:rPr>
      </w:pPr>
      <w:r w:rsidRPr="00E61582">
        <w:rPr>
          <w:lang w:val="lv-LV"/>
        </w:rPr>
        <w:t>EKK 2100 ietvaros tika analizēti apakškodi:</w:t>
      </w:r>
    </w:p>
    <w:p w14:paraId="1748F1CD" w14:textId="38024D8B" w:rsidR="00E61582" w:rsidRPr="00E61582" w:rsidRDefault="00E61582" w:rsidP="0005194E">
      <w:pPr>
        <w:pStyle w:val="ListParagraph"/>
        <w:numPr>
          <w:ilvl w:val="0"/>
          <w:numId w:val="25"/>
        </w:numPr>
        <w:ind w:left="0" w:firstLine="720"/>
        <w:rPr>
          <w:lang w:val="lv-LV"/>
        </w:rPr>
      </w:pPr>
      <w:r w:rsidRPr="00E61582">
        <w:rPr>
          <w:lang w:val="lv-LV"/>
        </w:rPr>
        <w:t>EKK 2111 “Dienas nauda” (Iekšzemes mācību, darba un dienesta komandējumi, dar</w:t>
      </w:r>
      <w:r w:rsidR="007D00BC">
        <w:rPr>
          <w:lang w:val="lv-LV"/>
        </w:rPr>
        <w:t xml:space="preserve">ba braucieni; izdevumi, kas </w:t>
      </w:r>
      <w:r w:rsidRPr="00E61582">
        <w:rPr>
          <w:lang w:val="lv-LV"/>
        </w:rPr>
        <w:t>tiek izmaksāti par mācību, darba un dienesta komandējumu iekšzemē saskaņā ar normatīvajiem aktiem);</w:t>
      </w:r>
    </w:p>
    <w:p w14:paraId="64710981" w14:textId="77777777" w:rsidR="00E61582" w:rsidRPr="00E61582" w:rsidRDefault="00E61582" w:rsidP="0005194E">
      <w:pPr>
        <w:pStyle w:val="ListParagraph"/>
        <w:numPr>
          <w:ilvl w:val="0"/>
          <w:numId w:val="25"/>
        </w:numPr>
        <w:ind w:left="0" w:firstLine="720"/>
        <w:rPr>
          <w:lang w:val="lv-LV"/>
        </w:rPr>
      </w:pPr>
      <w:r w:rsidRPr="00E61582">
        <w:rPr>
          <w:lang w:val="lv-LV"/>
        </w:rPr>
        <w:t xml:space="preserve">EKK 2112 “Pārējie komandējumu un darba braucienu izdevumi” (Iekšzemes mācību, darba un dienesta komandējumi, darba braucieni); </w:t>
      </w:r>
    </w:p>
    <w:p w14:paraId="5F86975E" w14:textId="77777777" w:rsidR="00E61582" w:rsidRPr="00E61582" w:rsidRDefault="00E61582" w:rsidP="0005194E">
      <w:pPr>
        <w:pStyle w:val="ListParagraph"/>
        <w:numPr>
          <w:ilvl w:val="0"/>
          <w:numId w:val="25"/>
        </w:numPr>
        <w:ind w:left="0" w:firstLine="720"/>
        <w:rPr>
          <w:lang w:val="lv-LV"/>
        </w:rPr>
      </w:pPr>
      <w:r w:rsidRPr="00E61582">
        <w:rPr>
          <w:lang w:val="lv-LV"/>
        </w:rPr>
        <w:t>EKK 2121 “Dienas nauda” (Ārvalstu mācību, darba un dienesta komandējumi, darba braucieni);</w:t>
      </w:r>
    </w:p>
    <w:p w14:paraId="714A5170" w14:textId="77777777" w:rsidR="006F76FD" w:rsidRDefault="00E61582" w:rsidP="006F76FD">
      <w:pPr>
        <w:pStyle w:val="ListParagraph"/>
        <w:numPr>
          <w:ilvl w:val="0"/>
          <w:numId w:val="25"/>
        </w:numPr>
        <w:ind w:left="0" w:firstLine="720"/>
        <w:rPr>
          <w:lang w:val="lv-LV"/>
        </w:rPr>
      </w:pPr>
      <w:r w:rsidRPr="00E61582">
        <w:rPr>
          <w:lang w:val="lv-LV"/>
        </w:rPr>
        <w:t>EKK 2122 “Ārvalstu mācību, darba un dienesta komandējumi, darba braucieni” (Ārvalstu mācību, darba un dienesta komandējumi, darba braucieni).</w:t>
      </w:r>
    </w:p>
    <w:p w14:paraId="7C0A2D27" w14:textId="23E3B2AD" w:rsidR="00E61582" w:rsidRPr="006F76FD" w:rsidRDefault="00E61582" w:rsidP="006F76FD">
      <w:pPr>
        <w:jc w:val="center"/>
        <w:rPr>
          <w:lang w:val="lv-LV"/>
        </w:rPr>
      </w:pPr>
      <w:r w:rsidRPr="006F76FD">
        <w:rPr>
          <w:b/>
          <w:bCs/>
          <w:i/>
          <w:iCs/>
          <w:sz w:val="22"/>
          <w:lang w:val="lv-LV"/>
        </w:rPr>
        <w:t>2.1.1. attēls</w:t>
      </w:r>
      <w:r w:rsidRPr="006F76FD">
        <w:rPr>
          <w:b/>
          <w:bCs/>
          <w:sz w:val="22"/>
          <w:lang w:val="lv-LV"/>
        </w:rPr>
        <w:t xml:space="preserve"> EKK 2100 “</w:t>
      </w:r>
      <w:r w:rsidR="00FF79A4" w:rsidRPr="006F76FD">
        <w:rPr>
          <w:b/>
          <w:bCs/>
          <w:sz w:val="22"/>
          <w:lang w:val="lv-LV"/>
        </w:rPr>
        <w:t>Mācību, darba un dienesta komandējumi, darba braucieni</w:t>
      </w:r>
      <w:r w:rsidRPr="006F76FD">
        <w:rPr>
          <w:b/>
          <w:bCs/>
          <w:sz w:val="22"/>
          <w:lang w:val="lv-LV"/>
        </w:rPr>
        <w:t>” kopējo izdevumu dinamika</w:t>
      </w:r>
    </w:p>
    <w:p w14:paraId="2D733EA2" w14:textId="77777777" w:rsidR="00E61582" w:rsidRPr="00E61582" w:rsidRDefault="00E61582" w:rsidP="00E61582">
      <w:pPr>
        <w:jc w:val="center"/>
        <w:rPr>
          <w:lang w:val="lv-LV"/>
        </w:rPr>
      </w:pPr>
      <w:r w:rsidRPr="00E61582">
        <w:rPr>
          <w:noProof/>
          <w:lang w:val="lv-LV" w:eastAsia="lv-LV"/>
        </w:rPr>
        <w:drawing>
          <wp:inline distT="0" distB="0" distL="0" distR="0" wp14:anchorId="55026995" wp14:editId="47510CAF">
            <wp:extent cx="5543416" cy="2407534"/>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3311" cy="2455262"/>
                    </a:xfrm>
                    <a:prstGeom prst="rect">
                      <a:avLst/>
                    </a:prstGeom>
                    <a:noFill/>
                  </pic:spPr>
                </pic:pic>
              </a:graphicData>
            </a:graphic>
          </wp:inline>
        </w:drawing>
      </w:r>
    </w:p>
    <w:p w14:paraId="49FBAB7D" w14:textId="31FF9886" w:rsidR="001F4E10" w:rsidRPr="00F700BC" w:rsidRDefault="00E61582" w:rsidP="00F700BC">
      <w:pPr>
        <w:ind w:firstLine="720"/>
        <w:rPr>
          <w:lang w:val="lv-LV"/>
        </w:rPr>
      </w:pPr>
      <w:r w:rsidRPr="00E61582">
        <w:rPr>
          <w:lang w:val="lv-LV"/>
        </w:rPr>
        <w:lastRenderedPageBreak/>
        <w:t xml:space="preserve">Attēlā Nr. 2.1.1. redzams, ka ar 2020. gada </w:t>
      </w:r>
      <w:r w:rsidR="007D769C">
        <w:rPr>
          <w:lang w:val="lv-LV"/>
        </w:rPr>
        <w:t>martu</w:t>
      </w:r>
      <w:r w:rsidRPr="00E61582">
        <w:rPr>
          <w:lang w:val="lv-LV"/>
        </w:rPr>
        <w:t xml:space="preserve"> krasi samazinājās izdevumi komandējumiem un citiem darba braucieniem. Šāda situācija saglabājas līdz pat 2020. gada beigām, kas skaidrojams ar to, ka, epidemioloģisko ierobežojumu dēļ, tika pārtraukti gan ārzemju komandējumi, gan ierobežoti iekšzemes darba braucieni. Komunikācija tika novirzīta uz digitālo vidi, kur tiešsaistē tika organizētas visas nepieciešamās tikša</w:t>
      </w:r>
      <w:r w:rsidR="00F700BC">
        <w:rPr>
          <w:lang w:val="lv-LV"/>
        </w:rPr>
        <w:t>nās, apmācības kā arī semināri.</w:t>
      </w:r>
    </w:p>
    <w:p w14:paraId="0049AA1E" w14:textId="21AB76DC" w:rsidR="00E61582" w:rsidRPr="00E61582" w:rsidRDefault="00E61582" w:rsidP="00E61582">
      <w:pPr>
        <w:jc w:val="center"/>
        <w:rPr>
          <w:b/>
          <w:bCs/>
          <w:sz w:val="22"/>
          <w:lang w:val="lv-LV"/>
        </w:rPr>
      </w:pPr>
      <w:r w:rsidRPr="00E61582">
        <w:rPr>
          <w:b/>
          <w:bCs/>
          <w:i/>
          <w:iCs/>
          <w:sz w:val="22"/>
          <w:lang w:val="lv-LV"/>
        </w:rPr>
        <w:t xml:space="preserve">2.1.3. tabula </w:t>
      </w:r>
      <w:r w:rsidRPr="00E61582">
        <w:rPr>
          <w:b/>
          <w:bCs/>
          <w:sz w:val="22"/>
          <w:lang w:val="lv-LV"/>
        </w:rPr>
        <w:t xml:space="preserve">EKK 2100 “Komandējumi” ministriju izdevumu dinamika </w:t>
      </w:r>
    </w:p>
    <w:tbl>
      <w:tblPr>
        <w:tblW w:w="7659" w:type="dxa"/>
        <w:jc w:val="center"/>
        <w:tblLook w:val="04A0" w:firstRow="1" w:lastRow="0" w:firstColumn="1" w:lastColumn="0" w:noHBand="0" w:noVBand="1"/>
      </w:tblPr>
      <w:tblGrid>
        <w:gridCol w:w="2079"/>
        <w:gridCol w:w="1540"/>
        <w:gridCol w:w="1420"/>
        <w:gridCol w:w="1380"/>
        <w:gridCol w:w="1240"/>
      </w:tblGrid>
      <w:tr w:rsidR="00E61582" w:rsidRPr="00E61582" w14:paraId="1FE96C36" w14:textId="77777777" w:rsidTr="006F76FD">
        <w:trPr>
          <w:trHeight w:val="855"/>
          <w:tblHeader/>
          <w:jc w:val="center"/>
        </w:trPr>
        <w:tc>
          <w:tcPr>
            <w:tcW w:w="2079"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50FDE59" w14:textId="77777777" w:rsidR="00E61582" w:rsidRPr="00E61582" w:rsidRDefault="00E61582" w:rsidP="00E61582">
            <w:pPr>
              <w:spacing w:after="0" w:line="240" w:lineRule="auto"/>
              <w:rPr>
                <w:rFonts w:eastAsia="Times New Roman"/>
                <w:b/>
                <w:bCs/>
                <w:color w:val="000000"/>
                <w:sz w:val="22"/>
                <w:lang w:val="lv-LV" w:eastAsia="lv-LV"/>
              </w:rPr>
            </w:pPr>
            <w:r w:rsidRPr="00E61582">
              <w:rPr>
                <w:rFonts w:eastAsia="Times New Roman"/>
                <w:b/>
                <w:bCs/>
                <w:color w:val="000000"/>
                <w:sz w:val="22"/>
                <w:lang w:val="lv-LV" w:eastAsia="lv-LV"/>
              </w:rPr>
              <w:t> </w:t>
            </w:r>
          </w:p>
        </w:tc>
        <w:tc>
          <w:tcPr>
            <w:tcW w:w="1540" w:type="dxa"/>
            <w:tcBorders>
              <w:top w:val="single" w:sz="4" w:space="0" w:color="auto"/>
              <w:left w:val="nil"/>
              <w:bottom w:val="single" w:sz="4" w:space="0" w:color="auto"/>
              <w:right w:val="single" w:sz="4" w:space="0" w:color="auto"/>
            </w:tcBorders>
            <w:shd w:val="clear" w:color="000000" w:fill="C6E0B4"/>
            <w:vAlign w:val="center"/>
            <w:hideMark/>
          </w:tcPr>
          <w:p w14:paraId="6CD1BE91" w14:textId="2552F87C" w:rsidR="00E61582" w:rsidRPr="00E61582" w:rsidRDefault="00E61582" w:rsidP="00E61582">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vidēji 2015.-2019.</w:t>
            </w:r>
            <w:r w:rsidR="00FF342C">
              <w:rPr>
                <w:rFonts w:eastAsia="Times New Roman"/>
                <w:b/>
                <w:bCs/>
                <w:color w:val="000000"/>
                <w:sz w:val="22"/>
                <w:lang w:val="lv-LV" w:eastAsia="lv-LV"/>
              </w:rPr>
              <w:t xml:space="preserve"> </w:t>
            </w:r>
            <w:r w:rsidRPr="00E61582">
              <w:rPr>
                <w:rFonts w:eastAsia="Times New Roman"/>
                <w:b/>
                <w:bCs/>
                <w:color w:val="000000"/>
                <w:sz w:val="22"/>
                <w:lang w:val="lv-LV" w:eastAsia="lv-LV"/>
              </w:rPr>
              <w:t xml:space="preserve">gads, </w:t>
            </w:r>
            <w:r w:rsidRPr="00E61582">
              <w:rPr>
                <w:rFonts w:eastAsia="Times New Roman"/>
                <w:b/>
                <w:bCs/>
                <w:i/>
                <w:iCs/>
                <w:color w:val="000000"/>
                <w:sz w:val="22"/>
                <w:lang w:val="lv-LV" w:eastAsia="lv-LV"/>
              </w:rPr>
              <w:t>euro</w:t>
            </w:r>
          </w:p>
        </w:tc>
        <w:tc>
          <w:tcPr>
            <w:tcW w:w="1420" w:type="dxa"/>
            <w:tcBorders>
              <w:top w:val="single" w:sz="4" w:space="0" w:color="auto"/>
              <w:left w:val="nil"/>
              <w:bottom w:val="single" w:sz="4" w:space="0" w:color="auto"/>
              <w:right w:val="single" w:sz="4" w:space="0" w:color="auto"/>
            </w:tcBorders>
            <w:shd w:val="clear" w:color="000000" w:fill="C6E0B4"/>
            <w:vAlign w:val="center"/>
            <w:hideMark/>
          </w:tcPr>
          <w:p w14:paraId="4588BEC8" w14:textId="28CDCFDE" w:rsidR="00E61582" w:rsidRPr="00E61582" w:rsidRDefault="00E61582" w:rsidP="00E61582">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2019.</w:t>
            </w:r>
            <w:r w:rsidR="00FF342C">
              <w:rPr>
                <w:rFonts w:eastAsia="Times New Roman"/>
                <w:b/>
                <w:bCs/>
                <w:color w:val="000000"/>
                <w:sz w:val="22"/>
                <w:lang w:val="lv-LV" w:eastAsia="lv-LV"/>
              </w:rPr>
              <w:t xml:space="preserve"> </w:t>
            </w:r>
            <w:r w:rsidRPr="00E61582">
              <w:rPr>
                <w:rFonts w:eastAsia="Times New Roman"/>
                <w:b/>
                <w:bCs/>
                <w:color w:val="000000"/>
                <w:sz w:val="22"/>
                <w:lang w:val="lv-LV" w:eastAsia="lv-LV"/>
              </w:rPr>
              <w:t xml:space="preserve">gads, </w:t>
            </w:r>
            <w:r w:rsidRPr="00E61582">
              <w:rPr>
                <w:rFonts w:eastAsia="Times New Roman"/>
                <w:b/>
                <w:bCs/>
                <w:i/>
                <w:iCs/>
                <w:color w:val="000000"/>
                <w:sz w:val="22"/>
                <w:lang w:val="lv-LV" w:eastAsia="lv-LV"/>
              </w:rPr>
              <w:t>euro</w:t>
            </w:r>
          </w:p>
        </w:tc>
        <w:tc>
          <w:tcPr>
            <w:tcW w:w="1380" w:type="dxa"/>
            <w:tcBorders>
              <w:top w:val="single" w:sz="4" w:space="0" w:color="auto"/>
              <w:left w:val="nil"/>
              <w:bottom w:val="single" w:sz="4" w:space="0" w:color="auto"/>
              <w:right w:val="single" w:sz="4" w:space="0" w:color="auto"/>
            </w:tcBorders>
            <w:shd w:val="clear" w:color="000000" w:fill="C6E0B4"/>
            <w:vAlign w:val="center"/>
            <w:hideMark/>
          </w:tcPr>
          <w:p w14:paraId="2A0BCD1C" w14:textId="7E374934" w:rsidR="00E61582" w:rsidRPr="00E61582" w:rsidRDefault="00E61582" w:rsidP="00E61582">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2020.</w:t>
            </w:r>
            <w:r w:rsidR="00FF342C">
              <w:rPr>
                <w:rFonts w:eastAsia="Times New Roman"/>
                <w:b/>
                <w:bCs/>
                <w:color w:val="000000"/>
                <w:sz w:val="22"/>
                <w:lang w:val="lv-LV" w:eastAsia="lv-LV"/>
              </w:rPr>
              <w:t xml:space="preserve"> </w:t>
            </w:r>
            <w:r w:rsidRPr="00E61582">
              <w:rPr>
                <w:rFonts w:eastAsia="Times New Roman"/>
                <w:b/>
                <w:bCs/>
                <w:color w:val="000000"/>
                <w:sz w:val="22"/>
                <w:lang w:val="lv-LV" w:eastAsia="lv-LV"/>
              </w:rPr>
              <w:t xml:space="preserve">gads, </w:t>
            </w:r>
            <w:r w:rsidRPr="00E61582">
              <w:rPr>
                <w:rFonts w:eastAsia="Times New Roman"/>
                <w:b/>
                <w:bCs/>
                <w:i/>
                <w:iCs/>
                <w:color w:val="000000"/>
                <w:sz w:val="22"/>
                <w:lang w:val="lv-LV" w:eastAsia="lv-LV"/>
              </w:rPr>
              <w:t>euro</w:t>
            </w:r>
          </w:p>
        </w:tc>
        <w:tc>
          <w:tcPr>
            <w:tcW w:w="1240" w:type="dxa"/>
            <w:tcBorders>
              <w:top w:val="single" w:sz="4" w:space="0" w:color="auto"/>
              <w:left w:val="nil"/>
              <w:bottom w:val="single" w:sz="4" w:space="0" w:color="auto"/>
              <w:right w:val="single" w:sz="4" w:space="0" w:color="auto"/>
            </w:tcBorders>
            <w:shd w:val="clear" w:color="000000" w:fill="C6E0B4"/>
            <w:vAlign w:val="center"/>
            <w:hideMark/>
          </w:tcPr>
          <w:p w14:paraId="21C86578" w14:textId="013B5FB1" w:rsidR="00E61582" w:rsidRPr="00E61582" w:rsidRDefault="00E61582" w:rsidP="00E61582">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2021.</w:t>
            </w:r>
            <w:r w:rsidR="00FF342C">
              <w:rPr>
                <w:rFonts w:eastAsia="Times New Roman"/>
                <w:b/>
                <w:bCs/>
                <w:color w:val="000000"/>
                <w:sz w:val="22"/>
                <w:lang w:val="lv-LV" w:eastAsia="lv-LV"/>
              </w:rPr>
              <w:t xml:space="preserve"> </w:t>
            </w:r>
            <w:r w:rsidRPr="00E61582">
              <w:rPr>
                <w:rFonts w:eastAsia="Times New Roman"/>
                <w:b/>
                <w:bCs/>
                <w:color w:val="000000"/>
                <w:sz w:val="22"/>
                <w:lang w:val="lv-LV" w:eastAsia="lv-LV"/>
              </w:rPr>
              <w:t xml:space="preserve">gads (plāns), </w:t>
            </w:r>
            <w:r w:rsidRPr="00E61582">
              <w:rPr>
                <w:rFonts w:eastAsia="Times New Roman"/>
                <w:b/>
                <w:bCs/>
                <w:i/>
                <w:iCs/>
                <w:color w:val="000000"/>
                <w:sz w:val="22"/>
                <w:lang w:val="lv-LV" w:eastAsia="lv-LV"/>
              </w:rPr>
              <w:t>euro</w:t>
            </w:r>
          </w:p>
        </w:tc>
      </w:tr>
      <w:tr w:rsidR="00E61582" w:rsidRPr="00E61582" w14:paraId="68B476CE"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58E90F42"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IeM</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FFB474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1 854 676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AECC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1 116 641</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B455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373 124</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F344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941 373</w:t>
            </w:r>
          </w:p>
        </w:tc>
      </w:tr>
      <w:tr w:rsidR="00E61582" w:rsidRPr="00E61582" w14:paraId="18C859CB"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6E3EB671"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AiM</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6EA05A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4 391 668</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AE8F58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5 508 928</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61EEAC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2 309 701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B21550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3 829 753</w:t>
            </w:r>
          </w:p>
        </w:tc>
      </w:tr>
      <w:tr w:rsidR="00E61582" w:rsidRPr="00E61582" w14:paraId="0BA1DD04"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59298F92"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ĀM</w:t>
            </w:r>
          </w:p>
        </w:tc>
        <w:tc>
          <w:tcPr>
            <w:tcW w:w="1540" w:type="dxa"/>
            <w:tcBorders>
              <w:top w:val="nil"/>
              <w:left w:val="nil"/>
              <w:bottom w:val="single" w:sz="4" w:space="0" w:color="auto"/>
              <w:right w:val="single" w:sz="4" w:space="0" w:color="auto"/>
            </w:tcBorders>
            <w:shd w:val="clear" w:color="auto" w:fill="auto"/>
            <w:noWrap/>
            <w:vAlign w:val="bottom"/>
            <w:hideMark/>
          </w:tcPr>
          <w:p w14:paraId="2A75B12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2 308 035</w:t>
            </w:r>
          </w:p>
        </w:tc>
        <w:tc>
          <w:tcPr>
            <w:tcW w:w="1420" w:type="dxa"/>
            <w:tcBorders>
              <w:top w:val="nil"/>
              <w:left w:val="nil"/>
              <w:bottom w:val="single" w:sz="4" w:space="0" w:color="auto"/>
              <w:right w:val="single" w:sz="4" w:space="0" w:color="auto"/>
            </w:tcBorders>
            <w:shd w:val="clear" w:color="auto" w:fill="auto"/>
            <w:noWrap/>
            <w:vAlign w:val="bottom"/>
            <w:hideMark/>
          </w:tcPr>
          <w:p w14:paraId="001ADCB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2 130 750</w:t>
            </w:r>
          </w:p>
        </w:tc>
        <w:tc>
          <w:tcPr>
            <w:tcW w:w="1380" w:type="dxa"/>
            <w:tcBorders>
              <w:top w:val="nil"/>
              <w:left w:val="nil"/>
              <w:bottom w:val="single" w:sz="4" w:space="0" w:color="auto"/>
              <w:right w:val="single" w:sz="4" w:space="0" w:color="auto"/>
            </w:tcBorders>
            <w:shd w:val="clear" w:color="auto" w:fill="auto"/>
            <w:noWrap/>
            <w:vAlign w:val="bottom"/>
            <w:hideMark/>
          </w:tcPr>
          <w:p w14:paraId="219262B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487 670</w:t>
            </w:r>
          </w:p>
        </w:tc>
        <w:tc>
          <w:tcPr>
            <w:tcW w:w="1240" w:type="dxa"/>
            <w:tcBorders>
              <w:top w:val="nil"/>
              <w:left w:val="nil"/>
              <w:bottom w:val="single" w:sz="4" w:space="0" w:color="auto"/>
              <w:right w:val="single" w:sz="4" w:space="0" w:color="auto"/>
            </w:tcBorders>
            <w:shd w:val="clear" w:color="auto" w:fill="auto"/>
            <w:noWrap/>
            <w:vAlign w:val="bottom"/>
            <w:hideMark/>
          </w:tcPr>
          <w:p w14:paraId="07E231E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1 553 440</w:t>
            </w:r>
          </w:p>
        </w:tc>
      </w:tr>
      <w:tr w:rsidR="00E61582" w:rsidRPr="00E61582" w14:paraId="1BF278EC"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5BA8915B"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TM</w:t>
            </w:r>
          </w:p>
        </w:tc>
        <w:tc>
          <w:tcPr>
            <w:tcW w:w="1540" w:type="dxa"/>
            <w:tcBorders>
              <w:top w:val="nil"/>
              <w:left w:val="nil"/>
              <w:bottom w:val="single" w:sz="4" w:space="0" w:color="auto"/>
              <w:right w:val="single" w:sz="4" w:space="0" w:color="auto"/>
            </w:tcBorders>
            <w:shd w:val="clear" w:color="auto" w:fill="auto"/>
            <w:noWrap/>
            <w:vAlign w:val="bottom"/>
            <w:hideMark/>
          </w:tcPr>
          <w:p w14:paraId="6CDD450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537 095</w:t>
            </w:r>
          </w:p>
        </w:tc>
        <w:tc>
          <w:tcPr>
            <w:tcW w:w="1420" w:type="dxa"/>
            <w:tcBorders>
              <w:top w:val="nil"/>
              <w:left w:val="nil"/>
              <w:bottom w:val="single" w:sz="4" w:space="0" w:color="auto"/>
              <w:right w:val="single" w:sz="4" w:space="0" w:color="auto"/>
            </w:tcBorders>
            <w:shd w:val="clear" w:color="auto" w:fill="auto"/>
            <w:noWrap/>
            <w:vAlign w:val="bottom"/>
            <w:hideMark/>
          </w:tcPr>
          <w:p w14:paraId="7FADBF6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515 129</w:t>
            </w:r>
          </w:p>
        </w:tc>
        <w:tc>
          <w:tcPr>
            <w:tcW w:w="1380" w:type="dxa"/>
            <w:tcBorders>
              <w:top w:val="nil"/>
              <w:left w:val="nil"/>
              <w:bottom w:val="single" w:sz="4" w:space="0" w:color="auto"/>
              <w:right w:val="single" w:sz="4" w:space="0" w:color="auto"/>
            </w:tcBorders>
            <w:shd w:val="clear" w:color="auto" w:fill="auto"/>
            <w:noWrap/>
            <w:vAlign w:val="bottom"/>
            <w:hideMark/>
          </w:tcPr>
          <w:p w14:paraId="4794FCE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58 601</w:t>
            </w:r>
          </w:p>
        </w:tc>
        <w:tc>
          <w:tcPr>
            <w:tcW w:w="1240" w:type="dxa"/>
            <w:tcBorders>
              <w:top w:val="nil"/>
              <w:left w:val="nil"/>
              <w:bottom w:val="single" w:sz="4" w:space="0" w:color="auto"/>
              <w:right w:val="single" w:sz="4" w:space="0" w:color="auto"/>
            </w:tcBorders>
            <w:shd w:val="clear" w:color="auto" w:fill="auto"/>
            <w:noWrap/>
            <w:vAlign w:val="bottom"/>
            <w:hideMark/>
          </w:tcPr>
          <w:p w14:paraId="39B6269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373 617</w:t>
            </w:r>
          </w:p>
        </w:tc>
      </w:tr>
      <w:tr w:rsidR="00E61582" w:rsidRPr="00E61582" w14:paraId="7660150F"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4015ACF5"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EM</w:t>
            </w:r>
          </w:p>
        </w:tc>
        <w:tc>
          <w:tcPr>
            <w:tcW w:w="1540" w:type="dxa"/>
            <w:tcBorders>
              <w:top w:val="nil"/>
              <w:left w:val="nil"/>
              <w:bottom w:val="single" w:sz="4" w:space="0" w:color="auto"/>
              <w:right w:val="single" w:sz="4" w:space="0" w:color="auto"/>
            </w:tcBorders>
            <w:shd w:val="clear" w:color="auto" w:fill="auto"/>
            <w:noWrap/>
            <w:vAlign w:val="bottom"/>
            <w:hideMark/>
          </w:tcPr>
          <w:p w14:paraId="1A9907D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820 026</w:t>
            </w:r>
          </w:p>
        </w:tc>
        <w:tc>
          <w:tcPr>
            <w:tcW w:w="1420" w:type="dxa"/>
            <w:tcBorders>
              <w:top w:val="nil"/>
              <w:left w:val="nil"/>
              <w:bottom w:val="single" w:sz="4" w:space="0" w:color="auto"/>
              <w:right w:val="single" w:sz="4" w:space="0" w:color="auto"/>
            </w:tcBorders>
            <w:shd w:val="clear" w:color="auto" w:fill="auto"/>
            <w:noWrap/>
            <w:vAlign w:val="bottom"/>
            <w:hideMark/>
          </w:tcPr>
          <w:p w14:paraId="7BCDF4C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755 532</w:t>
            </w:r>
          </w:p>
        </w:tc>
        <w:tc>
          <w:tcPr>
            <w:tcW w:w="1380" w:type="dxa"/>
            <w:tcBorders>
              <w:top w:val="nil"/>
              <w:left w:val="nil"/>
              <w:bottom w:val="single" w:sz="4" w:space="0" w:color="auto"/>
              <w:right w:val="single" w:sz="4" w:space="0" w:color="auto"/>
            </w:tcBorders>
            <w:shd w:val="clear" w:color="auto" w:fill="auto"/>
            <w:noWrap/>
            <w:vAlign w:val="bottom"/>
            <w:hideMark/>
          </w:tcPr>
          <w:p w14:paraId="273563C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149 108</w:t>
            </w:r>
          </w:p>
        </w:tc>
        <w:tc>
          <w:tcPr>
            <w:tcW w:w="1240" w:type="dxa"/>
            <w:tcBorders>
              <w:top w:val="nil"/>
              <w:left w:val="nil"/>
              <w:bottom w:val="single" w:sz="4" w:space="0" w:color="auto"/>
              <w:right w:val="single" w:sz="4" w:space="0" w:color="auto"/>
            </w:tcBorders>
            <w:shd w:val="clear" w:color="auto" w:fill="auto"/>
            <w:noWrap/>
            <w:vAlign w:val="bottom"/>
            <w:hideMark/>
          </w:tcPr>
          <w:p w14:paraId="46423E6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523 309</w:t>
            </w:r>
          </w:p>
        </w:tc>
      </w:tr>
      <w:tr w:rsidR="00E61582" w:rsidRPr="00E61582" w14:paraId="6F2A7D3B"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5F14CA06"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FM</w:t>
            </w:r>
          </w:p>
        </w:tc>
        <w:tc>
          <w:tcPr>
            <w:tcW w:w="1540" w:type="dxa"/>
            <w:tcBorders>
              <w:top w:val="nil"/>
              <w:left w:val="nil"/>
              <w:bottom w:val="single" w:sz="4" w:space="0" w:color="auto"/>
              <w:right w:val="single" w:sz="4" w:space="0" w:color="auto"/>
            </w:tcBorders>
            <w:shd w:val="clear" w:color="auto" w:fill="auto"/>
            <w:noWrap/>
            <w:vAlign w:val="bottom"/>
            <w:hideMark/>
          </w:tcPr>
          <w:p w14:paraId="3B971F7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993 362</w:t>
            </w:r>
          </w:p>
        </w:tc>
        <w:tc>
          <w:tcPr>
            <w:tcW w:w="1420" w:type="dxa"/>
            <w:tcBorders>
              <w:top w:val="nil"/>
              <w:left w:val="nil"/>
              <w:bottom w:val="single" w:sz="4" w:space="0" w:color="auto"/>
              <w:right w:val="single" w:sz="4" w:space="0" w:color="auto"/>
            </w:tcBorders>
            <w:shd w:val="clear" w:color="auto" w:fill="auto"/>
            <w:noWrap/>
            <w:vAlign w:val="bottom"/>
            <w:hideMark/>
          </w:tcPr>
          <w:p w14:paraId="2F9F2FE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918 876</w:t>
            </w:r>
          </w:p>
        </w:tc>
        <w:tc>
          <w:tcPr>
            <w:tcW w:w="1380" w:type="dxa"/>
            <w:tcBorders>
              <w:top w:val="nil"/>
              <w:left w:val="nil"/>
              <w:bottom w:val="single" w:sz="4" w:space="0" w:color="auto"/>
              <w:right w:val="single" w:sz="4" w:space="0" w:color="auto"/>
            </w:tcBorders>
            <w:shd w:val="clear" w:color="auto" w:fill="auto"/>
            <w:noWrap/>
            <w:vAlign w:val="bottom"/>
            <w:hideMark/>
          </w:tcPr>
          <w:p w14:paraId="08FCE38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207 850</w:t>
            </w:r>
          </w:p>
        </w:tc>
        <w:tc>
          <w:tcPr>
            <w:tcW w:w="1240" w:type="dxa"/>
            <w:tcBorders>
              <w:top w:val="nil"/>
              <w:left w:val="nil"/>
              <w:bottom w:val="single" w:sz="4" w:space="0" w:color="auto"/>
              <w:right w:val="single" w:sz="4" w:space="0" w:color="auto"/>
            </w:tcBorders>
            <w:shd w:val="clear" w:color="auto" w:fill="auto"/>
            <w:noWrap/>
            <w:vAlign w:val="bottom"/>
            <w:hideMark/>
          </w:tcPr>
          <w:p w14:paraId="68B126C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509 381</w:t>
            </w:r>
          </w:p>
        </w:tc>
      </w:tr>
      <w:tr w:rsidR="00E61582" w:rsidRPr="00E61582" w14:paraId="54112BAD"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4C133CD0"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IZM</w:t>
            </w:r>
          </w:p>
        </w:tc>
        <w:tc>
          <w:tcPr>
            <w:tcW w:w="1540" w:type="dxa"/>
            <w:tcBorders>
              <w:top w:val="nil"/>
              <w:left w:val="nil"/>
              <w:bottom w:val="single" w:sz="4" w:space="0" w:color="auto"/>
              <w:right w:val="single" w:sz="4" w:space="0" w:color="auto"/>
            </w:tcBorders>
            <w:shd w:val="clear" w:color="auto" w:fill="auto"/>
            <w:noWrap/>
            <w:vAlign w:val="bottom"/>
            <w:hideMark/>
          </w:tcPr>
          <w:p w14:paraId="1910E57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525 877</w:t>
            </w:r>
          </w:p>
        </w:tc>
        <w:tc>
          <w:tcPr>
            <w:tcW w:w="1420" w:type="dxa"/>
            <w:tcBorders>
              <w:top w:val="nil"/>
              <w:left w:val="nil"/>
              <w:bottom w:val="single" w:sz="4" w:space="0" w:color="auto"/>
              <w:right w:val="single" w:sz="4" w:space="0" w:color="auto"/>
            </w:tcBorders>
            <w:shd w:val="clear" w:color="auto" w:fill="auto"/>
            <w:noWrap/>
            <w:vAlign w:val="bottom"/>
            <w:hideMark/>
          </w:tcPr>
          <w:p w14:paraId="38408B6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600 355</w:t>
            </w:r>
          </w:p>
        </w:tc>
        <w:tc>
          <w:tcPr>
            <w:tcW w:w="1380" w:type="dxa"/>
            <w:tcBorders>
              <w:top w:val="nil"/>
              <w:left w:val="nil"/>
              <w:bottom w:val="single" w:sz="4" w:space="0" w:color="auto"/>
              <w:right w:val="single" w:sz="4" w:space="0" w:color="auto"/>
            </w:tcBorders>
            <w:shd w:val="clear" w:color="auto" w:fill="auto"/>
            <w:noWrap/>
            <w:vAlign w:val="bottom"/>
            <w:hideMark/>
          </w:tcPr>
          <w:p w14:paraId="1F31DC7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113 756</w:t>
            </w:r>
          </w:p>
        </w:tc>
        <w:tc>
          <w:tcPr>
            <w:tcW w:w="1240" w:type="dxa"/>
            <w:tcBorders>
              <w:top w:val="nil"/>
              <w:left w:val="nil"/>
              <w:bottom w:val="single" w:sz="4" w:space="0" w:color="auto"/>
              <w:right w:val="single" w:sz="4" w:space="0" w:color="auto"/>
            </w:tcBorders>
            <w:shd w:val="clear" w:color="auto" w:fill="auto"/>
            <w:noWrap/>
            <w:vAlign w:val="bottom"/>
            <w:hideMark/>
          </w:tcPr>
          <w:p w14:paraId="56E2C0F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101 522</w:t>
            </w:r>
          </w:p>
        </w:tc>
      </w:tr>
      <w:tr w:rsidR="00E61582" w:rsidRPr="00E61582" w14:paraId="1CEEECF2"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31C5804A"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VARAM</w:t>
            </w:r>
          </w:p>
        </w:tc>
        <w:tc>
          <w:tcPr>
            <w:tcW w:w="1540" w:type="dxa"/>
            <w:tcBorders>
              <w:top w:val="nil"/>
              <w:left w:val="nil"/>
              <w:bottom w:val="single" w:sz="4" w:space="0" w:color="auto"/>
              <w:right w:val="single" w:sz="4" w:space="0" w:color="auto"/>
            </w:tcBorders>
            <w:shd w:val="clear" w:color="auto" w:fill="auto"/>
            <w:noWrap/>
            <w:vAlign w:val="bottom"/>
            <w:hideMark/>
          </w:tcPr>
          <w:p w14:paraId="00D754B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600 439</w:t>
            </w:r>
          </w:p>
        </w:tc>
        <w:tc>
          <w:tcPr>
            <w:tcW w:w="1420" w:type="dxa"/>
            <w:tcBorders>
              <w:top w:val="nil"/>
              <w:left w:val="nil"/>
              <w:bottom w:val="single" w:sz="4" w:space="0" w:color="auto"/>
              <w:right w:val="single" w:sz="4" w:space="0" w:color="auto"/>
            </w:tcBorders>
            <w:shd w:val="clear" w:color="auto" w:fill="auto"/>
            <w:noWrap/>
            <w:vAlign w:val="bottom"/>
            <w:hideMark/>
          </w:tcPr>
          <w:p w14:paraId="5FD92B3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521 279</w:t>
            </w:r>
          </w:p>
        </w:tc>
        <w:tc>
          <w:tcPr>
            <w:tcW w:w="1380" w:type="dxa"/>
            <w:tcBorders>
              <w:top w:val="nil"/>
              <w:left w:val="nil"/>
              <w:bottom w:val="single" w:sz="4" w:space="0" w:color="auto"/>
              <w:right w:val="single" w:sz="4" w:space="0" w:color="auto"/>
            </w:tcBorders>
            <w:shd w:val="clear" w:color="auto" w:fill="auto"/>
            <w:noWrap/>
            <w:vAlign w:val="bottom"/>
            <w:hideMark/>
          </w:tcPr>
          <w:p w14:paraId="295CF00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65 852</w:t>
            </w:r>
          </w:p>
        </w:tc>
        <w:tc>
          <w:tcPr>
            <w:tcW w:w="1240" w:type="dxa"/>
            <w:tcBorders>
              <w:top w:val="nil"/>
              <w:left w:val="nil"/>
              <w:bottom w:val="single" w:sz="4" w:space="0" w:color="auto"/>
              <w:right w:val="single" w:sz="4" w:space="0" w:color="auto"/>
            </w:tcBorders>
            <w:shd w:val="clear" w:color="auto" w:fill="auto"/>
            <w:noWrap/>
            <w:vAlign w:val="bottom"/>
            <w:hideMark/>
          </w:tcPr>
          <w:p w14:paraId="6D70D6D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167 883</w:t>
            </w:r>
          </w:p>
        </w:tc>
      </w:tr>
      <w:tr w:rsidR="00E61582" w:rsidRPr="00E61582" w14:paraId="7845625B"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1504B6B1"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ZM</w:t>
            </w:r>
          </w:p>
        </w:tc>
        <w:tc>
          <w:tcPr>
            <w:tcW w:w="1540" w:type="dxa"/>
            <w:tcBorders>
              <w:top w:val="nil"/>
              <w:left w:val="nil"/>
              <w:bottom w:val="single" w:sz="4" w:space="0" w:color="auto"/>
              <w:right w:val="single" w:sz="4" w:space="0" w:color="auto"/>
            </w:tcBorders>
            <w:shd w:val="clear" w:color="auto" w:fill="auto"/>
            <w:noWrap/>
            <w:vAlign w:val="bottom"/>
            <w:hideMark/>
          </w:tcPr>
          <w:p w14:paraId="70E14F4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736 339</w:t>
            </w:r>
          </w:p>
        </w:tc>
        <w:tc>
          <w:tcPr>
            <w:tcW w:w="1420" w:type="dxa"/>
            <w:tcBorders>
              <w:top w:val="nil"/>
              <w:left w:val="nil"/>
              <w:bottom w:val="single" w:sz="4" w:space="0" w:color="auto"/>
              <w:right w:val="single" w:sz="4" w:space="0" w:color="auto"/>
            </w:tcBorders>
            <w:shd w:val="clear" w:color="auto" w:fill="auto"/>
            <w:noWrap/>
            <w:vAlign w:val="bottom"/>
            <w:hideMark/>
          </w:tcPr>
          <w:p w14:paraId="0EAC6D9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721 340</w:t>
            </w:r>
          </w:p>
        </w:tc>
        <w:tc>
          <w:tcPr>
            <w:tcW w:w="1380" w:type="dxa"/>
            <w:tcBorders>
              <w:top w:val="nil"/>
              <w:left w:val="nil"/>
              <w:bottom w:val="single" w:sz="4" w:space="0" w:color="auto"/>
              <w:right w:val="single" w:sz="4" w:space="0" w:color="auto"/>
            </w:tcBorders>
            <w:shd w:val="clear" w:color="auto" w:fill="auto"/>
            <w:noWrap/>
            <w:vAlign w:val="bottom"/>
            <w:hideMark/>
          </w:tcPr>
          <w:p w14:paraId="07F4A58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94 215</w:t>
            </w:r>
          </w:p>
        </w:tc>
        <w:tc>
          <w:tcPr>
            <w:tcW w:w="1240" w:type="dxa"/>
            <w:tcBorders>
              <w:top w:val="nil"/>
              <w:left w:val="nil"/>
              <w:bottom w:val="single" w:sz="4" w:space="0" w:color="auto"/>
              <w:right w:val="single" w:sz="4" w:space="0" w:color="auto"/>
            </w:tcBorders>
            <w:shd w:val="clear" w:color="auto" w:fill="auto"/>
            <w:noWrap/>
            <w:vAlign w:val="bottom"/>
            <w:hideMark/>
          </w:tcPr>
          <w:p w14:paraId="4F7FE37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225 007</w:t>
            </w:r>
          </w:p>
        </w:tc>
      </w:tr>
      <w:tr w:rsidR="00E61582" w:rsidRPr="00E61582" w14:paraId="467E7B4D"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18DB2403"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SM</w:t>
            </w:r>
          </w:p>
        </w:tc>
        <w:tc>
          <w:tcPr>
            <w:tcW w:w="1540" w:type="dxa"/>
            <w:tcBorders>
              <w:top w:val="nil"/>
              <w:left w:val="nil"/>
              <w:bottom w:val="single" w:sz="4" w:space="0" w:color="auto"/>
              <w:right w:val="single" w:sz="4" w:space="0" w:color="auto"/>
            </w:tcBorders>
            <w:shd w:val="clear" w:color="auto" w:fill="auto"/>
            <w:noWrap/>
            <w:vAlign w:val="bottom"/>
            <w:hideMark/>
          </w:tcPr>
          <w:p w14:paraId="2A0150B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202 175</w:t>
            </w:r>
          </w:p>
        </w:tc>
        <w:tc>
          <w:tcPr>
            <w:tcW w:w="1420" w:type="dxa"/>
            <w:tcBorders>
              <w:top w:val="nil"/>
              <w:left w:val="nil"/>
              <w:bottom w:val="single" w:sz="4" w:space="0" w:color="auto"/>
              <w:right w:val="single" w:sz="4" w:space="0" w:color="auto"/>
            </w:tcBorders>
            <w:shd w:val="clear" w:color="auto" w:fill="auto"/>
            <w:noWrap/>
            <w:vAlign w:val="bottom"/>
            <w:hideMark/>
          </w:tcPr>
          <w:p w14:paraId="0F83781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176 348</w:t>
            </w:r>
          </w:p>
        </w:tc>
        <w:tc>
          <w:tcPr>
            <w:tcW w:w="1380" w:type="dxa"/>
            <w:tcBorders>
              <w:top w:val="nil"/>
              <w:left w:val="nil"/>
              <w:bottom w:val="single" w:sz="4" w:space="0" w:color="auto"/>
              <w:right w:val="single" w:sz="4" w:space="0" w:color="auto"/>
            </w:tcBorders>
            <w:shd w:val="clear" w:color="auto" w:fill="auto"/>
            <w:noWrap/>
            <w:vAlign w:val="bottom"/>
            <w:hideMark/>
          </w:tcPr>
          <w:p w14:paraId="41A2055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31 370</w:t>
            </w:r>
          </w:p>
        </w:tc>
        <w:tc>
          <w:tcPr>
            <w:tcW w:w="1240" w:type="dxa"/>
            <w:tcBorders>
              <w:top w:val="nil"/>
              <w:left w:val="nil"/>
              <w:bottom w:val="single" w:sz="4" w:space="0" w:color="auto"/>
              <w:right w:val="single" w:sz="4" w:space="0" w:color="auto"/>
            </w:tcBorders>
            <w:shd w:val="clear" w:color="auto" w:fill="auto"/>
            <w:noWrap/>
            <w:vAlign w:val="bottom"/>
            <w:hideMark/>
          </w:tcPr>
          <w:p w14:paraId="7FB4647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184 253</w:t>
            </w:r>
          </w:p>
        </w:tc>
      </w:tr>
      <w:tr w:rsidR="00E61582" w:rsidRPr="00E61582" w14:paraId="5131C083"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7D4D059F"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LM</w:t>
            </w:r>
          </w:p>
        </w:tc>
        <w:tc>
          <w:tcPr>
            <w:tcW w:w="1540" w:type="dxa"/>
            <w:tcBorders>
              <w:top w:val="nil"/>
              <w:left w:val="nil"/>
              <w:bottom w:val="single" w:sz="4" w:space="0" w:color="auto"/>
              <w:right w:val="single" w:sz="4" w:space="0" w:color="auto"/>
            </w:tcBorders>
            <w:shd w:val="clear" w:color="auto" w:fill="auto"/>
            <w:noWrap/>
            <w:vAlign w:val="bottom"/>
            <w:hideMark/>
          </w:tcPr>
          <w:p w14:paraId="0EDD9E0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237 366</w:t>
            </w:r>
          </w:p>
        </w:tc>
        <w:tc>
          <w:tcPr>
            <w:tcW w:w="1420" w:type="dxa"/>
            <w:tcBorders>
              <w:top w:val="nil"/>
              <w:left w:val="nil"/>
              <w:bottom w:val="single" w:sz="4" w:space="0" w:color="auto"/>
              <w:right w:val="single" w:sz="4" w:space="0" w:color="auto"/>
            </w:tcBorders>
            <w:shd w:val="clear" w:color="auto" w:fill="auto"/>
            <w:noWrap/>
            <w:vAlign w:val="bottom"/>
            <w:hideMark/>
          </w:tcPr>
          <w:p w14:paraId="6703159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219 030</w:t>
            </w:r>
          </w:p>
        </w:tc>
        <w:tc>
          <w:tcPr>
            <w:tcW w:w="1380" w:type="dxa"/>
            <w:tcBorders>
              <w:top w:val="nil"/>
              <w:left w:val="nil"/>
              <w:bottom w:val="single" w:sz="4" w:space="0" w:color="auto"/>
              <w:right w:val="single" w:sz="4" w:space="0" w:color="auto"/>
            </w:tcBorders>
            <w:shd w:val="clear" w:color="auto" w:fill="auto"/>
            <w:noWrap/>
            <w:vAlign w:val="bottom"/>
            <w:hideMark/>
          </w:tcPr>
          <w:p w14:paraId="7C5FB5B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53 382</w:t>
            </w:r>
          </w:p>
        </w:tc>
        <w:tc>
          <w:tcPr>
            <w:tcW w:w="1240" w:type="dxa"/>
            <w:tcBorders>
              <w:top w:val="nil"/>
              <w:left w:val="nil"/>
              <w:bottom w:val="single" w:sz="4" w:space="0" w:color="auto"/>
              <w:right w:val="single" w:sz="4" w:space="0" w:color="auto"/>
            </w:tcBorders>
            <w:shd w:val="clear" w:color="auto" w:fill="auto"/>
            <w:noWrap/>
            <w:vAlign w:val="bottom"/>
            <w:hideMark/>
          </w:tcPr>
          <w:p w14:paraId="7ECB1D5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106 382</w:t>
            </w:r>
          </w:p>
        </w:tc>
      </w:tr>
      <w:tr w:rsidR="00E61582" w:rsidRPr="00E61582" w14:paraId="2A55AF96"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7CB3520E"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KM</w:t>
            </w:r>
          </w:p>
        </w:tc>
        <w:tc>
          <w:tcPr>
            <w:tcW w:w="1540" w:type="dxa"/>
            <w:tcBorders>
              <w:top w:val="nil"/>
              <w:left w:val="nil"/>
              <w:bottom w:val="single" w:sz="4" w:space="0" w:color="auto"/>
              <w:right w:val="single" w:sz="4" w:space="0" w:color="auto"/>
            </w:tcBorders>
            <w:shd w:val="clear" w:color="auto" w:fill="auto"/>
            <w:noWrap/>
            <w:vAlign w:val="bottom"/>
            <w:hideMark/>
          </w:tcPr>
          <w:p w14:paraId="065FD59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431 341</w:t>
            </w:r>
          </w:p>
        </w:tc>
        <w:tc>
          <w:tcPr>
            <w:tcW w:w="1420" w:type="dxa"/>
            <w:tcBorders>
              <w:top w:val="nil"/>
              <w:left w:val="nil"/>
              <w:bottom w:val="single" w:sz="4" w:space="0" w:color="auto"/>
              <w:right w:val="single" w:sz="4" w:space="0" w:color="auto"/>
            </w:tcBorders>
            <w:shd w:val="clear" w:color="auto" w:fill="auto"/>
            <w:noWrap/>
            <w:vAlign w:val="bottom"/>
            <w:hideMark/>
          </w:tcPr>
          <w:p w14:paraId="2591573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465 280</w:t>
            </w:r>
          </w:p>
        </w:tc>
        <w:tc>
          <w:tcPr>
            <w:tcW w:w="1380" w:type="dxa"/>
            <w:tcBorders>
              <w:top w:val="nil"/>
              <w:left w:val="nil"/>
              <w:bottom w:val="single" w:sz="4" w:space="0" w:color="auto"/>
              <w:right w:val="single" w:sz="4" w:space="0" w:color="auto"/>
            </w:tcBorders>
            <w:shd w:val="clear" w:color="auto" w:fill="auto"/>
            <w:noWrap/>
            <w:vAlign w:val="bottom"/>
            <w:hideMark/>
          </w:tcPr>
          <w:p w14:paraId="53CBF1F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83 097</w:t>
            </w:r>
          </w:p>
        </w:tc>
        <w:tc>
          <w:tcPr>
            <w:tcW w:w="1240" w:type="dxa"/>
            <w:tcBorders>
              <w:top w:val="nil"/>
              <w:left w:val="nil"/>
              <w:bottom w:val="single" w:sz="4" w:space="0" w:color="auto"/>
              <w:right w:val="single" w:sz="4" w:space="0" w:color="auto"/>
            </w:tcBorders>
            <w:shd w:val="clear" w:color="auto" w:fill="auto"/>
            <w:noWrap/>
            <w:vAlign w:val="bottom"/>
            <w:hideMark/>
          </w:tcPr>
          <w:p w14:paraId="520F26F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101 648</w:t>
            </w:r>
          </w:p>
        </w:tc>
      </w:tr>
      <w:tr w:rsidR="00E61582" w:rsidRPr="00E61582" w14:paraId="52F22210" w14:textId="77777777" w:rsidTr="006F76FD">
        <w:trPr>
          <w:trHeight w:val="300"/>
          <w:jc w:val="center"/>
        </w:trPr>
        <w:tc>
          <w:tcPr>
            <w:tcW w:w="2079" w:type="dxa"/>
            <w:tcBorders>
              <w:top w:val="nil"/>
              <w:left w:val="single" w:sz="4" w:space="0" w:color="auto"/>
              <w:bottom w:val="single" w:sz="4" w:space="0" w:color="auto"/>
              <w:right w:val="single" w:sz="4" w:space="0" w:color="auto"/>
            </w:tcBorders>
            <w:shd w:val="clear" w:color="auto" w:fill="auto"/>
            <w:noWrap/>
            <w:vAlign w:val="bottom"/>
            <w:hideMark/>
          </w:tcPr>
          <w:p w14:paraId="343DE4A3"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VM</w:t>
            </w:r>
          </w:p>
        </w:tc>
        <w:tc>
          <w:tcPr>
            <w:tcW w:w="1540" w:type="dxa"/>
            <w:tcBorders>
              <w:top w:val="nil"/>
              <w:left w:val="nil"/>
              <w:bottom w:val="single" w:sz="4" w:space="0" w:color="auto"/>
              <w:right w:val="single" w:sz="4" w:space="0" w:color="auto"/>
            </w:tcBorders>
            <w:shd w:val="clear" w:color="auto" w:fill="auto"/>
            <w:noWrap/>
            <w:vAlign w:val="bottom"/>
            <w:hideMark/>
          </w:tcPr>
          <w:p w14:paraId="4578FE3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311 134</w:t>
            </w:r>
          </w:p>
        </w:tc>
        <w:tc>
          <w:tcPr>
            <w:tcW w:w="1420" w:type="dxa"/>
            <w:tcBorders>
              <w:top w:val="nil"/>
              <w:left w:val="nil"/>
              <w:bottom w:val="single" w:sz="4" w:space="0" w:color="auto"/>
              <w:right w:val="single" w:sz="4" w:space="0" w:color="auto"/>
            </w:tcBorders>
            <w:shd w:val="clear" w:color="auto" w:fill="auto"/>
            <w:noWrap/>
            <w:vAlign w:val="bottom"/>
            <w:hideMark/>
          </w:tcPr>
          <w:p w14:paraId="4DBD0B8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318 742</w:t>
            </w:r>
          </w:p>
        </w:tc>
        <w:tc>
          <w:tcPr>
            <w:tcW w:w="1380" w:type="dxa"/>
            <w:tcBorders>
              <w:top w:val="nil"/>
              <w:left w:val="nil"/>
              <w:bottom w:val="single" w:sz="4" w:space="0" w:color="auto"/>
              <w:right w:val="single" w:sz="4" w:space="0" w:color="auto"/>
            </w:tcBorders>
            <w:shd w:val="clear" w:color="auto" w:fill="auto"/>
            <w:noWrap/>
            <w:vAlign w:val="bottom"/>
            <w:hideMark/>
          </w:tcPr>
          <w:p w14:paraId="6870E0F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74 738</w:t>
            </w:r>
          </w:p>
        </w:tc>
        <w:tc>
          <w:tcPr>
            <w:tcW w:w="1240" w:type="dxa"/>
            <w:tcBorders>
              <w:top w:val="nil"/>
              <w:left w:val="nil"/>
              <w:bottom w:val="single" w:sz="4" w:space="0" w:color="auto"/>
              <w:right w:val="single" w:sz="4" w:space="0" w:color="auto"/>
            </w:tcBorders>
            <w:shd w:val="clear" w:color="auto" w:fill="auto"/>
            <w:noWrap/>
            <w:vAlign w:val="bottom"/>
            <w:hideMark/>
          </w:tcPr>
          <w:p w14:paraId="4D7314C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99 439</w:t>
            </w:r>
          </w:p>
        </w:tc>
      </w:tr>
      <w:tr w:rsidR="00E61582" w:rsidRPr="00E61582" w14:paraId="5C5B3C1A" w14:textId="77777777" w:rsidTr="006F76FD">
        <w:trPr>
          <w:trHeight w:val="299"/>
          <w:jc w:val="center"/>
        </w:trPr>
        <w:tc>
          <w:tcPr>
            <w:tcW w:w="2079" w:type="dxa"/>
            <w:tcBorders>
              <w:top w:val="nil"/>
              <w:left w:val="single" w:sz="4" w:space="0" w:color="auto"/>
              <w:bottom w:val="single" w:sz="4" w:space="0" w:color="auto"/>
              <w:right w:val="single" w:sz="4" w:space="0" w:color="auto"/>
            </w:tcBorders>
            <w:shd w:val="clear" w:color="auto" w:fill="auto"/>
            <w:vAlign w:val="bottom"/>
            <w:hideMark/>
          </w:tcPr>
          <w:p w14:paraId="2E11A9FD"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KOPĀ, ministrijas</w:t>
            </w:r>
          </w:p>
        </w:tc>
        <w:tc>
          <w:tcPr>
            <w:tcW w:w="1540" w:type="dxa"/>
            <w:tcBorders>
              <w:top w:val="nil"/>
              <w:left w:val="nil"/>
              <w:bottom w:val="single" w:sz="4" w:space="0" w:color="auto"/>
              <w:right w:val="single" w:sz="4" w:space="0" w:color="auto"/>
            </w:tcBorders>
            <w:shd w:val="clear" w:color="auto" w:fill="auto"/>
            <w:noWrap/>
            <w:vAlign w:val="bottom"/>
            <w:hideMark/>
          </w:tcPr>
          <w:p w14:paraId="76B31125" w14:textId="77777777" w:rsidR="00E61582" w:rsidRPr="00E61582" w:rsidRDefault="00E61582" w:rsidP="00E61582">
            <w:pPr>
              <w:spacing w:after="0" w:line="240" w:lineRule="auto"/>
              <w:jc w:val="right"/>
              <w:rPr>
                <w:rFonts w:eastAsia="Times New Roman"/>
                <w:b/>
                <w:bCs/>
                <w:color w:val="000000"/>
                <w:sz w:val="22"/>
                <w:lang w:val="lv-LV" w:eastAsia="lv-LV"/>
              </w:rPr>
            </w:pPr>
            <w:r w:rsidRPr="00E61582">
              <w:rPr>
                <w:rFonts w:eastAsia="Times New Roman"/>
                <w:b/>
                <w:bCs/>
                <w:color w:val="000000"/>
                <w:sz w:val="22"/>
                <w:lang w:val="lv-LV" w:eastAsia="lv-LV"/>
              </w:rPr>
              <w:t>13 949 533</w:t>
            </w:r>
          </w:p>
        </w:tc>
        <w:tc>
          <w:tcPr>
            <w:tcW w:w="1420" w:type="dxa"/>
            <w:tcBorders>
              <w:top w:val="nil"/>
              <w:left w:val="nil"/>
              <w:bottom w:val="single" w:sz="4" w:space="0" w:color="auto"/>
              <w:right w:val="single" w:sz="4" w:space="0" w:color="auto"/>
            </w:tcBorders>
            <w:shd w:val="clear" w:color="auto" w:fill="auto"/>
            <w:noWrap/>
            <w:vAlign w:val="bottom"/>
            <w:hideMark/>
          </w:tcPr>
          <w:p w14:paraId="4EA5A829" w14:textId="77777777" w:rsidR="00E61582" w:rsidRPr="00E61582" w:rsidRDefault="00E61582" w:rsidP="00E61582">
            <w:pPr>
              <w:spacing w:after="0" w:line="240" w:lineRule="auto"/>
              <w:jc w:val="right"/>
              <w:rPr>
                <w:rFonts w:eastAsia="Times New Roman"/>
                <w:b/>
                <w:bCs/>
                <w:color w:val="000000"/>
                <w:sz w:val="22"/>
                <w:lang w:val="lv-LV" w:eastAsia="lv-LV"/>
              </w:rPr>
            </w:pPr>
            <w:r w:rsidRPr="00E61582">
              <w:rPr>
                <w:rFonts w:eastAsia="Times New Roman"/>
                <w:b/>
                <w:bCs/>
                <w:color w:val="000000"/>
                <w:sz w:val="22"/>
                <w:lang w:val="lv-LV" w:eastAsia="lv-LV"/>
              </w:rPr>
              <w:t>13 968 230</w:t>
            </w:r>
          </w:p>
        </w:tc>
        <w:tc>
          <w:tcPr>
            <w:tcW w:w="1380" w:type="dxa"/>
            <w:tcBorders>
              <w:top w:val="nil"/>
              <w:left w:val="nil"/>
              <w:bottom w:val="single" w:sz="4" w:space="0" w:color="auto"/>
              <w:right w:val="single" w:sz="4" w:space="0" w:color="auto"/>
            </w:tcBorders>
            <w:shd w:val="clear" w:color="auto" w:fill="auto"/>
            <w:noWrap/>
            <w:vAlign w:val="bottom"/>
            <w:hideMark/>
          </w:tcPr>
          <w:p w14:paraId="44310024" w14:textId="77777777" w:rsidR="00E61582" w:rsidRPr="00E61582" w:rsidRDefault="00E61582" w:rsidP="00E61582">
            <w:pPr>
              <w:spacing w:after="0" w:line="240" w:lineRule="auto"/>
              <w:jc w:val="right"/>
              <w:rPr>
                <w:rFonts w:eastAsia="Times New Roman"/>
                <w:b/>
                <w:bCs/>
                <w:color w:val="000000"/>
                <w:sz w:val="22"/>
                <w:lang w:val="lv-LV" w:eastAsia="lv-LV"/>
              </w:rPr>
            </w:pPr>
            <w:r w:rsidRPr="00E61582">
              <w:rPr>
                <w:rFonts w:eastAsia="Times New Roman"/>
                <w:b/>
                <w:bCs/>
                <w:color w:val="000000"/>
                <w:sz w:val="22"/>
                <w:lang w:val="lv-LV" w:eastAsia="lv-LV"/>
              </w:rPr>
              <w:t>4 102 463</w:t>
            </w:r>
          </w:p>
        </w:tc>
        <w:tc>
          <w:tcPr>
            <w:tcW w:w="1240" w:type="dxa"/>
            <w:tcBorders>
              <w:top w:val="nil"/>
              <w:left w:val="nil"/>
              <w:bottom w:val="single" w:sz="4" w:space="0" w:color="auto"/>
              <w:right w:val="single" w:sz="4" w:space="0" w:color="auto"/>
            </w:tcBorders>
            <w:shd w:val="clear" w:color="auto" w:fill="auto"/>
            <w:noWrap/>
            <w:vAlign w:val="bottom"/>
            <w:hideMark/>
          </w:tcPr>
          <w:p w14:paraId="26DF375A" w14:textId="77777777" w:rsidR="00E61582" w:rsidRPr="00E61582" w:rsidRDefault="00E61582" w:rsidP="00E61582">
            <w:pPr>
              <w:spacing w:after="0" w:line="240" w:lineRule="auto"/>
              <w:jc w:val="right"/>
              <w:rPr>
                <w:rFonts w:eastAsia="Times New Roman"/>
                <w:b/>
                <w:bCs/>
                <w:color w:val="000000"/>
                <w:sz w:val="22"/>
                <w:lang w:val="lv-LV" w:eastAsia="lv-LV"/>
              </w:rPr>
            </w:pPr>
            <w:r w:rsidRPr="00E61582">
              <w:rPr>
                <w:rFonts w:eastAsia="Times New Roman"/>
                <w:b/>
                <w:bCs/>
                <w:color w:val="000000"/>
                <w:sz w:val="22"/>
                <w:lang w:val="lv-LV" w:eastAsia="lv-LV"/>
              </w:rPr>
              <w:t>8 717 007</w:t>
            </w:r>
          </w:p>
        </w:tc>
      </w:tr>
    </w:tbl>
    <w:p w14:paraId="331DAB6E" w14:textId="77777777" w:rsidR="00E61582" w:rsidRPr="00E61582" w:rsidRDefault="00E61582" w:rsidP="00E61582">
      <w:pPr>
        <w:spacing w:before="120"/>
        <w:ind w:firstLine="720"/>
        <w:rPr>
          <w:lang w:val="lv-LV"/>
        </w:rPr>
      </w:pPr>
      <w:r w:rsidRPr="00E61582">
        <w:rPr>
          <w:lang w:val="lv-LV"/>
        </w:rPr>
        <w:t xml:space="preserve">Tabulā Nr. 2.1.3. redzams, ka vidēji no 2015. gada līdz 2019. gadam ministrijas kopā gada ietvaros EKK 2100 izlietojušas 13,9 milj. </w:t>
      </w:r>
      <w:r w:rsidRPr="00E61582">
        <w:rPr>
          <w:i/>
          <w:iCs/>
          <w:lang w:val="lv-LV"/>
        </w:rPr>
        <w:t>euro</w:t>
      </w:r>
      <w:r w:rsidRPr="00E61582">
        <w:rPr>
          <w:lang w:val="lv-LV"/>
        </w:rPr>
        <w:t xml:space="preserve">, arī 2019. gadā EKK 2100 izlietoti 14,0 milj. </w:t>
      </w:r>
      <w:r w:rsidRPr="00E61582">
        <w:rPr>
          <w:i/>
          <w:iCs/>
          <w:lang w:val="lv-LV"/>
        </w:rPr>
        <w:t>euro</w:t>
      </w:r>
      <w:r w:rsidRPr="00E61582">
        <w:rPr>
          <w:lang w:val="lv-LV"/>
        </w:rPr>
        <w:t xml:space="preserve">, savukārt 2020. gadā tie bijuši vien 4,1 milj. </w:t>
      </w:r>
      <w:r w:rsidRPr="00E61582">
        <w:rPr>
          <w:i/>
          <w:iCs/>
          <w:lang w:val="lv-LV"/>
        </w:rPr>
        <w:t xml:space="preserve">euro, </w:t>
      </w:r>
      <w:r w:rsidRPr="00E61582">
        <w:rPr>
          <w:lang w:val="lv-LV"/>
        </w:rPr>
        <w:t xml:space="preserve">kas ir par 9,9 milj. </w:t>
      </w:r>
      <w:r w:rsidRPr="00E61582">
        <w:rPr>
          <w:i/>
          <w:lang w:val="lv-LV"/>
        </w:rPr>
        <w:t>euro</w:t>
      </w:r>
      <w:r w:rsidRPr="00E61582">
        <w:rPr>
          <w:lang w:val="lv-LV"/>
        </w:rPr>
        <w:t xml:space="preserve"> jeb 71% mazāk nekā faktiski izlietotais 2019. gadā. Izdevumu pārskatīšanas darba grupas sanāksmēs ar ministrijām, vairākas ministrijas atzina, ka līdz ar Covid-19 vīrusa izplatības situācijas uzlabošanos un ceļojumu ierobežojošo nosacījumu atcelšanu, komandējumu skaits un izmaksas pieaugs, ko parāda 2021. gadam plānotie izdevumi 8,7 milj. </w:t>
      </w:r>
      <w:r w:rsidRPr="00E61582">
        <w:rPr>
          <w:i/>
          <w:iCs/>
          <w:lang w:val="lv-LV"/>
        </w:rPr>
        <w:t>euro</w:t>
      </w:r>
      <w:r w:rsidRPr="00E61582">
        <w:rPr>
          <w:lang w:val="lv-LV"/>
        </w:rPr>
        <w:t xml:space="preserve"> apmērā EKK 2100. Vienlaikus ministrijas atzina, ka seko līdzi izdevumiem komandējumiem, kā arī ir identificējušas iespējamos resursus pārdalēm citām savām prioritātēm.</w:t>
      </w:r>
    </w:p>
    <w:p w14:paraId="144669B7" w14:textId="77777777" w:rsidR="00E61582" w:rsidRPr="00E61582" w:rsidRDefault="00E61582" w:rsidP="00E61582">
      <w:pPr>
        <w:ind w:firstLine="720"/>
        <w:rPr>
          <w:lang w:val="lv-LV"/>
        </w:rPr>
      </w:pPr>
    </w:p>
    <w:p w14:paraId="6C524148" w14:textId="77777777" w:rsidR="00E61582" w:rsidRPr="00E61582" w:rsidRDefault="00E61582" w:rsidP="00E61582">
      <w:pPr>
        <w:rPr>
          <w:u w:val="single"/>
          <w:lang w:val="lv-LV"/>
        </w:rPr>
      </w:pPr>
      <w:r w:rsidRPr="00E61582">
        <w:rPr>
          <w:u w:val="single"/>
          <w:lang w:val="lv-LV"/>
        </w:rPr>
        <w:t xml:space="preserve">EKK 2229 “Izdevumi par pārējiem komunālajiem pakalpojumiem” </w:t>
      </w:r>
    </w:p>
    <w:p w14:paraId="43C1C313" w14:textId="477DA133" w:rsidR="003B3AA2" w:rsidRDefault="00E61582" w:rsidP="00F700BC">
      <w:pPr>
        <w:ind w:firstLine="720"/>
        <w:rPr>
          <w:lang w:val="lv-LV"/>
        </w:rPr>
      </w:pPr>
      <w:r w:rsidRPr="00E61582">
        <w:rPr>
          <w:lang w:val="lv-LV"/>
        </w:rPr>
        <w:t>EKK 2229 kodā uzskaita iestādes izdevumus par komunālajiem pakalpojumiem, izņemot izdevumus par siltumenerģiju, ūdensapgādi, kanalizāciju, elektroenerģiju kā arī par atkritumu savākšanu, izvešanu no apdzīvotām vietām un teritorijām ārpus apdzīvotām vietām un atkritumu utilizāciju.</w:t>
      </w:r>
    </w:p>
    <w:p w14:paraId="399E003D" w14:textId="41A7FEE7" w:rsidR="006F76FD" w:rsidRDefault="006F76FD" w:rsidP="00F700BC">
      <w:pPr>
        <w:ind w:firstLine="720"/>
        <w:rPr>
          <w:lang w:val="lv-LV"/>
        </w:rPr>
      </w:pPr>
    </w:p>
    <w:p w14:paraId="64EAB6DD" w14:textId="39EF0760" w:rsidR="006F76FD" w:rsidRDefault="006F76FD" w:rsidP="00F700BC">
      <w:pPr>
        <w:ind w:firstLine="720"/>
        <w:rPr>
          <w:lang w:val="lv-LV"/>
        </w:rPr>
      </w:pPr>
    </w:p>
    <w:p w14:paraId="21FACD1C" w14:textId="77777777" w:rsidR="006F76FD" w:rsidRPr="00F700BC" w:rsidRDefault="006F76FD" w:rsidP="00F700BC">
      <w:pPr>
        <w:ind w:firstLine="720"/>
        <w:rPr>
          <w:lang w:val="lv-LV"/>
        </w:rPr>
      </w:pPr>
    </w:p>
    <w:p w14:paraId="3FA64DAB" w14:textId="54AB1E99" w:rsidR="00E61582" w:rsidRPr="00E61582" w:rsidRDefault="00E61582" w:rsidP="00E61582">
      <w:pPr>
        <w:jc w:val="center"/>
        <w:rPr>
          <w:b/>
          <w:bCs/>
          <w:sz w:val="22"/>
          <w:lang w:val="lv-LV"/>
        </w:rPr>
      </w:pPr>
      <w:r w:rsidRPr="00E61582">
        <w:rPr>
          <w:b/>
          <w:bCs/>
          <w:i/>
          <w:iCs/>
          <w:sz w:val="22"/>
          <w:lang w:val="lv-LV"/>
        </w:rPr>
        <w:lastRenderedPageBreak/>
        <w:t>2.1.2. attēls</w:t>
      </w:r>
      <w:r w:rsidRPr="00E61582">
        <w:rPr>
          <w:b/>
          <w:bCs/>
          <w:sz w:val="22"/>
          <w:lang w:val="lv-LV"/>
        </w:rPr>
        <w:t xml:space="preserve"> EKK 2229 “Izdevumi par pārējiem komunālajiem pakalpojumiem” kopējo izdevumu dinamika</w:t>
      </w:r>
    </w:p>
    <w:p w14:paraId="69FE8251" w14:textId="77777777" w:rsidR="00E61582" w:rsidRPr="00E61582" w:rsidRDefault="00E61582" w:rsidP="00E61582">
      <w:pPr>
        <w:rPr>
          <w:lang w:val="lv-LV"/>
        </w:rPr>
      </w:pPr>
      <w:r w:rsidRPr="00E61582">
        <w:rPr>
          <w:noProof/>
          <w:lang w:val="lv-LV" w:eastAsia="lv-LV"/>
        </w:rPr>
        <w:drawing>
          <wp:inline distT="0" distB="0" distL="0" distR="0" wp14:anchorId="0F750A39" wp14:editId="1815E44E">
            <wp:extent cx="5788549" cy="2421467"/>
            <wp:effectExtent l="0" t="0" r="317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7077" cy="2425034"/>
                    </a:xfrm>
                    <a:prstGeom prst="rect">
                      <a:avLst/>
                    </a:prstGeom>
                    <a:noFill/>
                  </pic:spPr>
                </pic:pic>
              </a:graphicData>
            </a:graphic>
          </wp:inline>
        </w:drawing>
      </w:r>
    </w:p>
    <w:p w14:paraId="63DA5E86" w14:textId="5D54512B" w:rsidR="00E61582" w:rsidRPr="00E61582" w:rsidRDefault="00FF79A4" w:rsidP="00E61582">
      <w:pPr>
        <w:ind w:firstLine="720"/>
        <w:rPr>
          <w:lang w:val="lv-LV"/>
        </w:rPr>
      </w:pPr>
      <w:r>
        <w:rPr>
          <w:lang w:val="lv-LV"/>
        </w:rPr>
        <w:t>Attēlā Nr. 2.1.2. redzama</w:t>
      </w:r>
      <w:r w:rsidR="00E61582" w:rsidRPr="00E61582">
        <w:rPr>
          <w:lang w:val="lv-LV"/>
        </w:rPr>
        <w:t xml:space="preserve"> EKK 2229 izdevumu dinamika. EKK 2229 izdevumi 2020. gadam saglabājas iepriekšējo gadu līmenī, kas skaidrojams ar to, ka izdevumi par komunālajiem pakalpojumiem bieži vien ir fiksēti ilgākā laika termiņā un to svārstības nav tieši atkarīgas no darbinieku atrašanās darbavietās ofisos klātienē.</w:t>
      </w:r>
    </w:p>
    <w:p w14:paraId="4B69399C" w14:textId="77777777" w:rsidR="00E61582" w:rsidRPr="00E61582" w:rsidRDefault="00E61582" w:rsidP="00A65D3D">
      <w:pPr>
        <w:jc w:val="center"/>
        <w:rPr>
          <w:b/>
          <w:bCs/>
          <w:sz w:val="22"/>
          <w:lang w:val="lv-LV"/>
        </w:rPr>
      </w:pPr>
      <w:r w:rsidRPr="00E61582">
        <w:rPr>
          <w:b/>
          <w:bCs/>
          <w:i/>
          <w:iCs/>
          <w:sz w:val="22"/>
          <w:lang w:val="lv-LV"/>
        </w:rPr>
        <w:t>2.1.4. tabula</w:t>
      </w:r>
      <w:r w:rsidRPr="00E61582">
        <w:rPr>
          <w:b/>
          <w:bCs/>
          <w:sz w:val="22"/>
          <w:lang w:val="lv-LV"/>
        </w:rPr>
        <w:t xml:space="preserve"> EKK 2229 “Izdevumi par pārējiem komunālajiem pakalpojumiem” ministriju izdevumu dinamika </w:t>
      </w:r>
    </w:p>
    <w:tbl>
      <w:tblPr>
        <w:tblW w:w="7236" w:type="dxa"/>
        <w:jc w:val="center"/>
        <w:tblLook w:val="04A0" w:firstRow="1" w:lastRow="0" w:firstColumn="1" w:lastColumn="0" w:noHBand="0" w:noVBand="1"/>
      </w:tblPr>
      <w:tblGrid>
        <w:gridCol w:w="2276"/>
        <w:gridCol w:w="1300"/>
        <w:gridCol w:w="1180"/>
        <w:gridCol w:w="1180"/>
        <w:gridCol w:w="1300"/>
      </w:tblGrid>
      <w:tr w:rsidR="00E61582" w:rsidRPr="00E61582" w14:paraId="0C00656F" w14:textId="77777777" w:rsidTr="006F76FD">
        <w:trPr>
          <w:trHeight w:val="855"/>
          <w:jc w:val="center"/>
        </w:trPr>
        <w:tc>
          <w:tcPr>
            <w:tcW w:w="2276"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1ED3E3F9" w14:textId="77777777" w:rsidR="00E61582" w:rsidRPr="00E61582" w:rsidRDefault="00E61582" w:rsidP="00E61582">
            <w:pPr>
              <w:spacing w:after="0" w:line="240" w:lineRule="auto"/>
              <w:rPr>
                <w:rFonts w:eastAsia="Times New Roman"/>
                <w:b/>
                <w:bCs/>
                <w:sz w:val="22"/>
                <w:lang w:val="lv-LV" w:eastAsia="lv-LV"/>
              </w:rPr>
            </w:pPr>
            <w:r w:rsidRPr="00E61582">
              <w:rPr>
                <w:rFonts w:eastAsia="Times New Roman"/>
                <w:b/>
                <w:bCs/>
                <w:sz w:val="22"/>
                <w:lang w:val="lv-LV" w:eastAsia="lv-LV"/>
              </w:rPr>
              <w:t> </w:t>
            </w:r>
          </w:p>
        </w:tc>
        <w:tc>
          <w:tcPr>
            <w:tcW w:w="1300" w:type="dxa"/>
            <w:tcBorders>
              <w:top w:val="single" w:sz="4" w:space="0" w:color="auto"/>
              <w:left w:val="nil"/>
              <w:bottom w:val="single" w:sz="4" w:space="0" w:color="auto"/>
              <w:right w:val="single" w:sz="4" w:space="0" w:color="auto"/>
            </w:tcBorders>
            <w:shd w:val="clear" w:color="000000" w:fill="C6E0B4"/>
            <w:vAlign w:val="center"/>
            <w:hideMark/>
          </w:tcPr>
          <w:p w14:paraId="41DD9A2E" w14:textId="3DE8F61A"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vidēji 2015.-2019.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180" w:type="dxa"/>
            <w:tcBorders>
              <w:top w:val="single" w:sz="4" w:space="0" w:color="auto"/>
              <w:left w:val="nil"/>
              <w:bottom w:val="single" w:sz="4" w:space="0" w:color="auto"/>
              <w:right w:val="single" w:sz="4" w:space="0" w:color="auto"/>
            </w:tcBorders>
            <w:shd w:val="clear" w:color="000000" w:fill="C6E0B4"/>
            <w:vAlign w:val="center"/>
            <w:hideMark/>
          </w:tcPr>
          <w:p w14:paraId="6D709E91" w14:textId="5C63C32E"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180" w:type="dxa"/>
            <w:tcBorders>
              <w:top w:val="single" w:sz="4" w:space="0" w:color="auto"/>
              <w:left w:val="nil"/>
              <w:bottom w:val="single" w:sz="4" w:space="0" w:color="auto"/>
              <w:right w:val="single" w:sz="4" w:space="0" w:color="auto"/>
            </w:tcBorders>
            <w:shd w:val="clear" w:color="000000" w:fill="C6E0B4"/>
            <w:vAlign w:val="center"/>
            <w:hideMark/>
          </w:tcPr>
          <w:p w14:paraId="148001F0" w14:textId="18573078"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2020.</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300" w:type="dxa"/>
            <w:tcBorders>
              <w:top w:val="single" w:sz="4" w:space="0" w:color="auto"/>
              <w:left w:val="nil"/>
              <w:bottom w:val="single" w:sz="4" w:space="0" w:color="auto"/>
              <w:right w:val="single" w:sz="4" w:space="0" w:color="auto"/>
            </w:tcBorders>
            <w:shd w:val="clear" w:color="000000" w:fill="C6E0B4"/>
            <w:vAlign w:val="center"/>
            <w:hideMark/>
          </w:tcPr>
          <w:p w14:paraId="0DD6FEFA" w14:textId="0BD541C3"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2021.</w:t>
            </w:r>
            <w:r w:rsidR="00FF342C">
              <w:rPr>
                <w:rFonts w:eastAsia="Times New Roman"/>
                <w:b/>
                <w:bCs/>
                <w:sz w:val="22"/>
                <w:lang w:val="lv-LV" w:eastAsia="lv-LV"/>
              </w:rPr>
              <w:t xml:space="preserve"> </w:t>
            </w:r>
            <w:r w:rsidRPr="00E61582">
              <w:rPr>
                <w:rFonts w:eastAsia="Times New Roman"/>
                <w:b/>
                <w:bCs/>
                <w:sz w:val="22"/>
                <w:lang w:val="lv-LV" w:eastAsia="lv-LV"/>
              </w:rPr>
              <w:t xml:space="preserve">gads (plāns), </w:t>
            </w:r>
            <w:r w:rsidRPr="00E61582">
              <w:rPr>
                <w:rFonts w:eastAsia="Times New Roman"/>
                <w:b/>
                <w:bCs/>
                <w:i/>
                <w:iCs/>
                <w:sz w:val="22"/>
                <w:lang w:val="lv-LV" w:eastAsia="lv-LV"/>
              </w:rPr>
              <w:t>euro</w:t>
            </w:r>
          </w:p>
        </w:tc>
      </w:tr>
      <w:tr w:rsidR="00E61582" w:rsidRPr="00E61582" w14:paraId="63D6E945"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0640180A"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TM</w:t>
            </w:r>
          </w:p>
        </w:tc>
        <w:tc>
          <w:tcPr>
            <w:tcW w:w="1300" w:type="dxa"/>
            <w:tcBorders>
              <w:top w:val="nil"/>
              <w:left w:val="nil"/>
              <w:bottom w:val="single" w:sz="4" w:space="0" w:color="auto"/>
              <w:right w:val="single" w:sz="4" w:space="0" w:color="auto"/>
            </w:tcBorders>
            <w:shd w:val="clear" w:color="auto" w:fill="auto"/>
            <w:noWrap/>
            <w:vAlign w:val="bottom"/>
            <w:hideMark/>
          </w:tcPr>
          <w:p w14:paraId="63E6DA6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1 171 178</w:t>
            </w:r>
          </w:p>
        </w:tc>
        <w:tc>
          <w:tcPr>
            <w:tcW w:w="1180" w:type="dxa"/>
            <w:tcBorders>
              <w:top w:val="nil"/>
              <w:left w:val="nil"/>
              <w:bottom w:val="single" w:sz="4" w:space="0" w:color="auto"/>
              <w:right w:val="single" w:sz="4" w:space="0" w:color="auto"/>
            </w:tcBorders>
            <w:shd w:val="clear" w:color="auto" w:fill="auto"/>
            <w:noWrap/>
            <w:vAlign w:val="bottom"/>
            <w:hideMark/>
          </w:tcPr>
          <w:p w14:paraId="2A555FA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1 201 763</w:t>
            </w:r>
          </w:p>
        </w:tc>
        <w:tc>
          <w:tcPr>
            <w:tcW w:w="1180" w:type="dxa"/>
            <w:tcBorders>
              <w:top w:val="nil"/>
              <w:left w:val="nil"/>
              <w:bottom w:val="single" w:sz="4" w:space="0" w:color="auto"/>
              <w:right w:val="single" w:sz="4" w:space="0" w:color="auto"/>
            </w:tcBorders>
            <w:shd w:val="clear" w:color="auto" w:fill="auto"/>
            <w:noWrap/>
            <w:vAlign w:val="bottom"/>
            <w:hideMark/>
          </w:tcPr>
          <w:p w14:paraId="2844943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1 094 537</w:t>
            </w:r>
          </w:p>
        </w:tc>
        <w:tc>
          <w:tcPr>
            <w:tcW w:w="1300" w:type="dxa"/>
            <w:tcBorders>
              <w:top w:val="nil"/>
              <w:left w:val="nil"/>
              <w:bottom w:val="single" w:sz="4" w:space="0" w:color="auto"/>
              <w:right w:val="single" w:sz="4" w:space="0" w:color="auto"/>
            </w:tcBorders>
            <w:shd w:val="clear" w:color="auto" w:fill="auto"/>
            <w:noWrap/>
            <w:vAlign w:val="bottom"/>
            <w:hideMark/>
          </w:tcPr>
          <w:p w14:paraId="69F7D5E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1 080 538</w:t>
            </w:r>
          </w:p>
        </w:tc>
      </w:tr>
      <w:tr w:rsidR="00E61582" w:rsidRPr="00E61582" w14:paraId="7E6AC4F3"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46BFE5CA"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KM</w:t>
            </w:r>
          </w:p>
        </w:tc>
        <w:tc>
          <w:tcPr>
            <w:tcW w:w="1300" w:type="dxa"/>
            <w:tcBorders>
              <w:top w:val="nil"/>
              <w:left w:val="nil"/>
              <w:bottom w:val="single" w:sz="4" w:space="0" w:color="auto"/>
              <w:right w:val="single" w:sz="4" w:space="0" w:color="auto"/>
            </w:tcBorders>
            <w:shd w:val="clear" w:color="auto" w:fill="auto"/>
            <w:noWrap/>
            <w:vAlign w:val="bottom"/>
            <w:hideMark/>
          </w:tcPr>
          <w:p w14:paraId="4ADF5B8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55 859</w:t>
            </w:r>
          </w:p>
        </w:tc>
        <w:tc>
          <w:tcPr>
            <w:tcW w:w="1180" w:type="dxa"/>
            <w:tcBorders>
              <w:top w:val="nil"/>
              <w:left w:val="nil"/>
              <w:bottom w:val="single" w:sz="4" w:space="0" w:color="auto"/>
              <w:right w:val="single" w:sz="4" w:space="0" w:color="auto"/>
            </w:tcBorders>
            <w:shd w:val="clear" w:color="auto" w:fill="auto"/>
            <w:noWrap/>
            <w:vAlign w:val="bottom"/>
            <w:hideMark/>
          </w:tcPr>
          <w:p w14:paraId="75C778D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129 058</w:t>
            </w:r>
          </w:p>
        </w:tc>
        <w:tc>
          <w:tcPr>
            <w:tcW w:w="1180" w:type="dxa"/>
            <w:tcBorders>
              <w:top w:val="nil"/>
              <w:left w:val="nil"/>
              <w:bottom w:val="single" w:sz="4" w:space="0" w:color="auto"/>
              <w:right w:val="single" w:sz="4" w:space="0" w:color="auto"/>
            </w:tcBorders>
            <w:shd w:val="clear" w:color="auto" w:fill="auto"/>
            <w:noWrap/>
            <w:vAlign w:val="bottom"/>
            <w:hideMark/>
          </w:tcPr>
          <w:p w14:paraId="0074141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28 243</w:t>
            </w:r>
          </w:p>
        </w:tc>
        <w:tc>
          <w:tcPr>
            <w:tcW w:w="1300" w:type="dxa"/>
            <w:tcBorders>
              <w:top w:val="nil"/>
              <w:left w:val="nil"/>
              <w:bottom w:val="single" w:sz="4" w:space="0" w:color="auto"/>
              <w:right w:val="single" w:sz="4" w:space="0" w:color="auto"/>
            </w:tcBorders>
            <w:shd w:val="clear" w:color="auto" w:fill="auto"/>
            <w:noWrap/>
            <w:vAlign w:val="bottom"/>
            <w:hideMark/>
          </w:tcPr>
          <w:p w14:paraId="0034A35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301 674</w:t>
            </w:r>
          </w:p>
        </w:tc>
      </w:tr>
      <w:tr w:rsidR="00E61582" w:rsidRPr="00E61582" w14:paraId="012208B6"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61129825"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IZM</w:t>
            </w:r>
          </w:p>
        </w:tc>
        <w:tc>
          <w:tcPr>
            <w:tcW w:w="1300" w:type="dxa"/>
            <w:tcBorders>
              <w:top w:val="nil"/>
              <w:left w:val="nil"/>
              <w:bottom w:val="single" w:sz="4" w:space="0" w:color="auto"/>
              <w:right w:val="single" w:sz="4" w:space="0" w:color="auto"/>
            </w:tcBorders>
            <w:shd w:val="clear" w:color="auto" w:fill="auto"/>
            <w:noWrap/>
            <w:vAlign w:val="bottom"/>
            <w:hideMark/>
          </w:tcPr>
          <w:p w14:paraId="2163AD2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108 972</w:t>
            </w:r>
          </w:p>
        </w:tc>
        <w:tc>
          <w:tcPr>
            <w:tcW w:w="1180" w:type="dxa"/>
            <w:tcBorders>
              <w:top w:val="nil"/>
              <w:left w:val="nil"/>
              <w:bottom w:val="single" w:sz="4" w:space="0" w:color="auto"/>
              <w:right w:val="single" w:sz="4" w:space="0" w:color="auto"/>
            </w:tcBorders>
            <w:shd w:val="clear" w:color="auto" w:fill="auto"/>
            <w:noWrap/>
            <w:vAlign w:val="bottom"/>
            <w:hideMark/>
          </w:tcPr>
          <w:p w14:paraId="07F7096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143 306</w:t>
            </w:r>
          </w:p>
        </w:tc>
        <w:tc>
          <w:tcPr>
            <w:tcW w:w="1180" w:type="dxa"/>
            <w:tcBorders>
              <w:top w:val="nil"/>
              <w:left w:val="nil"/>
              <w:bottom w:val="single" w:sz="4" w:space="0" w:color="auto"/>
              <w:right w:val="single" w:sz="4" w:space="0" w:color="auto"/>
            </w:tcBorders>
            <w:shd w:val="clear" w:color="auto" w:fill="auto"/>
            <w:noWrap/>
            <w:vAlign w:val="bottom"/>
            <w:hideMark/>
          </w:tcPr>
          <w:p w14:paraId="2B30E33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129 530</w:t>
            </w:r>
          </w:p>
        </w:tc>
        <w:tc>
          <w:tcPr>
            <w:tcW w:w="1300" w:type="dxa"/>
            <w:tcBorders>
              <w:top w:val="nil"/>
              <w:left w:val="nil"/>
              <w:bottom w:val="single" w:sz="4" w:space="0" w:color="auto"/>
              <w:right w:val="single" w:sz="4" w:space="0" w:color="auto"/>
            </w:tcBorders>
            <w:shd w:val="clear" w:color="auto" w:fill="auto"/>
            <w:noWrap/>
            <w:vAlign w:val="bottom"/>
            <w:hideMark/>
          </w:tcPr>
          <w:p w14:paraId="0D89F8F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102 442</w:t>
            </w:r>
          </w:p>
        </w:tc>
      </w:tr>
      <w:tr w:rsidR="00E61582" w:rsidRPr="00E61582" w14:paraId="712EBCD9"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11B4D8D4"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ZM</w:t>
            </w:r>
          </w:p>
        </w:tc>
        <w:tc>
          <w:tcPr>
            <w:tcW w:w="1300" w:type="dxa"/>
            <w:tcBorders>
              <w:top w:val="nil"/>
              <w:left w:val="nil"/>
              <w:bottom w:val="single" w:sz="4" w:space="0" w:color="auto"/>
              <w:right w:val="single" w:sz="4" w:space="0" w:color="auto"/>
            </w:tcBorders>
            <w:shd w:val="clear" w:color="auto" w:fill="auto"/>
            <w:noWrap/>
            <w:vAlign w:val="bottom"/>
            <w:hideMark/>
          </w:tcPr>
          <w:p w14:paraId="61EF050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108 802</w:t>
            </w:r>
          </w:p>
        </w:tc>
        <w:tc>
          <w:tcPr>
            <w:tcW w:w="1180" w:type="dxa"/>
            <w:tcBorders>
              <w:top w:val="nil"/>
              <w:left w:val="nil"/>
              <w:bottom w:val="single" w:sz="4" w:space="0" w:color="auto"/>
              <w:right w:val="single" w:sz="4" w:space="0" w:color="auto"/>
            </w:tcBorders>
            <w:shd w:val="clear" w:color="auto" w:fill="auto"/>
            <w:noWrap/>
            <w:vAlign w:val="bottom"/>
            <w:hideMark/>
          </w:tcPr>
          <w:p w14:paraId="29A08B8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29 899</w:t>
            </w:r>
          </w:p>
        </w:tc>
        <w:tc>
          <w:tcPr>
            <w:tcW w:w="1180" w:type="dxa"/>
            <w:tcBorders>
              <w:top w:val="nil"/>
              <w:left w:val="nil"/>
              <w:bottom w:val="single" w:sz="4" w:space="0" w:color="auto"/>
              <w:right w:val="single" w:sz="4" w:space="0" w:color="auto"/>
            </w:tcBorders>
            <w:shd w:val="clear" w:color="auto" w:fill="auto"/>
            <w:noWrap/>
            <w:vAlign w:val="bottom"/>
            <w:hideMark/>
          </w:tcPr>
          <w:p w14:paraId="0F14F7F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66 000</w:t>
            </w:r>
          </w:p>
        </w:tc>
        <w:tc>
          <w:tcPr>
            <w:tcW w:w="1300" w:type="dxa"/>
            <w:tcBorders>
              <w:top w:val="nil"/>
              <w:left w:val="nil"/>
              <w:bottom w:val="single" w:sz="4" w:space="0" w:color="auto"/>
              <w:right w:val="single" w:sz="4" w:space="0" w:color="auto"/>
            </w:tcBorders>
            <w:shd w:val="clear" w:color="auto" w:fill="auto"/>
            <w:noWrap/>
            <w:vAlign w:val="bottom"/>
            <w:hideMark/>
          </w:tcPr>
          <w:p w14:paraId="327943E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77 906</w:t>
            </w:r>
          </w:p>
        </w:tc>
      </w:tr>
      <w:tr w:rsidR="00E61582" w:rsidRPr="00E61582" w14:paraId="626E4BA5"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290FB90F"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EM</w:t>
            </w:r>
          </w:p>
        </w:tc>
        <w:tc>
          <w:tcPr>
            <w:tcW w:w="1300" w:type="dxa"/>
            <w:tcBorders>
              <w:top w:val="nil"/>
              <w:left w:val="nil"/>
              <w:bottom w:val="single" w:sz="4" w:space="0" w:color="auto"/>
              <w:right w:val="single" w:sz="4" w:space="0" w:color="auto"/>
            </w:tcBorders>
            <w:shd w:val="clear" w:color="auto" w:fill="auto"/>
            <w:noWrap/>
            <w:vAlign w:val="bottom"/>
            <w:hideMark/>
          </w:tcPr>
          <w:p w14:paraId="5B3B416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12 796</w:t>
            </w:r>
          </w:p>
        </w:tc>
        <w:tc>
          <w:tcPr>
            <w:tcW w:w="1180" w:type="dxa"/>
            <w:tcBorders>
              <w:top w:val="nil"/>
              <w:left w:val="nil"/>
              <w:bottom w:val="single" w:sz="4" w:space="0" w:color="auto"/>
              <w:right w:val="single" w:sz="4" w:space="0" w:color="auto"/>
            </w:tcBorders>
            <w:shd w:val="clear" w:color="auto" w:fill="auto"/>
            <w:noWrap/>
            <w:vAlign w:val="bottom"/>
            <w:hideMark/>
          </w:tcPr>
          <w:p w14:paraId="0B48D4C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12 934</w:t>
            </w:r>
          </w:p>
        </w:tc>
        <w:tc>
          <w:tcPr>
            <w:tcW w:w="1180" w:type="dxa"/>
            <w:tcBorders>
              <w:top w:val="nil"/>
              <w:left w:val="nil"/>
              <w:bottom w:val="single" w:sz="4" w:space="0" w:color="auto"/>
              <w:right w:val="single" w:sz="4" w:space="0" w:color="auto"/>
            </w:tcBorders>
            <w:shd w:val="clear" w:color="auto" w:fill="auto"/>
            <w:noWrap/>
            <w:vAlign w:val="bottom"/>
            <w:hideMark/>
          </w:tcPr>
          <w:p w14:paraId="041881C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11 696</w:t>
            </w:r>
          </w:p>
        </w:tc>
        <w:tc>
          <w:tcPr>
            <w:tcW w:w="1300" w:type="dxa"/>
            <w:tcBorders>
              <w:top w:val="nil"/>
              <w:left w:val="nil"/>
              <w:bottom w:val="single" w:sz="4" w:space="0" w:color="auto"/>
              <w:right w:val="single" w:sz="4" w:space="0" w:color="auto"/>
            </w:tcBorders>
            <w:shd w:val="clear" w:color="auto" w:fill="auto"/>
            <w:noWrap/>
            <w:vAlign w:val="bottom"/>
            <w:hideMark/>
          </w:tcPr>
          <w:p w14:paraId="3B37B02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23 300</w:t>
            </w:r>
          </w:p>
        </w:tc>
      </w:tr>
      <w:tr w:rsidR="00E61582" w:rsidRPr="00E61582" w14:paraId="1EB6D822"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3C58D39B"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AiM</w:t>
            </w:r>
          </w:p>
        </w:tc>
        <w:tc>
          <w:tcPr>
            <w:tcW w:w="1300" w:type="dxa"/>
            <w:tcBorders>
              <w:top w:val="nil"/>
              <w:left w:val="nil"/>
              <w:bottom w:val="single" w:sz="4" w:space="0" w:color="auto"/>
              <w:right w:val="single" w:sz="4" w:space="0" w:color="auto"/>
            </w:tcBorders>
            <w:shd w:val="clear" w:color="auto" w:fill="auto"/>
            <w:noWrap/>
            <w:vAlign w:val="bottom"/>
            <w:hideMark/>
          </w:tcPr>
          <w:p w14:paraId="36BAB2E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24 271</w:t>
            </w:r>
          </w:p>
        </w:tc>
        <w:tc>
          <w:tcPr>
            <w:tcW w:w="1180" w:type="dxa"/>
            <w:tcBorders>
              <w:top w:val="nil"/>
              <w:left w:val="nil"/>
              <w:bottom w:val="single" w:sz="4" w:space="0" w:color="auto"/>
              <w:right w:val="single" w:sz="4" w:space="0" w:color="auto"/>
            </w:tcBorders>
            <w:shd w:val="clear" w:color="auto" w:fill="auto"/>
            <w:noWrap/>
            <w:vAlign w:val="bottom"/>
            <w:hideMark/>
          </w:tcPr>
          <w:p w14:paraId="336E40B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34 981</w:t>
            </w:r>
          </w:p>
        </w:tc>
        <w:tc>
          <w:tcPr>
            <w:tcW w:w="1180" w:type="dxa"/>
            <w:tcBorders>
              <w:top w:val="nil"/>
              <w:left w:val="nil"/>
              <w:bottom w:val="single" w:sz="4" w:space="0" w:color="auto"/>
              <w:right w:val="single" w:sz="4" w:space="0" w:color="auto"/>
            </w:tcBorders>
            <w:shd w:val="clear" w:color="auto" w:fill="auto"/>
            <w:noWrap/>
            <w:vAlign w:val="bottom"/>
            <w:hideMark/>
          </w:tcPr>
          <w:p w14:paraId="27B50BB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37 983</w:t>
            </w:r>
          </w:p>
        </w:tc>
        <w:tc>
          <w:tcPr>
            <w:tcW w:w="1300" w:type="dxa"/>
            <w:tcBorders>
              <w:top w:val="nil"/>
              <w:left w:val="nil"/>
              <w:bottom w:val="single" w:sz="4" w:space="0" w:color="auto"/>
              <w:right w:val="single" w:sz="4" w:space="0" w:color="auto"/>
            </w:tcBorders>
            <w:shd w:val="clear" w:color="auto" w:fill="auto"/>
            <w:noWrap/>
            <w:vAlign w:val="bottom"/>
            <w:hideMark/>
          </w:tcPr>
          <w:p w14:paraId="67901D0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29 900</w:t>
            </w:r>
          </w:p>
        </w:tc>
      </w:tr>
      <w:tr w:rsidR="00E61582" w:rsidRPr="00E61582" w14:paraId="7F5EE0BE"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678E5F79"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LM</w:t>
            </w:r>
          </w:p>
        </w:tc>
        <w:tc>
          <w:tcPr>
            <w:tcW w:w="1300" w:type="dxa"/>
            <w:tcBorders>
              <w:top w:val="nil"/>
              <w:left w:val="nil"/>
              <w:bottom w:val="single" w:sz="4" w:space="0" w:color="auto"/>
              <w:right w:val="single" w:sz="4" w:space="0" w:color="auto"/>
            </w:tcBorders>
            <w:shd w:val="clear" w:color="auto" w:fill="auto"/>
            <w:noWrap/>
            <w:vAlign w:val="bottom"/>
            <w:hideMark/>
          </w:tcPr>
          <w:p w14:paraId="5BF19DF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29 633</w:t>
            </w:r>
          </w:p>
        </w:tc>
        <w:tc>
          <w:tcPr>
            <w:tcW w:w="1180" w:type="dxa"/>
            <w:tcBorders>
              <w:top w:val="nil"/>
              <w:left w:val="nil"/>
              <w:bottom w:val="single" w:sz="4" w:space="0" w:color="auto"/>
              <w:right w:val="single" w:sz="4" w:space="0" w:color="auto"/>
            </w:tcBorders>
            <w:shd w:val="clear" w:color="auto" w:fill="auto"/>
            <w:noWrap/>
            <w:vAlign w:val="bottom"/>
            <w:hideMark/>
          </w:tcPr>
          <w:p w14:paraId="5F45F3F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27 550</w:t>
            </w:r>
          </w:p>
        </w:tc>
        <w:tc>
          <w:tcPr>
            <w:tcW w:w="1180" w:type="dxa"/>
            <w:tcBorders>
              <w:top w:val="nil"/>
              <w:left w:val="nil"/>
              <w:bottom w:val="single" w:sz="4" w:space="0" w:color="auto"/>
              <w:right w:val="single" w:sz="4" w:space="0" w:color="auto"/>
            </w:tcBorders>
            <w:shd w:val="clear" w:color="auto" w:fill="auto"/>
            <w:noWrap/>
            <w:vAlign w:val="bottom"/>
            <w:hideMark/>
          </w:tcPr>
          <w:p w14:paraId="19ADC99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29 030</w:t>
            </w:r>
          </w:p>
        </w:tc>
        <w:tc>
          <w:tcPr>
            <w:tcW w:w="1300" w:type="dxa"/>
            <w:tcBorders>
              <w:top w:val="nil"/>
              <w:left w:val="nil"/>
              <w:bottom w:val="single" w:sz="4" w:space="0" w:color="auto"/>
              <w:right w:val="single" w:sz="4" w:space="0" w:color="auto"/>
            </w:tcBorders>
            <w:shd w:val="clear" w:color="auto" w:fill="auto"/>
            <w:noWrap/>
            <w:vAlign w:val="bottom"/>
            <w:hideMark/>
          </w:tcPr>
          <w:p w14:paraId="3B1A69F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29 382</w:t>
            </w:r>
          </w:p>
        </w:tc>
      </w:tr>
      <w:tr w:rsidR="00E61582" w:rsidRPr="00E61582" w14:paraId="2F3051BF"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75E0E0F1"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VM</w:t>
            </w:r>
          </w:p>
        </w:tc>
        <w:tc>
          <w:tcPr>
            <w:tcW w:w="1300" w:type="dxa"/>
            <w:tcBorders>
              <w:top w:val="nil"/>
              <w:left w:val="nil"/>
              <w:bottom w:val="single" w:sz="4" w:space="0" w:color="auto"/>
              <w:right w:val="single" w:sz="4" w:space="0" w:color="auto"/>
            </w:tcBorders>
            <w:shd w:val="clear" w:color="auto" w:fill="auto"/>
            <w:noWrap/>
            <w:vAlign w:val="bottom"/>
            <w:hideMark/>
          </w:tcPr>
          <w:p w14:paraId="4F226A9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20 564</w:t>
            </w:r>
          </w:p>
        </w:tc>
        <w:tc>
          <w:tcPr>
            <w:tcW w:w="1180" w:type="dxa"/>
            <w:tcBorders>
              <w:top w:val="nil"/>
              <w:left w:val="nil"/>
              <w:bottom w:val="single" w:sz="4" w:space="0" w:color="auto"/>
              <w:right w:val="single" w:sz="4" w:space="0" w:color="auto"/>
            </w:tcBorders>
            <w:shd w:val="clear" w:color="auto" w:fill="auto"/>
            <w:noWrap/>
            <w:vAlign w:val="bottom"/>
            <w:hideMark/>
          </w:tcPr>
          <w:p w14:paraId="765F47F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19 737</w:t>
            </w:r>
          </w:p>
        </w:tc>
        <w:tc>
          <w:tcPr>
            <w:tcW w:w="1180" w:type="dxa"/>
            <w:tcBorders>
              <w:top w:val="nil"/>
              <w:left w:val="nil"/>
              <w:bottom w:val="single" w:sz="4" w:space="0" w:color="auto"/>
              <w:right w:val="single" w:sz="4" w:space="0" w:color="auto"/>
            </w:tcBorders>
            <w:shd w:val="clear" w:color="auto" w:fill="auto"/>
            <w:noWrap/>
            <w:vAlign w:val="bottom"/>
            <w:hideMark/>
          </w:tcPr>
          <w:p w14:paraId="4058C24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19 407</w:t>
            </w:r>
          </w:p>
        </w:tc>
        <w:tc>
          <w:tcPr>
            <w:tcW w:w="1300" w:type="dxa"/>
            <w:tcBorders>
              <w:top w:val="nil"/>
              <w:left w:val="nil"/>
              <w:bottom w:val="single" w:sz="4" w:space="0" w:color="auto"/>
              <w:right w:val="single" w:sz="4" w:space="0" w:color="auto"/>
            </w:tcBorders>
            <w:shd w:val="clear" w:color="auto" w:fill="auto"/>
            <w:noWrap/>
            <w:vAlign w:val="bottom"/>
            <w:hideMark/>
          </w:tcPr>
          <w:p w14:paraId="2821AE8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16 145</w:t>
            </w:r>
          </w:p>
        </w:tc>
      </w:tr>
      <w:tr w:rsidR="00E61582" w:rsidRPr="00E61582" w14:paraId="376136BF"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6BBCDFC8"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VARAM</w:t>
            </w:r>
          </w:p>
        </w:tc>
        <w:tc>
          <w:tcPr>
            <w:tcW w:w="1300" w:type="dxa"/>
            <w:tcBorders>
              <w:top w:val="nil"/>
              <w:left w:val="nil"/>
              <w:bottom w:val="single" w:sz="4" w:space="0" w:color="auto"/>
              <w:right w:val="single" w:sz="4" w:space="0" w:color="auto"/>
            </w:tcBorders>
            <w:shd w:val="clear" w:color="auto" w:fill="auto"/>
            <w:noWrap/>
            <w:vAlign w:val="bottom"/>
            <w:hideMark/>
          </w:tcPr>
          <w:p w14:paraId="47E1DBD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51 964</w:t>
            </w:r>
          </w:p>
        </w:tc>
        <w:tc>
          <w:tcPr>
            <w:tcW w:w="1180" w:type="dxa"/>
            <w:tcBorders>
              <w:top w:val="nil"/>
              <w:left w:val="nil"/>
              <w:bottom w:val="single" w:sz="4" w:space="0" w:color="auto"/>
              <w:right w:val="single" w:sz="4" w:space="0" w:color="auto"/>
            </w:tcBorders>
            <w:shd w:val="clear" w:color="auto" w:fill="auto"/>
            <w:noWrap/>
            <w:vAlign w:val="bottom"/>
            <w:hideMark/>
          </w:tcPr>
          <w:p w14:paraId="3EBC8FD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62 386</w:t>
            </w:r>
          </w:p>
        </w:tc>
        <w:tc>
          <w:tcPr>
            <w:tcW w:w="1180" w:type="dxa"/>
            <w:tcBorders>
              <w:top w:val="nil"/>
              <w:left w:val="nil"/>
              <w:bottom w:val="single" w:sz="4" w:space="0" w:color="auto"/>
              <w:right w:val="single" w:sz="4" w:space="0" w:color="auto"/>
            </w:tcBorders>
            <w:shd w:val="clear" w:color="auto" w:fill="auto"/>
            <w:noWrap/>
            <w:vAlign w:val="bottom"/>
            <w:hideMark/>
          </w:tcPr>
          <w:p w14:paraId="62E6194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11 183</w:t>
            </w:r>
          </w:p>
        </w:tc>
        <w:tc>
          <w:tcPr>
            <w:tcW w:w="1300" w:type="dxa"/>
            <w:tcBorders>
              <w:top w:val="nil"/>
              <w:left w:val="nil"/>
              <w:bottom w:val="single" w:sz="4" w:space="0" w:color="auto"/>
              <w:right w:val="single" w:sz="4" w:space="0" w:color="auto"/>
            </w:tcBorders>
            <w:shd w:val="clear" w:color="auto" w:fill="auto"/>
            <w:noWrap/>
            <w:vAlign w:val="bottom"/>
            <w:hideMark/>
          </w:tcPr>
          <w:p w14:paraId="3065405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11 960</w:t>
            </w:r>
          </w:p>
        </w:tc>
      </w:tr>
      <w:tr w:rsidR="00E61582" w:rsidRPr="00E61582" w14:paraId="465FF673"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277E16A1"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FM</w:t>
            </w:r>
          </w:p>
        </w:tc>
        <w:tc>
          <w:tcPr>
            <w:tcW w:w="1300" w:type="dxa"/>
            <w:tcBorders>
              <w:top w:val="nil"/>
              <w:left w:val="nil"/>
              <w:bottom w:val="single" w:sz="4" w:space="0" w:color="auto"/>
              <w:right w:val="single" w:sz="4" w:space="0" w:color="auto"/>
            </w:tcBorders>
            <w:shd w:val="clear" w:color="auto" w:fill="auto"/>
            <w:noWrap/>
            <w:vAlign w:val="bottom"/>
            <w:hideMark/>
          </w:tcPr>
          <w:p w14:paraId="2B36DEC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3 942</w:t>
            </w:r>
          </w:p>
        </w:tc>
        <w:tc>
          <w:tcPr>
            <w:tcW w:w="1180" w:type="dxa"/>
            <w:tcBorders>
              <w:top w:val="nil"/>
              <w:left w:val="nil"/>
              <w:bottom w:val="single" w:sz="4" w:space="0" w:color="auto"/>
              <w:right w:val="single" w:sz="4" w:space="0" w:color="auto"/>
            </w:tcBorders>
            <w:shd w:val="clear" w:color="auto" w:fill="auto"/>
            <w:noWrap/>
            <w:vAlign w:val="bottom"/>
            <w:hideMark/>
          </w:tcPr>
          <w:p w14:paraId="730D4C4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2 753</w:t>
            </w:r>
          </w:p>
        </w:tc>
        <w:tc>
          <w:tcPr>
            <w:tcW w:w="1180" w:type="dxa"/>
            <w:tcBorders>
              <w:top w:val="nil"/>
              <w:left w:val="nil"/>
              <w:bottom w:val="single" w:sz="4" w:space="0" w:color="auto"/>
              <w:right w:val="single" w:sz="4" w:space="0" w:color="auto"/>
            </w:tcBorders>
            <w:shd w:val="clear" w:color="auto" w:fill="auto"/>
            <w:noWrap/>
            <w:vAlign w:val="bottom"/>
            <w:hideMark/>
          </w:tcPr>
          <w:p w14:paraId="60347E1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1 373</w:t>
            </w:r>
          </w:p>
        </w:tc>
        <w:tc>
          <w:tcPr>
            <w:tcW w:w="1300" w:type="dxa"/>
            <w:tcBorders>
              <w:top w:val="nil"/>
              <w:left w:val="nil"/>
              <w:bottom w:val="single" w:sz="4" w:space="0" w:color="auto"/>
              <w:right w:val="single" w:sz="4" w:space="0" w:color="auto"/>
            </w:tcBorders>
            <w:shd w:val="clear" w:color="auto" w:fill="auto"/>
            <w:noWrap/>
            <w:vAlign w:val="bottom"/>
            <w:hideMark/>
          </w:tcPr>
          <w:p w14:paraId="58D6E01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12 222</w:t>
            </w:r>
          </w:p>
        </w:tc>
      </w:tr>
      <w:tr w:rsidR="00E61582" w:rsidRPr="00E61582" w14:paraId="0A6711F1"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6A7E6BAC"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ĀM</w:t>
            </w:r>
          </w:p>
        </w:tc>
        <w:tc>
          <w:tcPr>
            <w:tcW w:w="1300" w:type="dxa"/>
            <w:tcBorders>
              <w:top w:val="nil"/>
              <w:left w:val="nil"/>
              <w:bottom w:val="single" w:sz="4" w:space="0" w:color="auto"/>
              <w:right w:val="single" w:sz="4" w:space="0" w:color="auto"/>
            </w:tcBorders>
            <w:shd w:val="clear" w:color="auto" w:fill="auto"/>
            <w:noWrap/>
            <w:vAlign w:val="bottom"/>
            <w:hideMark/>
          </w:tcPr>
          <w:p w14:paraId="0EF593C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4 064</w:t>
            </w:r>
          </w:p>
        </w:tc>
        <w:tc>
          <w:tcPr>
            <w:tcW w:w="1180" w:type="dxa"/>
            <w:tcBorders>
              <w:top w:val="nil"/>
              <w:left w:val="nil"/>
              <w:bottom w:val="single" w:sz="4" w:space="0" w:color="auto"/>
              <w:right w:val="single" w:sz="4" w:space="0" w:color="auto"/>
            </w:tcBorders>
            <w:shd w:val="clear" w:color="auto" w:fill="auto"/>
            <w:noWrap/>
            <w:vAlign w:val="bottom"/>
            <w:hideMark/>
          </w:tcPr>
          <w:p w14:paraId="7E33218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4 400</w:t>
            </w:r>
          </w:p>
        </w:tc>
        <w:tc>
          <w:tcPr>
            <w:tcW w:w="1180" w:type="dxa"/>
            <w:tcBorders>
              <w:top w:val="nil"/>
              <w:left w:val="nil"/>
              <w:bottom w:val="single" w:sz="4" w:space="0" w:color="auto"/>
              <w:right w:val="single" w:sz="4" w:space="0" w:color="auto"/>
            </w:tcBorders>
            <w:shd w:val="clear" w:color="auto" w:fill="auto"/>
            <w:noWrap/>
            <w:vAlign w:val="bottom"/>
            <w:hideMark/>
          </w:tcPr>
          <w:p w14:paraId="0A99B83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4 650</w:t>
            </w:r>
          </w:p>
        </w:tc>
        <w:tc>
          <w:tcPr>
            <w:tcW w:w="1300" w:type="dxa"/>
            <w:tcBorders>
              <w:top w:val="nil"/>
              <w:left w:val="nil"/>
              <w:bottom w:val="single" w:sz="4" w:space="0" w:color="auto"/>
              <w:right w:val="single" w:sz="4" w:space="0" w:color="auto"/>
            </w:tcBorders>
            <w:shd w:val="clear" w:color="auto" w:fill="auto"/>
            <w:noWrap/>
            <w:vAlign w:val="bottom"/>
            <w:hideMark/>
          </w:tcPr>
          <w:p w14:paraId="463C17B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4 650</w:t>
            </w:r>
          </w:p>
        </w:tc>
      </w:tr>
      <w:tr w:rsidR="00E61582" w:rsidRPr="00E61582" w14:paraId="59599167" w14:textId="77777777" w:rsidTr="006F76FD">
        <w:trPr>
          <w:trHeight w:val="300"/>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2F27F616"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IeM</w:t>
            </w:r>
          </w:p>
        </w:tc>
        <w:tc>
          <w:tcPr>
            <w:tcW w:w="1300" w:type="dxa"/>
            <w:tcBorders>
              <w:top w:val="nil"/>
              <w:left w:val="nil"/>
              <w:bottom w:val="single" w:sz="4" w:space="0" w:color="auto"/>
              <w:right w:val="single" w:sz="4" w:space="0" w:color="auto"/>
            </w:tcBorders>
            <w:shd w:val="clear" w:color="auto" w:fill="auto"/>
            <w:noWrap/>
            <w:vAlign w:val="bottom"/>
            <w:hideMark/>
          </w:tcPr>
          <w:p w14:paraId="2B1871E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2 415</w:t>
            </w:r>
          </w:p>
        </w:tc>
        <w:tc>
          <w:tcPr>
            <w:tcW w:w="1180" w:type="dxa"/>
            <w:tcBorders>
              <w:top w:val="nil"/>
              <w:left w:val="nil"/>
              <w:bottom w:val="single" w:sz="4" w:space="0" w:color="auto"/>
              <w:right w:val="single" w:sz="4" w:space="0" w:color="auto"/>
            </w:tcBorders>
            <w:shd w:val="clear" w:color="auto" w:fill="auto"/>
            <w:noWrap/>
            <w:vAlign w:val="bottom"/>
            <w:hideMark/>
          </w:tcPr>
          <w:p w14:paraId="63D752F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3 336</w:t>
            </w:r>
          </w:p>
        </w:tc>
        <w:tc>
          <w:tcPr>
            <w:tcW w:w="1180" w:type="dxa"/>
            <w:tcBorders>
              <w:top w:val="nil"/>
              <w:left w:val="nil"/>
              <w:bottom w:val="single" w:sz="4" w:space="0" w:color="auto"/>
              <w:right w:val="single" w:sz="4" w:space="0" w:color="auto"/>
            </w:tcBorders>
            <w:shd w:val="clear" w:color="auto" w:fill="auto"/>
            <w:noWrap/>
            <w:vAlign w:val="bottom"/>
            <w:hideMark/>
          </w:tcPr>
          <w:p w14:paraId="5696743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3 009</w:t>
            </w:r>
          </w:p>
        </w:tc>
        <w:tc>
          <w:tcPr>
            <w:tcW w:w="1300" w:type="dxa"/>
            <w:tcBorders>
              <w:top w:val="nil"/>
              <w:left w:val="nil"/>
              <w:bottom w:val="single" w:sz="4" w:space="0" w:color="auto"/>
              <w:right w:val="single" w:sz="4" w:space="0" w:color="auto"/>
            </w:tcBorders>
            <w:shd w:val="clear" w:color="auto" w:fill="auto"/>
            <w:noWrap/>
            <w:vAlign w:val="bottom"/>
            <w:hideMark/>
          </w:tcPr>
          <w:p w14:paraId="64F6564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3 415</w:t>
            </w:r>
          </w:p>
        </w:tc>
      </w:tr>
      <w:tr w:rsidR="00E61582" w:rsidRPr="00E61582" w14:paraId="3F5C73BB" w14:textId="77777777" w:rsidTr="006F76FD">
        <w:trPr>
          <w:trHeight w:val="271"/>
          <w:jc w:val="center"/>
        </w:trPr>
        <w:tc>
          <w:tcPr>
            <w:tcW w:w="2276" w:type="dxa"/>
            <w:tcBorders>
              <w:top w:val="nil"/>
              <w:left w:val="single" w:sz="4" w:space="0" w:color="auto"/>
              <w:bottom w:val="single" w:sz="4" w:space="0" w:color="auto"/>
              <w:right w:val="single" w:sz="4" w:space="0" w:color="auto"/>
            </w:tcBorders>
            <w:shd w:val="clear" w:color="auto" w:fill="auto"/>
            <w:vAlign w:val="bottom"/>
            <w:hideMark/>
          </w:tcPr>
          <w:p w14:paraId="5C2BF68E"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KOPĀ, ministrijas</w:t>
            </w:r>
          </w:p>
        </w:tc>
        <w:tc>
          <w:tcPr>
            <w:tcW w:w="1300" w:type="dxa"/>
            <w:tcBorders>
              <w:top w:val="nil"/>
              <w:left w:val="nil"/>
              <w:bottom w:val="single" w:sz="4" w:space="0" w:color="auto"/>
              <w:right w:val="single" w:sz="4" w:space="0" w:color="auto"/>
            </w:tcBorders>
            <w:shd w:val="clear" w:color="auto" w:fill="auto"/>
            <w:noWrap/>
            <w:vAlign w:val="bottom"/>
            <w:hideMark/>
          </w:tcPr>
          <w:p w14:paraId="1D9E9322"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1 594 460</w:t>
            </w:r>
          </w:p>
        </w:tc>
        <w:tc>
          <w:tcPr>
            <w:tcW w:w="1180" w:type="dxa"/>
            <w:tcBorders>
              <w:top w:val="nil"/>
              <w:left w:val="nil"/>
              <w:bottom w:val="single" w:sz="4" w:space="0" w:color="auto"/>
              <w:right w:val="single" w:sz="4" w:space="0" w:color="auto"/>
            </w:tcBorders>
            <w:shd w:val="clear" w:color="auto" w:fill="auto"/>
            <w:noWrap/>
            <w:vAlign w:val="bottom"/>
            <w:hideMark/>
          </w:tcPr>
          <w:p w14:paraId="677F4841"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1 672 103</w:t>
            </w:r>
          </w:p>
        </w:tc>
        <w:tc>
          <w:tcPr>
            <w:tcW w:w="1180" w:type="dxa"/>
            <w:tcBorders>
              <w:top w:val="nil"/>
              <w:left w:val="nil"/>
              <w:bottom w:val="single" w:sz="4" w:space="0" w:color="auto"/>
              <w:right w:val="single" w:sz="4" w:space="0" w:color="auto"/>
            </w:tcBorders>
            <w:shd w:val="clear" w:color="auto" w:fill="auto"/>
            <w:noWrap/>
            <w:vAlign w:val="bottom"/>
            <w:hideMark/>
          </w:tcPr>
          <w:p w14:paraId="1903DBB4"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1 436 641</w:t>
            </w:r>
          </w:p>
        </w:tc>
        <w:tc>
          <w:tcPr>
            <w:tcW w:w="1300" w:type="dxa"/>
            <w:tcBorders>
              <w:top w:val="nil"/>
              <w:left w:val="nil"/>
              <w:bottom w:val="single" w:sz="4" w:space="0" w:color="auto"/>
              <w:right w:val="single" w:sz="4" w:space="0" w:color="auto"/>
            </w:tcBorders>
            <w:shd w:val="clear" w:color="auto" w:fill="auto"/>
            <w:noWrap/>
            <w:vAlign w:val="bottom"/>
            <w:hideMark/>
          </w:tcPr>
          <w:p w14:paraId="4410460F"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1 693 534</w:t>
            </w:r>
          </w:p>
        </w:tc>
      </w:tr>
    </w:tbl>
    <w:p w14:paraId="58D0B54F" w14:textId="0D7D4C18" w:rsidR="00E61582" w:rsidRPr="00E61582" w:rsidRDefault="00E61582" w:rsidP="006F76FD">
      <w:pPr>
        <w:spacing w:before="240"/>
        <w:ind w:firstLine="720"/>
        <w:rPr>
          <w:lang w:val="lv-LV"/>
        </w:rPr>
      </w:pPr>
      <w:r w:rsidRPr="00E61582">
        <w:rPr>
          <w:lang w:val="lv-LV"/>
        </w:rPr>
        <w:t>Tabulā Nr. 2.1.4. redzams, ka vidēji no 2015. gada līdz 2019. gadam ministrijas kopā gada ietvaros EKK 2229 iz</w:t>
      </w:r>
      <w:r w:rsidR="00A80194">
        <w:rPr>
          <w:lang w:val="lv-LV"/>
        </w:rPr>
        <w:t>lietojušas</w:t>
      </w:r>
      <w:r w:rsidRPr="00E61582">
        <w:rPr>
          <w:lang w:val="lv-LV"/>
        </w:rPr>
        <w:t xml:space="preserve"> 1,6 milj. </w:t>
      </w:r>
      <w:r w:rsidRPr="00E61582">
        <w:rPr>
          <w:i/>
          <w:iCs/>
          <w:lang w:val="lv-LV"/>
        </w:rPr>
        <w:t>euro</w:t>
      </w:r>
      <w:r w:rsidRPr="00E61582">
        <w:rPr>
          <w:lang w:val="lv-LV"/>
        </w:rPr>
        <w:t xml:space="preserve">, līdzīgā apmērā izdevumi EKK 2229 bija 2019. gadā – 1,7 milj. </w:t>
      </w:r>
      <w:r w:rsidRPr="00E61582">
        <w:rPr>
          <w:i/>
          <w:iCs/>
          <w:lang w:val="lv-LV"/>
        </w:rPr>
        <w:t>euro</w:t>
      </w:r>
      <w:r w:rsidRPr="00E61582">
        <w:rPr>
          <w:lang w:val="lv-LV"/>
        </w:rPr>
        <w:t xml:space="preserve">, savukārt 2020. gadā ministrijas par pārējiem komunālajiem pakalpojumiem iztērējušas 1,4 milj. </w:t>
      </w:r>
      <w:r w:rsidRPr="00E61582">
        <w:rPr>
          <w:i/>
          <w:iCs/>
          <w:lang w:val="lv-LV"/>
        </w:rPr>
        <w:t>euro</w:t>
      </w:r>
      <w:r w:rsidRPr="00E61582">
        <w:rPr>
          <w:lang w:val="lv-LV"/>
        </w:rPr>
        <w:t xml:space="preserve">. Kopumā nav novērojamas būtiskas izmaiņas izdevumos. Jāpiemin, ka līdzīgās izdevumu kategorijas (EKK 2210 “Izdevumi par sakaru pakalpojumiem”, EKK 2223 “Izdevumi par elektroenerģiju”, EKK 2224 “Izdevumi par atkritumu savākšanu”) 2020. gadā izdevumi ir palielinājušies. Kā minēts iepriekš, šie izdevumi </w:t>
      </w:r>
      <w:r w:rsidRPr="00E61582">
        <w:rPr>
          <w:lang w:val="lv-LV"/>
        </w:rPr>
        <w:lastRenderedPageBreak/>
        <w:t>bieži vien ir fiksēti uz ilgāku laika posmu, taču ilgtermiņā pastāv iespēja, ka tie samazinās, ja tiek ieviesta darba organizācija attālināti.</w:t>
      </w:r>
    </w:p>
    <w:p w14:paraId="59C87283" w14:textId="77777777" w:rsidR="00E61582" w:rsidRPr="003B3AA2" w:rsidRDefault="00E61582" w:rsidP="00E61582">
      <w:pPr>
        <w:rPr>
          <w:lang w:val="lv-LV"/>
        </w:rPr>
      </w:pPr>
    </w:p>
    <w:p w14:paraId="79DDEB1F" w14:textId="77777777" w:rsidR="00E61582" w:rsidRPr="00E61582" w:rsidRDefault="00E61582" w:rsidP="00E61582">
      <w:pPr>
        <w:rPr>
          <w:u w:val="single"/>
          <w:lang w:val="lv-LV"/>
        </w:rPr>
      </w:pPr>
      <w:r w:rsidRPr="00E61582">
        <w:rPr>
          <w:u w:val="single"/>
          <w:lang w:val="lv-LV"/>
        </w:rPr>
        <w:t xml:space="preserve">EKK 2231 “Izdevumi iestādes sabiedrisko aktivitāšu īstenošanai” </w:t>
      </w:r>
    </w:p>
    <w:p w14:paraId="5191F4CE" w14:textId="77777777" w:rsidR="00E61582" w:rsidRPr="00E61582" w:rsidRDefault="00E61582" w:rsidP="00E61582">
      <w:pPr>
        <w:ind w:firstLine="720"/>
        <w:rPr>
          <w:lang w:val="lv-LV"/>
        </w:rPr>
      </w:pPr>
      <w:r w:rsidRPr="00E61582">
        <w:rPr>
          <w:lang w:val="lv-LV"/>
        </w:rPr>
        <w:t>EKK 2231 uzskaita iestādes izdevumus par saņemtajiem pakalpojumiem citu institūciju pārstāvju, iekšzemes un ārvalstu delegāciju un citu līdzīgu pasākumu saimnieciskai apkalpošanai; maksu par dalību iekšzemes un ārvalstu organizāciju pasākumos saistībā ar iestādes pārstāvēšanu; izdevumus pašvaldību un citu iestāžu dažādu pasākumu rīkošanai, kā arī citus izdevumus par pakalpojumiem sabiedrisko attiecību jomā, kā arī izdevumus citu sabiedrisko aktivitāšu īstenošanai</w:t>
      </w:r>
      <w:r w:rsidRPr="00E61582">
        <w:rPr>
          <w:rStyle w:val="FootnoteReference"/>
          <w:lang w:val="lv-LV"/>
        </w:rPr>
        <w:footnoteReference w:id="2"/>
      </w:r>
      <w:r w:rsidRPr="00E61582">
        <w:rPr>
          <w:lang w:val="lv-LV"/>
        </w:rPr>
        <w:t>.</w:t>
      </w:r>
    </w:p>
    <w:p w14:paraId="67695614" w14:textId="77777777" w:rsidR="00E61582" w:rsidRPr="00E61582" w:rsidRDefault="00E61582" w:rsidP="00E61582">
      <w:pPr>
        <w:jc w:val="center"/>
        <w:rPr>
          <w:b/>
          <w:bCs/>
          <w:sz w:val="22"/>
          <w:lang w:val="lv-LV"/>
        </w:rPr>
      </w:pPr>
      <w:r w:rsidRPr="00E61582">
        <w:rPr>
          <w:b/>
          <w:bCs/>
          <w:i/>
          <w:iCs/>
          <w:sz w:val="22"/>
          <w:lang w:val="lv-LV"/>
        </w:rPr>
        <w:t>2.1.3.</w:t>
      </w:r>
      <w:r w:rsidRPr="00E61582">
        <w:rPr>
          <w:sz w:val="22"/>
          <w:lang w:val="lv-LV"/>
        </w:rPr>
        <w:t xml:space="preserve"> </w:t>
      </w:r>
      <w:r w:rsidRPr="00E61582">
        <w:rPr>
          <w:b/>
          <w:bCs/>
          <w:i/>
          <w:iCs/>
          <w:sz w:val="22"/>
          <w:lang w:val="lv-LV"/>
        </w:rPr>
        <w:t>attēls</w:t>
      </w:r>
      <w:r w:rsidRPr="00E61582">
        <w:rPr>
          <w:b/>
          <w:bCs/>
          <w:sz w:val="22"/>
          <w:lang w:val="lv-LV"/>
        </w:rPr>
        <w:t xml:space="preserve"> EKK 2231 “Izdevumi iestādes sabiedrisko aktivitāšu īstenošanai” kopējo izdevumu dinamika</w:t>
      </w:r>
    </w:p>
    <w:p w14:paraId="4F1835E6" w14:textId="77777777" w:rsidR="00E61582" w:rsidRPr="00E61582" w:rsidRDefault="00E61582" w:rsidP="00E61582">
      <w:pPr>
        <w:jc w:val="center"/>
        <w:rPr>
          <w:b/>
          <w:bCs/>
          <w:lang w:val="lv-LV"/>
        </w:rPr>
      </w:pPr>
      <w:r w:rsidRPr="00E61582">
        <w:rPr>
          <w:b/>
          <w:bCs/>
          <w:noProof/>
          <w:lang w:val="lv-LV" w:eastAsia="lv-LV"/>
        </w:rPr>
        <w:drawing>
          <wp:inline distT="0" distB="0" distL="0" distR="0" wp14:anchorId="1AE455A3" wp14:editId="44B604C3">
            <wp:extent cx="5555411" cy="2294984"/>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9190" cy="2304807"/>
                    </a:xfrm>
                    <a:prstGeom prst="rect">
                      <a:avLst/>
                    </a:prstGeom>
                    <a:noFill/>
                  </pic:spPr>
                </pic:pic>
              </a:graphicData>
            </a:graphic>
          </wp:inline>
        </w:drawing>
      </w:r>
    </w:p>
    <w:p w14:paraId="6ED8A353" w14:textId="77777777" w:rsidR="00E61582" w:rsidRPr="00E61582" w:rsidRDefault="00E61582" w:rsidP="00E61582">
      <w:pPr>
        <w:ind w:firstLine="720"/>
        <w:rPr>
          <w:lang w:val="lv-LV"/>
        </w:rPr>
      </w:pPr>
      <w:r w:rsidRPr="00E61582">
        <w:rPr>
          <w:lang w:val="lv-LV"/>
        </w:rPr>
        <w:t>Līdz ar ārkārtējās situācijas sākumu 2020. gada 12. martā, izdevumi iestāžu sabiedrisko aktivitāšu īstenošanai krasi samazinājās, taču pēc tās beigām 2020. gada 10. jūnijā izdevumi pietuvinājās 2019. gada līmenim. Arī nākamās ārkārtējās situācijas laikā, izdevumi bija iepriekšējo gadu līmenī. Tas skaidrojams ar to, ka iestādes, pielāgojoties epidemioloģiskajai situācijai kā arī pastāvīgi apgūstot digitālās iespējas, pakāpeniski atsāka organizēt dažādas sabiedriskās aktivitātes gan klātienē laika periodos, kad epidemioloģiskā situācija to atļāva, gan attālināti, organizējot pasākumus un informatīvas kampaņas digitālajā vidē. Jāņem vērā arī fakts, ka veidojās papildus izmaksas sabiedrības informēšanai par epidemioloģisko situāciju valstī.</w:t>
      </w:r>
    </w:p>
    <w:p w14:paraId="07FEA124" w14:textId="77777777" w:rsidR="00E61582" w:rsidRPr="00E61582" w:rsidRDefault="00E61582" w:rsidP="00E61582">
      <w:pPr>
        <w:tabs>
          <w:tab w:val="left" w:pos="1612"/>
        </w:tabs>
        <w:jc w:val="center"/>
        <w:rPr>
          <w:lang w:val="lv-LV"/>
        </w:rPr>
      </w:pPr>
      <w:r w:rsidRPr="00E61582">
        <w:rPr>
          <w:b/>
          <w:bCs/>
          <w:i/>
          <w:iCs/>
          <w:sz w:val="22"/>
          <w:lang w:val="lv-LV"/>
        </w:rPr>
        <w:t>2.1.5. tabula</w:t>
      </w:r>
      <w:r w:rsidRPr="00E61582">
        <w:rPr>
          <w:b/>
          <w:bCs/>
          <w:sz w:val="22"/>
          <w:lang w:val="lv-LV"/>
        </w:rPr>
        <w:t xml:space="preserve"> EKK 2231 “Izdevumi iestādes sabiedrisko aktivitāšu īstenošanai” ministriju izdevumu dinamika</w:t>
      </w:r>
    </w:p>
    <w:tbl>
      <w:tblPr>
        <w:tblW w:w="7052" w:type="dxa"/>
        <w:jc w:val="center"/>
        <w:tblLook w:val="04A0" w:firstRow="1" w:lastRow="0" w:firstColumn="1" w:lastColumn="0" w:noHBand="0" w:noVBand="1"/>
      </w:tblPr>
      <w:tblGrid>
        <w:gridCol w:w="2092"/>
        <w:gridCol w:w="1240"/>
        <w:gridCol w:w="1200"/>
        <w:gridCol w:w="1220"/>
        <w:gridCol w:w="1300"/>
      </w:tblGrid>
      <w:tr w:rsidR="00E61582" w:rsidRPr="00E61582" w14:paraId="6BF13F75" w14:textId="77777777" w:rsidTr="006F76FD">
        <w:trPr>
          <w:trHeight w:val="855"/>
          <w:tblHeader/>
          <w:jc w:val="center"/>
        </w:trPr>
        <w:tc>
          <w:tcPr>
            <w:tcW w:w="2092"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E788A77" w14:textId="77777777" w:rsidR="00E61582" w:rsidRPr="00E61582" w:rsidRDefault="00E61582" w:rsidP="00E61582">
            <w:pPr>
              <w:spacing w:after="0" w:line="240" w:lineRule="auto"/>
              <w:rPr>
                <w:rFonts w:eastAsia="Times New Roman"/>
                <w:b/>
                <w:bCs/>
                <w:sz w:val="22"/>
                <w:lang w:val="lv-LV" w:eastAsia="lv-LV"/>
              </w:rPr>
            </w:pPr>
            <w:r w:rsidRPr="00E61582">
              <w:rPr>
                <w:rFonts w:eastAsia="Times New Roman"/>
                <w:b/>
                <w:bCs/>
                <w:sz w:val="22"/>
                <w:lang w:val="lv-LV" w:eastAsia="lv-LV"/>
              </w:rPr>
              <w:t> </w:t>
            </w:r>
          </w:p>
        </w:tc>
        <w:tc>
          <w:tcPr>
            <w:tcW w:w="1240" w:type="dxa"/>
            <w:tcBorders>
              <w:top w:val="single" w:sz="4" w:space="0" w:color="auto"/>
              <w:left w:val="nil"/>
              <w:bottom w:val="single" w:sz="4" w:space="0" w:color="auto"/>
              <w:right w:val="single" w:sz="4" w:space="0" w:color="auto"/>
            </w:tcBorders>
            <w:shd w:val="clear" w:color="000000" w:fill="C6E0B4"/>
            <w:vAlign w:val="center"/>
            <w:hideMark/>
          </w:tcPr>
          <w:p w14:paraId="0164CD67" w14:textId="1B3F0329"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vidēji 2015.-2019.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00" w:type="dxa"/>
            <w:tcBorders>
              <w:top w:val="single" w:sz="4" w:space="0" w:color="auto"/>
              <w:left w:val="nil"/>
              <w:bottom w:val="single" w:sz="4" w:space="0" w:color="auto"/>
              <w:right w:val="single" w:sz="4" w:space="0" w:color="auto"/>
            </w:tcBorders>
            <w:shd w:val="clear" w:color="000000" w:fill="C6E0B4"/>
            <w:vAlign w:val="center"/>
            <w:hideMark/>
          </w:tcPr>
          <w:p w14:paraId="1328978D" w14:textId="6CA154F7"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20" w:type="dxa"/>
            <w:tcBorders>
              <w:top w:val="single" w:sz="4" w:space="0" w:color="auto"/>
              <w:left w:val="nil"/>
              <w:bottom w:val="single" w:sz="4" w:space="0" w:color="auto"/>
              <w:right w:val="single" w:sz="4" w:space="0" w:color="auto"/>
            </w:tcBorders>
            <w:shd w:val="clear" w:color="000000" w:fill="C6E0B4"/>
            <w:vAlign w:val="center"/>
            <w:hideMark/>
          </w:tcPr>
          <w:p w14:paraId="174AB95E" w14:textId="58A9E314"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2020.</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300" w:type="dxa"/>
            <w:tcBorders>
              <w:top w:val="single" w:sz="4" w:space="0" w:color="auto"/>
              <w:left w:val="nil"/>
              <w:bottom w:val="single" w:sz="4" w:space="0" w:color="auto"/>
              <w:right w:val="single" w:sz="4" w:space="0" w:color="auto"/>
            </w:tcBorders>
            <w:shd w:val="clear" w:color="000000" w:fill="C6E0B4"/>
            <w:vAlign w:val="center"/>
            <w:hideMark/>
          </w:tcPr>
          <w:p w14:paraId="28B61285" w14:textId="06C716B6"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2021.</w:t>
            </w:r>
            <w:r w:rsidR="00FF342C">
              <w:rPr>
                <w:rFonts w:eastAsia="Times New Roman"/>
                <w:b/>
                <w:bCs/>
                <w:sz w:val="22"/>
                <w:lang w:val="lv-LV" w:eastAsia="lv-LV"/>
              </w:rPr>
              <w:t xml:space="preserve"> </w:t>
            </w:r>
            <w:r w:rsidRPr="00E61582">
              <w:rPr>
                <w:rFonts w:eastAsia="Times New Roman"/>
                <w:b/>
                <w:bCs/>
                <w:sz w:val="22"/>
                <w:lang w:val="lv-LV" w:eastAsia="lv-LV"/>
              </w:rPr>
              <w:t xml:space="preserve">gads (plāns), </w:t>
            </w:r>
            <w:r w:rsidRPr="00E61582">
              <w:rPr>
                <w:rFonts w:eastAsia="Times New Roman"/>
                <w:b/>
                <w:bCs/>
                <w:i/>
                <w:iCs/>
                <w:sz w:val="22"/>
                <w:lang w:val="lv-LV" w:eastAsia="lv-LV"/>
              </w:rPr>
              <w:t>euro</w:t>
            </w:r>
          </w:p>
        </w:tc>
      </w:tr>
      <w:tr w:rsidR="00E61582" w:rsidRPr="00E61582" w14:paraId="6D248AAA"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211C6A79"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EM</w:t>
            </w:r>
          </w:p>
        </w:tc>
        <w:tc>
          <w:tcPr>
            <w:tcW w:w="1240" w:type="dxa"/>
            <w:tcBorders>
              <w:top w:val="nil"/>
              <w:left w:val="nil"/>
              <w:bottom w:val="single" w:sz="4" w:space="0" w:color="auto"/>
              <w:right w:val="single" w:sz="4" w:space="0" w:color="auto"/>
            </w:tcBorders>
            <w:shd w:val="clear" w:color="auto" w:fill="auto"/>
            <w:noWrap/>
            <w:vAlign w:val="bottom"/>
            <w:hideMark/>
          </w:tcPr>
          <w:p w14:paraId="5A2D62A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402 113</w:t>
            </w:r>
          </w:p>
        </w:tc>
        <w:tc>
          <w:tcPr>
            <w:tcW w:w="1200" w:type="dxa"/>
            <w:tcBorders>
              <w:top w:val="nil"/>
              <w:left w:val="nil"/>
              <w:bottom w:val="single" w:sz="4" w:space="0" w:color="auto"/>
              <w:right w:val="single" w:sz="4" w:space="0" w:color="auto"/>
            </w:tcBorders>
            <w:shd w:val="clear" w:color="auto" w:fill="auto"/>
            <w:noWrap/>
            <w:vAlign w:val="bottom"/>
            <w:hideMark/>
          </w:tcPr>
          <w:p w14:paraId="1A2F3B9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668 397</w:t>
            </w:r>
          </w:p>
        </w:tc>
        <w:tc>
          <w:tcPr>
            <w:tcW w:w="1220" w:type="dxa"/>
            <w:tcBorders>
              <w:top w:val="nil"/>
              <w:left w:val="nil"/>
              <w:bottom w:val="single" w:sz="4" w:space="0" w:color="auto"/>
              <w:right w:val="single" w:sz="4" w:space="0" w:color="auto"/>
            </w:tcBorders>
            <w:shd w:val="clear" w:color="auto" w:fill="auto"/>
            <w:noWrap/>
            <w:vAlign w:val="bottom"/>
            <w:hideMark/>
          </w:tcPr>
          <w:p w14:paraId="210E31A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897 535</w:t>
            </w:r>
          </w:p>
        </w:tc>
        <w:tc>
          <w:tcPr>
            <w:tcW w:w="1300" w:type="dxa"/>
            <w:tcBorders>
              <w:top w:val="nil"/>
              <w:left w:val="nil"/>
              <w:bottom w:val="single" w:sz="4" w:space="0" w:color="auto"/>
              <w:right w:val="single" w:sz="4" w:space="0" w:color="auto"/>
            </w:tcBorders>
            <w:shd w:val="clear" w:color="auto" w:fill="auto"/>
            <w:noWrap/>
            <w:vAlign w:val="bottom"/>
            <w:hideMark/>
          </w:tcPr>
          <w:p w14:paraId="3892A72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3 482 280</w:t>
            </w:r>
          </w:p>
        </w:tc>
      </w:tr>
      <w:tr w:rsidR="00E61582" w:rsidRPr="00E61582" w14:paraId="1E38AB4A"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2DE89EBC"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IZM</w:t>
            </w:r>
          </w:p>
        </w:tc>
        <w:tc>
          <w:tcPr>
            <w:tcW w:w="1240" w:type="dxa"/>
            <w:tcBorders>
              <w:top w:val="nil"/>
              <w:left w:val="nil"/>
              <w:bottom w:val="single" w:sz="4" w:space="0" w:color="auto"/>
              <w:right w:val="single" w:sz="4" w:space="0" w:color="auto"/>
            </w:tcBorders>
            <w:shd w:val="clear" w:color="auto" w:fill="auto"/>
            <w:noWrap/>
            <w:vAlign w:val="bottom"/>
            <w:hideMark/>
          </w:tcPr>
          <w:p w14:paraId="501E594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1 069 573</w:t>
            </w:r>
          </w:p>
        </w:tc>
        <w:tc>
          <w:tcPr>
            <w:tcW w:w="1200" w:type="dxa"/>
            <w:tcBorders>
              <w:top w:val="nil"/>
              <w:left w:val="nil"/>
              <w:bottom w:val="single" w:sz="4" w:space="0" w:color="auto"/>
              <w:right w:val="single" w:sz="4" w:space="0" w:color="auto"/>
            </w:tcBorders>
            <w:shd w:val="clear" w:color="auto" w:fill="auto"/>
            <w:noWrap/>
            <w:vAlign w:val="bottom"/>
            <w:hideMark/>
          </w:tcPr>
          <w:p w14:paraId="3752ECF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495 390</w:t>
            </w:r>
          </w:p>
        </w:tc>
        <w:tc>
          <w:tcPr>
            <w:tcW w:w="1220" w:type="dxa"/>
            <w:tcBorders>
              <w:top w:val="nil"/>
              <w:left w:val="nil"/>
              <w:bottom w:val="single" w:sz="4" w:space="0" w:color="auto"/>
              <w:right w:val="single" w:sz="4" w:space="0" w:color="auto"/>
            </w:tcBorders>
            <w:shd w:val="clear" w:color="auto" w:fill="auto"/>
            <w:noWrap/>
            <w:vAlign w:val="bottom"/>
            <w:hideMark/>
          </w:tcPr>
          <w:p w14:paraId="035A0EE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462 428</w:t>
            </w:r>
          </w:p>
        </w:tc>
        <w:tc>
          <w:tcPr>
            <w:tcW w:w="1300" w:type="dxa"/>
            <w:tcBorders>
              <w:top w:val="nil"/>
              <w:left w:val="nil"/>
              <w:bottom w:val="single" w:sz="4" w:space="0" w:color="auto"/>
              <w:right w:val="single" w:sz="4" w:space="0" w:color="auto"/>
            </w:tcBorders>
            <w:shd w:val="clear" w:color="auto" w:fill="auto"/>
            <w:noWrap/>
            <w:vAlign w:val="bottom"/>
            <w:hideMark/>
          </w:tcPr>
          <w:p w14:paraId="30FABD3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3 961 163</w:t>
            </w:r>
          </w:p>
        </w:tc>
      </w:tr>
      <w:tr w:rsidR="00E61582" w:rsidRPr="00E61582" w14:paraId="404B90D9"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7F0FE8FB"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ĀM</w:t>
            </w:r>
          </w:p>
        </w:tc>
        <w:tc>
          <w:tcPr>
            <w:tcW w:w="1240" w:type="dxa"/>
            <w:tcBorders>
              <w:top w:val="nil"/>
              <w:left w:val="nil"/>
              <w:bottom w:val="single" w:sz="4" w:space="0" w:color="auto"/>
              <w:right w:val="single" w:sz="4" w:space="0" w:color="auto"/>
            </w:tcBorders>
            <w:shd w:val="clear" w:color="auto" w:fill="auto"/>
            <w:noWrap/>
            <w:vAlign w:val="bottom"/>
            <w:hideMark/>
          </w:tcPr>
          <w:p w14:paraId="2069E0B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2 259 822</w:t>
            </w:r>
          </w:p>
        </w:tc>
        <w:tc>
          <w:tcPr>
            <w:tcW w:w="1200" w:type="dxa"/>
            <w:tcBorders>
              <w:top w:val="nil"/>
              <w:left w:val="nil"/>
              <w:bottom w:val="single" w:sz="4" w:space="0" w:color="auto"/>
              <w:right w:val="single" w:sz="4" w:space="0" w:color="auto"/>
            </w:tcBorders>
            <w:shd w:val="clear" w:color="auto" w:fill="auto"/>
            <w:noWrap/>
            <w:vAlign w:val="bottom"/>
            <w:hideMark/>
          </w:tcPr>
          <w:p w14:paraId="18DFA0B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784 339</w:t>
            </w:r>
          </w:p>
        </w:tc>
        <w:tc>
          <w:tcPr>
            <w:tcW w:w="1220" w:type="dxa"/>
            <w:tcBorders>
              <w:top w:val="nil"/>
              <w:left w:val="nil"/>
              <w:bottom w:val="single" w:sz="4" w:space="0" w:color="auto"/>
              <w:right w:val="single" w:sz="4" w:space="0" w:color="auto"/>
            </w:tcBorders>
            <w:shd w:val="clear" w:color="auto" w:fill="auto"/>
            <w:noWrap/>
            <w:vAlign w:val="bottom"/>
            <w:hideMark/>
          </w:tcPr>
          <w:p w14:paraId="5625F94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258 786</w:t>
            </w:r>
          </w:p>
        </w:tc>
        <w:tc>
          <w:tcPr>
            <w:tcW w:w="1300" w:type="dxa"/>
            <w:tcBorders>
              <w:top w:val="nil"/>
              <w:left w:val="nil"/>
              <w:bottom w:val="single" w:sz="4" w:space="0" w:color="auto"/>
              <w:right w:val="single" w:sz="4" w:space="0" w:color="auto"/>
            </w:tcBorders>
            <w:shd w:val="clear" w:color="auto" w:fill="auto"/>
            <w:noWrap/>
            <w:vAlign w:val="bottom"/>
            <w:hideMark/>
          </w:tcPr>
          <w:p w14:paraId="09D80BD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3 069 983</w:t>
            </w:r>
          </w:p>
        </w:tc>
      </w:tr>
      <w:tr w:rsidR="00E61582" w:rsidRPr="00E61582" w14:paraId="4A039789"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2E00A8D4"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lastRenderedPageBreak/>
              <w:t>VM</w:t>
            </w:r>
          </w:p>
        </w:tc>
        <w:tc>
          <w:tcPr>
            <w:tcW w:w="1240" w:type="dxa"/>
            <w:tcBorders>
              <w:top w:val="nil"/>
              <w:left w:val="nil"/>
              <w:bottom w:val="single" w:sz="4" w:space="0" w:color="auto"/>
              <w:right w:val="single" w:sz="4" w:space="0" w:color="auto"/>
            </w:tcBorders>
            <w:shd w:val="clear" w:color="auto" w:fill="auto"/>
            <w:noWrap/>
            <w:vAlign w:val="bottom"/>
            <w:hideMark/>
          </w:tcPr>
          <w:p w14:paraId="6A59983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118 354</w:t>
            </w:r>
          </w:p>
        </w:tc>
        <w:tc>
          <w:tcPr>
            <w:tcW w:w="1200" w:type="dxa"/>
            <w:tcBorders>
              <w:top w:val="nil"/>
              <w:left w:val="nil"/>
              <w:bottom w:val="single" w:sz="4" w:space="0" w:color="auto"/>
              <w:right w:val="single" w:sz="4" w:space="0" w:color="auto"/>
            </w:tcBorders>
            <w:shd w:val="clear" w:color="auto" w:fill="auto"/>
            <w:noWrap/>
            <w:vAlign w:val="bottom"/>
            <w:hideMark/>
          </w:tcPr>
          <w:p w14:paraId="0A326A7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79 935</w:t>
            </w:r>
          </w:p>
        </w:tc>
        <w:tc>
          <w:tcPr>
            <w:tcW w:w="1220" w:type="dxa"/>
            <w:tcBorders>
              <w:top w:val="nil"/>
              <w:left w:val="nil"/>
              <w:bottom w:val="single" w:sz="4" w:space="0" w:color="auto"/>
              <w:right w:val="single" w:sz="4" w:space="0" w:color="auto"/>
            </w:tcBorders>
            <w:shd w:val="clear" w:color="auto" w:fill="auto"/>
            <w:noWrap/>
            <w:vAlign w:val="bottom"/>
            <w:hideMark/>
          </w:tcPr>
          <w:p w14:paraId="4B2A952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634 665</w:t>
            </w:r>
          </w:p>
        </w:tc>
        <w:tc>
          <w:tcPr>
            <w:tcW w:w="1300" w:type="dxa"/>
            <w:tcBorders>
              <w:top w:val="nil"/>
              <w:left w:val="nil"/>
              <w:bottom w:val="single" w:sz="4" w:space="0" w:color="auto"/>
              <w:right w:val="single" w:sz="4" w:space="0" w:color="auto"/>
            </w:tcBorders>
            <w:shd w:val="clear" w:color="auto" w:fill="auto"/>
            <w:noWrap/>
            <w:vAlign w:val="bottom"/>
            <w:hideMark/>
          </w:tcPr>
          <w:p w14:paraId="3BA87E5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735 889</w:t>
            </w:r>
          </w:p>
        </w:tc>
      </w:tr>
      <w:tr w:rsidR="00E61582" w:rsidRPr="00E61582" w14:paraId="57B5CF89"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06D94B00"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AiM</w:t>
            </w:r>
          </w:p>
        </w:tc>
        <w:tc>
          <w:tcPr>
            <w:tcW w:w="1240" w:type="dxa"/>
            <w:tcBorders>
              <w:top w:val="nil"/>
              <w:left w:val="nil"/>
              <w:bottom w:val="single" w:sz="4" w:space="0" w:color="auto"/>
              <w:right w:val="single" w:sz="4" w:space="0" w:color="auto"/>
            </w:tcBorders>
            <w:shd w:val="clear" w:color="auto" w:fill="auto"/>
            <w:noWrap/>
            <w:vAlign w:val="bottom"/>
            <w:hideMark/>
          </w:tcPr>
          <w:p w14:paraId="591EE58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1 040 410</w:t>
            </w:r>
          </w:p>
        </w:tc>
        <w:tc>
          <w:tcPr>
            <w:tcW w:w="1200" w:type="dxa"/>
            <w:tcBorders>
              <w:top w:val="nil"/>
              <w:left w:val="nil"/>
              <w:bottom w:val="single" w:sz="4" w:space="0" w:color="auto"/>
              <w:right w:val="single" w:sz="4" w:space="0" w:color="auto"/>
            </w:tcBorders>
            <w:shd w:val="clear" w:color="auto" w:fill="auto"/>
            <w:noWrap/>
            <w:vAlign w:val="bottom"/>
            <w:hideMark/>
          </w:tcPr>
          <w:p w14:paraId="1157BA5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1 398 678</w:t>
            </w:r>
          </w:p>
        </w:tc>
        <w:tc>
          <w:tcPr>
            <w:tcW w:w="1220" w:type="dxa"/>
            <w:tcBorders>
              <w:top w:val="nil"/>
              <w:left w:val="nil"/>
              <w:bottom w:val="single" w:sz="4" w:space="0" w:color="auto"/>
              <w:right w:val="single" w:sz="4" w:space="0" w:color="auto"/>
            </w:tcBorders>
            <w:shd w:val="clear" w:color="auto" w:fill="auto"/>
            <w:noWrap/>
            <w:vAlign w:val="bottom"/>
            <w:hideMark/>
          </w:tcPr>
          <w:p w14:paraId="6D95719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699 546</w:t>
            </w:r>
          </w:p>
        </w:tc>
        <w:tc>
          <w:tcPr>
            <w:tcW w:w="1300" w:type="dxa"/>
            <w:tcBorders>
              <w:top w:val="nil"/>
              <w:left w:val="nil"/>
              <w:bottom w:val="single" w:sz="4" w:space="0" w:color="auto"/>
              <w:right w:val="single" w:sz="4" w:space="0" w:color="auto"/>
            </w:tcBorders>
            <w:shd w:val="clear" w:color="auto" w:fill="auto"/>
            <w:noWrap/>
            <w:vAlign w:val="bottom"/>
            <w:hideMark/>
          </w:tcPr>
          <w:p w14:paraId="193314E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2 100 275</w:t>
            </w:r>
          </w:p>
        </w:tc>
      </w:tr>
      <w:tr w:rsidR="00E61582" w:rsidRPr="00E61582" w14:paraId="67E2E10F"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74E7B101"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VARAM</w:t>
            </w:r>
          </w:p>
        </w:tc>
        <w:tc>
          <w:tcPr>
            <w:tcW w:w="1240" w:type="dxa"/>
            <w:tcBorders>
              <w:top w:val="nil"/>
              <w:left w:val="nil"/>
              <w:bottom w:val="single" w:sz="4" w:space="0" w:color="auto"/>
              <w:right w:val="single" w:sz="4" w:space="0" w:color="auto"/>
            </w:tcBorders>
            <w:shd w:val="clear" w:color="auto" w:fill="auto"/>
            <w:noWrap/>
            <w:vAlign w:val="bottom"/>
            <w:hideMark/>
          </w:tcPr>
          <w:p w14:paraId="777E655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283 082</w:t>
            </w:r>
          </w:p>
        </w:tc>
        <w:tc>
          <w:tcPr>
            <w:tcW w:w="1200" w:type="dxa"/>
            <w:tcBorders>
              <w:top w:val="nil"/>
              <w:left w:val="nil"/>
              <w:bottom w:val="single" w:sz="4" w:space="0" w:color="auto"/>
              <w:right w:val="single" w:sz="4" w:space="0" w:color="auto"/>
            </w:tcBorders>
            <w:shd w:val="clear" w:color="auto" w:fill="auto"/>
            <w:noWrap/>
            <w:vAlign w:val="bottom"/>
            <w:hideMark/>
          </w:tcPr>
          <w:p w14:paraId="47022BF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605 272</w:t>
            </w:r>
          </w:p>
        </w:tc>
        <w:tc>
          <w:tcPr>
            <w:tcW w:w="1220" w:type="dxa"/>
            <w:tcBorders>
              <w:top w:val="nil"/>
              <w:left w:val="nil"/>
              <w:bottom w:val="single" w:sz="4" w:space="0" w:color="auto"/>
              <w:right w:val="single" w:sz="4" w:space="0" w:color="auto"/>
            </w:tcBorders>
            <w:shd w:val="clear" w:color="auto" w:fill="auto"/>
            <w:noWrap/>
            <w:vAlign w:val="bottom"/>
            <w:hideMark/>
          </w:tcPr>
          <w:p w14:paraId="395E9F7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149 765</w:t>
            </w:r>
          </w:p>
        </w:tc>
        <w:tc>
          <w:tcPr>
            <w:tcW w:w="1300" w:type="dxa"/>
            <w:tcBorders>
              <w:top w:val="nil"/>
              <w:left w:val="nil"/>
              <w:bottom w:val="single" w:sz="4" w:space="0" w:color="auto"/>
              <w:right w:val="single" w:sz="4" w:space="0" w:color="auto"/>
            </w:tcBorders>
            <w:shd w:val="clear" w:color="auto" w:fill="auto"/>
            <w:noWrap/>
            <w:vAlign w:val="bottom"/>
            <w:hideMark/>
          </w:tcPr>
          <w:p w14:paraId="7E1788A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381 811</w:t>
            </w:r>
          </w:p>
        </w:tc>
      </w:tr>
      <w:tr w:rsidR="00E61582" w:rsidRPr="00E61582" w14:paraId="18CE3A53"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05E0EDAB"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LM</w:t>
            </w:r>
          </w:p>
        </w:tc>
        <w:tc>
          <w:tcPr>
            <w:tcW w:w="1240" w:type="dxa"/>
            <w:tcBorders>
              <w:top w:val="nil"/>
              <w:left w:val="nil"/>
              <w:bottom w:val="single" w:sz="4" w:space="0" w:color="auto"/>
              <w:right w:val="single" w:sz="4" w:space="0" w:color="auto"/>
            </w:tcBorders>
            <w:shd w:val="clear" w:color="auto" w:fill="auto"/>
            <w:noWrap/>
            <w:vAlign w:val="bottom"/>
            <w:hideMark/>
          </w:tcPr>
          <w:p w14:paraId="210A7E3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262 434</w:t>
            </w:r>
          </w:p>
        </w:tc>
        <w:tc>
          <w:tcPr>
            <w:tcW w:w="1200" w:type="dxa"/>
            <w:tcBorders>
              <w:top w:val="nil"/>
              <w:left w:val="nil"/>
              <w:bottom w:val="single" w:sz="4" w:space="0" w:color="auto"/>
              <w:right w:val="single" w:sz="4" w:space="0" w:color="auto"/>
            </w:tcBorders>
            <w:shd w:val="clear" w:color="auto" w:fill="auto"/>
            <w:noWrap/>
            <w:vAlign w:val="bottom"/>
            <w:hideMark/>
          </w:tcPr>
          <w:p w14:paraId="2A987CD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400 220</w:t>
            </w:r>
          </w:p>
        </w:tc>
        <w:tc>
          <w:tcPr>
            <w:tcW w:w="1220" w:type="dxa"/>
            <w:tcBorders>
              <w:top w:val="nil"/>
              <w:left w:val="nil"/>
              <w:bottom w:val="single" w:sz="4" w:space="0" w:color="auto"/>
              <w:right w:val="single" w:sz="4" w:space="0" w:color="auto"/>
            </w:tcBorders>
            <w:shd w:val="clear" w:color="auto" w:fill="auto"/>
            <w:noWrap/>
            <w:vAlign w:val="bottom"/>
            <w:hideMark/>
          </w:tcPr>
          <w:p w14:paraId="36FAFA4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126 781</w:t>
            </w:r>
          </w:p>
        </w:tc>
        <w:tc>
          <w:tcPr>
            <w:tcW w:w="1300" w:type="dxa"/>
            <w:tcBorders>
              <w:top w:val="nil"/>
              <w:left w:val="nil"/>
              <w:bottom w:val="single" w:sz="4" w:space="0" w:color="auto"/>
              <w:right w:val="single" w:sz="4" w:space="0" w:color="auto"/>
            </w:tcBorders>
            <w:shd w:val="clear" w:color="auto" w:fill="auto"/>
            <w:noWrap/>
            <w:vAlign w:val="bottom"/>
            <w:hideMark/>
          </w:tcPr>
          <w:p w14:paraId="5561823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256 689</w:t>
            </w:r>
          </w:p>
        </w:tc>
      </w:tr>
      <w:tr w:rsidR="00E61582" w:rsidRPr="00E61582" w14:paraId="24FF84C7"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3AA045AA"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KM</w:t>
            </w:r>
          </w:p>
        </w:tc>
        <w:tc>
          <w:tcPr>
            <w:tcW w:w="1240" w:type="dxa"/>
            <w:tcBorders>
              <w:top w:val="nil"/>
              <w:left w:val="nil"/>
              <w:bottom w:val="single" w:sz="4" w:space="0" w:color="auto"/>
              <w:right w:val="single" w:sz="4" w:space="0" w:color="auto"/>
            </w:tcBorders>
            <w:shd w:val="clear" w:color="auto" w:fill="auto"/>
            <w:noWrap/>
            <w:vAlign w:val="bottom"/>
            <w:hideMark/>
          </w:tcPr>
          <w:p w14:paraId="319D577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2 118 939</w:t>
            </w:r>
          </w:p>
        </w:tc>
        <w:tc>
          <w:tcPr>
            <w:tcW w:w="1200" w:type="dxa"/>
            <w:tcBorders>
              <w:top w:val="nil"/>
              <w:left w:val="nil"/>
              <w:bottom w:val="single" w:sz="4" w:space="0" w:color="auto"/>
              <w:right w:val="single" w:sz="4" w:space="0" w:color="auto"/>
            </w:tcBorders>
            <w:shd w:val="clear" w:color="auto" w:fill="auto"/>
            <w:noWrap/>
            <w:vAlign w:val="bottom"/>
            <w:hideMark/>
          </w:tcPr>
          <w:p w14:paraId="7C3209E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838 427</w:t>
            </w:r>
          </w:p>
        </w:tc>
        <w:tc>
          <w:tcPr>
            <w:tcW w:w="1220" w:type="dxa"/>
            <w:tcBorders>
              <w:top w:val="nil"/>
              <w:left w:val="nil"/>
              <w:bottom w:val="single" w:sz="4" w:space="0" w:color="auto"/>
              <w:right w:val="single" w:sz="4" w:space="0" w:color="auto"/>
            </w:tcBorders>
            <w:shd w:val="clear" w:color="auto" w:fill="auto"/>
            <w:noWrap/>
            <w:vAlign w:val="bottom"/>
            <w:hideMark/>
          </w:tcPr>
          <w:p w14:paraId="26B21B2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694 731</w:t>
            </w:r>
          </w:p>
        </w:tc>
        <w:tc>
          <w:tcPr>
            <w:tcW w:w="1300" w:type="dxa"/>
            <w:tcBorders>
              <w:top w:val="nil"/>
              <w:left w:val="nil"/>
              <w:bottom w:val="single" w:sz="4" w:space="0" w:color="auto"/>
              <w:right w:val="single" w:sz="4" w:space="0" w:color="auto"/>
            </w:tcBorders>
            <w:shd w:val="clear" w:color="auto" w:fill="auto"/>
            <w:noWrap/>
            <w:vAlign w:val="bottom"/>
            <w:hideMark/>
          </w:tcPr>
          <w:p w14:paraId="19C7E74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630 238</w:t>
            </w:r>
          </w:p>
        </w:tc>
      </w:tr>
      <w:tr w:rsidR="00E61582" w:rsidRPr="00E61582" w14:paraId="6ED2B440"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799589CD"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FM</w:t>
            </w:r>
          </w:p>
        </w:tc>
        <w:tc>
          <w:tcPr>
            <w:tcW w:w="1240" w:type="dxa"/>
            <w:tcBorders>
              <w:top w:val="nil"/>
              <w:left w:val="nil"/>
              <w:bottom w:val="single" w:sz="4" w:space="0" w:color="auto"/>
              <w:right w:val="single" w:sz="4" w:space="0" w:color="auto"/>
            </w:tcBorders>
            <w:shd w:val="clear" w:color="auto" w:fill="auto"/>
            <w:noWrap/>
            <w:vAlign w:val="bottom"/>
            <w:hideMark/>
          </w:tcPr>
          <w:p w14:paraId="78D4708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341 531</w:t>
            </w:r>
          </w:p>
        </w:tc>
        <w:tc>
          <w:tcPr>
            <w:tcW w:w="1200" w:type="dxa"/>
            <w:tcBorders>
              <w:top w:val="nil"/>
              <w:left w:val="nil"/>
              <w:bottom w:val="single" w:sz="4" w:space="0" w:color="auto"/>
              <w:right w:val="single" w:sz="4" w:space="0" w:color="auto"/>
            </w:tcBorders>
            <w:shd w:val="clear" w:color="auto" w:fill="auto"/>
            <w:noWrap/>
            <w:vAlign w:val="bottom"/>
            <w:hideMark/>
          </w:tcPr>
          <w:p w14:paraId="08EF1E2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388 731</w:t>
            </w:r>
          </w:p>
        </w:tc>
        <w:tc>
          <w:tcPr>
            <w:tcW w:w="1220" w:type="dxa"/>
            <w:tcBorders>
              <w:top w:val="nil"/>
              <w:left w:val="nil"/>
              <w:bottom w:val="single" w:sz="4" w:space="0" w:color="auto"/>
              <w:right w:val="single" w:sz="4" w:space="0" w:color="auto"/>
            </w:tcBorders>
            <w:shd w:val="clear" w:color="auto" w:fill="auto"/>
            <w:noWrap/>
            <w:vAlign w:val="bottom"/>
            <w:hideMark/>
          </w:tcPr>
          <w:p w14:paraId="58648FE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405 606</w:t>
            </w:r>
          </w:p>
        </w:tc>
        <w:tc>
          <w:tcPr>
            <w:tcW w:w="1300" w:type="dxa"/>
            <w:tcBorders>
              <w:top w:val="nil"/>
              <w:left w:val="nil"/>
              <w:bottom w:val="single" w:sz="4" w:space="0" w:color="auto"/>
              <w:right w:val="single" w:sz="4" w:space="0" w:color="auto"/>
            </w:tcBorders>
            <w:shd w:val="clear" w:color="auto" w:fill="auto"/>
            <w:noWrap/>
            <w:vAlign w:val="bottom"/>
            <w:hideMark/>
          </w:tcPr>
          <w:p w14:paraId="24F1E45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528 876</w:t>
            </w:r>
          </w:p>
        </w:tc>
      </w:tr>
      <w:tr w:rsidR="00E61582" w:rsidRPr="00E61582" w14:paraId="35111B85"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2459EDBE"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TM</w:t>
            </w:r>
          </w:p>
        </w:tc>
        <w:tc>
          <w:tcPr>
            <w:tcW w:w="1240" w:type="dxa"/>
            <w:tcBorders>
              <w:top w:val="nil"/>
              <w:left w:val="nil"/>
              <w:bottom w:val="single" w:sz="4" w:space="0" w:color="auto"/>
              <w:right w:val="single" w:sz="4" w:space="0" w:color="auto"/>
            </w:tcBorders>
            <w:shd w:val="clear" w:color="auto" w:fill="auto"/>
            <w:noWrap/>
            <w:vAlign w:val="bottom"/>
            <w:hideMark/>
          </w:tcPr>
          <w:p w14:paraId="29025A7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137 176</w:t>
            </w:r>
          </w:p>
        </w:tc>
        <w:tc>
          <w:tcPr>
            <w:tcW w:w="1200" w:type="dxa"/>
            <w:tcBorders>
              <w:top w:val="nil"/>
              <w:left w:val="nil"/>
              <w:bottom w:val="single" w:sz="4" w:space="0" w:color="auto"/>
              <w:right w:val="single" w:sz="4" w:space="0" w:color="auto"/>
            </w:tcBorders>
            <w:shd w:val="clear" w:color="auto" w:fill="auto"/>
            <w:noWrap/>
            <w:vAlign w:val="bottom"/>
            <w:hideMark/>
          </w:tcPr>
          <w:p w14:paraId="5A55ECF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87 314</w:t>
            </w:r>
          </w:p>
        </w:tc>
        <w:tc>
          <w:tcPr>
            <w:tcW w:w="1220" w:type="dxa"/>
            <w:tcBorders>
              <w:top w:val="nil"/>
              <w:left w:val="nil"/>
              <w:bottom w:val="single" w:sz="4" w:space="0" w:color="auto"/>
              <w:right w:val="single" w:sz="4" w:space="0" w:color="auto"/>
            </w:tcBorders>
            <w:shd w:val="clear" w:color="auto" w:fill="auto"/>
            <w:noWrap/>
            <w:vAlign w:val="bottom"/>
            <w:hideMark/>
          </w:tcPr>
          <w:p w14:paraId="2D706FC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44 090</w:t>
            </w:r>
          </w:p>
        </w:tc>
        <w:tc>
          <w:tcPr>
            <w:tcW w:w="1300" w:type="dxa"/>
            <w:tcBorders>
              <w:top w:val="nil"/>
              <w:left w:val="nil"/>
              <w:bottom w:val="single" w:sz="4" w:space="0" w:color="auto"/>
              <w:right w:val="single" w:sz="4" w:space="0" w:color="auto"/>
            </w:tcBorders>
            <w:shd w:val="clear" w:color="auto" w:fill="auto"/>
            <w:noWrap/>
            <w:vAlign w:val="bottom"/>
            <w:hideMark/>
          </w:tcPr>
          <w:p w14:paraId="4D7C4FE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162 992</w:t>
            </w:r>
          </w:p>
        </w:tc>
      </w:tr>
      <w:tr w:rsidR="00E61582" w:rsidRPr="00E61582" w14:paraId="7DFFF655"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6C597A4E"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IeM</w:t>
            </w:r>
          </w:p>
        </w:tc>
        <w:tc>
          <w:tcPr>
            <w:tcW w:w="1240" w:type="dxa"/>
            <w:tcBorders>
              <w:top w:val="nil"/>
              <w:left w:val="nil"/>
              <w:bottom w:val="single" w:sz="4" w:space="0" w:color="auto"/>
              <w:right w:val="single" w:sz="4" w:space="0" w:color="auto"/>
            </w:tcBorders>
            <w:shd w:val="clear" w:color="auto" w:fill="auto"/>
            <w:noWrap/>
            <w:vAlign w:val="bottom"/>
            <w:hideMark/>
          </w:tcPr>
          <w:p w14:paraId="3FB5FCF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280 352</w:t>
            </w:r>
          </w:p>
        </w:tc>
        <w:tc>
          <w:tcPr>
            <w:tcW w:w="1200" w:type="dxa"/>
            <w:tcBorders>
              <w:top w:val="nil"/>
              <w:left w:val="nil"/>
              <w:bottom w:val="single" w:sz="4" w:space="0" w:color="auto"/>
              <w:right w:val="single" w:sz="4" w:space="0" w:color="auto"/>
            </w:tcBorders>
            <w:shd w:val="clear" w:color="auto" w:fill="auto"/>
            <w:noWrap/>
            <w:vAlign w:val="bottom"/>
            <w:hideMark/>
          </w:tcPr>
          <w:p w14:paraId="43B7837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324 501</w:t>
            </w:r>
          </w:p>
        </w:tc>
        <w:tc>
          <w:tcPr>
            <w:tcW w:w="1220" w:type="dxa"/>
            <w:tcBorders>
              <w:top w:val="nil"/>
              <w:left w:val="nil"/>
              <w:bottom w:val="single" w:sz="4" w:space="0" w:color="auto"/>
              <w:right w:val="single" w:sz="4" w:space="0" w:color="auto"/>
            </w:tcBorders>
            <w:shd w:val="clear" w:color="auto" w:fill="auto"/>
            <w:noWrap/>
            <w:vAlign w:val="bottom"/>
            <w:hideMark/>
          </w:tcPr>
          <w:p w14:paraId="723AB12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123 866</w:t>
            </w:r>
          </w:p>
        </w:tc>
        <w:tc>
          <w:tcPr>
            <w:tcW w:w="1300" w:type="dxa"/>
            <w:tcBorders>
              <w:top w:val="nil"/>
              <w:left w:val="nil"/>
              <w:bottom w:val="single" w:sz="4" w:space="0" w:color="auto"/>
              <w:right w:val="single" w:sz="4" w:space="0" w:color="auto"/>
            </w:tcBorders>
            <w:shd w:val="clear" w:color="auto" w:fill="auto"/>
            <w:noWrap/>
            <w:vAlign w:val="bottom"/>
            <w:hideMark/>
          </w:tcPr>
          <w:p w14:paraId="50AC532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158 328</w:t>
            </w:r>
          </w:p>
        </w:tc>
      </w:tr>
      <w:tr w:rsidR="00E61582" w:rsidRPr="00E61582" w14:paraId="41FDD45A"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5F9A06ED"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ZM</w:t>
            </w:r>
          </w:p>
        </w:tc>
        <w:tc>
          <w:tcPr>
            <w:tcW w:w="1240" w:type="dxa"/>
            <w:tcBorders>
              <w:top w:val="nil"/>
              <w:left w:val="nil"/>
              <w:bottom w:val="single" w:sz="4" w:space="0" w:color="auto"/>
              <w:right w:val="single" w:sz="4" w:space="0" w:color="auto"/>
            </w:tcBorders>
            <w:shd w:val="clear" w:color="auto" w:fill="auto"/>
            <w:noWrap/>
            <w:vAlign w:val="bottom"/>
            <w:hideMark/>
          </w:tcPr>
          <w:p w14:paraId="3308893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119 109</w:t>
            </w:r>
          </w:p>
        </w:tc>
        <w:tc>
          <w:tcPr>
            <w:tcW w:w="1200" w:type="dxa"/>
            <w:tcBorders>
              <w:top w:val="nil"/>
              <w:left w:val="nil"/>
              <w:bottom w:val="single" w:sz="4" w:space="0" w:color="auto"/>
              <w:right w:val="single" w:sz="4" w:space="0" w:color="auto"/>
            </w:tcBorders>
            <w:shd w:val="clear" w:color="auto" w:fill="auto"/>
            <w:noWrap/>
            <w:vAlign w:val="bottom"/>
            <w:hideMark/>
          </w:tcPr>
          <w:p w14:paraId="6985CC8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41 560</w:t>
            </w:r>
          </w:p>
        </w:tc>
        <w:tc>
          <w:tcPr>
            <w:tcW w:w="1220" w:type="dxa"/>
            <w:tcBorders>
              <w:top w:val="nil"/>
              <w:left w:val="nil"/>
              <w:bottom w:val="single" w:sz="4" w:space="0" w:color="auto"/>
              <w:right w:val="single" w:sz="4" w:space="0" w:color="auto"/>
            </w:tcBorders>
            <w:shd w:val="clear" w:color="auto" w:fill="auto"/>
            <w:noWrap/>
            <w:vAlign w:val="bottom"/>
            <w:hideMark/>
          </w:tcPr>
          <w:p w14:paraId="4D03B83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211 479</w:t>
            </w:r>
          </w:p>
        </w:tc>
        <w:tc>
          <w:tcPr>
            <w:tcW w:w="1300" w:type="dxa"/>
            <w:tcBorders>
              <w:top w:val="nil"/>
              <w:left w:val="nil"/>
              <w:bottom w:val="single" w:sz="4" w:space="0" w:color="auto"/>
              <w:right w:val="single" w:sz="4" w:space="0" w:color="auto"/>
            </w:tcBorders>
            <w:shd w:val="clear" w:color="auto" w:fill="auto"/>
            <w:noWrap/>
            <w:vAlign w:val="bottom"/>
            <w:hideMark/>
          </w:tcPr>
          <w:p w14:paraId="22C02FF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40 070</w:t>
            </w:r>
          </w:p>
        </w:tc>
      </w:tr>
      <w:tr w:rsidR="00E61582" w:rsidRPr="00E61582" w14:paraId="0B40FC0E" w14:textId="77777777" w:rsidTr="006F76FD">
        <w:trPr>
          <w:trHeight w:val="300"/>
          <w:jc w:val="center"/>
        </w:trPr>
        <w:tc>
          <w:tcPr>
            <w:tcW w:w="2092" w:type="dxa"/>
            <w:tcBorders>
              <w:top w:val="nil"/>
              <w:left w:val="single" w:sz="4" w:space="0" w:color="auto"/>
              <w:bottom w:val="single" w:sz="4" w:space="0" w:color="auto"/>
              <w:right w:val="single" w:sz="4" w:space="0" w:color="auto"/>
            </w:tcBorders>
            <w:shd w:val="clear" w:color="auto" w:fill="auto"/>
            <w:noWrap/>
            <w:vAlign w:val="bottom"/>
            <w:hideMark/>
          </w:tcPr>
          <w:p w14:paraId="41C8598F" w14:textId="77777777" w:rsidR="00E61582" w:rsidRPr="00E61582" w:rsidRDefault="00E61582" w:rsidP="006F76FD">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SM</w:t>
            </w:r>
          </w:p>
        </w:tc>
        <w:tc>
          <w:tcPr>
            <w:tcW w:w="1240" w:type="dxa"/>
            <w:tcBorders>
              <w:top w:val="nil"/>
              <w:left w:val="nil"/>
              <w:bottom w:val="single" w:sz="4" w:space="0" w:color="auto"/>
              <w:right w:val="single" w:sz="4" w:space="0" w:color="auto"/>
            </w:tcBorders>
            <w:shd w:val="clear" w:color="auto" w:fill="auto"/>
            <w:noWrap/>
            <w:vAlign w:val="bottom"/>
            <w:hideMark/>
          </w:tcPr>
          <w:p w14:paraId="3E20AD1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32 828</w:t>
            </w:r>
          </w:p>
        </w:tc>
        <w:tc>
          <w:tcPr>
            <w:tcW w:w="1200" w:type="dxa"/>
            <w:tcBorders>
              <w:top w:val="nil"/>
              <w:left w:val="nil"/>
              <w:bottom w:val="single" w:sz="4" w:space="0" w:color="auto"/>
              <w:right w:val="single" w:sz="4" w:space="0" w:color="auto"/>
            </w:tcBorders>
            <w:shd w:val="clear" w:color="auto" w:fill="auto"/>
            <w:noWrap/>
            <w:vAlign w:val="bottom"/>
            <w:hideMark/>
          </w:tcPr>
          <w:p w14:paraId="069E66D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1 173</w:t>
            </w:r>
          </w:p>
        </w:tc>
        <w:tc>
          <w:tcPr>
            <w:tcW w:w="1220" w:type="dxa"/>
            <w:tcBorders>
              <w:top w:val="nil"/>
              <w:left w:val="nil"/>
              <w:bottom w:val="single" w:sz="4" w:space="0" w:color="auto"/>
              <w:right w:val="single" w:sz="4" w:space="0" w:color="auto"/>
            </w:tcBorders>
            <w:shd w:val="clear" w:color="auto" w:fill="auto"/>
            <w:noWrap/>
            <w:vAlign w:val="bottom"/>
            <w:hideMark/>
          </w:tcPr>
          <w:p w14:paraId="05DCF5A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744</w:t>
            </w:r>
          </w:p>
        </w:tc>
        <w:tc>
          <w:tcPr>
            <w:tcW w:w="1300" w:type="dxa"/>
            <w:tcBorders>
              <w:top w:val="nil"/>
              <w:left w:val="nil"/>
              <w:bottom w:val="single" w:sz="4" w:space="0" w:color="auto"/>
              <w:right w:val="single" w:sz="4" w:space="0" w:color="auto"/>
            </w:tcBorders>
            <w:shd w:val="clear" w:color="auto" w:fill="auto"/>
            <w:noWrap/>
            <w:vAlign w:val="bottom"/>
            <w:hideMark/>
          </w:tcPr>
          <w:p w14:paraId="08C867C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2 000</w:t>
            </w:r>
          </w:p>
        </w:tc>
      </w:tr>
      <w:tr w:rsidR="00E61582" w:rsidRPr="00E61582" w14:paraId="090DF6D0" w14:textId="77777777" w:rsidTr="006F76FD">
        <w:trPr>
          <w:trHeight w:val="255"/>
          <w:jc w:val="center"/>
        </w:trPr>
        <w:tc>
          <w:tcPr>
            <w:tcW w:w="2092" w:type="dxa"/>
            <w:tcBorders>
              <w:top w:val="nil"/>
              <w:left w:val="single" w:sz="4" w:space="0" w:color="auto"/>
              <w:bottom w:val="single" w:sz="4" w:space="0" w:color="auto"/>
              <w:right w:val="single" w:sz="4" w:space="0" w:color="auto"/>
            </w:tcBorders>
            <w:shd w:val="clear" w:color="auto" w:fill="auto"/>
            <w:vAlign w:val="bottom"/>
            <w:hideMark/>
          </w:tcPr>
          <w:p w14:paraId="57126D9E" w14:textId="77777777" w:rsidR="00E61582" w:rsidRPr="00E61582" w:rsidRDefault="00E61582" w:rsidP="006F76FD">
            <w:pPr>
              <w:spacing w:after="0" w:line="240" w:lineRule="auto"/>
              <w:jc w:val="center"/>
              <w:rPr>
                <w:rFonts w:eastAsia="Times New Roman"/>
                <w:b/>
                <w:bCs/>
                <w:sz w:val="22"/>
                <w:lang w:val="lv-LV" w:eastAsia="lv-LV"/>
              </w:rPr>
            </w:pPr>
            <w:r w:rsidRPr="00E61582">
              <w:rPr>
                <w:rFonts w:eastAsia="Times New Roman"/>
                <w:b/>
                <w:bCs/>
                <w:sz w:val="22"/>
                <w:lang w:val="lv-LV" w:eastAsia="lv-LV"/>
              </w:rPr>
              <w:t>KOPĀ, ministrijas</w:t>
            </w:r>
          </w:p>
        </w:tc>
        <w:tc>
          <w:tcPr>
            <w:tcW w:w="1240" w:type="dxa"/>
            <w:tcBorders>
              <w:top w:val="nil"/>
              <w:left w:val="nil"/>
              <w:bottom w:val="single" w:sz="4" w:space="0" w:color="auto"/>
              <w:right w:val="single" w:sz="4" w:space="0" w:color="auto"/>
            </w:tcBorders>
            <w:shd w:val="clear" w:color="auto" w:fill="auto"/>
            <w:noWrap/>
            <w:vAlign w:val="bottom"/>
            <w:hideMark/>
          </w:tcPr>
          <w:p w14:paraId="790419A4"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8 465 723</w:t>
            </w:r>
          </w:p>
        </w:tc>
        <w:tc>
          <w:tcPr>
            <w:tcW w:w="1200" w:type="dxa"/>
            <w:tcBorders>
              <w:top w:val="nil"/>
              <w:left w:val="nil"/>
              <w:bottom w:val="single" w:sz="4" w:space="0" w:color="auto"/>
              <w:right w:val="single" w:sz="4" w:space="0" w:color="auto"/>
            </w:tcBorders>
            <w:shd w:val="clear" w:color="auto" w:fill="auto"/>
            <w:noWrap/>
            <w:vAlign w:val="bottom"/>
            <w:hideMark/>
          </w:tcPr>
          <w:p w14:paraId="2D58A137"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6 113 937</w:t>
            </w:r>
          </w:p>
        </w:tc>
        <w:tc>
          <w:tcPr>
            <w:tcW w:w="1220" w:type="dxa"/>
            <w:tcBorders>
              <w:top w:val="nil"/>
              <w:left w:val="nil"/>
              <w:bottom w:val="single" w:sz="4" w:space="0" w:color="auto"/>
              <w:right w:val="single" w:sz="4" w:space="0" w:color="auto"/>
            </w:tcBorders>
            <w:shd w:val="clear" w:color="auto" w:fill="auto"/>
            <w:noWrap/>
            <w:vAlign w:val="bottom"/>
            <w:hideMark/>
          </w:tcPr>
          <w:p w14:paraId="3C2D7F8A"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4 710 020</w:t>
            </w:r>
          </w:p>
        </w:tc>
        <w:tc>
          <w:tcPr>
            <w:tcW w:w="1300" w:type="dxa"/>
            <w:tcBorders>
              <w:top w:val="nil"/>
              <w:left w:val="nil"/>
              <w:bottom w:val="single" w:sz="4" w:space="0" w:color="auto"/>
              <w:right w:val="single" w:sz="4" w:space="0" w:color="auto"/>
            </w:tcBorders>
            <w:shd w:val="clear" w:color="auto" w:fill="auto"/>
            <w:noWrap/>
            <w:vAlign w:val="bottom"/>
            <w:hideMark/>
          </w:tcPr>
          <w:p w14:paraId="3882B2B1"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15 510 594</w:t>
            </w:r>
          </w:p>
        </w:tc>
      </w:tr>
    </w:tbl>
    <w:p w14:paraId="77C23A1D" w14:textId="46DA8E6B" w:rsidR="00E61582" w:rsidRPr="00E61582" w:rsidRDefault="00E61582" w:rsidP="00E61582">
      <w:pPr>
        <w:spacing w:before="120"/>
        <w:ind w:firstLine="720"/>
        <w:rPr>
          <w:lang w:val="lv-LV"/>
        </w:rPr>
      </w:pPr>
      <w:r w:rsidRPr="00E61582">
        <w:rPr>
          <w:lang w:val="lv-LV"/>
        </w:rPr>
        <w:t xml:space="preserve">2020. gadā sabiedriskām aktivitātēm ministrijas kopā izlietojušas 4,7 milj. </w:t>
      </w:r>
      <w:r w:rsidRPr="00E61582">
        <w:rPr>
          <w:i/>
          <w:iCs/>
          <w:lang w:val="lv-LV"/>
        </w:rPr>
        <w:t>euro</w:t>
      </w:r>
      <w:r w:rsidRPr="00E61582">
        <w:rPr>
          <w:lang w:val="lv-LV"/>
        </w:rPr>
        <w:t xml:space="preserve">, kas ir par 1,4 milj. </w:t>
      </w:r>
      <w:r w:rsidRPr="00E61582">
        <w:rPr>
          <w:i/>
          <w:iCs/>
          <w:lang w:val="lv-LV"/>
        </w:rPr>
        <w:t>euro</w:t>
      </w:r>
      <w:r w:rsidRPr="00E61582">
        <w:rPr>
          <w:lang w:val="lv-LV"/>
        </w:rPr>
        <w:t xml:space="preserve"> jeb 23% mazāk nekā 2019. gada izdevumi. Vienlaikus konstatēts, ka 2021. gada plānā izdevumi sabiedriskajām aktivitātēm plānoti vairāk kā 3 reizes lielāki nekā 2019. gadā – 15,5 milj. </w:t>
      </w:r>
      <w:r w:rsidRPr="00E61582">
        <w:rPr>
          <w:i/>
          <w:iCs/>
          <w:lang w:val="lv-LV"/>
        </w:rPr>
        <w:t>euro</w:t>
      </w:r>
      <w:r w:rsidRPr="00E61582">
        <w:rPr>
          <w:lang w:val="lv-LV"/>
        </w:rPr>
        <w:t>. Izdevumu pieaugums var tikt pamatots gan ar 2019. gadā veiktajiem grozījumiem MK noteikumos Nr. 1031, svītrojot kodu EKK 2279, gan ar vairākiem finansiāli ietilpīgiem pasākumiem, kas plānoti 2021. gadā, piemēram, dalība starptautiskajā izstādē “Expo 2020 Dubai” (EM) un XII Latvijas Skolu jaunatnes dziesmu un deju svētku nodrošināšana (IZM). Savukārt, AiM 2021. gada izdevumu pieaugumu sabiedriskām aktivitātēm skaidro ar aktivitāšu samazināšanos 2020. gadā un optimistiskām prognozēm atsākt sabiedrisko aktivitāšu pasākumus 2021. gadā.</w:t>
      </w:r>
    </w:p>
    <w:p w14:paraId="713C5F58" w14:textId="77777777" w:rsidR="00E61582" w:rsidRPr="00E61582" w:rsidRDefault="00E61582" w:rsidP="00E61582">
      <w:pPr>
        <w:tabs>
          <w:tab w:val="left" w:pos="1612"/>
        </w:tabs>
        <w:rPr>
          <w:lang w:val="lv-LV"/>
        </w:rPr>
      </w:pPr>
      <w:r w:rsidRPr="00E61582">
        <w:rPr>
          <w:lang w:val="lv-LV"/>
        </w:rPr>
        <w:tab/>
      </w:r>
    </w:p>
    <w:p w14:paraId="3422BA11" w14:textId="77777777" w:rsidR="00E61582" w:rsidRPr="00E61582" w:rsidRDefault="00E61582" w:rsidP="00E61582">
      <w:pPr>
        <w:rPr>
          <w:u w:val="single"/>
          <w:lang w:val="lv-LV"/>
        </w:rPr>
      </w:pPr>
      <w:r w:rsidRPr="00E61582">
        <w:rPr>
          <w:u w:val="single"/>
          <w:lang w:val="lv-LV"/>
        </w:rPr>
        <w:t xml:space="preserve">EKK 2233 “Izdevumi par transporta pakalpojumiem” </w:t>
      </w:r>
    </w:p>
    <w:p w14:paraId="07FC5831" w14:textId="2D69CD19" w:rsidR="009B5888" w:rsidRDefault="00E61582" w:rsidP="00F700BC">
      <w:pPr>
        <w:ind w:firstLine="720"/>
        <w:rPr>
          <w:lang w:val="lv-LV"/>
        </w:rPr>
      </w:pPr>
      <w:r w:rsidRPr="00E61582">
        <w:rPr>
          <w:lang w:val="lv-LV"/>
        </w:rPr>
        <w:t>EKK 2233 uzskaita iestādei sniegtos transporta pakalpojumus, izņemot ar iegādāto materiālo vērtību piegādi saistītos transporta pakalpojumu izdevumus, kas tiek iekļauti aktīvu vērtības sastāvā; izdevumus par iestādei sniegtajiem sabiedriskā transporta un taksometru pakalpojumiem (izņemot komandējumu un darba braucienu laikā); izdevumus par iestādei nepiederošo transportlīdzekļu evakuācijas pakalpojumiem un citus transporta pakalpojumus, kas nav minēti citos kodos; kodā neuzskaita finansējumu, kas piešķirts pārvaldes uzdevumu izpildei un sociālā rakstura sniegto atbalstu</w:t>
      </w:r>
      <w:r w:rsidRPr="00E61582">
        <w:rPr>
          <w:rStyle w:val="FootnoteReference"/>
          <w:lang w:val="lv-LV"/>
        </w:rPr>
        <w:footnoteReference w:id="3"/>
      </w:r>
      <w:r w:rsidR="009B1A4B">
        <w:rPr>
          <w:lang w:val="lv-LV"/>
        </w:rPr>
        <w:t>.</w:t>
      </w:r>
    </w:p>
    <w:p w14:paraId="4EEDFCB7" w14:textId="741F4AF3" w:rsidR="002C24FA" w:rsidRDefault="002C24FA" w:rsidP="00F700BC">
      <w:pPr>
        <w:ind w:firstLine="720"/>
        <w:rPr>
          <w:lang w:val="lv-LV"/>
        </w:rPr>
      </w:pPr>
    </w:p>
    <w:p w14:paraId="6F8B54B8" w14:textId="6C8D36EB" w:rsidR="002C24FA" w:rsidRDefault="002C24FA" w:rsidP="00F700BC">
      <w:pPr>
        <w:ind w:firstLine="720"/>
        <w:rPr>
          <w:lang w:val="lv-LV"/>
        </w:rPr>
      </w:pPr>
    </w:p>
    <w:p w14:paraId="0080B655" w14:textId="37DD417B" w:rsidR="002C24FA" w:rsidRDefault="002C24FA" w:rsidP="00F700BC">
      <w:pPr>
        <w:ind w:firstLine="720"/>
        <w:rPr>
          <w:lang w:val="lv-LV"/>
        </w:rPr>
      </w:pPr>
    </w:p>
    <w:p w14:paraId="3E25DF27" w14:textId="147A45B3" w:rsidR="002C24FA" w:rsidRDefault="002C24FA" w:rsidP="00F700BC">
      <w:pPr>
        <w:ind w:firstLine="720"/>
        <w:rPr>
          <w:lang w:val="lv-LV"/>
        </w:rPr>
      </w:pPr>
    </w:p>
    <w:p w14:paraId="31D098C7" w14:textId="055B9FA5" w:rsidR="002C24FA" w:rsidRDefault="002C24FA" w:rsidP="00F700BC">
      <w:pPr>
        <w:ind w:firstLine="720"/>
        <w:rPr>
          <w:lang w:val="lv-LV"/>
        </w:rPr>
      </w:pPr>
    </w:p>
    <w:p w14:paraId="27084001" w14:textId="77777777" w:rsidR="002C24FA" w:rsidRPr="00F700BC" w:rsidRDefault="002C24FA" w:rsidP="00F700BC">
      <w:pPr>
        <w:ind w:firstLine="720"/>
        <w:rPr>
          <w:lang w:val="lv-LV"/>
        </w:rPr>
      </w:pPr>
    </w:p>
    <w:p w14:paraId="2758FFC6" w14:textId="4D566FAA" w:rsidR="00E61582" w:rsidRPr="00E61582" w:rsidRDefault="00E61582" w:rsidP="00E61582">
      <w:pPr>
        <w:jc w:val="center"/>
        <w:rPr>
          <w:lang w:val="lv-LV"/>
        </w:rPr>
      </w:pPr>
      <w:r w:rsidRPr="00E61582">
        <w:rPr>
          <w:b/>
          <w:bCs/>
          <w:i/>
          <w:iCs/>
          <w:sz w:val="22"/>
          <w:lang w:val="lv-LV"/>
        </w:rPr>
        <w:lastRenderedPageBreak/>
        <w:t>2.1.4.</w:t>
      </w:r>
      <w:r w:rsidRPr="00E61582">
        <w:rPr>
          <w:sz w:val="22"/>
          <w:lang w:val="lv-LV"/>
        </w:rPr>
        <w:t xml:space="preserve"> </w:t>
      </w:r>
      <w:r w:rsidRPr="00E61582">
        <w:rPr>
          <w:b/>
          <w:bCs/>
          <w:i/>
          <w:iCs/>
          <w:sz w:val="22"/>
          <w:lang w:val="lv-LV"/>
        </w:rPr>
        <w:t>attēls</w:t>
      </w:r>
      <w:r w:rsidRPr="00E61582">
        <w:rPr>
          <w:b/>
          <w:bCs/>
          <w:sz w:val="22"/>
          <w:lang w:val="lv-LV"/>
        </w:rPr>
        <w:t xml:space="preserve"> EKK 2233 “Izdevumi par transporta pakalpojumiem” kopējo izdevumu dinamika</w:t>
      </w:r>
    </w:p>
    <w:p w14:paraId="1C590781" w14:textId="77777777" w:rsidR="00E61582" w:rsidRPr="00E61582" w:rsidRDefault="00E61582" w:rsidP="00E61582">
      <w:pPr>
        <w:jc w:val="center"/>
        <w:rPr>
          <w:b/>
          <w:bCs/>
          <w:lang w:val="lv-LV"/>
        </w:rPr>
      </w:pPr>
      <w:r w:rsidRPr="00E61582">
        <w:rPr>
          <w:b/>
          <w:bCs/>
          <w:noProof/>
          <w:lang w:val="lv-LV" w:eastAsia="lv-LV"/>
        </w:rPr>
        <w:drawing>
          <wp:inline distT="0" distB="0" distL="0" distR="0" wp14:anchorId="15E18FAC" wp14:editId="0951835E">
            <wp:extent cx="5615796" cy="2341993"/>
            <wp:effectExtent l="0" t="0" r="4445"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7428" cy="2346844"/>
                    </a:xfrm>
                    <a:prstGeom prst="rect">
                      <a:avLst/>
                    </a:prstGeom>
                    <a:noFill/>
                  </pic:spPr>
                </pic:pic>
              </a:graphicData>
            </a:graphic>
          </wp:inline>
        </w:drawing>
      </w:r>
    </w:p>
    <w:p w14:paraId="1E8198A9" w14:textId="77777777" w:rsidR="00E61582" w:rsidRPr="00E61582" w:rsidRDefault="00E61582" w:rsidP="00E61582">
      <w:pPr>
        <w:ind w:firstLine="720"/>
        <w:rPr>
          <w:lang w:val="lv-LV"/>
        </w:rPr>
      </w:pPr>
      <w:r w:rsidRPr="00E61582">
        <w:rPr>
          <w:lang w:val="lv-LV"/>
        </w:rPr>
        <w:t>Attēlā Nr. 2.1.4. redzams, ka izdevumi par transporta pakalpojumiem 2020. gadā, sākoties ārkārtējai situācijai 12. martā, samazinājās, vienlaikus turpinot būt 2019. gada līmenī. Savukārt, sākot ar 2020. gada jūnija vidu līdz pat 2020. gada beigām, izdevumi par transporta pakalpojumiem saglabājās zemāki nekā 2019. gadā. Izdevumu samazinājums galvenokārt skaidrojams ar to, ka kopumā visas tikšanās, sanāksmes un vispārēja komunikācija tika veikta izmantojot digitālos rīkus.</w:t>
      </w:r>
    </w:p>
    <w:p w14:paraId="6CCA5918" w14:textId="77777777" w:rsidR="00E61582" w:rsidRPr="00E61582" w:rsidRDefault="00E61582" w:rsidP="00E61582">
      <w:pPr>
        <w:tabs>
          <w:tab w:val="left" w:pos="1612"/>
        </w:tabs>
        <w:jc w:val="center"/>
        <w:rPr>
          <w:lang w:val="lv-LV"/>
        </w:rPr>
      </w:pPr>
      <w:r w:rsidRPr="00E61582">
        <w:rPr>
          <w:b/>
          <w:bCs/>
          <w:i/>
          <w:iCs/>
          <w:sz w:val="22"/>
          <w:lang w:val="lv-LV"/>
        </w:rPr>
        <w:t>2.1.6</w:t>
      </w:r>
      <w:r w:rsidRPr="00E61582">
        <w:rPr>
          <w:sz w:val="22"/>
          <w:lang w:val="lv-LV"/>
        </w:rPr>
        <w:t xml:space="preserve">. </w:t>
      </w:r>
      <w:r w:rsidRPr="00E61582">
        <w:rPr>
          <w:b/>
          <w:bCs/>
          <w:i/>
          <w:iCs/>
          <w:sz w:val="22"/>
          <w:lang w:val="lv-LV"/>
        </w:rPr>
        <w:t>tabula</w:t>
      </w:r>
      <w:r w:rsidRPr="00E61582">
        <w:rPr>
          <w:sz w:val="22"/>
          <w:lang w:val="lv-LV"/>
        </w:rPr>
        <w:t xml:space="preserve"> </w:t>
      </w:r>
      <w:r w:rsidRPr="00E61582">
        <w:rPr>
          <w:b/>
          <w:bCs/>
          <w:sz w:val="22"/>
          <w:lang w:val="lv-LV"/>
        </w:rPr>
        <w:t>EKK 2233 “Izdevumi par transporta pakalpojumiem” ministriju izdevumu dinamika</w:t>
      </w:r>
    </w:p>
    <w:tbl>
      <w:tblPr>
        <w:tblW w:w="7196" w:type="dxa"/>
        <w:jc w:val="center"/>
        <w:tblLook w:val="04A0" w:firstRow="1" w:lastRow="0" w:firstColumn="1" w:lastColumn="0" w:noHBand="0" w:noVBand="1"/>
      </w:tblPr>
      <w:tblGrid>
        <w:gridCol w:w="2096"/>
        <w:gridCol w:w="1300"/>
        <w:gridCol w:w="1280"/>
        <w:gridCol w:w="1240"/>
        <w:gridCol w:w="1280"/>
      </w:tblGrid>
      <w:tr w:rsidR="00E61582" w:rsidRPr="00E61582" w14:paraId="42E21215" w14:textId="77777777" w:rsidTr="002C24FA">
        <w:trPr>
          <w:trHeight w:val="855"/>
          <w:jc w:val="center"/>
        </w:trPr>
        <w:tc>
          <w:tcPr>
            <w:tcW w:w="2096"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9C8D56C" w14:textId="77777777" w:rsidR="00E61582" w:rsidRPr="00E61582" w:rsidRDefault="00E61582" w:rsidP="00E61582">
            <w:pPr>
              <w:spacing w:after="0" w:line="240" w:lineRule="auto"/>
              <w:rPr>
                <w:rFonts w:eastAsia="Times New Roman"/>
                <w:b/>
                <w:bCs/>
                <w:sz w:val="22"/>
                <w:lang w:val="lv-LV" w:eastAsia="lv-LV"/>
              </w:rPr>
            </w:pPr>
            <w:r w:rsidRPr="00E61582">
              <w:rPr>
                <w:rFonts w:eastAsia="Times New Roman"/>
                <w:b/>
                <w:bCs/>
                <w:sz w:val="22"/>
                <w:lang w:val="lv-LV" w:eastAsia="lv-LV"/>
              </w:rPr>
              <w:t> </w:t>
            </w:r>
          </w:p>
        </w:tc>
        <w:tc>
          <w:tcPr>
            <w:tcW w:w="1300" w:type="dxa"/>
            <w:tcBorders>
              <w:top w:val="single" w:sz="4" w:space="0" w:color="auto"/>
              <w:left w:val="nil"/>
              <w:bottom w:val="single" w:sz="4" w:space="0" w:color="auto"/>
              <w:right w:val="single" w:sz="4" w:space="0" w:color="auto"/>
            </w:tcBorders>
            <w:shd w:val="clear" w:color="000000" w:fill="C6E0B4"/>
            <w:vAlign w:val="center"/>
            <w:hideMark/>
          </w:tcPr>
          <w:p w14:paraId="18B052B3" w14:textId="51EB63DB"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vidēji 2015.-2019.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80" w:type="dxa"/>
            <w:tcBorders>
              <w:top w:val="single" w:sz="4" w:space="0" w:color="auto"/>
              <w:left w:val="nil"/>
              <w:bottom w:val="single" w:sz="4" w:space="0" w:color="auto"/>
              <w:right w:val="single" w:sz="4" w:space="0" w:color="auto"/>
            </w:tcBorders>
            <w:shd w:val="clear" w:color="000000" w:fill="C6E0B4"/>
            <w:vAlign w:val="center"/>
            <w:hideMark/>
          </w:tcPr>
          <w:p w14:paraId="3F6154ED" w14:textId="56C3AA3A"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40" w:type="dxa"/>
            <w:tcBorders>
              <w:top w:val="single" w:sz="4" w:space="0" w:color="auto"/>
              <w:left w:val="nil"/>
              <w:bottom w:val="single" w:sz="4" w:space="0" w:color="auto"/>
              <w:right w:val="single" w:sz="4" w:space="0" w:color="auto"/>
            </w:tcBorders>
            <w:shd w:val="clear" w:color="000000" w:fill="C6E0B4"/>
            <w:vAlign w:val="center"/>
            <w:hideMark/>
          </w:tcPr>
          <w:p w14:paraId="1403CEE8" w14:textId="45B74BAF"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2020.</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80" w:type="dxa"/>
            <w:tcBorders>
              <w:top w:val="single" w:sz="4" w:space="0" w:color="auto"/>
              <w:left w:val="nil"/>
              <w:bottom w:val="single" w:sz="4" w:space="0" w:color="auto"/>
              <w:right w:val="single" w:sz="4" w:space="0" w:color="auto"/>
            </w:tcBorders>
            <w:shd w:val="clear" w:color="000000" w:fill="C6E0B4"/>
            <w:vAlign w:val="center"/>
            <w:hideMark/>
          </w:tcPr>
          <w:p w14:paraId="712566B5" w14:textId="4D915CD1"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2021.</w:t>
            </w:r>
            <w:r w:rsidR="00FF342C">
              <w:rPr>
                <w:rFonts w:eastAsia="Times New Roman"/>
                <w:b/>
                <w:bCs/>
                <w:sz w:val="22"/>
                <w:lang w:val="lv-LV" w:eastAsia="lv-LV"/>
              </w:rPr>
              <w:t xml:space="preserve"> </w:t>
            </w:r>
            <w:r w:rsidRPr="00E61582">
              <w:rPr>
                <w:rFonts w:eastAsia="Times New Roman"/>
                <w:b/>
                <w:bCs/>
                <w:sz w:val="22"/>
                <w:lang w:val="lv-LV" w:eastAsia="lv-LV"/>
              </w:rPr>
              <w:t xml:space="preserve">gads (plāns), </w:t>
            </w:r>
            <w:r w:rsidRPr="00E61582">
              <w:rPr>
                <w:rFonts w:eastAsia="Times New Roman"/>
                <w:b/>
                <w:bCs/>
                <w:i/>
                <w:iCs/>
                <w:sz w:val="22"/>
                <w:lang w:val="lv-LV" w:eastAsia="lv-LV"/>
              </w:rPr>
              <w:t>euro</w:t>
            </w:r>
          </w:p>
        </w:tc>
      </w:tr>
      <w:tr w:rsidR="00E61582" w:rsidRPr="00E61582" w14:paraId="0A613F07"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75DC91DB"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IeM</w:t>
            </w:r>
          </w:p>
        </w:tc>
        <w:tc>
          <w:tcPr>
            <w:tcW w:w="1300" w:type="dxa"/>
            <w:tcBorders>
              <w:top w:val="nil"/>
              <w:left w:val="nil"/>
              <w:bottom w:val="single" w:sz="4" w:space="0" w:color="auto"/>
              <w:right w:val="single" w:sz="4" w:space="0" w:color="auto"/>
            </w:tcBorders>
            <w:shd w:val="clear" w:color="auto" w:fill="auto"/>
            <w:noWrap/>
            <w:vAlign w:val="bottom"/>
            <w:hideMark/>
          </w:tcPr>
          <w:p w14:paraId="29D483C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1 241 733</w:t>
            </w:r>
          </w:p>
        </w:tc>
        <w:tc>
          <w:tcPr>
            <w:tcW w:w="1280" w:type="dxa"/>
            <w:tcBorders>
              <w:top w:val="nil"/>
              <w:left w:val="nil"/>
              <w:bottom w:val="single" w:sz="4" w:space="0" w:color="auto"/>
              <w:right w:val="single" w:sz="4" w:space="0" w:color="auto"/>
            </w:tcBorders>
            <w:shd w:val="clear" w:color="auto" w:fill="auto"/>
            <w:noWrap/>
            <w:vAlign w:val="bottom"/>
            <w:hideMark/>
          </w:tcPr>
          <w:p w14:paraId="58D067F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787 908</w:t>
            </w:r>
          </w:p>
        </w:tc>
        <w:tc>
          <w:tcPr>
            <w:tcW w:w="1240" w:type="dxa"/>
            <w:tcBorders>
              <w:top w:val="nil"/>
              <w:left w:val="nil"/>
              <w:bottom w:val="single" w:sz="4" w:space="0" w:color="auto"/>
              <w:right w:val="single" w:sz="4" w:space="0" w:color="auto"/>
            </w:tcBorders>
            <w:shd w:val="clear" w:color="auto" w:fill="auto"/>
            <w:noWrap/>
            <w:vAlign w:val="bottom"/>
            <w:hideMark/>
          </w:tcPr>
          <w:p w14:paraId="4E32816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600 405</w:t>
            </w:r>
          </w:p>
        </w:tc>
        <w:tc>
          <w:tcPr>
            <w:tcW w:w="1280" w:type="dxa"/>
            <w:tcBorders>
              <w:top w:val="nil"/>
              <w:left w:val="nil"/>
              <w:bottom w:val="single" w:sz="4" w:space="0" w:color="auto"/>
              <w:right w:val="single" w:sz="4" w:space="0" w:color="auto"/>
            </w:tcBorders>
            <w:shd w:val="clear" w:color="auto" w:fill="auto"/>
            <w:noWrap/>
            <w:vAlign w:val="bottom"/>
            <w:hideMark/>
          </w:tcPr>
          <w:p w14:paraId="029ADEC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677 533</w:t>
            </w:r>
          </w:p>
        </w:tc>
      </w:tr>
      <w:tr w:rsidR="00E61582" w:rsidRPr="00E61582" w14:paraId="0CDFD378"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4FBBB501"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AiM</w:t>
            </w:r>
          </w:p>
        </w:tc>
        <w:tc>
          <w:tcPr>
            <w:tcW w:w="1300" w:type="dxa"/>
            <w:tcBorders>
              <w:top w:val="nil"/>
              <w:left w:val="nil"/>
              <w:bottom w:val="single" w:sz="4" w:space="0" w:color="auto"/>
              <w:right w:val="single" w:sz="4" w:space="0" w:color="auto"/>
            </w:tcBorders>
            <w:shd w:val="clear" w:color="auto" w:fill="auto"/>
            <w:noWrap/>
            <w:vAlign w:val="bottom"/>
            <w:hideMark/>
          </w:tcPr>
          <w:p w14:paraId="6F1BC07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1 801 527</w:t>
            </w:r>
          </w:p>
        </w:tc>
        <w:tc>
          <w:tcPr>
            <w:tcW w:w="1280" w:type="dxa"/>
            <w:tcBorders>
              <w:top w:val="nil"/>
              <w:left w:val="nil"/>
              <w:bottom w:val="single" w:sz="4" w:space="0" w:color="auto"/>
              <w:right w:val="single" w:sz="4" w:space="0" w:color="auto"/>
            </w:tcBorders>
            <w:shd w:val="clear" w:color="auto" w:fill="auto"/>
            <w:noWrap/>
            <w:vAlign w:val="bottom"/>
            <w:hideMark/>
          </w:tcPr>
          <w:p w14:paraId="16B29ED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2 539 490</w:t>
            </w:r>
          </w:p>
        </w:tc>
        <w:tc>
          <w:tcPr>
            <w:tcW w:w="1240" w:type="dxa"/>
            <w:tcBorders>
              <w:top w:val="nil"/>
              <w:left w:val="nil"/>
              <w:bottom w:val="single" w:sz="4" w:space="0" w:color="auto"/>
              <w:right w:val="single" w:sz="4" w:space="0" w:color="auto"/>
            </w:tcBorders>
            <w:shd w:val="clear" w:color="auto" w:fill="auto"/>
            <w:noWrap/>
            <w:vAlign w:val="bottom"/>
            <w:hideMark/>
          </w:tcPr>
          <w:p w14:paraId="5D849E9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1 812 529</w:t>
            </w:r>
          </w:p>
        </w:tc>
        <w:tc>
          <w:tcPr>
            <w:tcW w:w="1280" w:type="dxa"/>
            <w:tcBorders>
              <w:top w:val="nil"/>
              <w:left w:val="nil"/>
              <w:bottom w:val="single" w:sz="4" w:space="0" w:color="auto"/>
              <w:right w:val="single" w:sz="4" w:space="0" w:color="auto"/>
            </w:tcBorders>
            <w:shd w:val="clear" w:color="auto" w:fill="auto"/>
            <w:noWrap/>
            <w:vAlign w:val="bottom"/>
            <w:hideMark/>
          </w:tcPr>
          <w:p w14:paraId="43C58DD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3 044 687</w:t>
            </w:r>
          </w:p>
        </w:tc>
      </w:tr>
      <w:tr w:rsidR="00E61582" w:rsidRPr="00E61582" w14:paraId="5E608FBB"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01C04BF5"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IZM</w:t>
            </w:r>
          </w:p>
        </w:tc>
        <w:tc>
          <w:tcPr>
            <w:tcW w:w="1300" w:type="dxa"/>
            <w:tcBorders>
              <w:top w:val="nil"/>
              <w:left w:val="nil"/>
              <w:bottom w:val="single" w:sz="4" w:space="0" w:color="auto"/>
              <w:right w:val="single" w:sz="4" w:space="0" w:color="auto"/>
            </w:tcBorders>
            <w:shd w:val="clear" w:color="auto" w:fill="auto"/>
            <w:noWrap/>
            <w:vAlign w:val="bottom"/>
            <w:hideMark/>
          </w:tcPr>
          <w:p w14:paraId="492EB3A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121 694</w:t>
            </w:r>
          </w:p>
        </w:tc>
        <w:tc>
          <w:tcPr>
            <w:tcW w:w="1280" w:type="dxa"/>
            <w:tcBorders>
              <w:top w:val="nil"/>
              <w:left w:val="nil"/>
              <w:bottom w:val="single" w:sz="4" w:space="0" w:color="auto"/>
              <w:right w:val="single" w:sz="4" w:space="0" w:color="auto"/>
            </w:tcBorders>
            <w:shd w:val="clear" w:color="auto" w:fill="auto"/>
            <w:noWrap/>
            <w:vAlign w:val="bottom"/>
            <w:hideMark/>
          </w:tcPr>
          <w:p w14:paraId="1FAF93C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154 847</w:t>
            </w:r>
          </w:p>
        </w:tc>
        <w:tc>
          <w:tcPr>
            <w:tcW w:w="1240" w:type="dxa"/>
            <w:tcBorders>
              <w:top w:val="nil"/>
              <w:left w:val="nil"/>
              <w:bottom w:val="single" w:sz="4" w:space="0" w:color="auto"/>
              <w:right w:val="single" w:sz="4" w:space="0" w:color="auto"/>
            </w:tcBorders>
            <w:shd w:val="clear" w:color="auto" w:fill="auto"/>
            <w:noWrap/>
            <w:vAlign w:val="bottom"/>
            <w:hideMark/>
          </w:tcPr>
          <w:p w14:paraId="2DC4C59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73 629</w:t>
            </w:r>
          </w:p>
        </w:tc>
        <w:tc>
          <w:tcPr>
            <w:tcW w:w="1280" w:type="dxa"/>
            <w:tcBorders>
              <w:top w:val="nil"/>
              <w:left w:val="nil"/>
              <w:bottom w:val="single" w:sz="4" w:space="0" w:color="auto"/>
              <w:right w:val="single" w:sz="4" w:space="0" w:color="auto"/>
            </w:tcBorders>
            <w:shd w:val="clear" w:color="auto" w:fill="auto"/>
            <w:noWrap/>
            <w:vAlign w:val="bottom"/>
            <w:hideMark/>
          </w:tcPr>
          <w:p w14:paraId="70DCB6D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61 075</w:t>
            </w:r>
          </w:p>
        </w:tc>
      </w:tr>
      <w:tr w:rsidR="00E61582" w:rsidRPr="00E61582" w14:paraId="5529F1DE"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3976E98D"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KM</w:t>
            </w:r>
          </w:p>
        </w:tc>
        <w:tc>
          <w:tcPr>
            <w:tcW w:w="1300" w:type="dxa"/>
            <w:tcBorders>
              <w:top w:val="nil"/>
              <w:left w:val="nil"/>
              <w:bottom w:val="single" w:sz="4" w:space="0" w:color="auto"/>
              <w:right w:val="single" w:sz="4" w:space="0" w:color="auto"/>
            </w:tcBorders>
            <w:shd w:val="clear" w:color="auto" w:fill="auto"/>
            <w:noWrap/>
            <w:vAlign w:val="bottom"/>
            <w:hideMark/>
          </w:tcPr>
          <w:p w14:paraId="21EAA04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162 174</w:t>
            </w:r>
          </w:p>
        </w:tc>
        <w:tc>
          <w:tcPr>
            <w:tcW w:w="1280" w:type="dxa"/>
            <w:tcBorders>
              <w:top w:val="nil"/>
              <w:left w:val="nil"/>
              <w:bottom w:val="single" w:sz="4" w:space="0" w:color="auto"/>
              <w:right w:val="single" w:sz="4" w:space="0" w:color="auto"/>
            </w:tcBorders>
            <w:shd w:val="clear" w:color="auto" w:fill="auto"/>
            <w:noWrap/>
            <w:vAlign w:val="bottom"/>
            <w:hideMark/>
          </w:tcPr>
          <w:p w14:paraId="4113F71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171 323</w:t>
            </w:r>
          </w:p>
        </w:tc>
        <w:tc>
          <w:tcPr>
            <w:tcW w:w="1240" w:type="dxa"/>
            <w:tcBorders>
              <w:top w:val="nil"/>
              <w:left w:val="nil"/>
              <w:bottom w:val="single" w:sz="4" w:space="0" w:color="auto"/>
              <w:right w:val="single" w:sz="4" w:space="0" w:color="auto"/>
            </w:tcBorders>
            <w:shd w:val="clear" w:color="auto" w:fill="auto"/>
            <w:noWrap/>
            <w:vAlign w:val="bottom"/>
            <w:hideMark/>
          </w:tcPr>
          <w:p w14:paraId="35FB471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206 485</w:t>
            </w:r>
          </w:p>
        </w:tc>
        <w:tc>
          <w:tcPr>
            <w:tcW w:w="1280" w:type="dxa"/>
            <w:tcBorders>
              <w:top w:val="nil"/>
              <w:left w:val="nil"/>
              <w:bottom w:val="single" w:sz="4" w:space="0" w:color="auto"/>
              <w:right w:val="single" w:sz="4" w:space="0" w:color="auto"/>
            </w:tcBorders>
            <w:shd w:val="clear" w:color="auto" w:fill="auto"/>
            <w:noWrap/>
            <w:vAlign w:val="bottom"/>
            <w:hideMark/>
          </w:tcPr>
          <w:p w14:paraId="03E3CC8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85 058</w:t>
            </w:r>
          </w:p>
        </w:tc>
      </w:tr>
      <w:tr w:rsidR="00E61582" w:rsidRPr="00E61582" w14:paraId="592EAD4F"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4530AC89"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EM</w:t>
            </w:r>
          </w:p>
        </w:tc>
        <w:tc>
          <w:tcPr>
            <w:tcW w:w="1300" w:type="dxa"/>
            <w:tcBorders>
              <w:top w:val="nil"/>
              <w:left w:val="nil"/>
              <w:bottom w:val="single" w:sz="4" w:space="0" w:color="auto"/>
              <w:right w:val="single" w:sz="4" w:space="0" w:color="auto"/>
            </w:tcBorders>
            <w:shd w:val="clear" w:color="auto" w:fill="auto"/>
            <w:noWrap/>
            <w:vAlign w:val="bottom"/>
            <w:hideMark/>
          </w:tcPr>
          <w:p w14:paraId="7757EA4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11 490</w:t>
            </w:r>
          </w:p>
        </w:tc>
        <w:tc>
          <w:tcPr>
            <w:tcW w:w="1280" w:type="dxa"/>
            <w:tcBorders>
              <w:top w:val="nil"/>
              <w:left w:val="nil"/>
              <w:bottom w:val="single" w:sz="4" w:space="0" w:color="auto"/>
              <w:right w:val="single" w:sz="4" w:space="0" w:color="auto"/>
            </w:tcBorders>
            <w:shd w:val="clear" w:color="auto" w:fill="auto"/>
            <w:noWrap/>
            <w:vAlign w:val="bottom"/>
            <w:hideMark/>
          </w:tcPr>
          <w:p w14:paraId="02C3457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7 044</w:t>
            </w:r>
          </w:p>
        </w:tc>
        <w:tc>
          <w:tcPr>
            <w:tcW w:w="1240" w:type="dxa"/>
            <w:tcBorders>
              <w:top w:val="nil"/>
              <w:left w:val="nil"/>
              <w:bottom w:val="single" w:sz="4" w:space="0" w:color="auto"/>
              <w:right w:val="single" w:sz="4" w:space="0" w:color="auto"/>
            </w:tcBorders>
            <w:shd w:val="clear" w:color="auto" w:fill="auto"/>
            <w:noWrap/>
            <w:vAlign w:val="bottom"/>
            <w:hideMark/>
          </w:tcPr>
          <w:p w14:paraId="184D9FF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12 138</w:t>
            </w:r>
          </w:p>
        </w:tc>
        <w:tc>
          <w:tcPr>
            <w:tcW w:w="1280" w:type="dxa"/>
            <w:tcBorders>
              <w:top w:val="nil"/>
              <w:left w:val="nil"/>
              <w:bottom w:val="single" w:sz="4" w:space="0" w:color="auto"/>
              <w:right w:val="single" w:sz="4" w:space="0" w:color="auto"/>
            </w:tcBorders>
            <w:shd w:val="clear" w:color="auto" w:fill="auto"/>
            <w:noWrap/>
            <w:vAlign w:val="bottom"/>
            <w:hideMark/>
          </w:tcPr>
          <w:p w14:paraId="74FE41C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71 820</w:t>
            </w:r>
          </w:p>
        </w:tc>
      </w:tr>
      <w:tr w:rsidR="00E61582" w:rsidRPr="00E61582" w14:paraId="6965FB7A"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6EBBA21D"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TM</w:t>
            </w:r>
          </w:p>
        </w:tc>
        <w:tc>
          <w:tcPr>
            <w:tcW w:w="1300" w:type="dxa"/>
            <w:tcBorders>
              <w:top w:val="nil"/>
              <w:left w:val="nil"/>
              <w:bottom w:val="single" w:sz="4" w:space="0" w:color="auto"/>
              <w:right w:val="single" w:sz="4" w:space="0" w:color="auto"/>
            </w:tcBorders>
            <w:shd w:val="clear" w:color="auto" w:fill="auto"/>
            <w:noWrap/>
            <w:vAlign w:val="bottom"/>
            <w:hideMark/>
          </w:tcPr>
          <w:p w14:paraId="2F471A6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14 825</w:t>
            </w:r>
          </w:p>
        </w:tc>
        <w:tc>
          <w:tcPr>
            <w:tcW w:w="1280" w:type="dxa"/>
            <w:tcBorders>
              <w:top w:val="nil"/>
              <w:left w:val="nil"/>
              <w:bottom w:val="single" w:sz="4" w:space="0" w:color="auto"/>
              <w:right w:val="single" w:sz="4" w:space="0" w:color="auto"/>
            </w:tcBorders>
            <w:shd w:val="clear" w:color="auto" w:fill="auto"/>
            <w:noWrap/>
            <w:vAlign w:val="bottom"/>
            <w:hideMark/>
          </w:tcPr>
          <w:p w14:paraId="55CC188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17 808</w:t>
            </w:r>
          </w:p>
        </w:tc>
        <w:tc>
          <w:tcPr>
            <w:tcW w:w="1240" w:type="dxa"/>
            <w:tcBorders>
              <w:top w:val="nil"/>
              <w:left w:val="nil"/>
              <w:bottom w:val="single" w:sz="4" w:space="0" w:color="auto"/>
              <w:right w:val="single" w:sz="4" w:space="0" w:color="auto"/>
            </w:tcBorders>
            <w:shd w:val="clear" w:color="auto" w:fill="auto"/>
            <w:noWrap/>
            <w:vAlign w:val="bottom"/>
            <w:hideMark/>
          </w:tcPr>
          <w:p w14:paraId="11D53D8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11 643</w:t>
            </w:r>
          </w:p>
        </w:tc>
        <w:tc>
          <w:tcPr>
            <w:tcW w:w="1280" w:type="dxa"/>
            <w:tcBorders>
              <w:top w:val="nil"/>
              <w:left w:val="nil"/>
              <w:bottom w:val="single" w:sz="4" w:space="0" w:color="auto"/>
              <w:right w:val="single" w:sz="4" w:space="0" w:color="auto"/>
            </w:tcBorders>
            <w:shd w:val="clear" w:color="auto" w:fill="auto"/>
            <w:noWrap/>
            <w:vAlign w:val="bottom"/>
            <w:hideMark/>
          </w:tcPr>
          <w:p w14:paraId="3CA6E32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22 471</w:t>
            </w:r>
          </w:p>
        </w:tc>
      </w:tr>
      <w:tr w:rsidR="00E61582" w:rsidRPr="00E61582" w14:paraId="14C03251"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086D7820"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ĀM</w:t>
            </w:r>
          </w:p>
        </w:tc>
        <w:tc>
          <w:tcPr>
            <w:tcW w:w="1300" w:type="dxa"/>
            <w:tcBorders>
              <w:top w:val="nil"/>
              <w:left w:val="nil"/>
              <w:bottom w:val="single" w:sz="4" w:space="0" w:color="auto"/>
              <w:right w:val="single" w:sz="4" w:space="0" w:color="auto"/>
            </w:tcBorders>
            <w:shd w:val="clear" w:color="auto" w:fill="auto"/>
            <w:noWrap/>
            <w:vAlign w:val="bottom"/>
            <w:hideMark/>
          </w:tcPr>
          <w:p w14:paraId="6AA6205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179 780</w:t>
            </w:r>
          </w:p>
        </w:tc>
        <w:tc>
          <w:tcPr>
            <w:tcW w:w="1280" w:type="dxa"/>
            <w:tcBorders>
              <w:top w:val="nil"/>
              <w:left w:val="nil"/>
              <w:bottom w:val="single" w:sz="4" w:space="0" w:color="auto"/>
              <w:right w:val="single" w:sz="4" w:space="0" w:color="auto"/>
            </w:tcBorders>
            <w:shd w:val="clear" w:color="auto" w:fill="auto"/>
            <w:noWrap/>
            <w:vAlign w:val="bottom"/>
            <w:hideMark/>
          </w:tcPr>
          <w:p w14:paraId="0232A23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217 786</w:t>
            </w:r>
          </w:p>
        </w:tc>
        <w:tc>
          <w:tcPr>
            <w:tcW w:w="1240" w:type="dxa"/>
            <w:tcBorders>
              <w:top w:val="nil"/>
              <w:left w:val="nil"/>
              <w:bottom w:val="single" w:sz="4" w:space="0" w:color="auto"/>
              <w:right w:val="single" w:sz="4" w:space="0" w:color="auto"/>
            </w:tcBorders>
            <w:shd w:val="clear" w:color="auto" w:fill="auto"/>
            <w:noWrap/>
            <w:vAlign w:val="bottom"/>
            <w:hideMark/>
          </w:tcPr>
          <w:p w14:paraId="6B85C2D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10 935</w:t>
            </w:r>
          </w:p>
        </w:tc>
        <w:tc>
          <w:tcPr>
            <w:tcW w:w="1280" w:type="dxa"/>
            <w:tcBorders>
              <w:top w:val="nil"/>
              <w:left w:val="nil"/>
              <w:bottom w:val="single" w:sz="4" w:space="0" w:color="auto"/>
              <w:right w:val="single" w:sz="4" w:space="0" w:color="auto"/>
            </w:tcBorders>
            <w:shd w:val="clear" w:color="auto" w:fill="auto"/>
            <w:noWrap/>
            <w:vAlign w:val="bottom"/>
            <w:hideMark/>
          </w:tcPr>
          <w:p w14:paraId="0590880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18 118</w:t>
            </w:r>
          </w:p>
        </w:tc>
      </w:tr>
      <w:tr w:rsidR="00E61582" w:rsidRPr="00E61582" w14:paraId="7FAEA5AC"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2C570DDE"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VM</w:t>
            </w:r>
          </w:p>
        </w:tc>
        <w:tc>
          <w:tcPr>
            <w:tcW w:w="1300" w:type="dxa"/>
            <w:tcBorders>
              <w:top w:val="nil"/>
              <w:left w:val="nil"/>
              <w:bottom w:val="single" w:sz="4" w:space="0" w:color="auto"/>
              <w:right w:val="single" w:sz="4" w:space="0" w:color="auto"/>
            </w:tcBorders>
            <w:shd w:val="clear" w:color="auto" w:fill="auto"/>
            <w:noWrap/>
            <w:vAlign w:val="bottom"/>
            <w:hideMark/>
          </w:tcPr>
          <w:p w14:paraId="22BBB93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10 720</w:t>
            </w:r>
          </w:p>
        </w:tc>
        <w:tc>
          <w:tcPr>
            <w:tcW w:w="1280" w:type="dxa"/>
            <w:tcBorders>
              <w:top w:val="nil"/>
              <w:left w:val="nil"/>
              <w:bottom w:val="single" w:sz="4" w:space="0" w:color="auto"/>
              <w:right w:val="single" w:sz="4" w:space="0" w:color="auto"/>
            </w:tcBorders>
            <w:shd w:val="clear" w:color="auto" w:fill="auto"/>
            <w:noWrap/>
            <w:vAlign w:val="bottom"/>
            <w:hideMark/>
          </w:tcPr>
          <w:p w14:paraId="16BD5C5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9 013</w:t>
            </w:r>
          </w:p>
        </w:tc>
        <w:tc>
          <w:tcPr>
            <w:tcW w:w="1240" w:type="dxa"/>
            <w:tcBorders>
              <w:top w:val="nil"/>
              <w:left w:val="nil"/>
              <w:bottom w:val="single" w:sz="4" w:space="0" w:color="auto"/>
              <w:right w:val="single" w:sz="4" w:space="0" w:color="auto"/>
            </w:tcBorders>
            <w:shd w:val="clear" w:color="auto" w:fill="auto"/>
            <w:noWrap/>
            <w:vAlign w:val="bottom"/>
            <w:hideMark/>
          </w:tcPr>
          <w:p w14:paraId="798BEB3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104 904</w:t>
            </w:r>
          </w:p>
        </w:tc>
        <w:tc>
          <w:tcPr>
            <w:tcW w:w="1280" w:type="dxa"/>
            <w:tcBorders>
              <w:top w:val="nil"/>
              <w:left w:val="nil"/>
              <w:bottom w:val="single" w:sz="4" w:space="0" w:color="auto"/>
              <w:right w:val="single" w:sz="4" w:space="0" w:color="auto"/>
            </w:tcBorders>
            <w:shd w:val="clear" w:color="auto" w:fill="auto"/>
            <w:noWrap/>
            <w:vAlign w:val="bottom"/>
            <w:hideMark/>
          </w:tcPr>
          <w:p w14:paraId="07CA872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14 500</w:t>
            </w:r>
          </w:p>
        </w:tc>
      </w:tr>
      <w:tr w:rsidR="00E61582" w:rsidRPr="00E61582" w14:paraId="6A1E04A8"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6A16A986"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ZM</w:t>
            </w:r>
          </w:p>
        </w:tc>
        <w:tc>
          <w:tcPr>
            <w:tcW w:w="1300" w:type="dxa"/>
            <w:tcBorders>
              <w:top w:val="nil"/>
              <w:left w:val="nil"/>
              <w:bottom w:val="single" w:sz="4" w:space="0" w:color="auto"/>
              <w:right w:val="single" w:sz="4" w:space="0" w:color="auto"/>
            </w:tcBorders>
            <w:shd w:val="clear" w:color="auto" w:fill="auto"/>
            <w:noWrap/>
            <w:vAlign w:val="bottom"/>
            <w:hideMark/>
          </w:tcPr>
          <w:p w14:paraId="0272653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18 036</w:t>
            </w:r>
          </w:p>
        </w:tc>
        <w:tc>
          <w:tcPr>
            <w:tcW w:w="1280" w:type="dxa"/>
            <w:tcBorders>
              <w:top w:val="nil"/>
              <w:left w:val="nil"/>
              <w:bottom w:val="single" w:sz="4" w:space="0" w:color="auto"/>
              <w:right w:val="single" w:sz="4" w:space="0" w:color="auto"/>
            </w:tcBorders>
            <w:shd w:val="clear" w:color="auto" w:fill="auto"/>
            <w:noWrap/>
            <w:vAlign w:val="bottom"/>
            <w:hideMark/>
          </w:tcPr>
          <w:p w14:paraId="79A1487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12 537</w:t>
            </w:r>
          </w:p>
        </w:tc>
        <w:tc>
          <w:tcPr>
            <w:tcW w:w="1240" w:type="dxa"/>
            <w:tcBorders>
              <w:top w:val="nil"/>
              <w:left w:val="nil"/>
              <w:bottom w:val="single" w:sz="4" w:space="0" w:color="auto"/>
              <w:right w:val="single" w:sz="4" w:space="0" w:color="auto"/>
            </w:tcBorders>
            <w:shd w:val="clear" w:color="auto" w:fill="auto"/>
            <w:noWrap/>
            <w:vAlign w:val="bottom"/>
            <w:hideMark/>
          </w:tcPr>
          <w:p w14:paraId="3B65EF8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22 744</w:t>
            </w:r>
          </w:p>
        </w:tc>
        <w:tc>
          <w:tcPr>
            <w:tcW w:w="1280" w:type="dxa"/>
            <w:tcBorders>
              <w:top w:val="nil"/>
              <w:left w:val="nil"/>
              <w:bottom w:val="single" w:sz="4" w:space="0" w:color="auto"/>
              <w:right w:val="single" w:sz="4" w:space="0" w:color="auto"/>
            </w:tcBorders>
            <w:shd w:val="clear" w:color="auto" w:fill="auto"/>
            <w:noWrap/>
            <w:vAlign w:val="bottom"/>
            <w:hideMark/>
          </w:tcPr>
          <w:p w14:paraId="50A1CC0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12 351</w:t>
            </w:r>
          </w:p>
        </w:tc>
      </w:tr>
      <w:tr w:rsidR="00E61582" w:rsidRPr="00E61582" w14:paraId="33E9383B"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1CA59D7D"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VARAM</w:t>
            </w:r>
          </w:p>
        </w:tc>
        <w:tc>
          <w:tcPr>
            <w:tcW w:w="1300" w:type="dxa"/>
            <w:tcBorders>
              <w:top w:val="nil"/>
              <w:left w:val="nil"/>
              <w:bottom w:val="single" w:sz="4" w:space="0" w:color="auto"/>
              <w:right w:val="single" w:sz="4" w:space="0" w:color="auto"/>
            </w:tcBorders>
            <w:shd w:val="clear" w:color="auto" w:fill="auto"/>
            <w:noWrap/>
            <w:vAlign w:val="bottom"/>
            <w:hideMark/>
          </w:tcPr>
          <w:p w14:paraId="189792F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4 644</w:t>
            </w:r>
          </w:p>
        </w:tc>
        <w:tc>
          <w:tcPr>
            <w:tcW w:w="1280" w:type="dxa"/>
            <w:tcBorders>
              <w:top w:val="nil"/>
              <w:left w:val="nil"/>
              <w:bottom w:val="single" w:sz="4" w:space="0" w:color="auto"/>
              <w:right w:val="single" w:sz="4" w:space="0" w:color="auto"/>
            </w:tcBorders>
            <w:shd w:val="clear" w:color="auto" w:fill="auto"/>
            <w:noWrap/>
            <w:vAlign w:val="bottom"/>
            <w:hideMark/>
          </w:tcPr>
          <w:p w14:paraId="09ECC27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4 505</w:t>
            </w:r>
          </w:p>
        </w:tc>
        <w:tc>
          <w:tcPr>
            <w:tcW w:w="1240" w:type="dxa"/>
            <w:tcBorders>
              <w:top w:val="nil"/>
              <w:left w:val="nil"/>
              <w:bottom w:val="single" w:sz="4" w:space="0" w:color="auto"/>
              <w:right w:val="single" w:sz="4" w:space="0" w:color="auto"/>
            </w:tcBorders>
            <w:shd w:val="clear" w:color="auto" w:fill="auto"/>
            <w:noWrap/>
            <w:vAlign w:val="bottom"/>
            <w:hideMark/>
          </w:tcPr>
          <w:p w14:paraId="5AEC97A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4 097</w:t>
            </w:r>
          </w:p>
        </w:tc>
        <w:tc>
          <w:tcPr>
            <w:tcW w:w="1280" w:type="dxa"/>
            <w:tcBorders>
              <w:top w:val="nil"/>
              <w:left w:val="nil"/>
              <w:bottom w:val="single" w:sz="4" w:space="0" w:color="auto"/>
              <w:right w:val="single" w:sz="4" w:space="0" w:color="auto"/>
            </w:tcBorders>
            <w:shd w:val="clear" w:color="auto" w:fill="auto"/>
            <w:noWrap/>
            <w:vAlign w:val="bottom"/>
            <w:hideMark/>
          </w:tcPr>
          <w:p w14:paraId="4182043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6 338</w:t>
            </w:r>
          </w:p>
        </w:tc>
      </w:tr>
      <w:tr w:rsidR="00E61582" w:rsidRPr="00E61582" w14:paraId="74C07328"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151EFF63"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FM</w:t>
            </w:r>
          </w:p>
        </w:tc>
        <w:tc>
          <w:tcPr>
            <w:tcW w:w="1300" w:type="dxa"/>
            <w:tcBorders>
              <w:top w:val="nil"/>
              <w:left w:val="nil"/>
              <w:bottom w:val="single" w:sz="4" w:space="0" w:color="auto"/>
              <w:right w:val="single" w:sz="4" w:space="0" w:color="auto"/>
            </w:tcBorders>
            <w:shd w:val="clear" w:color="auto" w:fill="auto"/>
            <w:noWrap/>
            <w:vAlign w:val="bottom"/>
            <w:hideMark/>
          </w:tcPr>
          <w:p w14:paraId="6138252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5 210</w:t>
            </w:r>
          </w:p>
        </w:tc>
        <w:tc>
          <w:tcPr>
            <w:tcW w:w="1280" w:type="dxa"/>
            <w:tcBorders>
              <w:top w:val="nil"/>
              <w:left w:val="nil"/>
              <w:bottom w:val="single" w:sz="4" w:space="0" w:color="auto"/>
              <w:right w:val="single" w:sz="4" w:space="0" w:color="auto"/>
            </w:tcBorders>
            <w:shd w:val="clear" w:color="auto" w:fill="auto"/>
            <w:noWrap/>
            <w:vAlign w:val="bottom"/>
            <w:hideMark/>
          </w:tcPr>
          <w:p w14:paraId="41F6E94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1 731</w:t>
            </w:r>
          </w:p>
        </w:tc>
        <w:tc>
          <w:tcPr>
            <w:tcW w:w="1240" w:type="dxa"/>
            <w:tcBorders>
              <w:top w:val="nil"/>
              <w:left w:val="nil"/>
              <w:bottom w:val="single" w:sz="4" w:space="0" w:color="auto"/>
              <w:right w:val="single" w:sz="4" w:space="0" w:color="auto"/>
            </w:tcBorders>
            <w:shd w:val="clear" w:color="auto" w:fill="auto"/>
            <w:noWrap/>
            <w:vAlign w:val="bottom"/>
            <w:hideMark/>
          </w:tcPr>
          <w:p w14:paraId="385FBF3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1 219</w:t>
            </w:r>
          </w:p>
        </w:tc>
        <w:tc>
          <w:tcPr>
            <w:tcW w:w="1280" w:type="dxa"/>
            <w:tcBorders>
              <w:top w:val="nil"/>
              <w:left w:val="nil"/>
              <w:bottom w:val="single" w:sz="4" w:space="0" w:color="auto"/>
              <w:right w:val="single" w:sz="4" w:space="0" w:color="auto"/>
            </w:tcBorders>
            <w:shd w:val="clear" w:color="auto" w:fill="auto"/>
            <w:noWrap/>
            <w:vAlign w:val="bottom"/>
            <w:hideMark/>
          </w:tcPr>
          <w:p w14:paraId="4C36FE2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4 704</w:t>
            </w:r>
          </w:p>
        </w:tc>
      </w:tr>
      <w:tr w:rsidR="00E61582" w:rsidRPr="00E61582" w14:paraId="6520E5F5"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160EBBB2"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SM</w:t>
            </w:r>
          </w:p>
        </w:tc>
        <w:tc>
          <w:tcPr>
            <w:tcW w:w="1300" w:type="dxa"/>
            <w:tcBorders>
              <w:top w:val="nil"/>
              <w:left w:val="nil"/>
              <w:bottom w:val="single" w:sz="4" w:space="0" w:color="auto"/>
              <w:right w:val="single" w:sz="4" w:space="0" w:color="auto"/>
            </w:tcBorders>
            <w:shd w:val="clear" w:color="auto" w:fill="auto"/>
            <w:noWrap/>
            <w:vAlign w:val="bottom"/>
            <w:hideMark/>
          </w:tcPr>
          <w:p w14:paraId="4E43605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5 151</w:t>
            </w:r>
          </w:p>
        </w:tc>
        <w:tc>
          <w:tcPr>
            <w:tcW w:w="1280" w:type="dxa"/>
            <w:tcBorders>
              <w:top w:val="nil"/>
              <w:left w:val="nil"/>
              <w:bottom w:val="single" w:sz="4" w:space="0" w:color="auto"/>
              <w:right w:val="single" w:sz="4" w:space="0" w:color="auto"/>
            </w:tcBorders>
            <w:shd w:val="clear" w:color="auto" w:fill="auto"/>
            <w:noWrap/>
            <w:vAlign w:val="bottom"/>
            <w:hideMark/>
          </w:tcPr>
          <w:p w14:paraId="09D50C0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14:paraId="4D3A66F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0</w:t>
            </w:r>
          </w:p>
        </w:tc>
        <w:tc>
          <w:tcPr>
            <w:tcW w:w="1280" w:type="dxa"/>
            <w:tcBorders>
              <w:top w:val="nil"/>
              <w:left w:val="nil"/>
              <w:bottom w:val="single" w:sz="4" w:space="0" w:color="auto"/>
              <w:right w:val="single" w:sz="4" w:space="0" w:color="auto"/>
            </w:tcBorders>
            <w:shd w:val="clear" w:color="auto" w:fill="auto"/>
            <w:noWrap/>
            <w:vAlign w:val="bottom"/>
            <w:hideMark/>
          </w:tcPr>
          <w:p w14:paraId="548DF5F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50</w:t>
            </w:r>
          </w:p>
        </w:tc>
      </w:tr>
      <w:tr w:rsidR="00E61582" w:rsidRPr="00E61582" w14:paraId="4BDFE404" w14:textId="77777777" w:rsidTr="002C24FA">
        <w:trPr>
          <w:trHeight w:val="300"/>
          <w:jc w:val="center"/>
        </w:trPr>
        <w:tc>
          <w:tcPr>
            <w:tcW w:w="2096" w:type="dxa"/>
            <w:tcBorders>
              <w:top w:val="nil"/>
              <w:left w:val="single" w:sz="4" w:space="0" w:color="auto"/>
              <w:bottom w:val="single" w:sz="4" w:space="0" w:color="auto"/>
              <w:right w:val="single" w:sz="4" w:space="0" w:color="auto"/>
            </w:tcBorders>
            <w:shd w:val="clear" w:color="auto" w:fill="auto"/>
            <w:noWrap/>
            <w:vAlign w:val="bottom"/>
            <w:hideMark/>
          </w:tcPr>
          <w:p w14:paraId="3A22C5D1"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LM</w:t>
            </w:r>
          </w:p>
        </w:tc>
        <w:tc>
          <w:tcPr>
            <w:tcW w:w="1300" w:type="dxa"/>
            <w:tcBorders>
              <w:top w:val="nil"/>
              <w:left w:val="nil"/>
              <w:bottom w:val="single" w:sz="4" w:space="0" w:color="auto"/>
              <w:right w:val="single" w:sz="4" w:space="0" w:color="auto"/>
            </w:tcBorders>
            <w:shd w:val="clear" w:color="auto" w:fill="auto"/>
            <w:noWrap/>
            <w:vAlign w:val="bottom"/>
            <w:hideMark/>
          </w:tcPr>
          <w:p w14:paraId="630BA64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45 729</w:t>
            </w:r>
          </w:p>
        </w:tc>
        <w:tc>
          <w:tcPr>
            <w:tcW w:w="1280" w:type="dxa"/>
            <w:tcBorders>
              <w:top w:val="nil"/>
              <w:left w:val="nil"/>
              <w:bottom w:val="single" w:sz="4" w:space="0" w:color="auto"/>
              <w:right w:val="single" w:sz="4" w:space="0" w:color="auto"/>
            </w:tcBorders>
            <w:shd w:val="clear" w:color="auto" w:fill="auto"/>
            <w:noWrap/>
            <w:vAlign w:val="bottom"/>
            <w:hideMark/>
          </w:tcPr>
          <w:p w14:paraId="50F723A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16 846</w:t>
            </w:r>
          </w:p>
        </w:tc>
        <w:tc>
          <w:tcPr>
            <w:tcW w:w="1240" w:type="dxa"/>
            <w:tcBorders>
              <w:top w:val="nil"/>
              <w:left w:val="nil"/>
              <w:bottom w:val="single" w:sz="4" w:space="0" w:color="auto"/>
              <w:right w:val="single" w:sz="4" w:space="0" w:color="auto"/>
            </w:tcBorders>
            <w:shd w:val="clear" w:color="auto" w:fill="auto"/>
            <w:noWrap/>
            <w:vAlign w:val="bottom"/>
            <w:hideMark/>
          </w:tcPr>
          <w:p w14:paraId="34205F9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6 874</w:t>
            </w:r>
          </w:p>
        </w:tc>
        <w:tc>
          <w:tcPr>
            <w:tcW w:w="1280" w:type="dxa"/>
            <w:tcBorders>
              <w:top w:val="nil"/>
              <w:left w:val="nil"/>
              <w:bottom w:val="single" w:sz="4" w:space="0" w:color="auto"/>
              <w:right w:val="single" w:sz="4" w:space="0" w:color="auto"/>
            </w:tcBorders>
            <w:shd w:val="clear" w:color="auto" w:fill="auto"/>
            <w:noWrap/>
            <w:vAlign w:val="bottom"/>
            <w:hideMark/>
          </w:tcPr>
          <w:p w14:paraId="58FF0E9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6 018</w:t>
            </w:r>
          </w:p>
        </w:tc>
      </w:tr>
      <w:tr w:rsidR="00E61582" w:rsidRPr="00E61582" w14:paraId="60D57588" w14:textId="77777777" w:rsidTr="002C24FA">
        <w:trPr>
          <w:trHeight w:val="335"/>
          <w:jc w:val="center"/>
        </w:trPr>
        <w:tc>
          <w:tcPr>
            <w:tcW w:w="2096" w:type="dxa"/>
            <w:tcBorders>
              <w:top w:val="nil"/>
              <w:left w:val="single" w:sz="4" w:space="0" w:color="auto"/>
              <w:bottom w:val="single" w:sz="4" w:space="0" w:color="auto"/>
              <w:right w:val="single" w:sz="4" w:space="0" w:color="auto"/>
            </w:tcBorders>
            <w:shd w:val="clear" w:color="auto" w:fill="auto"/>
            <w:vAlign w:val="bottom"/>
            <w:hideMark/>
          </w:tcPr>
          <w:p w14:paraId="673B3E86" w14:textId="77777777" w:rsidR="00E61582" w:rsidRPr="00E61582" w:rsidRDefault="00E61582" w:rsidP="002C24FA">
            <w:pPr>
              <w:spacing w:after="0" w:line="240" w:lineRule="auto"/>
              <w:jc w:val="center"/>
              <w:rPr>
                <w:rFonts w:eastAsia="Times New Roman"/>
                <w:b/>
                <w:bCs/>
                <w:sz w:val="22"/>
                <w:lang w:val="lv-LV" w:eastAsia="lv-LV"/>
              </w:rPr>
            </w:pPr>
            <w:r w:rsidRPr="00E61582">
              <w:rPr>
                <w:rFonts w:eastAsia="Times New Roman"/>
                <w:b/>
                <w:bCs/>
                <w:sz w:val="22"/>
                <w:lang w:val="lv-LV" w:eastAsia="lv-LV"/>
              </w:rPr>
              <w:t>KOPĀ, ministrijas</w:t>
            </w:r>
          </w:p>
        </w:tc>
        <w:tc>
          <w:tcPr>
            <w:tcW w:w="1300" w:type="dxa"/>
            <w:tcBorders>
              <w:top w:val="nil"/>
              <w:left w:val="nil"/>
              <w:bottom w:val="single" w:sz="4" w:space="0" w:color="auto"/>
              <w:right w:val="single" w:sz="4" w:space="0" w:color="auto"/>
            </w:tcBorders>
            <w:shd w:val="clear" w:color="auto" w:fill="auto"/>
            <w:noWrap/>
            <w:vAlign w:val="bottom"/>
            <w:hideMark/>
          </w:tcPr>
          <w:p w14:paraId="66DA890C"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3 622 711</w:t>
            </w:r>
          </w:p>
        </w:tc>
        <w:tc>
          <w:tcPr>
            <w:tcW w:w="1280" w:type="dxa"/>
            <w:tcBorders>
              <w:top w:val="nil"/>
              <w:left w:val="nil"/>
              <w:bottom w:val="single" w:sz="4" w:space="0" w:color="auto"/>
              <w:right w:val="single" w:sz="4" w:space="0" w:color="auto"/>
            </w:tcBorders>
            <w:shd w:val="clear" w:color="auto" w:fill="auto"/>
            <w:noWrap/>
            <w:vAlign w:val="bottom"/>
            <w:hideMark/>
          </w:tcPr>
          <w:p w14:paraId="68C8808D"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3 940 838</w:t>
            </w:r>
          </w:p>
        </w:tc>
        <w:tc>
          <w:tcPr>
            <w:tcW w:w="1240" w:type="dxa"/>
            <w:tcBorders>
              <w:top w:val="nil"/>
              <w:left w:val="nil"/>
              <w:bottom w:val="single" w:sz="4" w:space="0" w:color="auto"/>
              <w:right w:val="single" w:sz="4" w:space="0" w:color="auto"/>
            </w:tcBorders>
            <w:shd w:val="clear" w:color="auto" w:fill="auto"/>
            <w:noWrap/>
            <w:vAlign w:val="bottom"/>
            <w:hideMark/>
          </w:tcPr>
          <w:p w14:paraId="6EF89057"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2 867 601</w:t>
            </w:r>
          </w:p>
        </w:tc>
        <w:tc>
          <w:tcPr>
            <w:tcW w:w="1280" w:type="dxa"/>
            <w:tcBorders>
              <w:top w:val="nil"/>
              <w:left w:val="nil"/>
              <w:bottom w:val="single" w:sz="4" w:space="0" w:color="auto"/>
              <w:right w:val="single" w:sz="4" w:space="0" w:color="auto"/>
            </w:tcBorders>
            <w:shd w:val="clear" w:color="auto" w:fill="auto"/>
            <w:noWrap/>
            <w:vAlign w:val="bottom"/>
            <w:hideMark/>
          </w:tcPr>
          <w:p w14:paraId="50C641C1"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4 024 723</w:t>
            </w:r>
          </w:p>
        </w:tc>
      </w:tr>
    </w:tbl>
    <w:p w14:paraId="780ADC3D" w14:textId="73520BBB" w:rsidR="00E61582" w:rsidRPr="00E61582" w:rsidRDefault="00E61582" w:rsidP="00E61582">
      <w:pPr>
        <w:spacing w:before="120"/>
        <w:ind w:firstLine="720"/>
        <w:rPr>
          <w:lang w:val="lv-LV"/>
        </w:rPr>
      </w:pPr>
      <w:r w:rsidRPr="00E61582">
        <w:rPr>
          <w:lang w:val="lv-LV"/>
        </w:rPr>
        <w:t>No tabulas Nr.</w:t>
      </w:r>
      <w:r w:rsidR="009B1A4B">
        <w:rPr>
          <w:lang w:val="lv-LV"/>
        </w:rPr>
        <w:t xml:space="preserve"> </w:t>
      </w:r>
      <w:r w:rsidRPr="00E61582">
        <w:rPr>
          <w:lang w:val="lv-LV"/>
        </w:rPr>
        <w:t xml:space="preserve">2.1.6. redzams, ka vidējie ministriju kopējie EKK 2233 izdevumi no 2015. gada līdz 2019. gadam bija 3,6 milj. </w:t>
      </w:r>
      <w:r w:rsidRPr="00E61582">
        <w:rPr>
          <w:i/>
          <w:iCs/>
          <w:lang w:val="lv-LV"/>
        </w:rPr>
        <w:t>euro</w:t>
      </w:r>
      <w:r w:rsidRPr="00E61582">
        <w:rPr>
          <w:lang w:val="lv-LV"/>
        </w:rPr>
        <w:t xml:space="preserve">, 2019. gadā EKK 2233 tika izlietoti 3,9 milj. </w:t>
      </w:r>
      <w:r w:rsidRPr="00E61582">
        <w:rPr>
          <w:i/>
          <w:iCs/>
          <w:lang w:val="lv-LV"/>
        </w:rPr>
        <w:t>euro</w:t>
      </w:r>
      <w:r w:rsidRPr="00E61582">
        <w:rPr>
          <w:lang w:val="lv-LV"/>
        </w:rPr>
        <w:t xml:space="preserve">, savukārt 2020. gadā izdevumi samazinājušies līdz 2,9 milj. </w:t>
      </w:r>
      <w:r w:rsidRPr="00E61582">
        <w:rPr>
          <w:i/>
          <w:iCs/>
          <w:lang w:val="lv-LV"/>
        </w:rPr>
        <w:t>euro</w:t>
      </w:r>
      <w:r w:rsidRPr="00E61582">
        <w:rPr>
          <w:lang w:val="lv-LV"/>
        </w:rPr>
        <w:t>.</w:t>
      </w:r>
    </w:p>
    <w:p w14:paraId="53AFF756" w14:textId="77777777" w:rsidR="00E61582" w:rsidRPr="00E61582" w:rsidRDefault="00E61582" w:rsidP="00E61582">
      <w:pPr>
        <w:spacing w:before="120"/>
        <w:ind w:firstLine="720"/>
        <w:rPr>
          <w:lang w:val="lv-LV"/>
        </w:rPr>
      </w:pPr>
      <w:r w:rsidRPr="00E61582">
        <w:rPr>
          <w:lang w:val="lv-LV"/>
        </w:rPr>
        <w:t xml:space="preserve">Aplūkojot ministriju izdevumus, konstatēts, ka vairākām ministrijām 2021. gada izdevumu plāns, salīdzinot ar 2020. gada izpildi, samazinās vai arī novērojams salīdzinoši neliels izdevumu pieaugumus. Vienlaikus AiM izdevumu pārskatīšanas darba grupas sanāksmē </w:t>
      </w:r>
      <w:r w:rsidRPr="00E61582">
        <w:rPr>
          <w:lang w:val="lv-LV"/>
        </w:rPr>
        <w:lastRenderedPageBreak/>
        <w:t>informēja, ka izdevumi par transporta pakalpojumiem 2021. gadā pieaug saistībā ar NBS mācībām, kā arī palielinājies kopējais pārvadājumu apjoms. EM izdevumu pieaugumu skaidro ar LIAA iesaisti starptautiskās izstādes “Expo 2020 Dubai” organizēšanā, kā arī papildus nepieciešamajiem izdevumiem saistībā ar plānoto atašeju rotāciju.</w:t>
      </w:r>
    </w:p>
    <w:p w14:paraId="20B07CBB" w14:textId="77777777" w:rsidR="00E61582" w:rsidRPr="00E61582" w:rsidRDefault="00E61582" w:rsidP="00E61582">
      <w:pPr>
        <w:rPr>
          <w:lang w:val="lv-LV"/>
        </w:rPr>
      </w:pPr>
    </w:p>
    <w:p w14:paraId="2DADC749" w14:textId="77777777" w:rsidR="00E61582" w:rsidRPr="00E61582" w:rsidRDefault="00E61582" w:rsidP="00E61582">
      <w:pPr>
        <w:rPr>
          <w:u w:val="single"/>
          <w:lang w:val="lv-LV"/>
        </w:rPr>
      </w:pPr>
      <w:r w:rsidRPr="00E61582">
        <w:rPr>
          <w:u w:val="single"/>
          <w:lang w:val="lv-LV"/>
        </w:rPr>
        <w:t>EKK 2243 “Iekārtas, inventāra un aparatūras remonts, tehniskā apkalpošana”</w:t>
      </w:r>
    </w:p>
    <w:p w14:paraId="7EC2FB94" w14:textId="77777777" w:rsidR="00E61582" w:rsidRPr="00E61582" w:rsidRDefault="00E61582" w:rsidP="00E61582">
      <w:pPr>
        <w:ind w:firstLine="720"/>
        <w:rPr>
          <w:lang w:val="lv-LV"/>
        </w:rPr>
      </w:pPr>
      <w:r w:rsidRPr="00E61582">
        <w:rPr>
          <w:lang w:val="lv-LV"/>
        </w:rPr>
        <w:t>EKK 2243 uzskaita iekārtas, iekārtu sistēmu, inventāra un aparatūras remonta un tehniskās apkalpošanas, kalibrēšanas, verificēšanas izdevumus, ieskaitot pakalpojuma sniedzēja izmantotās detaļas un materiālus pakalpojuma sniegšanai</w:t>
      </w:r>
      <w:r w:rsidRPr="00E61582">
        <w:rPr>
          <w:rStyle w:val="FootnoteReference"/>
          <w:lang w:val="lv-LV"/>
        </w:rPr>
        <w:footnoteReference w:id="4"/>
      </w:r>
      <w:r w:rsidRPr="00E61582">
        <w:rPr>
          <w:lang w:val="lv-LV"/>
        </w:rPr>
        <w:t>.</w:t>
      </w:r>
    </w:p>
    <w:p w14:paraId="193A6896" w14:textId="77777777" w:rsidR="00E61582" w:rsidRPr="00E61582" w:rsidRDefault="00E61582" w:rsidP="00E61582">
      <w:pPr>
        <w:jc w:val="center"/>
        <w:rPr>
          <w:lang w:val="lv-LV"/>
        </w:rPr>
      </w:pPr>
      <w:r w:rsidRPr="00E61582">
        <w:rPr>
          <w:b/>
          <w:bCs/>
          <w:i/>
          <w:iCs/>
          <w:sz w:val="22"/>
          <w:lang w:val="lv-LV"/>
        </w:rPr>
        <w:t>2.1.5.</w:t>
      </w:r>
      <w:r w:rsidRPr="00E61582">
        <w:rPr>
          <w:sz w:val="22"/>
          <w:lang w:val="lv-LV"/>
        </w:rPr>
        <w:t xml:space="preserve"> </w:t>
      </w:r>
      <w:r w:rsidRPr="00E61582">
        <w:rPr>
          <w:b/>
          <w:bCs/>
          <w:i/>
          <w:iCs/>
          <w:sz w:val="22"/>
          <w:lang w:val="lv-LV"/>
        </w:rPr>
        <w:t>attēls</w:t>
      </w:r>
      <w:r w:rsidRPr="00E61582">
        <w:rPr>
          <w:b/>
          <w:bCs/>
          <w:sz w:val="22"/>
          <w:lang w:val="lv-LV"/>
        </w:rPr>
        <w:t xml:space="preserve"> EKK 2243 “Iekārtas, inventāra un aparatūras remonts, tehniskā apkalpošana” kopējo izdevumu dinamika</w:t>
      </w:r>
    </w:p>
    <w:p w14:paraId="70CAF3DE" w14:textId="77777777" w:rsidR="00E61582" w:rsidRPr="00E61582" w:rsidRDefault="00E61582" w:rsidP="00E61582">
      <w:pPr>
        <w:rPr>
          <w:lang w:val="lv-LV"/>
        </w:rPr>
      </w:pPr>
      <w:r w:rsidRPr="00E61582">
        <w:rPr>
          <w:noProof/>
          <w:lang w:val="lv-LV" w:eastAsia="lv-LV"/>
        </w:rPr>
        <w:drawing>
          <wp:inline distT="0" distB="0" distL="0" distR="0" wp14:anchorId="17296460" wp14:editId="29FC6555">
            <wp:extent cx="5842000" cy="2390014"/>
            <wp:effectExtent l="0" t="0" r="635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4918" cy="2399390"/>
                    </a:xfrm>
                    <a:prstGeom prst="rect">
                      <a:avLst/>
                    </a:prstGeom>
                    <a:noFill/>
                  </pic:spPr>
                </pic:pic>
              </a:graphicData>
            </a:graphic>
          </wp:inline>
        </w:drawing>
      </w:r>
    </w:p>
    <w:p w14:paraId="34FA8063" w14:textId="77777777" w:rsidR="00E61582" w:rsidRPr="00E61582" w:rsidRDefault="00E61582" w:rsidP="00E61582">
      <w:pPr>
        <w:ind w:firstLine="720"/>
        <w:rPr>
          <w:lang w:val="lv-LV"/>
        </w:rPr>
      </w:pPr>
      <w:r w:rsidRPr="00E61582">
        <w:rPr>
          <w:lang w:val="lv-LV"/>
        </w:rPr>
        <w:t>Attēlā Nr. 2.1.5. redzams, ka izdevumi iekārtu, inventāra un aparatūras remontiem un tehniskai apkalpošanai 2020. gadā līdz jūnija vidum pārsvarā bija zemākā līmenī, salīdzinot ar 2019. gadu. Savukārt, sākot ar 2020. gada jūnija vidu, izdevumi atgriezušies 2019. gada līmenī.</w:t>
      </w:r>
    </w:p>
    <w:p w14:paraId="091C2FCF" w14:textId="77777777" w:rsidR="00E61582" w:rsidRPr="00E61582" w:rsidRDefault="00E61582" w:rsidP="00E61582">
      <w:pPr>
        <w:jc w:val="center"/>
        <w:rPr>
          <w:lang w:val="lv-LV"/>
        </w:rPr>
      </w:pPr>
      <w:r w:rsidRPr="00E61582">
        <w:rPr>
          <w:b/>
          <w:bCs/>
          <w:i/>
          <w:iCs/>
          <w:sz w:val="22"/>
          <w:lang w:val="lv-LV"/>
        </w:rPr>
        <w:t>2.1.7. tabula</w:t>
      </w:r>
      <w:r w:rsidRPr="00E61582">
        <w:rPr>
          <w:lang w:val="lv-LV"/>
        </w:rPr>
        <w:t xml:space="preserve"> </w:t>
      </w:r>
      <w:r w:rsidRPr="00E61582">
        <w:rPr>
          <w:b/>
          <w:bCs/>
          <w:sz w:val="22"/>
          <w:lang w:val="lv-LV"/>
        </w:rPr>
        <w:t>EKK 2243 “Iekārtas, inventāra un aparatūras remonts, tehniskā apkalpošana” ministriju izdevumu dinamika</w:t>
      </w:r>
    </w:p>
    <w:tbl>
      <w:tblPr>
        <w:tblW w:w="7226" w:type="dxa"/>
        <w:jc w:val="center"/>
        <w:tblLook w:val="04A0" w:firstRow="1" w:lastRow="0" w:firstColumn="1" w:lastColumn="0" w:noHBand="0" w:noVBand="1"/>
      </w:tblPr>
      <w:tblGrid>
        <w:gridCol w:w="2052"/>
        <w:gridCol w:w="1360"/>
        <w:gridCol w:w="1266"/>
        <w:gridCol w:w="1288"/>
        <w:gridCol w:w="1260"/>
      </w:tblGrid>
      <w:tr w:rsidR="00E61582" w:rsidRPr="00E61582" w14:paraId="7471135C" w14:textId="77777777" w:rsidTr="002C24FA">
        <w:trPr>
          <w:trHeight w:val="855"/>
          <w:tblHeader/>
          <w:jc w:val="center"/>
        </w:trPr>
        <w:tc>
          <w:tcPr>
            <w:tcW w:w="2052"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1962C383" w14:textId="77777777" w:rsidR="00E61582" w:rsidRPr="00E61582" w:rsidRDefault="00E61582" w:rsidP="00E61582">
            <w:pPr>
              <w:spacing w:after="0" w:line="240" w:lineRule="auto"/>
              <w:rPr>
                <w:rFonts w:eastAsia="Times New Roman"/>
                <w:b/>
                <w:bCs/>
                <w:sz w:val="22"/>
                <w:lang w:val="lv-LV" w:eastAsia="lv-LV"/>
              </w:rPr>
            </w:pPr>
            <w:r w:rsidRPr="00E61582">
              <w:rPr>
                <w:rFonts w:eastAsia="Times New Roman"/>
                <w:b/>
                <w:bCs/>
                <w:sz w:val="22"/>
                <w:lang w:val="lv-LV" w:eastAsia="lv-LV"/>
              </w:rPr>
              <w:t> </w:t>
            </w:r>
          </w:p>
        </w:tc>
        <w:tc>
          <w:tcPr>
            <w:tcW w:w="1360" w:type="dxa"/>
            <w:tcBorders>
              <w:top w:val="single" w:sz="4" w:space="0" w:color="auto"/>
              <w:left w:val="nil"/>
              <w:bottom w:val="single" w:sz="4" w:space="0" w:color="auto"/>
              <w:right w:val="single" w:sz="4" w:space="0" w:color="auto"/>
            </w:tcBorders>
            <w:shd w:val="clear" w:color="000000" w:fill="C6E0B4"/>
            <w:vAlign w:val="center"/>
            <w:hideMark/>
          </w:tcPr>
          <w:p w14:paraId="7CF32B9D" w14:textId="2E7F6EC0"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vidēji 2015.-2019.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66" w:type="dxa"/>
            <w:tcBorders>
              <w:top w:val="single" w:sz="4" w:space="0" w:color="auto"/>
              <w:left w:val="nil"/>
              <w:bottom w:val="single" w:sz="4" w:space="0" w:color="auto"/>
              <w:right w:val="single" w:sz="4" w:space="0" w:color="auto"/>
            </w:tcBorders>
            <w:shd w:val="clear" w:color="000000" w:fill="C6E0B4"/>
            <w:vAlign w:val="center"/>
            <w:hideMark/>
          </w:tcPr>
          <w:p w14:paraId="17DD1AA0" w14:textId="4943FDBA"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88" w:type="dxa"/>
            <w:tcBorders>
              <w:top w:val="single" w:sz="4" w:space="0" w:color="auto"/>
              <w:left w:val="nil"/>
              <w:bottom w:val="single" w:sz="4" w:space="0" w:color="auto"/>
              <w:right w:val="single" w:sz="4" w:space="0" w:color="auto"/>
            </w:tcBorders>
            <w:shd w:val="clear" w:color="000000" w:fill="C6E0B4"/>
            <w:vAlign w:val="center"/>
            <w:hideMark/>
          </w:tcPr>
          <w:p w14:paraId="185337E1" w14:textId="3988C997"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2020.</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60" w:type="dxa"/>
            <w:tcBorders>
              <w:top w:val="single" w:sz="4" w:space="0" w:color="auto"/>
              <w:left w:val="nil"/>
              <w:bottom w:val="single" w:sz="4" w:space="0" w:color="auto"/>
              <w:right w:val="single" w:sz="4" w:space="0" w:color="auto"/>
            </w:tcBorders>
            <w:shd w:val="clear" w:color="000000" w:fill="C6E0B4"/>
            <w:vAlign w:val="center"/>
            <w:hideMark/>
          </w:tcPr>
          <w:p w14:paraId="4B937EB7" w14:textId="398922BE"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2021.</w:t>
            </w:r>
            <w:r w:rsidR="00FF342C">
              <w:rPr>
                <w:rFonts w:eastAsia="Times New Roman"/>
                <w:b/>
                <w:bCs/>
                <w:sz w:val="22"/>
                <w:lang w:val="lv-LV" w:eastAsia="lv-LV"/>
              </w:rPr>
              <w:t xml:space="preserve"> </w:t>
            </w:r>
            <w:r w:rsidRPr="00E61582">
              <w:rPr>
                <w:rFonts w:eastAsia="Times New Roman"/>
                <w:b/>
                <w:bCs/>
                <w:sz w:val="22"/>
                <w:lang w:val="lv-LV" w:eastAsia="lv-LV"/>
              </w:rPr>
              <w:t xml:space="preserve">gads (plāns), </w:t>
            </w:r>
            <w:r w:rsidRPr="00E61582">
              <w:rPr>
                <w:rFonts w:eastAsia="Times New Roman"/>
                <w:b/>
                <w:bCs/>
                <w:i/>
                <w:iCs/>
                <w:sz w:val="22"/>
                <w:lang w:val="lv-LV" w:eastAsia="lv-LV"/>
              </w:rPr>
              <w:t>euro</w:t>
            </w:r>
          </w:p>
        </w:tc>
      </w:tr>
      <w:tr w:rsidR="00E61582" w:rsidRPr="00E61582" w14:paraId="588AE325"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3100AB4E"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AiM</w:t>
            </w:r>
          </w:p>
        </w:tc>
        <w:tc>
          <w:tcPr>
            <w:tcW w:w="1360" w:type="dxa"/>
            <w:tcBorders>
              <w:top w:val="nil"/>
              <w:left w:val="nil"/>
              <w:bottom w:val="single" w:sz="4" w:space="0" w:color="auto"/>
              <w:right w:val="single" w:sz="4" w:space="0" w:color="auto"/>
            </w:tcBorders>
            <w:shd w:val="clear" w:color="auto" w:fill="auto"/>
            <w:noWrap/>
            <w:vAlign w:val="bottom"/>
            <w:hideMark/>
          </w:tcPr>
          <w:p w14:paraId="01B8A4F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5 321 511</w:t>
            </w:r>
          </w:p>
        </w:tc>
        <w:tc>
          <w:tcPr>
            <w:tcW w:w="1266" w:type="dxa"/>
            <w:tcBorders>
              <w:top w:val="nil"/>
              <w:left w:val="nil"/>
              <w:bottom w:val="single" w:sz="4" w:space="0" w:color="auto"/>
              <w:right w:val="single" w:sz="4" w:space="0" w:color="auto"/>
            </w:tcBorders>
            <w:shd w:val="clear" w:color="auto" w:fill="auto"/>
            <w:noWrap/>
            <w:vAlign w:val="bottom"/>
            <w:hideMark/>
          </w:tcPr>
          <w:p w14:paraId="239DFC4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4 234 712</w:t>
            </w:r>
          </w:p>
        </w:tc>
        <w:tc>
          <w:tcPr>
            <w:tcW w:w="1288" w:type="dxa"/>
            <w:tcBorders>
              <w:top w:val="nil"/>
              <w:left w:val="nil"/>
              <w:bottom w:val="single" w:sz="4" w:space="0" w:color="auto"/>
              <w:right w:val="single" w:sz="4" w:space="0" w:color="auto"/>
            </w:tcBorders>
            <w:shd w:val="clear" w:color="auto" w:fill="auto"/>
            <w:noWrap/>
            <w:vAlign w:val="bottom"/>
            <w:hideMark/>
          </w:tcPr>
          <w:p w14:paraId="7EE3705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2 901 125</w:t>
            </w:r>
          </w:p>
        </w:tc>
        <w:tc>
          <w:tcPr>
            <w:tcW w:w="1260" w:type="dxa"/>
            <w:tcBorders>
              <w:top w:val="nil"/>
              <w:left w:val="nil"/>
              <w:bottom w:val="single" w:sz="4" w:space="0" w:color="auto"/>
              <w:right w:val="single" w:sz="4" w:space="0" w:color="auto"/>
            </w:tcBorders>
            <w:shd w:val="clear" w:color="auto" w:fill="auto"/>
            <w:noWrap/>
            <w:vAlign w:val="bottom"/>
            <w:hideMark/>
          </w:tcPr>
          <w:p w14:paraId="76593D2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5 266 797</w:t>
            </w:r>
          </w:p>
        </w:tc>
      </w:tr>
      <w:tr w:rsidR="00E61582" w:rsidRPr="00E61582" w14:paraId="2BBA4F68"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6338D948"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FM</w:t>
            </w:r>
          </w:p>
        </w:tc>
        <w:tc>
          <w:tcPr>
            <w:tcW w:w="1360" w:type="dxa"/>
            <w:tcBorders>
              <w:top w:val="nil"/>
              <w:left w:val="nil"/>
              <w:bottom w:val="single" w:sz="4" w:space="0" w:color="auto"/>
              <w:right w:val="single" w:sz="4" w:space="0" w:color="auto"/>
            </w:tcBorders>
            <w:shd w:val="clear" w:color="auto" w:fill="auto"/>
            <w:noWrap/>
            <w:vAlign w:val="bottom"/>
            <w:hideMark/>
          </w:tcPr>
          <w:p w14:paraId="16F48D0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1 315 293</w:t>
            </w:r>
          </w:p>
        </w:tc>
        <w:tc>
          <w:tcPr>
            <w:tcW w:w="1266" w:type="dxa"/>
            <w:tcBorders>
              <w:top w:val="nil"/>
              <w:left w:val="nil"/>
              <w:bottom w:val="single" w:sz="4" w:space="0" w:color="auto"/>
              <w:right w:val="single" w:sz="4" w:space="0" w:color="auto"/>
            </w:tcBorders>
            <w:shd w:val="clear" w:color="auto" w:fill="auto"/>
            <w:noWrap/>
            <w:vAlign w:val="bottom"/>
            <w:hideMark/>
          </w:tcPr>
          <w:p w14:paraId="3ED21DC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1 912 290</w:t>
            </w:r>
          </w:p>
        </w:tc>
        <w:tc>
          <w:tcPr>
            <w:tcW w:w="1288" w:type="dxa"/>
            <w:tcBorders>
              <w:top w:val="nil"/>
              <w:left w:val="nil"/>
              <w:bottom w:val="single" w:sz="4" w:space="0" w:color="auto"/>
              <w:right w:val="single" w:sz="4" w:space="0" w:color="auto"/>
            </w:tcBorders>
            <w:shd w:val="clear" w:color="auto" w:fill="auto"/>
            <w:noWrap/>
            <w:vAlign w:val="bottom"/>
            <w:hideMark/>
          </w:tcPr>
          <w:p w14:paraId="1DCD40E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2 335 906</w:t>
            </w:r>
          </w:p>
        </w:tc>
        <w:tc>
          <w:tcPr>
            <w:tcW w:w="1260" w:type="dxa"/>
            <w:tcBorders>
              <w:top w:val="nil"/>
              <w:left w:val="nil"/>
              <w:bottom w:val="single" w:sz="4" w:space="0" w:color="auto"/>
              <w:right w:val="single" w:sz="4" w:space="0" w:color="auto"/>
            </w:tcBorders>
            <w:shd w:val="clear" w:color="auto" w:fill="auto"/>
            <w:noWrap/>
            <w:vAlign w:val="bottom"/>
            <w:hideMark/>
          </w:tcPr>
          <w:p w14:paraId="663F76B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2 448 561</w:t>
            </w:r>
          </w:p>
        </w:tc>
      </w:tr>
      <w:tr w:rsidR="00E61582" w:rsidRPr="00E61582" w14:paraId="46FF371B"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2585051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IeM</w:t>
            </w:r>
          </w:p>
        </w:tc>
        <w:tc>
          <w:tcPr>
            <w:tcW w:w="1360" w:type="dxa"/>
            <w:tcBorders>
              <w:top w:val="nil"/>
              <w:left w:val="nil"/>
              <w:bottom w:val="single" w:sz="4" w:space="0" w:color="auto"/>
              <w:right w:val="single" w:sz="4" w:space="0" w:color="auto"/>
            </w:tcBorders>
            <w:shd w:val="clear" w:color="auto" w:fill="auto"/>
            <w:noWrap/>
            <w:vAlign w:val="bottom"/>
            <w:hideMark/>
          </w:tcPr>
          <w:p w14:paraId="7B21726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1 406 387</w:t>
            </w:r>
          </w:p>
        </w:tc>
        <w:tc>
          <w:tcPr>
            <w:tcW w:w="1266" w:type="dxa"/>
            <w:tcBorders>
              <w:top w:val="nil"/>
              <w:left w:val="nil"/>
              <w:bottom w:val="single" w:sz="4" w:space="0" w:color="auto"/>
              <w:right w:val="single" w:sz="4" w:space="0" w:color="auto"/>
            </w:tcBorders>
            <w:shd w:val="clear" w:color="auto" w:fill="auto"/>
            <w:noWrap/>
            <w:vAlign w:val="bottom"/>
            <w:hideMark/>
          </w:tcPr>
          <w:p w14:paraId="4D2E25C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1 349 158</w:t>
            </w:r>
          </w:p>
        </w:tc>
        <w:tc>
          <w:tcPr>
            <w:tcW w:w="1288" w:type="dxa"/>
            <w:tcBorders>
              <w:top w:val="nil"/>
              <w:left w:val="nil"/>
              <w:bottom w:val="single" w:sz="4" w:space="0" w:color="auto"/>
              <w:right w:val="single" w:sz="4" w:space="0" w:color="auto"/>
            </w:tcBorders>
            <w:shd w:val="clear" w:color="auto" w:fill="auto"/>
            <w:noWrap/>
            <w:vAlign w:val="bottom"/>
            <w:hideMark/>
          </w:tcPr>
          <w:p w14:paraId="7E6CB0E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1 299 271</w:t>
            </w:r>
          </w:p>
        </w:tc>
        <w:tc>
          <w:tcPr>
            <w:tcW w:w="1260" w:type="dxa"/>
            <w:tcBorders>
              <w:top w:val="nil"/>
              <w:left w:val="nil"/>
              <w:bottom w:val="single" w:sz="4" w:space="0" w:color="auto"/>
              <w:right w:val="single" w:sz="4" w:space="0" w:color="auto"/>
            </w:tcBorders>
            <w:shd w:val="clear" w:color="auto" w:fill="auto"/>
            <w:noWrap/>
            <w:vAlign w:val="bottom"/>
            <w:hideMark/>
          </w:tcPr>
          <w:p w14:paraId="2ACAF3F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1 930 600</w:t>
            </w:r>
          </w:p>
        </w:tc>
      </w:tr>
      <w:tr w:rsidR="00E61582" w:rsidRPr="00E61582" w14:paraId="0936504F"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47F1ECDC"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IZM</w:t>
            </w:r>
          </w:p>
        </w:tc>
        <w:tc>
          <w:tcPr>
            <w:tcW w:w="1360" w:type="dxa"/>
            <w:tcBorders>
              <w:top w:val="nil"/>
              <w:left w:val="nil"/>
              <w:bottom w:val="single" w:sz="4" w:space="0" w:color="auto"/>
              <w:right w:val="single" w:sz="4" w:space="0" w:color="auto"/>
            </w:tcBorders>
            <w:shd w:val="clear" w:color="auto" w:fill="auto"/>
            <w:noWrap/>
            <w:vAlign w:val="bottom"/>
            <w:hideMark/>
          </w:tcPr>
          <w:p w14:paraId="27189CE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524 335</w:t>
            </w:r>
          </w:p>
        </w:tc>
        <w:tc>
          <w:tcPr>
            <w:tcW w:w="1266" w:type="dxa"/>
            <w:tcBorders>
              <w:top w:val="nil"/>
              <w:left w:val="nil"/>
              <w:bottom w:val="single" w:sz="4" w:space="0" w:color="auto"/>
              <w:right w:val="single" w:sz="4" w:space="0" w:color="auto"/>
            </w:tcBorders>
            <w:shd w:val="clear" w:color="auto" w:fill="auto"/>
            <w:noWrap/>
            <w:vAlign w:val="bottom"/>
            <w:hideMark/>
          </w:tcPr>
          <w:p w14:paraId="7647E96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643 518</w:t>
            </w:r>
          </w:p>
        </w:tc>
        <w:tc>
          <w:tcPr>
            <w:tcW w:w="1288" w:type="dxa"/>
            <w:tcBorders>
              <w:top w:val="nil"/>
              <w:left w:val="nil"/>
              <w:bottom w:val="single" w:sz="4" w:space="0" w:color="auto"/>
              <w:right w:val="single" w:sz="4" w:space="0" w:color="auto"/>
            </w:tcBorders>
            <w:shd w:val="clear" w:color="auto" w:fill="auto"/>
            <w:noWrap/>
            <w:vAlign w:val="bottom"/>
            <w:hideMark/>
          </w:tcPr>
          <w:p w14:paraId="3FD15FE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580 749</w:t>
            </w:r>
          </w:p>
        </w:tc>
        <w:tc>
          <w:tcPr>
            <w:tcW w:w="1260" w:type="dxa"/>
            <w:tcBorders>
              <w:top w:val="nil"/>
              <w:left w:val="nil"/>
              <w:bottom w:val="single" w:sz="4" w:space="0" w:color="auto"/>
              <w:right w:val="single" w:sz="4" w:space="0" w:color="auto"/>
            </w:tcBorders>
            <w:shd w:val="clear" w:color="auto" w:fill="auto"/>
            <w:noWrap/>
            <w:vAlign w:val="bottom"/>
            <w:hideMark/>
          </w:tcPr>
          <w:p w14:paraId="5E58A17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506 432</w:t>
            </w:r>
          </w:p>
        </w:tc>
      </w:tr>
      <w:tr w:rsidR="00E61582" w:rsidRPr="00E61582" w14:paraId="7EA17F5D"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03B39B87"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TM</w:t>
            </w:r>
          </w:p>
        </w:tc>
        <w:tc>
          <w:tcPr>
            <w:tcW w:w="1360" w:type="dxa"/>
            <w:tcBorders>
              <w:top w:val="nil"/>
              <w:left w:val="nil"/>
              <w:bottom w:val="single" w:sz="4" w:space="0" w:color="auto"/>
              <w:right w:val="single" w:sz="4" w:space="0" w:color="auto"/>
            </w:tcBorders>
            <w:shd w:val="clear" w:color="auto" w:fill="auto"/>
            <w:noWrap/>
            <w:vAlign w:val="bottom"/>
            <w:hideMark/>
          </w:tcPr>
          <w:p w14:paraId="1C623FB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433 405</w:t>
            </w:r>
          </w:p>
        </w:tc>
        <w:tc>
          <w:tcPr>
            <w:tcW w:w="1266" w:type="dxa"/>
            <w:tcBorders>
              <w:top w:val="nil"/>
              <w:left w:val="nil"/>
              <w:bottom w:val="single" w:sz="4" w:space="0" w:color="auto"/>
              <w:right w:val="single" w:sz="4" w:space="0" w:color="auto"/>
            </w:tcBorders>
            <w:shd w:val="clear" w:color="auto" w:fill="auto"/>
            <w:noWrap/>
            <w:vAlign w:val="bottom"/>
            <w:hideMark/>
          </w:tcPr>
          <w:p w14:paraId="0032453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408 424</w:t>
            </w:r>
          </w:p>
        </w:tc>
        <w:tc>
          <w:tcPr>
            <w:tcW w:w="1288" w:type="dxa"/>
            <w:tcBorders>
              <w:top w:val="nil"/>
              <w:left w:val="nil"/>
              <w:bottom w:val="single" w:sz="4" w:space="0" w:color="auto"/>
              <w:right w:val="single" w:sz="4" w:space="0" w:color="auto"/>
            </w:tcBorders>
            <w:shd w:val="clear" w:color="auto" w:fill="auto"/>
            <w:noWrap/>
            <w:vAlign w:val="bottom"/>
            <w:hideMark/>
          </w:tcPr>
          <w:p w14:paraId="23970A2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451 086</w:t>
            </w:r>
          </w:p>
        </w:tc>
        <w:tc>
          <w:tcPr>
            <w:tcW w:w="1260" w:type="dxa"/>
            <w:tcBorders>
              <w:top w:val="nil"/>
              <w:left w:val="nil"/>
              <w:bottom w:val="single" w:sz="4" w:space="0" w:color="auto"/>
              <w:right w:val="single" w:sz="4" w:space="0" w:color="auto"/>
            </w:tcBorders>
            <w:shd w:val="clear" w:color="auto" w:fill="auto"/>
            <w:noWrap/>
            <w:vAlign w:val="bottom"/>
            <w:hideMark/>
          </w:tcPr>
          <w:p w14:paraId="746C6D1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460 873</w:t>
            </w:r>
          </w:p>
        </w:tc>
      </w:tr>
      <w:tr w:rsidR="00E61582" w:rsidRPr="00E61582" w14:paraId="224DCF98"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14A01098"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VM</w:t>
            </w:r>
          </w:p>
        </w:tc>
        <w:tc>
          <w:tcPr>
            <w:tcW w:w="1360" w:type="dxa"/>
            <w:tcBorders>
              <w:top w:val="nil"/>
              <w:left w:val="nil"/>
              <w:bottom w:val="single" w:sz="4" w:space="0" w:color="auto"/>
              <w:right w:val="single" w:sz="4" w:space="0" w:color="auto"/>
            </w:tcBorders>
            <w:shd w:val="clear" w:color="auto" w:fill="auto"/>
            <w:noWrap/>
            <w:vAlign w:val="bottom"/>
            <w:hideMark/>
          </w:tcPr>
          <w:p w14:paraId="5BA949C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318 379</w:t>
            </w:r>
          </w:p>
        </w:tc>
        <w:tc>
          <w:tcPr>
            <w:tcW w:w="1266" w:type="dxa"/>
            <w:tcBorders>
              <w:top w:val="nil"/>
              <w:left w:val="nil"/>
              <w:bottom w:val="single" w:sz="4" w:space="0" w:color="auto"/>
              <w:right w:val="single" w:sz="4" w:space="0" w:color="auto"/>
            </w:tcBorders>
            <w:shd w:val="clear" w:color="auto" w:fill="auto"/>
            <w:noWrap/>
            <w:vAlign w:val="bottom"/>
            <w:hideMark/>
          </w:tcPr>
          <w:p w14:paraId="0880E1E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393 428</w:t>
            </w:r>
          </w:p>
        </w:tc>
        <w:tc>
          <w:tcPr>
            <w:tcW w:w="1288" w:type="dxa"/>
            <w:tcBorders>
              <w:top w:val="nil"/>
              <w:left w:val="nil"/>
              <w:bottom w:val="single" w:sz="4" w:space="0" w:color="auto"/>
              <w:right w:val="single" w:sz="4" w:space="0" w:color="auto"/>
            </w:tcBorders>
            <w:shd w:val="clear" w:color="auto" w:fill="auto"/>
            <w:noWrap/>
            <w:vAlign w:val="bottom"/>
            <w:hideMark/>
          </w:tcPr>
          <w:p w14:paraId="5366A5F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344 432</w:t>
            </w:r>
          </w:p>
        </w:tc>
        <w:tc>
          <w:tcPr>
            <w:tcW w:w="1260" w:type="dxa"/>
            <w:tcBorders>
              <w:top w:val="nil"/>
              <w:left w:val="nil"/>
              <w:bottom w:val="single" w:sz="4" w:space="0" w:color="auto"/>
              <w:right w:val="single" w:sz="4" w:space="0" w:color="auto"/>
            </w:tcBorders>
            <w:shd w:val="clear" w:color="auto" w:fill="auto"/>
            <w:noWrap/>
            <w:vAlign w:val="bottom"/>
            <w:hideMark/>
          </w:tcPr>
          <w:p w14:paraId="23F8FEA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425 553</w:t>
            </w:r>
          </w:p>
        </w:tc>
      </w:tr>
      <w:tr w:rsidR="00E61582" w:rsidRPr="00E61582" w14:paraId="684497A4"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1E21B0EB"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KM</w:t>
            </w:r>
          </w:p>
        </w:tc>
        <w:tc>
          <w:tcPr>
            <w:tcW w:w="1360" w:type="dxa"/>
            <w:tcBorders>
              <w:top w:val="nil"/>
              <w:left w:val="nil"/>
              <w:bottom w:val="single" w:sz="4" w:space="0" w:color="auto"/>
              <w:right w:val="single" w:sz="4" w:space="0" w:color="auto"/>
            </w:tcBorders>
            <w:shd w:val="clear" w:color="auto" w:fill="auto"/>
            <w:noWrap/>
            <w:vAlign w:val="bottom"/>
            <w:hideMark/>
          </w:tcPr>
          <w:p w14:paraId="0D8CF1C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341 754</w:t>
            </w:r>
          </w:p>
        </w:tc>
        <w:tc>
          <w:tcPr>
            <w:tcW w:w="1266" w:type="dxa"/>
            <w:tcBorders>
              <w:top w:val="nil"/>
              <w:left w:val="nil"/>
              <w:bottom w:val="single" w:sz="4" w:space="0" w:color="auto"/>
              <w:right w:val="single" w:sz="4" w:space="0" w:color="auto"/>
            </w:tcBorders>
            <w:shd w:val="clear" w:color="auto" w:fill="auto"/>
            <w:noWrap/>
            <w:vAlign w:val="bottom"/>
            <w:hideMark/>
          </w:tcPr>
          <w:p w14:paraId="732420E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354 600</w:t>
            </w:r>
          </w:p>
        </w:tc>
        <w:tc>
          <w:tcPr>
            <w:tcW w:w="1288" w:type="dxa"/>
            <w:tcBorders>
              <w:top w:val="nil"/>
              <w:left w:val="nil"/>
              <w:bottom w:val="single" w:sz="4" w:space="0" w:color="auto"/>
              <w:right w:val="single" w:sz="4" w:space="0" w:color="auto"/>
            </w:tcBorders>
            <w:shd w:val="clear" w:color="auto" w:fill="auto"/>
            <w:noWrap/>
            <w:vAlign w:val="bottom"/>
            <w:hideMark/>
          </w:tcPr>
          <w:p w14:paraId="4C1028C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461 975</w:t>
            </w:r>
          </w:p>
        </w:tc>
        <w:tc>
          <w:tcPr>
            <w:tcW w:w="1260" w:type="dxa"/>
            <w:tcBorders>
              <w:top w:val="nil"/>
              <w:left w:val="nil"/>
              <w:bottom w:val="single" w:sz="4" w:space="0" w:color="auto"/>
              <w:right w:val="single" w:sz="4" w:space="0" w:color="auto"/>
            </w:tcBorders>
            <w:shd w:val="clear" w:color="auto" w:fill="auto"/>
            <w:noWrap/>
            <w:vAlign w:val="bottom"/>
            <w:hideMark/>
          </w:tcPr>
          <w:p w14:paraId="22F9E7F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418 897</w:t>
            </w:r>
          </w:p>
        </w:tc>
      </w:tr>
      <w:tr w:rsidR="00E61582" w:rsidRPr="00E61582" w14:paraId="556D19A4"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2A7A4F2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LM</w:t>
            </w:r>
          </w:p>
        </w:tc>
        <w:tc>
          <w:tcPr>
            <w:tcW w:w="1360" w:type="dxa"/>
            <w:tcBorders>
              <w:top w:val="nil"/>
              <w:left w:val="nil"/>
              <w:bottom w:val="single" w:sz="4" w:space="0" w:color="auto"/>
              <w:right w:val="single" w:sz="4" w:space="0" w:color="auto"/>
            </w:tcBorders>
            <w:shd w:val="clear" w:color="auto" w:fill="auto"/>
            <w:noWrap/>
            <w:vAlign w:val="bottom"/>
            <w:hideMark/>
          </w:tcPr>
          <w:p w14:paraId="313BB6E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401 640</w:t>
            </w:r>
          </w:p>
        </w:tc>
        <w:tc>
          <w:tcPr>
            <w:tcW w:w="1266" w:type="dxa"/>
            <w:tcBorders>
              <w:top w:val="nil"/>
              <w:left w:val="nil"/>
              <w:bottom w:val="single" w:sz="4" w:space="0" w:color="auto"/>
              <w:right w:val="single" w:sz="4" w:space="0" w:color="auto"/>
            </w:tcBorders>
            <w:shd w:val="clear" w:color="auto" w:fill="auto"/>
            <w:noWrap/>
            <w:vAlign w:val="bottom"/>
            <w:hideMark/>
          </w:tcPr>
          <w:p w14:paraId="5AE4A20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354 903</w:t>
            </w:r>
          </w:p>
        </w:tc>
        <w:tc>
          <w:tcPr>
            <w:tcW w:w="1288" w:type="dxa"/>
            <w:tcBorders>
              <w:top w:val="nil"/>
              <w:left w:val="nil"/>
              <w:bottom w:val="single" w:sz="4" w:space="0" w:color="auto"/>
              <w:right w:val="single" w:sz="4" w:space="0" w:color="auto"/>
            </w:tcBorders>
            <w:shd w:val="clear" w:color="auto" w:fill="auto"/>
            <w:noWrap/>
            <w:vAlign w:val="bottom"/>
            <w:hideMark/>
          </w:tcPr>
          <w:p w14:paraId="10296FF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362 906</w:t>
            </w:r>
          </w:p>
        </w:tc>
        <w:tc>
          <w:tcPr>
            <w:tcW w:w="1260" w:type="dxa"/>
            <w:tcBorders>
              <w:top w:val="nil"/>
              <w:left w:val="nil"/>
              <w:bottom w:val="single" w:sz="4" w:space="0" w:color="auto"/>
              <w:right w:val="single" w:sz="4" w:space="0" w:color="auto"/>
            </w:tcBorders>
            <w:shd w:val="clear" w:color="auto" w:fill="auto"/>
            <w:noWrap/>
            <w:vAlign w:val="bottom"/>
            <w:hideMark/>
          </w:tcPr>
          <w:p w14:paraId="20B8324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360 710</w:t>
            </w:r>
          </w:p>
        </w:tc>
      </w:tr>
      <w:tr w:rsidR="00E61582" w:rsidRPr="00E61582" w14:paraId="344BA25F"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557D9898"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VARAM</w:t>
            </w:r>
          </w:p>
        </w:tc>
        <w:tc>
          <w:tcPr>
            <w:tcW w:w="1360" w:type="dxa"/>
            <w:tcBorders>
              <w:top w:val="nil"/>
              <w:left w:val="nil"/>
              <w:bottom w:val="single" w:sz="4" w:space="0" w:color="auto"/>
              <w:right w:val="single" w:sz="4" w:space="0" w:color="auto"/>
            </w:tcBorders>
            <w:shd w:val="clear" w:color="auto" w:fill="auto"/>
            <w:noWrap/>
            <w:vAlign w:val="bottom"/>
            <w:hideMark/>
          </w:tcPr>
          <w:p w14:paraId="4E53EE4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194 254</w:t>
            </w:r>
          </w:p>
        </w:tc>
        <w:tc>
          <w:tcPr>
            <w:tcW w:w="1266" w:type="dxa"/>
            <w:tcBorders>
              <w:top w:val="nil"/>
              <w:left w:val="nil"/>
              <w:bottom w:val="single" w:sz="4" w:space="0" w:color="auto"/>
              <w:right w:val="single" w:sz="4" w:space="0" w:color="auto"/>
            </w:tcBorders>
            <w:shd w:val="clear" w:color="auto" w:fill="auto"/>
            <w:noWrap/>
            <w:vAlign w:val="bottom"/>
            <w:hideMark/>
          </w:tcPr>
          <w:p w14:paraId="04E8618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303 918</w:t>
            </w:r>
          </w:p>
        </w:tc>
        <w:tc>
          <w:tcPr>
            <w:tcW w:w="1288" w:type="dxa"/>
            <w:tcBorders>
              <w:top w:val="nil"/>
              <w:left w:val="nil"/>
              <w:bottom w:val="single" w:sz="4" w:space="0" w:color="auto"/>
              <w:right w:val="single" w:sz="4" w:space="0" w:color="auto"/>
            </w:tcBorders>
            <w:shd w:val="clear" w:color="auto" w:fill="auto"/>
            <w:noWrap/>
            <w:vAlign w:val="bottom"/>
            <w:hideMark/>
          </w:tcPr>
          <w:p w14:paraId="61F21BB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293 613</w:t>
            </w:r>
          </w:p>
        </w:tc>
        <w:tc>
          <w:tcPr>
            <w:tcW w:w="1260" w:type="dxa"/>
            <w:tcBorders>
              <w:top w:val="nil"/>
              <w:left w:val="nil"/>
              <w:bottom w:val="single" w:sz="4" w:space="0" w:color="auto"/>
              <w:right w:val="single" w:sz="4" w:space="0" w:color="auto"/>
            </w:tcBorders>
            <w:shd w:val="clear" w:color="auto" w:fill="auto"/>
            <w:noWrap/>
            <w:vAlign w:val="bottom"/>
            <w:hideMark/>
          </w:tcPr>
          <w:p w14:paraId="201DDA4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342 089</w:t>
            </w:r>
          </w:p>
        </w:tc>
      </w:tr>
      <w:tr w:rsidR="00E61582" w:rsidRPr="00E61582" w14:paraId="03BBF3BB"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54A0E26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ZM</w:t>
            </w:r>
          </w:p>
        </w:tc>
        <w:tc>
          <w:tcPr>
            <w:tcW w:w="1360" w:type="dxa"/>
            <w:tcBorders>
              <w:top w:val="nil"/>
              <w:left w:val="nil"/>
              <w:bottom w:val="single" w:sz="4" w:space="0" w:color="auto"/>
              <w:right w:val="single" w:sz="4" w:space="0" w:color="auto"/>
            </w:tcBorders>
            <w:shd w:val="clear" w:color="auto" w:fill="auto"/>
            <w:noWrap/>
            <w:vAlign w:val="bottom"/>
            <w:hideMark/>
          </w:tcPr>
          <w:p w14:paraId="3B1AD66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143 197</w:t>
            </w:r>
          </w:p>
        </w:tc>
        <w:tc>
          <w:tcPr>
            <w:tcW w:w="1266" w:type="dxa"/>
            <w:tcBorders>
              <w:top w:val="nil"/>
              <w:left w:val="nil"/>
              <w:bottom w:val="single" w:sz="4" w:space="0" w:color="auto"/>
              <w:right w:val="single" w:sz="4" w:space="0" w:color="auto"/>
            </w:tcBorders>
            <w:shd w:val="clear" w:color="auto" w:fill="auto"/>
            <w:noWrap/>
            <w:vAlign w:val="bottom"/>
            <w:hideMark/>
          </w:tcPr>
          <w:p w14:paraId="0FA0C5E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141 799</w:t>
            </w:r>
          </w:p>
        </w:tc>
        <w:tc>
          <w:tcPr>
            <w:tcW w:w="1288" w:type="dxa"/>
            <w:tcBorders>
              <w:top w:val="nil"/>
              <w:left w:val="nil"/>
              <w:bottom w:val="single" w:sz="4" w:space="0" w:color="auto"/>
              <w:right w:val="single" w:sz="4" w:space="0" w:color="auto"/>
            </w:tcBorders>
            <w:shd w:val="clear" w:color="auto" w:fill="auto"/>
            <w:noWrap/>
            <w:vAlign w:val="bottom"/>
            <w:hideMark/>
          </w:tcPr>
          <w:p w14:paraId="25D3F7A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166 990</w:t>
            </w:r>
          </w:p>
        </w:tc>
        <w:tc>
          <w:tcPr>
            <w:tcW w:w="1260" w:type="dxa"/>
            <w:tcBorders>
              <w:top w:val="nil"/>
              <w:left w:val="nil"/>
              <w:bottom w:val="single" w:sz="4" w:space="0" w:color="auto"/>
              <w:right w:val="single" w:sz="4" w:space="0" w:color="auto"/>
            </w:tcBorders>
            <w:shd w:val="clear" w:color="auto" w:fill="auto"/>
            <w:noWrap/>
            <w:vAlign w:val="bottom"/>
            <w:hideMark/>
          </w:tcPr>
          <w:p w14:paraId="4FD0438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141 794</w:t>
            </w:r>
          </w:p>
        </w:tc>
      </w:tr>
      <w:tr w:rsidR="00E61582" w:rsidRPr="00E61582" w14:paraId="229981A5"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5C82044E"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lastRenderedPageBreak/>
              <w:t>EM</w:t>
            </w:r>
          </w:p>
        </w:tc>
        <w:tc>
          <w:tcPr>
            <w:tcW w:w="1360" w:type="dxa"/>
            <w:tcBorders>
              <w:top w:val="nil"/>
              <w:left w:val="nil"/>
              <w:bottom w:val="single" w:sz="4" w:space="0" w:color="auto"/>
              <w:right w:val="single" w:sz="4" w:space="0" w:color="auto"/>
            </w:tcBorders>
            <w:shd w:val="clear" w:color="auto" w:fill="auto"/>
            <w:noWrap/>
            <w:vAlign w:val="bottom"/>
            <w:hideMark/>
          </w:tcPr>
          <w:p w14:paraId="02EC071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80 871</w:t>
            </w:r>
          </w:p>
        </w:tc>
        <w:tc>
          <w:tcPr>
            <w:tcW w:w="1266" w:type="dxa"/>
            <w:tcBorders>
              <w:top w:val="nil"/>
              <w:left w:val="nil"/>
              <w:bottom w:val="single" w:sz="4" w:space="0" w:color="auto"/>
              <w:right w:val="single" w:sz="4" w:space="0" w:color="auto"/>
            </w:tcBorders>
            <w:shd w:val="clear" w:color="auto" w:fill="auto"/>
            <w:noWrap/>
            <w:vAlign w:val="bottom"/>
            <w:hideMark/>
          </w:tcPr>
          <w:p w14:paraId="33D8E6A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67 178</w:t>
            </w:r>
          </w:p>
        </w:tc>
        <w:tc>
          <w:tcPr>
            <w:tcW w:w="1288" w:type="dxa"/>
            <w:tcBorders>
              <w:top w:val="nil"/>
              <w:left w:val="nil"/>
              <w:bottom w:val="single" w:sz="4" w:space="0" w:color="auto"/>
              <w:right w:val="single" w:sz="4" w:space="0" w:color="auto"/>
            </w:tcBorders>
            <w:shd w:val="clear" w:color="auto" w:fill="auto"/>
            <w:noWrap/>
            <w:vAlign w:val="bottom"/>
            <w:hideMark/>
          </w:tcPr>
          <w:p w14:paraId="2314903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89 510</w:t>
            </w:r>
          </w:p>
        </w:tc>
        <w:tc>
          <w:tcPr>
            <w:tcW w:w="1260" w:type="dxa"/>
            <w:tcBorders>
              <w:top w:val="nil"/>
              <w:left w:val="nil"/>
              <w:bottom w:val="single" w:sz="4" w:space="0" w:color="auto"/>
              <w:right w:val="single" w:sz="4" w:space="0" w:color="auto"/>
            </w:tcBorders>
            <w:shd w:val="clear" w:color="auto" w:fill="auto"/>
            <w:noWrap/>
            <w:vAlign w:val="bottom"/>
            <w:hideMark/>
          </w:tcPr>
          <w:p w14:paraId="66ECB99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86 639</w:t>
            </w:r>
          </w:p>
        </w:tc>
      </w:tr>
      <w:tr w:rsidR="00E61582" w:rsidRPr="00E61582" w14:paraId="6762519E"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760F66F6"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ĀM</w:t>
            </w:r>
          </w:p>
        </w:tc>
        <w:tc>
          <w:tcPr>
            <w:tcW w:w="1360" w:type="dxa"/>
            <w:tcBorders>
              <w:top w:val="nil"/>
              <w:left w:val="nil"/>
              <w:bottom w:val="single" w:sz="4" w:space="0" w:color="auto"/>
              <w:right w:val="single" w:sz="4" w:space="0" w:color="auto"/>
            </w:tcBorders>
            <w:shd w:val="clear" w:color="auto" w:fill="auto"/>
            <w:noWrap/>
            <w:vAlign w:val="bottom"/>
            <w:hideMark/>
          </w:tcPr>
          <w:p w14:paraId="47EDEB4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74 894</w:t>
            </w:r>
          </w:p>
        </w:tc>
        <w:tc>
          <w:tcPr>
            <w:tcW w:w="1266" w:type="dxa"/>
            <w:tcBorders>
              <w:top w:val="nil"/>
              <w:left w:val="nil"/>
              <w:bottom w:val="single" w:sz="4" w:space="0" w:color="auto"/>
              <w:right w:val="single" w:sz="4" w:space="0" w:color="auto"/>
            </w:tcBorders>
            <w:shd w:val="clear" w:color="auto" w:fill="auto"/>
            <w:noWrap/>
            <w:vAlign w:val="bottom"/>
            <w:hideMark/>
          </w:tcPr>
          <w:p w14:paraId="0D67924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69 906</w:t>
            </w:r>
          </w:p>
        </w:tc>
        <w:tc>
          <w:tcPr>
            <w:tcW w:w="1288" w:type="dxa"/>
            <w:tcBorders>
              <w:top w:val="nil"/>
              <w:left w:val="nil"/>
              <w:bottom w:val="single" w:sz="4" w:space="0" w:color="auto"/>
              <w:right w:val="single" w:sz="4" w:space="0" w:color="auto"/>
            </w:tcBorders>
            <w:shd w:val="clear" w:color="auto" w:fill="auto"/>
            <w:noWrap/>
            <w:vAlign w:val="bottom"/>
            <w:hideMark/>
          </w:tcPr>
          <w:p w14:paraId="596484D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61 859</w:t>
            </w:r>
          </w:p>
        </w:tc>
        <w:tc>
          <w:tcPr>
            <w:tcW w:w="1260" w:type="dxa"/>
            <w:tcBorders>
              <w:top w:val="nil"/>
              <w:left w:val="nil"/>
              <w:bottom w:val="single" w:sz="4" w:space="0" w:color="auto"/>
              <w:right w:val="single" w:sz="4" w:space="0" w:color="auto"/>
            </w:tcBorders>
            <w:shd w:val="clear" w:color="auto" w:fill="auto"/>
            <w:noWrap/>
            <w:vAlign w:val="bottom"/>
            <w:hideMark/>
          </w:tcPr>
          <w:p w14:paraId="00480E8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70 026</w:t>
            </w:r>
          </w:p>
        </w:tc>
      </w:tr>
      <w:tr w:rsidR="00E61582" w:rsidRPr="00E61582" w14:paraId="70346F04" w14:textId="77777777" w:rsidTr="002C24FA">
        <w:trPr>
          <w:trHeight w:val="300"/>
          <w:jc w:val="center"/>
        </w:trPr>
        <w:tc>
          <w:tcPr>
            <w:tcW w:w="2052" w:type="dxa"/>
            <w:tcBorders>
              <w:top w:val="nil"/>
              <w:left w:val="single" w:sz="4" w:space="0" w:color="auto"/>
              <w:bottom w:val="single" w:sz="4" w:space="0" w:color="auto"/>
              <w:right w:val="single" w:sz="4" w:space="0" w:color="auto"/>
            </w:tcBorders>
            <w:shd w:val="clear" w:color="auto" w:fill="auto"/>
            <w:noWrap/>
            <w:vAlign w:val="bottom"/>
            <w:hideMark/>
          </w:tcPr>
          <w:p w14:paraId="41E20EE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SM</w:t>
            </w:r>
          </w:p>
        </w:tc>
        <w:tc>
          <w:tcPr>
            <w:tcW w:w="1360" w:type="dxa"/>
            <w:tcBorders>
              <w:top w:val="nil"/>
              <w:left w:val="nil"/>
              <w:bottom w:val="single" w:sz="4" w:space="0" w:color="auto"/>
              <w:right w:val="single" w:sz="4" w:space="0" w:color="auto"/>
            </w:tcBorders>
            <w:shd w:val="clear" w:color="auto" w:fill="auto"/>
            <w:noWrap/>
            <w:vAlign w:val="bottom"/>
            <w:hideMark/>
          </w:tcPr>
          <w:p w14:paraId="1862FA2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4 566</w:t>
            </w:r>
          </w:p>
        </w:tc>
        <w:tc>
          <w:tcPr>
            <w:tcW w:w="1266" w:type="dxa"/>
            <w:tcBorders>
              <w:top w:val="nil"/>
              <w:left w:val="nil"/>
              <w:bottom w:val="single" w:sz="4" w:space="0" w:color="auto"/>
              <w:right w:val="single" w:sz="4" w:space="0" w:color="auto"/>
            </w:tcBorders>
            <w:shd w:val="clear" w:color="auto" w:fill="auto"/>
            <w:noWrap/>
            <w:vAlign w:val="bottom"/>
            <w:hideMark/>
          </w:tcPr>
          <w:p w14:paraId="2824820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3 778</w:t>
            </w:r>
          </w:p>
        </w:tc>
        <w:tc>
          <w:tcPr>
            <w:tcW w:w="1288" w:type="dxa"/>
            <w:tcBorders>
              <w:top w:val="nil"/>
              <w:left w:val="nil"/>
              <w:bottom w:val="single" w:sz="4" w:space="0" w:color="auto"/>
              <w:right w:val="single" w:sz="4" w:space="0" w:color="auto"/>
            </w:tcBorders>
            <w:shd w:val="clear" w:color="auto" w:fill="auto"/>
            <w:noWrap/>
            <w:vAlign w:val="bottom"/>
            <w:hideMark/>
          </w:tcPr>
          <w:p w14:paraId="1B9C9BF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1 596</w:t>
            </w:r>
          </w:p>
        </w:tc>
        <w:tc>
          <w:tcPr>
            <w:tcW w:w="1260" w:type="dxa"/>
            <w:tcBorders>
              <w:top w:val="nil"/>
              <w:left w:val="nil"/>
              <w:bottom w:val="single" w:sz="4" w:space="0" w:color="auto"/>
              <w:right w:val="single" w:sz="4" w:space="0" w:color="auto"/>
            </w:tcBorders>
            <w:shd w:val="clear" w:color="auto" w:fill="auto"/>
            <w:noWrap/>
            <w:vAlign w:val="bottom"/>
            <w:hideMark/>
          </w:tcPr>
          <w:p w14:paraId="6218E5C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2 000</w:t>
            </w:r>
          </w:p>
        </w:tc>
      </w:tr>
      <w:tr w:rsidR="00E61582" w:rsidRPr="00E61582" w14:paraId="5CAE6488" w14:textId="77777777" w:rsidTr="002C24FA">
        <w:trPr>
          <w:trHeight w:val="321"/>
          <w:jc w:val="center"/>
        </w:trPr>
        <w:tc>
          <w:tcPr>
            <w:tcW w:w="2052" w:type="dxa"/>
            <w:tcBorders>
              <w:top w:val="nil"/>
              <w:left w:val="single" w:sz="4" w:space="0" w:color="auto"/>
              <w:bottom w:val="single" w:sz="4" w:space="0" w:color="auto"/>
              <w:right w:val="single" w:sz="4" w:space="0" w:color="auto"/>
            </w:tcBorders>
            <w:shd w:val="clear" w:color="auto" w:fill="auto"/>
            <w:vAlign w:val="bottom"/>
            <w:hideMark/>
          </w:tcPr>
          <w:p w14:paraId="2693D73A" w14:textId="77777777" w:rsidR="00E61582" w:rsidRPr="00E61582" w:rsidRDefault="00E61582" w:rsidP="002C24FA">
            <w:pPr>
              <w:spacing w:after="0" w:line="240" w:lineRule="auto"/>
              <w:jc w:val="center"/>
              <w:rPr>
                <w:rFonts w:eastAsia="Times New Roman"/>
                <w:b/>
                <w:bCs/>
                <w:sz w:val="22"/>
                <w:lang w:val="lv-LV" w:eastAsia="lv-LV"/>
              </w:rPr>
            </w:pPr>
            <w:r w:rsidRPr="00E61582">
              <w:rPr>
                <w:rFonts w:eastAsia="Times New Roman"/>
                <w:b/>
                <w:bCs/>
                <w:sz w:val="22"/>
                <w:lang w:val="lv-LV" w:eastAsia="lv-LV"/>
              </w:rPr>
              <w:t>KOPĀ, ministrijas</w:t>
            </w:r>
          </w:p>
        </w:tc>
        <w:tc>
          <w:tcPr>
            <w:tcW w:w="1360" w:type="dxa"/>
            <w:tcBorders>
              <w:top w:val="nil"/>
              <w:left w:val="nil"/>
              <w:bottom w:val="single" w:sz="4" w:space="0" w:color="auto"/>
              <w:right w:val="single" w:sz="4" w:space="0" w:color="auto"/>
            </w:tcBorders>
            <w:shd w:val="clear" w:color="auto" w:fill="auto"/>
            <w:noWrap/>
            <w:vAlign w:val="bottom"/>
            <w:hideMark/>
          </w:tcPr>
          <w:p w14:paraId="10B49FC5"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10 560 485</w:t>
            </w:r>
          </w:p>
        </w:tc>
        <w:tc>
          <w:tcPr>
            <w:tcW w:w="1266" w:type="dxa"/>
            <w:tcBorders>
              <w:top w:val="nil"/>
              <w:left w:val="nil"/>
              <w:bottom w:val="single" w:sz="4" w:space="0" w:color="auto"/>
              <w:right w:val="single" w:sz="4" w:space="0" w:color="auto"/>
            </w:tcBorders>
            <w:shd w:val="clear" w:color="auto" w:fill="auto"/>
            <w:noWrap/>
            <w:vAlign w:val="bottom"/>
            <w:hideMark/>
          </w:tcPr>
          <w:p w14:paraId="7C61F7EB"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10 237 612</w:t>
            </w:r>
          </w:p>
        </w:tc>
        <w:tc>
          <w:tcPr>
            <w:tcW w:w="1288" w:type="dxa"/>
            <w:tcBorders>
              <w:top w:val="nil"/>
              <w:left w:val="nil"/>
              <w:bottom w:val="single" w:sz="4" w:space="0" w:color="auto"/>
              <w:right w:val="single" w:sz="4" w:space="0" w:color="auto"/>
            </w:tcBorders>
            <w:shd w:val="clear" w:color="auto" w:fill="auto"/>
            <w:noWrap/>
            <w:vAlign w:val="bottom"/>
            <w:hideMark/>
          </w:tcPr>
          <w:p w14:paraId="5570EAC8"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9 351 018</w:t>
            </w:r>
          </w:p>
        </w:tc>
        <w:tc>
          <w:tcPr>
            <w:tcW w:w="1260" w:type="dxa"/>
            <w:tcBorders>
              <w:top w:val="nil"/>
              <w:left w:val="nil"/>
              <w:bottom w:val="single" w:sz="4" w:space="0" w:color="auto"/>
              <w:right w:val="single" w:sz="4" w:space="0" w:color="auto"/>
            </w:tcBorders>
            <w:shd w:val="clear" w:color="auto" w:fill="auto"/>
            <w:noWrap/>
            <w:vAlign w:val="bottom"/>
            <w:hideMark/>
          </w:tcPr>
          <w:p w14:paraId="67EBD099"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12 460 971</w:t>
            </w:r>
          </w:p>
        </w:tc>
      </w:tr>
    </w:tbl>
    <w:p w14:paraId="2953A547" w14:textId="7FFBF227" w:rsidR="00E61582" w:rsidRPr="00E61582" w:rsidRDefault="00E61582" w:rsidP="00762984">
      <w:pPr>
        <w:spacing w:before="120"/>
        <w:ind w:firstLine="709"/>
        <w:rPr>
          <w:b/>
          <w:bCs/>
          <w:lang w:val="lv-LV"/>
        </w:rPr>
      </w:pPr>
      <w:r w:rsidRPr="00E61582">
        <w:rPr>
          <w:lang w:val="lv-LV"/>
        </w:rPr>
        <w:t xml:space="preserve">2020. gadā EKK 2243 tika izlietoti 9,4 milj. </w:t>
      </w:r>
      <w:r w:rsidRPr="00E61582">
        <w:rPr>
          <w:i/>
          <w:iCs/>
          <w:lang w:val="lv-LV"/>
        </w:rPr>
        <w:t>euro</w:t>
      </w:r>
      <w:r w:rsidRPr="00E61582">
        <w:rPr>
          <w:lang w:val="lv-LV"/>
        </w:rPr>
        <w:t xml:space="preserve">, kas ir par 0,9 milj. </w:t>
      </w:r>
      <w:r w:rsidRPr="00E61582">
        <w:rPr>
          <w:i/>
          <w:iCs/>
          <w:lang w:val="lv-LV"/>
        </w:rPr>
        <w:t>euro</w:t>
      </w:r>
      <w:r w:rsidRPr="00E61582">
        <w:rPr>
          <w:lang w:val="lv-LV"/>
        </w:rPr>
        <w:t xml:space="preserve"> jeb 9% mazāk nekā 2019. gadā. Plānoto izdevumu apmērs 202</w:t>
      </w:r>
      <w:r w:rsidR="009B1A4B">
        <w:rPr>
          <w:lang w:val="lv-LV"/>
        </w:rPr>
        <w:t xml:space="preserve">1. gadā palielinājies </w:t>
      </w:r>
      <w:r w:rsidRPr="00E61582">
        <w:rPr>
          <w:lang w:val="lv-LV"/>
        </w:rPr>
        <w:t xml:space="preserve">līdz 12,5 milj. </w:t>
      </w:r>
      <w:r w:rsidRPr="00E61582">
        <w:rPr>
          <w:i/>
          <w:iCs/>
          <w:lang w:val="lv-LV"/>
        </w:rPr>
        <w:t>euro</w:t>
      </w:r>
      <w:r w:rsidRPr="00E61582">
        <w:rPr>
          <w:lang w:val="lv-LV"/>
        </w:rPr>
        <w:t>. Izdevumu pieaugums skaidrojams ar nepieciešamību nodrošināt darbiniekus ar tehniskajiem līdzekļiem, kā arī palielinās inventāra remontu un tehniskās apkalpošanas gadījumi.</w:t>
      </w:r>
    </w:p>
    <w:p w14:paraId="08F84F8A" w14:textId="77777777" w:rsidR="00E61582" w:rsidRPr="00E61582" w:rsidRDefault="00E61582" w:rsidP="00E61582">
      <w:pPr>
        <w:rPr>
          <w:u w:val="single"/>
          <w:lang w:val="lv-LV"/>
        </w:rPr>
      </w:pPr>
    </w:p>
    <w:p w14:paraId="39102432" w14:textId="1B564765" w:rsidR="00E61582" w:rsidRPr="00E61582" w:rsidRDefault="00E61582" w:rsidP="00E61582">
      <w:pPr>
        <w:rPr>
          <w:u w:val="single"/>
          <w:lang w:val="lv-LV"/>
        </w:rPr>
      </w:pPr>
      <w:r w:rsidRPr="00E61582">
        <w:rPr>
          <w:u w:val="single"/>
          <w:lang w:val="lv-LV"/>
        </w:rPr>
        <w:t xml:space="preserve">EKK 2311 “Biroja preces” </w:t>
      </w:r>
    </w:p>
    <w:p w14:paraId="3B495B72" w14:textId="77777777" w:rsidR="00E61582" w:rsidRPr="00E61582" w:rsidRDefault="00E61582" w:rsidP="00E61582">
      <w:pPr>
        <w:ind w:firstLine="720"/>
        <w:rPr>
          <w:lang w:val="lv-LV"/>
        </w:rPr>
      </w:pPr>
      <w:r w:rsidRPr="00E61582">
        <w:rPr>
          <w:lang w:val="lv-LV"/>
        </w:rPr>
        <w:t>EKK 2311 uzskaita iestādes darbības nodrošināšanai nepieciešamo biroja preču (piemēram, rakstāmpiederumu, galda organizatoru, galda un sienas kalendāru, plastmasas plauktiņu, dokumentu turētāju, spiedogu, aplokšņu, veidlapu, vizītkaršu) un materiālu izdevumus, tai skaitā informācijas pārraides un apstrādes iekārtu (printeru, kopētāju, faksa aparātu un citu informācijas pārraides un apstrādes iekārtu) darbības nodrošināšanas materiālu (piemēram, datu nesēju, tintes, papīra) izdevumus, ieskaitot ar piegādi saistītos izdevumus</w:t>
      </w:r>
      <w:r w:rsidRPr="00E61582">
        <w:rPr>
          <w:rStyle w:val="FootnoteReference"/>
          <w:lang w:val="lv-LV"/>
        </w:rPr>
        <w:footnoteReference w:id="5"/>
      </w:r>
      <w:r w:rsidRPr="00E61582">
        <w:rPr>
          <w:lang w:val="lv-LV"/>
        </w:rPr>
        <w:t>.</w:t>
      </w:r>
    </w:p>
    <w:p w14:paraId="0845F09F" w14:textId="77777777" w:rsidR="00E61582" w:rsidRPr="00E61582" w:rsidRDefault="00E61582" w:rsidP="003B3AA2">
      <w:pPr>
        <w:spacing w:before="240"/>
        <w:jc w:val="center"/>
        <w:rPr>
          <w:lang w:val="lv-LV"/>
        </w:rPr>
      </w:pPr>
      <w:r w:rsidRPr="00E61582">
        <w:rPr>
          <w:b/>
          <w:bCs/>
          <w:i/>
          <w:iCs/>
          <w:sz w:val="22"/>
          <w:lang w:val="lv-LV"/>
        </w:rPr>
        <w:t>2.1.6.</w:t>
      </w:r>
      <w:r w:rsidRPr="00E61582">
        <w:rPr>
          <w:noProof/>
          <w:sz w:val="22"/>
          <w:lang w:val="lv-LV"/>
        </w:rPr>
        <w:t xml:space="preserve"> </w:t>
      </w:r>
      <w:r w:rsidRPr="00E61582">
        <w:rPr>
          <w:b/>
          <w:bCs/>
          <w:i/>
          <w:iCs/>
          <w:sz w:val="22"/>
          <w:lang w:val="lv-LV"/>
        </w:rPr>
        <w:t>attēls</w:t>
      </w:r>
      <w:r w:rsidRPr="00E61582">
        <w:rPr>
          <w:b/>
          <w:bCs/>
          <w:sz w:val="22"/>
          <w:lang w:val="lv-LV"/>
        </w:rPr>
        <w:t xml:space="preserve"> EKK 2311 “Biroja preces” kopējo izdevumu dinamika</w:t>
      </w:r>
    </w:p>
    <w:p w14:paraId="7E2CACD2" w14:textId="77777777" w:rsidR="00E61582" w:rsidRPr="00E61582" w:rsidRDefault="00E61582" w:rsidP="00E61582">
      <w:pPr>
        <w:rPr>
          <w:lang w:val="lv-LV"/>
        </w:rPr>
      </w:pPr>
      <w:r w:rsidRPr="00E61582">
        <w:rPr>
          <w:noProof/>
          <w:lang w:val="lv-LV" w:eastAsia="lv-LV"/>
        </w:rPr>
        <w:drawing>
          <wp:inline distT="0" distB="0" distL="0" distR="0" wp14:anchorId="52C83908" wp14:editId="6640C8DD">
            <wp:extent cx="5760085" cy="232829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2328297"/>
                    </a:xfrm>
                    <a:prstGeom prst="rect">
                      <a:avLst/>
                    </a:prstGeom>
                    <a:noFill/>
                  </pic:spPr>
                </pic:pic>
              </a:graphicData>
            </a:graphic>
          </wp:inline>
        </w:drawing>
      </w:r>
    </w:p>
    <w:p w14:paraId="3561AE21" w14:textId="59E879BA" w:rsidR="003B3AA2" w:rsidRDefault="00E61582" w:rsidP="00F700BC">
      <w:pPr>
        <w:ind w:firstLine="720"/>
        <w:rPr>
          <w:lang w:val="lv-LV"/>
        </w:rPr>
      </w:pPr>
      <w:r w:rsidRPr="00E61582">
        <w:rPr>
          <w:lang w:val="lv-LV"/>
        </w:rPr>
        <w:t>Attēlā Nr.</w:t>
      </w:r>
      <w:r w:rsidR="009B1A4B">
        <w:rPr>
          <w:lang w:val="lv-LV"/>
        </w:rPr>
        <w:t xml:space="preserve"> </w:t>
      </w:r>
      <w:r w:rsidRPr="00E61582">
        <w:rPr>
          <w:lang w:val="lv-LV"/>
        </w:rPr>
        <w:t>2.1.6. redzams, ka ārkārtējās situācijas laikā (2020. gada 12. marts - 10. jūnijs) izdevumos biroja precēm novērojams samazinājums, un tie līdz 2020. gada beigām pārsvarā bija zem 2019. gada izdevumu līmeņa. Tas skaidrojams ar straujo darba organizācijas maiņu</w:t>
      </w:r>
      <w:r w:rsidR="00F700BC">
        <w:rPr>
          <w:lang w:val="lv-LV"/>
        </w:rPr>
        <w:t xml:space="preserve"> un attālinātā darba ieviešanu.</w:t>
      </w:r>
    </w:p>
    <w:p w14:paraId="4692C723" w14:textId="069ABE99" w:rsidR="002C24FA" w:rsidRDefault="002C24FA" w:rsidP="00F700BC">
      <w:pPr>
        <w:ind w:firstLine="720"/>
        <w:rPr>
          <w:lang w:val="lv-LV"/>
        </w:rPr>
      </w:pPr>
    </w:p>
    <w:p w14:paraId="798EAFD2" w14:textId="5F713D92" w:rsidR="002C24FA" w:rsidRDefault="002C24FA" w:rsidP="00F700BC">
      <w:pPr>
        <w:ind w:firstLine="720"/>
        <w:rPr>
          <w:lang w:val="lv-LV"/>
        </w:rPr>
      </w:pPr>
    </w:p>
    <w:p w14:paraId="1653FFE7" w14:textId="77777777" w:rsidR="002C24FA" w:rsidRPr="00F700BC" w:rsidRDefault="002C24FA" w:rsidP="00F700BC">
      <w:pPr>
        <w:ind w:firstLine="720"/>
        <w:rPr>
          <w:lang w:val="lv-LV"/>
        </w:rPr>
      </w:pPr>
    </w:p>
    <w:p w14:paraId="717FF60A" w14:textId="66BB2AB1" w:rsidR="00E61582" w:rsidRPr="00E61582" w:rsidRDefault="00E61582" w:rsidP="00E61582">
      <w:pPr>
        <w:jc w:val="center"/>
        <w:rPr>
          <w:lang w:val="lv-LV"/>
        </w:rPr>
      </w:pPr>
      <w:r w:rsidRPr="00E61582">
        <w:rPr>
          <w:b/>
          <w:bCs/>
          <w:i/>
          <w:iCs/>
          <w:sz w:val="22"/>
          <w:lang w:val="lv-LV"/>
        </w:rPr>
        <w:lastRenderedPageBreak/>
        <w:t>2.1.8.</w:t>
      </w:r>
      <w:r w:rsidRPr="00E61582">
        <w:rPr>
          <w:sz w:val="22"/>
          <w:lang w:val="lv-LV"/>
        </w:rPr>
        <w:t xml:space="preserve"> </w:t>
      </w:r>
      <w:r w:rsidRPr="00E61582">
        <w:rPr>
          <w:b/>
          <w:bCs/>
          <w:i/>
          <w:iCs/>
          <w:sz w:val="22"/>
          <w:lang w:val="lv-LV"/>
        </w:rPr>
        <w:t>tabula</w:t>
      </w:r>
      <w:r w:rsidRPr="00E61582">
        <w:rPr>
          <w:lang w:val="lv-LV"/>
        </w:rPr>
        <w:t xml:space="preserve"> </w:t>
      </w:r>
      <w:r w:rsidRPr="00E61582">
        <w:rPr>
          <w:b/>
          <w:bCs/>
          <w:sz w:val="22"/>
          <w:lang w:val="lv-LV"/>
        </w:rPr>
        <w:t>EKK 2311 “Biroja preces” ministriju izdevumu dinamika</w:t>
      </w:r>
    </w:p>
    <w:tbl>
      <w:tblPr>
        <w:tblW w:w="7514" w:type="dxa"/>
        <w:jc w:val="center"/>
        <w:tblLook w:val="04A0" w:firstRow="1" w:lastRow="0" w:firstColumn="1" w:lastColumn="0" w:noHBand="0" w:noVBand="1"/>
      </w:tblPr>
      <w:tblGrid>
        <w:gridCol w:w="2054"/>
        <w:gridCol w:w="1340"/>
        <w:gridCol w:w="1300"/>
        <w:gridCol w:w="1300"/>
        <w:gridCol w:w="1520"/>
      </w:tblGrid>
      <w:tr w:rsidR="00E61582" w:rsidRPr="00E61582" w14:paraId="67E022C8" w14:textId="77777777" w:rsidTr="002C24FA">
        <w:trPr>
          <w:trHeight w:val="855"/>
          <w:tblHeader/>
          <w:jc w:val="center"/>
        </w:trPr>
        <w:tc>
          <w:tcPr>
            <w:tcW w:w="2054"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50ECB7A" w14:textId="77777777" w:rsidR="00E61582" w:rsidRPr="00E61582" w:rsidRDefault="00E61582" w:rsidP="00E61582">
            <w:pPr>
              <w:spacing w:after="0" w:line="240" w:lineRule="auto"/>
              <w:rPr>
                <w:rFonts w:eastAsia="Times New Roman"/>
                <w:b/>
                <w:bCs/>
                <w:sz w:val="22"/>
                <w:lang w:val="lv-LV" w:eastAsia="lv-LV"/>
              </w:rPr>
            </w:pPr>
            <w:r w:rsidRPr="00E61582">
              <w:rPr>
                <w:rFonts w:eastAsia="Times New Roman"/>
                <w:b/>
                <w:bCs/>
                <w:sz w:val="22"/>
                <w:lang w:val="lv-LV" w:eastAsia="lv-LV"/>
              </w:rPr>
              <w:t> </w:t>
            </w:r>
          </w:p>
        </w:tc>
        <w:tc>
          <w:tcPr>
            <w:tcW w:w="1340" w:type="dxa"/>
            <w:tcBorders>
              <w:top w:val="single" w:sz="4" w:space="0" w:color="auto"/>
              <w:left w:val="nil"/>
              <w:bottom w:val="single" w:sz="4" w:space="0" w:color="auto"/>
              <w:right w:val="single" w:sz="4" w:space="0" w:color="auto"/>
            </w:tcBorders>
            <w:shd w:val="clear" w:color="000000" w:fill="C6E0B4"/>
            <w:vAlign w:val="center"/>
            <w:hideMark/>
          </w:tcPr>
          <w:p w14:paraId="33A0EC40" w14:textId="61B2A85B"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vidēji 2015.-2019.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300" w:type="dxa"/>
            <w:tcBorders>
              <w:top w:val="single" w:sz="4" w:space="0" w:color="auto"/>
              <w:left w:val="nil"/>
              <w:bottom w:val="single" w:sz="4" w:space="0" w:color="auto"/>
              <w:right w:val="single" w:sz="4" w:space="0" w:color="auto"/>
            </w:tcBorders>
            <w:shd w:val="clear" w:color="000000" w:fill="C6E0B4"/>
            <w:vAlign w:val="center"/>
            <w:hideMark/>
          </w:tcPr>
          <w:p w14:paraId="3F94206D" w14:textId="70118247"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300" w:type="dxa"/>
            <w:tcBorders>
              <w:top w:val="single" w:sz="4" w:space="0" w:color="auto"/>
              <w:left w:val="nil"/>
              <w:bottom w:val="single" w:sz="4" w:space="0" w:color="auto"/>
              <w:right w:val="single" w:sz="4" w:space="0" w:color="auto"/>
            </w:tcBorders>
            <w:shd w:val="clear" w:color="000000" w:fill="C6E0B4"/>
            <w:vAlign w:val="center"/>
            <w:hideMark/>
          </w:tcPr>
          <w:p w14:paraId="30ACD2E2" w14:textId="3D5723F6"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2020.</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520" w:type="dxa"/>
            <w:tcBorders>
              <w:top w:val="single" w:sz="4" w:space="0" w:color="auto"/>
              <w:left w:val="nil"/>
              <w:bottom w:val="single" w:sz="4" w:space="0" w:color="auto"/>
              <w:right w:val="single" w:sz="4" w:space="0" w:color="auto"/>
            </w:tcBorders>
            <w:shd w:val="clear" w:color="000000" w:fill="C6E0B4"/>
            <w:vAlign w:val="center"/>
            <w:hideMark/>
          </w:tcPr>
          <w:p w14:paraId="71230768" w14:textId="5D5FD9D3"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2021.</w:t>
            </w:r>
            <w:r w:rsidR="00FF342C">
              <w:rPr>
                <w:rFonts w:eastAsia="Times New Roman"/>
                <w:b/>
                <w:bCs/>
                <w:sz w:val="22"/>
                <w:lang w:val="lv-LV" w:eastAsia="lv-LV"/>
              </w:rPr>
              <w:t xml:space="preserve"> </w:t>
            </w:r>
            <w:r w:rsidRPr="00E61582">
              <w:rPr>
                <w:rFonts w:eastAsia="Times New Roman"/>
                <w:b/>
                <w:bCs/>
                <w:sz w:val="22"/>
                <w:lang w:val="lv-LV" w:eastAsia="lv-LV"/>
              </w:rPr>
              <w:t xml:space="preserve">gads (plāns), </w:t>
            </w:r>
            <w:r w:rsidRPr="00E61582">
              <w:rPr>
                <w:rFonts w:eastAsia="Times New Roman"/>
                <w:b/>
                <w:bCs/>
                <w:i/>
                <w:iCs/>
                <w:sz w:val="22"/>
                <w:lang w:val="lv-LV" w:eastAsia="lv-LV"/>
              </w:rPr>
              <w:t>euro</w:t>
            </w:r>
          </w:p>
        </w:tc>
      </w:tr>
      <w:tr w:rsidR="00E61582" w:rsidRPr="00E61582" w14:paraId="30C7478B"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1CA33231"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IeM</w:t>
            </w:r>
          </w:p>
        </w:tc>
        <w:tc>
          <w:tcPr>
            <w:tcW w:w="1340" w:type="dxa"/>
            <w:tcBorders>
              <w:top w:val="nil"/>
              <w:left w:val="nil"/>
              <w:bottom w:val="single" w:sz="4" w:space="0" w:color="auto"/>
              <w:right w:val="single" w:sz="4" w:space="0" w:color="auto"/>
            </w:tcBorders>
            <w:shd w:val="clear" w:color="auto" w:fill="auto"/>
            <w:noWrap/>
            <w:vAlign w:val="bottom"/>
            <w:hideMark/>
          </w:tcPr>
          <w:p w14:paraId="3BC94BF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919 812</w:t>
            </w:r>
          </w:p>
        </w:tc>
        <w:tc>
          <w:tcPr>
            <w:tcW w:w="1300" w:type="dxa"/>
            <w:tcBorders>
              <w:top w:val="nil"/>
              <w:left w:val="nil"/>
              <w:bottom w:val="single" w:sz="4" w:space="0" w:color="auto"/>
              <w:right w:val="single" w:sz="4" w:space="0" w:color="auto"/>
            </w:tcBorders>
            <w:shd w:val="clear" w:color="auto" w:fill="auto"/>
            <w:noWrap/>
            <w:vAlign w:val="bottom"/>
            <w:hideMark/>
          </w:tcPr>
          <w:p w14:paraId="3474AF4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926 038</w:t>
            </w:r>
          </w:p>
        </w:tc>
        <w:tc>
          <w:tcPr>
            <w:tcW w:w="1300" w:type="dxa"/>
            <w:tcBorders>
              <w:top w:val="nil"/>
              <w:left w:val="nil"/>
              <w:bottom w:val="single" w:sz="4" w:space="0" w:color="auto"/>
              <w:right w:val="single" w:sz="4" w:space="0" w:color="auto"/>
            </w:tcBorders>
            <w:shd w:val="clear" w:color="auto" w:fill="auto"/>
            <w:noWrap/>
            <w:vAlign w:val="bottom"/>
            <w:hideMark/>
          </w:tcPr>
          <w:p w14:paraId="7B75217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966 920</w:t>
            </w:r>
          </w:p>
        </w:tc>
        <w:tc>
          <w:tcPr>
            <w:tcW w:w="1520" w:type="dxa"/>
            <w:tcBorders>
              <w:top w:val="nil"/>
              <w:left w:val="nil"/>
              <w:bottom w:val="single" w:sz="4" w:space="0" w:color="auto"/>
              <w:right w:val="single" w:sz="4" w:space="0" w:color="auto"/>
            </w:tcBorders>
            <w:shd w:val="clear" w:color="auto" w:fill="auto"/>
            <w:noWrap/>
            <w:vAlign w:val="bottom"/>
            <w:hideMark/>
          </w:tcPr>
          <w:p w14:paraId="5792AB6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832 215</w:t>
            </w:r>
          </w:p>
        </w:tc>
      </w:tr>
      <w:tr w:rsidR="00E61582" w:rsidRPr="00E61582" w14:paraId="23BFA2FA"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68107C41"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AiM</w:t>
            </w:r>
          </w:p>
        </w:tc>
        <w:tc>
          <w:tcPr>
            <w:tcW w:w="1340" w:type="dxa"/>
            <w:tcBorders>
              <w:top w:val="nil"/>
              <w:left w:val="nil"/>
              <w:bottom w:val="single" w:sz="4" w:space="0" w:color="auto"/>
              <w:right w:val="single" w:sz="4" w:space="0" w:color="auto"/>
            </w:tcBorders>
            <w:shd w:val="clear" w:color="auto" w:fill="auto"/>
            <w:noWrap/>
            <w:vAlign w:val="bottom"/>
            <w:hideMark/>
          </w:tcPr>
          <w:p w14:paraId="5B7BC4D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577 075</w:t>
            </w:r>
          </w:p>
        </w:tc>
        <w:tc>
          <w:tcPr>
            <w:tcW w:w="1300" w:type="dxa"/>
            <w:tcBorders>
              <w:top w:val="nil"/>
              <w:left w:val="nil"/>
              <w:bottom w:val="single" w:sz="4" w:space="0" w:color="auto"/>
              <w:right w:val="single" w:sz="4" w:space="0" w:color="auto"/>
            </w:tcBorders>
            <w:shd w:val="clear" w:color="auto" w:fill="auto"/>
            <w:noWrap/>
            <w:vAlign w:val="bottom"/>
            <w:hideMark/>
          </w:tcPr>
          <w:p w14:paraId="363C712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696 736</w:t>
            </w:r>
          </w:p>
        </w:tc>
        <w:tc>
          <w:tcPr>
            <w:tcW w:w="1300" w:type="dxa"/>
            <w:tcBorders>
              <w:top w:val="nil"/>
              <w:left w:val="nil"/>
              <w:bottom w:val="single" w:sz="4" w:space="0" w:color="auto"/>
              <w:right w:val="single" w:sz="4" w:space="0" w:color="auto"/>
            </w:tcBorders>
            <w:shd w:val="clear" w:color="auto" w:fill="auto"/>
            <w:noWrap/>
            <w:vAlign w:val="bottom"/>
            <w:hideMark/>
          </w:tcPr>
          <w:p w14:paraId="47CD023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719 523</w:t>
            </w:r>
          </w:p>
        </w:tc>
        <w:tc>
          <w:tcPr>
            <w:tcW w:w="1520" w:type="dxa"/>
            <w:tcBorders>
              <w:top w:val="nil"/>
              <w:left w:val="nil"/>
              <w:bottom w:val="single" w:sz="4" w:space="0" w:color="auto"/>
              <w:right w:val="single" w:sz="4" w:space="0" w:color="auto"/>
            </w:tcBorders>
            <w:shd w:val="clear" w:color="auto" w:fill="auto"/>
            <w:noWrap/>
            <w:vAlign w:val="bottom"/>
            <w:hideMark/>
          </w:tcPr>
          <w:p w14:paraId="1ED9C74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785 399</w:t>
            </w:r>
          </w:p>
        </w:tc>
      </w:tr>
      <w:tr w:rsidR="00E61582" w:rsidRPr="00E61582" w14:paraId="02D58228"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09DC07AC"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TM</w:t>
            </w:r>
          </w:p>
        </w:tc>
        <w:tc>
          <w:tcPr>
            <w:tcW w:w="1340" w:type="dxa"/>
            <w:tcBorders>
              <w:top w:val="nil"/>
              <w:left w:val="nil"/>
              <w:bottom w:val="single" w:sz="4" w:space="0" w:color="auto"/>
              <w:right w:val="single" w:sz="4" w:space="0" w:color="auto"/>
            </w:tcBorders>
            <w:shd w:val="clear" w:color="auto" w:fill="auto"/>
            <w:noWrap/>
            <w:vAlign w:val="bottom"/>
            <w:hideMark/>
          </w:tcPr>
          <w:p w14:paraId="591F037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743 667</w:t>
            </w:r>
          </w:p>
        </w:tc>
        <w:tc>
          <w:tcPr>
            <w:tcW w:w="1300" w:type="dxa"/>
            <w:tcBorders>
              <w:top w:val="nil"/>
              <w:left w:val="nil"/>
              <w:bottom w:val="single" w:sz="4" w:space="0" w:color="auto"/>
              <w:right w:val="single" w:sz="4" w:space="0" w:color="auto"/>
            </w:tcBorders>
            <w:shd w:val="clear" w:color="auto" w:fill="auto"/>
            <w:noWrap/>
            <w:vAlign w:val="bottom"/>
            <w:hideMark/>
          </w:tcPr>
          <w:p w14:paraId="15D4A5A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633 682</w:t>
            </w:r>
          </w:p>
        </w:tc>
        <w:tc>
          <w:tcPr>
            <w:tcW w:w="1300" w:type="dxa"/>
            <w:tcBorders>
              <w:top w:val="nil"/>
              <w:left w:val="nil"/>
              <w:bottom w:val="single" w:sz="4" w:space="0" w:color="auto"/>
              <w:right w:val="single" w:sz="4" w:space="0" w:color="auto"/>
            </w:tcBorders>
            <w:shd w:val="clear" w:color="auto" w:fill="auto"/>
            <w:noWrap/>
            <w:vAlign w:val="bottom"/>
            <w:hideMark/>
          </w:tcPr>
          <w:p w14:paraId="19E2CA3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577 210</w:t>
            </w:r>
          </w:p>
        </w:tc>
        <w:tc>
          <w:tcPr>
            <w:tcW w:w="1520" w:type="dxa"/>
            <w:tcBorders>
              <w:top w:val="nil"/>
              <w:left w:val="nil"/>
              <w:bottom w:val="single" w:sz="4" w:space="0" w:color="auto"/>
              <w:right w:val="single" w:sz="4" w:space="0" w:color="auto"/>
            </w:tcBorders>
            <w:shd w:val="clear" w:color="auto" w:fill="auto"/>
            <w:noWrap/>
            <w:vAlign w:val="bottom"/>
            <w:hideMark/>
          </w:tcPr>
          <w:p w14:paraId="2C74405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566 284</w:t>
            </w:r>
          </w:p>
        </w:tc>
      </w:tr>
      <w:tr w:rsidR="00E61582" w:rsidRPr="00E61582" w14:paraId="0CA30FDD"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53EEFA9E"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LM</w:t>
            </w:r>
          </w:p>
        </w:tc>
        <w:tc>
          <w:tcPr>
            <w:tcW w:w="1340" w:type="dxa"/>
            <w:tcBorders>
              <w:top w:val="nil"/>
              <w:left w:val="nil"/>
              <w:bottom w:val="single" w:sz="4" w:space="0" w:color="auto"/>
              <w:right w:val="single" w:sz="4" w:space="0" w:color="auto"/>
            </w:tcBorders>
            <w:shd w:val="clear" w:color="auto" w:fill="auto"/>
            <w:noWrap/>
            <w:vAlign w:val="bottom"/>
            <w:hideMark/>
          </w:tcPr>
          <w:p w14:paraId="1211612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440 177</w:t>
            </w:r>
          </w:p>
        </w:tc>
        <w:tc>
          <w:tcPr>
            <w:tcW w:w="1300" w:type="dxa"/>
            <w:tcBorders>
              <w:top w:val="nil"/>
              <w:left w:val="nil"/>
              <w:bottom w:val="single" w:sz="4" w:space="0" w:color="auto"/>
              <w:right w:val="single" w:sz="4" w:space="0" w:color="auto"/>
            </w:tcBorders>
            <w:shd w:val="clear" w:color="auto" w:fill="auto"/>
            <w:noWrap/>
            <w:vAlign w:val="bottom"/>
            <w:hideMark/>
          </w:tcPr>
          <w:p w14:paraId="3FCA142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348 887</w:t>
            </w:r>
          </w:p>
        </w:tc>
        <w:tc>
          <w:tcPr>
            <w:tcW w:w="1300" w:type="dxa"/>
            <w:tcBorders>
              <w:top w:val="nil"/>
              <w:left w:val="nil"/>
              <w:bottom w:val="single" w:sz="4" w:space="0" w:color="auto"/>
              <w:right w:val="single" w:sz="4" w:space="0" w:color="auto"/>
            </w:tcBorders>
            <w:shd w:val="clear" w:color="auto" w:fill="auto"/>
            <w:noWrap/>
            <w:vAlign w:val="bottom"/>
            <w:hideMark/>
          </w:tcPr>
          <w:p w14:paraId="4672F77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375 179</w:t>
            </w:r>
          </w:p>
        </w:tc>
        <w:tc>
          <w:tcPr>
            <w:tcW w:w="1520" w:type="dxa"/>
            <w:tcBorders>
              <w:top w:val="nil"/>
              <w:left w:val="nil"/>
              <w:bottom w:val="single" w:sz="4" w:space="0" w:color="auto"/>
              <w:right w:val="single" w:sz="4" w:space="0" w:color="auto"/>
            </w:tcBorders>
            <w:shd w:val="clear" w:color="auto" w:fill="auto"/>
            <w:noWrap/>
            <w:vAlign w:val="bottom"/>
            <w:hideMark/>
          </w:tcPr>
          <w:p w14:paraId="438CD3B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378 651</w:t>
            </w:r>
          </w:p>
        </w:tc>
      </w:tr>
      <w:tr w:rsidR="00E61582" w:rsidRPr="00E61582" w14:paraId="1086DC89"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66A458D7"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FM</w:t>
            </w:r>
          </w:p>
        </w:tc>
        <w:tc>
          <w:tcPr>
            <w:tcW w:w="1340" w:type="dxa"/>
            <w:tcBorders>
              <w:top w:val="nil"/>
              <w:left w:val="nil"/>
              <w:bottom w:val="single" w:sz="4" w:space="0" w:color="auto"/>
              <w:right w:val="single" w:sz="4" w:space="0" w:color="auto"/>
            </w:tcBorders>
            <w:shd w:val="clear" w:color="auto" w:fill="auto"/>
            <w:noWrap/>
            <w:vAlign w:val="bottom"/>
            <w:hideMark/>
          </w:tcPr>
          <w:p w14:paraId="49F11BD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594 296</w:t>
            </w:r>
          </w:p>
        </w:tc>
        <w:tc>
          <w:tcPr>
            <w:tcW w:w="1300" w:type="dxa"/>
            <w:tcBorders>
              <w:top w:val="nil"/>
              <w:left w:val="nil"/>
              <w:bottom w:val="single" w:sz="4" w:space="0" w:color="auto"/>
              <w:right w:val="single" w:sz="4" w:space="0" w:color="auto"/>
            </w:tcBorders>
            <w:shd w:val="clear" w:color="auto" w:fill="auto"/>
            <w:noWrap/>
            <w:vAlign w:val="bottom"/>
            <w:hideMark/>
          </w:tcPr>
          <w:p w14:paraId="41C65BA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388 661</w:t>
            </w:r>
          </w:p>
        </w:tc>
        <w:tc>
          <w:tcPr>
            <w:tcW w:w="1300" w:type="dxa"/>
            <w:tcBorders>
              <w:top w:val="nil"/>
              <w:left w:val="nil"/>
              <w:bottom w:val="single" w:sz="4" w:space="0" w:color="auto"/>
              <w:right w:val="single" w:sz="4" w:space="0" w:color="auto"/>
            </w:tcBorders>
            <w:shd w:val="clear" w:color="auto" w:fill="auto"/>
            <w:noWrap/>
            <w:vAlign w:val="bottom"/>
            <w:hideMark/>
          </w:tcPr>
          <w:p w14:paraId="71B7E1B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272 369</w:t>
            </w:r>
          </w:p>
        </w:tc>
        <w:tc>
          <w:tcPr>
            <w:tcW w:w="1520" w:type="dxa"/>
            <w:tcBorders>
              <w:top w:val="nil"/>
              <w:left w:val="nil"/>
              <w:bottom w:val="single" w:sz="4" w:space="0" w:color="auto"/>
              <w:right w:val="single" w:sz="4" w:space="0" w:color="auto"/>
            </w:tcBorders>
            <w:shd w:val="clear" w:color="auto" w:fill="auto"/>
            <w:noWrap/>
            <w:vAlign w:val="bottom"/>
            <w:hideMark/>
          </w:tcPr>
          <w:p w14:paraId="365C5DC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353 469</w:t>
            </w:r>
          </w:p>
        </w:tc>
      </w:tr>
      <w:tr w:rsidR="00E61582" w:rsidRPr="00E61582" w14:paraId="76A5EDB7"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20C7388E"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IZM</w:t>
            </w:r>
          </w:p>
        </w:tc>
        <w:tc>
          <w:tcPr>
            <w:tcW w:w="1340" w:type="dxa"/>
            <w:tcBorders>
              <w:top w:val="nil"/>
              <w:left w:val="nil"/>
              <w:bottom w:val="single" w:sz="4" w:space="0" w:color="auto"/>
              <w:right w:val="single" w:sz="4" w:space="0" w:color="auto"/>
            </w:tcBorders>
            <w:shd w:val="clear" w:color="auto" w:fill="auto"/>
            <w:noWrap/>
            <w:vAlign w:val="bottom"/>
            <w:hideMark/>
          </w:tcPr>
          <w:p w14:paraId="15D16FB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313 607</w:t>
            </w:r>
          </w:p>
        </w:tc>
        <w:tc>
          <w:tcPr>
            <w:tcW w:w="1300" w:type="dxa"/>
            <w:tcBorders>
              <w:top w:val="nil"/>
              <w:left w:val="nil"/>
              <w:bottom w:val="single" w:sz="4" w:space="0" w:color="auto"/>
              <w:right w:val="single" w:sz="4" w:space="0" w:color="auto"/>
            </w:tcBorders>
            <w:shd w:val="clear" w:color="auto" w:fill="auto"/>
            <w:noWrap/>
            <w:vAlign w:val="bottom"/>
            <w:hideMark/>
          </w:tcPr>
          <w:p w14:paraId="1EB66D1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297 331</w:t>
            </w:r>
          </w:p>
        </w:tc>
        <w:tc>
          <w:tcPr>
            <w:tcW w:w="1300" w:type="dxa"/>
            <w:tcBorders>
              <w:top w:val="nil"/>
              <w:left w:val="nil"/>
              <w:bottom w:val="single" w:sz="4" w:space="0" w:color="auto"/>
              <w:right w:val="single" w:sz="4" w:space="0" w:color="auto"/>
            </w:tcBorders>
            <w:shd w:val="clear" w:color="auto" w:fill="auto"/>
            <w:noWrap/>
            <w:vAlign w:val="bottom"/>
            <w:hideMark/>
          </w:tcPr>
          <w:p w14:paraId="578396A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316 989</w:t>
            </w:r>
          </w:p>
        </w:tc>
        <w:tc>
          <w:tcPr>
            <w:tcW w:w="1520" w:type="dxa"/>
            <w:tcBorders>
              <w:top w:val="nil"/>
              <w:left w:val="nil"/>
              <w:bottom w:val="single" w:sz="4" w:space="0" w:color="auto"/>
              <w:right w:val="single" w:sz="4" w:space="0" w:color="auto"/>
            </w:tcBorders>
            <w:shd w:val="clear" w:color="auto" w:fill="auto"/>
            <w:noWrap/>
            <w:vAlign w:val="bottom"/>
            <w:hideMark/>
          </w:tcPr>
          <w:p w14:paraId="6E38085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254 435</w:t>
            </w:r>
          </w:p>
        </w:tc>
      </w:tr>
      <w:tr w:rsidR="00E61582" w:rsidRPr="00E61582" w14:paraId="107C7706"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569D7127"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KM</w:t>
            </w:r>
          </w:p>
        </w:tc>
        <w:tc>
          <w:tcPr>
            <w:tcW w:w="1340" w:type="dxa"/>
            <w:tcBorders>
              <w:top w:val="nil"/>
              <w:left w:val="nil"/>
              <w:bottom w:val="single" w:sz="4" w:space="0" w:color="auto"/>
              <w:right w:val="single" w:sz="4" w:space="0" w:color="auto"/>
            </w:tcBorders>
            <w:shd w:val="clear" w:color="auto" w:fill="auto"/>
            <w:noWrap/>
            <w:vAlign w:val="bottom"/>
            <w:hideMark/>
          </w:tcPr>
          <w:p w14:paraId="710ABFC1"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302 186</w:t>
            </w:r>
          </w:p>
        </w:tc>
        <w:tc>
          <w:tcPr>
            <w:tcW w:w="1300" w:type="dxa"/>
            <w:tcBorders>
              <w:top w:val="nil"/>
              <w:left w:val="nil"/>
              <w:bottom w:val="single" w:sz="4" w:space="0" w:color="auto"/>
              <w:right w:val="single" w:sz="4" w:space="0" w:color="auto"/>
            </w:tcBorders>
            <w:shd w:val="clear" w:color="auto" w:fill="auto"/>
            <w:noWrap/>
            <w:vAlign w:val="bottom"/>
            <w:hideMark/>
          </w:tcPr>
          <w:p w14:paraId="446B401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292 166</w:t>
            </w:r>
          </w:p>
        </w:tc>
        <w:tc>
          <w:tcPr>
            <w:tcW w:w="1300" w:type="dxa"/>
            <w:tcBorders>
              <w:top w:val="nil"/>
              <w:left w:val="nil"/>
              <w:bottom w:val="single" w:sz="4" w:space="0" w:color="auto"/>
              <w:right w:val="single" w:sz="4" w:space="0" w:color="auto"/>
            </w:tcBorders>
            <w:shd w:val="clear" w:color="auto" w:fill="auto"/>
            <w:noWrap/>
            <w:vAlign w:val="bottom"/>
            <w:hideMark/>
          </w:tcPr>
          <w:p w14:paraId="6187225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260 200</w:t>
            </w:r>
          </w:p>
        </w:tc>
        <w:tc>
          <w:tcPr>
            <w:tcW w:w="1520" w:type="dxa"/>
            <w:tcBorders>
              <w:top w:val="nil"/>
              <w:left w:val="nil"/>
              <w:bottom w:val="single" w:sz="4" w:space="0" w:color="auto"/>
              <w:right w:val="single" w:sz="4" w:space="0" w:color="auto"/>
            </w:tcBorders>
            <w:shd w:val="clear" w:color="auto" w:fill="auto"/>
            <w:noWrap/>
            <w:vAlign w:val="bottom"/>
            <w:hideMark/>
          </w:tcPr>
          <w:p w14:paraId="183DA8A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208 866</w:t>
            </w:r>
          </w:p>
        </w:tc>
      </w:tr>
      <w:tr w:rsidR="00E61582" w:rsidRPr="00E61582" w14:paraId="4C8C02B8"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11EEDEEC"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ZM</w:t>
            </w:r>
          </w:p>
        </w:tc>
        <w:tc>
          <w:tcPr>
            <w:tcW w:w="1340" w:type="dxa"/>
            <w:tcBorders>
              <w:top w:val="nil"/>
              <w:left w:val="nil"/>
              <w:bottom w:val="single" w:sz="4" w:space="0" w:color="auto"/>
              <w:right w:val="single" w:sz="4" w:space="0" w:color="auto"/>
            </w:tcBorders>
            <w:shd w:val="clear" w:color="auto" w:fill="auto"/>
            <w:noWrap/>
            <w:vAlign w:val="bottom"/>
            <w:hideMark/>
          </w:tcPr>
          <w:p w14:paraId="13EAD0F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293 481</w:t>
            </w:r>
          </w:p>
        </w:tc>
        <w:tc>
          <w:tcPr>
            <w:tcW w:w="1300" w:type="dxa"/>
            <w:tcBorders>
              <w:top w:val="nil"/>
              <w:left w:val="nil"/>
              <w:bottom w:val="single" w:sz="4" w:space="0" w:color="auto"/>
              <w:right w:val="single" w:sz="4" w:space="0" w:color="auto"/>
            </w:tcBorders>
            <w:shd w:val="clear" w:color="auto" w:fill="auto"/>
            <w:noWrap/>
            <w:vAlign w:val="bottom"/>
            <w:hideMark/>
          </w:tcPr>
          <w:p w14:paraId="326037C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220 875</w:t>
            </w:r>
          </w:p>
        </w:tc>
        <w:tc>
          <w:tcPr>
            <w:tcW w:w="1300" w:type="dxa"/>
            <w:tcBorders>
              <w:top w:val="nil"/>
              <w:left w:val="nil"/>
              <w:bottom w:val="single" w:sz="4" w:space="0" w:color="auto"/>
              <w:right w:val="single" w:sz="4" w:space="0" w:color="auto"/>
            </w:tcBorders>
            <w:shd w:val="clear" w:color="auto" w:fill="auto"/>
            <w:noWrap/>
            <w:vAlign w:val="bottom"/>
            <w:hideMark/>
          </w:tcPr>
          <w:p w14:paraId="30498EA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212 994</w:t>
            </w:r>
          </w:p>
        </w:tc>
        <w:tc>
          <w:tcPr>
            <w:tcW w:w="1520" w:type="dxa"/>
            <w:tcBorders>
              <w:top w:val="nil"/>
              <w:left w:val="nil"/>
              <w:bottom w:val="single" w:sz="4" w:space="0" w:color="auto"/>
              <w:right w:val="single" w:sz="4" w:space="0" w:color="auto"/>
            </w:tcBorders>
            <w:shd w:val="clear" w:color="auto" w:fill="auto"/>
            <w:noWrap/>
            <w:vAlign w:val="bottom"/>
            <w:hideMark/>
          </w:tcPr>
          <w:p w14:paraId="10F2C56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205 488</w:t>
            </w:r>
          </w:p>
        </w:tc>
      </w:tr>
      <w:tr w:rsidR="00E61582" w:rsidRPr="00E61582" w14:paraId="62E04C3F"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325121D0"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VM</w:t>
            </w:r>
          </w:p>
        </w:tc>
        <w:tc>
          <w:tcPr>
            <w:tcW w:w="1340" w:type="dxa"/>
            <w:tcBorders>
              <w:top w:val="nil"/>
              <w:left w:val="nil"/>
              <w:bottom w:val="single" w:sz="4" w:space="0" w:color="auto"/>
              <w:right w:val="single" w:sz="4" w:space="0" w:color="auto"/>
            </w:tcBorders>
            <w:shd w:val="clear" w:color="auto" w:fill="auto"/>
            <w:noWrap/>
            <w:vAlign w:val="bottom"/>
            <w:hideMark/>
          </w:tcPr>
          <w:p w14:paraId="6D8B01A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195 620</w:t>
            </w:r>
          </w:p>
        </w:tc>
        <w:tc>
          <w:tcPr>
            <w:tcW w:w="1300" w:type="dxa"/>
            <w:tcBorders>
              <w:top w:val="nil"/>
              <w:left w:val="nil"/>
              <w:bottom w:val="single" w:sz="4" w:space="0" w:color="auto"/>
              <w:right w:val="single" w:sz="4" w:space="0" w:color="auto"/>
            </w:tcBorders>
            <w:shd w:val="clear" w:color="auto" w:fill="auto"/>
            <w:noWrap/>
            <w:vAlign w:val="bottom"/>
            <w:hideMark/>
          </w:tcPr>
          <w:p w14:paraId="08CB3C6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150 748</w:t>
            </w:r>
          </w:p>
        </w:tc>
        <w:tc>
          <w:tcPr>
            <w:tcW w:w="1300" w:type="dxa"/>
            <w:tcBorders>
              <w:top w:val="nil"/>
              <w:left w:val="nil"/>
              <w:bottom w:val="single" w:sz="4" w:space="0" w:color="auto"/>
              <w:right w:val="single" w:sz="4" w:space="0" w:color="auto"/>
            </w:tcBorders>
            <w:shd w:val="clear" w:color="auto" w:fill="auto"/>
            <w:noWrap/>
            <w:vAlign w:val="bottom"/>
            <w:hideMark/>
          </w:tcPr>
          <w:p w14:paraId="77D857D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132 135</w:t>
            </w:r>
          </w:p>
        </w:tc>
        <w:tc>
          <w:tcPr>
            <w:tcW w:w="1520" w:type="dxa"/>
            <w:tcBorders>
              <w:top w:val="nil"/>
              <w:left w:val="nil"/>
              <w:bottom w:val="single" w:sz="4" w:space="0" w:color="auto"/>
              <w:right w:val="single" w:sz="4" w:space="0" w:color="auto"/>
            </w:tcBorders>
            <w:shd w:val="clear" w:color="auto" w:fill="auto"/>
            <w:noWrap/>
            <w:vAlign w:val="bottom"/>
            <w:hideMark/>
          </w:tcPr>
          <w:p w14:paraId="41AE9D96"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162 507</w:t>
            </w:r>
          </w:p>
        </w:tc>
      </w:tr>
      <w:tr w:rsidR="00E61582" w:rsidRPr="00E61582" w14:paraId="3A3F1255"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51D9F509"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VARAM</w:t>
            </w:r>
          </w:p>
        </w:tc>
        <w:tc>
          <w:tcPr>
            <w:tcW w:w="1340" w:type="dxa"/>
            <w:tcBorders>
              <w:top w:val="nil"/>
              <w:left w:val="nil"/>
              <w:bottom w:val="single" w:sz="4" w:space="0" w:color="auto"/>
              <w:right w:val="single" w:sz="4" w:space="0" w:color="auto"/>
            </w:tcBorders>
            <w:shd w:val="clear" w:color="auto" w:fill="auto"/>
            <w:noWrap/>
            <w:vAlign w:val="bottom"/>
            <w:hideMark/>
          </w:tcPr>
          <w:p w14:paraId="319A468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140 569</w:t>
            </w:r>
          </w:p>
        </w:tc>
        <w:tc>
          <w:tcPr>
            <w:tcW w:w="1300" w:type="dxa"/>
            <w:tcBorders>
              <w:top w:val="nil"/>
              <w:left w:val="nil"/>
              <w:bottom w:val="single" w:sz="4" w:space="0" w:color="auto"/>
              <w:right w:val="single" w:sz="4" w:space="0" w:color="auto"/>
            </w:tcBorders>
            <w:shd w:val="clear" w:color="auto" w:fill="auto"/>
            <w:noWrap/>
            <w:vAlign w:val="bottom"/>
            <w:hideMark/>
          </w:tcPr>
          <w:p w14:paraId="0691080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113 579</w:t>
            </w:r>
          </w:p>
        </w:tc>
        <w:tc>
          <w:tcPr>
            <w:tcW w:w="1300" w:type="dxa"/>
            <w:tcBorders>
              <w:top w:val="nil"/>
              <w:left w:val="nil"/>
              <w:bottom w:val="single" w:sz="4" w:space="0" w:color="auto"/>
              <w:right w:val="single" w:sz="4" w:space="0" w:color="auto"/>
            </w:tcBorders>
            <w:shd w:val="clear" w:color="auto" w:fill="auto"/>
            <w:noWrap/>
            <w:vAlign w:val="bottom"/>
            <w:hideMark/>
          </w:tcPr>
          <w:p w14:paraId="04EDE3F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76 689</w:t>
            </w:r>
          </w:p>
        </w:tc>
        <w:tc>
          <w:tcPr>
            <w:tcW w:w="1520" w:type="dxa"/>
            <w:tcBorders>
              <w:top w:val="nil"/>
              <w:left w:val="nil"/>
              <w:bottom w:val="single" w:sz="4" w:space="0" w:color="auto"/>
              <w:right w:val="single" w:sz="4" w:space="0" w:color="auto"/>
            </w:tcBorders>
            <w:shd w:val="clear" w:color="auto" w:fill="auto"/>
            <w:noWrap/>
            <w:vAlign w:val="bottom"/>
            <w:hideMark/>
          </w:tcPr>
          <w:p w14:paraId="354F320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98 211</w:t>
            </w:r>
          </w:p>
        </w:tc>
      </w:tr>
      <w:tr w:rsidR="00E61582" w:rsidRPr="00E61582" w14:paraId="10DD999E"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20AF0DE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ĀM</w:t>
            </w:r>
          </w:p>
        </w:tc>
        <w:tc>
          <w:tcPr>
            <w:tcW w:w="1340" w:type="dxa"/>
            <w:tcBorders>
              <w:top w:val="nil"/>
              <w:left w:val="nil"/>
              <w:bottom w:val="single" w:sz="4" w:space="0" w:color="auto"/>
              <w:right w:val="single" w:sz="4" w:space="0" w:color="auto"/>
            </w:tcBorders>
            <w:shd w:val="clear" w:color="auto" w:fill="auto"/>
            <w:noWrap/>
            <w:vAlign w:val="bottom"/>
            <w:hideMark/>
          </w:tcPr>
          <w:p w14:paraId="76B584F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148 453</w:t>
            </w:r>
          </w:p>
        </w:tc>
        <w:tc>
          <w:tcPr>
            <w:tcW w:w="1300" w:type="dxa"/>
            <w:tcBorders>
              <w:top w:val="nil"/>
              <w:left w:val="nil"/>
              <w:bottom w:val="single" w:sz="4" w:space="0" w:color="auto"/>
              <w:right w:val="single" w:sz="4" w:space="0" w:color="auto"/>
            </w:tcBorders>
            <w:shd w:val="clear" w:color="auto" w:fill="auto"/>
            <w:noWrap/>
            <w:vAlign w:val="bottom"/>
            <w:hideMark/>
          </w:tcPr>
          <w:p w14:paraId="2CBB42C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117 614</w:t>
            </w:r>
          </w:p>
        </w:tc>
        <w:tc>
          <w:tcPr>
            <w:tcW w:w="1300" w:type="dxa"/>
            <w:tcBorders>
              <w:top w:val="nil"/>
              <w:left w:val="nil"/>
              <w:bottom w:val="single" w:sz="4" w:space="0" w:color="auto"/>
              <w:right w:val="single" w:sz="4" w:space="0" w:color="auto"/>
            </w:tcBorders>
            <w:shd w:val="clear" w:color="auto" w:fill="auto"/>
            <w:noWrap/>
            <w:vAlign w:val="bottom"/>
            <w:hideMark/>
          </w:tcPr>
          <w:p w14:paraId="26FDFC7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105 283</w:t>
            </w:r>
          </w:p>
        </w:tc>
        <w:tc>
          <w:tcPr>
            <w:tcW w:w="1520" w:type="dxa"/>
            <w:tcBorders>
              <w:top w:val="nil"/>
              <w:left w:val="nil"/>
              <w:bottom w:val="single" w:sz="4" w:space="0" w:color="auto"/>
              <w:right w:val="single" w:sz="4" w:space="0" w:color="auto"/>
            </w:tcBorders>
            <w:shd w:val="clear" w:color="auto" w:fill="auto"/>
            <w:noWrap/>
            <w:vAlign w:val="bottom"/>
            <w:hideMark/>
          </w:tcPr>
          <w:p w14:paraId="78CAA30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125 986</w:t>
            </w:r>
          </w:p>
        </w:tc>
      </w:tr>
      <w:tr w:rsidR="00E61582" w:rsidRPr="00E61582" w14:paraId="41FF49D0"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205AF3EE"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EM</w:t>
            </w:r>
          </w:p>
        </w:tc>
        <w:tc>
          <w:tcPr>
            <w:tcW w:w="1340" w:type="dxa"/>
            <w:tcBorders>
              <w:top w:val="nil"/>
              <w:left w:val="nil"/>
              <w:bottom w:val="single" w:sz="4" w:space="0" w:color="auto"/>
              <w:right w:val="single" w:sz="4" w:space="0" w:color="auto"/>
            </w:tcBorders>
            <w:shd w:val="clear" w:color="auto" w:fill="auto"/>
            <w:noWrap/>
            <w:vAlign w:val="bottom"/>
            <w:hideMark/>
          </w:tcPr>
          <w:p w14:paraId="5C4CA76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95 209</w:t>
            </w:r>
          </w:p>
        </w:tc>
        <w:tc>
          <w:tcPr>
            <w:tcW w:w="1300" w:type="dxa"/>
            <w:tcBorders>
              <w:top w:val="nil"/>
              <w:left w:val="nil"/>
              <w:bottom w:val="single" w:sz="4" w:space="0" w:color="auto"/>
              <w:right w:val="single" w:sz="4" w:space="0" w:color="auto"/>
            </w:tcBorders>
            <w:shd w:val="clear" w:color="auto" w:fill="auto"/>
            <w:noWrap/>
            <w:vAlign w:val="bottom"/>
            <w:hideMark/>
          </w:tcPr>
          <w:p w14:paraId="03BF389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70 135</w:t>
            </w:r>
          </w:p>
        </w:tc>
        <w:tc>
          <w:tcPr>
            <w:tcW w:w="1300" w:type="dxa"/>
            <w:tcBorders>
              <w:top w:val="nil"/>
              <w:left w:val="nil"/>
              <w:bottom w:val="single" w:sz="4" w:space="0" w:color="auto"/>
              <w:right w:val="single" w:sz="4" w:space="0" w:color="auto"/>
            </w:tcBorders>
            <w:shd w:val="clear" w:color="auto" w:fill="auto"/>
            <w:noWrap/>
            <w:vAlign w:val="bottom"/>
            <w:hideMark/>
          </w:tcPr>
          <w:p w14:paraId="59EAE3B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55 124</w:t>
            </w:r>
          </w:p>
        </w:tc>
        <w:tc>
          <w:tcPr>
            <w:tcW w:w="1520" w:type="dxa"/>
            <w:tcBorders>
              <w:top w:val="nil"/>
              <w:left w:val="nil"/>
              <w:bottom w:val="single" w:sz="4" w:space="0" w:color="auto"/>
              <w:right w:val="single" w:sz="4" w:space="0" w:color="auto"/>
            </w:tcBorders>
            <w:shd w:val="clear" w:color="auto" w:fill="auto"/>
            <w:noWrap/>
            <w:vAlign w:val="bottom"/>
            <w:hideMark/>
          </w:tcPr>
          <w:p w14:paraId="232E4AF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54 906</w:t>
            </w:r>
          </w:p>
        </w:tc>
      </w:tr>
      <w:tr w:rsidR="00E61582" w:rsidRPr="00E61582" w14:paraId="0B59DAE3"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79BF871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SM</w:t>
            </w:r>
          </w:p>
        </w:tc>
        <w:tc>
          <w:tcPr>
            <w:tcW w:w="1340" w:type="dxa"/>
            <w:tcBorders>
              <w:top w:val="nil"/>
              <w:left w:val="nil"/>
              <w:bottom w:val="single" w:sz="4" w:space="0" w:color="auto"/>
              <w:right w:val="single" w:sz="4" w:space="0" w:color="auto"/>
            </w:tcBorders>
            <w:shd w:val="clear" w:color="auto" w:fill="auto"/>
            <w:noWrap/>
            <w:vAlign w:val="bottom"/>
            <w:hideMark/>
          </w:tcPr>
          <w:p w14:paraId="43AEE8C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30 532</w:t>
            </w:r>
          </w:p>
        </w:tc>
        <w:tc>
          <w:tcPr>
            <w:tcW w:w="1300" w:type="dxa"/>
            <w:tcBorders>
              <w:top w:val="nil"/>
              <w:left w:val="nil"/>
              <w:bottom w:val="single" w:sz="4" w:space="0" w:color="auto"/>
              <w:right w:val="single" w:sz="4" w:space="0" w:color="auto"/>
            </w:tcBorders>
            <w:shd w:val="clear" w:color="auto" w:fill="auto"/>
            <w:noWrap/>
            <w:vAlign w:val="bottom"/>
            <w:hideMark/>
          </w:tcPr>
          <w:p w14:paraId="28250FB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27 368</w:t>
            </w:r>
          </w:p>
        </w:tc>
        <w:tc>
          <w:tcPr>
            <w:tcW w:w="1300" w:type="dxa"/>
            <w:tcBorders>
              <w:top w:val="nil"/>
              <w:left w:val="nil"/>
              <w:bottom w:val="single" w:sz="4" w:space="0" w:color="auto"/>
              <w:right w:val="single" w:sz="4" w:space="0" w:color="auto"/>
            </w:tcBorders>
            <w:shd w:val="clear" w:color="auto" w:fill="auto"/>
            <w:noWrap/>
            <w:vAlign w:val="bottom"/>
            <w:hideMark/>
          </w:tcPr>
          <w:p w14:paraId="30D85E6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13 792</w:t>
            </w:r>
          </w:p>
        </w:tc>
        <w:tc>
          <w:tcPr>
            <w:tcW w:w="1520" w:type="dxa"/>
            <w:tcBorders>
              <w:top w:val="nil"/>
              <w:left w:val="nil"/>
              <w:bottom w:val="single" w:sz="4" w:space="0" w:color="auto"/>
              <w:right w:val="single" w:sz="4" w:space="0" w:color="auto"/>
            </w:tcBorders>
            <w:shd w:val="clear" w:color="auto" w:fill="auto"/>
            <w:noWrap/>
            <w:vAlign w:val="bottom"/>
            <w:hideMark/>
          </w:tcPr>
          <w:p w14:paraId="77AB8D5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15 000</w:t>
            </w:r>
          </w:p>
        </w:tc>
      </w:tr>
      <w:tr w:rsidR="00E61582" w:rsidRPr="00E61582" w14:paraId="6E09A84D" w14:textId="77777777" w:rsidTr="002C24FA">
        <w:trPr>
          <w:trHeight w:val="371"/>
          <w:jc w:val="center"/>
        </w:trPr>
        <w:tc>
          <w:tcPr>
            <w:tcW w:w="2054" w:type="dxa"/>
            <w:tcBorders>
              <w:top w:val="nil"/>
              <w:left w:val="single" w:sz="4" w:space="0" w:color="auto"/>
              <w:bottom w:val="single" w:sz="4" w:space="0" w:color="auto"/>
              <w:right w:val="single" w:sz="4" w:space="0" w:color="auto"/>
            </w:tcBorders>
            <w:shd w:val="clear" w:color="auto" w:fill="auto"/>
            <w:vAlign w:val="bottom"/>
            <w:hideMark/>
          </w:tcPr>
          <w:p w14:paraId="112EE440" w14:textId="77777777" w:rsidR="00E61582" w:rsidRPr="00E61582" w:rsidRDefault="00E61582" w:rsidP="002C24FA">
            <w:pPr>
              <w:spacing w:after="0" w:line="240" w:lineRule="auto"/>
              <w:jc w:val="center"/>
              <w:rPr>
                <w:rFonts w:eastAsia="Times New Roman"/>
                <w:b/>
                <w:bCs/>
                <w:sz w:val="22"/>
                <w:lang w:val="lv-LV" w:eastAsia="lv-LV"/>
              </w:rPr>
            </w:pPr>
            <w:r w:rsidRPr="00E61582">
              <w:rPr>
                <w:rFonts w:eastAsia="Times New Roman"/>
                <w:b/>
                <w:bCs/>
                <w:sz w:val="22"/>
                <w:lang w:val="lv-LV" w:eastAsia="lv-LV"/>
              </w:rPr>
              <w:t>KOPĀ, ministrijas</w:t>
            </w:r>
          </w:p>
        </w:tc>
        <w:tc>
          <w:tcPr>
            <w:tcW w:w="1340" w:type="dxa"/>
            <w:tcBorders>
              <w:top w:val="nil"/>
              <w:left w:val="nil"/>
              <w:bottom w:val="single" w:sz="4" w:space="0" w:color="auto"/>
              <w:right w:val="single" w:sz="4" w:space="0" w:color="auto"/>
            </w:tcBorders>
            <w:shd w:val="clear" w:color="auto" w:fill="auto"/>
            <w:noWrap/>
            <w:vAlign w:val="bottom"/>
            <w:hideMark/>
          </w:tcPr>
          <w:p w14:paraId="4EF71E0D"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4 794 684</w:t>
            </w:r>
          </w:p>
        </w:tc>
        <w:tc>
          <w:tcPr>
            <w:tcW w:w="1300" w:type="dxa"/>
            <w:tcBorders>
              <w:top w:val="nil"/>
              <w:left w:val="nil"/>
              <w:bottom w:val="single" w:sz="4" w:space="0" w:color="auto"/>
              <w:right w:val="single" w:sz="4" w:space="0" w:color="auto"/>
            </w:tcBorders>
            <w:shd w:val="clear" w:color="auto" w:fill="auto"/>
            <w:noWrap/>
            <w:vAlign w:val="bottom"/>
            <w:hideMark/>
          </w:tcPr>
          <w:p w14:paraId="7948B867"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4 283 820</w:t>
            </w:r>
          </w:p>
        </w:tc>
        <w:tc>
          <w:tcPr>
            <w:tcW w:w="1300" w:type="dxa"/>
            <w:tcBorders>
              <w:top w:val="nil"/>
              <w:left w:val="nil"/>
              <w:bottom w:val="single" w:sz="4" w:space="0" w:color="auto"/>
              <w:right w:val="single" w:sz="4" w:space="0" w:color="auto"/>
            </w:tcBorders>
            <w:shd w:val="clear" w:color="auto" w:fill="auto"/>
            <w:noWrap/>
            <w:vAlign w:val="bottom"/>
            <w:hideMark/>
          </w:tcPr>
          <w:p w14:paraId="75D745E5"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4 084 409</w:t>
            </w:r>
          </w:p>
        </w:tc>
        <w:tc>
          <w:tcPr>
            <w:tcW w:w="1520" w:type="dxa"/>
            <w:tcBorders>
              <w:top w:val="nil"/>
              <w:left w:val="nil"/>
              <w:bottom w:val="single" w:sz="4" w:space="0" w:color="auto"/>
              <w:right w:val="single" w:sz="4" w:space="0" w:color="auto"/>
            </w:tcBorders>
            <w:shd w:val="clear" w:color="auto" w:fill="auto"/>
            <w:noWrap/>
            <w:vAlign w:val="bottom"/>
            <w:hideMark/>
          </w:tcPr>
          <w:p w14:paraId="5EA15368"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4 041 417</w:t>
            </w:r>
          </w:p>
        </w:tc>
      </w:tr>
    </w:tbl>
    <w:p w14:paraId="038A84EB" w14:textId="12606AD5" w:rsidR="00E61582" w:rsidRPr="00E61582" w:rsidRDefault="00E61582" w:rsidP="00E61582">
      <w:pPr>
        <w:spacing w:before="120"/>
        <w:ind w:firstLine="720"/>
        <w:rPr>
          <w:lang w:val="lv-LV"/>
        </w:rPr>
      </w:pPr>
      <w:r w:rsidRPr="00E61582">
        <w:rPr>
          <w:lang w:val="lv-LV"/>
        </w:rPr>
        <w:t>Tabulā Nr.</w:t>
      </w:r>
      <w:r w:rsidR="009B1A4B">
        <w:rPr>
          <w:lang w:val="lv-LV"/>
        </w:rPr>
        <w:t xml:space="preserve"> </w:t>
      </w:r>
      <w:r w:rsidRPr="00E61582">
        <w:rPr>
          <w:lang w:val="lv-LV"/>
        </w:rPr>
        <w:t xml:space="preserve">2.1.8. redzams, ka ministriju izdevumi biroja precēm 2020. gadā, salīdzinot ar 2019. gadu, samazinājās par 0,2 milj. </w:t>
      </w:r>
      <w:r w:rsidRPr="00E61582">
        <w:rPr>
          <w:i/>
          <w:iCs/>
          <w:lang w:val="lv-LV"/>
        </w:rPr>
        <w:t>euro</w:t>
      </w:r>
      <w:r w:rsidRPr="00E61582">
        <w:rPr>
          <w:lang w:val="lv-LV"/>
        </w:rPr>
        <w:t xml:space="preserve"> – izlietoti tika 4,1 milj. </w:t>
      </w:r>
      <w:r w:rsidRPr="00E61582">
        <w:rPr>
          <w:i/>
          <w:iCs/>
          <w:lang w:val="lv-LV"/>
        </w:rPr>
        <w:t>euro</w:t>
      </w:r>
      <w:r w:rsidRPr="00E61582">
        <w:rPr>
          <w:lang w:val="lv-LV"/>
        </w:rPr>
        <w:t xml:space="preserve">. 2021. gada izdevumi EKK 2311 plānoti vienā līmenī ar 2020. gada izlietoto – 4,0 milj. </w:t>
      </w:r>
      <w:r w:rsidRPr="00E61582">
        <w:rPr>
          <w:i/>
          <w:iCs/>
          <w:lang w:val="lv-LV"/>
        </w:rPr>
        <w:t>euro</w:t>
      </w:r>
      <w:r w:rsidRPr="00E61582">
        <w:rPr>
          <w:lang w:val="lv-LV"/>
        </w:rPr>
        <w:t xml:space="preserve">. Pārsvarā ministriju izdevumiem biroja precēm ir tendence samazināties. Visām ministrijām, izņemot IeM un AiM, izdevumi EKK 2311 kodā 2020. gadā ir samazinājušies, kā arī 2021. gadā, plānojot izdevumus, ministrijas kopumā plāno samazināt tos, turpinot attīstīt darbu attālināti. Atsevišķu ministriju izdevumu dinamika skaidrojama arī ar to, ka 2019. gadā tika veikti iepirkumi biroja precēm un attālinātā darba laikā ir veidojušās preču rezerves, līdz ar ko netika izlietota daļa 2020. gadā plānotā finansējuma. </w:t>
      </w:r>
    </w:p>
    <w:p w14:paraId="7419D10F" w14:textId="77777777" w:rsidR="00E61582" w:rsidRPr="00E61582" w:rsidRDefault="00E61582" w:rsidP="00E61582">
      <w:pPr>
        <w:ind w:firstLine="720"/>
        <w:rPr>
          <w:u w:val="single"/>
          <w:lang w:val="lv-LV"/>
        </w:rPr>
      </w:pPr>
    </w:p>
    <w:p w14:paraId="1D76144D" w14:textId="77777777" w:rsidR="00E61582" w:rsidRPr="00E61582" w:rsidRDefault="00E61582" w:rsidP="00E61582">
      <w:pPr>
        <w:ind w:firstLine="720"/>
        <w:rPr>
          <w:u w:val="single"/>
          <w:lang w:val="lv-LV"/>
        </w:rPr>
      </w:pPr>
      <w:r w:rsidRPr="00E61582">
        <w:rPr>
          <w:u w:val="single"/>
          <w:lang w:val="lv-LV"/>
        </w:rPr>
        <w:t>EKK 2322 “Degviela”</w:t>
      </w:r>
    </w:p>
    <w:p w14:paraId="55F59E85" w14:textId="77777777" w:rsidR="00E61582" w:rsidRPr="00E61582" w:rsidRDefault="00E61582" w:rsidP="00E61582">
      <w:pPr>
        <w:ind w:firstLine="720"/>
        <w:rPr>
          <w:b/>
          <w:bCs/>
          <w:i/>
          <w:iCs/>
          <w:sz w:val="22"/>
          <w:lang w:val="lv-LV"/>
        </w:rPr>
      </w:pPr>
      <w:r w:rsidRPr="00E61582">
        <w:rPr>
          <w:lang w:val="lv-LV"/>
        </w:rPr>
        <w:t>EKK 2322 uzskaita degvielas iegādi transporta un saimniecības tehnikas vajadzībām. Šajā kodā uzskaita arī komandējumos un darba braucienos izmantoto degvielu, ja braucienam tiek izmantots dienesta transportlīdzeklis</w:t>
      </w:r>
      <w:r w:rsidRPr="00E61582">
        <w:rPr>
          <w:rStyle w:val="FootnoteReference"/>
          <w:lang w:val="lv-LV"/>
        </w:rPr>
        <w:footnoteReference w:id="6"/>
      </w:r>
      <w:r w:rsidRPr="00E61582">
        <w:rPr>
          <w:lang w:val="lv-LV"/>
        </w:rPr>
        <w:t>.</w:t>
      </w:r>
    </w:p>
    <w:p w14:paraId="445B0548" w14:textId="77777777" w:rsidR="009B1A4B" w:rsidRDefault="009B1A4B" w:rsidP="00E61582">
      <w:pPr>
        <w:jc w:val="center"/>
        <w:rPr>
          <w:b/>
          <w:bCs/>
          <w:i/>
          <w:iCs/>
          <w:sz w:val="22"/>
          <w:lang w:val="lv-LV"/>
        </w:rPr>
      </w:pPr>
    </w:p>
    <w:p w14:paraId="11D8322B" w14:textId="77777777" w:rsidR="009B1A4B" w:rsidRDefault="009B1A4B" w:rsidP="00E61582">
      <w:pPr>
        <w:jc w:val="center"/>
        <w:rPr>
          <w:b/>
          <w:bCs/>
          <w:i/>
          <w:iCs/>
          <w:sz w:val="22"/>
          <w:lang w:val="lv-LV"/>
        </w:rPr>
      </w:pPr>
    </w:p>
    <w:p w14:paraId="2B5CC06F" w14:textId="73D0B951" w:rsidR="0005194E" w:rsidRDefault="0005194E" w:rsidP="00F700BC">
      <w:pPr>
        <w:rPr>
          <w:b/>
          <w:bCs/>
          <w:i/>
          <w:iCs/>
          <w:sz w:val="22"/>
          <w:lang w:val="lv-LV"/>
        </w:rPr>
      </w:pPr>
    </w:p>
    <w:p w14:paraId="29623C28" w14:textId="5791F5A7" w:rsidR="002C24FA" w:rsidRDefault="002C24FA" w:rsidP="00F700BC">
      <w:pPr>
        <w:rPr>
          <w:b/>
          <w:bCs/>
          <w:i/>
          <w:iCs/>
          <w:sz w:val="22"/>
          <w:lang w:val="lv-LV"/>
        </w:rPr>
      </w:pPr>
    </w:p>
    <w:p w14:paraId="1589FB36" w14:textId="4841C568" w:rsidR="002C24FA" w:rsidRDefault="002C24FA" w:rsidP="00F700BC">
      <w:pPr>
        <w:rPr>
          <w:b/>
          <w:bCs/>
          <w:i/>
          <w:iCs/>
          <w:sz w:val="22"/>
          <w:lang w:val="lv-LV"/>
        </w:rPr>
      </w:pPr>
    </w:p>
    <w:p w14:paraId="1E3EFE13" w14:textId="624570C6" w:rsidR="002C24FA" w:rsidRDefault="002C24FA" w:rsidP="00F700BC">
      <w:pPr>
        <w:rPr>
          <w:b/>
          <w:bCs/>
          <w:i/>
          <w:iCs/>
          <w:sz w:val="22"/>
          <w:lang w:val="lv-LV"/>
        </w:rPr>
      </w:pPr>
    </w:p>
    <w:p w14:paraId="1D045983" w14:textId="77777777" w:rsidR="002C24FA" w:rsidRDefault="002C24FA" w:rsidP="00F700BC">
      <w:pPr>
        <w:rPr>
          <w:b/>
          <w:bCs/>
          <w:i/>
          <w:iCs/>
          <w:sz w:val="22"/>
          <w:lang w:val="lv-LV"/>
        </w:rPr>
      </w:pPr>
    </w:p>
    <w:p w14:paraId="4ACF3845" w14:textId="075CDD80" w:rsidR="00E61582" w:rsidRPr="00E61582" w:rsidRDefault="00E61582" w:rsidP="00E61582">
      <w:pPr>
        <w:jc w:val="center"/>
        <w:rPr>
          <w:lang w:val="lv-LV"/>
        </w:rPr>
      </w:pPr>
      <w:r w:rsidRPr="00E61582">
        <w:rPr>
          <w:b/>
          <w:bCs/>
          <w:i/>
          <w:iCs/>
          <w:sz w:val="22"/>
          <w:lang w:val="lv-LV"/>
        </w:rPr>
        <w:lastRenderedPageBreak/>
        <w:t>2.1.7.</w:t>
      </w:r>
      <w:r w:rsidRPr="00E61582">
        <w:rPr>
          <w:sz w:val="22"/>
          <w:lang w:val="lv-LV"/>
        </w:rPr>
        <w:t xml:space="preserve"> </w:t>
      </w:r>
      <w:r w:rsidRPr="00E61582">
        <w:rPr>
          <w:b/>
          <w:bCs/>
          <w:i/>
          <w:iCs/>
          <w:sz w:val="22"/>
          <w:lang w:val="lv-LV"/>
        </w:rPr>
        <w:t>attēls</w:t>
      </w:r>
      <w:r w:rsidRPr="00E61582">
        <w:rPr>
          <w:b/>
          <w:bCs/>
          <w:sz w:val="22"/>
          <w:lang w:val="lv-LV"/>
        </w:rPr>
        <w:t xml:space="preserve"> EKK 2322 “Degviela” kopējo izdevumu dinamika</w:t>
      </w:r>
    </w:p>
    <w:p w14:paraId="0AAE94BF" w14:textId="77777777" w:rsidR="00E61582" w:rsidRPr="00E61582" w:rsidRDefault="00E61582" w:rsidP="00E61582">
      <w:pPr>
        <w:rPr>
          <w:lang w:val="lv-LV"/>
        </w:rPr>
      </w:pPr>
      <w:r w:rsidRPr="00E61582">
        <w:rPr>
          <w:noProof/>
          <w:lang w:val="lv-LV" w:eastAsia="lv-LV"/>
        </w:rPr>
        <w:drawing>
          <wp:inline distT="0" distB="0" distL="0" distR="0" wp14:anchorId="5E66A1C5" wp14:editId="0F9A0DE1">
            <wp:extent cx="5743575" cy="2397760"/>
            <wp:effectExtent l="0" t="0" r="9525"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8993" cy="2412546"/>
                    </a:xfrm>
                    <a:prstGeom prst="rect">
                      <a:avLst/>
                    </a:prstGeom>
                    <a:noFill/>
                  </pic:spPr>
                </pic:pic>
              </a:graphicData>
            </a:graphic>
          </wp:inline>
        </w:drawing>
      </w:r>
    </w:p>
    <w:p w14:paraId="668D2984" w14:textId="77777777" w:rsidR="00E61582" w:rsidRPr="00E61582" w:rsidRDefault="00E61582" w:rsidP="00E61582">
      <w:pPr>
        <w:ind w:firstLine="720"/>
        <w:rPr>
          <w:lang w:val="lv-LV"/>
        </w:rPr>
      </w:pPr>
      <w:r w:rsidRPr="00E61582">
        <w:rPr>
          <w:lang w:val="lv-LV"/>
        </w:rPr>
        <w:t>Attēlā Nr. 2.1.7. redzams, ka līdz ar ārkārtējās situācijas sākumu 2020. gada 12. martā, izdevumi degvielai krasi samazinājās un līdz pat gada beigām turpināja samazināties, salīdzinot ar 2019. gadu. Komandējumu skaita strauja samazināšanās, kā arī sanāksmju un sēžu norise attālināti sekmējusi degvielas izdevumu samazināšanos. 2021. gada plānotie izdevumi pieaug, taču saglabājas zemāki kā 2019. gadā.</w:t>
      </w:r>
    </w:p>
    <w:p w14:paraId="507EADC1" w14:textId="77777777" w:rsidR="00E61582" w:rsidRPr="00E61582" w:rsidRDefault="00E61582" w:rsidP="00E61582">
      <w:pPr>
        <w:jc w:val="center"/>
        <w:rPr>
          <w:lang w:val="lv-LV"/>
        </w:rPr>
      </w:pPr>
      <w:r w:rsidRPr="00E61582">
        <w:rPr>
          <w:b/>
          <w:bCs/>
          <w:i/>
          <w:iCs/>
          <w:sz w:val="22"/>
          <w:lang w:val="lv-LV"/>
        </w:rPr>
        <w:t>2.1.9.</w:t>
      </w:r>
      <w:r w:rsidRPr="00E61582">
        <w:rPr>
          <w:sz w:val="22"/>
          <w:lang w:val="lv-LV"/>
        </w:rPr>
        <w:t xml:space="preserve"> </w:t>
      </w:r>
      <w:r w:rsidRPr="00E61582">
        <w:rPr>
          <w:b/>
          <w:bCs/>
          <w:i/>
          <w:iCs/>
          <w:sz w:val="22"/>
          <w:lang w:val="lv-LV"/>
        </w:rPr>
        <w:t>tabula</w:t>
      </w:r>
      <w:r w:rsidRPr="00E61582">
        <w:rPr>
          <w:lang w:val="lv-LV"/>
        </w:rPr>
        <w:t xml:space="preserve"> </w:t>
      </w:r>
      <w:r w:rsidRPr="00E61582">
        <w:rPr>
          <w:b/>
          <w:bCs/>
          <w:sz w:val="22"/>
          <w:lang w:val="lv-LV"/>
        </w:rPr>
        <w:t>EKK 2322 “Degviela” ministriju izdevumu dinamika</w:t>
      </w:r>
    </w:p>
    <w:tbl>
      <w:tblPr>
        <w:tblW w:w="7797" w:type="dxa"/>
        <w:jc w:val="center"/>
        <w:tblLook w:val="04A0" w:firstRow="1" w:lastRow="0" w:firstColumn="1" w:lastColumn="0" w:noHBand="0" w:noVBand="1"/>
      </w:tblPr>
      <w:tblGrid>
        <w:gridCol w:w="2054"/>
        <w:gridCol w:w="1632"/>
        <w:gridCol w:w="1408"/>
        <w:gridCol w:w="1280"/>
        <w:gridCol w:w="1423"/>
      </w:tblGrid>
      <w:tr w:rsidR="00E61582" w:rsidRPr="00E61582" w14:paraId="2350728A" w14:textId="77777777" w:rsidTr="002C24FA">
        <w:trPr>
          <w:trHeight w:val="855"/>
          <w:tblHeader/>
          <w:jc w:val="center"/>
        </w:trPr>
        <w:tc>
          <w:tcPr>
            <w:tcW w:w="2054"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6DCA82C" w14:textId="77777777" w:rsidR="00E61582" w:rsidRPr="00E61582" w:rsidRDefault="00E61582" w:rsidP="00E61582">
            <w:pPr>
              <w:spacing w:after="0" w:line="240" w:lineRule="auto"/>
              <w:rPr>
                <w:rFonts w:eastAsia="Times New Roman"/>
                <w:b/>
                <w:bCs/>
                <w:sz w:val="22"/>
                <w:lang w:val="lv-LV" w:eastAsia="lv-LV"/>
              </w:rPr>
            </w:pPr>
            <w:r w:rsidRPr="00E61582">
              <w:rPr>
                <w:rFonts w:eastAsia="Times New Roman"/>
                <w:b/>
                <w:bCs/>
                <w:sz w:val="22"/>
                <w:lang w:val="lv-LV" w:eastAsia="lv-LV"/>
              </w:rPr>
              <w:t> </w:t>
            </w:r>
          </w:p>
        </w:tc>
        <w:tc>
          <w:tcPr>
            <w:tcW w:w="1632" w:type="dxa"/>
            <w:tcBorders>
              <w:top w:val="single" w:sz="4" w:space="0" w:color="auto"/>
              <w:left w:val="nil"/>
              <w:bottom w:val="single" w:sz="4" w:space="0" w:color="auto"/>
              <w:right w:val="single" w:sz="4" w:space="0" w:color="auto"/>
            </w:tcBorders>
            <w:shd w:val="clear" w:color="000000" w:fill="C6E0B4"/>
            <w:vAlign w:val="center"/>
            <w:hideMark/>
          </w:tcPr>
          <w:p w14:paraId="7A2C5867" w14:textId="7D9CBBD8"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vidēji 2015.-2019.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408" w:type="dxa"/>
            <w:tcBorders>
              <w:top w:val="single" w:sz="4" w:space="0" w:color="auto"/>
              <w:left w:val="nil"/>
              <w:bottom w:val="single" w:sz="4" w:space="0" w:color="auto"/>
              <w:right w:val="single" w:sz="4" w:space="0" w:color="auto"/>
            </w:tcBorders>
            <w:shd w:val="clear" w:color="000000" w:fill="C6E0B4"/>
            <w:vAlign w:val="center"/>
            <w:hideMark/>
          </w:tcPr>
          <w:p w14:paraId="12485F02" w14:textId="56E1708C"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80" w:type="dxa"/>
            <w:tcBorders>
              <w:top w:val="single" w:sz="4" w:space="0" w:color="auto"/>
              <w:left w:val="nil"/>
              <w:bottom w:val="single" w:sz="4" w:space="0" w:color="auto"/>
              <w:right w:val="single" w:sz="4" w:space="0" w:color="auto"/>
            </w:tcBorders>
            <w:shd w:val="clear" w:color="000000" w:fill="C6E0B4"/>
            <w:vAlign w:val="center"/>
            <w:hideMark/>
          </w:tcPr>
          <w:p w14:paraId="7D717F4D" w14:textId="038DF1E2"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2020.</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423" w:type="dxa"/>
            <w:tcBorders>
              <w:top w:val="single" w:sz="4" w:space="0" w:color="auto"/>
              <w:left w:val="nil"/>
              <w:bottom w:val="single" w:sz="4" w:space="0" w:color="auto"/>
              <w:right w:val="single" w:sz="4" w:space="0" w:color="auto"/>
            </w:tcBorders>
            <w:shd w:val="clear" w:color="000000" w:fill="C6E0B4"/>
            <w:vAlign w:val="center"/>
            <w:hideMark/>
          </w:tcPr>
          <w:p w14:paraId="062DBA4B" w14:textId="04EBDC4D"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2021.</w:t>
            </w:r>
            <w:r w:rsidR="00FF342C">
              <w:rPr>
                <w:rFonts w:eastAsia="Times New Roman"/>
                <w:b/>
                <w:bCs/>
                <w:sz w:val="22"/>
                <w:lang w:val="lv-LV" w:eastAsia="lv-LV"/>
              </w:rPr>
              <w:t xml:space="preserve"> </w:t>
            </w:r>
            <w:r w:rsidRPr="00E61582">
              <w:rPr>
                <w:rFonts w:eastAsia="Times New Roman"/>
                <w:b/>
                <w:bCs/>
                <w:sz w:val="22"/>
                <w:lang w:val="lv-LV" w:eastAsia="lv-LV"/>
              </w:rPr>
              <w:t xml:space="preserve">gads (plāns), </w:t>
            </w:r>
            <w:r w:rsidRPr="00E61582">
              <w:rPr>
                <w:rFonts w:eastAsia="Times New Roman"/>
                <w:b/>
                <w:bCs/>
                <w:i/>
                <w:iCs/>
                <w:sz w:val="22"/>
                <w:lang w:val="lv-LV" w:eastAsia="lv-LV"/>
              </w:rPr>
              <w:t>euro</w:t>
            </w:r>
          </w:p>
        </w:tc>
      </w:tr>
      <w:tr w:rsidR="00E61582" w:rsidRPr="00E61582" w14:paraId="0580FAF4"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6046E0D0"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IeM</w:t>
            </w:r>
          </w:p>
        </w:tc>
        <w:tc>
          <w:tcPr>
            <w:tcW w:w="1632" w:type="dxa"/>
            <w:tcBorders>
              <w:top w:val="nil"/>
              <w:left w:val="nil"/>
              <w:bottom w:val="single" w:sz="4" w:space="0" w:color="auto"/>
              <w:right w:val="single" w:sz="4" w:space="0" w:color="auto"/>
            </w:tcBorders>
            <w:shd w:val="clear" w:color="auto" w:fill="auto"/>
            <w:noWrap/>
            <w:vAlign w:val="bottom"/>
            <w:hideMark/>
          </w:tcPr>
          <w:p w14:paraId="1A2B6CBF"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4 884 275</w:t>
            </w:r>
          </w:p>
        </w:tc>
        <w:tc>
          <w:tcPr>
            <w:tcW w:w="1408" w:type="dxa"/>
            <w:tcBorders>
              <w:top w:val="nil"/>
              <w:left w:val="nil"/>
              <w:bottom w:val="single" w:sz="4" w:space="0" w:color="auto"/>
              <w:right w:val="single" w:sz="4" w:space="0" w:color="auto"/>
            </w:tcBorders>
            <w:shd w:val="clear" w:color="auto" w:fill="auto"/>
            <w:noWrap/>
            <w:vAlign w:val="bottom"/>
            <w:hideMark/>
          </w:tcPr>
          <w:p w14:paraId="0EF7A56B"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4 409 798</w:t>
            </w:r>
          </w:p>
        </w:tc>
        <w:tc>
          <w:tcPr>
            <w:tcW w:w="1280" w:type="dxa"/>
            <w:tcBorders>
              <w:top w:val="nil"/>
              <w:left w:val="nil"/>
              <w:bottom w:val="single" w:sz="4" w:space="0" w:color="auto"/>
              <w:right w:val="single" w:sz="4" w:space="0" w:color="auto"/>
            </w:tcBorders>
            <w:shd w:val="clear" w:color="auto" w:fill="auto"/>
            <w:noWrap/>
            <w:vAlign w:val="bottom"/>
            <w:hideMark/>
          </w:tcPr>
          <w:p w14:paraId="4D91BF08"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3 585 909</w:t>
            </w:r>
          </w:p>
        </w:tc>
        <w:tc>
          <w:tcPr>
            <w:tcW w:w="1423" w:type="dxa"/>
            <w:tcBorders>
              <w:top w:val="nil"/>
              <w:left w:val="nil"/>
              <w:bottom w:val="single" w:sz="4" w:space="0" w:color="auto"/>
              <w:right w:val="single" w:sz="4" w:space="0" w:color="auto"/>
            </w:tcBorders>
            <w:shd w:val="clear" w:color="auto" w:fill="auto"/>
            <w:noWrap/>
            <w:vAlign w:val="bottom"/>
            <w:hideMark/>
          </w:tcPr>
          <w:p w14:paraId="6B5A627B"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4 997 375</w:t>
            </w:r>
          </w:p>
        </w:tc>
      </w:tr>
      <w:tr w:rsidR="00E61582" w:rsidRPr="00E61582" w14:paraId="69E6FC97"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40281644"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AiM</w:t>
            </w:r>
          </w:p>
        </w:tc>
        <w:tc>
          <w:tcPr>
            <w:tcW w:w="1632" w:type="dxa"/>
            <w:tcBorders>
              <w:top w:val="nil"/>
              <w:left w:val="nil"/>
              <w:bottom w:val="single" w:sz="4" w:space="0" w:color="auto"/>
              <w:right w:val="single" w:sz="4" w:space="0" w:color="auto"/>
            </w:tcBorders>
            <w:shd w:val="clear" w:color="auto" w:fill="auto"/>
            <w:noWrap/>
            <w:vAlign w:val="bottom"/>
            <w:hideMark/>
          </w:tcPr>
          <w:p w14:paraId="5CEB0E4F"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4 385 603</w:t>
            </w:r>
          </w:p>
        </w:tc>
        <w:tc>
          <w:tcPr>
            <w:tcW w:w="1408" w:type="dxa"/>
            <w:tcBorders>
              <w:top w:val="nil"/>
              <w:left w:val="nil"/>
              <w:bottom w:val="single" w:sz="4" w:space="0" w:color="auto"/>
              <w:right w:val="single" w:sz="4" w:space="0" w:color="auto"/>
            </w:tcBorders>
            <w:shd w:val="clear" w:color="auto" w:fill="auto"/>
            <w:noWrap/>
            <w:vAlign w:val="bottom"/>
            <w:hideMark/>
          </w:tcPr>
          <w:p w14:paraId="4090E436"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8 247 640</w:t>
            </w:r>
          </w:p>
        </w:tc>
        <w:tc>
          <w:tcPr>
            <w:tcW w:w="1280" w:type="dxa"/>
            <w:tcBorders>
              <w:top w:val="nil"/>
              <w:left w:val="nil"/>
              <w:bottom w:val="single" w:sz="4" w:space="0" w:color="auto"/>
              <w:right w:val="single" w:sz="4" w:space="0" w:color="auto"/>
            </w:tcBorders>
            <w:shd w:val="clear" w:color="auto" w:fill="auto"/>
            <w:noWrap/>
            <w:vAlign w:val="bottom"/>
            <w:hideMark/>
          </w:tcPr>
          <w:p w14:paraId="118FBA98"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5 920 880</w:t>
            </w:r>
          </w:p>
        </w:tc>
        <w:tc>
          <w:tcPr>
            <w:tcW w:w="1423" w:type="dxa"/>
            <w:tcBorders>
              <w:top w:val="nil"/>
              <w:left w:val="nil"/>
              <w:bottom w:val="single" w:sz="4" w:space="0" w:color="auto"/>
              <w:right w:val="single" w:sz="4" w:space="0" w:color="auto"/>
            </w:tcBorders>
            <w:shd w:val="clear" w:color="auto" w:fill="auto"/>
            <w:noWrap/>
            <w:vAlign w:val="bottom"/>
            <w:hideMark/>
          </w:tcPr>
          <w:p w14:paraId="51F61DED"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4 727 290</w:t>
            </w:r>
          </w:p>
        </w:tc>
      </w:tr>
      <w:tr w:rsidR="00E61582" w:rsidRPr="00E61582" w14:paraId="3A65EC36"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5D75117C"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VM</w:t>
            </w:r>
          </w:p>
        </w:tc>
        <w:tc>
          <w:tcPr>
            <w:tcW w:w="1632" w:type="dxa"/>
            <w:tcBorders>
              <w:top w:val="nil"/>
              <w:left w:val="nil"/>
              <w:bottom w:val="single" w:sz="4" w:space="0" w:color="auto"/>
              <w:right w:val="single" w:sz="4" w:space="0" w:color="auto"/>
            </w:tcBorders>
            <w:shd w:val="clear" w:color="auto" w:fill="auto"/>
            <w:noWrap/>
            <w:vAlign w:val="bottom"/>
            <w:hideMark/>
          </w:tcPr>
          <w:p w14:paraId="6F2C99B6"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2 049 994</w:t>
            </w:r>
          </w:p>
        </w:tc>
        <w:tc>
          <w:tcPr>
            <w:tcW w:w="1408" w:type="dxa"/>
            <w:tcBorders>
              <w:top w:val="nil"/>
              <w:left w:val="nil"/>
              <w:bottom w:val="single" w:sz="4" w:space="0" w:color="auto"/>
              <w:right w:val="single" w:sz="4" w:space="0" w:color="auto"/>
            </w:tcBorders>
            <w:shd w:val="clear" w:color="auto" w:fill="auto"/>
            <w:noWrap/>
            <w:vAlign w:val="bottom"/>
            <w:hideMark/>
          </w:tcPr>
          <w:p w14:paraId="1D11C8E4"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2 134 619</w:t>
            </w:r>
          </w:p>
        </w:tc>
        <w:tc>
          <w:tcPr>
            <w:tcW w:w="1280" w:type="dxa"/>
            <w:tcBorders>
              <w:top w:val="nil"/>
              <w:left w:val="nil"/>
              <w:bottom w:val="single" w:sz="4" w:space="0" w:color="auto"/>
              <w:right w:val="single" w:sz="4" w:space="0" w:color="auto"/>
            </w:tcBorders>
            <w:shd w:val="clear" w:color="auto" w:fill="auto"/>
            <w:noWrap/>
            <w:vAlign w:val="bottom"/>
            <w:hideMark/>
          </w:tcPr>
          <w:p w14:paraId="4E548A59"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1 755 915</w:t>
            </w:r>
          </w:p>
        </w:tc>
        <w:tc>
          <w:tcPr>
            <w:tcW w:w="1423" w:type="dxa"/>
            <w:tcBorders>
              <w:top w:val="nil"/>
              <w:left w:val="nil"/>
              <w:bottom w:val="single" w:sz="4" w:space="0" w:color="auto"/>
              <w:right w:val="single" w:sz="4" w:space="0" w:color="auto"/>
            </w:tcBorders>
            <w:shd w:val="clear" w:color="auto" w:fill="auto"/>
            <w:noWrap/>
            <w:vAlign w:val="bottom"/>
            <w:hideMark/>
          </w:tcPr>
          <w:p w14:paraId="1C4C6907"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2 199 659</w:t>
            </w:r>
          </w:p>
        </w:tc>
      </w:tr>
      <w:tr w:rsidR="00E61582" w:rsidRPr="00E61582" w14:paraId="4C87D4C4"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7323B612"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ZM</w:t>
            </w:r>
          </w:p>
        </w:tc>
        <w:tc>
          <w:tcPr>
            <w:tcW w:w="1632" w:type="dxa"/>
            <w:tcBorders>
              <w:top w:val="nil"/>
              <w:left w:val="nil"/>
              <w:bottom w:val="single" w:sz="4" w:space="0" w:color="auto"/>
              <w:right w:val="single" w:sz="4" w:space="0" w:color="auto"/>
            </w:tcBorders>
            <w:shd w:val="clear" w:color="auto" w:fill="auto"/>
            <w:noWrap/>
            <w:vAlign w:val="bottom"/>
            <w:hideMark/>
          </w:tcPr>
          <w:p w14:paraId="3C0CC44E"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1 288 438</w:t>
            </w:r>
          </w:p>
        </w:tc>
        <w:tc>
          <w:tcPr>
            <w:tcW w:w="1408" w:type="dxa"/>
            <w:tcBorders>
              <w:top w:val="nil"/>
              <w:left w:val="nil"/>
              <w:bottom w:val="single" w:sz="4" w:space="0" w:color="auto"/>
              <w:right w:val="single" w:sz="4" w:space="0" w:color="auto"/>
            </w:tcBorders>
            <w:shd w:val="clear" w:color="auto" w:fill="auto"/>
            <w:noWrap/>
            <w:vAlign w:val="bottom"/>
            <w:hideMark/>
          </w:tcPr>
          <w:p w14:paraId="50D3B03D"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1 259 452</w:t>
            </w:r>
          </w:p>
        </w:tc>
        <w:tc>
          <w:tcPr>
            <w:tcW w:w="1280" w:type="dxa"/>
            <w:tcBorders>
              <w:top w:val="nil"/>
              <w:left w:val="nil"/>
              <w:bottom w:val="single" w:sz="4" w:space="0" w:color="auto"/>
              <w:right w:val="single" w:sz="4" w:space="0" w:color="auto"/>
            </w:tcBorders>
            <w:shd w:val="clear" w:color="auto" w:fill="auto"/>
            <w:noWrap/>
            <w:vAlign w:val="bottom"/>
            <w:hideMark/>
          </w:tcPr>
          <w:p w14:paraId="641CEE12"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1 056 476</w:t>
            </w:r>
          </w:p>
        </w:tc>
        <w:tc>
          <w:tcPr>
            <w:tcW w:w="1423" w:type="dxa"/>
            <w:tcBorders>
              <w:top w:val="nil"/>
              <w:left w:val="nil"/>
              <w:bottom w:val="single" w:sz="4" w:space="0" w:color="auto"/>
              <w:right w:val="single" w:sz="4" w:space="0" w:color="auto"/>
            </w:tcBorders>
            <w:shd w:val="clear" w:color="auto" w:fill="auto"/>
            <w:noWrap/>
            <w:vAlign w:val="bottom"/>
            <w:hideMark/>
          </w:tcPr>
          <w:p w14:paraId="44E6278B"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1 334 197</w:t>
            </w:r>
          </w:p>
        </w:tc>
      </w:tr>
      <w:tr w:rsidR="00E61582" w:rsidRPr="00E61582" w14:paraId="23695839"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11FA31CE"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VARAM</w:t>
            </w:r>
          </w:p>
        </w:tc>
        <w:tc>
          <w:tcPr>
            <w:tcW w:w="1632" w:type="dxa"/>
            <w:tcBorders>
              <w:top w:val="nil"/>
              <w:left w:val="nil"/>
              <w:bottom w:val="single" w:sz="4" w:space="0" w:color="auto"/>
              <w:right w:val="single" w:sz="4" w:space="0" w:color="auto"/>
            </w:tcBorders>
            <w:shd w:val="clear" w:color="auto" w:fill="auto"/>
            <w:noWrap/>
            <w:vAlign w:val="bottom"/>
            <w:hideMark/>
          </w:tcPr>
          <w:p w14:paraId="46557411"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324 549</w:t>
            </w:r>
          </w:p>
        </w:tc>
        <w:tc>
          <w:tcPr>
            <w:tcW w:w="1408" w:type="dxa"/>
            <w:tcBorders>
              <w:top w:val="nil"/>
              <w:left w:val="nil"/>
              <w:bottom w:val="single" w:sz="4" w:space="0" w:color="auto"/>
              <w:right w:val="single" w:sz="4" w:space="0" w:color="auto"/>
            </w:tcBorders>
            <w:shd w:val="clear" w:color="auto" w:fill="auto"/>
            <w:noWrap/>
            <w:vAlign w:val="bottom"/>
            <w:hideMark/>
          </w:tcPr>
          <w:p w14:paraId="57528DE9"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315 281</w:t>
            </w:r>
          </w:p>
        </w:tc>
        <w:tc>
          <w:tcPr>
            <w:tcW w:w="1280" w:type="dxa"/>
            <w:tcBorders>
              <w:top w:val="nil"/>
              <w:left w:val="nil"/>
              <w:bottom w:val="single" w:sz="4" w:space="0" w:color="auto"/>
              <w:right w:val="single" w:sz="4" w:space="0" w:color="auto"/>
            </w:tcBorders>
            <w:shd w:val="clear" w:color="auto" w:fill="auto"/>
            <w:noWrap/>
            <w:vAlign w:val="bottom"/>
            <w:hideMark/>
          </w:tcPr>
          <w:p w14:paraId="151B0667"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266 865</w:t>
            </w:r>
          </w:p>
        </w:tc>
        <w:tc>
          <w:tcPr>
            <w:tcW w:w="1423" w:type="dxa"/>
            <w:tcBorders>
              <w:top w:val="nil"/>
              <w:left w:val="nil"/>
              <w:bottom w:val="single" w:sz="4" w:space="0" w:color="auto"/>
              <w:right w:val="single" w:sz="4" w:space="0" w:color="auto"/>
            </w:tcBorders>
            <w:shd w:val="clear" w:color="auto" w:fill="auto"/>
            <w:noWrap/>
            <w:vAlign w:val="bottom"/>
            <w:hideMark/>
          </w:tcPr>
          <w:p w14:paraId="48D16054"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339 076</w:t>
            </w:r>
          </w:p>
        </w:tc>
      </w:tr>
      <w:tr w:rsidR="00E61582" w:rsidRPr="00E61582" w14:paraId="712FA159"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1B6A5727"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FM</w:t>
            </w:r>
          </w:p>
        </w:tc>
        <w:tc>
          <w:tcPr>
            <w:tcW w:w="1632" w:type="dxa"/>
            <w:tcBorders>
              <w:top w:val="nil"/>
              <w:left w:val="nil"/>
              <w:bottom w:val="single" w:sz="4" w:space="0" w:color="auto"/>
              <w:right w:val="single" w:sz="4" w:space="0" w:color="auto"/>
            </w:tcBorders>
            <w:shd w:val="clear" w:color="auto" w:fill="auto"/>
            <w:noWrap/>
            <w:vAlign w:val="bottom"/>
            <w:hideMark/>
          </w:tcPr>
          <w:p w14:paraId="599E41D7"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595 554</w:t>
            </w:r>
          </w:p>
        </w:tc>
        <w:tc>
          <w:tcPr>
            <w:tcW w:w="1408" w:type="dxa"/>
            <w:tcBorders>
              <w:top w:val="nil"/>
              <w:left w:val="nil"/>
              <w:bottom w:val="single" w:sz="4" w:space="0" w:color="auto"/>
              <w:right w:val="single" w:sz="4" w:space="0" w:color="auto"/>
            </w:tcBorders>
            <w:shd w:val="clear" w:color="auto" w:fill="auto"/>
            <w:noWrap/>
            <w:vAlign w:val="bottom"/>
            <w:hideMark/>
          </w:tcPr>
          <w:p w14:paraId="2750CAAB"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541 806</w:t>
            </w:r>
          </w:p>
        </w:tc>
        <w:tc>
          <w:tcPr>
            <w:tcW w:w="1280" w:type="dxa"/>
            <w:tcBorders>
              <w:top w:val="nil"/>
              <w:left w:val="nil"/>
              <w:bottom w:val="single" w:sz="4" w:space="0" w:color="auto"/>
              <w:right w:val="single" w:sz="4" w:space="0" w:color="auto"/>
            </w:tcBorders>
            <w:shd w:val="clear" w:color="auto" w:fill="auto"/>
            <w:noWrap/>
            <w:vAlign w:val="bottom"/>
            <w:hideMark/>
          </w:tcPr>
          <w:p w14:paraId="617BDBBC"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402 736</w:t>
            </w:r>
          </w:p>
        </w:tc>
        <w:tc>
          <w:tcPr>
            <w:tcW w:w="1423" w:type="dxa"/>
            <w:tcBorders>
              <w:top w:val="nil"/>
              <w:left w:val="nil"/>
              <w:bottom w:val="single" w:sz="4" w:space="0" w:color="auto"/>
              <w:right w:val="single" w:sz="4" w:space="0" w:color="auto"/>
            </w:tcBorders>
            <w:shd w:val="clear" w:color="auto" w:fill="auto"/>
            <w:noWrap/>
            <w:vAlign w:val="bottom"/>
            <w:hideMark/>
          </w:tcPr>
          <w:p w14:paraId="67A99E6D"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324 218</w:t>
            </w:r>
          </w:p>
        </w:tc>
      </w:tr>
      <w:tr w:rsidR="00E61582" w:rsidRPr="00E61582" w14:paraId="420A4868"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4B4DC6CC"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IZM</w:t>
            </w:r>
          </w:p>
        </w:tc>
        <w:tc>
          <w:tcPr>
            <w:tcW w:w="1632" w:type="dxa"/>
            <w:tcBorders>
              <w:top w:val="nil"/>
              <w:left w:val="nil"/>
              <w:bottom w:val="single" w:sz="4" w:space="0" w:color="auto"/>
              <w:right w:val="single" w:sz="4" w:space="0" w:color="auto"/>
            </w:tcBorders>
            <w:shd w:val="clear" w:color="auto" w:fill="auto"/>
            <w:noWrap/>
            <w:vAlign w:val="bottom"/>
            <w:hideMark/>
          </w:tcPr>
          <w:p w14:paraId="01D05681"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391 048</w:t>
            </w:r>
          </w:p>
        </w:tc>
        <w:tc>
          <w:tcPr>
            <w:tcW w:w="1408" w:type="dxa"/>
            <w:tcBorders>
              <w:top w:val="nil"/>
              <w:left w:val="nil"/>
              <w:bottom w:val="single" w:sz="4" w:space="0" w:color="auto"/>
              <w:right w:val="single" w:sz="4" w:space="0" w:color="auto"/>
            </w:tcBorders>
            <w:shd w:val="clear" w:color="auto" w:fill="auto"/>
            <w:noWrap/>
            <w:vAlign w:val="bottom"/>
            <w:hideMark/>
          </w:tcPr>
          <w:p w14:paraId="309356E6"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355 703</w:t>
            </w:r>
          </w:p>
        </w:tc>
        <w:tc>
          <w:tcPr>
            <w:tcW w:w="1280" w:type="dxa"/>
            <w:tcBorders>
              <w:top w:val="nil"/>
              <w:left w:val="nil"/>
              <w:bottom w:val="single" w:sz="4" w:space="0" w:color="auto"/>
              <w:right w:val="single" w:sz="4" w:space="0" w:color="auto"/>
            </w:tcBorders>
            <w:shd w:val="clear" w:color="auto" w:fill="auto"/>
            <w:noWrap/>
            <w:vAlign w:val="bottom"/>
            <w:hideMark/>
          </w:tcPr>
          <w:p w14:paraId="1F798CB3"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235 809</w:t>
            </w:r>
          </w:p>
        </w:tc>
        <w:tc>
          <w:tcPr>
            <w:tcW w:w="1423" w:type="dxa"/>
            <w:tcBorders>
              <w:top w:val="nil"/>
              <w:left w:val="nil"/>
              <w:bottom w:val="single" w:sz="4" w:space="0" w:color="auto"/>
              <w:right w:val="single" w:sz="4" w:space="0" w:color="auto"/>
            </w:tcBorders>
            <w:shd w:val="clear" w:color="auto" w:fill="auto"/>
            <w:noWrap/>
            <w:vAlign w:val="bottom"/>
            <w:hideMark/>
          </w:tcPr>
          <w:p w14:paraId="15178306"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291 660</w:t>
            </w:r>
          </w:p>
        </w:tc>
      </w:tr>
      <w:tr w:rsidR="00E61582" w:rsidRPr="00E61582" w14:paraId="7654399D"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1F88A5B6"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LM</w:t>
            </w:r>
          </w:p>
        </w:tc>
        <w:tc>
          <w:tcPr>
            <w:tcW w:w="1632" w:type="dxa"/>
            <w:tcBorders>
              <w:top w:val="nil"/>
              <w:left w:val="nil"/>
              <w:bottom w:val="single" w:sz="4" w:space="0" w:color="auto"/>
              <w:right w:val="single" w:sz="4" w:space="0" w:color="auto"/>
            </w:tcBorders>
            <w:shd w:val="clear" w:color="auto" w:fill="auto"/>
            <w:noWrap/>
            <w:vAlign w:val="bottom"/>
            <w:hideMark/>
          </w:tcPr>
          <w:p w14:paraId="5849E81E"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214 371</w:t>
            </w:r>
          </w:p>
        </w:tc>
        <w:tc>
          <w:tcPr>
            <w:tcW w:w="1408" w:type="dxa"/>
            <w:tcBorders>
              <w:top w:val="nil"/>
              <w:left w:val="nil"/>
              <w:bottom w:val="single" w:sz="4" w:space="0" w:color="auto"/>
              <w:right w:val="single" w:sz="4" w:space="0" w:color="auto"/>
            </w:tcBorders>
            <w:shd w:val="clear" w:color="auto" w:fill="auto"/>
            <w:noWrap/>
            <w:vAlign w:val="bottom"/>
            <w:hideMark/>
          </w:tcPr>
          <w:p w14:paraId="265ABF29"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203 662</w:t>
            </w:r>
          </w:p>
        </w:tc>
        <w:tc>
          <w:tcPr>
            <w:tcW w:w="1280" w:type="dxa"/>
            <w:tcBorders>
              <w:top w:val="nil"/>
              <w:left w:val="nil"/>
              <w:bottom w:val="single" w:sz="4" w:space="0" w:color="auto"/>
              <w:right w:val="single" w:sz="4" w:space="0" w:color="auto"/>
            </w:tcBorders>
            <w:shd w:val="clear" w:color="auto" w:fill="auto"/>
            <w:noWrap/>
            <w:vAlign w:val="bottom"/>
            <w:hideMark/>
          </w:tcPr>
          <w:p w14:paraId="02644FD4"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145 535</w:t>
            </w:r>
          </w:p>
        </w:tc>
        <w:tc>
          <w:tcPr>
            <w:tcW w:w="1423" w:type="dxa"/>
            <w:tcBorders>
              <w:top w:val="nil"/>
              <w:left w:val="nil"/>
              <w:bottom w:val="single" w:sz="4" w:space="0" w:color="auto"/>
              <w:right w:val="single" w:sz="4" w:space="0" w:color="auto"/>
            </w:tcBorders>
            <w:shd w:val="clear" w:color="auto" w:fill="auto"/>
            <w:noWrap/>
            <w:vAlign w:val="bottom"/>
            <w:hideMark/>
          </w:tcPr>
          <w:p w14:paraId="5D5739E0"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194 955</w:t>
            </w:r>
          </w:p>
        </w:tc>
      </w:tr>
      <w:tr w:rsidR="00E61582" w:rsidRPr="00E61582" w14:paraId="760E756C"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18333AD1"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TM</w:t>
            </w:r>
          </w:p>
        </w:tc>
        <w:tc>
          <w:tcPr>
            <w:tcW w:w="1632" w:type="dxa"/>
            <w:tcBorders>
              <w:top w:val="nil"/>
              <w:left w:val="nil"/>
              <w:bottom w:val="single" w:sz="4" w:space="0" w:color="auto"/>
              <w:right w:val="single" w:sz="4" w:space="0" w:color="auto"/>
            </w:tcBorders>
            <w:shd w:val="clear" w:color="auto" w:fill="auto"/>
            <w:noWrap/>
            <w:vAlign w:val="bottom"/>
            <w:hideMark/>
          </w:tcPr>
          <w:p w14:paraId="0064244B"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203 755</w:t>
            </w:r>
          </w:p>
        </w:tc>
        <w:tc>
          <w:tcPr>
            <w:tcW w:w="1408" w:type="dxa"/>
            <w:tcBorders>
              <w:top w:val="nil"/>
              <w:left w:val="nil"/>
              <w:bottom w:val="single" w:sz="4" w:space="0" w:color="auto"/>
              <w:right w:val="single" w:sz="4" w:space="0" w:color="auto"/>
            </w:tcBorders>
            <w:shd w:val="clear" w:color="auto" w:fill="auto"/>
            <w:noWrap/>
            <w:vAlign w:val="bottom"/>
            <w:hideMark/>
          </w:tcPr>
          <w:p w14:paraId="1CD105D9"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198 709</w:t>
            </w:r>
          </w:p>
        </w:tc>
        <w:tc>
          <w:tcPr>
            <w:tcW w:w="1280" w:type="dxa"/>
            <w:tcBorders>
              <w:top w:val="nil"/>
              <w:left w:val="nil"/>
              <w:bottom w:val="single" w:sz="4" w:space="0" w:color="auto"/>
              <w:right w:val="single" w:sz="4" w:space="0" w:color="auto"/>
            </w:tcBorders>
            <w:shd w:val="clear" w:color="auto" w:fill="auto"/>
            <w:noWrap/>
            <w:vAlign w:val="bottom"/>
            <w:hideMark/>
          </w:tcPr>
          <w:p w14:paraId="19DA1CF1"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147 808</w:t>
            </w:r>
          </w:p>
        </w:tc>
        <w:tc>
          <w:tcPr>
            <w:tcW w:w="1423" w:type="dxa"/>
            <w:tcBorders>
              <w:top w:val="nil"/>
              <w:left w:val="nil"/>
              <w:bottom w:val="single" w:sz="4" w:space="0" w:color="auto"/>
              <w:right w:val="single" w:sz="4" w:space="0" w:color="auto"/>
            </w:tcBorders>
            <w:shd w:val="clear" w:color="auto" w:fill="auto"/>
            <w:noWrap/>
            <w:vAlign w:val="bottom"/>
            <w:hideMark/>
          </w:tcPr>
          <w:p w14:paraId="5F9519DF"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181 969</w:t>
            </w:r>
          </w:p>
        </w:tc>
      </w:tr>
      <w:tr w:rsidR="00E61582" w:rsidRPr="00E61582" w14:paraId="1A1FA9E6"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23BBA247"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ĀM</w:t>
            </w:r>
          </w:p>
        </w:tc>
        <w:tc>
          <w:tcPr>
            <w:tcW w:w="1632" w:type="dxa"/>
            <w:tcBorders>
              <w:top w:val="nil"/>
              <w:left w:val="nil"/>
              <w:bottom w:val="single" w:sz="4" w:space="0" w:color="auto"/>
              <w:right w:val="single" w:sz="4" w:space="0" w:color="auto"/>
            </w:tcBorders>
            <w:shd w:val="clear" w:color="auto" w:fill="auto"/>
            <w:noWrap/>
            <w:vAlign w:val="bottom"/>
            <w:hideMark/>
          </w:tcPr>
          <w:p w14:paraId="704D42F3"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152 570</w:t>
            </w:r>
          </w:p>
        </w:tc>
        <w:tc>
          <w:tcPr>
            <w:tcW w:w="1408" w:type="dxa"/>
            <w:tcBorders>
              <w:top w:val="nil"/>
              <w:left w:val="nil"/>
              <w:bottom w:val="single" w:sz="4" w:space="0" w:color="auto"/>
              <w:right w:val="single" w:sz="4" w:space="0" w:color="auto"/>
            </w:tcBorders>
            <w:shd w:val="clear" w:color="auto" w:fill="auto"/>
            <w:noWrap/>
            <w:vAlign w:val="bottom"/>
            <w:hideMark/>
          </w:tcPr>
          <w:p w14:paraId="5F0E5737"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135 964</w:t>
            </w:r>
          </w:p>
        </w:tc>
        <w:tc>
          <w:tcPr>
            <w:tcW w:w="1280" w:type="dxa"/>
            <w:tcBorders>
              <w:top w:val="nil"/>
              <w:left w:val="nil"/>
              <w:bottom w:val="single" w:sz="4" w:space="0" w:color="auto"/>
              <w:right w:val="single" w:sz="4" w:space="0" w:color="auto"/>
            </w:tcBorders>
            <w:shd w:val="clear" w:color="auto" w:fill="auto"/>
            <w:noWrap/>
            <w:vAlign w:val="bottom"/>
            <w:hideMark/>
          </w:tcPr>
          <w:p w14:paraId="4434CB65"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103 391</w:t>
            </w:r>
          </w:p>
        </w:tc>
        <w:tc>
          <w:tcPr>
            <w:tcW w:w="1423" w:type="dxa"/>
            <w:tcBorders>
              <w:top w:val="nil"/>
              <w:left w:val="nil"/>
              <w:bottom w:val="single" w:sz="4" w:space="0" w:color="auto"/>
              <w:right w:val="single" w:sz="4" w:space="0" w:color="auto"/>
            </w:tcBorders>
            <w:shd w:val="clear" w:color="auto" w:fill="auto"/>
            <w:noWrap/>
            <w:vAlign w:val="bottom"/>
            <w:hideMark/>
          </w:tcPr>
          <w:p w14:paraId="386BC98B"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170 957</w:t>
            </w:r>
          </w:p>
        </w:tc>
      </w:tr>
      <w:tr w:rsidR="00E61582" w:rsidRPr="00E61582" w14:paraId="76A5ABF6" w14:textId="77777777" w:rsidTr="002C24FA">
        <w:trPr>
          <w:trHeight w:val="300"/>
          <w:jc w:val="center"/>
        </w:trPr>
        <w:tc>
          <w:tcPr>
            <w:tcW w:w="2054" w:type="dxa"/>
            <w:tcBorders>
              <w:top w:val="nil"/>
              <w:left w:val="single" w:sz="4" w:space="0" w:color="auto"/>
              <w:bottom w:val="single" w:sz="4" w:space="0" w:color="auto"/>
              <w:right w:val="single" w:sz="4" w:space="0" w:color="auto"/>
            </w:tcBorders>
            <w:shd w:val="clear" w:color="auto" w:fill="auto"/>
            <w:noWrap/>
            <w:vAlign w:val="bottom"/>
            <w:hideMark/>
          </w:tcPr>
          <w:p w14:paraId="4BC58C35"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EM</w:t>
            </w:r>
          </w:p>
        </w:tc>
        <w:tc>
          <w:tcPr>
            <w:tcW w:w="1632" w:type="dxa"/>
            <w:tcBorders>
              <w:top w:val="nil"/>
              <w:left w:val="nil"/>
              <w:bottom w:val="single" w:sz="4" w:space="0" w:color="auto"/>
              <w:right w:val="single" w:sz="4" w:space="0" w:color="auto"/>
            </w:tcBorders>
            <w:shd w:val="clear" w:color="auto" w:fill="auto"/>
            <w:noWrap/>
            <w:vAlign w:val="bottom"/>
            <w:hideMark/>
          </w:tcPr>
          <w:p w14:paraId="74A0BB2C"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128 325</w:t>
            </w:r>
          </w:p>
        </w:tc>
        <w:tc>
          <w:tcPr>
            <w:tcW w:w="1408" w:type="dxa"/>
            <w:tcBorders>
              <w:top w:val="nil"/>
              <w:left w:val="nil"/>
              <w:bottom w:val="single" w:sz="4" w:space="0" w:color="auto"/>
              <w:right w:val="single" w:sz="4" w:space="0" w:color="auto"/>
            </w:tcBorders>
            <w:shd w:val="clear" w:color="auto" w:fill="auto"/>
            <w:noWrap/>
            <w:vAlign w:val="bottom"/>
            <w:hideMark/>
          </w:tcPr>
          <w:p w14:paraId="553972BB"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126 661</w:t>
            </w:r>
          </w:p>
        </w:tc>
        <w:tc>
          <w:tcPr>
            <w:tcW w:w="1280" w:type="dxa"/>
            <w:tcBorders>
              <w:top w:val="nil"/>
              <w:left w:val="nil"/>
              <w:bottom w:val="single" w:sz="4" w:space="0" w:color="auto"/>
              <w:right w:val="single" w:sz="4" w:space="0" w:color="auto"/>
            </w:tcBorders>
            <w:shd w:val="clear" w:color="auto" w:fill="auto"/>
            <w:noWrap/>
            <w:vAlign w:val="bottom"/>
            <w:hideMark/>
          </w:tcPr>
          <w:p w14:paraId="17F35191"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54 946</w:t>
            </w:r>
          </w:p>
        </w:tc>
        <w:tc>
          <w:tcPr>
            <w:tcW w:w="1423" w:type="dxa"/>
            <w:tcBorders>
              <w:top w:val="nil"/>
              <w:left w:val="nil"/>
              <w:bottom w:val="single" w:sz="4" w:space="0" w:color="auto"/>
              <w:right w:val="single" w:sz="4" w:space="0" w:color="auto"/>
            </w:tcBorders>
            <w:shd w:val="clear" w:color="auto" w:fill="auto"/>
            <w:noWrap/>
            <w:vAlign w:val="bottom"/>
            <w:hideMark/>
          </w:tcPr>
          <w:p w14:paraId="6C8CF526"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95 387</w:t>
            </w:r>
          </w:p>
        </w:tc>
      </w:tr>
      <w:tr w:rsidR="00E61582" w:rsidRPr="00E61582" w14:paraId="18E88F12" w14:textId="77777777" w:rsidTr="002C24F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2F1A1"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KM</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C91AA"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91 765</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D2156"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101 974</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4E6BD"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72 006</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4BC4D"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92 650</w:t>
            </w:r>
          </w:p>
        </w:tc>
      </w:tr>
      <w:tr w:rsidR="00E61582" w:rsidRPr="00E61582" w14:paraId="26093010" w14:textId="77777777" w:rsidTr="002C24F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568C0"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SM</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064F8"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16 726</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E420E"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14 281</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8E343"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7 339</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34275" w14:textId="77777777" w:rsidR="00E61582" w:rsidRPr="00E61582" w:rsidRDefault="00E61582" w:rsidP="002C24FA">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10 000</w:t>
            </w:r>
          </w:p>
        </w:tc>
      </w:tr>
      <w:tr w:rsidR="00E61582" w:rsidRPr="00E61582" w14:paraId="7294F18D" w14:textId="77777777" w:rsidTr="002C24FA">
        <w:trPr>
          <w:trHeight w:val="257"/>
          <w:jc w:val="center"/>
        </w:trPr>
        <w:tc>
          <w:tcPr>
            <w:tcW w:w="20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859A12" w14:textId="77777777" w:rsidR="00E61582" w:rsidRPr="00E61582" w:rsidRDefault="00E61582" w:rsidP="002C24FA">
            <w:pPr>
              <w:spacing w:after="0" w:line="240" w:lineRule="auto"/>
              <w:jc w:val="center"/>
              <w:rPr>
                <w:rFonts w:eastAsia="Times New Roman"/>
                <w:b/>
                <w:bCs/>
                <w:sz w:val="22"/>
                <w:lang w:val="lv-LV" w:eastAsia="lv-LV"/>
              </w:rPr>
            </w:pPr>
            <w:r w:rsidRPr="00E61582">
              <w:rPr>
                <w:rFonts w:eastAsia="Times New Roman"/>
                <w:b/>
                <w:bCs/>
                <w:sz w:val="22"/>
                <w:lang w:val="lv-LV" w:eastAsia="lv-LV"/>
              </w:rPr>
              <w:t>KOPĀ, ministrijas</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49096" w14:textId="77777777" w:rsidR="00E61582" w:rsidRPr="00E61582" w:rsidRDefault="00E61582" w:rsidP="002C24FA">
            <w:pPr>
              <w:spacing w:after="0" w:line="240" w:lineRule="auto"/>
              <w:jc w:val="right"/>
              <w:rPr>
                <w:rFonts w:eastAsia="Times New Roman"/>
                <w:b/>
                <w:bCs/>
                <w:sz w:val="22"/>
                <w:lang w:val="lv-LV" w:eastAsia="lv-LV"/>
              </w:rPr>
            </w:pPr>
            <w:r w:rsidRPr="00E61582">
              <w:rPr>
                <w:rFonts w:eastAsia="Times New Roman"/>
                <w:b/>
                <w:bCs/>
                <w:sz w:val="22"/>
                <w:lang w:val="lv-LV" w:eastAsia="lv-LV"/>
              </w:rPr>
              <w:t>14 726 973</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BA17D" w14:textId="77777777" w:rsidR="00E61582" w:rsidRPr="00E61582" w:rsidRDefault="00E61582" w:rsidP="002C24FA">
            <w:pPr>
              <w:spacing w:after="0" w:line="240" w:lineRule="auto"/>
              <w:jc w:val="right"/>
              <w:rPr>
                <w:rFonts w:eastAsia="Times New Roman"/>
                <w:b/>
                <w:bCs/>
                <w:sz w:val="22"/>
                <w:lang w:val="lv-LV" w:eastAsia="lv-LV"/>
              </w:rPr>
            </w:pPr>
            <w:r w:rsidRPr="00E61582">
              <w:rPr>
                <w:rFonts w:eastAsia="Times New Roman"/>
                <w:b/>
                <w:bCs/>
                <w:sz w:val="22"/>
                <w:lang w:val="lv-LV" w:eastAsia="lv-LV"/>
              </w:rPr>
              <w:t>18 045 550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EE778" w14:textId="77777777" w:rsidR="00E61582" w:rsidRPr="00E61582" w:rsidRDefault="00E61582" w:rsidP="002C24FA">
            <w:pPr>
              <w:spacing w:after="0" w:line="240" w:lineRule="auto"/>
              <w:jc w:val="right"/>
              <w:rPr>
                <w:rFonts w:eastAsia="Times New Roman"/>
                <w:b/>
                <w:bCs/>
                <w:sz w:val="22"/>
                <w:lang w:val="lv-LV" w:eastAsia="lv-LV"/>
              </w:rPr>
            </w:pPr>
            <w:r w:rsidRPr="00E61582">
              <w:rPr>
                <w:rFonts w:eastAsia="Times New Roman"/>
                <w:b/>
                <w:bCs/>
                <w:sz w:val="22"/>
                <w:lang w:val="lv-LV" w:eastAsia="lv-LV"/>
              </w:rPr>
              <w:t>13 755 614</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29CC4" w14:textId="77777777" w:rsidR="00E61582" w:rsidRPr="00E61582" w:rsidRDefault="00E61582" w:rsidP="002C24FA">
            <w:pPr>
              <w:spacing w:after="0" w:line="240" w:lineRule="auto"/>
              <w:jc w:val="right"/>
              <w:rPr>
                <w:rFonts w:eastAsia="Times New Roman"/>
                <w:b/>
                <w:bCs/>
                <w:sz w:val="22"/>
                <w:lang w:val="lv-LV" w:eastAsia="lv-LV"/>
              </w:rPr>
            </w:pPr>
            <w:r w:rsidRPr="00E61582">
              <w:rPr>
                <w:rFonts w:eastAsia="Times New Roman"/>
                <w:b/>
                <w:bCs/>
                <w:sz w:val="22"/>
                <w:lang w:val="lv-LV" w:eastAsia="lv-LV"/>
              </w:rPr>
              <w:t>14 959 393</w:t>
            </w:r>
          </w:p>
        </w:tc>
      </w:tr>
    </w:tbl>
    <w:p w14:paraId="5703B338" w14:textId="3BBF5BDD" w:rsidR="00E61582" w:rsidRPr="00E61582" w:rsidRDefault="00E61582" w:rsidP="00E61582">
      <w:pPr>
        <w:spacing w:before="120"/>
        <w:ind w:firstLine="720"/>
        <w:rPr>
          <w:noProof/>
          <w:lang w:val="lv-LV" w:eastAsia="lv-LV"/>
        </w:rPr>
      </w:pPr>
      <w:r w:rsidRPr="00E61582">
        <w:rPr>
          <w:noProof/>
          <w:lang w:val="lv-LV" w:eastAsia="lv-LV"/>
        </w:rPr>
        <w:t xml:space="preserve">2020. gadā izdevumi degvielai bija 13,8 milj. </w:t>
      </w:r>
      <w:r w:rsidRPr="00E61582">
        <w:rPr>
          <w:i/>
          <w:iCs/>
          <w:noProof/>
          <w:lang w:val="lv-LV" w:eastAsia="lv-LV"/>
        </w:rPr>
        <w:t>euro</w:t>
      </w:r>
      <w:r w:rsidRPr="00E61582">
        <w:rPr>
          <w:noProof/>
          <w:lang w:val="lv-LV" w:eastAsia="lv-LV"/>
        </w:rPr>
        <w:t xml:space="preserve">, kas ir par 4,3 milj. </w:t>
      </w:r>
      <w:r w:rsidRPr="00E61582">
        <w:rPr>
          <w:i/>
          <w:iCs/>
          <w:noProof/>
          <w:lang w:val="lv-LV" w:eastAsia="lv-LV"/>
        </w:rPr>
        <w:t>euro</w:t>
      </w:r>
      <w:r w:rsidRPr="00E61582">
        <w:rPr>
          <w:noProof/>
          <w:lang w:val="lv-LV" w:eastAsia="lv-LV"/>
        </w:rPr>
        <w:t xml:space="preserve"> jeb 24% zemāki nekā 2019. gadā, savukārt, 2021. gadā plānots iz</w:t>
      </w:r>
      <w:r w:rsidR="009B1A4B">
        <w:rPr>
          <w:noProof/>
          <w:lang w:val="lv-LV" w:eastAsia="lv-LV"/>
        </w:rPr>
        <w:t>lietot</w:t>
      </w:r>
      <w:r w:rsidRPr="00E61582">
        <w:rPr>
          <w:noProof/>
          <w:lang w:val="lv-LV" w:eastAsia="lv-LV"/>
        </w:rPr>
        <w:t xml:space="preserve"> 15,0 milj. </w:t>
      </w:r>
      <w:r w:rsidRPr="00E61582">
        <w:rPr>
          <w:i/>
          <w:iCs/>
          <w:noProof/>
          <w:lang w:val="lv-LV" w:eastAsia="lv-LV"/>
        </w:rPr>
        <w:t>euro</w:t>
      </w:r>
      <w:r w:rsidRPr="00E61582">
        <w:rPr>
          <w:noProof/>
          <w:lang w:val="lv-LV" w:eastAsia="lv-LV"/>
        </w:rPr>
        <w:t xml:space="preserve">. Līdzīgi kā ar EKK 2233 “Izdevumi par transporta pakalpojumiem”, ārkārtējā situācija un vispārējie epidemioloģiskie ierobežojumi veicināja izdevumu samazināšanos, pārejot uz attālinātu darbu. </w:t>
      </w:r>
    </w:p>
    <w:p w14:paraId="1457B0E5" w14:textId="37399013" w:rsidR="009B1A4B" w:rsidRPr="002C24FA" w:rsidRDefault="00E61582" w:rsidP="002C24FA">
      <w:pPr>
        <w:ind w:firstLine="720"/>
        <w:rPr>
          <w:lang w:val="lv-LV"/>
        </w:rPr>
      </w:pPr>
      <w:r w:rsidRPr="00E61582">
        <w:rPr>
          <w:noProof/>
          <w:lang w:val="lv-LV" w:eastAsia="lv-LV"/>
        </w:rPr>
        <w:t>Vērts pieminēt arī degvielas cenu krasu samazināšanos 2020. gadā pasaulē un Latvijā, kas ir ārējais faktors izdevumu samazinājumam. Savukārt 2021. gada izdevumu palielināšanos iespējams skaidrot gan ar degvielas cenu kāpumu, gan ar optimistiskām prognozēm atsākt iekšzemes komandējumus.</w:t>
      </w:r>
    </w:p>
    <w:p w14:paraId="356F5254" w14:textId="66B6F812" w:rsidR="00E61582" w:rsidRPr="00E61582" w:rsidRDefault="00E61582" w:rsidP="00E61582">
      <w:pPr>
        <w:ind w:firstLine="720"/>
        <w:rPr>
          <w:u w:val="single"/>
          <w:lang w:val="lv-LV"/>
        </w:rPr>
      </w:pPr>
      <w:r w:rsidRPr="00E61582">
        <w:rPr>
          <w:u w:val="single"/>
          <w:lang w:val="lv-LV"/>
        </w:rPr>
        <w:lastRenderedPageBreak/>
        <w:t>EKK 5220 “Tehnoloģiskās iekārtas un mašīnas (Pamatkapitāla veidošana)”</w:t>
      </w:r>
    </w:p>
    <w:p w14:paraId="0AB6429A" w14:textId="77777777" w:rsidR="00E61582" w:rsidRPr="00E61582" w:rsidRDefault="00E61582" w:rsidP="00E61582">
      <w:pPr>
        <w:ind w:firstLine="720"/>
        <w:rPr>
          <w:lang w:val="lv-LV"/>
        </w:rPr>
      </w:pPr>
      <w:r w:rsidRPr="00E61582">
        <w:rPr>
          <w:lang w:val="lv-LV"/>
        </w:rPr>
        <w:t>EKK 5220 piemēro izmaksām un izdevumiem iekārtām un mašīnām, ko izmanto budžeta iestādes pašas vajadzībām tās funkciju vai pakalpojumu izpildes nodrošināšanai (iekārtas, mēraparatūra, regulēšanas ierīces, laboratoriju un medicīnas iekārtas)</w:t>
      </w:r>
      <w:r w:rsidRPr="00E61582">
        <w:rPr>
          <w:rStyle w:val="FootnoteReference"/>
          <w:lang w:val="lv-LV"/>
        </w:rPr>
        <w:footnoteReference w:id="7"/>
      </w:r>
      <w:r w:rsidRPr="00E61582">
        <w:rPr>
          <w:lang w:val="lv-LV"/>
        </w:rPr>
        <w:t>.</w:t>
      </w:r>
    </w:p>
    <w:p w14:paraId="0D25B882" w14:textId="77777777" w:rsidR="00E61582" w:rsidRPr="00E61582" w:rsidRDefault="00E61582" w:rsidP="00E61582">
      <w:pPr>
        <w:jc w:val="center"/>
        <w:rPr>
          <w:lang w:val="lv-LV"/>
        </w:rPr>
      </w:pPr>
      <w:r w:rsidRPr="00E61582">
        <w:rPr>
          <w:b/>
          <w:bCs/>
          <w:i/>
          <w:iCs/>
          <w:sz w:val="22"/>
          <w:lang w:val="lv-LV"/>
        </w:rPr>
        <w:t>2.1.8.</w:t>
      </w:r>
      <w:r w:rsidRPr="00E61582">
        <w:rPr>
          <w:sz w:val="22"/>
          <w:lang w:val="lv-LV"/>
        </w:rPr>
        <w:t xml:space="preserve"> </w:t>
      </w:r>
      <w:r w:rsidRPr="00E61582">
        <w:rPr>
          <w:b/>
          <w:bCs/>
          <w:i/>
          <w:iCs/>
          <w:sz w:val="22"/>
          <w:lang w:val="lv-LV"/>
        </w:rPr>
        <w:t>attēls</w:t>
      </w:r>
      <w:r w:rsidRPr="00E61582">
        <w:rPr>
          <w:b/>
          <w:bCs/>
          <w:sz w:val="22"/>
          <w:lang w:val="lv-LV"/>
        </w:rPr>
        <w:t xml:space="preserve"> EKK 5220 “Tehnoloģiskās iekārtas un mašīnas” kopējo izdevumu dinamika</w:t>
      </w:r>
    </w:p>
    <w:p w14:paraId="7B240D4B" w14:textId="77777777" w:rsidR="00E61582" w:rsidRPr="00E61582" w:rsidRDefault="00E61582" w:rsidP="00E61582">
      <w:pPr>
        <w:rPr>
          <w:lang w:val="lv-LV"/>
        </w:rPr>
      </w:pPr>
      <w:r w:rsidRPr="00E61582">
        <w:rPr>
          <w:noProof/>
          <w:lang w:val="lv-LV" w:eastAsia="lv-LV"/>
        </w:rPr>
        <w:drawing>
          <wp:inline distT="0" distB="0" distL="0" distR="0" wp14:anchorId="4A8CFF98" wp14:editId="1E3640B0">
            <wp:extent cx="5779698" cy="2281227"/>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1220" cy="2285775"/>
                    </a:xfrm>
                    <a:prstGeom prst="rect">
                      <a:avLst/>
                    </a:prstGeom>
                    <a:noFill/>
                  </pic:spPr>
                </pic:pic>
              </a:graphicData>
            </a:graphic>
          </wp:inline>
        </w:drawing>
      </w:r>
    </w:p>
    <w:p w14:paraId="311EEDAF" w14:textId="77777777" w:rsidR="00E61582" w:rsidRPr="00E61582" w:rsidRDefault="00E61582" w:rsidP="00E61582">
      <w:pPr>
        <w:ind w:firstLine="720"/>
        <w:rPr>
          <w:lang w:val="lv-LV"/>
        </w:rPr>
      </w:pPr>
      <w:r w:rsidRPr="00E61582">
        <w:rPr>
          <w:lang w:val="lv-LV"/>
        </w:rPr>
        <w:t xml:space="preserve">No attēla Nr. 2.1.8. secināms, ka EKK 5220 izdevumus 2020. gadā ārkārtējās situācija būtiski nav ietekmējusi – laikposmā no marta līdz jūnijam pat novērojams izdevumu pieaugums. Tas skaidrojams ar nepieciešamību darbiniekus nodrošināt ar nepieciešamajām iekārtām sekmīgam darbam attālināti kā arī ar medicīnu saistīto iekārtu iegādi laikā, kad ambulatoro iestāžu noslodze bija strauji paaugstinājusies. </w:t>
      </w:r>
    </w:p>
    <w:p w14:paraId="0A911ABC" w14:textId="77777777" w:rsidR="00E61582" w:rsidRPr="00E61582" w:rsidRDefault="00E61582" w:rsidP="00E61582">
      <w:pPr>
        <w:spacing w:before="240" w:after="180"/>
        <w:jc w:val="center"/>
        <w:rPr>
          <w:lang w:val="lv-LV"/>
        </w:rPr>
      </w:pPr>
      <w:r w:rsidRPr="00E61582">
        <w:rPr>
          <w:b/>
          <w:bCs/>
          <w:i/>
          <w:iCs/>
          <w:sz w:val="22"/>
          <w:lang w:val="lv-LV"/>
        </w:rPr>
        <w:t>2.1.10.</w:t>
      </w:r>
      <w:r w:rsidRPr="00E61582">
        <w:rPr>
          <w:b/>
          <w:sz w:val="22"/>
          <w:lang w:val="lv-LV"/>
        </w:rPr>
        <w:t xml:space="preserve"> </w:t>
      </w:r>
      <w:r w:rsidRPr="00E61582">
        <w:rPr>
          <w:b/>
          <w:bCs/>
          <w:i/>
          <w:iCs/>
          <w:sz w:val="22"/>
          <w:lang w:val="lv-LV"/>
        </w:rPr>
        <w:t>tabula</w:t>
      </w:r>
      <w:r w:rsidRPr="00E61582">
        <w:rPr>
          <w:sz w:val="22"/>
          <w:lang w:val="lv-LV"/>
        </w:rPr>
        <w:t xml:space="preserve"> </w:t>
      </w:r>
      <w:r w:rsidRPr="00E61582">
        <w:rPr>
          <w:b/>
          <w:bCs/>
          <w:sz w:val="22"/>
          <w:lang w:val="lv-LV"/>
        </w:rPr>
        <w:t>EKK 5220 “Tehnoloģiskās iekārtas un mašīnas” ministriju izdevumu dinamika</w:t>
      </w:r>
    </w:p>
    <w:tbl>
      <w:tblPr>
        <w:tblW w:w="7797" w:type="dxa"/>
        <w:jc w:val="center"/>
        <w:tblLook w:val="04A0" w:firstRow="1" w:lastRow="0" w:firstColumn="1" w:lastColumn="0" w:noHBand="0" w:noVBand="1"/>
      </w:tblPr>
      <w:tblGrid>
        <w:gridCol w:w="2012"/>
        <w:gridCol w:w="1674"/>
        <w:gridCol w:w="1306"/>
        <w:gridCol w:w="1240"/>
        <w:gridCol w:w="1565"/>
      </w:tblGrid>
      <w:tr w:rsidR="00E61582" w:rsidRPr="00E61582" w14:paraId="3F53AA59" w14:textId="77777777" w:rsidTr="002C24FA">
        <w:trPr>
          <w:trHeight w:val="570"/>
          <w:tblHeader/>
          <w:jc w:val="center"/>
        </w:trPr>
        <w:tc>
          <w:tcPr>
            <w:tcW w:w="2012"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BBB4EB2" w14:textId="77777777" w:rsidR="00E61582" w:rsidRPr="00E61582" w:rsidRDefault="00E61582" w:rsidP="00E61582">
            <w:pPr>
              <w:spacing w:after="0" w:line="240" w:lineRule="auto"/>
              <w:rPr>
                <w:rFonts w:eastAsia="Times New Roman"/>
                <w:b/>
                <w:bCs/>
                <w:sz w:val="22"/>
                <w:lang w:val="lv-LV" w:eastAsia="lv-LV"/>
              </w:rPr>
            </w:pPr>
            <w:r w:rsidRPr="00E61582">
              <w:rPr>
                <w:rFonts w:eastAsia="Times New Roman"/>
                <w:b/>
                <w:bCs/>
                <w:sz w:val="22"/>
                <w:lang w:val="lv-LV" w:eastAsia="lv-LV"/>
              </w:rPr>
              <w:t> </w:t>
            </w:r>
          </w:p>
        </w:tc>
        <w:tc>
          <w:tcPr>
            <w:tcW w:w="1674" w:type="dxa"/>
            <w:tcBorders>
              <w:top w:val="single" w:sz="4" w:space="0" w:color="auto"/>
              <w:left w:val="nil"/>
              <w:bottom w:val="single" w:sz="4" w:space="0" w:color="auto"/>
              <w:right w:val="single" w:sz="4" w:space="0" w:color="auto"/>
            </w:tcBorders>
            <w:shd w:val="clear" w:color="000000" w:fill="C6E0B4"/>
            <w:vAlign w:val="center"/>
            <w:hideMark/>
          </w:tcPr>
          <w:p w14:paraId="5BC70FE7" w14:textId="2C3721CD"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vidēji 2015.-2019.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306" w:type="dxa"/>
            <w:tcBorders>
              <w:top w:val="single" w:sz="4" w:space="0" w:color="auto"/>
              <w:left w:val="nil"/>
              <w:bottom w:val="single" w:sz="4" w:space="0" w:color="auto"/>
              <w:right w:val="single" w:sz="4" w:space="0" w:color="auto"/>
            </w:tcBorders>
            <w:shd w:val="clear" w:color="000000" w:fill="C6E0B4"/>
            <w:vAlign w:val="center"/>
            <w:hideMark/>
          </w:tcPr>
          <w:p w14:paraId="7EB9F9E4" w14:textId="18D3BAAD"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2019.</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240" w:type="dxa"/>
            <w:tcBorders>
              <w:top w:val="single" w:sz="4" w:space="0" w:color="auto"/>
              <w:left w:val="nil"/>
              <w:bottom w:val="single" w:sz="4" w:space="0" w:color="auto"/>
              <w:right w:val="single" w:sz="4" w:space="0" w:color="auto"/>
            </w:tcBorders>
            <w:shd w:val="clear" w:color="000000" w:fill="C6E0B4"/>
            <w:vAlign w:val="center"/>
            <w:hideMark/>
          </w:tcPr>
          <w:p w14:paraId="3FB48C06" w14:textId="1E6BE4CC"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2020.</w:t>
            </w:r>
            <w:r w:rsidR="00FF342C">
              <w:rPr>
                <w:rFonts w:eastAsia="Times New Roman"/>
                <w:b/>
                <w:bCs/>
                <w:sz w:val="22"/>
                <w:lang w:val="lv-LV" w:eastAsia="lv-LV"/>
              </w:rPr>
              <w:t xml:space="preserve"> </w:t>
            </w:r>
            <w:r w:rsidRPr="00E61582">
              <w:rPr>
                <w:rFonts w:eastAsia="Times New Roman"/>
                <w:b/>
                <w:bCs/>
                <w:sz w:val="22"/>
                <w:lang w:val="lv-LV" w:eastAsia="lv-LV"/>
              </w:rPr>
              <w:t xml:space="preserve">gads, </w:t>
            </w:r>
            <w:r w:rsidRPr="00E61582">
              <w:rPr>
                <w:rFonts w:eastAsia="Times New Roman"/>
                <w:b/>
                <w:bCs/>
                <w:i/>
                <w:iCs/>
                <w:sz w:val="22"/>
                <w:lang w:val="lv-LV" w:eastAsia="lv-LV"/>
              </w:rPr>
              <w:t>euro</w:t>
            </w:r>
          </w:p>
        </w:tc>
        <w:tc>
          <w:tcPr>
            <w:tcW w:w="1565" w:type="dxa"/>
            <w:tcBorders>
              <w:top w:val="single" w:sz="4" w:space="0" w:color="auto"/>
              <w:left w:val="nil"/>
              <w:bottom w:val="single" w:sz="4" w:space="0" w:color="auto"/>
              <w:right w:val="single" w:sz="4" w:space="0" w:color="auto"/>
            </w:tcBorders>
            <w:shd w:val="clear" w:color="000000" w:fill="C6E0B4"/>
            <w:vAlign w:val="center"/>
            <w:hideMark/>
          </w:tcPr>
          <w:p w14:paraId="0C6CA71D" w14:textId="60AC824E" w:rsidR="00E61582" w:rsidRPr="00E61582" w:rsidRDefault="00E61582" w:rsidP="00E61582">
            <w:pPr>
              <w:spacing w:after="0" w:line="240" w:lineRule="auto"/>
              <w:jc w:val="center"/>
              <w:rPr>
                <w:rFonts w:eastAsia="Times New Roman"/>
                <w:b/>
                <w:bCs/>
                <w:sz w:val="22"/>
                <w:lang w:val="lv-LV" w:eastAsia="lv-LV"/>
              </w:rPr>
            </w:pPr>
            <w:r w:rsidRPr="00E61582">
              <w:rPr>
                <w:rFonts w:eastAsia="Times New Roman"/>
                <w:b/>
                <w:bCs/>
                <w:sz w:val="22"/>
                <w:lang w:val="lv-LV" w:eastAsia="lv-LV"/>
              </w:rPr>
              <w:t>2021.</w:t>
            </w:r>
            <w:r w:rsidR="00FF342C">
              <w:rPr>
                <w:rFonts w:eastAsia="Times New Roman"/>
                <w:b/>
                <w:bCs/>
                <w:sz w:val="22"/>
                <w:lang w:val="lv-LV" w:eastAsia="lv-LV"/>
              </w:rPr>
              <w:t xml:space="preserve"> </w:t>
            </w:r>
            <w:r w:rsidRPr="00E61582">
              <w:rPr>
                <w:rFonts w:eastAsia="Times New Roman"/>
                <w:b/>
                <w:bCs/>
                <w:sz w:val="22"/>
                <w:lang w:val="lv-LV" w:eastAsia="lv-LV"/>
              </w:rPr>
              <w:t xml:space="preserve">gads (plāns), </w:t>
            </w:r>
            <w:r w:rsidRPr="00E61582">
              <w:rPr>
                <w:rFonts w:eastAsia="Times New Roman"/>
                <w:b/>
                <w:bCs/>
                <w:i/>
                <w:iCs/>
                <w:sz w:val="22"/>
                <w:lang w:val="lv-LV" w:eastAsia="lv-LV"/>
              </w:rPr>
              <w:t>euro</w:t>
            </w:r>
          </w:p>
        </w:tc>
      </w:tr>
      <w:tr w:rsidR="00E61582" w:rsidRPr="00E61582" w14:paraId="178E7D70" w14:textId="77777777" w:rsidTr="002C24FA">
        <w:trPr>
          <w:trHeight w:val="119"/>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07BAF59F"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AiM</w:t>
            </w:r>
          </w:p>
        </w:tc>
        <w:tc>
          <w:tcPr>
            <w:tcW w:w="1674" w:type="dxa"/>
            <w:tcBorders>
              <w:top w:val="nil"/>
              <w:left w:val="nil"/>
              <w:bottom w:val="single" w:sz="4" w:space="0" w:color="auto"/>
              <w:right w:val="single" w:sz="4" w:space="0" w:color="auto"/>
            </w:tcBorders>
            <w:shd w:val="clear" w:color="auto" w:fill="auto"/>
            <w:noWrap/>
            <w:vAlign w:val="bottom"/>
            <w:hideMark/>
          </w:tcPr>
          <w:p w14:paraId="2A6D8DB5"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1 846 573</w:t>
            </w:r>
          </w:p>
        </w:tc>
        <w:tc>
          <w:tcPr>
            <w:tcW w:w="1306" w:type="dxa"/>
            <w:tcBorders>
              <w:top w:val="nil"/>
              <w:left w:val="nil"/>
              <w:bottom w:val="single" w:sz="4" w:space="0" w:color="auto"/>
              <w:right w:val="single" w:sz="4" w:space="0" w:color="auto"/>
            </w:tcBorders>
            <w:shd w:val="clear" w:color="auto" w:fill="auto"/>
            <w:noWrap/>
            <w:vAlign w:val="bottom"/>
            <w:hideMark/>
          </w:tcPr>
          <w:p w14:paraId="47E2346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4 706 158</w:t>
            </w:r>
          </w:p>
        </w:tc>
        <w:tc>
          <w:tcPr>
            <w:tcW w:w="1240" w:type="dxa"/>
            <w:tcBorders>
              <w:top w:val="nil"/>
              <w:left w:val="nil"/>
              <w:bottom w:val="single" w:sz="4" w:space="0" w:color="auto"/>
              <w:right w:val="single" w:sz="4" w:space="0" w:color="auto"/>
            </w:tcBorders>
            <w:shd w:val="clear" w:color="auto" w:fill="auto"/>
            <w:noWrap/>
            <w:vAlign w:val="bottom"/>
            <w:hideMark/>
          </w:tcPr>
          <w:p w14:paraId="4C00BFC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3 101 035</w:t>
            </w:r>
          </w:p>
        </w:tc>
        <w:tc>
          <w:tcPr>
            <w:tcW w:w="1565" w:type="dxa"/>
            <w:tcBorders>
              <w:top w:val="nil"/>
              <w:left w:val="nil"/>
              <w:bottom w:val="single" w:sz="4" w:space="0" w:color="auto"/>
              <w:right w:val="single" w:sz="4" w:space="0" w:color="auto"/>
            </w:tcBorders>
            <w:shd w:val="clear" w:color="auto" w:fill="auto"/>
            <w:noWrap/>
            <w:vAlign w:val="bottom"/>
            <w:hideMark/>
          </w:tcPr>
          <w:p w14:paraId="53CA6B9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4 204 093</w:t>
            </w:r>
          </w:p>
        </w:tc>
      </w:tr>
      <w:tr w:rsidR="00E61582" w:rsidRPr="00E61582" w14:paraId="68BE744D"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506EF5A6"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IeM</w:t>
            </w:r>
          </w:p>
        </w:tc>
        <w:tc>
          <w:tcPr>
            <w:tcW w:w="1674" w:type="dxa"/>
            <w:tcBorders>
              <w:top w:val="nil"/>
              <w:left w:val="nil"/>
              <w:bottom w:val="single" w:sz="4" w:space="0" w:color="auto"/>
              <w:right w:val="single" w:sz="4" w:space="0" w:color="auto"/>
            </w:tcBorders>
            <w:shd w:val="clear" w:color="auto" w:fill="auto"/>
            <w:noWrap/>
            <w:vAlign w:val="bottom"/>
            <w:hideMark/>
          </w:tcPr>
          <w:p w14:paraId="4BD2B17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1 463 355</w:t>
            </w:r>
          </w:p>
        </w:tc>
        <w:tc>
          <w:tcPr>
            <w:tcW w:w="1306" w:type="dxa"/>
            <w:tcBorders>
              <w:top w:val="nil"/>
              <w:left w:val="nil"/>
              <w:bottom w:val="single" w:sz="4" w:space="0" w:color="auto"/>
              <w:right w:val="single" w:sz="4" w:space="0" w:color="auto"/>
            </w:tcBorders>
            <w:shd w:val="clear" w:color="auto" w:fill="auto"/>
            <w:noWrap/>
            <w:vAlign w:val="bottom"/>
            <w:hideMark/>
          </w:tcPr>
          <w:p w14:paraId="6CEF7CC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454 117</w:t>
            </w:r>
          </w:p>
        </w:tc>
        <w:tc>
          <w:tcPr>
            <w:tcW w:w="1240" w:type="dxa"/>
            <w:tcBorders>
              <w:top w:val="nil"/>
              <w:left w:val="nil"/>
              <w:bottom w:val="single" w:sz="4" w:space="0" w:color="auto"/>
              <w:right w:val="single" w:sz="4" w:space="0" w:color="auto"/>
            </w:tcBorders>
            <w:shd w:val="clear" w:color="auto" w:fill="auto"/>
            <w:noWrap/>
            <w:vAlign w:val="bottom"/>
            <w:hideMark/>
          </w:tcPr>
          <w:p w14:paraId="3A93720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76 887</w:t>
            </w:r>
          </w:p>
        </w:tc>
        <w:tc>
          <w:tcPr>
            <w:tcW w:w="1565" w:type="dxa"/>
            <w:tcBorders>
              <w:top w:val="nil"/>
              <w:left w:val="nil"/>
              <w:bottom w:val="single" w:sz="4" w:space="0" w:color="auto"/>
              <w:right w:val="single" w:sz="4" w:space="0" w:color="auto"/>
            </w:tcBorders>
            <w:shd w:val="clear" w:color="auto" w:fill="auto"/>
            <w:noWrap/>
            <w:vAlign w:val="bottom"/>
            <w:hideMark/>
          </w:tcPr>
          <w:p w14:paraId="458A612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277 455</w:t>
            </w:r>
          </w:p>
        </w:tc>
      </w:tr>
      <w:tr w:rsidR="00E61582" w:rsidRPr="00E61582" w14:paraId="3C14BC1C"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6D80AB53"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TM</w:t>
            </w:r>
          </w:p>
        </w:tc>
        <w:tc>
          <w:tcPr>
            <w:tcW w:w="1674" w:type="dxa"/>
            <w:tcBorders>
              <w:top w:val="nil"/>
              <w:left w:val="nil"/>
              <w:bottom w:val="single" w:sz="4" w:space="0" w:color="auto"/>
              <w:right w:val="single" w:sz="4" w:space="0" w:color="auto"/>
            </w:tcBorders>
            <w:shd w:val="clear" w:color="auto" w:fill="auto"/>
            <w:noWrap/>
            <w:vAlign w:val="bottom"/>
            <w:hideMark/>
          </w:tcPr>
          <w:p w14:paraId="7C398AE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312 885</w:t>
            </w:r>
          </w:p>
        </w:tc>
        <w:tc>
          <w:tcPr>
            <w:tcW w:w="1306" w:type="dxa"/>
            <w:tcBorders>
              <w:top w:val="nil"/>
              <w:left w:val="nil"/>
              <w:bottom w:val="single" w:sz="4" w:space="0" w:color="auto"/>
              <w:right w:val="single" w:sz="4" w:space="0" w:color="auto"/>
            </w:tcBorders>
            <w:shd w:val="clear" w:color="auto" w:fill="auto"/>
            <w:noWrap/>
            <w:vAlign w:val="bottom"/>
            <w:hideMark/>
          </w:tcPr>
          <w:p w14:paraId="4693CF5C"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137 981</w:t>
            </w:r>
          </w:p>
        </w:tc>
        <w:tc>
          <w:tcPr>
            <w:tcW w:w="1240" w:type="dxa"/>
            <w:tcBorders>
              <w:top w:val="nil"/>
              <w:left w:val="nil"/>
              <w:bottom w:val="single" w:sz="4" w:space="0" w:color="auto"/>
              <w:right w:val="single" w:sz="4" w:space="0" w:color="auto"/>
            </w:tcBorders>
            <w:shd w:val="clear" w:color="auto" w:fill="auto"/>
            <w:noWrap/>
            <w:vAlign w:val="bottom"/>
            <w:hideMark/>
          </w:tcPr>
          <w:p w14:paraId="2F86E2D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309 021</w:t>
            </w:r>
          </w:p>
        </w:tc>
        <w:tc>
          <w:tcPr>
            <w:tcW w:w="1565" w:type="dxa"/>
            <w:tcBorders>
              <w:top w:val="nil"/>
              <w:left w:val="nil"/>
              <w:bottom w:val="single" w:sz="4" w:space="0" w:color="auto"/>
              <w:right w:val="single" w:sz="4" w:space="0" w:color="auto"/>
            </w:tcBorders>
            <w:shd w:val="clear" w:color="auto" w:fill="auto"/>
            <w:noWrap/>
            <w:vAlign w:val="bottom"/>
            <w:hideMark/>
          </w:tcPr>
          <w:p w14:paraId="64B9844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668 983</w:t>
            </w:r>
          </w:p>
        </w:tc>
      </w:tr>
      <w:tr w:rsidR="00E61582" w:rsidRPr="00E61582" w14:paraId="6C52D707"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028164F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VM</w:t>
            </w:r>
          </w:p>
        </w:tc>
        <w:tc>
          <w:tcPr>
            <w:tcW w:w="1674" w:type="dxa"/>
            <w:tcBorders>
              <w:top w:val="nil"/>
              <w:left w:val="nil"/>
              <w:bottom w:val="single" w:sz="4" w:space="0" w:color="auto"/>
              <w:right w:val="single" w:sz="4" w:space="0" w:color="auto"/>
            </w:tcBorders>
            <w:shd w:val="clear" w:color="auto" w:fill="auto"/>
            <w:noWrap/>
            <w:vAlign w:val="bottom"/>
            <w:hideMark/>
          </w:tcPr>
          <w:p w14:paraId="390B866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870 698</w:t>
            </w:r>
          </w:p>
        </w:tc>
        <w:tc>
          <w:tcPr>
            <w:tcW w:w="1306" w:type="dxa"/>
            <w:tcBorders>
              <w:top w:val="nil"/>
              <w:left w:val="nil"/>
              <w:bottom w:val="single" w:sz="4" w:space="0" w:color="auto"/>
              <w:right w:val="single" w:sz="4" w:space="0" w:color="auto"/>
            </w:tcBorders>
            <w:shd w:val="clear" w:color="auto" w:fill="auto"/>
            <w:noWrap/>
            <w:vAlign w:val="bottom"/>
            <w:hideMark/>
          </w:tcPr>
          <w:p w14:paraId="0A2F6D5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2 261 387</w:t>
            </w:r>
          </w:p>
        </w:tc>
        <w:tc>
          <w:tcPr>
            <w:tcW w:w="1240" w:type="dxa"/>
            <w:tcBorders>
              <w:top w:val="nil"/>
              <w:left w:val="nil"/>
              <w:bottom w:val="single" w:sz="4" w:space="0" w:color="auto"/>
              <w:right w:val="single" w:sz="4" w:space="0" w:color="auto"/>
            </w:tcBorders>
            <w:shd w:val="clear" w:color="auto" w:fill="auto"/>
            <w:noWrap/>
            <w:vAlign w:val="bottom"/>
            <w:hideMark/>
          </w:tcPr>
          <w:p w14:paraId="588195B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895 416</w:t>
            </w:r>
          </w:p>
        </w:tc>
        <w:tc>
          <w:tcPr>
            <w:tcW w:w="1565" w:type="dxa"/>
            <w:tcBorders>
              <w:top w:val="nil"/>
              <w:left w:val="nil"/>
              <w:bottom w:val="single" w:sz="4" w:space="0" w:color="auto"/>
              <w:right w:val="single" w:sz="4" w:space="0" w:color="auto"/>
            </w:tcBorders>
            <w:shd w:val="clear" w:color="auto" w:fill="auto"/>
            <w:noWrap/>
            <w:vAlign w:val="bottom"/>
            <w:hideMark/>
          </w:tcPr>
          <w:p w14:paraId="7E5A614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431 933</w:t>
            </w:r>
          </w:p>
        </w:tc>
      </w:tr>
      <w:tr w:rsidR="00E61582" w:rsidRPr="00E61582" w14:paraId="54DAB9C9"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411019A9"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ZM</w:t>
            </w:r>
          </w:p>
        </w:tc>
        <w:tc>
          <w:tcPr>
            <w:tcW w:w="1674" w:type="dxa"/>
            <w:tcBorders>
              <w:top w:val="nil"/>
              <w:left w:val="nil"/>
              <w:bottom w:val="single" w:sz="4" w:space="0" w:color="auto"/>
              <w:right w:val="single" w:sz="4" w:space="0" w:color="auto"/>
            </w:tcBorders>
            <w:shd w:val="clear" w:color="auto" w:fill="auto"/>
            <w:noWrap/>
            <w:vAlign w:val="bottom"/>
            <w:hideMark/>
          </w:tcPr>
          <w:p w14:paraId="21B5347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304 131</w:t>
            </w:r>
          </w:p>
        </w:tc>
        <w:tc>
          <w:tcPr>
            <w:tcW w:w="1306" w:type="dxa"/>
            <w:tcBorders>
              <w:top w:val="nil"/>
              <w:left w:val="nil"/>
              <w:bottom w:val="single" w:sz="4" w:space="0" w:color="auto"/>
              <w:right w:val="single" w:sz="4" w:space="0" w:color="auto"/>
            </w:tcBorders>
            <w:shd w:val="clear" w:color="auto" w:fill="auto"/>
            <w:noWrap/>
            <w:vAlign w:val="bottom"/>
            <w:hideMark/>
          </w:tcPr>
          <w:p w14:paraId="3FA9E144"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334 449</w:t>
            </w:r>
          </w:p>
        </w:tc>
        <w:tc>
          <w:tcPr>
            <w:tcW w:w="1240" w:type="dxa"/>
            <w:tcBorders>
              <w:top w:val="nil"/>
              <w:left w:val="nil"/>
              <w:bottom w:val="single" w:sz="4" w:space="0" w:color="auto"/>
              <w:right w:val="single" w:sz="4" w:space="0" w:color="auto"/>
            </w:tcBorders>
            <w:shd w:val="clear" w:color="auto" w:fill="auto"/>
            <w:noWrap/>
            <w:vAlign w:val="bottom"/>
            <w:hideMark/>
          </w:tcPr>
          <w:p w14:paraId="7333BE1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308 141</w:t>
            </w:r>
          </w:p>
        </w:tc>
        <w:tc>
          <w:tcPr>
            <w:tcW w:w="1565" w:type="dxa"/>
            <w:tcBorders>
              <w:top w:val="nil"/>
              <w:left w:val="nil"/>
              <w:bottom w:val="single" w:sz="4" w:space="0" w:color="auto"/>
              <w:right w:val="single" w:sz="4" w:space="0" w:color="auto"/>
            </w:tcBorders>
            <w:shd w:val="clear" w:color="auto" w:fill="auto"/>
            <w:noWrap/>
            <w:vAlign w:val="bottom"/>
            <w:hideMark/>
          </w:tcPr>
          <w:p w14:paraId="2310C17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353 033</w:t>
            </w:r>
          </w:p>
        </w:tc>
      </w:tr>
      <w:tr w:rsidR="00E61582" w:rsidRPr="00E61582" w14:paraId="48927051"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66163FC4"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KM</w:t>
            </w:r>
          </w:p>
        </w:tc>
        <w:tc>
          <w:tcPr>
            <w:tcW w:w="1674" w:type="dxa"/>
            <w:tcBorders>
              <w:top w:val="nil"/>
              <w:left w:val="nil"/>
              <w:bottom w:val="single" w:sz="4" w:space="0" w:color="auto"/>
              <w:right w:val="single" w:sz="4" w:space="0" w:color="auto"/>
            </w:tcBorders>
            <w:shd w:val="clear" w:color="auto" w:fill="auto"/>
            <w:noWrap/>
            <w:vAlign w:val="bottom"/>
            <w:hideMark/>
          </w:tcPr>
          <w:p w14:paraId="7E9923AE"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9 481</w:t>
            </w:r>
          </w:p>
        </w:tc>
        <w:tc>
          <w:tcPr>
            <w:tcW w:w="1306" w:type="dxa"/>
            <w:tcBorders>
              <w:top w:val="nil"/>
              <w:left w:val="nil"/>
              <w:bottom w:val="single" w:sz="4" w:space="0" w:color="auto"/>
              <w:right w:val="single" w:sz="4" w:space="0" w:color="auto"/>
            </w:tcBorders>
            <w:shd w:val="clear" w:color="auto" w:fill="auto"/>
            <w:noWrap/>
            <w:vAlign w:val="bottom"/>
            <w:hideMark/>
          </w:tcPr>
          <w:p w14:paraId="53FAD67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14:paraId="5902E15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42 996</w:t>
            </w:r>
          </w:p>
        </w:tc>
        <w:tc>
          <w:tcPr>
            <w:tcW w:w="1565" w:type="dxa"/>
            <w:tcBorders>
              <w:top w:val="nil"/>
              <w:left w:val="nil"/>
              <w:bottom w:val="single" w:sz="4" w:space="0" w:color="auto"/>
              <w:right w:val="single" w:sz="4" w:space="0" w:color="auto"/>
            </w:tcBorders>
            <w:shd w:val="clear" w:color="auto" w:fill="auto"/>
            <w:noWrap/>
            <w:vAlign w:val="bottom"/>
            <w:hideMark/>
          </w:tcPr>
          <w:p w14:paraId="5E8C547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138 967</w:t>
            </w:r>
          </w:p>
        </w:tc>
      </w:tr>
      <w:tr w:rsidR="00E61582" w:rsidRPr="00E61582" w14:paraId="410BB2FA"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34EBA7A5"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IZM</w:t>
            </w:r>
          </w:p>
        </w:tc>
        <w:tc>
          <w:tcPr>
            <w:tcW w:w="1674" w:type="dxa"/>
            <w:tcBorders>
              <w:top w:val="nil"/>
              <w:left w:val="nil"/>
              <w:bottom w:val="single" w:sz="4" w:space="0" w:color="auto"/>
              <w:right w:val="single" w:sz="4" w:space="0" w:color="auto"/>
            </w:tcBorders>
            <w:shd w:val="clear" w:color="auto" w:fill="auto"/>
            <w:noWrap/>
            <w:vAlign w:val="bottom"/>
            <w:hideMark/>
          </w:tcPr>
          <w:p w14:paraId="4F8B451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113 074</w:t>
            </w:r>
          </w:p>
        </w:tc>
        <w:tc>
          <w:tcPr>
            <w:tcW w:w="1306" w:type="dxa"/>
            <w:tcBorders>
              <w:top w:val="nil"/>
              <w:left w:val="nil"/>
              <w:bottom w:val="single" w:sz="4" w:space="0" w:color="auto"/>
              <w:right w:val="single" w:sz="4" w:space="0" w:color="auto"/>
            </w:tcBorders>
            <w:shd w:val="clear" w:color="auto" w:fill="auto"/>
            <w:noWrap/>
            <w:vAlign w:val="bottom"/>
            <w:hideMark/>
          </w:tcPr>
          <w:p w14:paraId="2CE5C57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73 785</w:t>
            </w:r>
          </w:p>
        </w:tc>
        <w:tc>
          <w:tcPr>
            <w:tcW w:w="1240" w:type="dxa"/>
            <w:tcBorders>
              <w:top w:val="nil"/>
              <w:left w:val="nil"/>
              <w:bottom w:val="single" w:sz="4" w:space="0" w:color="auto"/>
              <w:right w:val="single" w:sz="4" w:space="0" w:color="auto"/>
            </w:tcBorders>
            <w:shd w:val="clear" w:color="auto" w:fill="auto"/>
            <w:noWrap/>
            <w:vAlign w:val="bottom"/>
            <w:hideMark/>
          </w:tcPr>
          <w:p w14:paraId="05D53EB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60 575</w:t>
            </w:r>
          </w:p>
        </w:tc>
        <w:tc>
          <w:tcPr>
            <w:tcW w:w="1565" w:type="dxa"/>
            <w:tcBorders>
              <w:top w:val="nil"/>
              <w:left w:val="nil"/>
              <w:bottom w:val="single" w:sz="4" w:space="0" w:color="auto"/>
              <w:right w:val="single" w:sz="4" w:space="0" w:color="auto"/>
            </w:tcBorders>
            <w:shd w:val="clear" w:color="auto" w:fill="auto"/>
            <w:noWrap/>
            <w:vAlign w:val="bottom"/>
            <w:hideMark/>
          </w:tcPr>
          <w:p w14:paraId="60D4068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128 250</w:t>
            </w:r>
          </w:p>
        </w:tc>
      </w:tr>
      <w:tr w:rsidR="00E61582" w:rsidRPr="00E61582" w14:paraId="3683D17A"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78DDE84C"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LM</w:t>
            </w:r>
          </w:p>
        </w:tc>
        <w:tc>
          <w:tcPr>
            <w:tcW w:w="1674" w:type="dxa"/>
            <w:tcBorders>
              <w:top w:val="nil"/>
              <w:left w:val="nil"/>
              <w:bottom w:val="single" w:sz="4" w:space="0" w:color="auto"/>
              <w:right w:val="single" w:sz="4" w:space="0" w:color="auto"/>
            </w:tcBorders>
            <w:shd w:val="clear" w:color="auto" w:fill="auto"/>
            <w:noWrap/>
            <w:vAlign w:val="bottom"/>
            <w:hideMark/>
          </w:tcPr>
          <w:p w14:paraId="7425B6C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228 710</w:t>
            </w:r>
          </w:p>
        </w:tc>
        <w:tc>
          <w:tcPr>
            <w:tcW w:w="1306" w:type="dxa"/>
            <w:tcBorders>
              <w:top w:val="nil"/>
              <w:left w:val="nil"/>
              <w:bottom w:val="single" w:sz="4" w:space="0" w:color="auto"/>
              <w:right w:val="single" w:sz="4" w:space="0" w:color="auto"/>
            </w:tcBorders>
            <w:shd w:val="clear" w:color="auto" w:fill="auto"/>
            <w:noWrap/>
            <w:vAlign w:val="bottom"/>
            <w:hideMark/>
          </w:tcPr>
          <w:p w14:paraId="65E0C96D"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155 703</w:t>
            </w:r>
          </w:p>
        </w:tc>
        <w:tc>
          <w:tcPr>
            <w:tcW w:w="1240" w:type="dxa"/>
            <w:tcBorders>
              <w:top w:val="nil"/>
              <w:left w:val="nil"/>
              <w:bottom w:val="single" w:sz="4" w:space="0" w:color="auto"/>
              <w:right w:val="single" w:sz="4" w:space="0" w:color="auto"/>
            </w:tcBorders>
            <w:shd w:val="clear" w:color="auto" w:fill="auto"/>
            <w:noWrap/>
            <w:vAlign w:val="bottom"/>
            <w:hideMark/>
          </w:tcPr>
          <w:p w14:paraId="7B9C472A"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344 955</w:t>
            </w:r>
          </w:p>
        </w:tc>
        <w:tc>
          <w:tcPr>
            <w:tcW w:w="1565" w:type="dxa"/>
            <w:tcBorders>
              <w:top w:val="nil"/>
              <w:left w:val="nil"/>
              <w:bottom w:val="single" w:sz="4" w:space="0" w:color="auto"/>
              <w:right w:val="single" w:sz="4" w:space="0" w:color="auto"/>
            </w:tcBorders>
            <w:shd w:val="clear" w:color="auto" w:fill="auto"/>
            <w:noWrap/>
            <w:vAlign w:val="bottom"/>
            <w:hideMark/>
          </w:tcPr>
          <w:p w14:paraId="35631E07"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26 500</w:t>
            </w:r>
          </w:p>
        </w:tc>
      </w:tr>
      <w:tr w:rsidR="00E61582" w:rsidRPr="00E61582" w14:paraId="107AF886"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7A08147A"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VARAM</w:t>
            </w:r>
          </w:p>
        </w:tc>
        <w:tc>
          <w:tcPr>
            <w:tcW w:w="1674" w:type="dxa"/>
            <w:tcBorders>
              <w:top w:val="nil"/>
              <w:left w:val="nil"/>
              <w:bottom w:val="single" w:sz="4" w:space="0" w:color="auto"/>
              <w:right w:val="single" w:sz="4" w:space="0" w:color="auto"/>
            </w:tcBorders>
            <w:shd w:val="clear" w:color="auto" w:fill="auto"/>
            <w:noWrap/>
            <w:vAlign w:val="bottom"/>
            <w:hideMark/>
          </w:tcPr>
          <w:p w14:paraId="2306806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52 226</w:t>
            </w:r>
          </w:p>
        </w:tc>
        <w:tc>
          <w:tcPr>
            <w:tcW w:w="1306" w:type="dxa"/>
            <w:tcBorders>
              <w:top w:val="nil"/>
              <w:left w:val="nil"/>
              <w:bottom w:val="single" w:sz="4" w:space="0" w:color="auto"/>
              <w:right w:val="single" w:sz="4" w:space="0" w:color="auto"/>
            </w:tcBorders>
            <w:shd w:val="clear" w:color="auto" w:fill="auto"/>
            <w:noWrap/>
            <w:vAlign w:val="bottom"/>
            <w:hideMark/>
          </w:tcPr>
          <w:p w14:paraId="4B781760"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16 176</w:t>
            </w:r>
          </w:p>
        </w:tc>
        <w:tc>
          <w:tcPr>
            <w:tcW w:w="1240" w:type="dxa"/>
            <w:tcBorders>
              <w:top w:val="nil"/>
              <w:left w:val="nil"/>
              <w:bottom w:val="single" w:sz="4" w:space="0" w:color="auto"/>
              <w:right w:val="single" w:sz="4" w:space="0" w:color="auto"/>
            </w:tcBorders>
            <w:shd w:val="clear" w:color="auto" w:fill="auto"/>
            <w:noWrap/>
            <w:vAlign w:val="bottom"/>
            <w:hideMark/>
          </w:tcPr>
          <w:p w14:paraId="5925ADAB"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40 201</w:t>
            </w:r>
          </w:p>
        </w:tc>
        <w:tc>
          <w:tcPr>
            <w:tcW w:w="1565" w:type="dxa"/>
            <w:tcBorders>
              <w:top w:val="nil"/>
              <w:left w:val="nil"/>
              <w:bottom w:val="single" w:sz="4" w:space="0" w:color="auto"/>
              <w:right w:val="single" w:sz="4" w:space="0" w:color="auto"/>
            </w:tcBorders>
            <w:shd w:val="clear" w:color="auto" w:fill="auto"/>
            <w:noWrap/>
            <w:vAlign w:val="bottom"/>
            <w:hideMark/>
          </w:tcPr>
          <w:p w14:paraId="15845343"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4 500</w:t>
            </w:r>
          </w:p>
        </w:tc>
      </w:tr>
      <w:tr w:rsidR="00E61582" w:rsidRPr="00E61582" w14:paraId="00A95919" w14:textId="77777777" w:rsidTr="002C24FA">
        <w:trPr>
          <w:trHeight w:val="300"/>
          <w:jc w:val="center"/>
        </w:trPr>
        <w:tc>
          <w:tcPr>
            <w:tcW w:w="2012" w:type="dxa"/>
            <w:tcBorders>
              <w:top w:val="nil"/>
              <w:left w:val="single" w:sz="4" w:space="0" w:color="auto"/>
              <w:bottom w:val="single" w:sz="4" w:space="0" w:color="auto"/>
              <w:right w:val="single" w:sz="4" w:space="0" w:color="auto"/>
            </w:tcBorders>
            <w:shd w:val="clear" w:color="auto" w:fill="auto"/>
            <w:noWrap/>
            <w:vAlign w:val="bottom"/>
            <w:hideMark/>
          </w:tcPr>
          <w:p w14:paraId="589CF595" w14:textId="77777777" w:rsidR="00E61582" w:rsidRPr="00E61582" w:rsidRDefault="00E61582" w:rsidP="002C24FA">
            <w:pPr>
              <w:spacing w:after="0" w:line="240" w:lineRule="auto"/>
              <w:jc w:val="center"/>
              <w:rPr>
                <w:rFonts w:eastAsia="Times New Roman"/>
                <w:b/>
                <w:bCs/>
                <w:color w:val="000000"/>
                <w:sz w:val="22"/>
                <w:lang w:val="lv-LV" w:eastAsia="lv-LV"/>
              </w:rPr>
            </w:pPr>
            <w:r w:rsidRPr="00E61582">
              <w:rPr>
                <w:rFonts w:eastAsia="Times New Roman"/>
                <w:b/>
                <w:bCs/>
                <w:color w:val="000000"/>
                <w:sz w:val="22"/>
                <w:lang w:val="lv-LV" w:eastAsia="lv-LV"/>
              </w:rPr>
              <w:t>FM</w:t>
            </w:r>
          </w:p>
        </w:tc>
        <w:tc>
          <w:tcPr>
            <w:tcW w:w="1674" w:type="dxa"/>
            <w:tcBorders>
              <w:top w:val="nil"/>
              <w:left w:val="nil"/>
              <w:bottom w:val="single" w:sz="4" w:space="0" w:color="auto"/>
              <w:right w:val="single" w:sz="4" w:space="0" w:color="auto"/>
            </w:tcBorders>
            <w:shd w:val="clear" w:color="auto" w:fill="auto"/>
            <w:noWrap/>
            <w:vAlign w:val="bottom"/>
            <w:hideMark/>
          </w:tcPr>
          <w:p w14:paraId="18864B38"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1 006 377</w:t>
            </w:r>
          </w:p>
        </w:tc>
        <w:tc>
          <w:tcPr>
            <w:tcW w:w="1306" w:type="dxa"/>
            <w:tcBorders>
              <w:top w:val="nil"/>
              <w:left w:val="nil"/>
              <w:bottom w:val="single" w:sz="4" w:space="0" w:color="auto"/>
              <w:right w:val="single" w:sz="4" w:space="0" w:color="auto"/>
            </w:tcBorders>
            <w:shd w:val="clear" w:color="auto" w:fill="auto"/>
            <w:noWrap/>
            <w:vAlign w:val="bottom"/>
            <w:hideMark/>
          </w:tcPr>
          <w:p w14:paraId="73006102"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61 106</w:t>
            </w:r>
          </w:p>
        </w:tc>
        <w:tc>
          <w:tcPr>
            <w:tcW w:w="1240" w:type="dxa"/>
            <w:tcBorders>
              <w:top w:val="nil"/>
              <w:left w:val="nil"/>
              <w:bottom w:val="single" w:sz="4" w:space="0" w:color="auto"/>
              <w:right w:val="single" w:sz="4" w:space="0" w:color="auto"/>
            </w:tcBorders>
            <w:shd w:val="clear" w:color="auto" w:fill="auto"/>
            <w:noWrap/>
            <w:vAlign w:val="bottom"/>
            <w:hideMark/>
          </w:tcPr>
          <w:p w14:paraId="7096765F"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87 916</w:t>
            </w:r>
          </w:p>
        </w:tc>
        <w:tc>
          <w:tcPr>
            <w:tcW w:w="1565" w:type="dxa"/>
            <w:tcBorders>
              <w:top w:val="nil"/>
              <w:left w:val="nil"/>
              <w:bottom w:val="single" w:sz="4" w:space="0" w:color="auto"/>
              <w:right w:val="single" w:sz="4" w:space="0" w:color="auto"/>
            </w:tcBorders>
            <w:shd w:val="clear" w:color="auto" w:fill="auto"/>
            <w:noWrap/>
            <w:vAlign w:val="bottom"/>
            <w:hideMark/>
          </w:tcPr>
          <w:p w14:paraId="57480309" w14:textId="77777777" w:rsidR="00E61582" w:rsidRPr="00E61582" w:rsidRDefault="00E61582" w:rsidP="00E61582">
            <w:pPr>
              <w:spacing w:after="0" w:line="240" w:lineRule="auto"/>
              <w:jc w:val="right"/>
              <w:rPr>
                <w:rFonts w:eastAsia="Times New Roman"/>
                <w:color w:val="000000"/>
                <w:sz w:val="22"/>
                <w:lang w:val="lv-LV" w:eastAsia="lv-LV"/>
              </w:rPr>
            </w:pPr>
            <w:r w:rsidRPr="00E61582">
              <w:rPr>
                <w:rFonts w:eastAsia="Times New Roman"/>
                <w:color w:val="000000"/>
                <w:sz w:val="22"/>
                <w:lang w:val="lv-LV" w:eastAsia="lv-LV"/>
              </w:rPr>
              <w:t>0</w:t>
            </w:r>
          </w:p>
        </w:tc>
      </w:tr>
      <w:tr w:rsidR="00E61582" w:rsidRPr="00E61582" w14:paraId="4088B34D" w14:textId="77777777" w:rsidTr="002C24FA">
        <w:trPr>
          <w:trHeight w:val="277"/>
          <w:jc w:val="center"/>
        </w:trPr>
        <w:tc>
          <w:tcPr>
            <w:tcW w:w="2012" w:type="dxa"/>
            <w:tcBorders>
              <w:top w:val="nil"/>
              <w:left w:val="single" w:sz="4" w:space="0" w:color="auto"/>
              <w:bottom w:val="single" w:sz="4" w:space="0" w:color="auto"/>
              <w:right w:val="single" w:sz="4" w:space="0" w:color="auto"/>
            </w:tcBorders>
            <w:shd w:val="clear" w:color="auto" w:fill="auto"/>
            <w:vAlign w:val="bottom"/>
            <w:hideMark/>
          </w:tcPr>
          <w:p w14:paraId="7BCBCBFA" w14:textId="77777777" w:rsidR="00E61582" w:rsidRPr="00E61582" w:rsidRDefault="00E61582" w:rsidP="002C24FA">
            <w:pPr>
              <w:spacing w:after="0" w:line="240" w:lineRule="auto"/>
              <w:jc w:val="center"/>
              <w:rPr>
                <w:rFonts w:eastAsia="Times New Roman"/>
                <w:b/>
                <w:bCs/>
                <w:sz w:val="22"/>
                <w:lang w:val="lv-LV" w:eastAsia="lv-LV"/>
              </w:rPr>
            </w:pPr>
            <w:r w:rsidRPr="00E61582">
              <w:rPr>
                <w:rFonts w:eastAsia="Times New Roman"/>
                <w:b/>
                <w:bCs/>
                <w:sz w:val="22"/>
                <w:lang w:val="lv-LV" w:eastAsia="lv-LV"/>
              </w:rPr>
              <w:t>KOPĀ, ministrijas</w:t>
            </w:r>
          </w:p>
        </w:tc>
        <w:tc>
          <w:tcPr>
            <w:tcW w:w="1674" w:type="dxa"/>
            <w:tcBorders>
              <w:top w:val="nil"/>
              <w:left w:val="nil"/>
              <w:bottom w:val="single" w:sz="4" w:space="0" w:color="auto"/>
              <w:right w:val="single" w:sz="4" w:space="0" w:color="auto"/>
            </w:tcBorders>
            <w:shd w:val="clear" w:color="auto" w:fill="auto"/>
            <w:noWrap/>
            <w:vAlign w:val="bottom"/>
            <w:hideMark/>
          </w:tcPr>
          <w:p w14:paraId="545D22FE"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6 207 510</w:t>
            </w:r>
          </w:p>
        </w:tc>
        <w:tc>
          <w:tcPr>
            <w:tcW w:w="1306" w:type="dxa"/>
            <w:tcBorders>
              <w:top w:val="nil"/>
              <w:left w:val="nil"/>
              <w:bottom w:val="single" w:sz="4" w:space="0" w:color="auto"/>
              <w:right w:val="single" w:sz="4" w:space="0" w:color="auto"/>
            </w:tcBorders>
            <w:shd w:val="clear" w:color="auto" w:fill="auto"/>
            <w:noWrap/>
            <w:vAlign w:val="bottom"/>
            <w:hideMark/>
          </w:tcPr>
          <w:p w14:paraId="14144251"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8 200 862</w:t>
            </w:r>
          </w:p>
        </w:tc>
        <w:tc>
          <w:tcPr>
            <w:tcW w:w="1240" w:type="dxa"/>
            <w:tcBorders>
              <w:top w:val="nil"/>
              <w:left w:val="nil"/>
              <w:bottom w:val="single" w:sz="4" w:space="0" w:color="auto"/>
              <w:right w:val="single" w:sz="4" w:space="0" w:color="auto"/>
            </w:tcBorders>
            <w:shd w:val="clear" w:color="auto" w:fill="auto"/>
            <w:noWrap/>
            <w:vAlign w:val="bottom"/>
            <w:hideMark/>
          </w:tcPr>
          <w:p w14:paraId="6840E14F"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5 267 144</w:t>
            </w:r>
          </w:p>
        </w:tc>
        <w:tc>
          <w:tcPr>
            <w:tcW w:w="1565" w:type="dxa"/>
            <w:tcBorders>
              <w:top w:val="nil"/>
              <w:left w:val="nil"/>
              <w:bottom w:val="single" w:sz="4" w:space="0" w:color="auto"/>
              <w:right w:val="single" w:sz="4" w:space="0" w:color="auto"/>
            </w:tcBorders>
            <w:shd w:val="clear" w:color="auto" w:fill="auto"/>
            <w:noWrap/>
            <w:vAlign w:val="bottom"/>
            <w:hideMark/>
          </w:tcPr>
          <w:p w14:paraId="1C108345" w14:textId="77777777" w:rsidR="00E61582" w:rsidRPr="00E61582" w:rsidRDefault="00E61582" w:rsidP="00E61582">
            <w:pPr>
              <w:spacing w:after="0" w:line="240" w:lineRule="auto"/>
              <w:jc w:val="right"/>
              <w:rPr>
                <w:rFonts w:eastAsia="Times New Roman"/>
                <w:b/>
                <w:bCs/>
                <w:sz w:val="22"/>
                <w:lang w:val="lv-LV" w:eastAsia="lv-LV"/>
              </w:rPr>
            </w:pPr>
            <w:r w:rsidRPr="00E61582">
              <w:rPr>
                <w:rFonts w:eastAsia="Times New Roman"/>
                <w:b/>
                <w:bCs/>
                <w:sz w:val="22"/>
                <w:lang w:val="lv-LV" w:eastAsia="lv-LV"/>
              </w:rPr>
              <w:t>6 233 714</w:t>
            </w:r>
          </w:p>
        </w:tc>
      </w:tr>
    </w:tbl>
    <w:p w14:paraId="57536484" w14:textId="3817AF1C" w:rsidR="00E61582" w:rsidRPr="00E61582" w:rsidRDefault="00E61582" w:rsidP="00E61582">
      <w:pPr>
        <w:spacing w:before="120"/>
        <w:ind w:firstLine="720"/>
        <w:rPr>
          <w:lang w:val="lv-LV"/>
        </w:rPr>
      </w:pPr>
      <w:r w:rsidRPr="00E61582">
        <w:rPr>
          <w:lang w:val="lv-LV"/>
        </w:rPr>
        <w:t xml:space="preserve">Tabulā Nr. 2.1.10 redzams, ka ministriju izdevumi EKK 5220 2020. gadā, salīdzinot ar 2019. gadu samazinājās par 2,9 milj. </w:t>
      </w:r>
      <w:r w:rsidRPr="00E61582">
        <w:rPr>
          <w:i/>
          <w:iCs/>
          <w:lang w:val="lv-LV"/>
        </w:rPr>
        <w:t>euro</w:t>
      </w:r>
      <w:r w:rsidR="009B1A4B">
        <w:rPr>
          <w:lang w:val="lv-LV"/>
        </w:rPr>
        <w:t xml:space="preserve"> – izlietoti</w:t>
      </w:r>
      <w:r w:rsidRPr="00E61582">
        <w:rPr>
          <w:lang w:val="lv-LV"/>
        </w:rPr>
        <w:t xml:space="preserve"> tika 5,3 milj. </w:t>
      </w:r>
      <w:r w:rsidRPr="00E61582">
        <w:rPr>
          <w:i/>
          <w:iCs/>
          <w:lang w:val="lv-LV"/>
        </w:rPr>
        <w:t>euro</w:t>
      </w:r>
      <w:r w:rsidRPr="00E61582">
        <w:rPr>
          <w:lang w:val="lv-LV"/>
        </w:rPr>
        <w:t xml:space="preserve">. Savukārt 2021. gadā izdevumi EKK 5220 plānoti 6,2 milj. </w:t>
      </w:r>
      <w:r w:rsidRPr="00E61582">
        <w:rPr>
          <w:i/>
          <w:iCs/>
          <w:lang w:val="lv-LV"/>
        </w:rPr>
        <w:t>euro</w:t>
      </w:r>
      <w:r w:rsidRPr="00E61582">
        <w:rPr>
          <w:lang w:val="lv-LV"/>
        </w:rPr>
        <w:t xml:space="preserve"> apmērā.</w:t>
      </w:r>
    </w:p>
    <w:p w14:paraId="35440A19" w14:textId="77777777" w:rsidR="00E61582" w:rsidRPr="00E61582" w:rsidRDefault="00E61582" w:rsidP="00E61582">
      <w:pPr>
        <w:rPr>
          <w:lang w:val="lv-LV"/>
        </w:rPr>
      </w:pPr>
    </w:p>
    <w:p w14:paraId="0E443B60" w14:textId="2FDCD519" w:rsidR="00E61582" w:rsidRPr="00E61582" w:rsidRDefault="00E61582" w:rsidP="00E61582">
      <w:pPr>
        <w:rPr>
          <w:b/>
          <w:bCs/>
          <w:lang w:val="lv-LV"/>
        </w:rPr>
      </w:pPr>
      <w:r w:rsidRPr="00E61582">
        <w:rPr>
          <w:b/>
          <w:bCs/>
          <w:lang w:val="lv-LV"/>
        </w:rPr>
        <w:lastRenderedPageBreak/>
        <w:t>Secinājumi</w:t>
      </w:r>
      <w:r w:rsidR="0005194E">
        <w:rPr>
          <w:b/>
          <w:bCs/>
          <w:lang w:val="lv-LV"/>
        </w:rPr>
        <w:t>:</w:t>
      </w:r>
    </w:p>
    <w:p w14:paraId="311EB91C" w14:textId="77777777" w:rsidR="009B1A4B" w:rsidRDefault="00E61582" w:rsidP="0005194E">
      <w:pPr>
        <w:pStyle w:val="ListParagraph"/>
        <w:numPr>
          <w:ilvl w:val="0"/>
          <w:numId w:val="26"/>
        </w:numPr>
        <w:ind w:left="714" w:hanging="357"/>
        <w:contextualSpacing w:val="0"/>
        <w:rPr>
          <w:lang w:val="lv-LV"/>
        </w:rPr>
      </w:pPr>
      <w:r w:rsidRPr="009B1A4B">
        <w:rPr>
          <w:lang w:val="lv-LV"/>
        </w:rPr>
        <w:t>Covid-19 izraisītās pandēmijas epidemioloģiskie ierobežojumi valstī krasi mainīja darba organizāciju valsts iestādēs, kas tieši ietekmēja finansējuma izpildes izmaiņas atsevišķos EKK 2000 “Preces un pakalpojumi” apakškodos: EKK 2100 “Komandējumi”, EKK 2220 “Izdevumi par pārējiem komunālajiem pakalpojumiem”, EKK 2231 “Izdevumi iestādes sabiedrisko aktivitāšu īstenošanai”, EKK 2233 “Izdevumi par transporta pakalpojumiem”, EKK 2243 “Iekārtas, inventāra un aparatūras remonts, tehniskā apkalpošana”, EKK 2311 “Biroja preces”, 2322 “Degviela”, kā arī EKK 5000 “Pamatkapitāla veidošana” apakškodā 5220 “Tehnoloģiskās iekārtas un mašīnas”.</w:t>
      </w:r>
    </w:p>
    <w:p w14:paraId="736F0E84" w14:textId="77777777" w:rsidR="009B1A4B" w:rsidRDefault="00E61582" w:rsidP="0005194E">
      <w:pPr>
        <w:pStyle w:val="ListParagraph"/>
        <w:numPr>
          <w:ilvl w:val="0"/>
          <w:numId w:val="26"/>
        </w:numPr>
        <w:ind w:left="714" w:hanging="357"/>
        <w:contextualSpacing w:val="0"/>
        <w:rPr>
          <w:lang w:val="lv-LV"/>
        </w:rPr>
      </w:pPr>
      <w:r w:rsidRPr="009B1A4B">
        <w:rPr>
          <w:lang w:val="lv-LV"/>
        </w:rPr>
        <w:t>Finanšu resursu ekonomija minētajos EKK veidojās gan izsludināto ierobežojumu dēļ, piemēram, pilnīga vai daļēja pāreja uz attālinātā darba organizēšanu, ceļošanas ierobežojumi un sanāksmju attālināta organizēšana, kā arī ārējo faktoru ietekmē, piemēram, EKK 2322 “Degviela” 2020. gada izdevumu samazinājums daļēji skaidrojams ar kraso degvielas cenu kritumu.</w:t>
      </w:r>
    </w:p>
    <w:p w14:paraId="1FD8A36E" w14:textId="2D8CE275" w:rsidR="00E61582" w:rsidRPr="009B1A4B" w:rsidRDefault="00E61582" w:rsidP="0005194E">
      <w:pPr>
        <w:pStyle w:val="ListParagraph"/>
        <w:numPr>
          <w:ilvl w:val="0"/>
          <w:numId w:val="26"/>
        </w:numPr>
        <w:ind w:left="714" w:hanging="357"/>
        <w:contextualSpacing w:val="0"/>
        <w:rPr>
          <w:lang w:val="lv-LV"/>
        </w:rPr>
      </w:pPr>
      <w:r w:rsidRPr="009B1A4B">
        <w:rPr>
          <w:lang w:val="lv-LV"/>
        </w:rPr>
        <w:t xml:space="preserve">2021. gada izdevumu plānošana var tikt </w:t>
      </w:r>
      <w:r w:rsidRPr="009B1A4B">
        <w:rPr>
          <w:color w:val="000000"/>
          <w:lang w:val="lv-LV" w:eastAsia="lv-LV"/>
        </w:rPr>
        <w:t>skaidro</w:t>
      </w:r>
      <w:r w:rsidR="003B3AA2">
        <w:rPr>
          <w:color w:val="000000"/>
          <w:lang w:val="lv-LV" w:eastAsia="lv-LV"/>
        </w:rPr>
        <w:t>ta</w:t>
      </w:r>
      <w:r w:rsidRPr="009B1A4B">
        <w:rPr>
          <w:color w:val="000000"/>
          <w:lang w:val="lv-LV" w:eastAsia="lv-LV"/>
        </w:rPr>
        <w:t xml:space="preserve"> ar optimistisku vērtējumu pandēmijas ietekmes pārvarēšanā</w:t>
      </w:r>
      <w:r w:rsidRPr="009B1A4B">
        <w:rPr>
          <w:lang w:val="lv-LV"/>
        </w:rPr>
        <w:t>. Vienlaikus daudzas ministrijas ir identificējušas iespējamos finanšu resursus pārdalei citām prioritātēm, piemēram, neizlietoto finansējumu komandējumiem.</w:t>
      </w:r>
    </w:p>
    <w:p w14:paraId="6D069572" w14:textId="77777777" w:rsidR="004C1C06" w:rsidRDefault="004C1C06" w:rsidP="004C1C06">
      <w:pPr>
        <w:pStyle w:val="Heading2"/>
        <w:jc w:val="both"/>
        <w:rPr>
          <w:rFonts w:eastAsiaTheme="minorEastAsia" w:cstheme="minorBidi"/>
          <w:sz w:val="24"/>
          <w:szCs w:val="22"/>
        </w:rPr>
      </w:pPr>
    </w:p>
    <w:p w14:paraId="0884C7A3" w14:textId="77777777" w:rsidR="004C1C06" w:rsidRDefault="00044D38" w:rsidP="004C1C06">
      <w:pPr>
        <w:pStyle w:val="Heading2"/>
        <w:numPr>
          <w:ilvl w:val="0"/>
          <w:numId w:val="53"/>
        </w:numPr>
        <w:ind w:left="0" w:firstLine="0"/>
      </w:pPr>
      <w:bookmarkStart w:id="8" w:name="_Toc80178410"/>
      <w:r w:rsidRPr="00CD76DB">
        <w:t>Nozares ministrij</w:t>
      </w:r>
      <w:r w:rsidR="00811CFE" w:rsidRPr="00CD76DB">
        <w:t>u</w:t>
      </w:r>
      <w:r w:rsidRPr="00CD76DB">
        <w:t xml:space="preserve"> </w:t>
      </w:r>
      <w:r w:rsidR="00CD76DB" w:rsidRPr="00CD76DB">
        <w:t xml:space="preserve">izdevumu analīze </w:t>
      </w:r>
      <w:r w:rsidRPr="00CD76DB">
        <w:t>un ietekme uz 2022. gada budžetu</w:t>
      </w:r>
      <w:bookmarkEnd w:id="8"/>
    </w:p>
    <w:p w14:paraId="60B28E91" w14:textId="214331F2" w:rsidR="00384EF6" w:rsidRDefault="001617E7" w:rsidP="004C1C06">
      <w:pPr>
        <w:pStyle w:val="Heading2"/>
        <w:numPr>
          <w:ilvl w:val="2"/>
          <w:numId w:val="54"/>
        </w:numPr>
        <w:ind w:left="0" w:firstLine="0"/>
      </w:pPr>
      <w:bookmarkStart w:id="9" w:name="_Toc80178411"/>
      <w:r w:rsidRPr="0073124A">
        <w:t>Nozares ministriju patstāvīgi veikto bāzes izdevumu pārskatīšanas rezultāti</w:t>
      </w:r>
      <w:r w:rsidR="00D31BE1">
        <w:t xml:space="preserve"> kopskatā ar</w:t>
      </w:r>
      <w:r>
        <w:t xml:space="preserve"> izdevumu neizpildes analīzi</w:t>
      </w:r>
      <w:bookmarkEnd w:id="9"/>
    </w:p>
    <w:p w14:paraId="4C312177" w14:textId="22D30A14" w:rsidR="00CE0303" w:rsidRPr="00CE0303" w:rsidRDefault="00CE0303" w:rsidP="00CE0303">
      <w:pPr>
        <w:ind w:firstLine="720"/>
        <w:rPr>
          <w:rFonts w:eastAsiaTheme="minorHAnsi"/>
          <w:lang w:val="lv-LV"/>
        </w:rPr>
      </w:pPr>
      <w:r w:rsidRPr="00CE0303">
        <w:rPr>
          <w:rFonts w:eastAsiaTheme="minorHAnsi"/>
          <w:lang w:val="lv-LV"/>
        </w:rPr>
        <w:t>Lai stiprinātu līdzšinēji izveidojušos sadarbību ar nozares ministrijām izdevumu pārskatīšanas procesā, jau pirms 2021. gada izdevumu pārskatīšanas tvēruma sagatavošanas ministrijas tika aicinātas uz tikšanos, lai izrunātu izdevumu pārskatīšanas norisi, tās nozīmi, ministriju iespējas iesaistīties, iespējamos ieguvumus, kā arī aicinātu ministrijas padomāt par procesiem, aktivitātēm, funkcijām vai izdevumiem, ko būtu nepieciešams pārskatīt vai mainīt, meklējot labākus risinājumus. Šie jautājumi tika pārrunāti arī ar katru ministriju atsevišķi izdevumu pārskatīšanas darba grupā, kā rezultātā šajā sadaļā ir iekļauti ministrijās iekšēji</w:t>
      </w:r>
      <w:r w:rsidR="007D00BC">
        <w:rPr>
          <w:rFonts w:eastAsiaTheme="minorHAnsi"/>
          <w:lang w:val="lv-LV"/>
        </w:rPr>
        <w:t xml:space="preserve"> </w:t>
      </w:r>
      <w:r w:rsidRPr="00CE0303">
        <w:rPr>
          <w:rFonts w:eastAsiaTheme="minorHAnsi"/>
          <w:lang w:val="lv-LV"/>
        </w:rPr>
        <w:t>pārskatīto resursu rezultāti ar informāciju par iekšējām pārdalēm ar ietekmi uz nākamajiem gadiem.</w:t>
      </w:r>
    </w:p>
    <w:p w14:paraId="13DDB7E9" w14:textId="77777777" w:rsidR="00CE0303" w:rsidRPr="00CE0303" w:rsidRDefault="00CE0303" w:rsidP="00CE0303">
      <w:pPr>
        <w:ind w:firstLine="720"/>
        <w:rPr>
          <w:rFonts w:eastAsiaTheme="minorHAnsi"/>
          <w:lang w:val="lv-LV"/>
        </w:rPr>
      </w:pPr>
      <w:r w:rsidRPr="00CE0303">
        <w:rPr>
          <w:rFonts w:eastAsiaTheme="minorHAnsi"/>
          <w:lang w:val="lv-LV"/>
        </w:rPr>
        <w:t>Papildus norādāms, ka lielu darbu ministrijas ir veikušas pārskatot Covid-19 ietekmētus procesus 2021. gadā, kā piemēram, izdevumi komandējumiem, komunālo pakalpojumu izdevumi, izdevumi mācībām, tehniskais nodrošinājums un kancelejas preces, degvielas izdevumi, bet šobrīd ir grūti novērtējama to iespējamās izmaiņas un iespējamā ietekme uz nākamajiem gadiem.</w:t>
      </w:r>
    </w:p>
    <w:p w14:paraId="3BE52BC7" w14:textId="3556766D" w:rsidR="00CE0303" w:rsidRPr="00CE0303" w:rsidRDefault="00CE0303" w:rsidP="00CE0303">
      <w:pPr>
        <w:ind w:firstLine="720"/>
        <w:rPr>
          <w:rFonts w:eastAsiaTheme="minorHAnsi"/>
          <w:lang w:val="lv-LV"/>
        </w:rPr>
      </w:pPr>
      <w:r w:rsidRPr="00CE0303">
        <w:rPr>
          <w:rFonts w:eastAsiaTheme="minorHAnsi"/>
          <w:lang w:val="lv-LV"/>
        </w:rPr>
        <w:t>Nozares ministriju patstāvīgi veikto bāzes izdevumu pārskatīšanas rezultātā potenciālais iekšējais resur</w:t>
      </w:r>
      <w:r w:rsidR="00CA5079">
        <w:rPr>
          <w:rFonts w:eastAsiaTheme="minorHAnsi"/>
          <w:lang w:val="lv-LV"/>
        </w:rPr>
        <w:t>ss, kas jau ir novirzīts vai vēl</w:t>
      </w:r>
      <w:r w:rsidRPr="00CE0303">
        <w:rPr>
          <w:rFonts w:eastAsiaTheme="minorHAnsi"/>
          <w:lang w:val="lv-LV"/>
        </w:rPr>
        <w:t xml:space="preserve"> tiek plānots novirzīt citām ministriju prioritātēm kopā veido </w:t>
      </w:r>
      <w:r w:rsidR="00472F2D">
        <w:rPr>
          <w:rFonts w:eastAsiaTheme="minorHAnsi"/>
          <w:b/>
          <w:lang w:val="lv-LV"/>
        </w:rPr>
        <w:t>103,9</w:t>
      </w:r>
      <w:r w:rsidR="00762984" w:rsidRPr="00762984">
        <w:rPr>
          <w:rFonts w:eastAsiaTheme="minorHAnsi"/>
          <w:b/>
          <w:lang w:val="lv-LV"/>
        </w:rPr>
        <w:t xml:space="preserve"> </w:t>
      </w:r>
      <w:r w:rsidRPr="00762984">
        <w:rPr>
          <w:rFonts w:eastAsiaTheme="minorHAnsi"/>
          <w:b/>
          <w:lang w:val="lv-LV"/>
        </w:rPr>
        <w:t xml:space="preserve">milj. </w:t>
      </w:r>
      <w:r w:rsidRPr="00762984">
        <w:rPr>
          <w:rFonts w:eastAsiaTheme="minorHAnsi"/>
          <w:b/>
          <w:i/>
          <w:lang w:val="lv-LV"/>
        </w:rPr>
        <w:t>euro</w:t>
      </w:r>
      <w:r w:rsidRPr="00762984">
        <w:rPr>
          <w:rFonts w:eastAsiaTheme="minorHAnsi"/>
          <w:lang w:val="lv-LV"/>
        </w:rPr>
        <w:t>.</w:t>
      </w:r>
    </w:p>
    <w:p w14:paraId="61CD4BBB" w14:textId="77777777" w:rsidR="00CE0303" w:rsidRPr="00CE0303" w:rsidRDefault="00CE0303" w:rsidP="002C24FA">
      <w:pPr>
        <w:jc w:val="center"/>
        <w:rPr>
          <w:rFonts w:cs="Times New Roman"/>
          <w:b/>
          <w:bCs/>
          <w:sz w:val="22"/>
          <w:lang w:val="lv-LV"/>
        </w:rPr>
      </w:pPr>
      <w:r w:rsidRPr="00CE0303">
        <w:rPr>
          <w:rFonts w:cs="Times New Roman"/>
          <w:b/>
          <w:bCs/>
          <w:i/>
          <w:iCs/>
          <w:sz w:val="22"/>
          <w:lang w:val="lv-LV"/>
        </w:rPr>
        <w:lastRenderedPageBreak/>
        <w:t>2.2.1. tabula</w:t>
      </w:r>
      <w:r w:rsidRPr="00CE0303">
        <w:rPr>
          <w:rFonts w:cs="Times New Roman"/>
          <w:b/>
          <w:bCs/>
          <w:sz w:val="22"/>
          <w:lang w:val="lv-LV"/>
        </w:rPr>
        <w:t xml:space="preserve"> Nozares ministriju patstāvīgi veikto bāzes izdevumu pārskatīšanas rezultāti, </w:t>
      </w:r>
      <w:r w:rsidRPr="00CE0303">
        <w:rPr>
          <w:rFonts w:cs="Times New Roman"/>
          <w:b/>
          <w:bCs/>
          <w:i/>
          <w:sz w:val="22"/>
          <w:lang w:val="lv-LV"/>
        </w:rPr>
        <w:t>euro</w:t>
      </w:r>
    </w:p>
    <w:tbl>
      <w:tblPr>
        <w:tblStyle w:val="GridTable4-Accent6"/>
        <w:tblW w:w="0" w:type="auto"/>
        <w:jc w:val="center"/>
        <w:tblLook w:val="04A0" w:firstRow="1" w:lastRow="0" w:firstColumn="1" w:lastColumn="0" w:noHBand="0" w:noVBand="1"/>
      </w:tblPr>
      <w:tblGrid>
        <w:gridCol w:w="988"/>
        <w:gridCol w:w="1417"/>
        <w:gridCol w:w="1701"/>
        <w:gridCol w:w="1418"/>
      </w:tblGrid>
      <w:tr w:rsidR="00CE0303" w:rsidRPr="00CE0303" w14:paraId="21E592BC" w14:textId="77777777" w:rsidTr="00CE03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1BDF27FE" w14:textId="77777777" w:rsidR="00CE0303" w:rsidRPr="00CE0303" w:rsidRDefault="00CE0303" w:rsidP="00CE0303">
            <w:pPr>
              <w:spacing w:line="259" w:lineRule="auto"/>
              <w:rPr>
                <w:rFonts w:eastAsiaTheme="minorHAnsi"/>
                <w:lang w:val="lv-LV"/>
              </w:rPr>
            </w:pPr>
          </w:p>
        </w:tc>
        <w:tc>
          <w:tcPr>
            <w:tcW w:w="1417" w:type="dxa"/>
          </w:tcPr>
          <w:p w14:paraId="5B0DF3B1" w14:textId="77777777" w:rsidR="00CE0303" w:rsidRPr="00CE0303" w:rsidRDefault="00CE0303" w:rsidP="00CE0303">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2022</w:t>
            </w:r>
          </w:p>
        </w:tc>
        <w:tc>
          <w:tcPr>
            <w:tcW w:w="1701" w:type="dxa"/>
          </w:tcPr>
          <w:p w14:paraId="414AC4E3" w14:textId="77777777" w:rsidR="00CE0303" w:rsidRPr="00CE0303" w:rsidRDefault="00CE0303" w:rsidP="00CE0303">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2023</w:t>
            </w:r>
          </w:p>
        </w:tc>
        <w:tc>
          <w:tcPr>
            <w:tcW w:w="1418" w:type="dxa"/>
          </w:tcPr>
          <w:p w14:paraId="6C700E68" w14:textId="77777777" w:rsidR="00CE0303" w:rsidRPr="00CE0303" w:rsidRDefault="00CE0303" w:rsidP="00CE0303">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2024</w:t>
            </w:r>
          </w:p>
        </w:tc>
      </w:tr>
      <w:tr w:rsidR="00762984" w:rsidRPr="00CE0303" w14:paraId="65C1AC59"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7F3AFFF3" w14:textId="77777777" w:rsidR="00762984" w:rsidRPr="00CE0303" w:rsidRDefault="00762984" w:rsidP="00762984">
            <w:pPr>
              <w:spacing w:after="0" w:line="259" w:lineRule="auto"/>
              <w:rPr>
                <w:rFonts w:eastAsiaTheme="minorHAnsi"/>
                <w:lang w:val="lv-LV"/>
              </w:rPr>
            </w:pPr>
            <w:r w:rsidRPr="00CE0303">
              <w:rPr>
                <w:rFonts w:eastAsiaTheme="minorHAnsi"/>
                <w:lang w:val="lv-LV"/>
              </w:rPr>
              <w:t>AiM</w:t>
            </w:r>
          </w:p>
        </w:tc>
        <w:tc>
          <w:tcPr>
            <w:tcW w:w="1417" w:type="dxa"/>
          </w:tcPr>
          <w:p w14:paraId="1579FC53" w14:textId="4A02930B" w:rsidR="00762984" w:rsidRPr="00CE0303" w:rsidRDefault="00762984" w:rsidP="00762984">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811C6C">
              <w:t>8 820 787</w:t>
            </w:r>
          </w:p>
        </w:tc>
        <w:tc>
          <w:tcPr>
            <w:tcW w:w="1701" w:type="dxa"/>
          </w:tcPr>
          <w:p w14:paraId="03D1B720" w14:textId="4553375D" w:rsidR="00762984" w:rsidRPr="00CE0303" w:rsidRDefault="00762984" w:rsidP="00762984">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811C6C">
              <w:t>3 764 903</w:t>
            </w:r>
          </w:p>
        </w:tc>
        <w:tc>
          <w:tcPr>
            <w:tcW w:w="1418" w:type="dxa"/>
          </w:tcPr>
          <w:p w14:paraId="1F6AF83B" w14:textId="543F8474" w:rsidR="00762984" w:rsidRPr="00CE0303" w:rsidRDefault="00762984" w:rsidP="00762984">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811C6C">
              <w:t>3 382 541</w:t>
            </w:r>
          </w:p>
        </w:tc>
      </w:tr>
      <w:tr w:rsidR="00CE0303" w:rsidRPr="00CE0303" w14:paraId="4AF5D0FF"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51FDC605" w14:textId="77777777" w:rsidR="00CE0303" w:rsidRPr="00CE0303" w:rsidRDefault="00CE0303" w:rsidP="00CE0303">
            <w:pPr>
              <w:spacing w:after="0" w:line="259" w:lineRule="auto"/>
              <w:rPr>
                <w:rFonts w:eastAsiaTheme="minorHAnsi"/>
                <w:lang w:val="lv-LV"/>
              </w:rPr>
            </w:pPr>
            <w:r w:rsidRPr="00CE0303">
              <w:rPr>
                <w:rFonts w:eastAsiaTheme="minorHAnsi"/>
                <w:lang w:val="lv-LV"/>
              </w:rPr>
              <w:t>ĀM</w:t>
            </w:r>
          </w:p>
        </w:tc>
        <w:tc>
          <w:tcPr>
            <w:tcW w:w="1417" w:type="dxa"/>
          </w:tcPr>
          <w:p w14:paraId="0FA2990B"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1 316 320</w:t>
            </w:r>
          </w:p>
        </w:tc>
        <w:tc>
          <w:tcPr>
            <w:tcW w:w="1701" w:type="dxa"/>
          </w:tcPr>
          <w:p w14:paraId="6BD5EBB2"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1 316 320</w:t>
            </w:r>
          </w:p>
        </w:tc>
        <w:tc>
          <w:tcPr>
            <w:tcW w:w="1418" w:type="dxa"/>
          </w:tcPr>
          <w:p w14:paraId="08C00E6B"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1 316 320</w:t>
            </w:r>
          </w:p>
        </w:tc>
      </w:tr>
      <w:tr w:rsidR="00CE0303" w:rsidRPr="00CE0303" w14:paraId="43B65915"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535FB455" w14:textId="77777777" w:rsidR="00CE0303" w:rsidRPr="00CE0303" w:rsidRDefault="00CE0303" w:rsidP="00CE0303">
            <w:pPr>
              <w:spacing w:after="0" w:line="259" w:lineRule="auto"/>
              <w:rPr>
                <w:rFonts w:eastAsiaTheme="minorHAnsi"/>
                <w:lang w:val="lv-LV"/>
              </w:rPr>
            </w:pPr>
            <w:r w:rsidRPr="00CE0303">
              <w:rPr>
                <w:rFonts w:eastAsiaTheme="minorHAnsi"/>
                <w:lang w:val="lv-LV"/>
              </w:rPr>
              <w:t>EM</w:t>
            </w:r>
          </w:p>
        </w:tc>
        <w:tc>
          <w:tcPr>
            <w:tcW w:w="1417" w:type="dxa"/>
          </w:tcPr>
          <w:p w14:paraId="1995F7B9" w14:textId="77777777" w:rsidR="00CE0303" w:rsidRPr="00CE0303" w:rsidRDefault="00CE0303"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455 807</w:t>
            </w:r>
          </w:p>
        </w:tc>
        <w:tc>
          <w:tcPr>
            <w:tcW w:w="1701" w:type="dxa"/>
          </w:tcPr>
          <w:p w14:paraId="294D3BB1" w14:textId="77777777" w:rsidR="00CE0303" w:rsidRPr="00CE0303" w:rsidRDefault="00CE0303"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455 807</w:t>
            </w:r>
          </w:p>
        </w:tc>
        <w:tc>
          <w:tcPr>
            <w:tcW w:w="1418" w:type="dxa"/>
          </w:tcPr>
          <w:p w14:paraId="12F7B3B8" w14:textId="77777777" w:rsidR="00CE0303" w:rsidRPr="00CE0303" w:rsidRDefault="00CE0303"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277 837</w:t>
            </w:r>
          </w:p>
        </w:tc>
      </w:tr>
      <w:tr w:rsidR="00CE0303" w:rsidRPr="00CE0303" w14:paraId="345CE13C"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45846028" w14:textId="77777777" w:rsidR="00CE0303" w:rsidRPr="00CE0303" w:rsidRDefault="00CE0303" w:rsidP="00CE0303">
            <w:pPr>
              <w:spacing w:after="0" w:line="259" w:lineRule="auto"/>
              <w:rPr>
                <w:rFonts w:eastAsiaTheme="minorHAnsi"/>
                <w:lang w:val="lv-LV"/>
              </w:rPr>
            </w:pPr>
            <w:r w:rsidRPr="00CE0303">
              <w:rPr>
                <w:rFonts w:eastAsiaTheme="minorHAnsi"/>
                <w:lang w:val="lv-LV"/>
              </w:rPr>
              <w:t>FM</w:t>
            </w:r>
          </w:p>
        </w:tc>
        <w:tc>
          <w:tcPr>
            <w:tcW w:w="1417" w:type="dxa"/>
          </w:tcPr>
          <w:p w14:paraId="0269BD18" w14:textId="5253A454" w:rsidR="00CE0303" w:rsidRPr="00CE0303" w:rsidRDefault="00E55A64"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E55A64">
              <w:rPr>
                <w:rFonts w:eastAsiaTheme="minorHAnsi"/>
                <w:lang w:val="lv-LV"/>
              </w:rPr>
              <w:t>43 166 562</w:t>
            </w:r>
          </w:p>
        </w:tc>
        <w:tc>
          <w:tcPr>
            <w:tcW w:w="1701" w:type="dxa"/>
          </w:tcPr>
          <w:p w14:paraId="2D87FE0A" w14:textId="0232BF74" w:rsidR="00CE0303" w:rsidRPr="00CE0303" w:rsidRDefault="00DF0D94"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Pr>
                <w:rFonts w:eastAsiaTheme="minorHAnsi"/>
                <w:lang w:val="lv-LV"/>
              </w:rPr>
              <w:t>5 643 563</w:t>
            </w:r>
          </w:p>
        </w:tc>
        <w:tc>
          <w:tcPr>
            <w:tcW w:w="1418" w:type="dxa"/>
          </w:tcPr>
          <w:p w14:paraId="55298194" w14:textId="10A15569" w:rsidR="00CE0303" w:rsidRPr="00CE0303" w:rsidRDefault="00E55A64"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E55A64">
              <w:rPr>
                <w:rFonts w:eastAsiaTheme="minorHAnsi"/>
                <w:lang w:val="lv-LV"/>
              </w:rPr>
              <w:t>4 344 906</w:t>
            </w:r>
          </w:p>
        </w:tc>
      </w:tr>
      <w:tr w:rsidR="00CE0303" w:rsidRPr="00CE0303" w14:paraId="119DA9B7"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6A3985CC" w14:textId="77777777" w:rsidR="00CE0303" w:rsidRPr="00CE0303" w:rsidRDefault="00CE0303" w:rsidP="00CE0303">
            <w:pPr>
              <w:spacing w:after="0" w:line="259" w:lineRule="auto"/>
              <w:rPr>
                <w:rFonts w:eastAsiaTheme="minorHAnsi"/>
                <w:lang w:val="lv-LV"/>
              </w:rPr>
            </w:pPr>
            <w:r w:rsidRPr="00CE0303">
              <w:rPr>
                <w:rFonts w:eastAsiaTheme="minorHAnsi"/>
                <w:lang w:val="lv-LV"/>
              </w:rPr>
              <w:t>IeM</w:t>
            </w:r>
          </w:p>
        </w:tc>
        <w:tc>
          <w:tcPr>
            <w:tcW w:w="1417" w:type="dxa"/>
          </w:tcPr>
          <w:p w14:paraId="3BCEDC7E" w14:textId="20CD8F71" w:rsidR="00CE0303" w:rsidRPr="00CE0303" w:rsidRDefault="001E4DAF" w:rsidP="00580F6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1E4DAF">
              <w:rPr>
                <w:rFonts w:eastAsiaTheme="minorHAnsi"/>
                <w:lang w:val="lv-LV"/>
              </w:rPr>
              <w:t>1 635 181</w:t>
            </w:r>
          </w:p>
        </w:tc>
        <w:tc>
          <w:tcPr>
            <w:tcW w:w="1701" w:type="dxa"/>
          </w:tcPr>
          <w:p w14:paraId="09EDB182" w14:textId="04BA0D56" w:rsidR="00CE0303" w:rsidRPr="001E4DAF" w:rsidRDefault="001E4DAF" w:rsidP="001E4DA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lv-LV"/>
              </w:rPr>
            </w:pPr>
            <w:r>
              <w:rPr>
                <w:color w:val="000000"/>
              </w:rPr>
              <w:t>1 635 181</w:t>
            </w:r>
          </w:p>
        </w:tc>
        <w:tc>
          <w:tcPr>
            <w:tcW w:w="1418" w:type="dxa"/>
          </w:tcPr>
          <w:p w14:paraId="7EBF72A2" w14:textId="0698679F" w:rsidR="00CE0303" w:rsidRPr="001E4DAF" w:rsidRDefault="001E4DAF" w:rsidP="001E4DA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lv-LV"/>
              </w:rPr>
            </w:pPr>
            <w:r>
              <w:rPr>
                <w:color w:val="000000"/>
              </w:rPr>
              <w:t>1 635 181</w:t>
            </w:r>
          </w:p>
        </w:tc>
      </w:tr>
      <w:tr w:rsidR="00CE0303" w:rsidRPr="00CE0303" w14:paraId="2F5E6181"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68848481" w14:textId="77777777" w:rsidR="00CE0303" w:rsidRPr="00CE0303" w:rsidRDefault="00CE0303" w:rsidP="00CE0303">
            <w:pPr>
              <w:spacing w:after="0" w:line="259" w:lineRule="auto"/>
              <w:rPr>
                <w:rFonts w:eastAsiaTheme="minorHAnsi"/>
                <w:lang w:val="lv-LV"/>
              </w:rPr>
            </w:pPr>
            <w:r w:rsidRPr="00CE0303">
              <w:rPr>
                <w:rFonts w:eastAsiaTheme="minorHAnsi"/>
                <w:lang w:val="lv-LV"/>
              </w:rPr>
              <w:t>IZM</w:t>
            </w:r>
          </w:p>
        </w:tc>
        <w:tc>
          <w:tcPr>
            <w:tcW w:w="1417" w:type="dxa"/>
          </w:tcPr>
          <w:p w14:paraId="3EDC3D74" w14:textId="5CBB9288" w:rsidR="00CE0303" w:rsidRPr="00CE0303" w:rsidRDefault="00DF0D94"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DF0D94">
              <w:rPr>
                <w:rFonts w:eastAsiaTheme="minorHAnsi"/>
                <w:lang w:val="lv-LV"/>
              </w:rPr>
              <w:t>1 651 316</w:t>
            </w:r>
          </w:p>
        </w:tc>
        <w:tc>
          <w:tcPr>
            <w:tcW w:w="1701" w:type="dxa"/>
          </w:tcPr>
          <w:p w14:paraId="222E56E5" w14:textId="7245BC35" w:rsidR="00CE0303" w:rsidRPr="00CE0303" w:rsidRDefault="00DF0D94"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DF0D94">
              <w:rPr>
                <w:rFonts w:eastAsiaTheme="minorHAnsi"/>
                <w:lang w:val="lv-LV"/>
              </w:rPr>
              <w:t>2 334 143</w:t>
            </w:r>
          </w:p>
        </w:tc>
        <w:tc>
          <w:tcPr>
            <w:tcW w:w="1418" w:type="dxa"/>
          </w:tcPr>
          <w:p w14:paraId="66C85B2B" w14:textId="3EB07F0D" w:rsidR="00CE0303" w:rsidRPr="00CE0303" w:rsidRDefault="00DF0D94"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DF0D94">
              <w:rPr>
                <w:rFonts w:eastAsiaTheme="minorHAnsi"/>
                <w:lang w:val="lv-LV"/>
              </w:rPr>
              <w:t>2 334 143</w:t>
            </w:r>
          </w:p>
        </w:tc>
      </w:tr>
      <w:tr w:rsidR="00CE0303" w:rsidRPr="00CE0303" w14:paraId="09EAAD32"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52CF6662" w14:textId="77777777" w:rsidR="00CE0303" w:rsidRPr="00CE0303" w:rsidRDefault="00CE0303" w:rsidP="00CE0303">
            <w:pPr>
              <w:spacing w:after="0" w:line="259" w:lineRule="auto"/>
              <w:rPr>
                <w:rFonts w:eastAsiaTheme="minorHAnsi"/>
                <w:lang w:val="lv-LV"/>
              </w:rPr>
            </w:pPr>
            <w:r w:rsidRPr="00CE0303">
              <w:rPr>
                <w:rFonts w:eastAsiaTheme="minorHAnsi"/>
                <w:lang w:val="lv-LV"/>
              </w:rPr>
              <w:t>KM</w:t>
            </w:r>
          </w:p>
        </w:tc>
        <w:tc>
          <w:tcPr>
            <w:tcW w:w="1417" w:type="dxa"/>
          </w:tcPr>
          <w:p w14:paraId="7997933E" w14:textId="77777777" w:rsidR="00CE0303" w:rsidRPr="00CE0303" w:rsidRDefault="00CE0303"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400 769</w:t>
            </w:r>
          </w:p>
        </w:tc>
        <w:tc>
          <w:tcPr>
            <w:tcW w:w="1701" w:type="dxa"/>
          </w:tcPr>
          <w:p w14:paraId="46F8A2F7" w14:textId="77777777" w:rsidR="00CE0303" w:rsidRPr="00CE0303" w:rsidRDefault="00CE0303"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400 769</w:t>
            </w:r>
          </w:p>
        </w:tc>
        <w:tc>
          <w:tcPr>
            <w:tcW w:w="1418" w:type="dxa"/>
          </w:tcPr>
          <w:p w14:paraId="4B90B7DE" w14:textId="77777777" w:rsidR="00CE0303" w:rsidRPr="00CE0303" w:rsidRDefault="00CE0303"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400 769</w:t>
            </w:r>
          </w:p>
        </w:tc>
      </w:tr>
      <w:tr w:rsidR="00CE0303" w:rsidRPr="00CE0303" w14:paraId="4548961F"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0B032013" w14:textId="77777777" w:rsidR="00CE0303" w:rsidRPr="00CE0303" w:rsidRDefault="00CE0303" w:rsidP="00CE0303">
            <w:pPr>
              <w:spacing w:after="0" w:line="259" w:lineRule="auto"/>
              <w:rPr>
                <w:rFonts w:eastAsiaTheme="minorHAnsi"/>
                <w:lang w:val="lv-LV"/>
              </w:rPr>
            </w:pPr>
            <w:r w:rsidRPr="00CE0303">
              <w:rPr>
                <w:rFonts w:eastAsiaTheme="minorHAnsi"/>
                <w:lang w:val="lv-LV"/>
              </w:rPr>
              <w:t>LM</w:t>
            </w:r>
          </w:p>
        </w:tc>
        <w:tc>
          <w:tcPr>
            <w:tcW w:w="1417" w:type="dxa"/>
          </w:tcPr>
          <w:p w14:paraId="11F22244" w14:textId="77777777" w:rsidR="00CE0303" w:rsidRPr="007868F8"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7868F8">
              <w:rPr>
                <w:rFonts w:eastAsiaTheme="minorHAnsi"/>
                <w:lang w:val="lv-LV"/>
              </w:rPr>
              <w:t xml:space="preserve">3 000 </w:t>
            </w:r>
          </w:p>
        </w:tc>
        <w:tc>
          <w:tcPr>
            <w:tcW w:w="1701" w:type="dxa"/>
          </w:tcPr>
          <w:p w14:paraId="1119485F" w14:textId="77777777" w:rsidR="00CE0303" w:rsidRPr="007868F8"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7868F8">
              <w:rPr>
                <w:rFonts w:eastAsiaTheme="minorHAnsi"/>
                <w:lang w:val="lv-LV"/>
              </w:rPr>
              <w:t>3 000</w:t>
            </w:r>
          </w:p>
        </w:tc>
        <w:tc>
          <w:tcPr>
            <w:tcW w:w="1418" w:type="dxa"/>
          </w:tcPr>
          <w:p w14:paraId="11FA2ACC" w14:textId="77777777" w:rsidR="00CE0303" w:rsidRPr="007868F8"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7868F8">
              <w:rPr>
                <w:rFonts w:eastAsiaTheme="minorHAnsi"/>
                <w:lang w:val="lv-LV"/>
              </w:rPr>
              <w:t>3 000</w:t>
            </w:r>
          </w:p>
        </w:tc>
      </w:tr>
      <w:tr w:rsidR="00951C2A" w:rsidRPr="00CE0303" w14:paraId="5DC36AE8"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4FA5E710" w14:textId="7C4594A4" w:rsidR="00951C2A" w:rsidRPr="00CE0303" w:rsidRDefault="00951C2A" w:rsidP="00CE0303">
            <w:pPr>
              <w:spacing w:after="0"/>
              <w:rPr>
                <w:rFonts w:eastAsiaTheme="minorHAnsi"/>
                <w:lang w:val="lv-LV"/>
              </w:rPr>
            </w:pPr>
            <w:r>
              <w:rPr>
                <w:rFonts w:eastAsiaTheme="minorHAnsi"/>
                <w:lang w:val="lv-LV"/>
              </w:rPr>
              <w:t>SM</w:t>
            </w:r>
          </w:p>
        </w:tc>
        <w:tc>
          <w:tcPr>
            <w:tcW w:w="1417" w:type="dxa"/>
          </w:tcPr>
          <w:p w14:paraId="2A9E3152" w14:textId="7F666444" w:rsidR="00951C2A" w:rsidRPr="00CE0303" w:rsidRDefault="00D810EC"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Pr>
                <w:rFonts w:eastAsiaTheme="minorHAnsi"/>
                <w:lang w:val="lv-LV"/>
              </w:rPr>
              <w:t>154 344</w:t>
            </w:r>
          </w:p>
        </w:tc>
        <w:tc>
          <w:tcPr>
            <w:tcW w:w="1701" w:type="dxa"/>
          </w:tcPr>
          <w:p w14:paraId="11D6EED5" w14:textId="6C807319" w:rsidR="00951C2A" w:rsidRPr="00CE0303" w:rsidRDefault="00D810EC"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Pr>
                <w:rFonts w:eastAsiaTheme="minorHAnsi"/>
                <w:lang w:val="lv-LV"/>
              </w:rPr>
              <w:t>154 344</w:t>
            </w:r>
          </w:p>
        </w:tc>
        <w:tc>
          <w:tcPr>
            <w:tcW w:w="1418" w:type="dxa"/>
          </w:tcPr>
          <w:p w14:paraId="7D952543" w14:textId="367300F4" w:rsidR="00951C2A" w:rsidRPr="00CE0303" w:rsidRDefault="00D810EC"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Pr>
                <w:rFonts w:eastAsiaTheme="minorHAnsi"/>
                <w:lang w:val="lv-LV"/>
              </w:rPr>
              <w:t>154 344</w:t>
            </w:r>
          </w:p>
        </w:tc>
      </w:tr>
      <w:tr w:rsidR="00CE0303" w:rsidRPr="00CE0303" w14:paraId="608C1676"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0CB3FE14" w14:textId="77777777" w:rsidR="00CE0303" w:rsidRPr="00CE0303" w:rsidRDefault="00CE0303" w:rsidP="00CE0303">
            <w:pPr>
              <w:spacing w:after="0" w:line="259" w:lineRule="auto"/>
              <w:rPr>
                <w:rFonts w:eastAsiaTheme="minorHAnsi"/>
                <w:lang w:val="lv-LV"/>
              </w:rPr>
            </w:pPr>
            <w:r w:rsidRPr="00CE0303">
              <w:rPr>
                <w:rFonts w:eastAsiaTheme="minorHAnsi"/>
                <w:lang w:val="lv-LV"/>
              </w:rPr>
              <w:t>TM</w:t>
            </w:r>
          </w:p>
        </w:tc>
        <w:tc>
          <w:tcPr>
            <w:tcW w:w="1417" w:type="dxa"/>
          </w:tcPr>
          <w:p w14:paraId="7026FE6F"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46 039 310</w:t>
            </w:r>
          </w:p>
        </w:tc>
        <w:tc>
          <w:tcPr>
            <w:tcW w:w="1701" w:type="dxa"/>
          </w:tcPr>
          <w:p w14:paraId="22FBD8DE"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7 622 962</w:t>
            </w:r>
          </w:p>
        </w:tc>
        <w:tc>
          <w:tcPr>
            <w:tcW w:w="1418" w:type="dxa"/>
          </w:tcPr>
          <w:p w14:paraId="32BB8FE5"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7 622 962</w:t>
            </w:r>
          </w:p>
        </w:tc>
      </w:tr>
      <w:tr w:rsidR="001E4DAF" w:rsidRPr="00CE0303" w14:paraId="37603890"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75832024" w14:textId="11C41100" w:rsidR="001E4DAF" w:rsidRPr="00CE0303" w:rsidRDefault="001E4DAF" w:rsidP="00CE0303">
            <w:pPr>
              <w:spacing w:after="0"/>
              <w:rPr>
                <w:rFonts w:eastAsiaTheme="minorHAnsi"/>
                <w:lang w:val="lv-LV"/>
              </w:rPr>
            </w:pPr>
            <w:r>
              <w:rPr>
                <w:rFonts w:eastAsiaTheme="minorHAnsi"/>
                <w:lang w:val="lv-LV"/>
              </w:rPr>
              <w:t>VM</w:t>
            </w:r>
          </w:p>
        </w:tc>
        <w:tc>
          <w:tcPr>
            <w:tcW w:w="1417" w:type="dxa"/>
          </w:tcPr>
          <w:p w14:paraId="4274F6BF" w14:textId="49E1F977" w:rsidR="001E4DAF" w:rsidRPr="00CE0303" w:rsidRDefault="009D468E" w:rsidP="001E4DAF">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Pr>
                <w:rFonts w:eastAsiaTheme="minorHAnsi"/>
                <w:lang w:val="lv-LV"/>
              </w:rPr>
              <w:t>252 92</w:t>
            </w:r>
            <w:r w:rsidR="001E4DAF">
              <w:rPr>
                <w:rFonts w:eastAsiaTheme="minorHAnsi"/>
                <w:lang w:val="lv-LV"/>
              </w:rPr>
              <w:t>1</w:t>
            </w:r>
          </w:p>
        </w:tc>
        <w:tc>
          <w:tcPr>
            <w:tcW w:w="1701" w:type="dxa"/>
          </w:tcPr>
          <w:p w14:paraId="1C2AC5FF" w14:textId="3177173D" w:rsidR="001E4DAF" w:rsidRPr="00CE0303" w:rsidRDefault="009D468E"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Pr>
                <w:rFonts w:eastAsiaTheme="minorHAnsi"/>
                <w:lang w:val="lv-LV"/>
              </w:rPr>
              <w:t>252 92</w:t>
            </w:r>
            <w:r w:rsidR="001E4DAF" w:rsidRPr="001E4DAF">
              <w:rPr>
                <w:rFonts w:eastAsiaTheme="minorHAnsi"/>
                <w:lang w:val="lv-LV"/>
              </w:rPr>
              <w:t>1</w:t>
            </w:r>
          </w:p>
        </w:tc>
        <w:tc>
          <w:tcPr>
            <w:tcW w:w="1418" w:type="dxa"/>
          </w:tcPr>
          <w:p w14:paraId="2FFA7B7D" w14:textId="1D18331B" w:rsidR="001E4DAF" w:rsidRPr="00CE0303" w:rsidRDefault="001E4DAF"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Pr>
                <w:rFonts w:eastAsiaTheme="minorHAnsi"/>
                <w:lang w:val="lv-LV"/>
              </w:rPr>
              <w:t>0</w:t>
            </w:r>
          </w:p>
        </w:tc>
      </w:tr>
      <w:tr w:rsidR="00CE0303" w:rsidRPr="00CE0303" w14:paraId="06393CDD"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794697A3" w14:textId="77777777" w:rsidR="00CE0303" w:rsidRPr="00CE0303" w:rsidRDefault="00CE0303" w:rsidP="00CE0303">
            <w:pPr>
              <w:spacing w:after="0" w:line="259" w:lineRule="auto"/>
              <w:rPr>
                <w:rFonts w:eastAsiaTheme="minorHAnsi"/>
                <w:lang w:val="lv-LV"/>
              </w:rPr>
            </w:pPr>
            <w:r w:rsidRPr="00CE0303">
              <w:rPr>
                <w:rFonts w:eastAsiaTheme="minorHAnsi"/>
                <w:lang w:val="lv-LV"/>
              </w:rPr>
              <w:t>ZM</w:t>
            </w:r>
          </w:p>
        </w:tc>
        <w:tc>
          <w:tcPr>
            <w:tcW w:w="1417" w:type="dxa"/>
          </w:tcPr>
          <w:p w14:paraId="24344233"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8 184</w:t>
            </w:r>
          </w:p>
        </w:tc>
        <w:tc>
          <w:tcPr>
            <w:tcW w:w="1701" w:type="dxa"/>
          </w:tcPr>
          <w:p w14:paraId="03DC6D48"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8 184</w:t>
            </w:r>
          </w:p>
        </w:tc>
        <w:tc>
          <w:tcPr>
            <w:tcW w:w="1418" w:type="dxa"/>
          </w:tcPr>
          <w:p w14:paraId="3A5912F6" w14:textId="77777777" w:rsidR="00CE0303" w:rsidRPr="00CE0303" w:rsidRDefault="00CE0303" w:rsidP="00CE0303">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8 184</w:t>
            </w:r>
          </w:p>
        </w:tc>
      </w:tr>
      <w:tr w:rsidR="00CE0303" w:rsidRPr="00CE0303" w14:paraId="0C1B1680"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5CE0A76D" w14:textId="77777777" w:rsidR="00CE0303" w:rsidRPr="00CE0303" w:rsidRDefault="00CE0303" w:rsidP="00CE0303">
            <w:pPr>
              <w:spacing w:after="0" w:line="259" w:lineRule="auto"/>
              <w:rPr>
                <w:rFonts w:eastAsiaTheme="minorHAnsi"/>
                <w:lang w:val="lv-LV"/>
              </w:rPr>
            </w:pPr>
            <w:r w:rsidRPr="00CE0303">
              <w:rPr>
                <w:rFonts w:eastAsiaTheme="minorHAnsi"/>
                <w:lang w:val="lv-LV"/>
              </w:rPr>
              <w:t>Kopā</w:t>
            </w:r>
          </w:p>
        </w:tc>
        <w:tc>
          <w:tcPr>
            <w:tcW w:w="1417" w:type="dxa"/>
          </w:tcPr>
          <w:p w14:paraId="3183E2D4" w14:textId="5A311077" w:rsidR="00CE0303" w:rsidRPr="0047359D" w:rsidRDefault="009D468E"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b/>
                <w:highlight w:val="yellow"/>
                <w:lang w:val="lv-LV"/>
              </w:rPr>
            </w:pPr>
            <w:r w:rsidRPr="009D468E">
              <w:rPr>
                <w:rFonts w:eastAsiaTheme="minorHAnsi"/>
                <w:b/>
                <w:lang w:val="lv-LV"/>
              </w:rPr>
              <w:t>103 904 501</w:t>
            </w:r>
          </w:p>
        </w:tc>
        <w:tc>
          <w:tcPr>
            <w:tcW w:w="1701" w:type="dxa"/>
          </w:tcPr>
          <w:p w14:paraId="2BA1BDE0" w14:textId="1808DD00" w:rsidR="00CE0303" w:rsidRPr="0047359D" w:rsidRDefault="00DF0D94"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b/>
                <w:highlight w:val="yellow"/>
                <w:lang w:val="lv-LV"/>
              </w:rPr>
            </w:pPr>
            <w:r>
              <w:rPr>
                <w:rFonts w:eastAsiaTheme="minorHAnsi"/>
                <w:b/>
                <w:lang w:val="lv-LV"/>
              </w:rPr>
              <w:t>23 592 097</w:t>
            </w:r>
          </w:p>
        </w:tc>
        <w:tc>
          <w:tcPr>
            <w:tcW w:w="1418" w:type="dxa"/>
          </w:tcPr>
          <w:p w14:paraId="76FE1290" w14:textId="6E0285D5" w:rsidR="00CE0303" w:rsidRPr="0047359D" w:rsidRDefault="009D468E" w:rsidP="00CE0303">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b/>
                <w:highlight w:val="yellow"/>
                <w:lang w:val="lv-LV"/>
              </w:rPr>
            </w:pPr>
            <w:r w:rsidRPr="009D468E">
              <w:rPr>
                <w:rFonts w:eastAsiaTheme="minorHAnsi"/>
                <w:b/>
                <w:lang w:val="lv-LV"/>
              </w:rPr>
              <w:t>21 480 187</w:t>
            </w:r>
          </w:p>
        </w:tc>
      </w:tr>
    </w:tbl>
    <w:p w14:paraId="063AED77" w14:textId="77777777" w:rsidR="00CE0303" w:rsidRPr="00CE0303" w:rsidRDefault="00CE0303" w:rsidP="00CE0303">
      <w:pPr>
        <w:ind w:firstLine="720"/>
        <w:rPr>
          <w:rFonts w:eastAsiaTheme="minorHAnsi"/>
          <w:lang w:val="lv-LV"/>
        </w:rPr>
      </w:pPr>
    </w:p>
    <w:p w14:paraId="1DB4B437" w14:textId="4D7A350A" w:rsidR="00CE0303" w:rsidRPr="00CE0303" w:rsidRDefault="00CE0303" w:rsidP="00CE0303">
      <w:pPr>
        <w:ind w:firstLine="720"/>
        <w:rPr>
          <w:rFonts w:eastAsiaTheme="minorHAnsi"/>
          <w:lang w:val="lv-LV"/>
        </w:rPr>
      </w:pPr>
      <w:r w:rsidRPr="00CE0303">
        <w:rPr>
          <w:rFonts w:eastAsiaTheme="minorHAnsi"/>
          <w:lang w:val="lv-LV"/>
        </w:rPr>
        <w:t xml:space="preserve">Paralēli izdevumu pārskatīšanas ietvaros tika veikta izdevumu neizpildes analīze, kurai tika pakļautas tās pamatbudžeta pamatfunkciju programmas/apakšprogrammas, kurās trīs gadu laika periodā no 2018. līdz 2020. gadam katru gadu konstatēta izdevumu neizpilde pret sākotnējo plānu vismaz 10 000 </w:t>
      </w:r>
      <w:r w:rsidRPr="00CE0303">
        <w:rPr>
          <w:rFonts w:eastAsiaTheme="minorHAnsi"/>
          <w:i/>
          <w:lang w:val="lv-LV"/>
        </w:rPr>
        <w:t>euro</w:t>
      </w:r>
      <w:r w:rsidRPr="00CE0303">
        <w:rPr>
          <w:rFonts w:eastAsiaTheme="minorHAnsi"/>
          <w:lang w:val="lv-LV"/>
        </w:rPr>
        <w:t xml:space="preserve"> apmērā vai 15% apmērā un kuras turpinās pēc 2021. gada.</w:t>
      </w:r>
    </w:p>
    <w:p w14:paraId="38726E7C" w14:textId="3D730DD5" w:rsidR="00CE0303" w:rsidRPr="00CE0303" w:rsidRDefault="00CE0303" w:rsidP="00CE0303">
      <w:pPr>
        <w:ind w:firstLine="720"/>
        <w:rPr>
          <w:rFonts w:eastAsiaTheme="minorHAnsi"/>
          <w:lang w:val="lv-LV"/>
        </w:rPr>
      </w:pPr>
      <w:r w:rsidRPr="00CE0303">
        <w:rPr>
          <w:rFonts w:eastAsiaTheme="minorHAnsi"/>
          <w:lang w:val="lv-LV"/>
        </w:rPr>
        <w:t>Analīzē netika aplūkotas tās ministriju budžeta programmas/apakšprogrammas, kuras veido ieņēmumi no valsts nodevām. Šajā sadaļā netiek iekļauta VARAM programma 31.00.00 “Atbalsts plānošanas reģioniem” izdevumu neizpildes analīze, jo tā tiek analizēta kontekstā ar diasporas jautājumiem un potenciālais iekšējais resurss norādīts informatīvā ziņojuma sadaļā 3.3. Diasporas pasākumu īstenošanai piešķirtā finansējuma analīze.</w:t>
      </w:r>
    </w:p>
    <w:p w14:paraId="19054FFC" w14:textId="1566B4A5" w:rsidR="00CE0303" w:rsidRPr="00CE0303" w:rsidRDefault="00CE0303" w:rsidP="00CE0303">
      <w:pPr>
        <w:ind w:firstLine="720"/>
        <w:rPr>
          <w:rFonts w:eastAsiaTheme="minorHAnsi"/>
          <w:lang w:val="lv-LV"/>
        </w:rPr>
      </w:pPr>
      <w:r w:rsidRPr="00CE0303">
        <w:rPr>
          <w:rFonts w:eastAsiaTheme="minorHAnsi"/>
          <w:lang w:val="lv-LV"/>
        </w:rPr>
        <w:t>Veiktās pamatbudžeta pamatfu</w:t>
      </w:r>
      <w:r w:rsidR="00D31BE1">
        <w:rPr>
          <w:rFonts w:eastAsiaTheme="minorHAnsi"/>
          <w:lang w:val="lv-LV"/>
        </w:rPr>
        <w:t xml:space="preserve">nkciju programmu/apakšprogrammu </w:t>
      </w:r>
      <w:r w:rsidRPr="00CE0303">
        <w:rPr>
          <w:rFonts w:eastAsiaTheme="minorHAnsi"/>
          <w:lang w:val="lv-LV"/>
        </w:rPr>
        <w:t xml:space="preserve">izdevumu neizpildes analīzes rezultātā potenciālais iekšējais resurss kopā sasniedz </w:t>
      </w:r>
      <w:r w:rsidR="00470219" w:rsidRPr="007F7266">
        <w:rPr>
          <w:rFonts w:eastAsiaTheme="minorHAnsi"/>
          <w:b/>
          <w:lang w:val="lv-LV"/>
        </w:rPr>
        <w:t>14,2</w:t>
      </w:r>
      <w:r w:rsidR="00052832" w:rsidRPr="007F7266">
        <w:rPr>
          <w:rFonts w:eastAsiaTheme="minorHAnsi"/>
          <w:b/>
          <w:lang w:val="lv-LV"/>
        </w:rPr>
        <w:t xml:space="preserve"> </w:t>
      </w:r>
      <w:r w:rsidRPr="007F7266">
        <w:rPr>
          <w:rFonts w:eastAsiaTheme="minorHAnsi"/>
          <w:b/>
          <w:lang w:val="lv-LV"/>
        </w:rPr>
        <w:t xml:space="preserve">milj. </w:t>
      </w:r>
      <w:r w:rsidRPr="007F7266">
        <w:rPr>
          <w:rFonts w:eastAsiaTheme="minorHAnsi"/>
          <w:b/>
          <w:i/>
          <w:lang w:val="lv-LV"/>
        </w:rPr>
        <w:t>euro</w:t>
      </w:r>
      <w:r w:rsidRPr="00CE0303">
        <w:rPr>
          <w:rFonts w:eastAsiaTheme="minorHAnsi"/>
          <w:lang w:val="lv-LV"/>
        </w:rPr>
        <w:t>.</w:t>
      </w:r>
    </w:p>
    <w:p w14:paraId="7BDA2E37" w14:textId="0982DB1A" w:rsidR="00CE0303" w:rsidRPr="00CE0303" w:rsidRDefault="00CE0303" w:rsidP="003B3AA2">
      <w:pPr>
        <w:jc w:val="center"/>
        <w:rPr>
          <w:rFonts w:cs="Times New Roman"/>
          <w:b/>
          <w:bCs/>
          <w:sz w:val="22"/>
          <w:lang w:val="lv-LV"/>
        </w:rPr>
      </w:pPr>
      <w:r w:rsidRPr="00CE0303">
        <w:rPr>
          <w:rFonts w:cs="Times New Roman"/>
          <w:b/>
          <w:bCs/>
          <w:i/>
          <w:iCs/>
          <w:sz w:val="22"/>
          <w:lang w:val="lv-LV"/>
        </w:rPr>
        <w:t>2.2.2. tabula</w:t>
      </w:r>
      <w:r w:rsidRPr="00CE0303">
        <w:rPr>
          <w:rFonts w:cs="Times New Roman"/>
          <w:b/>
          <w:bCs/>
          <w:sz w:val="22"/>
          <w:lang w:val="lv-LV"/>
        </w:rPr>
        <w:t xml:space="preserve"> </w:t>
      </w:r>
      <w:r w:rsidR="00D31BE1">
        <w:rPr>
          <w:rFonts w:cs="Times New Roman"/>
          <w:b/>
          <w:bCs/>
          <w:sz w:val="22"/>
          <w:lang w:val="lv-LV"/>
        </w:rPr>
        <w:t>I</w:t>
      </w:r>
      <w:r w:rsidRPr="00CE0303">
        <w:rPr>
          <w:rFonts w:cs="Times New Roman"/>
          <w:b/>
          <w:bCs/>
          <w:sz w:val="22"/>
          <w:lang w:val="lv-LV"/>
        </w:rPr>
        <w:t xml:space="preserve">zdevumu neizpildes analīzes rezultāti, </w:t>
      </w:r>
      <w:r w:rsidRPr="00CE0303">
        <w:rPr>
          <w:rFonts w:cs="Times New Roman"/>
          <w:b/>
          <w:bCs/>
          <w:i/>
          <w:sz w:val="22"/>
          <w:lang w:val="lv-LV"/>
        </w:rPr>
        <w:t>euro</w:t>
      </w:r>
    </w:p>
    <w:tbl>
      <w:tblPr>
        <w:tblStyle w:val="GridTable4-Accent2"/>
        <w:tblW w:w="0" w:type="auto"/>
        <w:jc w:val="center"/>
        <w:tblLook w:val="04A0" w:firstRow="1" w:lastRow="0" w:firstColumn="1" w:lastColumn="0" w:noHBand="0" w:noVBand="1"/>
      </w:tblPr>
      <w:tblGrid>
        <w:gridCol w:w="1136"/>
        <w:gridCol w:w="1417"/>
        <w:gridCol w:w="1701"/>
      </w:tblGrid>
      <w:tr w:rsidR="00CE0303" w:rsidRPr="00CE0303" w14:paraId="27D7D7EA" w14:textId="77777777" w:rsidTr="003B3AA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136" w:type="dxa"/>
          </w:tcPr>
          <w:p w14:paraId="7C2BF29B" w14:textId="77777777" w:rsidR="00CE0303" w:rsidRPr="00CE0303" w:rsidRDefault="00CE0303" w:rsidP="00CE0303">
            <w:pPr>
              <w:rPr>
                <w:rFonts w:eastAsiaTheme="minorHAnsi"/>
                <w:lang w:val="lv-LV"/>
              </w:rPr>
            </w:pPr>
          </w:p>
        </w:tc>
        <w:tc>
          <w:tcPr>
            <w:tcW w:w="1417" w:type="dxa"/>
          </w:tcPr>
          <w:p w14:paraId="3D07239D" w14:textId="77777777" w:rsidR="00CE0303" w:rsidRPr="00CE0303" w:rsidRDefault="00CE0303" w:rsidP="00CE0303">
            <w:pPr>
              <w:jc w:val="center"/>
              <w:cnfStyle w:val="100000000000" w:firstRow="1"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2022</w:t>
            </w:r>
          </w:p>
        </w:tc>
        <w:tc>
          <w:tcPr>
            <w:tcW w:w="1701" w:type="dxa"/>
          </w:tcPr>
          <w:p w14:paraId="55EE08E3" w14:textId="77777777" w:rsidR="00CE0303" w:rsidRPr="00CE0303" w:rsidRDefault="00CE0303" w:rsidP="00CE0303">
            <w:pPr>
              <w:jc w:val="center"/>
              <w:cnfStyle w:val="100000000000" w:firstRow="1"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2023</w:t>
            </w:r>
          </w:p>
        </w:tc>
      </w:tr>
      <w:tr w:rsidR="00CE0303" w:rsidRPr="00CE0303" w14:paraId="4EAC4A17"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1E82F19E" w14:textId="77777777" w:rsidR="00CE0303" w:rsidRPr="00CE0303" w:rsidRDefault="00CE0303" w:rsidP="00CE0303">
            <w:pPr>
              <w:spacing w:after="0"/>
              <w:jc w:val="left"/>
              <w:rPr>
                <w:rFonts w:eastAsiaTheme="minorHAnsi"/>
                <w:lang w:val="lv-LV"/>
              </w:rPr>
            </w:pPr>
            <w:r w:rsidRPr="00CE0303">
              <w:rPr>
                <w:rFonts w:eastAsiaTheme="minorHAnsi"/>
                <w:lang w:val="lv-LV"/>
              </w:rPr>
              <w:t>AiM</w:t>
            </w:r>
          </w:p>
        </w:tc>
        <w:tc>
          <w:tcPr>
            <w:tcW w:w="1417" w:type="dxa"/>
          </w:tcPr>
          <w:p w14:paraId="207C0A6D"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598 670</w:t>
            </w:r>
          </w:p>
        </w:tc>
        <w:tc>
          <w:tcPr>
            <w:tcW w:w="1701" w:type="dxa"/>
          </w:tcPr>
          <w:p w14:paraId="51A8AAC6"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598 670</w:t>
            </w:r>
          </w:p>
        </w:tc>
      </w:tr>
      <w:tr w:rsidR="00CE0303" w:rsidRPr="00CE0303" w14:paraId="4C753DF8"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42A33E3B" w14:textId="77777777" w:rsidR="00CE0303" w:rsidRPr="00CE0303" w:rsidRDefault="00CE0303" w:rsidP="00CE0303">
            <w:pPr>
              <w:spacing w:after="0"/>
              <w:jc w:val="left"/>
              <w:rPr>
                <w:rFonts w:eastAsiaTheme="minorHAnsi"/>
                <w:lang w:val="lv-LV"/>
              </w:rPr>
            </w:pPr>
            <w:r w:rsidRPr="00CE0303">
              <w:rPr>
                <w:rFonts w:eastAsiaTheme="minorHAnsi"/>
                <w:lang w:val="lv-LV"/>
              </w:rPr>
              <w:t>ĀM</w:t>
            </w:r>
          </w:p>
        </w:tc>
        <w:tc>
          <w:tcPr>
            <w:tcW w:w="1417" w:type="dxa"/>
            <w:vAlign w:val="bottom"/>
          </w:tcPr>
          <w:p w14:paraId="0B972A2A"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cs="Times New Roman"/>
                <w:lang w:val="lv-LV"/>
              </w:rPr>
            </w:pPr>
            <w:r w:rsidRPr="00CE0303">
              <w:rPr>
                <w:rFonts w:eastAsiaTheme="minorHAnsi" w:cs="Times New Roman"/>
                <w:color w:val="000000"/>
                <w:lang w:val="lv-LV"/>
              </w:rPr>
              <w:t>1 084 280</w:t>
            </w:r>
          </w:p>
        </w:tc>
        <w:tc>
          <w:tcPr>
            <w:tcW w:w="1701" w:type="dxa"/>
            <w:vAlign w:val="bottom"/>
          </w:tcPr>
          <w:p w14:paraId="413940BC"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cs="Times New Roman"/>
                <w:lang w:val="lv-LV"/>
              </w:rPr>
            </w:pPr>
            <w:r w:rsidRPr="00CE0303">
              <w:rPr>
                <w:rFonts w:eastAsiaTheme="minorHAnsi" w:cs="Times New Roman"/>
                <w:color w:val="000000"/>
                <w:lang w:val="lv-LV"/>
              </w:rPr>
              <w:t>1 084 280</w:t>
            </w:r>
          </w:p>
        </w:tc>
      </w:tr>
      <w:tr w:rsidR="00CE0303" w:rsidRPr="00CE0303" w14:paraId="06AEF30F"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8D72C7C" w14:textId="77777777" w:rsidR="00CE0303" w:rsidRPr="00CE0303" w:rsidRDefault="00CE0303" w:rsidP="00CE0303">
            <w:pPr>
              <w:spacing w:after="0"/>
              <w:jc w:val="left"/>
              <w:rPr>
                <w:rFonts w:eastAsiaTheme="minorHAnsi"/>
                <w:lang w:val="lv-LV"/>
              </w:rPr>
            </w:pPr>
            <w:r w:rsidRPr="00CE0303">
              <w:rPr>
                <w:rFonts w:eastAsiaTheme="minorHAnsi"/>
                <w:lang w:val="lv-LV"/>
              </w:rPr>
              <w:t>EM</w:t>
            </w:r>
          </w:p>
        </w:tc>
        <w:tc>
          <w:tcPr>
            <w:tcW w:w="1417" w:type="dxa"/>
          </w:tcPr>
          <w:p w14:paraId="01D25F47"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720 128</w:t>
            </w:r>
          </w:p>
        </w:tc>
        <w:tc>
          <w:tcPr>
            <w:tcW w:w="1701" w:type="dxa"/>
          </w:tcPr>
          <w:p w14:paraId="7E9DCC2E"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720 128</w:t>
            </w:r>
          </w:p>
        </w:tc>
      </w:tr>
      <w:tr w:rsidR="00CE0303" w:rsidRPr="00CE0303" w14:paraId="2E671A64"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00AF31B0" w14:textId="77777777" w:rsidR="00CE0303" w:rsidRPr="00CE0303" w:rsidRDefault="00CE0303" w:rsidP="00CE0303">
            <w:pPr>
              <w:spacing w:after="0"/>
              <w:jc w:val="left"/>
              <w:rPr>
                <w:rFonts w:eastAsiaTheme="minorHAnsi"/>
                <w:lang w:val="lv-LV"/>
              </w:rPr>
            </w:pPr>
            <w:r w:rsidRPr="00CE0303">
              <w:rPr>
                <w:rFonts w:eastAsiaTheme="minorHAnsi"/>
                <w:lang w:val="lv-LV"/>
              </w:rPr>
              <w:t>FM</w:t>
            </w:r>
          </w:p>
        </w:tc>
        <w:tc>
          <w:tcPr>
            <w:tcW w:w="1417" w:type="dxa"/>
          </w:tcPr>
          <w:p w14:paraId="5C11D8FE"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833 603</w:t>
            </w:r>
          </w:p>
        </w:tc>
        <w:tc>
          <w:tcPr>
            <w:tcW w:w="1701" w:type="dxa"/>
          </w:tcPr>
          <w:p w14:paraId="33BE80FC"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833 603</w:t>
            </w:r>
          </w:p>
        </w:tc>
      </w:tr>
      <w:tr w:rsidR="00CE0303" w:rsidRPr="00CE0303" w14:paraId="1C147AC4"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46C35CF" w14:textId="77777777" w:rsidR="00CE0303" w:rsidRPr="00CE0303" w:rsidRDefault="00CE0303" w:rsidP="00CE0303">
            <w:pPr>
              <w:spacing w:after="0"/>
              <w:jc w:val="left"/>
              <w:rPr>
                <w:rFonts w:eastAsiaTheme="minorHAnsi"/>
                <w:lang w:val="lv-LV"/>
              </w:rPr>
            </w:pPr>
            <w:r w:rsidRPr="00CE0303">
              <w:rPr>
                <w:rFonts w:eastAsiaTheme="minorHAnsi"/>
                <w:lang w:val="lv-LV"/>
              </w:rPr>
              <w:t>IeM</w:t>
            </w:r>
          </w:p>
        </w:tc>
        <w:tc>
          <w:tcPr>
            <w:tcW w:w="1417" w:type="dxa"/>
          </w:tcPr>
          <w:p w14:paraId="06592AFB" w14:textId="644A0FC2" w:rsidR="00CE0303" w:rsidRPr="00CE0303" w:rsidRDefault="00470219"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470219">
              <w:rPr>
                <w:rFonts w:eastAsiaTheme="minorHAnsi"/>
                <w:lang w:val="lv-LV"/>
              </w:rPr>
              <w:t>746 344</w:t>
            </w:r>
          </w:p>
        </w:tc>
        <w:tc>
          <w:tcPr>
            <w:tcW w:w="1701" w:type="dxa"/>
          </w:tcPr>
          <w:p w14:paraId="25D29E6D" w14:textId="0FCBB9BB" w:rsidR="00CE0303" w:rsidRPr="00CE0303" w:rsidRDefault="00470219"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470219">
              <w:rPr>
                <w:rFonts w:eastAsiaTheme="minorHAnsi"/>
                <w:lang w:val="lv-LV"/>
              </w:rPr>
              <w:t>746 344</w:t>
            </w:r>
          </w:p>
        </w:tc>
      </w:tr>
      <w:tr w:rsidR="00CE0303" w:rsidRPr="00CE0303" w14:paraId="0396DFC7"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58B66966" w14:textId="77777777" w:rsidR="00CE0303" w:rsidRPr="00CE0303" w:rsidRDefault="00CE0303" w:rsidP="00CE0303">
            <w:pPr>
              <w:spacing w:after="0"/>
              <w:jc w:val="left"/>
              <w:rPr>
                <w:rFonts w:eastAsiaTheme="minorHAnsi"/>
                <w:lang w:val="lv-LV"/>
              </w:rPr>
            </w:pPr>
            <w:r w:rsidRPr="00CE0303">
              <w:rPr>
                <w:rFonts w:eastAsiaTheme="minorHAnsi"/>
                <w:lang w:val="lv-LV"/>
              </w:rPr>
              <w:t>IZM</w:t>
            </w:r>
          </w:p>
        </w:tc>
        <w:tc>
          <w:tcPr>
            <w:tcW w:w="1417" w:type="dxa"/>
          </w:tcPr>
          <w:p w14:paraId="68F650BC"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13 753</w:t>
            </w:r>
          </w:p>
        </w:tc>
        <w:tc>
          <w:tcPr>
            <w:tcW w:w="1701" w:type="dxa"/>
          </w:tcPr>
          <w:p w14:paraId="4C841E9A"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13 753</w:t>
            </w:r>
          </w:p>
        </w:tc>
      </w:tr>
      <w:tr w:rsidR="00CE0303" w:rsidRPr="00CE0303" w14:paraId="17D3AFD6"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E138300" w14:textId="77777777" w:rsidR="00CE0303" w:rsidRPr="00CE0303" w:rsidRDefault="00CE0303" w:rsidP="00CE0303">
            <w:pPr>
              <w:spacing w:after="0"/>
              <w:jc w:val="left"/>
              <w:rPr>
                <w:rFonts w:eastAsiaTheme="minorHAnsi"/>
                <w:lang w:val="lv-LV"/>
              </w:rPr>
            </w:pPr>
            <w:r w:rsidRPr="00CE0303">
              <w:rPr>
                <w:rFonts w:eastAsiaTheme="minorHAnsi"/>
                <w:lang w:val="lv-LV"/>
              </w:rPr>
              <w:t>LM</w:t>
            </w:r>
          </w:p>
        </w:tc>
        <w:tc>
          <w:tcPr>
            <w:tcW w:w="1417" w:type="dxa"/>
          </w:tcPr>
          <w:p w14:paraId="5D956932"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8 062 588</w:t>
            </w:r>
          </w:p>
        </w:tc>
        <w:tc>
          <w:tcPr>
            <w:tcW w:w="1701" w:type="dxa"/>
          </w:tcPr>
          <w:p w14:paraId="47F186F8"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8 062 588</w:t>
            </w:r>
          </w:p>
        </w:tc>
      </w:tr>
      <w:tr w:rsidR="00CE0303" w:rsidRPr="00CE0303" w14:paraId="24882D7D"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2F0D731E" w14:textId="77777777" w:rsidR="00CE0303" w:rsidRPr="00CE0303" w:rsidRDefault="00CE0303" w:rsidP="00CE0303">
            <w:pPr>
              <w:spacing w:after="0"/>
              <w:jc w:val="left"/>
              <w:rPr>
                <w:rFonts w:eastAsiaTheme="minorHAnsi"/>
                <w:lang w:val="lv-LV"/>
              </w:rPr>
            </w:pPr>
            <w:r w:rsidRPr="00CE0303">
              <w:rPr>
                <w:rFonts w:eastAsiaTheme="minorHAnsi"/>
                <w:lang w:val="lv-LV"/>
              </w:rPr>
              <w:t>PKC</w:t>
            </w:r>
          </w:p>
        </w:tc>
        <w:tc>
          <w:tcPr>
            <w:tcW w:w="1417" w:type="dxa"/>
          </w:tcPr>
          <w:p w14:paraId="32061F97"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401 768</w:t>
            </w:r>
          </w:p>
        </w:tc>
        <w:tc>
          <w:tcPr>
            <w:tcW w:w="1701" w:type="dxa"/>
          </w:tcPr>
          <w:p w14:paraId="2FF6A798"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401 768</w:t>
            </w:r>
          </w:p>
        </w:tc>
      </w:tr>
      <w:tr w:rsidR="00CE0303" w:rsidRPr="00CE0303" w14:paraId="2B3D3165"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1745E1E4" w14:textId="77777777" w:rsidR="00CE0303" w:rsidRPr="00CE0303" w:rsidRDefault="00CE0303" w:rsidP="00CE0303">
            <w:pPr>
              <w:spacing w:after="0"/>
              <w:jc w:val="left"/>
              <w:rPr>
                <w:rFonts w:eastAsiaTheme="minorHAnsi"/>
                <w:lang w:val="lv-LV"/>
              </w:rPr>
            </w:pPr>
            <w:r w:rsidRPr="00CE0303">
              <w:rPr>
                <w:rFonts w:eastAsiaTheme="minorHAnsi"/>
                <w:lang w:val="lv-LV"/>
              </w:rPr>
              <w:t>SIF</w:t>
            </w:r>
          </w:p>
        </w:tc>
        <w:tc>
          <w:tcPr>
            <w:tcW w:w="1417" w:type="dxa"/>
          </w:tcPr>
          <w:p w14:paraId="6EF79442"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33 171</w:t>
            </w:r>
          </w:p>
        </w:tc>
        <w:tc>
          <w:tcPr>
            <w:tcW w:w="1701" w:type="dxa"/>
          </w:tcPr>
          <w:p w14:paraId="2AFF9D2B"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33 171</w:t>
            </w:r>
          </w:p>
        </w:tc>
      </w:tr>
      <w:tr w:rsidR="00CE0303" w:rsidRPr="00CE0303" w14:paraId="56180458"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659CC110" w14:textId="77777777" w:rsidR="00CE0303" w:rsidRPr="00CE0303" w:rsidRDefault="00CE0303" w:rsidP="00CE0303">
            <w:pPr>
              <w:spacing w:after="0"/>
              <w:jc w:val="left"/>
              <w:rPr>
                <w:rFonts w:eastAsiaTheme="minorHAnsi"/>
                <w:lang w:val="lv-LV"/>
              </w:rPr>
            </w:pPr>
            <w:r w:rsidRPr="00CE0303">
              <w:rPr>
                <w:rFonts w:eastAsiaTheme="minorHAnsi"/>
                <w:lang w:val="lv-LV"/>
              </w:rPr>
              <w:t>SM</w:t>
            </w:r>
          </w:p>
        </w:tc>
        <w:tc>
          <w:tcPr>
            <w:tcW w:w="1417" w:type="dxa"/>
          </w:tcPr>
          <w:p w14:paraId="49A766B1" w14:textId="0DB378F7" w:rsidR="00CE0303" w:rsidRPr="00CE0303" w:rsidRDefault="00052832"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Pr>
                <w:rFonts w:eastAsiaTheme="minorHAnsi"/>
                <w:lang w:val="lv-LV"/>
              </w:rPr>
              <w:t>0</w:t>
            </w:r>
          </w:p>
        </w:tc>
        <w:tc>
          <w:tcPr>
            <w:tcW w:w="1701" w:type="dxa"/>
          </w:tcPr>
          <w:p w14:paraId="361B7303" w14:textId="57EC05DB" w:rsidR="00CE0303" w:rsidRPr="00CE0303" w:rsidRDefault="00052832"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Pr>
                <w:rFonts w:eastAsiaTheme="minorHAnsi"/>
                <w:lang w:val="lv-LV"/>
              </w:rPr>
              <w:t>0</w:t>
            </w:r>
          </w:p>
        </w:tc>
      </w:tr>
      <w:tr w:rsidR="00CE0303" w:rsidRPr="00CE0303" w14:paraId="7C15391E"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726B7E08" w14:textId="77777777" w:rsidR="00CE0303" w:rsidRPr="00CE0303" w:rsidRDefault="00CE0303" w:rsidP="00CE0303">
            <w:pPr>
              <w:spacing w:after="0"/>
              <w:jc w:val="left"/>
              <w:rPr>
                <w:rFonts w:eastAsiaTheme="minorHAnsi"/>
                <w:lang w:val="lv-LV"/>
              </w:rPr>
            </w:pPr>
            <w:r w:rsidRPr="00CE0303">
              <w:rPr>
                <w:rFonts w:eastAsiaTheme="minorHAnsi"/>
                <w:lang w:val="lv-LV"/>
              </w:rPr>
              <w:t>TM</w:t>
            </w:r>
          </w:p>
        </w:tc>
        <w:tc>
          <w:tcPr>
            <w:tcW w:w="1417" w:type="dxa"/>
          </w:tcPr>
          <w:p w14:paraId="20CEDF7C"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1 543 546</w:t>
            </w:r>
          </w:p>
        </w:tc>
        <w:tc>
          <w:tcPr>
            <w:tcW w:w="1701" w:type="dxa"/>
          </w:tcPr>
          <w:p w14:paraId="3B606526" w14:textId="77777777" w:rsidR="00CE0303" w:rsidRPr="00CE0303" w:rsidRDefault="00CE0303" w:rsidP="00CE0303">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lang w:val="lv-LV"/>
              </w:rPr>
            </w:pPr>
            <w:r w:rsidRPr="00CE0303">
              <w:rPr>
                <w:rFonts w:eastAsiaTheme="minorHAnsi"/>
                <w:lang w:val="lv-LV"/>
              </w:rPr>
              <w:t>1 543 546</w:t>
            </w:r>
          </w:p>
        </w:tc>
      </w:tr>
      <w:tr w:rsidR="00CE0303" w:rsidRPr="00CE0303" w14:paraId="0EF013F5" w14:textId="77777777" w:rsidTr="00CE0303">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553D3DB1" w14:textId="77777777" w:rsidR="00CE0303" w:rsidRPr="00CE0303" w:rsidRDefault="00CE0303" w:rsidP="00CE0303">
            <w:pPr>
              <w:spacing w:after="0"/>
              <w:jc w:val="left"/>
              <w:rPr>
                <w:rFonts w:eastAsiaTheme="minorHAnsi"/>
                <w:lang w:val="lv-LV"/>
              </w:rPr>
            </w:pPr>
            <w:r w:rsidRPr="00CE0303">
              <w:rPr>
                <w:rFonts w:eastAsiaTheme="minorHAnsi"/>
                <w:lang w:val="lv-LV"/>
              </w:rPr>
              <w:t>VARAM</w:t>
            </w:r>
          </w:p>
        </w:tc>
        <w:tc>
          <w:tcPr>
            <w:tcW w:w="1417" w:type="dxa"/>
          </w:tcPr>
          <w:p w14:paraId="29748AA4"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146 080</w:t>
            </w:r>
          </w:p>
        </w:tc>
        <w:tc>
          <w:tcPr>
            <w:tcW w:w="1701" w:type="dxa"/>
          </w:tcPr>
          <w:p w14:paraId="76F77929" w14:textId="77777777" w:rsidR="00CE0303" w:rsidRPr="00CE0303" w:rsidRDefault="00CE0303" w:rsidP="00CE0303">
            <w:pPr>
              <w:spacing w:after="0"/>
              <w:jc w:val="center"/>
              <w:cnfStyle w:val="000000000000" w:firstRow="0" w:lastRow="0" w:firstColumn="0" w:lastColumn="0" w:oddVBand="0" w:evenVBand="0" w:oddHBand="0" w:evenHBand="0" w:firstRowFirstColumn="0" w:firstRowLastColumn="0" w:lastRowFirstColumn="0" w:lastRowLastColumn="0"/>
              <w:rPr>
                <w:rFonts w:eastAsiaTheme="minorHAnsi"/>
                <w:lang w:val="lv-LV"/>
              </w:rPr>
            </w:pPr>
            <w:r w:rsidRPr="00CE0303">
              <w:rPr>
                <w:rFonts w:eastAsiaTheme="minorHAnsi"/>
                <w:lang w:val="lv-LV"/>
              </w:rPr>
              <w:t>146 080</w:t>
            </w:r>
          </w:p>
        </w:tc>
      </w:tr>
      <w:tr w:rsidR="00052832" w:rsidRPr="00CE0303" w14:paraId="78410020" w14:textId="77777777" w:rsidTr="00CE03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2B3A4D6F" w14:textId="77777777" w:rsidR="00052832" w:rsidRPr="00CE0303" w:rsidRDefault="00052832" w:rsidP="00052832">
            <w:pPr>
              <w:spacing w:after="0"/>
              <w:jc w:val="left"/>
              <w:rPr>
                <w:rFonts w:eastAsiaTheme="minorHAnsi"/>
                <w:lang w:val="lv-LV"/>
              </w:rPr>
            </w:pPr>
            <w:r w:rsidRPr="00CE0303">
              <w:rPr>
                <w:rFonts w:eastAsiaTheme="minorHAnsi"/>
                <w:lang w:val="lv-LV"/>
              </w:rPr>
              <w:t>Kopā</w:t>
            </w:r>
          </w:p>
        </w:tc>
        <w:tc>
          <w:tcPr>
            <w:tcW w:w="1417" w:type="dxa"/>
          </w:tcPr>
          <w:p w14:paraId="76B97456" w14:textId="5FE29A13" w:rsidR="00052832" w:rsidRPr="00052832" w:rsidRDefault="00470219" w:rsidP="00052832">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b/>
                <w:lang w:val="lv-LV"/>
              </w:rPr>
            </w:pPr>
            <w:r w:rsidRPr="00470219">
              <w:rPr>
                <w:b/>
              </w:rPr>
              <w:t>14 183 931</w:t>
            </w:r>
          </w:p>
        </w:tc>
        <w:tc>
          <w:tcPr>
            <w:tcW w:w="1701" w:type="dxa"/>
          </w:tcPr>
          <w:p w14:paraId="43B0FF5A" w14:textId="44B56888" w:rsidR="00052832" w:rsidRPr="00052832" w:rsidRDefault="00470219" w:rsidP="00052832">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b/>
                <w:lang w:val="lv-LV"/>
              </w:rPr>
            </w:pPr>
            <w:r w:rsidRPr="00470219">
              <w:rPr>
                <w:b/>
              </w:rPr>
              <w:t>14 183 931</w:t>
            </w:r>
          </w:p>
        </w:tc>
      </w:tr>
    </w:tbl>
    <w:p w14:paraId="70AEC30F" w14:textId="1B7939DA" w:rsidR="00CE0303" w:rsidRDefault="00CE0303" w:rsidP="00CE0303">
      <w:pPr>
        <w:ind w:firstLine="720"/>
        <w:rPr>
          <w:rFonts w:eastAsiaTheme="minorHAnsi"/>
          <w:lang w:val="lv-LV"/>
        </w:rPr>
      </w:pPr>
    </w:p>
    <w:p w14:paraId="14AD238F" w14:textId="77777777" w:rsidR="002C24FA" w:rsidRPr="00CE0303" w:rsidRDefault="002C24FA" w:rsidP="00CE0303">
      <w:pPr>
        <w:ind w:firstLine="720"/>
        <w:rPr>
          <w:rFonts w:eastAsiaTheme="minorHAnsi"/>
          <w:lang w:val="lv-LV"/>
        </w:rPr>
      </w:pPr>
    </w:p>
    <w:p w14:paraId="7B7E04F7" w14:textId="77777777" w:rsidR="00CE0303" w:rsidRPr="00CE0303" w:rsidRDefault="00CE0303" w:rsidP="00CE0303">
      <w:pPr>
        <w:ind w:firstLine="720"/>
        <w:rPr>
          <w:rFonts w:eastAsiaTheme="minorHAnsi"/>
          <w:b/>
          <w:lang w:val="lv-LV"/>
        </w:rPr>
      </w:pPr>
      <w:r w:rsidRPr="00CE0303">
        <w:rPr>
          <w:rFonts w:eastAsiaTheme="minorHAnsi"/>
          <w:b/>
          <w:lang w:val="lv-LV"/>
        </w:rPr>
        <w:lastRenderedPageBreak/>
        <w:t>Aizsardzības ministrija</w:t>
      </w:r>
    </w:p>
    <w:p w14:paraId="2C9174F0" w14:textId="1E5D1CE6" w:rsidR="00CE0303" w:rsidRPr="00CE0303" w:rsidRDefault="00CE0303" w:rsidP="00CE0303">
      <w:pPr>
        <w:ind w:firstLine="720"/>
        <w:rPr>
          <w:rFonts w:cs="Times New Roman"/>
          <w:szCs w:val="24"/>
          <w:lang w:val="lv-LV"/>
        </w:rPr>
      </w:pPr>
      <w:r w:rsidRPr="00CE0303">
        <w:rPr>
          <w:rFonts w:cs="Times New Roman"/>
          <w:szCs w:val="24"/>
          <w:lang w:val="lv-LV"/>
        </w:rPr>
        <w:t>Veicot AiM pamatbudžeta analīzi, konstatēts, ka laika periodā no 2018. līdz 2020. gadam ir vērojama izdevumu neizpilde (</w:t>
      </w:r>
      <w:r w:rsidRPr="00CE0303">
        <w:rPr>
          <w:rFonts w:cs="Times New Roman"/>
          <w:bCs/>
          <w:szCs w:val="24"/>
          <w:lang w:val="lv-LV"/>
        </w:rPr>
        <w:t xml:space="preserve">vidēji gadā 598,7 tūkst. </w:t>
      </w:r>
      <w:r w:rsidRPr="00CE0303">
        <w:rPr>
          <w:rFonts w:cs="Times New Roman"/>
          <w:bCs/>
          <w:i/>
          <w:szCs w:val="24"/>
          <w:lang w:val="lv-LV"/>
        </w:rPr>
        <w:t>euro</w:t>
      </w:r>
      <w:r w:rsidRPr="00CE0303">
        <w:rPr>
          <w:rFonts w:cs="Times New Roman"/>
          <w:bCs/>
          <w:szCs w:val="24"/>
          <w:lang w:val="lv-LV"/>
        </w:rPr>
        <w:t xml:space="preserve">) </w:t>
      </w:r>
      <w:r w:rsidRPr="00CE0303">
        <w:rPr>
          <w:rFonts w:cs="Times New Roman"/>
          <w:szCs w:val="24"/>
          <w:lang w:val="lv-LV"/>
        </w:rPr>
        <w:t xml:space="preserve">programmā 34.00.00 “Jaunsardzes centrs” (2.2.1. attēls). </w:t>
      </w:r>
    </w:p>
    <w:p w14:paraId="633FE2BE"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2.2.1. attēls</w:t>
      </w:r>
      <w:r w:rsidRPr="00CE0303">
        <w:rPr>
          <w:rFonts w:cs="Times New Roman"/>
          <w:b/>
          <w:bCs/>
          <w:sz w:val="22"/>
          <w:lang w:val="lv-LV"/>
        </w:rPr>
        <w:t xml:space="preserve"> Programma 34.00.00 “Jaunsardzes centrs” izdevumu analīze (milj. </w:t>
      </w:r>
      <w:r w:rsidRPr="00CE0303">
        <w:rPr>
          <w:rFonts w:cs="Times New Roman"/>
          <w:b/>
          <w:bCs/>
          <w:i/>
          <w:iCs/>
          <w:sz w:val="22"/>
          <w:lang w:val="lv-LV"/>
        </w:rPr>
        <w:t>euro</w:t>
      </w:r>
      <w:r w:rsidRPr="00CE0303">
        <w:rPr>
          <w:rFonts w:cs="Times New Roman"/>
          <w:b/>
          <w:bCs/>
          <w:sz w:val="22"/>
          <w:lang w:val="lv-LV"/>
        </w:rPr>
        <w:t>)</w:t>
      </w:r>
    </w:p>
    <w:p w14:paraId="24EA7EC6" w14:textId="77777777" w:rsidR="00CE0303" w:rsidRPr="00CE0303" w:rsidRDefault="00CE0303" w:rsidP="00CE0303">
      <w:pPr>
        <w:jc w:val="center"/>
        <w:rPr>
          <w:rFonts w:cs="Times New Roman"/>
          <w:szCs w:val="24"/>
          <w:lang w:val="lv-LV"/>
        </w:rPr>
      </w:pPr>
      <w:r w:rsidRPr="00CE0303">
        <w:rPr>
          <w:rFonts w:cs="Times New Roman"/>
          <w:noProof/>
          <w:szCs w:val="24"/>
          <w:lang w:val="lv-LV" w:eastAsia="lv-LV"/>
        </w:rPr>
        <w:drawing>
          <wp:inline distT="0" distB="0" distL="0" distR="0" wp14:anchorId="51AF3501" wp14:editId="49914BD8">
            <wp:extent cx="4603115" cy="2105246"/>
            <wp:effectExtent l="0" t="0" r="6985" b="9525"/>
            <wp:docPr id="2240" name="Chart 2240">
              <a:extLst xmlns:a="http://schemas.openxmlformats.org/drawingml/2006/main">
                <a:ext uri="{FF2B5EF4-FFF2-40B4-BE49-F238E27FC236}">
                  <a16:creationId xmlns:a16="http://schemas.microsoft.com/office/drawing/2014/main" id="{7684AA7B-EED6-4AE4-94DE-67B951042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30E2D0C" w14:textId="77777777" w:rsidR="00CE0303" w:rsidRPr="00CE0303" w:rsidRDefault="00CE0303" w:rsidP="00CE0303">
      <w:pPr>
        <w:ind w:firstLine="720"/>
        <w:rPr>
          <w:rFonts w:cs="Times New Roman"/>
          <w:bCs/>
          <w:szCs w:val="24"/>
          <w:lang w:val="lv-LV"/>
        </w:rPr>
      </w:pPr>
      <w:r w:rsidRPr="00CE0303">
        <w:rPr>
          <w:rFonts w:cs="Times New Roman"/>
          <w:bCs/>
          <w:szCs w:val="24"/>
          <w:lang w:val="lv-LV"/>
        </w:rPr>
        <w:t>AiM neizpildi skaidro ar 2018. un 2019. gadā centralizēti veiktajām iepirkumu procedūrām, savukārt 2020. gadā ar to, ka Covid-19 ietekmē samazinājās pasākumi un instruktoru, kas saistīti ar jauniešu iesaisti (nometnes, pārgājieni, sporta sacensības u.c.), atbalsts. Vienlaikus norāda, ka plānošanas periodā katru gadu tiek pārskatīti iekšējie resursi, lai varētu nosegt prioritārās nepieciešamās vajadzības.</w:t>
      </w:r>
    </w:p>
    <w:p w14:paraId="61E30B43" w14:textId="77777777" w:rsidR="00CE0303" w:rsidRPr="00CE0303" w:rsidRDefault="00CE0303" w:rsidP="00CE0303">
      <w:pPr>
        <w:ind w:firstLine="720"/>
        <w:rPr>
          <w:rFonts w:cs="Times New Roman"/>
          <w:szCs w:val="24"/>
          <w:lang w:val="lv-LV"/>
        </w:rPr>
      </w:pPr>
      <w:r w:rsidRPr="00CE0303">
        <w:rPr>
          <w:rFonts w:cs="Times New Roman"/>
          <w:bCs/>
          <w:szCs w:val="24"/>
          <w:lang w:val="lv-LV"/>
        </w:rPr>
        <w:t xml:space="preserve">Ņemot vērā iepriekš minēto, konstatēts, ka </w:t>
      </w:r>
      <w:r w:rsidRPr="00CE0303">
        <w:rPr>
          <w:rFonts w:cs="Times New Roman"/>
          <w:szCs w:val="24"/>
          <w:lang w:val="lv-LV"/>
        </w:rPr>
        <w:t>programmā 34.00.00 “Jaunsardzes centrs” ir potenciālais iekšējais resurss 2022. un 2023. gadam, kas būtu novirzāms aktuālākām AiM prioritātēm.</w:t>
      </w:r>
    </w:p>
    <w:tbl>
      <w:tblPr>
        <w:tblStyle w:val="TableGrid1"/>
        <w:tblW w:w="0" w:type="auto"/>
        <w:jc w:val="center"/>
        <w:tblLook w:val="04A0" w:firstRow="1" w:lastRow="0" w:firstColumn="1" w:lastColumn="0" w:noHBand="0" w:noVBand="1"/>
      </w:tblPr>
      <w:tblGrid>
        <w:gridCol w:w="709"/>
        <w:gridCol w:w="1271"/>
        <w:gridCol w:w="696"/>
        <w:gridCol w:w="1288"/>
      </w:tblGrid>
      <w:tr w:rsidR="00CE0303" w:rsidRPr="00CE0303" w14:paraId="1FE5BF29" w14:textId="77777777" w:rsidTr="00CE0303">
        <w:trPr>
          <w:jc w:val="center"/>
        </w:trPr>
        <w:tc>
          <w:tcPr>
            <w:tcW w:w="709" w:type="dxa"/>
            <w:shd w:val="clear" w:color="auto" w:fill="ED7D31" w:themeFill="accent2"/>
            <w:vAlign w:val="center"/>
          </w:tcPr>
          <w:p w14:paraId="5E33E460"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shd w:val="clear" w:color="auto" w:fill="FFFFFF" w:themeFill="background1"/>
            <w:vAlign w:val="center"/>
          </w:tcPr>
          <w:p w14:paraId="07CD2B51" w14:textId="77777777" w:rsidR="00CE0303" w:rsidRPr="00CE0303" w:rsidRDefault="00CE0303" w:rsidP="00CE0303">
            <w:pPr>
              <w:spacing w:after="0"/>
              <w:jc w:val="center"/>
              <w:rPr>
                <w:rFonts w:eastAsiaTheme="minorHAnsi"/>
                <w:lang w:val="lv-LV"/>
              </w:rPr>
            </w:pPr>
            <w:r w:rsidRPr="00CE0303">
              <w:rPr>
                <w:rFonts w:cs="Times New Roman"/>
                <w:bCs/>
                <w:szCs w:val="24"/>
                <w:lang w:val="lv-LV"/>
              </w:rPr>
              <w:t>598 670</w:t>
            </w:r>
          </w:p>
        </w:tc>
        <w:tc>
          <w:tcPr>
            <w:tcW w:w="696" w:type="dxa"/>
            <w:shd w:val="clear" w:color="auto" w:fill="ED7D31" w:themeFill="accent2"/>
            <w:vAlign w:val="center"/>
          </w:tcPr>
          <w:p w14:paraId="6503803D"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shd w:val="clear" w:color="auto" w:fill="FFFFFF" w:themeFill="background1"/>
            <w:vAlign w:val="center"/>
          </w:tcPr>
          <w:p w14:paraId="525B9EBE" w14:textId="77777777" w:rsidR="00CE0303" w:rsidRPr="00CE0303" w:rsidRDefault="00CE0303" w:rsidP="00CE0303">
            <w:pPr>
              <w:spacing w:after="0"/>
              <w:jc w:val="center"/>
              <w:rPr>
                <w:rFonts w:eastAsiaTheme="minorHAnsi"/>
                <w:lang w:val="lv-LV"/>
              </w:rPr>
            </w:pPr>
            <w:r w:rsidRPr="00CE0303">
              <w:rPr>
                <w:rFonts w:cs="Times New Roman"/>
                <w:bCs/>
                <w:szCs w:val="24"/>
                <w:lang w:val="lv-LV"/>
              </w:rPr>
              <w:t>598 670</w:t>
            </w:r>
          </w:p>
        </w:tc>
      </w:tr>
    </w:tbl>
    <w:p w14:paraId="4BE33D18"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Resorā veicot iekšējo resursu izdevumu un pasākumu pārskatīšanu, finansējums novirzīts pensijām (31.00.00 “Militārpersonu pensiju fonds” 2,7 milj. </w:t>
      </w:r>
      <w:r w:rsidRPr="00CE0303">
        <w:rPr>
          <w:rFonts w:eastAsiaTheme="minorHAnsi"/>
          <w:i/>
          <w:lang w:val="lv-LV"/>
        </w:rPr>
        <w:t>euro</w:t>
      </w:r>
      <w:r w:rsidRPr="00CE0303">
        <w:rPr>
          <w:rFonts w:eastAsiaTheme="minorHAnsi"/>
          <w:lang w:val="lv-LV"/>
        </w:rPr>
        <w:t>), IKP krituma ietekmē NBS attīstības plānā apstiprināto spēju pārskatīšana un iepirkumu realizācijas termiņu pārcelšana uz tālākajiem gadiem.</w:t>
      </w:r>
    </w:p>
    <w:tbl>
      <w:tblPr>
        <w:tblStyle w:val="TableGrid1"/>
        <w:tblpPr w:leftFromText="180" w:rightFromText="180" w:vertAnchor="text" w:horzAnchor="page" w:tblpX="3121" w:tblpY="-61"/>
        <w:tblW w:w="0" w:type="auto"/>
        <w:tblLayout w:type="fixed"/>
        <w:tblLook w:val="04A0" w:firstRow="1" w:lastRow="0" w:firstColumn="1" w:lastColumn="0" w:noHBand="0" w:noVBand="1"/>
      </w:tblPr>
      <w:tblGrid>
        <w:gridCol w:w="709"/>
        <w:gridCol w:w="1271"/>
        <w:gridCol w:w="709"/>
        <w:gridCol w:w="1275"/>
        <w:gridCol w:w="709"/>
        <w:gridCol w:w="1281"/>
      </w:tblGrid>
      <w:tr w:rsidR="00CE0303" w:rsidRPr="00CE0303" w14:paraId="57CEE66E" w14:textId="77777777" w:rsidTr="00CE0303">
        <w:trPr>
          <w:trHeight w:val="79"/>
        </w:trPr>
        <w:tc>
          <w:tcPr>
            <w:tcW w:w="709" w:type="dxa"/>
            <w:shd w:val="clear" w:color="auto" w:fill="92D050"/>
            <w:vAlign w:val="center"/>
          </w:tcPr>
          <w:p w14:paraId="67AB9A35" w14:textId="77777777" w:rsidR="00CE0303" w:rsidRPr="00CE0303" w:rsidRDefault="00CE0303" w:rsidP="00CE0303">
            <w:pPr>
              <w:spacing w:after="0"/>
              <w:jc w:val="center"/>
              <w:rPr>
                <w:rFonts w:eastAsiaTheme="minorHAnsi"/>
                <w:szCs w:val="20"/>
                <w:lang w:val="lv-LV"/>
              </w:rPr>
            </w:pPr>
            <w:r w:rsidRPr="00CE0303">
              <w:rPr>
                <w:rFonts w:eastAsiaTheme="minorHAnsi"/>
                <w:szCs w:val="20"/>
                <w:lang w:val="lv-LV"/>
              </w:rPr>
              <w:t>2022</w:t>
            </w:r>
          </w:p>
        </w:tc>
        <w:tc>
          <w:tcPr>
            <w:tcW w:w="1271" w:type="dxa"/>
            <w:vAlign w:val="center"/>
          </w:tcPr>
          <w:p w14:paraId="3D47D0F3" w14:textId="77777777" w:rsidR="00CE0303" w:rsidRPr="00CE0303" w:rsidRDefault="00CE0303" w:rsidP="00CE0303">
            <w:pPr>
              <w:spacing w:after="0"/>
              <w:jc w:val="center"/>
              <w:rPr>
                <w:rFonts w:eastAsiaTheme="minorHAnsi"/>
                <w:szCs w:val="20"/>
                <w:lang w:val="lv-LV"/>
              </w:rPr>
            </w:pPr>
            <w:r w:rsidRPr="00CE0303">
              <w:rPr>
                <w:rFonts w:eastAsiaTheme="minorHAnsi"/>
                <w:szCs w:val="20"/>
                <w:lang w:val="lv-LV"/>
              </w:rPr>
              <w:t>2 713 448</w:t>
            </w:r>
          </w:p>
        </w:tc>
        <w:tc>
          <w:tcPr>
            <w:tcW w:w="709" w:type="dxa"/>
            <w:shd w:val="clear" w:color="auto" w:fill="92D050"/>
            <w:vAlign w:val="center"/>
          </w:tcPr>
          <w:p w14:paraId="0727D11F" w14:textId="77777777" w:rsidR="00CE0303" w:rsidRPr="00CE0303" w:rsidRDefault="00CE0303" w:rsidP="00CE0303">
            <w:pPr>
              <w:spacing w:after="0"/>
              <w:jc w:val="center"/>
              <w:rPr>
                <w:rFonts w:eastAsiaTheme="minorHAnsi"/>
                <w:szCs w:val="20"/>
                <w:lang w:val="lv-LV"/>
              </w:rPr>
            </w:pPr>
            <w:r w:rsidRPr="00CE0303">
              <w:rPr>
                <w:rFonts w:eastAsiaTheme="minorHAnsi"/>
                <w:szCs w:val="20"/>
                <w:lang w:val="lv-LV"/>
              </w:rPr>
              <w:t>2023</w:t>
            </w:r>
          </w:p>
        </w:tc>
        <w:tc>
          <w:tcPr>
            <w:tcW w:w="1275" w:type="dxa"/>
            <w:vAlign w:val="center"/>
          </w:tcPr>
          <w:p w14:paraId="1D8E59BF" w14:textId="77777777" w:rsidR="00CE0303" w:rsidRPr="00CE0303" w:rsidRDefault="00CE0303" w:rsidP="00CE0303">
            <w:pPr>
              <w:spacing w:after="0"/>
              <w:jc w:val="center"/>
              <w:rPr>
                <w:rFonts w:eastAsiaTheme="minorHAnsi"/>
                <w:szCs w:val="20"/>
                <w:lang w:val="lv-LV"/>
              </w:rPr>
            </w:pPr>
            <w:r w:rsidRPr="00CE0303">
              <w:rPr>
                <w:rFonts w:eastAsiaTheme="minorHAnsi"/>
                <w:szCs w:val="20"/>
                <w:lang w:val="lv-LV"/>
              </w:rPr>
              <w:t>2 713 448</w:t>
            </w:r>
          </w:p>
        </w:tc>
        <w:tc>
          <w:tcPr>
            <w:tcW w:w="709" w:type="dxa"/>
            <w:shd w:val="clear" w:color="auto" w:fill="92D050"/>
            <w:vAlign w:val="center"/>
          </w:tcPr>
          <w:p w14:paraId="7915B2CD" w14:textId="77777777" w:rsidR="00CE0303" w:rsidRPr="00CE0303" w:rsidRDefault="00CE0303" w:rsidP="00CE0303">
            <w:pPr>
              <w:spacing w:after="0"/>
              <w:jc w:val="center"/>
              <w:rPr>
                <w:rFonts w:eastAsiaTheme="minorHAnsi"/>
                <w:szCs w:val="20"/>
                <w:lang w:val="lv-LV"/>
              </w:rPr>
            </w:pPr>
            <w:r w:rsidRPr="00CE0303">
              <w:rPr>
                <w:rFonts w:eastAsiaTheme="minorHAnsi"/>
                <w:szCs w:val="20"/>
                <w:lang w:val="lv-LV"/>
              </w:rPr>
              <w:t>2024</w:t>
            </w:r>
          </w:p>
        </w:tc>
        <w:tc>
          <w:tcPr>
            <w:tcW w:w="1281" w:type="dxa"/>
            <w:vAlign w:val="center"/>
          </w:tcPr>
          <w:p w14:paraId="50794813" w14:textId="77777777" w:rsidR="00CE0303" w:rsidRPr="00CE0303" w:rsidRDefault="00CE0303" w:rsidP="00CE0303">
            <w:pPr>
              <w:spacing w:after="0"/>
              <w:jc w:val="center"/>
              <w:rPr>
                <w:rFonts w:eastAsiaTheme="minorHAnsi"/>
                <w:szCs w:val="20"/>
                <w:lang w:val="lv-LV"/>
              </w:rPr>
            </w:pPr>
            <w:r w:rsidRPr="00CE0303">
              <w:rPr>
                <w:rFonts w:eastAsiaTheme="minorHAnsi"/>
                <w:szCs w:val="20"/>
                <w:lang w:val="lv-LV"/>
              </w:rPr>
              <w:t>2 713 448</w:t>
            </w:r>
          </w:p>
        </w:tc>
      </w:tr>
    </w:tbl>
    <w:p w14:paraId="376AE885" w14:textId="77777777" w:rsidR="00CE0303" w:rsidRPr="00CE0303" w:rsidRDefault="00CE0303" w:rsidP="00CE0303">
      <w:pPr>
        <w:ind w:firstLine="720"/>
        <w:rPr>
          <w:rFonts w:eastAsiaTheme="minorHAnsi"/>
          <w:lang w:val="lv-LV"/>
        </w:rPr>
      </w:pPr>
    </w:p>
    <w:p w14:paraId="1B671900"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Personāla resursu pārplānošana MK uzdevumu izpildei ārkārtas situācijas laikā individuālo aizsardzības līdzekļu, dezinfekcijas līdzekļu, medicīnisko preču iegādei, humanitārās palīdzības sniegšanai (problēmas ar noliktavām), atbalsts Valsts Robežsardzei un VM (382,4 tūkst. </w:t>
      </w:r>
      <w:r w:rsidRPr="00CE0303">
        <w:rPr>
          <w:rFonts w:eastAsiaTheme="minorHAnsi"/>
          <w:i/>
          <w:lang w:val="lv-LV"/>
        </w:rPr>
        <w:t>euro</w:t>
      </w:r>
      <w:r w:rsidRPr="00CE0303">
        <w:rPr>
          <w:rFonts w:eastAsiaTheme="minorHAnsi"/>
          <w:lang w:val="lv-LV"/>
        </w:rPr>
        <w:t>).</w:t>
      </w:r>
    </w:p>
    <w:tbl>
      <w:tblPr>
        <w:tblStyle w:val="TableGrid1"/>
        <w:tblW w:w="0" w:type="auto"/>
        <w:jc w:val="center"/>
        <w:tblLook w:val="04A0" w:firstRow="1" w:lastRow="0" w:firstColumn="1" w:lastColumn="0" w:noHBand="0" w:noVBand="1"/>
      </w:tblPr>
      <w:tblGrid>
        <w:gridCol w:w="709"/>
        <w:gridCol w:w="1129"/>
        <w:gridCol w:w="696"/>
        <w:gridCol w:w="1129"/>
      </w:tblGrid>
      <w:tr w:rsidR="00E121EE" w:rsidRPr="00CE0303" w14:paraId="7C9A8DAF" w14:textId="77777777" w:rsidTr="00CE0303">
        <w:trPr>
          <w:jc w:val="center"/>
        </w:trPr>
        <w:tc>
          <w:tcPr>
            <w:tcW w:w="709" w:type="dxa"/>
            <w:shd w:val="clear" w:color="auto" w:fill="92D050"/>
            <w:vAlign w:val="center"/>
          </w:tcPr>
          <w:p w14:paraId="5D36D0F1" w14:textId="77777777" w:rsidR="00E121EE" w:rsidRPr="00CE0303" w:rsidRDefault="00E121EE" w:rsidP="00CE0303">
            <w:pPr>
              <w:spacing w:after="0"/>
              <w:jc w:val="center"/>
              <w:rPr>
                <w:rFonts w:eastAsiaTheme="minorHAnsi"/>
                <w:lang w:val="lv-LV"/>
              </w:rPr>
            </w:pPr>
            <w:r w:rsidRPr="00CE0303">
              <w:rPr>
                <w:rFonts w:eastAsiaTheme="minorHAnsi"/>
                <w:lang w:val="lv-LV"/>
              </w:rPr>
              <w:t>2022</w:t>
            </w:r>
          </w:p>
        </w:tc>
        <w:tc>
          <w:tcPr>
            <w:tcW w:w="1129" w:type="dxa"/>
            <w:shd w:val="clear" w:color="auto" w:fill="FFFFFF" w:themeFill="background1"/>
            <w:vAlign w:val="center"/>
          </w:tcPr>
          <w:p w14:paraId="1AFA9362" w14:textId="77777777" w:rsidR="00E121EE" w:rsidRPr="00CE0303" w:rsidRDefault="00E121EE" w:rsidP="00CE0303">
            <w:pPr>
              <w:spacing w:after="0"/>
              <w:jc w:val="center"/>
              <w:rPr>
                <w:rFonts w:eastAsiaTheme="minorHAnsi"/>
                <w:lang w:val="lv-LV"/>
              </w:rPr>
            </w:pPr>
            <w:r w:rsidRPr="00CE0303">
              <w:rPr>
                <w:rFonts w:eastAsiaTheme="minorHAnsi"/>
                <w:lang w:val="lv-LV"/>
              </w:rPr>
              <w:t>382 362</w:t>
            </w:r>
          </w:p>
        </w:tc>
        <w:tc>
          <w:tcPr>
            <w:tcW w:w="696" w:type="dxa"/>
            <w:shd w:val="clear" w:color="auto" w:fill="92D050"/>
            <w:vAlign w:val="center"/>
          </w:tcPr>
          <w:p w14:paraId="19F4C44F" w14:textId="77777777" w:rsidR="00E121EE" w:rsidRPr="00CE0303" w:rsidRDefault="00E121EE" w:rsidP="00CE0303">
            <w:pPr>
              <w:spacing w:after="0"/>
              <w:jc w:val="center"/>
              <w:rPr>
                <w:rFonts w:eastAsiaTheme="minorHAnsi"/>
                <w:lang w:val="lv-LV"/>
              </w:rPr>
            </w:pPr>
            <w:r w:rsidRPr="00CE0303">
              <w:rPr>
                <w:rFonts w:eastAsiaTheme="minorHAnsi"/>
                <w:lang w:val="lv-LV"/>
              </w:rPr>
              <w:t>2023</w:t>
            </w:r>
          </w:p>
        </w:tc>
        <w:tc>
          <w:tcPr>
            <w:tcW w:w="1129" w:type="dxa"/>
            <w:shd w:val="clear" w:color="auto" w:fill="FFFFFF" w:themeFill="background1"/>
            <w:vAlign w:val="center"/>
          </w:tcPr>
          <w:p w14:paraId="5E1BDCE5" w14:textId="77777777" w:rsidR="00E121EE" w:rsidRPr="00CE0303" w:rsidRDefault="00E121EE" w:rsidP="00CE0303">
            <w:pPr>
              <w:spacing w:after="0"/>
              <w:jc w:val="center"/>
              <w:rPr>
                <w:rFonts w:eastAsiaTheme="minorHAnsi"/>
                <w:lang w:val="lv-LV"/>
              </w:rPr>
            </w:pPr>
            <w:r w:rsidRPr="00CE0303">
              <w:rPr>
                <w:rFonts w:eastAsiaTheme="minorHAnsi"/>
                <w:lang w:val="lv-LV"/>
              </w:rPr>
              <w:t>382 362</w:t>
            </w:r>
          </w:p>
        </w:tc>
      </w:tr>
    </w:tbl>
    <w:p w14:paraId="503A7998" w14:textId="241800C9" w:rsidR="00CE0303" w:rsidRPr="00CE0303" w:rsidRDefault="00CE0303" w:rsidP="00CE0303">
      <w:pPr>
        <w:spacing w:before="120"/>
        <w:ind w:firstLine="720"/>
        <w:rPr>
          <w:rFonts w:eastAsiaTheme="minorHAnsi"/>
          <w:lang w:val="lv-LV"/>
        </w:rPr>
      </w:pPr>
      <w:r w:rsidRPr="00CE0303">
        <w:rPr>
          <w:rFonts w:eastAsiaTheme="minorHAnsi"/>
          <w:lang w:val="lv-LV"/>
        </w:rPr>
        <w:t>Aizsardzības nozares budžeta veidošanas un izdevumu pārskatīšanas process tika balstīts uz resursu optimizēšanu un centralizēšanu (IT joma, nodrošinājums), kā arī papildus funkciju nodrošināšanu ar finansējumu nepieciešamajā apjomā (kiberdrošības stiprināšana, u.c.), paredzot līdzekļu pārdali resora ietvaros. AiM budžeta izstrāde un izdevumu pārskatīšana ir cieši saistīta ar IKP pro</w:t>
      </w:r>
      <w:r w:rsidR="007D00BC">
        <w:rPr>
          <w:rFonts w:eastAsiaTheme="minorHAnsi"/>
          <w:lang w:val="lv-LV"/>
        </w:rPr>
        <w:t xml:space="preserve">gnozi un tās izmaiņām. </w:t>
      </w:r>
      <w:r w:rsidRPr="00CE0303">
        <w:rPr>
          <w:rFonts w:eastAsiaTheme="minorHAnsi"/>
          <w:lang w:val="lv-LV"/>
        </w:rPr>
        <w:t>Iegādes, kas ir plānotas AiM ilgtermiņa saistību pasākumam ”Nacionālo bruņoto spēku ilgtermiņa līgumi”</w:t>
      </w:r>
      <w:r w:rsidR="007D00BC" w:rsidRPr="00CE0303">
        <w:rPr>
          <w:rFonts w:eastAsiaTheme="minorHAnsi"/>
          <w:lang w:val="lv-LV"/>
        </w:rPr>
        <w:t xml:space="preserve"> </w:t>
      </w:r>
      <w:r w:rsidRPr="00CE0303">
        <w:rPr>
          <w:rFonts w:eastAsiaTheme="minorHAnsi"/>
          <w:lang w:val="lv-LV"/>
        </w:rPr>
        <w:t>tiek plānotas uz vairākiem gadiem, kā rezultātā, ja finansējums tiek koriģēts 2024. gadā, tad iegāžu apjomi un maksāšanas grafiki tiek koriģēti arī</w:t>
      </w:r>
      <w:r w:rsidR="007D00BC">
        <w:rPr>
          <w:rFonts w:eastAsiaTheme="minorHAnsi"/>
          <w:lang w:val="lv-LV"/>
        </w:rPr>
        <w:t xml:space="preserve"> </w:t>
      </w:r>
      <w:r w:rsidRPr="00CE0303">
        <w:rPr>
          <w:rFonts w:eastAsiaTheme="minorHAnsi"/>
          <w:lang w:val="lv-LV"/>
        </w:rPr>
        <w:t xml:space="preserve">2022. vai 2023. gadā. Iekšējās līdzekļu pārskatīšanas rezultātā </w:t>
      </w:r>
      <w:r w:rsidRPr="00CE0303">
        <w:rPr>
          <w:rFonts w:eastAsiaTheme="minorHAnsi"/>
          <w:lang w:val="lv-LV"/>
        </w:rPr>
        <w:lastRenderedPageBreak/>
        <w:t xml:space="preserve">pārplānoto finansējumu budžeta apakšprogrammas 22.12.00 “Nacionālo bruņoto spēku uzturēšana” ilgtermiņa saistību pasākumam “Nacionālo bruņoto spēku ilgtermiņa līgumi” 2022. gadā 5 612 819 </w:t>
      </w:r>
      <w:r w:rsidRPr="00CE0303">
        <w:rPr>
          <w:rFonts w:eastAsiaTheme="minorHAnsi"/>
          <w:i/>
          <w:iCs/>
          <w:lang w:val="lv-LV"/>
        </w:rPr>
        <w:t>euro</w:t>
      </w:r>
      <w:r w:rsidRPr="00CE0303">
        <w:rPr>
          <w:rFonts w:eastAsiaTheme="minorHAnsi"/>
          <w:lang w:val="lv-LV"/>
        </w:rPr>
        <w:t xml:space="preserve"> apmērā, 2023. gadā 556 935 </w:t>
      </w:r>
      <w:r w:rsidRPr="00CE0303">
        <w:rPr>
          <w:rFonts w:eastAsiaTheme="minorHAnsi"/>
          <w:i/>
          <w:iCs/>
          <w:lang w:val="lv-LV"/>
        </w:rPr>
        <w:t>euro</w:t>
      </w:r>
      <w:r w:rsidRPr="00CE0303">
        <w:rPr>
          <w:rFonts w:eastAsiaTheme="minorHAnsi"/>
          <w:lang w:val="lv-LV"/>
        </w:rPr>
        <w:t xml:space="preserve"> apmērā, 2024. gadā 556 935 </w:t>
      </w:r>
      <w:r w:rsidRPr="00CE0303">
        <w:rPr>
          <w:rFonts w:eastAsiaTheme="minorHAnsi"/>
          <w:i/>
          <w:iCs/>
          <w:lang w:val="lv-LV"/>
        </w:rPr>
        <w:t>euro</w:t>
      </w:r>
      <w:r w:rsidRPr="00CE0303">
        <w:rPr>
          <w:rFonts w:eastAsiaTheme="minorHAnsi"/>
          <w:lang w:val="lv-LV"/>
        </w:rPr>
        <w:t xml:space="preserve"> apmērā AiM ierosina novirzīt šādiem aktuāliem aizsardzības resora pasākumiem </w:t>
      </w:r>
      <w:r w:rsidR="00B968FE">
        <w:rPr>
          <w:rFonts w:eastAsiaTheme="minorHAnsi"/>
          <w:lang w:val="lv-LV"/>
        </w:rPr>
        <w:t>2022.-2024. gadā</w:t>
      </w:r>
      <w:r w:rsidRPr="00CE0303">
        <w:rPr>
          <w:rFonts w:eastAsiaTheme="minorHAnsi"/>
          <w:lang w:val="lv-LV"/>
        </w:rPr>
        <w:t xml:space="preserve"> </w:t>
      </w:r>
      <w:r w:rsidR="00B968FE">
        <w:rPr>
          <w:rFonts w:eastAsiaTheme="minorHAnsi"/>
          <w:lang w:val="lv-LV"/>
        </w:rPr>
        <w:t>(</w:t>
      </w:r>
      <w:r w:rsidRPr="00CE0303">
        <w:rPr>
          <w:rFonts w:eastAsiaTheme="minorHAnsi"/>
          <w:lang w:val="lv-LV"/>
        </w:rPr>
        <w:t>veicot pārdales starp budžeta programmām un apakšprogrammām un izdevumu ekonomiskās klasifikācijas kodiem</w:t>
      </w:r>
      <w:r w:rsidR="00B968FE">
        <w:rPr>
          <w:rFonts w:eastAsiaTheme="minorHAnsi"/>
          <w:lang w:val="lv-LV"/>
        </w:rPr>
        <w:t>)</w:t>
      </w:r>
      <w:r w:rsidRPr="00CE0303">
        <w:rPr>
          <w:rFonts w:eastAsiaTheme="minorHAnsi"/>
          <w:lang w:val="lv-LV"/>
        </w:rPr>
        <w:t>:</w:t>
      </w:r>
    </w:p>
    <w:p w14:paraId="6E57A258" w14:textId="216EDF1A" w:rsidR="00CE0303" w:rsidRPr="00CE0303" w:rsidRDefault="00CE0303" w:rsidP="00CE0303">
      <w:pPr>
        <w:spacing w:before="120"/>
        <w:ind w:firstLine="720"/>
        <w:rPr>
          <w:rFonts w:eastAsiaTheme="minorHAnsi"/>
          <w:lang w:val="lv-LV"/>
        </w:rPr>
      </w:pPr>
      <w:r w:rsidRPr="00CE0303">
        <w:rPr>
          <w:rFonts w:eastAsiaTheme="minorHAnsi"/>
          <w:lang w:val="lv-LV"/>
        </w:rPr>
        <w:t>Drošības un ģeopolitiskās situācijas izmaiņas Eiropā ir ietekmējušas aizsardzības politikas veidošanu Latvijā. Lai nodrošinātu NATO atturēšanas politikas darbību un palielinātu dalībvalstu reaģēšanas spējas apdraudējuma vai pēkšņa militāra uzbrukuma gadījumā, pieaugusi nepieciešamība pēc reģionālām NATO aktivitātēm, tai skaitā, sabiedroto spēku izvietošanas Alianses dalībvalstīs un regulārām NATO līmeņa mācībām visās dalībvalstīs. Starptautiskās militārās mācības ir viens no aktīvajiem NATO valstu, t.sk. Latvijas un NATO partnervalstu sadarbības formātiem. Lai reaģētu uz drošības un ģe</w:t>
      </w:r>
      <w:r w:rsidR="00B968FE">
        <w:rPr>
          <w:rFonts w:eastAsiaTheme="minorHAnsi"/>
          <w:lang w:val="lv-LV"/>
        </w:rPr>
        <w:t xml:space="preserve">opolitiskās situācijas izmaiņām, </w:t>
      </w:r>
      <w:r w:rsidRPr="00CE0303">
        <w:rPr>
          <w:rFonts w:eastAsiaTheme="minorHAnsi"/>
          <w:lang w:val="lv-LV"/>
        </w:rPr>
        <w:t>2022. gadā papildus plānotajām mācībām nepieciešamas nodrošināt dalību starptautiskās mācībās ārpus Latvijas, kam nepiecieša</w:t>
      </w:r>
      <w:r w:rsidR="00B968FE">
        <w:rPr>
          <w:rFonts w:eastAsiaTheme="minorHAnsi"/>
          <w:lang w:val="lv-LV"/>
        </w:rPr>
        <w:t>ms piešķirt papildus līdzekļus.</w:t>
      </w:r>
    </w:p>
    <w:p w14:paraId="32FBF9EA" w14:textId="4EB0D997" w:rsidR="00CE0303" w:rsidRPr="00CE0303" w:rsidRDefault="00CE0303" w:rsidP="00CE0303">
      <w:pPr>
        <w:spacing w:before="120"/>
        <w:ind w:firstLine="720"/>
        <w:rPr>
          <w:rFonts w:eastAsiaTheme="minorHAnsi"/>
          <w:lang w:val="lv-LV"/>
        </w:rPr>
      </w:pPr>
      <w:r w:rsidRPr="00CE0303">
        <w:rPr>
          <w:rFonts w:eastAsiaTheme="minorHAnsi"/>
          <w:lang w:val="lv-LV"/>
        </w:rPr>
        <w:t xml:space="preserve">Sabiedroto klātbūtnes nodrošināšanu NATO mācību/operāciju utt. laikā Latvijas teritorijā nosaka Saeimā 2006. gada 12. oktobrī ratificētā vienošanās „Saprašanās memorands starp Latvijas Republikas valdību un Sabiedroto spēku augstāko virspavēlniecību Eiropā (SHAPE) un Sabiedroto spēku augstākās virspavēlniecības transformācijas komandiera štābu (HQ SACT) par uzņemošās valsts atbalsta sniegšanu Ziemeļatlantijas līguma organizācijas </w:t>
      </w:r>
      <w:r w:rsidR="005849EA">
        <w:rPr>
          <w:rFonts w:eastAsiaTheme="minorHAnsi"/>
          <w:lang w:val="lv-LV"/>
        </w:rPr>
        <w:t>operāciju/mācību īstenošanai”</w:t>
      </w:r>
      <w:r w:rsidRPr="00CE0303">
        <w:rPr>
          <w:rFonts w:eastAsiaTheme="minorHAnsi"/>
          <w:lang w:val="lv-LV"/>
        </w:rPr>
        <w:t>. Saskaņā ar MK 2017. gada 13. decembra rīkojuma Nr.751 “Grozījums Ministru kabineta 2016. gada 29. marta rīkojumā Nr. 232 “Par starptautisko militāro mācību norises nodrošināšanu Latvijas teritorijā”” nosacījumiem – NATO spēki, uzturoties citā NATO dalībvalstī ir atbrīvoti no Akcīzes nodokļa un Pievienotās vērtības nodokļa.</w:t>
      </w:r>
    </w:p>
    <w:p w14:paraId="07AF47E0" w14:textId="4B30ABAD" w:rsidR="00CE0303" w:rsidRPr="00CE0303" w:rsidRDefault="00CE0303" w:rsidP="00CE0303">
      <w:pPr>
        <w:spacing w:before="120"/>
        <w:ind w:firstLine="720"/>
        <w:rPr>
          <w:rFonts w:eastAsiaTheme="minorHAnsi"/>
          <w:lang w:val="lv-LV"/>
        </w:rPr>
      </w:pPr>
      <w:r w:rsidRPr="00CE0303">
        <w:rPr>
          <w:rFonts w:eastAsiaTheme="minorHAnsi"/>
          <w:lang w:val="lv-LV"/>
        </w:rPr>
        <w:t>Ņemot vērā sabiedroto klātbūtnes skaita palielināšanos 2022. gadā mācībās Latvijā un, lai nodrošinātu Nacionālo bruņoto spēku militārās mācības un uzņemošās valsts atbalstu 2022. gadā paredzētajā apjomā, nepieciešami papildus līdzekļi šo izdevumu kompensēšanai no AiM piešķirtajiem valsts budžeta līdzekļiem, tos pārdalot finansējumu budžeta apakšprogrammas 22.12.00 “Nacionālo bruņoto spēku uzturēšana” ietvaros no</w:t>
      </w:r>
      <w:r w:rsidR="007D00BC">
        <w:rPr>
          <w:rFonts w:eastAsiaTheme="minorHAnsi"/>
          <w:lang w:val="lv-LV"/>
        </w:rPr>
        <w:t xml:space="preserve"> </w:t>
      </w:r>
      <w:r w:rsidRPr="00CE0303">
        <w:rPr>
          <w:rFonts w:eastAsiaTheme="minorHAnsi"/>
          <w:lang w:val="lv-LV"/>
        </w:rPr>
        <w:t xml:space="preserve">ilgtermiņa saistību pasākuma “Nacionālo bruņoto spēku ilgtermiņa līgumi” izdevumiem pamatkapitāla veidošanai uz uzturēšanas izdevumiem 5 038 648 </w:t>
      </w:r>
      <w:r w:rsidRPr="00CE0303">
        <w:rPr>
          <w:rFonts w:eastAsiaTheme="minorHAnsi"/>
          <w:i/>
          <w:iCs/>
          <w:lang w:val="lv-LV"/>
        </w:rPr>
        <w:t>euro</w:t>
      </w:r>
      <w:r w:rsidRPr="00CE0303">
        <w:rPr>
          <w:rFonts w:eastAsiaTheme="minorHAnsi"/>
          <w:lang w:val="lv-LV"/>
        </w:rPr>
        <w:t xml:space="preserve"> apmērā.</w:t>
      </w:r>
    </w:p>
    <w:tbl>
      <w:tblPr>
        <w:tblStyle w:val="TableGrid1"/>
        <w:tblW w:w="0" w:type="auto"/>
        <w:jc w:val="center"/>
        <w:tblLook w:val="04A0" w:firstRow="1" w:lastRow="0" w:firstColumn="1" w:lastColumn="0" w:noHBand="0" w:noVBand="1"/>
      </w:tblPr>
      <w:tblGrid>
        <w:gridCol w:w="709"/>
        <w:gridCol w:w="1271"/>
        <w:gridCol w:w="696"/>
        <w:gridCol w:w="1129"/>
        <w:gridCol w:w="709"/>
        <w:gridCol w:w="1010"/>
      </w:tblGrid>
      <w:tr w:rsidR="00CE0303" w:rsidRPr="00CE0303" w14:paraId="73D4998D" w14:textId="77777777" w:rsidTr="00CE0303">
        <w:trPr>
          <w:jc w:val="center"/>
        </w:trPr>
        <w:tc>
          <w:tcPr>
            <w:tcW w:w="709" w:type="dxa"/>
            <w:shd w:val="clear" w:color="auto" w:fill="92D050"/>
            <w:vAlign w:val="center"/>
          </w:tcPr>
          <w:p w14:paraId="6A6502E3"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shd w:val="clear" w:color="auto" w:fill="FFFFFF" w:themeFill="background1"/>
            <w:vAlign w:val="center"/>
          </w:tcPr>
          <w:p w14:paraId="402CA63E" w14:textId="77777777" w:rsidR="00CE0303" w:rsidRPr="00CE0303" w:rsidRDefault="00CE0303" w:rsidP="00CE0303">
            <w:pPr>
              <w:spacing w:after="0"/>
              <w:jc w:val="center"/>
              <w:rPr>
                <w:rFonts w:eastAsiaTheme="minorHAnsi"/>
                <w:lang w:val="lv-LV"/>
              </w:rPr>
            </w:pPr>
            <w:r w:rsidRPr="00CE0303">
              <w:rPr>
                <w:rFonts w:eastAsiaTheme="minorHAnsi"/>
                <w:lang w:val="lv-LV"/>
              </w:rPr>
              <w:t>5 038 648</w:t>
            </w:r>
          </w:p>
        </w:tc>
        <w:tc>
          <w:tcPr>
            <w:tcW w:w="554" w:type="dxa"/>
            <w:shd w:val="clear" w:color="auto" w:fill="92D050"/>
            <w:vAlign w:val="center"/>
          </w:tcPr>
          <w:p w14:paraId="0BF261F5"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shd w:val="clear" w:color="auto" w:fill="FFFFFF" w:themeFill="background1"/>
            <w:vAlign w:val="center"/>
          </w:tcPr>
          <w:p w14:paraId="6CA4A7C7" w14:textId="77777777" w:rsidR="00CE0303" w:rsidRPr="00CE0303" w:rsidRDefault="00CE0303" w:rsidP="00CE0303">
            <w:pPr>
              <w:spacing w:after="0"/>
              <w:jc w:val="center"/>
              <w:rPr>
                <w:rFonts w:eastAsiaTheme="minorHAnsi"/>
                <w:lang w:val="lv-LV"/>
              </w:rPr>
            </w:pPr>
            <w:r w:rsidRPr="00CE0303">
              <w:rPr>
                <w:rFonts w:eastAsiaTheme="minorHAnsi"/>
                <w:lang w:val="lv-LV"/>
              </w:rPr>
              <w:t>0</w:t>
            </w:r>
          </w:p>
        </w:tc>
        <w:tc>
          <w:tcPr>
            <w:tcW w:w="709" w:type="dxa"/>
            <w:shd w:val="clear" w:color="auto" w:fill="92D050"/>
            <w:vAlign w:val="center"/>
          </w:tcPr>
          <w:p w14:paraId="03C56AD8"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shd w:val="clear" w:color="auto" w:fill="FFFFFF" w:themeFill="background1"/>
            <w:vAlign w:val="center"/>
          </w:tcPr>
          <w:p w14:paraId="47A08329" w14:textId="77777777" w:rsidR="00CE0303" w:rsidRPr="00CE0303" w:rsidRDefault="00CE0303" w:rsidP="00CE0303">
            <w:pPr>
              <w:spacing w:after="0"/>
              <w:jc w:val="center"/>
              <w:rPr>
                <w:rFonts w:eastAsiaTheme="minorHAnsi"/>
                <w:lang w:val="lv-LV"/>
              </w:rPr>
            </w:pPr>
            <w:r w:rsidRPr="00CE0303">
              <w:rPr>
                <w:rFonts w:eastAsiaTheme="minorHAnsi"/>
                <w:lang w:val="lv-LV"/>
              </w:rPr>
              <w:t>0</w:t>
            </w:r>
          </w:p>
        </w:tc>
      </w:tr>
    </w:tbl>
    <w:p w14:paraId="3E13B860" w14:textId="248C4AA1" w:rsidR="00CE0303" w:rsidRPr="00CE0303" w:rsidRDefault="00CE0303" w:rsidP="00CE0303">
      <w:pPr>
        <w:spacing w:before="120"/>
        <w:ind w:firstLine="720"/>
        <w:rPr>
          <w:rFonts w:eastAsiaTheme="minorHAnsi"/>
          <w:lang w:val="lv-LV"/>
        </w:rPr>
      </w:pPr>
      <w:r w:rsidRPr="00CE0303">
        <w:rPr>
          <w:rFonts w:eastAsiaTheme="minorHAnsi"/>
          <w:lang w:val="lv-LV"/>
        </w:rPr>
        <w:t xml:space="preserve">Starptautiska konference par Latvijas armijas (1919-1940) un </w:t>
      </w:r>
      <w:r w:rsidR="005849EA">
        <w:rPr>
          <w:rFonts w:eastAsiaTheme="minorHAnsi"/>
          <w:lang w:val="lv-LV"/>
        </w:rPr>
        <w:t>Latvijas NBS</w:t>
      </w:r>
      <w:r w:rsidRPr="00CE0303">
        <w:rPr>
          <w:rFonts w:eastAsiaTheme="minorHAnsi"/>
          <w:lang w:val="lv-LV"/>
        </w:rPr>
        <w:t xml:space="preserve"> attīstību paredzēta Latvijas Kara muzejā, Rīgā, 2022. gada maijā/jūnijā (klātienē, pie labvēlīgiem epidem</w:t>
      </w:r>
      <w:r w:rsidR="003B3AA2">
        <w:rPr>
          <w:rFonts w:eastAsiaTheme="minorHAnsi"/>
          <w:lang w:val="lv-LV"/>
        </w:rPr>
        <w:t>i</w:t>
      </w:r>
      <w:r w:rsidRPr="00CE0303">
        <w:rPr>
          <w:rFonts w:eastAsiaTheme="minorHAnsi"/>
          <w:lang w:val="lv-LV"/>
        </w:rPr>
        <w:t xml:space="preserve">oloģiskajiem apstākļiem). Konferencē paredzēts aplūkot 20. gs. otrās puses un 21. gs. sākuma starptautiskās militāri politiskās vēstures aspektus, </w:t>
      </w:r>
      <w:r w:rsidR="00B91C89">
        <w:rPr>
          <w:rFonts w:eastAsiaTheme="minorHAnsi"/>
          <w:lang w:val="lv-LV"/>
        </w:rPr>
        <w:t>NBS</w:t>
      </w:r>
      <w:r w:rsidRPr="00CE0303">
        <w:rPr>
          <w:rFonts w:eastAsiaTheme="minorHAnsi"/>
          <w:lang w:val="lv-LV"/>
        </w:rPr>
        <w:t xml:space="preserve"> vietu un lomu valsts drošības sistēmā, NBS attīstības dažādus vēsturiskos aspektus. Paredzēta ārvalstu vēsturnieku ekspertu dalība: plānots aicināt piedalīties ekspertus no Lietuvas, Igaunijas, Polijas, Vācijas. Konferencē tiks aplūkota arī bruņoto spēku loma kā būtiskam sabiedriskās integrācijas un saliedētības veicinošam faktoram, skarti jautājumi par zinātnes attīstību un praktisko pielietojamību militārās jomas attīstībā, kā arī vēsturiskās pieredzes pielietojamību mūsdienu ārējās un iekšējās drošības izaicinājumu konfrontēšanā. Lai tiktu nodrošinātas MK </w:t>
      </w:r>
      <w:r w:rsidR="00F700BC" w:rsidRPr="00F700BC">
        <w:rPr>
          <w:rFonts w:eastAsiaTheme="minorHAnsi"/>
          <w:lang w:val="lv-LV"/>
        </w:rPr>
        <w:t>2006.</w:t>
      </w:r>
      <w:r w:rsidR="00F700BC">
        <w:rPr>
          <w:rFonts w:eastAsiaTheme="minorHAnsi"/>
          <w:lang w:val="lv-LV"/>
        </w:rPr>
        <w:t xml:space="preserve"> </w:t>
      </w:r>
      <w:r w:rsidR="00F700BC" w:rsidRPr="00F700BC">
        <w:rPr>
          <w:rFonts w:eastAsiaTheme="minorHAnsi"/>
          <w:lang w:val="lv-LV"/>
        </w:rPr>
        <w:t>gada 21.</w:t>
      </w:r>
      <w:r w:rsidR="00F700BC">
        <w:rPr>
          <w:rFonts w:eastAsiaTheme="minorHAnsi"/>
          <w:lang w:val="lv-LV"/>
        </w:rPr>
        <w:t xml:space="preserve"> </w:t>
      </w:r>
      <w:r w:rsidR="00F700BC" w:rsidRPr="00F700BC">
        <w:rPr>
          <w:rFonts w:eastAsiaTheme="minorHAnsi"/>
          <w:lang w:val="lv-LV"/>
        </w:rPr>
        <w:t xml:space="preserve">novembra </w:t>
      </w:r>
      <w:r w:rsidRPr="00CE0303">
        <w:rPr>
          <w:rFonts w:eastAsiaTheme="minorHAnsi"/>
          <w:lang w:val="lv-LV"/>
        </w:rPr>
        <w:t xml:space="preserve">noteikumu Nr. 956 "Noteikumi par Nacionālo muzeju krājumu" prasības, Latvijas Kara muzejam nepieciešams iegādāties jaunu aprīkojumu, jo esošais aprīkojums ir gan fiziski </w:t>
      </w:r>
      <w:r w:rsidRPr="00CE0303">
        <w:rPr>
          <w:rFonts w:eastAsiaTheme="minorHAnsi"/>
          <w:lang w:val="lv-LV"/>
        </w:rPr>
        <w:lastRenderedPageBreak/>
        <w:t>nolietojies, gan neatbilst MK noteikumu prasībām. Kā arī, Latvijas Kara muzeja krājumu saglabāšanai, nepieciešams iegādāties restaurācijas tehniku, kas paaugstina restaurācijas darbu kvalitāti.</w:t>
      </w:r>
    </w:p>
    <w:p w14:paraId="159501FC" w14:textId="5EBCBE95" w:rsidR="00CE0303" w:rsidRPr="00CE0303" w:rsidRDefault="00CE0303" w:rsidP="00CE0303">
      <w:pPr>
        <w:spacing w:before="120"/>
        <w:ind w:firstLine="720"/>
        <w:rPr>
          <w:rFonts w:eastAsiaTheme="minorHAnsi"/>
          <w:lang w:val="lv-LV"/>
        </w:rPr>
      </w:pPr>
      <w:r w:rsidRPr="00CE0303">
        <w:rPr>
          <w:rFonts w:eastAsiaTheme="minorHAnsi"/>
          <w:lang w:val="lv-LV"/>
        </w:rPr>
        <w:t>Lai nodrošinātu starptautiskas konferences norisi 2022. gadā, kā arī lai veiktu muzeja zinātniskā krājuma glabāšanai nepieciešamā aprīkojuma iegādi, nepieciešams veikt finansējuma pārdali 2022. gadā no budžeta apakšprogrammas 22.12.00 “Nacionālo bruņoto spēku uzturēšana” ilgtermiņa saistību pasākuma “Nacionālo bruņoto spēku ilgtermiņa līgumi” uz budžeta prog</w:t>
      </w:r>
      <w:r w:rsidR="00B91C89">
        <w:rPr>
          <w:rFonts w:eastAsiaTheme="minorHAnsi"/>
          <w:lang w:val="lv-LV"/>
        </w:rPr>
        <w:t>rammu 12.00.00 “Kara muzejs” 17,2 tūkst.</w:t>
      </w:r>
      <w:r w:rsidRPr="00CE0303">
        <w:rPr>
          <w:rFonts w:eastAsiaTheme="minorHAnsi"/>
          <w:lang w:val="lv-LV"/>
        </w:rPr>
        <w:t xml:space="preserve"> </w:t>
      </w:r>
      <w:r w:rsidRPr="00CE0303">
        <w:rPr>
          <w:rFonts w:eastAsiaTheme="minorHAnsi"/>
          <w:i/>
          <w:iCs/>
          <w:lang w:val="lv-LV"/>
        </w:rPr>
        <w:t>euro</w:t>
      </w:r>
      <w:r w:rsidRPr="00CE0303">
        <w:rPr>
          <w:rFonts w:eastAsiaTheme="minorHAnsi"/>
          <w:lang w:val="lv-LV"/>
        </w:rPr>
        <w:t xml:space="preserve"> apmērā.</w:t>
      </w:r>
    </w:p>
    <w:tbl>
      <w:tblPr>
        <w:tblStyle w:val="TableGrid1"/>
        <w:tblW w:w="0" w:type="auto"/>
        <w:jc w:val="center"/>
        <w:tblLook w:val="04A0" w:firstRow="1" w:lastRow="0" w:firstColumn="1" w:lastColumn="0" w:noHBand="0" w:noVBand="1"/>
      </w:tblPr>
      <w:tblGrid>
        <w:gridCol w:w="709"/>
        <w:gridCol w:w="1271"/>
        <w:gridCol w:w="696"/>
        <w:gridCol w:w="1129"/>
        <w:gridCol w:w="709"/>
        <w:gridCol w:w="1010"/>
      </w:tblGrid>
      <w:tr w:rsidR="00CE0303" w:rsidRPr="00CE0303" w14:paraId="7DC07AA3" w14:textId="77777777" w:rsidTr="00CE0303">
        <w:trPr>
          <w:jc w:val="center"/>
        </w:trPr>
        <w:tc>
          <w:tcPr>
            <w:tcW w:w="709" w:type="dxa"/>
            <w:shd w:val="clear" w:color="auto" w:fill="92D050"/>
            <w:vAlign w:val="center"/>
          </w:tcPr>
          <w:p w14:paraId="1079E27D"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shd w:val="clear" w:color="auto" w:fill="FFFFFF" w:themeFill="background1"/>
            <w:vAlign w:val="center"/>
          </w:tcPr>
          <w:p w14:paraId="2EF282E5" w14:textId="77777777" w:rsidR="00CE0303" w:rsidRPr="00CE0303" w:rsidRDefault="00CE0303" w:rsidP="00CE0303">
            <w:pPr>
              <w:spacing w:after="0"/>
              <w:jc w:val="center"/>
              <w:rPr>
                <w:rFonts w:eastAsiaTheme="minorHAnsi"/>
                <w:lang w:val="lv-LV"/>
              </w:rPr>
            </w:pPr>
            <w:r w:rsidRPr="00CE0303">
              <w:rPr>
                <w:rFonts w:eastAsiaTheme="minorHAnsi"/>
                <w:lang w:val="lv-LV"/>
              </w:rPr>
              <w:t>17 236</w:t>
            </w:r>
          </w:p>
        </w:tc>
        <w:tc>
          <w:tcPr>
            <w:tcW w:w="554" w:type="dxa"/>
            <w:shd w:val="clear" w:color="auto" w:fill="92D050"/>
            <w:vAlign w:val="center"/>
          </w:tcPr>
          <w:p w14:paraId="2894487C"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shd w:val="clear" w:color="auto" w:fill="FFFFFF" w:themeFill="background1"/>
            <w:vAlign w:val="center"/>
          </w:tcPr>
          <w:p w14:paraId="5BAD86DA" w14:textId="77777777" w:rsidR="00CE0303" w:rsidRPr="00CE0303" w:rsidRDefault="00CE0303" w:rsidP="00CE0303">
            <w:pPr>
              <w:spacing w:after="0"/>
              <w:jc w:val="center"/>
              <w:rPr>
                <w:rFonts w:eastAsiaTheme="minorHAnsi"/>
                <w:lang w:val="lv-LV"/>
              </w:rPr>
            </w:pPr>
            <w:r w:rsidRPr="00CE0303">
              <w:rPr>
                <w:rFonts w:eastAsiaTheme="minorHAnsi"/>
                <w:lang w:val="lv-LV"/>
              </w:rPr>
              <w:t>0</w:t>
            </w:r>
          </w:p>
        </w:tc>
        <w:tc>
          <w:tcPr>
            <w:tcW w:w="709" w:type="dxa"/>
            <w:shd w:val="clear" w:color="auto" w:fill="92D050"/>
            <w:vAlign w:val="center"/>
          </w:tcPr>
          <w:p w14:paraId="2B1B2FD0"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shd w:val="clear" w:color="auto" w:fill="FFFFFF" w:themeFill="background1"/>
            <w:vAlign w:val="center"/>
          </w:tcPr>
          <w:p w14:paraId="4D061780" w14:textId="77777777" w:rsidR="00CE0303" w:rsidRPr="00CE0303" w:rsidRDefault="00CE0303" w:rsidP="00CE0303">
            <w:pPr>
              <w:spacing w:after="0"/>
              <w:jc w:val="center"/>
              <w:rPr>
                <w:rFonts w:eastAsiaTheme="minorHAnsi"/>
                <w:lang w:val="lv-LV"/>
              </w:rPr>
            </w:pPr>
            <w:r w:rsidRPr="00CE0303">
              <w:rPr>
                <w:rFonts w:eastAsiaTheme="minorHAnsi"/>
                <w:lang w:val="lv-LV"/>
              </w:rPr>
              <w:t>0</w:t>
            </w:r>
          </w:p>
        </w:tc>
      </w:tr>
    </w:tbl>
    <w:p w14:paraId="5C2DCA0E" w14:textId="63A931EB" w:rsidR="00CE0303" w:rsidRPr="00CE0303" w:rsidRDefault="00CE0303" w:rsidP="00CE0303">
      <w:pPr>
        <w:spacing w:before="120"/>
        <w:ind w:firstLine="720"/>
        <w:rPr>
          <w:rFonts w:eastAsiaTheme="minorHAnsi"/>
          <w:lang w:val="lv-LV"/>
        </w:rPr>
      </w:pPr>
      <w:r w:rsidRPr="00CE0303">
        <w:rPr>
          <w:rFonts w:eastAsiaTheme="minorHAnsi"/>
          <w:lang w:val="lv-LV"/>
        </w:rPr>
        <w:t xml:space="preserve">Militāro karšu un militāro </w:t>
      </w:r>
      <w:r w:rsidR="005A1C40" w:rsidRPr="00CE0303">
        <w:rPr>
          <w:rFonts w:eastAsiaTheme="minorHAnsi"/>
          <w:lang w:val="lv-LV"/>
        </w:rPr>
        <w:t>datubāžu</w:t>
      </w:r>
      <w:r w:rsidRPr="00CE0303">
        <w:rPr>
          <w:rFonts w:eastAsiaTheme="minorHAnsi"/>
          <w:lang w:val="lv-LV"/>
        </w:rPr>
        <w:t xml:space="preserve"> sagatavošanas vajadzībām ir nepieciešama aktuāla un ticama informācija par ūdensteču un ūdenstilpju dziļumiem. Informācija par ūdensteču un ūdenstilpju dziļumiem praktiski ir pieejama tikai bijušās PSRS sagatavotajās kartēs, kas ir novecojušas, jaunākās kartes ir izdotas vairāk nekā pirms 30 gadiem. Lai turpinātu ūdensteču un ūdenstilpju dziļumu datu ieguvi, jo šie dati joprojām ir pieejami kritiski nelielā apjomā, Latvijas Ģeotelpiskās informācijas aģentūrai ir nepieciešams papildu finansējums. Ūdensteču un ūdenstilpju dziļumu datus var iegūt ar divām metodēm – ar klasisko batimetrijas metodi izmantojot eholotu un ar aerolāzerskenēšanas metodi. Metode ar eholotu ir ilgstoši pielietota un nodrošina dziļuma mērījumus līdz 100 m. Šīs metodes izmaksas ir mazākās kā metodei ar aerolāzerskenēšanu. Ūdensteču un ūdenstilpju dziļumu datu ieguves darbus ir paredzēts turpināt, līdz dziļuma dati būs pieejami par visas valsts teritoriju.</w:t>
      </w:r>
    </w:p>
    <w:p w14:paraId="63AD6B40" w14:textId="169F8A98" w:rsidR="00CE0303" w:rsidRPr="00CE0303" w:rsidRDefault="00CE0303" w:rsidP="00CE0303">
      <w:pPr>
        <w:spacing w:before="120"/>
        <w:ind w:firstLine="720"/>
        <w:rPr>
          <w:rFonts w:eastAsiaTheme="minorHAnsi"/>
          <w:lang w:val="lv-LV"/>
        </w:rPr>
      </w:pPr>
      <w:r w:rsidRPr="00CE0303">
        <w:rPr>
          <w:rFonts w:eastAsiaTheme="minorHAnsi"/>
          <w:lang w:val="lv-LV"/>
        </w:rPr>
        <w:t>Lai nodrošinātu Latvijas valsts ūdens tilpņu dziļuma datu iegūšanu militārās kartēšanas vajadzībām, nepieciešams veikt finansējuma pārdali 2022. gadā un turpmāk ik gadu no budžeta apakšprogrammas 22.12.00 “Nacionālo bruņoto spēku uzturēšana” ilgtermiņa saistību pasākuma “Nacionālo bruņoto spēku ilgtermiņa līgumi” uz budžeta programmu 28.00.00</w:t>
      </w:r>
      <w:r w:rsidR="00B91C89">
        <w:rPr>
          <w:rFonts w:eastAsiaTheme="minorHAnsi"/>
          <w:lang w:val="lv-LV"/>
        </w:rPr>
        <w:t xml:space="preserve"> “Ģeodēzija un kartogrāfija” 52,5 tūkst. </w:t>
      </w:r>
      <w:r w:rsidRPr="00CE0303">
        <w:rPr>
          <w:rFonts w:eastAsiaTheme="minorHAnsi"/>
          <w:i/>
          <w:iCs/>
          <w:lang w:val="lv-LV"/>
        </w:rPr>
        <w:t>euro</w:t>
      </w:r>
      <w:r w:rsidRPr="00CE0303">
        <w:rPr>
          <w:rFonts w:eastAsiaTheme="minorHAnsi"/>
          <w:lang w:val="lv-LV"/>
        </w:rPr>
        <w:t xml:space="preserve"> apmērā.</w:t>
      </w:r>
    </w:p>
    <w:tbl>
      <w:tblPr>
        <w:tblStyle w:val="TableGrid1"/>
        <w:tblW w:w="0" w:type="auto"/>
        <w:jc w:val="center"/>
        <w:tblLook w:val="04A0" w:firstRow="1" w:lastRow="0" w:firstColumn="1" w:lastColumn="0" w:noHBand="0" w:noVBand="1"/>
      </w:tblPr>
      <w:tblGrid>
        <w:gridCol w:w="709"/>
        <w:gridCol w:w="1271"/>
        <w:gridCol w:w="696"/>
        <w:gridCol w:w="1129"/>
        <w:gridCol w:w="709"/>
        <w:gridCol w:w="1010"/>
      </w:tblGrid>
      <w:tr w:rsidR="00CE0303" w:rsidRPr="00CE0303" w14:paraId="56B53356" w14:textId="77777777" w:rsidTr="009344B0">
        <w:trPr>
          <w:jc w:val="center"/>
        </w:trPr>
        <w:tc>
          <w:tcPr>
            <w:tcW w:w="709" w:type="dxa"/>
            <w:shd w:val="clear" w:color="auto" w:fill="92D050"/>
            <w:vAlign w:val="center"/>
          </w:tcPr>
          <w:p w14:paraId="0EF8733C"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shd w:val="clear" w:color="auto" w:fill="FFFFFF" w:themeFill="background1"/>
            <w:vAlign w:val="center"/>
          </w:tcPr>
          <w:p w14:paraId="6C69775F" w14:textId="77777777" w:rsidR="00CE0303" w:rsidRPr="00CE0303" w:rsidRDefault="00CE0303" w:rsidP="00CE0303">
            <w:pPr>
              <w:spacing w:after="0"/>
              <w:jc w:val="center"/>
              <w:rPr>
                <w:rFonts w:eastAsiaTheme="minorHAnsi"/>
                <w:lang w:val="lv-LV"/>
              </w:rPr>
            </w:pPr>
            <w:r w:rsidRPr="00CE0303">
              <w:rPr>
                <w:rFonts w:eastAsiaTheme="minorHAnsi"/>
                <w:lang w:val="lv-LV"/>
              </w:rPr>
              <w:t>52 500</w:t>
            </w:r>
          </w:p>
        </w:tc>
        <w:tc>
          <w:tcPr>
            <w:tcW w:w="554" w:type="dxa"/>
            <w:shd w:val="clear" w:color="auto" w:fill="92D050"/>
            <w:vAlign w:val="center"/>
          </w:tcPr>
          <w:p w14:paraId="251568A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shd w:val="clear" w:color="auto" w:fill="FFFFFF" w:themeFill="background1"/>
            <w:vAlign w:val="center"/>
          </w:tcPr>
          <w:p w14:paraId="415CB34C" w14:textId="77777777" w:rsidR="00CE0303" w:rsidRPr="00CE0303" w:rsidRDefault="00CE0303" w:rsidP="00CE0303">
            <w:pPr>
              <w:spacing w:after="0"/>
              <w:jc w:val="center"/>
              <w:rPr>
                <w:rFonts w:eastAsiaTheme="minorHAnsi"/>
                <w:lang w:val="lv-LV"/>
              </w:rPr>
            </w:pPr>
            <w:r w:rsidRPr="00CE0303">
              <w:rPr>
                <w:rFonts w:eastAsiaTheme="minorHAnsi"/>
                <w:lang w:val="lv-LV"/>
              </w:rPr>
              <w:t>52 500</w:t>
            </w:r>
          </w:p>
        </w:tc>
        <w:tc>
          <w:tcPr>
            <w:tcW w:w="709" w:type="dxa"/>
            <w:shd w:val="clear" w:color="auto" w:fill="92D050"/>
            <w:vAlign w:val="center"/>
          </w:tcPr>
          <w:p w14:paraId="1C574247"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shd w:val="clear" w:color="auto" w:fill="FFFFFF" w:themeFill="background1"/>
            <w:vAlign w:val="center"/>
          </w:tcPr>
          <w:p w14:paraId="5A966533" w14:textId="77777777" w:rsidR="00CE0303" w:rsidRPr="00CE0303" w:rsidRDefault="00CE0303" w:rsidP="00CE0303">
            <w:pPr>
              <w:spacing w:after="0"/>
              <w:jc w:val="left"/>
              <w:rPr>
                <w:rFonts w:eastAsiaTheme="minorHAnsi"/>
                <w:lang w:val="lv-LV"/>
              </w:rPr>
            </w:pPr>
            <w:r w:rsidRPr="00CE0303">
              <w:rPr>
                <w:rFonts w:eastAsiaTheme="minorHAnsi"/>
                <w:lang w:val="lv-LV"/>
              </w:rPr>
              <w:t>52 500</w:t>
            </w:r>
          </w:p>
        </w:tc>
      </w:tr>
    </w:tbl>
    <w:p w14:paraId="007F53F8" w14:textId="2D344A33" w:rsidR="00CE0303" w:rsidRPr="00CE0303" w:rsidRDefault="00CE0303" w:rsidP="00CE0303">
      <w:pPr>
        <w:spacing w:before="120"/>
        <w:ind w:firstLine="720"/>
        <w:rPr>
          <w:rFonts w:eastAsiaTheme="minorHAnsi"/>
          <w:lang w:val="lv-LV"/>
        </w:rPr>
      </w:pPr>
      <w:r w:rsidRPr="00CE0303">
        <w:rPr>
          <w:rFonts w:eastAsiaTheme="minorHAnsi"/>
          <w:lang w:val="lv-LV"/>
        </w:rPr>
        <w:t>Nepieciešams nodrošināt NIS direktīvas</w:t>
      </w:r>
      <w:r w:rsidR="00B91C89">
        <w:rPr>
          <w:rStyle w:val="FootnoteReference"/>
          <w:rFonts w:eastAsiaTheme="minorHAnsi"/>
          <w:lang w:val="lv-LV"/>
        </w:rPr>
        <w:footnoteReference w:id="8"/>
      </w:r>
      <w:r w:rsidRPr="00CE0303">
        <w:rPr>
          <w:rFonts w:eastAsiaTheme="minorHAnsi"/>
          <w:lang w:val="lv-LV"/>
        </w:rPr>
        <w:t xml:space="preserve"> prasības izpildi un turpināt paplašināt sensoru tīklu, veidot apdraudējumu pārskatus un veikt pētījumus ICS SCADA laboratorijā. Lai uzlabotu CERT.LV redzamību kibertelpā un nodrošinātu ērtāku ļaunatūras analīzi un korelāciju, kā arī CERT.LV audzētu brieduma pakāpi, nepieciešams iegādāties piekļuvi specializētiem pakalpojumiem un nodrošināt iespēju uzlabot CERT.LV redzamību kibertelpā, efektīvāku ļaunatūras analīzi un korelāciju.</w:t>
      </w:r>
    </w:p>
    <w:p w14:paraId="2FC50FE3" w14:textId="503A9156" w:rsidR="00CE0303" w:rsidRPr="00CE0303" w:rsidRDefault="00CE0303" w:rsidP="00CE0303">
      <w:pPr>
        <w:spacing w:before="120"/>
        <w:ind w:firstLine="720"/>
        <w:rPr>
          <w:rFonts w:eastAsiaTheme="minorHAnsi"/>
          <w:lang w:val="lv-LV"/>
        </w:rPr>
      </w:pPr>
      <w:r w:rsidRPr="00CE0303">
        <w:rPr>
          <w:rFonts w:eastAsiaTheme="minorHAnsi"/>
          <w:lang w:val="lv-LV"/>
        </w:rPr>
        <w:t>Lai nodrošinātu kiberdrošības procesa turpināšanu, nepieciešams veikt finansējuma pārdali 2022. gadam un turpmāk ik gadu no budžeta apakšprogrammas 22.12.00 “Nacionālo bruņoto spēku uzturēšana” ilgtermiņa saistību pasākuma “Nacionālo bruņoto spēku ilgtermiņa līgumi” uz</w:t>
      </w:r>
      <w:r w:rsidR="007D00BC">
        <w:rPr>
          <w:rFonts w:eastAsiaTheme="minorHAnsi"/>
          <w:lang w:val="lv-LV"/>
        </w:rPr>
        <w:t xml:space="preserve"> </w:t>
      </w:r>
      <w:r w:rsidRPr="00CE0303">
        <w:rPr>
          <w:rFonts w:eastAsiaTheme="minorHAnsi"/>
          <w:lang w:val="lv-LV"/>
        </w:rPr>
        <w:t>budžeta programmu 30.00.00 “Valsts aizsardzības politikas realizācija” 222</w:t>
      </w:r>
      <w:r w:rsidR="00B91C89">
        <w:rPr>
          <w:rFonts w:eastAsiaTheme="minorHAnsi"/>
          <w:lang w:val="lv-LV"/>
        </w:rPr>
        <w:t>,0 tūkst.</w:t>
      </w:r>
      <w:r w:rsidRPr="00CE0303">
        <w:rPr>
          <w:rFonts w:eastAsiaTheme="minorHAnsi"/>
          <w:lang w:val="lv-LV"/>
        </w:rPr>
        <w:t xml:space="preserve"> </w:t>
      </w:r>
      <w:r w:rsidRPr="00CE0303">
        <w:rPr>
          <w:rFonts w:eastAsiaTheme="minorHAnsi"/>
          <w:i/>
          <w:iCs/>
          <w:lang w:val="lv-LV"/>
        </w:rPr>
        <w:t>euro</w:t>
      </w:r>
      <w:r w:rsidRPr="00CE0303">
        <w:rPr>
          <w:rFonts w:eastAsiaTheme="minorHAnsi"/>
          <w:lang w:val="lv-LV"/>
        </w:rPr>
        <w:t xml:space="preserve"> apmērā.</w:t>
      </w:r>
    </w:p>
    <w:tbl>
      <w:tblPr>
        <w:tblStyle w:val="TableGrid1"/>
        <w:tblW w:w="0" w:type="auto"/>
        <w:jc w:val="center"/>
        <w:tblLook w:val="04A0" w:firstRow="1" w:lastRow="0" w:firstColumn="1" w:lastColumn="0" w:noHBand="0" w:noVBand="1"/>
      </w:tblPr>
      <w:tblGrid>
        <w:gridCol w:w="709"/>
        <w:gridCol w:w="1271"/>
        <w:gridCol w:w="696"/>
        <w:gridCol w:w="1129"/>
        <w:gridCol w:w="709"/>
        <w:gridCol w:w="1435"/>
      </w:tblGrid>
      <w:tr w:rsidR="00CE0303" w:rsidRPr="00CE0303" w14:paraId="68C24D39" w14:textId="77777777" w:rsidTr="00CE0303">
        <w:trPr>
          <w:jc w:val="center"/>
        </w:trPr>
        <w:tc>
          <w:tcPr>
            <w:tcW w:w="709" w:type="dxa"/>
            <w:shd w:val="clear" w:color="auto" w:fill="92D050"/>
            <w:vAlign w:val="center"/>
          </w:tcPr>
          <w:p w14:paraId="35FF332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shd w:val="clear" w:color="auto" w:fill="FFFFFF" w:themeFill="background1"/>
            <w:vAlign w:val="center"/>
          </w:tcPr>
          <w:p w14:paraId="1A5B6E80" w14:textId="77777777" w:rsidR="00CE0303" w:rsidRPr="00CE0303" w:rsidRDefault="00CE0303" w:rsidP="00CE0303">
            <w:pPr>
              <w:spacing w:after="0"/>
              <w:jc w:val="center"/>
              <w:rPr>
                <w:rFonts w:eastAsiaTheme="minorHAnsi"/>
                <w:lang w:val="lv-LV"/>
              </w:rPr>
            </w:pPr>
            <w:r w:rsidRPr="00CE0303">
              <w:rPr>
                <w:rFonts w:eastAsiaTheme="minorHAnsi"/>
                <w:lang w:val="lv-LV"/>
              </w:rPr>
              <w:t>222 000</w:t>
            </w:r>
          </w:p>
        </w:tc>
        <w:tc>
          <w:tcPr>
            <w:tcW w:w="696" w:type="dxa"/>
            <w:shd w:val="clear" w:color="auto" w:fill="92D050"/>
            <w:vAlign w:val="center"/>
          </w:tcPr>
          <w:p w14:paraId="40AAED2E"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shd w:val="clear" w:color="auto" w:fill="FFFFFF" w:themeFill="background1"/>
            <w:vAlign w:val="center"/>
          </w:tcPr>
          <w:p w14:paraId="7859DEE4" w14:textId="77777777" w:rsidR="00CE0303" w:rsidRPr="00CE0303" w:rsidRDefault="00CE0303" w:rsidP="00CE0303">
            <w:pPr>
              <w:spacing w:after="0"/>
              <w:jc w:val="center"/>
              <w:rPr>
                <w:rFonts w:eastAsiaTheme="minorHAnsi"/>
                <w:lang w:val="lv-LV"/>
              </w:rPr>
            </w:pPr>
            <w:r w:rsidRPr="00CE0303">
              <w:rPr>
                <w:rFonts w:eastAsiaTheme="minorHAnsi"/>
                <w:lang w:val="lv-LV"/>
              </w:rPr>
              <w:t>222 000</w:t>
            </w:r>
          </w:p>
        </w:tc>
        <w:tc>
          <w:tcPr>
            <w:tcW w:w="709" w:type="dxa"/>
            <w:shd w:val="clear" w:color="auto" w:fill="92D050"/>
            <w:vAlign w:val="center"/>
          </w:tcPr>
          <w:p w14:paraId="2AC8C139"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435" w:type="dxa"/>
            <w:shd w:val="clear" w:color="auto" w:fill="FFFFFF" w:themeFill="background1"/>
            <w:vAlign w:val="center"/>
          </w:tcPr>
          <w:p w14:paraId="72A96CDD" w14:textId="77777777" w:rsidR="00CE0303" w:rsidRPr="00CE0303" w:rsidRDefault="00CE0303" w:rsidP="00CE0303">
            <w:pPr>
              <w:spacing w:after="0"/>
              <w:ind w:left="360"/>
              <w:jc w:val="left"/>
              <w:rPr>
                <w:rFonts w:eastAsiaTheme="minorHAnsi"/>
                <w:lang w:val="lv-LV"/>
              </w:rPr>
            </w:pPr>
            <w:r w:rsidRPr="00CE0303">
              <w:rPr>
                <w:rFonts w:eastAsiaTheme="minorHAnsi"/>
                <w:lang w:val="lv-LV"/>
              </w:rPr>
              <w:t>222 000</w:t>
            </w:r>
          </w:p>
        </w:tc>
      </w:tr>
    </w:tbl>
    <w:p w14:paraId="01197620" w14:textId="75341404" w:rsidR="00CE0303" w:rsidRPr="00CE0303" w:rsidRDefault="00CE0303" w:rsidP="00CE0303">
      <w:pPr>
        <w:spacing w:before="120"/>
        <w:ind w:firstLine="720"/>
        <w:rPr>
          <w:rFonts w:eastAsiaTheme="minorHAnsi"/>
          <w:lang w:val="lv-LV"/>
        </w:rPr>
      </w:pPr>
      <w:r w:rsidRPr="00CE0303">
        <w:rPr>
          <w:rFonts w:eastAsiaTheme="minorHAnsi"/>
          <w:lang w:val="lv-LV"/>
        </w:rPr>
        <w:t>NATO (t.sk. NSIP ietvaros) un ASV divpusējās sadarbības ietvaros, Latvijā tiek ieguldīts finansējums militārajā infrastruktūrā papildus AM budžeta līdzekļiem. Plānots kopumā ieguldīt līdz 2027.</w:t>
      </w:r>
      <w:r w:rsidR="00FF342C">
        <w:rPr>
          <w:rFonts w:eastAsiaTheme="minorHAnsi"/>
          <w:lang w:val="lv-LV"/>
        </w:rPr>
        <w:t xml:space="preserve"> </w:t>
      </w:r>
      <w:r w:rsidRPr="00CE0303">
        <w:rPr>
          <w:rFonts w:eastAsiaTheme="minorHAnsi"/>
          <w:lang w:val="lv-LV"/>
        </w:rPr>
        <w:t xml:space="preserve">gadam infrastruktūrā ap 100 milj. </w:t>
      </w:r>
      <w:r w:rsidRPr="00B91C89">
        <w:rPr>
          <w:rFonts w:eastAsiaTheme="minorHAnsi"/>
          <w:i/>
          <w:lang w:val="lv-LV"/>
        </w:rPr>
        <w:t>euro</w:t>
      </w:r>
      <w:r w:rsidRPr="00CE0303">
        <w:rPr>
          <w:rFonts w:eastAsiaTheme="minorHAnsi"/>
          <w:lang w:val="lv-LV"/>
        </w:rPr>
        <w:t xml:space="preserve">, uzturēšanu un </w:t>
      </w:r>
      <w:r w:rsidRPr="00CE0303">
        <w:rPr>
          <w:rFonts w:eastAsiaTheme="minorHAnsi"/>
          <w:lang w:val="lv-LV"/>
        </w:rPr>
        <w:lastRenderedPageBreak/>
        <w:t xml:space="preserve">apsaimniekošanu nodrošinot no nacionālajiem līdzekļiem. Tādējādi, ir nepieciešams papildus finansējums infrastruktūras uzturēšanas nodrošināšanai </w:t>
      </w:r>
      <w:r>
        <w:rPr>
          <w:rFonts w:eastAsiaTheme="minorHAnsi"/>
          <w:lang w:val="lv-LV"/>
        </w:rPr>
        <w:t>AiM</w:t>
      </w:r>
      <w:r w:rsidRPr="00CE0303">
        <w:rPr>
          <w:rFonts w:eastAsiaTheme="minorHAnsi"/>
          <w:lang w:val="lv-LV"/>
        </w:rPr>
        <w:t xml:space="preserve"> budžetā, lai uzturētu objektus atbilstoši LV normatīvajiem aktiem, stratēģisko uzdevumu īstenošanai un centra kompetences pilnveidei saistībā ar NATO</w:t>
      </w:r>
      <w:r w:rsidR="007D00BC">
        <w:rPr>
          <w:rFonts w:eastAsiaTheme="minorHAnsi"/>
          <w:lang w:val="lv-LV"/>
        </w:rPr>
        <w:t xml:space="preserve"> </w:t>
      </w:r>
      <w:r w:rsidRPr="00CE0303">
        <w:rPr>
          <w:rFonts w:eastAsiaTheme="minorHAnsi"/>
          <w:lang w:val="lv-LV"/>
        </w:rPr>
        <w:t>ieguldītajiem resursiem infrastruktūrā.</w:t>
      </w:r>
    </w:p>
    <w:p w14:paraId="48D56B1D" w14:textId="799B22E2" w:rsidR="00CE0303" w:rsidRPr="00CE0303" w:rsidRDefault="00CE0303" w:rsidP="00CE0303">
      <w:pPr>
        <w:spacing w:before="120"/>
        <w:ind w:firstLine="720"/>
        <w:rPr>
          <w:rFonts w:eastAsiaTheme="minorHAnsi"/>
          <w:lang w:val="lv-LV"/>
        </w:rPr>
      </w:pPr>
      <w:r w:rsidRPr="00CE0303">
        <w:rPr>
          <w:rFonts w:eastAsiaTheme="minorHAnsi"/>
          <w:lang w:val="lv-LV"/>
        </w:rPr>
        <w:t>Lai to nodrošinātu, nepieciešamas Valsts aizsardzības militāro objektu un iepirkumu centram 2022. gadam un turpmāk ik gadu palielin</w:t>
      </w:r>
      <w:r w:rsidR="00B91C89">
        <w:rPr>
          <w:rFonts w:eastAsiaTheme="minorHAnsi"/>
          <w:lang w:val="lv-LV"/>
        </w:rPr>
        <w:t xml:space="preserve">āt izdevumus atlīdzībai par 394,6 </w:t>
      </w:r>
      <w:r w:rsidR="00AC6D3B">
        <w:rPr>
          <w:rFonts w:eastAsiaTheme="minorHAnsi"/>
          <w:lang w:val="lv-LV"/>
        </w:rPr>
        <w:t>tūkst.</w:t>
      </w:r>
      <w:r w:rsidR="00B91C89">
        <w:rPr>
          <w:rFonts w:eastAsiaTheme="minorHAnsi"/>
          <w:lang w:val="lv-LV"/>
        </w:rPr>
        <w:t xml:space="preserve"> </w:t>
      </w:r>
      <w:r w:rsidRPr="00CE0303">
        <w:rPr>
          <w:rFonts w:eastAsiaTheme="minorHAnsi"/>
          <w:i/>
          <w:iCs/>
          <w:lang w:val="lv-LV"/>
        </w:rPr>
        <w:t>euro</w:t>
      </w:r>
      <w:r w:rsidRPr="00CE0303">
        <w:rPr>
          <w:rFonts w:eastAsiaTheme="minorHAnsi"/>
          <w:lang w:val="lv-LV"/>
        </w:rPr>
        <w:t>, veicot finansējuma pārdali no budžeta apakšprogrammas 22.12.00 “Nacionālo bruņoto spēku uzturēšana” ilgtermiņa saistību pasākuma “Nacionālo bruņoto spēku ilgtermiņa līgumi” uz budžeta programmu 33.00.00 “Aizsard</w:t>
      </w:r>
      <w:r w:rsidR="005A1C40">
        <w:rPr>
          <w:rFonts w:eastAsiaTheme="minorHAnsi"/>
          <w:lang w:val="lv-LV"/>
        </w:rPr>
        <w:t xml:space="preserve">zības īpašumu pārvaldīšana” 282,4 </w:t>
      </w:r>
      <w:r w:rsidR="00AC6D3B">
        <w:rPr>
          <w:rFonts w:eastAsiaTheme="minorHAnsi"/>
          <w:lang w:val="lv-LV"/>
        </w:rPr>
        <w:t>tūkst.</w:t>
      </w:r>
      <w:r w:rsidR="005A1C40">
        <w:rPr>
          <w:rFonts w:eastAsiaTheme="minorHAnsi"/>
          <w:lang w:val="lv-LV"/>
        </w:rPr>
        <w:t xml:space="preserve"> </w:t>
      </w:r>
      <w:r w:rsidRPr="00CE0303">
        <w:rPr>
          <w:rFonts w:eastAsiaTheme="minorHAnsi"/>
          <w:i/>
          <w:iCs/>
          <w:lang w:val="lv-LV"/>
        </w:rPr>
        <w:t>euro</w:t>
      </w:r>
      <w:r w:rsidRPr="00CE0303">
        <w:rPr>
          <w:rFonts w:eastAsiaTheme="minorHAnsi"/>
          <w:lang w:val="lv-LV"/>
        </w:rPr>
        <w:t xml:space="preserve"> un vienlaikus budžeta programmas 33.00.00 “Aizsardzības īpašumu pārvaldīšana” ietvaros veicot pārdali starp izdevumu ekonomiskās klasifikācijas kodie</w:t>
      </w:r>
      <w:r w:rsidR="005A1C40">
        <w:rPr>
          <w:rFonts w:eastAsiaTheme="minorHAnsi"/>
          <w:lang w:val="lv-LV"/>
        </w:rPr>
        <w:t xml:space="preserve">m 112,2 </w:t>
      </w:r>
      <w:r w:rsidR="00AC6D3B">
        <w:rPr>
          <w:rFonts w:eastAsiaTheme="minorHAnsi"/>
          <w:lang w:val="lv-LV"/>
        </w:rPr>
        <w:t>tūkst.</w:t>
      </w:r>
      <w:r w:rsidRPr="00CE0303">
        <w:rPr>
          <w:rFonts w:eastAsiaTheme="minorHAnsi"/>
          <w:lang w:val="lv-LV"/>
        </w:rPr>
        <w:t xml:space="preserve"> </w:t>
      </w:r>
      <w:r w:rsidRPr="00CE0303">
        <w:rPr>
          <w:rFonts w:eastAsiaTheme="minorHAnsi"/>
          <w:i/>
          <w:iCs/>
          <w:lang w:val="lv-LV"/>
        </w:rPr>
        <w:t>euro</w:t>
      </w:r>
      <w:r w:rsidRPr="00CE0303">
        <w:rPr>
          <w:rFonts w:eastAsiaTheme="minorHAnsi"/>
          <w:lang w:val="lv-LV"/>
        </w:rPr>
        <w:t xml:space="preserve"> apmērā.</w:t>
      </w:r>
    </w:p>
    <w:tbl>
      <w:tblPr>
        <w:tblStyle w:val="TableGrid1"/>
        <w:tblW w:w="0" w:type="auto"/>
        <w:jc w:val="center"/>
        <w:tblLook w:val="04A0" w:firstRow="1" w:lastRow="0" w:firstColumn="1" w:lastColumn="0" w:noHBand="0" w:noVBand="1"/>
      </w:tblPr>
      <w:tblGrid>
        <w:gridCol w:w="709"/>
        <w:gridCol w:w="1271"/>
        <w:gridCol w:w="696"/>
        <w:gridCol w:w="1129"/>
        <w:gridCol w:w="709"/>
        <w:gridCol w:w="1435"/>
      </w:tblGrid>
      <w:tr w:rsidR="00CE0303" w:rsidRPr="00CE0303" w14:paraId="7BBD23D7" w14:textId="77777777" w:rsidTr="00CE0303">
        <w:trPr>
          <w:jc w:val="center"/>
        </w:trPr>
        <w:tc>
          <w:tcPr>
            <w:tcW w:w="709" w:type="dxa"/>
            <w:shd w:val="clear" w:color="auto" w:fill="92D050"/>
            <w:vAlign w:val="center"/>
          </w:tcPr>
          <w:p w14:paraId="3E7B07E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shd w:val="clear" w:color="auto" w:fill="FFFFFF" w:themeFill="background1"/>
            <w:vAlign w:val="center"/>
          </w:tcPr>
          <w:p w14:paraId="10EC3D4F" w14:textId="77777777" w:rsidR="00CE0303" w:rsidRPr="00CE0303" w:rsidRDefault="00CE0303" w:rsidP="00CE0303">
            <w:pPr>
              <w:spacing w:after="0"/>
              <w:jc w:val="center"/>
              <w:rPr>
                <w:rFonts w:eastAsiaTheme="minorHAnsi"/>
                <w:lang w:val="lv-LV"/>
              </w:rPr>
            </w:pPr>
            <w:r w:rsidRPr="00CE0303">
              <w:rPr>
                <w:rFonts w:eastAsiaTheme="minorHAnsi"/>
                <w:lang w:val="lv-LV"/>
              </w:rPr>
              <w:t>394 593</w:t>
            </w:r>
          </w:p>
        </w:tc>
        <w:tc>
          <w:tcPr>
            <w:tcW w:w="696" w:type="dxa"/>
            <w:shd w:val="clear" w:color="auto" w:fill="92D050"/>
            <w:vAlign w:val="center"/>
          </w:tcPr>
          <w:p w14:paraId="51F8BF3D"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shd w:val="clear" w:color="auto" w:fill="FFFFFF" w:themeFill="background1"/>
            <w:vAlign w:val="center"/>
          </w:tcPr>
          <w:p w14:paraId="4ECD6233" w14:textId="77777777" w:rsidR="00CE0303" w:rsidRPr="00CE0303" w:rsidRDefault="00CE0303" w:rsidP="00CE0303">
            <w:pPr>
              <w:spacing w:after="0"/>
              <w:jc w:val="center"/>
              <w:rPr>
                <w:rFonts w:eastAsiaTheme="minorHAnsi"/>
                <w:lang w:val="lv-LV"/>
              </w:rPr>
            </w:pPr>
            <w:r w:rsidRPr="00CE0303">
              <w:rPr>
                <w:rFonts w:eastAsiaTheme="minorHAnsi"/>
                <w:lang w:val="lv-LV"/>
              </w:rPr>
              <w:t>394 593</w:t>
            </w:r>
          </w:p>
        </w:tc>
        <w:tc>
          <w:tcPr>
            <w:tcW w:w="709" w:type="dxa"/>
            <w:shd w:val="clear" w:color="auto" w:fill="92D050"/>
            <w:vAlign w:val="center"/>
          </w:tcPr>
          <w:p w14:paraId="383D0C9A"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435" w:type="dxa"/>
            <w:shd w:val="clear" w:color="auto" w:fill="FFFFFF" w:themeFill="background1"/>
            <w:vAlign w:val="center"/>
          </w:tcPr>
          <w:p w14:paraId="19195421" w14:textId="77777777" w:rsidR="00CE0303" w:rsidRPr="00CE0303" w:rsidRDefault="00CE0303" w:rsidP="00CE0303">
            <w:pPr>
              <w:spacing w:after="0"/>
              <w:ind w:left="360"/>
              <w:jc w:val="left"/>
              <w:rPr>
                <w:rFonts w:eastAsiaTheme="minorHAnsi"/>
                <w:lang w:val="lv-LV"/>
              </w:rPr>
            </w:pPr>
            <w:r w:rsidRPr="00CE0303">
              <w:rPr>
                <w:rFonts w:eastAsiaTheme="minorHAnsi"/>
                <w:lang w:val="lv-LV"/>
              </w:rPr>
              <w:t>394 593</w:t>
            </w:r>
          </w:p>
        </w:tc>
      </w:tr>
    </w:tbl>
    <w:p w14:paraId="2214F59B" w14:textId="77777777" w:rsidR="00CE0303" w:rsidRPr="00CE0303" w:rsidRDefault="00CE0303" w:rsidP="00CE0303">
      <w:pPr>
        <w:spacing w:before="120"/>
        <w:rPr>
          <w:rFonts w:eastAsiaTheme="minorHAnsi"/>
          <w:lang w:val="lv-LV"/>
        </w:rPr>
      </w:pPr>
    </w:p>
    <w:p w14:paraId="191EF096" w14:textId="77777777" w:rsidR="00CE0303" w:rsidRPr="00CE0303" w:rsidRDefault="00CE0303" w:rsidP="00CE0303">
      <w:pPr>
        <w:ind w:firstLine="720"/>
        <w:rPr>
          <w:rFonts w:eastAsiaTheme="minorHAnsi"/>
          <w:b/>
          <w:lang w:val="lv-LV"/>
        </w:rPr>
      </w:pPr>
      <w:r w:rsidRPr="00CE0303">
        <w:rPr>
          <w:rFonts w:eastAsiaTheme="minorHAnsi"/>
          <w:b/>
          <w:lang w:val="lv-LV"/>
        </w:rPr>
        <w:t>Ārlietu ministrija</w:t>
      </w:r>
    </w:p>
    <w:p w14:paraId="758EE6D7" w14:textId="7BDB1915" w:rsidR="00CE0303" w:rsidRPr="00CE0303" w:rsidRDefault="00CE0303" w:rsidP="00B91C89">
      <w:pPr>
        <w:ind w:firstLine="720"/>
        <w:rPr>
          <w:rFonts w:cs="Times New Roman"/>
          <w:szCs w:val="24"/>
          <w:lang w:val="lv-LV"/>
        </w:rPr>
      </w:pPr>
      <w:r w:rsidRPr="00CE0303">
        <w:rPr>
          <w:rFonts w:cs="Times New Roman"/>
          <w:szCs w:val="24"/>
          <w:lang w:val="lv-LV"/>
        </w:rPr>
        <w:t>Veicot ĀM pamatbudžeta analīzi, konstatēts, ka laika periodā no 2018. līdz 2020. gadam vērojama izdevumu neizpilde apakšprogrammās 01.04.00 “Diplomātiskās misijas ārvalstīs” un 01.06.00 “Konsulārais nodrošinājums” un programmā 09.00.00 “Materiālās palīdzības nodrošināšana”.</w:t>
      </w:r>
    </w:p>
    <w:p w14:paraId="063AAD96"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2.2.2. attēls</w:t>
      </w:r>
      <w:r w:rsidRPr="00CE0303">
        <w:rPr>
          <w:rFonts w:cs="Times New Roman"/>
          <w:b/>
          <w:bCs/>
          <w:sz w:val="22"/>
          <w:lang w:val="lv-LV"/>
        </w:rPr>
        <w:t xml:space="preserve"> Apakšprogrammas 01.04.00 “Diplomātiskās misijas ārvalstīs” izdevumu analīze (milj. </w:t>
      </w:r>
      <w:r w:rsidRPr="00CE0303">
        <w:rPr>
          <w:rFonts w:cs="Times New Roman"/>
          <w:b/>
          <w:bCs/>
          <w:i/>
          <w:iCs/>
          <w:sz w:val="22"/>
          <w:lang w:val="lv-LV"/>
        </w:rPr>
        <w:t>euro</w:t>
      </w:r>
      <w:r w:rsidRPr="00CE0303">
        <w:rPr>
          <w:rFonts w:cs="Times New Roman"/>
          <w:b/>
          <w:bCs/>
          <w:sz w:val="22"/>
          <w:lang w:val="lv-LV"/>
        </w:rPr>
        <w:t>)</w:t>
      </w:r>
    </w:p>
    <w:p w14:paraId="14220120" w14:textId="77777777" w:rsidR="00CE0303" w:rsidRPr="00CE0303" w:rsidRDefault="00CE0303" w:rsidP="00CE0303">
      <w:pPr>
        <w:jc w:val="center"/>
        <w:rPr>
          <w:rFonts w:cs="Times New Roman"/>
          <w:b/>
          <w:bCs/>
          <w:szCs w:val="24"/>
          <w:lang w:val="lv-LV"/>
        </w:rPr>
      </w:pPr>
      <w:r w:rsidRPr="00CE0303">
        <w:rPr>
          <w:rFonts w:cs="Times New Roman"/>
          <w:b/>
          <w:bCs/>
          <w:noProof/>
          <w:sz w:val="22"/>
          <w:lang w:val="lv-LV" w:eastAsia="lv-LV"/>
        </w:rPr>
        <w:drawing>
          <wp:inline distT="0" distB="0" distL="0" distR="0" wp14:anchorId="66176732" wp14:editId="2ADEDF2E">
            <wp:extent cx="5039360" cy="2041451"/>
            <wp:effectExtent l="0" t="0" r="8890" b="16510"/>
            <wp:docPr id="2241" name="Chart 2241">
              <a:extLst xmlns:a="http://schemas.openxmlformats.org/drawingml/2006/main">
                <a:ext uri="{FF2B5EF4-FFF2-40B4-BE49-F238E27FC236}">
                  <a16:creationId xmlns:a16="http://schemas.microsoft.com/office/drawing/2014/main" id="{28D9620F-3422-4988-B741-074DE8598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91F3DA" w14:textId="77777777" w:rsidR="00CE0303" w:rsidRPr="00CE0303" w:rsidRDefault="00CE0303" w:rsidP="00CE0303">
      <w:pPr>
        <w:ind w:firstLine="720"/>
        <w:rPr>
          <w:rFonts w:cs="Times New Roman"/>
          <w:bCs/>
          <w:szCs w:val="24"/>
          <w:lang w:val="lv-LV"/>
        </w:rPr>
      </w:pPr>
      <w:r w:rsidRPr="00CE0303">
        <w:rPr>
          <w:rFonts w:cs="Times New Roman"/>
          <w:szCs w:val="24"/>
          <w:lang w:val="lv-LV"/>
        </w:rPr>
        <w:t xml:space="preserve">Apakšprogrammā 01.04.00 “Diplomātiskās misijas ārvalstīs” trīs gadu periodā veidojas izdevumu neizpilde vidēji gadā </w:t>
      </w:r>
      <w:r w:rsidRPr="00CE0303">
        <w:rPr>
          <w:rFonts w:cs="Times New Roman"/>
          <w:bCs/>
          <w:szCs w:val="24"/>
          <w:lang w:val="lv-LV"/>
        </w:rPr>
        <w:t xml:space="preserve">1,0 milj. </w:t>
      </w:r>
      <w:r w:rsidRPr="00CE0303">
        <w:rPr>
          <w:rFonts w:cs="Times New Roman"/>
          <w:bCs/>
          <w:i/>
          <w:szCs w:val="24"/>
          <w:lang w:val="lv-LV"/>
        </w:rPr>
        <w:t>euro</w:t>
      </w:r>
      <w:r w:rsidRPr="00CE0303">
        <w:rPr>
          <w:rFonts w:cs="Times New Roman"/>
          <w:bCs/>
          <w:szCs w:val="24"/>
          <w:lang w:val="lv-LV"/>
        </w:rPr>
        <w:t xml:space="preserve"> apmērā (</w:t>
      </w:r>
      <w:r w:rsidRPr="00CE0303">
        <w:rPr>
          <w:rFonts w:cs="Times New Roman"/>
          <w:bCs/>
          <w:iCs/>
          <w:szCs w:val="24"/>
          <w:lang w:val="lv-LV"/>
        </w:rPr>
        <w:t>2.2.2. attēls</w:t>
      </w:r>
      <w:r w:rsidRPr="00CE0303">
        <w:rPr>
          <w:rFonts w:cs="Times New Roman"/>
          <w:bCs/>
          <w:szCs w:val="24"/>
          <w:lang w:val="lv-LV"/>
        </w:rPr>
        <w:t>).</w:t>
      </w:r>
    </w:p>
    <w:p w14:paraId="3544DA1F" w14:textId="6ABB7DD1" w:rsidR="00CE0303" w:rsidRPr="00CE0303" w:rsidRDefault="00CE0303" w:rsidP="00CE0303">
      <w:pPr>
        <w:ind w:firstLine="720"/>
        <w:rPr>
          <w:rFonts w:cs="Times New Roman"/>
          <w:bCs/>
          <w:szCs w:val="24"/>
          <w:lang w:val="lv-LV"/>
        </w:rPr>
      </w:pPr>
      <w:r w:rsidRPr="00CE0303">
        <w:rPr>
          <w:rFonts w:cs="Times New Roman"/>
          <w:bCs/>
          <w:szCs w:val="24"/>
          <w:lang w:val="lv-LV"/>
        </w:rPr>
        <w:t xml:space="preserve">ĀM neizpildi 2020. gadā skaidro ar nenotikušajiem vairākiem plānotajiem remontdarbiem, kuru darbu izpilde apturēta saistībā ar Covid-19 ierobežojošiem pasākumiem. Vienlaikus norāda, ka visām budžeta programmām izdevumus plāno, pielietojot nulles budžeta principu. </w:t>
      </w:r>
      <w:r w:rsidR="00170A8A">
        <w:rPr>
          <w:rFonts w:cs="Times New Roman"/>
          <w:bCs/>
          <w:szCs w:val="24"/>
          <w:lang w:val="lv-LV"/>
        </w:rPr>
        <w:t>N</w:t>
      </w:r>
      <w:r w:rsidR="00170A8A" w:rsidRPr="00170A8A">
        <w:rPr>
          <w:rFonts w:cs="Times New Roman"/>
          <w:bCs/>
          <w:szCs w:val="24"/>
          <w:lang w:val="lv-LV"/>
        </w:rPr>
        <w:t>eizlietotie līdzekļi dažādu apstākļu dēļ veidojas galvenokārt prioritāro pasākumu ietvaros, ņemot vērā, ka ir bijuši nozīmīgi apstākļi kāpēc tos nevarēja īstenot, kā arī Covi</w:t>
      </w:r>
      <w:r w:rsidR="00170A8A">
        <w:rPr>
          <w:rFonts w:cs="Times New Roman"/>
          <w:bCs/>
          <w:szCs w:val="24"/>
          <w:lang w:val="lv-LV"/>
        </w:rPr>
        <w:t>d-19 noteikto ierobežojumu dēļ.</w:t>
      </w:r>
    </w:p>
    <w:p w14:paraId="2D70AEB4" w14:textId="77777777" w:rsidR="00CE0303" w:rsidRPr="00CE0303" w:rsidRDefault="00CE0303" w:rsidP="00CE0303">
      <w:pPr>
        <w:ind w:firstLine="720"/>
        <w:rPr>
          <w:rFonts w:cs="Times New Roman"/>
          <w:szCs w:val="24"/>
          <w:lang w:val="lv-LV"/>
        </w:rPr>
      </w:pPr>
      <w:r w:rsidRPr="00CE0303">
        <w:rPr>
          <w:rFonts w:cs="Times New Roman"/>
          <w:bCs/>
          <w:szCs w:val="24"/>
          <w:lang w:val="lv-LV"/>
        </w:rPr>
        <w:t xml:space="preserve">Ņemot vērā iepriekš minēto, konstatēts, ka </w:t>
      </w:r>
      <w:r w:rsidRPr="00CE0303">
        <w:rPr>
          <w:rFonts w:cs="Times New Roman"/>
          <w:szCs w:val="24"/>
          <w:lang w:val="lv-LV"/>
        </w:rPr>
        <w:t>apakšprogrammā 01.04.00 “Diplomātiskās misijas ārvalstīs” ir potenciālais iekšējais resurss 2022. un 2023. gadam, kas būtu novirzāms aktuālākām ĀM prioritātēm.</w:t>
      </w:r>
    </w:p>
    <w:tbl>
      <w:tblPr>
        <w:tblStyle w:val="TableGrid1"/>
        <w:tblW w:w="0" w:type="auto"/>
        <w:jc w:val="center"/>
        <w:tblLook w:val="04A0" w:firstRow="1" w:lastRow="0" w:firstColumn="1" w:lastColumn="0" w:noHBand="0" w:noVBand="1"/>
      </w:tblPr>
      <w:tblGrid>
        <w:gridCol w:w="709"/>
        <w:gridCol w:w="1271"/>
        <w:gridCol w:w="696"/>
        <w:gridCol w:w="1288"/>
      </w:tblGrid>
      <w:tr w:rsidR="00CE0303" w:rsidRPr="00CE0303" w14:paraId="1DA2A512" w14:textId="77777777" w:rsidTr="00CE0303">
        <w:trPr>
          <w:jc w:val="center"/>
        </w:trPr>
        <w:tc>
          <w:tcPr>
            <w:tcW w:w="709" w:type="dxa"/>
            <w:shd w:val="clear" w:color="auto" w:fill="ED7D31" w:themeFill="accent2"/>
            <w:vAlign w:val="center"/>
          </w:tcPr>
          <w:p w14:paraId="56EB0841"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11A88FCA" w14:textId="77777777" w:rsidR="00CE0303" w:rsidRPr="00CE0303" w:rsidRDefault="00CE0303" w:rsidP="00CE0303">
            <w:pPr>
              <w:spacing w:after="0"/>
              <w:jc w:val="center"/>
              <w:rPr>
                <w:rFonts w:eastAsiaTheme="minorHAnsi"/>
                <w:lang w:val="lv-LV"/>
              </w:rPr>
            </w:pPr>
            <w:r w:rsidRPr="00CE0303">
              <w:rPr>
                <w:rFonts w:cs="Times New Roman"/>
                <w:bCs/>
                <w:szCs w:val="24"/>
                <w:lang w:val="lv-LV"/>
              </w:rPr>
              <w:t>1 043 889</w:t>
            </w:r>
          </w:p>
        </w:tc>
        <w:tc>
          <w:tcPr>
            <w:tcW w:w="696" w:type="dxa"/>
            <w:shd w:val="clear" w:color="auto" w:fill="ED7D31" w:themeFill="accent2"/>
            <w:vAlign w:val="center"/>
          </w:tcPr>
          <w:p w14:paraId="0AA0FA9F"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5CBB6F1D" w14:textId="77777777" w:rsidR="00CE0303" w:rsidRPr="00CE0303" w:rsidRDefault="00CE0303" w:rsidP="00CE0303">
            <w:pPr>
              <w:spacing w:after="0"/>
              <w:jc w:val="center"/>
              <w:rPr>
                <w:rFonts w:eastAsiaTheme="minorHAnsi"/>
                <w:lang w:val="lv-LV"/>
              </w:rPr>
            </w:pPr>
            <w:r w:rsidRPr="00CE0303">
              <w:rPr>
                <w:rFonts w:cs="Times New Roman"/>
                <w:bCs/>
                <w:szCs w:val="24"/>
                <w:lang w:val="lv-LV"/>
              </w:rPr>
              <w:t>1 043 889</w:t>
            </w:r>
          </w:p>
        </w:tc>
      </w:tr>
    </w:tbl>
    <w:p w14:paraId="03A36ED9" w14:textId="77777777" w:rsidR="00CE0303" w:rsidRPr="00CE0303" w:rsidRDefault="00CE0303" w:rsidP="00CE0303">
      <w:pPr>
        <w:jc w:val="center"/>
        <w:rPr>
          <w:rFonts w:cs="Times New Roman"/>
          <w:b/>
          <w:bCs/>
          <w:i/>
          <w:iCs/>
          <w:sz w:val="22"/>
          <w:lang w:val="lv-LV"/>
        </w:rPr>
      </w:pPr>
    </w:p>
    <w:p w14:paraId="2FE01D00"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2.2.3. attēls</w:t>
      </w:r>
      <w:r w:rsidRPr="00CE0303">
        <w:rPr>
          <w:rFonts w:cs="Times New Roman"/>
          <w:b/>
          <w:bCs/>
          <w:sz w:val="22"/>
          <w:lang w:val="lv-LV"/>
        </w:rPr>
        <w:t xml:space="preserve"> Apakšprogrammas 01.06.00 “Konsulārais nodrošinājums” izdevumu analīze (tūkst. </w:t>
      </w:r>
      <w:r w:rsidRPr="00CE0303">
        <w:rPr>
          <w:rFonts w:cs="Times New Roman"/>
          <w:b/>
          <w:bCs/>
          <w:i/>
          <w:iCs/>
          <w:sz w:val="22"/>
          <w:lang w:val="lv-LV"/>
        </w:rPr>
        <w:t>euro</w:t>
      </w:r>
      <w:r w:rsidRPr="00CE0303">
        <w:rPr>
          <w:rFonts w:cs="Times New Roman"/>
          <w:b/>
          <w:bCs/>
          <w:sz w:val="22"/>
          <w:lang w:val="lv-LV"/>
        </w:rPr>
        <w:t>)</w:t>
      </w:r>
    </w:p>
    <w:p w14:paraId="43C55C3F" w14:textId="77777777" w:rsidR="00CE0303" w:rsidRPr="00CE0303" w:rsidRDefault="00CE0303" w:rsidP="00CE0303">
      <w:pPr>
        <w:jc w:val="center"/>
        <w:rPr>
          <w:rFonts w:cs="Times New Roman"/>
          <w:szCs w:val="24"/>
          <w:lang w:val="lv-LV"/>
        </w:rPr>
      </w:pPr>
      <w:r w:rsidRPr="00CE0303">
        <w:rPr>
          <w:rFonts w:asciiTheme="minorHAnsi" w:hAnsiTheme="minorHAnsi"/>
          <w:noProof/>
          <w:sz w:val="22"/>
          <w:lang w:val="lv-LV" w:eastAsia="lv-LV"/>
        </w:rPr>
        <w:drawing>
          <wp:inline distT="0" distB="0" distL="0" distR="0" wp14:anchorId="43249E69" wp14:editId="6EDDEC8C">
            <wp:extent cx="5443855" cy="1967024"/>
            <wp:effectExtent l="0" t="0" r="4445" b="14605"/>
            <wp:docPr id="2242" name="Chart 2242">
              <a:extLst xmlns:a="http://schemas.openxmlformats.org/drawingml/2006/main">
                <a:ext uri="{FF2B5EF4-FFF2-40B4-BE49-F238E27FC236}">
                  <a16:creationId xmlns:a16="http://schemas.microsoft.com/office/drawing/2014/main" id="{EFE75996-769F-4D1A-9927-006764B9D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70AF29" w14:textId="23C55714" w:rsidR="00CE0303" w:rsidRPr="00CE0303" w:rsidRDefault="00CE0303" w:rsidP="00CE0303">
      <w:pPr>
        <w:ind w:firstLine="720"/>
        <w:rPr>
          <w:rFonts w:cs="Times New Roman"/>
          <w:szCs w:val="24"/>
          <w:lang w:val="lv-LV"/>
        </w:rPr>
      </w:pPr>
      <w:r w:rsidRPr="00CE0303">
        <w:rPr>
          <w:rFonts w:cs="Times New Roman"/>
          <w:szCs w:val="24"/>
          <w:lang w:val="lv-LV"/>
        </w:rPr>
        <w:t xml:space="preserve">Apakšprogrammā 01.06.00 “Konsulārais nodrošinājums” </w:t>
      </w:r>
      <w:r w:rsidRPr="00CE0303">
        <w:rPr>
          <w:rFonts w:cs="Times New Roman"/>
          <w:bCs/>
          <w:szCs w:val="24"/>
          <w:lang w:val="lv-LV"/>
        </w:rPr>
        <w:t xml:space="preserve">trīs gadu periodā </w:t>
      </w:r>
      <w:r w:rsidRPr="00CE0303">
        <w:rPr>
          <w:rFonts w:cs="Times New Roman"/>
          <w:szCs w:val="24"/>
          <w:lang w:val="lv-LV"/>
        </w:rPr>
        <w:t xml:space="preserve">veidojas </w:t>
      </w:r>
      <w:r w:rsidRPr="00CE0303">
        <w:rPr>
          <w:rFonts w:cs="Times New Roman"/>
          <w:bCs/>
          <w:szCs w:val="24"/>
          <w:lang w:val="lv-LV"/>
        </w:rPr>
        <w:t xml:space="preserve">izdevumu neizpilde vidēji gadā 36,8 tūkst. </w:t>
      </w:r>
      <w:r w:rsidRPr="00CE0303">
        <w:rPr>
          <w:rFonts w:cs="Times New Roman"/>
          <w:bCs/>
          <w:i/>
          <w:szCs w:val="24"/>
          <w:lang w:val="lv-LV"/>
        </w:rPr>
        <w:t>euro</w:t>
      </w:r>
      <w:r w:rsidRPr="00CE0303">
        <w:rPr>
          <w:rFonts w:cs="Times New Roman"/>
          <w:bCs/>
          <w:szCs w:val="24"/>
          <w:lang w:val="lv-LV"/>
        </w:rPr>
        <w:t xml:space="preserve"> apmērā (aprēķinā netiek iekļauta </w:t>
      </w:r>
      <w:r w:rsidRPr="00CE0303">
        <w:rPr>
          <w:rFonts w:cs="Times New Roman"/>
          <w:szCs w:val="24"/>
          <w:lang w:val="lv-LV"/>
        </w:rPr>
        <w:t>2018. gada neizpilde, jo dēļ vīzu ielīmju piegādes aizkavēšanās samaksa tika veikta 2019. gadā</w:t>
      </w:r>
      <w:r w:rsidRPr="00CE0303">
        <w:rPr>
          <w:rFonts w:cs="Times New Roman"/>
          <w:bCs/>
          <w:szCs w:val="24"/>
          <w:lang w:val="lv-LV"/>
        </w:rPr>
        <w:t>) (</w:t>
      </w:r>
      <w:r w:rsidRPr="00CE0303">
        <w:rPr>
          <w:rFonts w:cs="Times New Roman"/>
          <w:bCs/>
          <w:iCs/>
          <w:szCs w:val="24"/>
          <w:lang w:val="lv-LV"/>
        </w:rPr>
        <w:t>2.2.3. attēls</w:t>
      </w:r>
      <w:r w:rsidRPr="00CE0303">
        <w:rPr>
          <w:rFonts w:cs="Times New Roman"/>
          <w:bCs/>
          <w:szCs w:val="24"/>
          <w:lang w:val="lv-LV"/>
        </w:rPr>
        <w:t xml:space="preserve">). </w:t>
      </w:r>
      <w:r w:rsidRPr="00CE0303">
        <w:rPr>
          <w:rFonts w:cs="Times New Roman"/>
          <w:szCs w:val="24"/>
          <w:lang w:val="lv-LV"/>
        </w:rPr>
        <w:t xml:space="preserve">Vienlaikus jāatzīmē, ka apakšprogrammas ietvaros ĀM no vīzu ielīmju iegādei paredzētā finansējuma diplomātisko un konsulāro pārstāvniecību konsulāro amatpersonu mācību organizēšanai 2019. gadā novirzīja 23,5 tūkst. </w:t>
      </w:r>
      <w:r w:rsidRPr="00CE0303">
        <w:rPr>
          <w:rFonts w:cs="Times New Roman"/>
          <w:i/>
          <w:szCs w:val="24"/>
          <w:lang w:val="lv-LV"/>
        </w:rPr>
        <w:t>euro</w:t>
      </w:r>
      <w:r w:rsidRPr="00CE0303">
        <w:rPr>
          <w:rFonts w:cs="Times New Roman"/>
          <w:szCs w:val="24"/>
          <w:lang w:val="lv-LV"/>
        </w:rPr>
        <w:t xml:space="preserve">, 2020. gadā 32,0 tūkst. </w:t>
      </w:r>
      <w:r w:rsidRPr="00CE0303">
        <w:rPr>
          <w:rFonts w:cs="Times New Roman"/>
          <w:i/>
          <w:szCs w:val="24"/>
          <w:lang w:val="lv-LV"/>
        </w:rPr>
        <w:t>euro</w:t>
      </w:r>
      <w:r w:rsidRPr="00CE0303">
        <w:rPr>
          <w:rFonts w:cs="Times New Roman"/>
          <w:szCs w:val="24"/>
          <w:lang w:val="lv-LV"/>
        </w:rPr>
        <w:t xml:space="preserve">. </w:t>
      </w:r>
      <w:r w:rsidR="00E92084">
        <w:rPr>
          <w:rFonts w:cs="Times New Roman"/>
          <w:szCs w:val="24"/>
          <w:lang w:val="lv-LV"/>
        </w:rPr>
        <w:t>ĀM informē, ka a</w:t>
      </w:r>
      <w:r w:rsidR="00E92084" w:rsidRPr="00C46F3E">
        <w:rPr>
          <w:szCs w:val="24"/>
          <w:lang w:val="lv-LV"/>
        </w:rPr>
        <w:t>pakšprogrammas izpildi būtiski ietekmēja Covid-19 izplatības dēļ noteiktie ierobežojumi, līdz ar to klātienes mācības tika atceltas, kā arī ceļojumu ierobežoju dēļ samazinās vīzu ielīmju izlietojums. Tiklīdz ierobežojumi tiks atcelti, būs nepieciešami līdzekļi plānotajā apmērā.   </w:t>
      </w:r>
    </w:p>
    <w:p w14:paraId="4EFC7C4E" w14:textId="77777777" w:rsidR="00CE0303" w:rsidRPr="00CE0303" w:rsidRDefault="00CE0303" w:rsidP="00CE0303">
      <w:pPr>
        <w:ind w:firstLine="720"/>
        <w:rPr>
          <w:rFonts w:cs="Times New Roman"/>
          <w:szCs w:val="24"/>
          <w:lang w:val="lv-LV"/>
        </w:rPr>
      </w:pPr>
      <w:r w:rsidRPr="00CE0303">
        <w:rPr>
          <w:rFonts w:cs="Times New Roman"/>
          <w:bCs/>
          <w:szCs w:val="24"/>
          <w:lang w:val="lv-LV"/>
        </w:rPr>
        <w:t xml:space="preserve">Ņemot vērā iepriekš minēto, konstatēts, ka </w:t>
      </w:r>
      <w:r w:rsidRPr="00CE0303">
        <w:rPr>
          <w:rFonts w:cs="Times New Roman"/>
          <w:szCs w:val="24"/>
          <w:lang w:val="lv-LV"/>
        </w:rPr>
        <w:t>apakšprogrammā 01.06.00 “Konsulārais nodrošinājums” ir potenciālais iekšējais resurss 2022. un 2023. gadam, kas būtu novirzāms aktuālākām ĀM prioritātēm.</w:t>
      </w:r>
    </w:p>
    <w:tbl>
      <w:tblPr>
        <w:tblStyle w:val="TableGrid1"/>
        <w:tblW w:w="0" w:type="auto"/>
        <w:jc w:val="center"/>
        <w:tblLook w:val="04A0" w:firstRow="1" w:lastRow="0" w:firstColumn="1" w:lastColumn="0" w:noHBand="0" w:noVBand="1"/>
      </w:tblPr>
      <w:tblGrid>
        <w:gridCol w:w="709"/>
        <w:gridCol w:w="1271"/>
        <w:gridCol w:w="696"/>
        <w:gridCol w:w="1288"/>
      </w:tblGrid>
      <w:tr w:rsidR="00CE0303" w:rsidRPr="00CE0303" w14:paraId="5FBE30E2" w14:textId="77777777" w:rsidTr="00CE0303">
        <w:trPr>
          <w:jc w:val="center"/>
        </w:trPr>
        <w:tc>
          <w:tcPr>
            <w:tcW w:w="709" w:type="dxa"/>
            <w:shd w:val="clear" w:color="auto" w:fill="ED7D31" w:themeFill="accent2"/>
            <w:vAlign w:val="center"/>
          </w:tcPr>
          <w:p w14:paraId="47398FF5"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065478C2" w14:textId="77777777" w:rsidR="00CE0303" w:rsidRPr="00CE0303" w:rsidRDefault="00CE0303" w:rsidP="00CE0303">
            <w:pPr>
              <w:spacing w:after="0"/>
              <w:jc w:val="center"/>
              <w:rPr>
                <w:rFonts w:eastAsiaTheme="minorHAnsi"/>
                <w:lang w:val="lv-LV"/>
              </w:rPr>
            </w:pPr>
            <w:r w:rsidRPr="00CE0303">
              <w:rPr>
                <w:rFonts w:cs="Times New Roman"/>
                <w:bCs/>
                <w:szCs w:val="24"/>
                <w:lang w:val="lv-LV"/>
              </w:rPr>
              <w:t>36 782</w:t>
            </w:r>
          </w:p>
        </w:tc>
        <w:tc>
          <w:tcPr>
            <w:tcW w:w="696" w:type="dxa"/>
            <w:shd w:val="clear" w:color="auto" w:fill="ED7D31" w:themeFill="accent2"/>
            <w:vAlign w:val="center"/>
          </w:tcPr>
          <w:p w14:paraId="71A95A47"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08F951A7" w14:textId="77777777" w:rsidR="00CE0303" w:rsidRPr="00CE0303" w:rsidRDefault="00CE0303" w:rsidP="00CE0303">
            <w:pPr>
              <w:spacing w:after="0"/>
              <w:jc w:val="center"/>
              <w:rPr>
                <w:rFonts w:eastAsiaTheme="minorHAnsi"/>
                <w:lang w:val="lv-LV"/>
              </w:rPr>
            </w:pPr>
            <w:r w:rsidRPr="00CE0303">
              <w:rPr>
                <w:rFonts w:cs="Times New Roman"/>
                <w:bCs/>
                <w:szCs w:val="24"/>
                <w:lang w:val="lv-LV"/>
              </w:rPr>
              <w:t>36 782</w:t>
            </w:r>
          </w:p>
        </w:tc>
      </w:tr>
    </w:tbl>
    <w:p w14:paraId="52645FB6" w14:textId="4AB30AA4" w:rsidR="00CE0303" w:rsidRPr="00CE0303" w:rsidRDefault="00CE0303" w:rsidP="00534DB7">
      <w:pPr>
        <w:spacing w:before="120"/>
        <w:jc w:val="center"/>
        <w:rPr>
          <w:rFonts w:cs="Times New Roman"/>
          <w:b/>
          <w:bCs/>
          <w:sz w:val="22"/>
          <w:lang w:val="lv-LV"/>
        </w:rPr>
      </w:pPr>
      <w:r w:rsidRPr="00CE0303">
        <w:rPr>
          <w:rFonts w:cs="Times New Roman"/>
          <w:b/>
          <w:bCs/>
          <w:i/>
          <w:iCs/>
          <w:sz w:val="22"/>
          <w:lang w:val="lv-LV"/>
        </w:rPr>
        <w:t>2.2.4. attēls</w:t>
      </w:r>
      <w:r w:rsidRPr="00CE0303">
        <w:rPr>
          <w:rFonts w:cs="Times New Roman"/>
          <w:b/>
          <w:bCs/>
          <w:sz w:val="22"/>
          <w:lang w:val="lv-LV"/>
        </w:rPr>
        <w:t xml:space="preserve"> Programmas 09.00.00 “Materiālās palīdzības nodrošināšana” izdevumu analīze (tūkst. </w:t>
      </w:r>
      <w:r w:rsidRPr="00CE0303">
        <w:rPr>
          <w:rFonts w:cs="Times New Roman"/>
          <w:b/>
          <w:bCs/>
          <w:i/>
          <w:iCs/>
          <w:sz w:val="22"/>
          <w:lang w:val="lv-LV"/>
        </w:rPr>
        <w:t>euro</w:t>
      </w:r>
      <w:r w:rsidRPr="00CE0303">
        <w:rPr>
          <w:rFonts w:cs="Times New Roman"/>
          <w:b/>
          <w:bCs/>
          <w:sz w:val="22"/>
          <w:lang w:val="lv-LV"/>
        </w:rPr>
        <w:t>)</w:t>
      </w:r>
    </w:p>
    <w:p w14:paraId="6FB8A1AE" w14:textId="77777777" w:rsidR="00CE0303" w:rsidRPr="00CE0303" w:rsidRDefault="00CE0303" w:rsidP="00CE0303">
      <w:pPr>
        <w:jc w:val="center"/>
        <w:rPr>
          <w:rFonts w:cs="Times New Roman"/>
          <w:szCs w:val="24"/>
          <w:lang w:val="lv-LV"/>
        </w:rPr>
      </w:pPr>
      <w:r w:rsidRPr="00CE0303">
        <w:rPr>
          <w:rFonts w:asciiTheme="minorHAnsi" w:hAnsiTheme="minorHAnsi"/>
          <w:noProof/>
          <w:sz w:val="22"/>
          <w:lang w:val="lv-LV" w:eastAsia="lv-LV"/>
        </w:rPr>
        <w:drawing>
          <wp:inline distT="0" distB="0" distL="0" distR="0" wp14:anchorId="52C89EDC" wp14:editId="75833C41">
            <wp:extent cx="5496560" cy="1913860"/>
            <wp:effectExtent l="0" t="0" r="8890" b="10795"/>
            <wp:docPr id="2243" name="Chart 2243">
              <a:extLst xmlns:a="http://schemas.openxmlformats.org/drawingml/2006/main">
                <a:ext uri="{FF2B5EF4-FFF2-40B4-BE49-F238E27FC236}">
                  <a16:creationId xmlns:a16="http://schemas.microsoft.com/office/drawing/2014/main" id="{B3199537-EDF3-42B5-A26B-CFB3E4F854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1F84E1" w14:textId="77777777" w:rsidR="00CE0303" w:rsidRPr="00CE0303" w:rsidRDefault="00CE0303" w:rsidP="00CE0303">
      <w:pPr>
        <w:spacing w:before="120"/>
        <w:ind w:firstLine="720"/>
        <w:rPr>
          <w:rFonts w:cs="Times New Roman"/>
          <w:bCs/>
          <w:szCs w:val="24"/>
          <w:lang w:val="lv-LV"/>
        </w:rPr>
      </w:pPr>
      <w:r w:rsidRPr="00CE0303">
        <w:rPr>
          <w:rFonts w:cs="Times New Roman"/>
          <w:szCs w:val="24"/>
          <w:lang w:val="lv-LV"/>
        </w:rPr>
        <w:t xml:space="preserve">Programmā 09.00.00 “Materiālās palīdzības nodrošināšana” </w:t>
      </w:r>
      <w:r w:rsidRPr="00CE0303">
        <w:rPr>
          <w:rFonts w:cs="Times New Roman"/>
          <w:bCs/>
          <w:szCs w:val="24"/>
          <w:lang w:val="lv-LV"/>
        </w:rPr>
        <w:t xml:space="preserve">trīs gadu periodā </w:t>
      </w:r>
      <w:r w:rsidRPr="00CE0303">
        <w:rPr>
          <w:rFonts w:cs="Times New Roman"/>
          <w:szCs w:val="24"/>
          <w:lang w:val="lv-LV"/>
        </w:rPr>
        <w:t xml:space="preserve">veidojas </w:t>
      </w:r>
      <w:r w:rsidRPr="00CE0303">
        <w:rPr>
          <w:rFonts w:cs="Times New Roman"/>
          <w:bCs/>
          <w:szCs w:val="24"/>
          <w:lang w:val="lv-LV"/>
        </w:rPr>
        <w:t xml:space="preserve">izdevumu neizpilde vidēji gadā 3,6 tūkst. </w:t>
      </w:r>
      <w:r w:rsidRPr="00CE0303">
        <w:rPr>
          <w:rFonts w:cs="Times New Roman"/>
          <w:bCs/>
          <w:i/>
          <w:szCs w:val="24"/>
          <w:lang w:val="lv-LV"/>
        </w:rPr>
        <w:t xml:space="preserve">euro </w:t>
      </w:r>
      <w:r w:rsidRPr="00CE0303">
        <w:rPr>
          <w:rFonts w:cs="Times New Roman"/>
          <w:bCs/>
          <w:szCs w:val="24"/>
          <w:lang w:val="lv-LV"/>
        </w:rPr>
        <w:t>apmērā (2.2.4. attēls).</w:t>
      </w:r>
    </w:p>
    <w:p w14:paraId="6939582B" w14:textId="1EC44783" w:rsidR="00CE0303" w:rsidRPr="00CE0303" w:rsidRDefault="00CE0303" w:rsidP="00CE0303">
      <w:pPr>
        <w:spacing w:before="120"/>
        <w:ind w:firstLine="720"/>
        <w:rPr>
          <w:rFonts w:cs="Times New Roman"/>
          <w:szCs w:val="24"/>
          <w:lang w:val="lv-LV"/>
        </w:rPr>
      </w:pPr>
      <w:r w:rsidRPr="00CE0303">
        <w:rPr>
          <w:rFonts w:cs="Times New Roman"/>
          <w:szCs w:val="24"/>
          <w:lang w:val="lv-LV"/>
        </w:rPr>
        <w:t xml:space="preserve">Neizpilde skaidrojama ar to, ka materiālās palīdzības piešķiršanai ārkārtas situācijā ārvalstīs nonākušām personām, kurām ir Latvijas pase, saskaņā ar MK 2012. gada 8. maija </w:t>
      </w:r>
      <w:r w:rsidRPr="00CE0303">
        <w:rPr>
          <w:rFonts w:cs="Times New Roman"/>
          <w:szCs w:val="24"/>
          <w:lang w:val="lv-LV"/>
        </w:rPr>
        <w:lastRenderedPageBreak/>
        <w:t>noteikumiem Nr.322 “Materiālās palīdzības nodrošināšanas kārtība ārkārtas situācijā ārvalsti nonākušai personai”</w:t>
      </w:r>
      <w:r w:rsidR="00F700BC">
        <w:rPr>
          <w:rFonts w:cs="Times New Roman"/>
          <w:szCs w:val="24"/>
          <w:lang w:val="lv-LV"/>
        </w:rPr>
        <w:t xml:space="preserve"> (Tiesību akts zaudējis spēku 2018. gada 16. oktobrī)</w:t>
      </w:r>
      <w:r w:rsidRPr="00CE0303">
        <w:rPr>
          <w:rFonts w:cs="Times New Roman"/>
          <w:szCs w:val="24"/>
          <w:lang w:val="lv-LV"/>
        </w:rPr>
        <w:t xml:space="preserve">, ir bijis nepieciešams mazāks finansējums nekā plānots. </w:t>
      </w:r>
      <w:r w:rsidR="007C0716">
        <w:rPr>
          <w:rFonts w:cs="Times New Roman"/>
          <w:szCs w:val="24"/>
          <w:lang w:val="lv-LV"/>
        </w:rPr>
        <w:t>ĀM informē, ka p</w:t>
      </w:r>
      <w:r w:rsidR="007C0716" w:rsidRPr="007C0716">
        <w:rPr>
          <w:rFonts w:cs="Times New Roman"/>
          <w:szCs w:val="24"/>
          <w:lang w:val="lv-LV"/>
        </w:rPr>
        <w:t>ersonu skaits, kuriem būs jāsniedz materiālā palīdzība un apmērs nav prognozējams. Izpildi būtiski ietekmē ceļošanas ierobežojumi, kas tika noteikti ar Covid-19 izplatību</w:t>
      </w:r>
      <w:r w:rsidR="007C0716">
        <w:rPr>
          <w:rFonts w:cs="Times New Roman"/>
          <w:szCs w:val="24"/>
          <w:lang w:val="lv-LV"/>
        </w:rPr>
        <w:t>.</w:t>
      </w:r>
    </w:p>
    <w:p w14:paraId="57F85ECF" w14:textId="77777777" w:rsidR="00CE0303" w:rsidRPr="00CE0303" w:rsidRDefault="00CE0303" w:rsidP="00CE0303">
      <w:pPr>
        <w:spacing w:before="120"/>
        <w:ind w:firstLine="720"/>
        <w:rPr>
          <w:rFonts w:cs="Times New Roman"/>
          <w:szCs w:val="24"/>
          <w:lang w:val="lv-LV"/>
        </w:rPr>
      </w:pPr>
      <w:r w:rsidRPr="00CE0303">
        <w:rPr>
          <w:rFonts w:cs="Times New Roman"/>
          <w:bCs/>
          <w:szCs w:val="24"/>
          <w:lang w:val="lv-LV"/>
        </w:rPr>
        <w:t>Ņemot vērā iepriekš minēto</w:t>
      </w:r>
      <w:r w:rsidRPr="00CE0303">
        <w:rPr>
          <w:rFonts w:cs="Times New Roman"/>
          <w:szCs w:val="24"/>
          <w:lang w:val="lv-LV"/>
        </w:rPr>
        <w:t>, konstatēts</w:t>
      </w:r>
      <w:r w:rsidRPr="00CE0303">
        <w:rPr>
          <w:rFonts w:cs="Times New Roman"/>
          <w:bCs/>
          <w:szCs w:val="24"/>
          <w:lang w:val="lv-LV"/>
        </w:rPr>
        <w:t xml:space="preserve">, ka </w:t>
      </w:r>
      <w:r w:rsidRPr="00CE0303">
        <w:rPr>
          <w:rFonts w:cs="Times New Roman"/>
          <w:szCs w:val="24"/>
          <w:lang w:val="lv-LV"/>
        </w:rPr>
        <w:t>programmā 09.00.00 “Materiālās palīdzības nodrošināšana” ir potenciālais iekšējais resurss 2022. un 2023. gadam, kas būtu novirzāms aktuālākām ĀM prioritātēm.</w:t>
      </w:r>
    </w:p>
    <w:tbl>
      <w:tblPr>
        <w:tblStyle w:val="TableGrid1"/>
        <w:tblW w:w="0" w:type="auto"/>
        <w:jc w:val="center"/>
        <w:tblLook w:val="04A0" w:firstRow="1" w:lastRow="0" w:firstColumn="1" w:lastColumn="0" w:noHBand="0" w:noVBand="1"/>
      </w:tblPr>
      <w:tblGrid>
        <w:gridCol w:w="709"/>
        <w:gridCol w:w="1271"/>
        <w:gridCol w:w="696"/>
        <w:gridCol w:w="1288"/>
      </w:tblGrid>
      <w:tr w:rsidR="00CE0303" w:rsidRPr="00CE0303" w14:paraId="064B49E2" w14:textId="77777777" w:rsidTr="00CE0303">
        <w:trPr>
          <w:jc w:val="center"/>
        </w:trPr>
        <w:tc>
          <w:tcPr>
            <w:tcW w:w="709" w:type="dxa"/>
            <w:shd w:val="clear" w:color="auto" w:fill="ED7D31" w:themeFill="accent2"/>
            <w:vAlign w:val="center"/>
          </w:tcPr>
          <w:p w14:paraId="6E5A0855"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0EFE9C9E" w14:textId="77777777" w:rsidR="00CE0303" w:rsidRPr="00CE0303" w:rsidRDefault="00CE0303" w:rsidP="00CE0303">
            <w:pPr>
              <w:spacing w:after="0"/>
              <w:jc w:val="center"/>
              <w:rPr>
                <w:rFonts w:eastAsiaTheme="minorHAnsi"/>
                <w:lang w:val="lv-LV"/>
              </w:rPr>
            </w:pPr>
            <w:r w:rsidRPr="00CE0303">
              <w:rPr>
                <w:rFonts w:cs="Times New Roman"/>
                <w:szCs w:val="24"/>
                <w:lang w:val="lv-LV"/>
              </w:rPr>
              <w:t>3 609</w:t>
            </w:r>
          </w:p>
        </w:tc>
        <w:tc>
          <w:tcPr>
            <w:tcW w:w="696" w:type="dxa"/>
            <w:shd w:val="clear" w:color="auto" w:fill="ED7D31" w:themeFill="accent2"/>
            <w:vAlign w:val="center"/>
          </w:tcPr>
          <w:p w14:paraId="58CB1710"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0240AD76" w14:textId="77777777" w:rsidR="00CE0303" w:rsidRPr="00CE0303" w:rsidRDefault="00CE0303" w:rsidP="00CE0303">
            <w:pPr>
              <w:spacing w:after="0"/>
              <w:jc w:val="center"/>
              <w:rPr>
                <w:rFonts w:eastAsiaTheme="minorHAnsi"/>
                <w:lang w:val="lv-LV"/>
              </w:rPr>
            </w:pPr>
            <w:r w:rsidRPr="00CE0303">
              <w:rPr>
                <w:rFonts w:cs="Times New Roman"/>
                <w:szCs w:val="24"/>
                <w:lang w:val="lv-LV"/>
              </w:rPr>
              <w:t>3 609</w:t>
            </w:r>
          </w:p>
        </w:tc>
      </w:tr>
    </w:tbl>
    <w:p w14:paraId="115E178F" w14:textId="77777777" w:rsidR="00CE0303" w:rsidRPr="00CE0303" w:rsidRDefault="00CE0303" w:rsidP="00CE0303">
      <w:pPr>
        <w:ind w:firstLine="720"/>
        <w:rPr>
          <w:rFonts w:eastAsiaTheme="minorHAnsi"/>
          <w:lang w:val="lv-LV"/>
        </w:rPr>
      </w:pPr>
    </w:p>
    <w:p w14:paraId="61BA72C0" w14:textId="77777777" w:rsidR="00CE0303" w:rsidRPr="00CE0303" w:rsidRDefault="00CE0303" w:rsidP="00CE0303">
      <w:pPr>
        <w:ind w:firstLine="720"/>
        <w:rPr>
          <w:rFonts w:eastAsiaTheme="minorHAnsi"/>
          <w:lang w:val="lv-LV"/>
        </w:rPr>
      </w:pPr>
      <w:r w:rsidRPr="00CE0303">
        <w:rPr>
          <w:rFonts w:eastAsiaTheme="minorHAnsi"/>
          <w:lang w:val="lv-LV"/>
        </w:rPr>
        <w:t xml:space="preserve">Ņemot vērā iemaksas Eiropas Attīstības fondā samazinājumu, ĀM iesniedza priekšlikumu budžeta programmā 02.00.00 “Iemaksas starptautiskajās organizācijās” samazināt finansējumu 2022. gadā un turpmāk katru gadu 1,3 milj. </w:t>
      </w:r>
      <w:r w:rsidRPr="00CE0303">
        <w:rPr>
          <w:rFonts w:eastAsiaTheme="minorHAnsi"/>
          <w:i/>
          <w:iCs/>
          <w:lang w:val="lv-LV"/>
        </w:rPr>
        <w:t>euro</w:t>
      </w:r>
      <w:r w:rsidRPr="00CE0303">
        <w:rPr>
          <w:rFonts w:eastAsiaTheme="minorHAnsi"/>
          <w:lang w:val="lv-LV"/>
        </w:rPr>
        <w:t xml:space="preserve"> apmērā un novirzīt šādu pasākumu īstenošanai:</w:t>
      </w:r>
    </w:p>
    <w:p w14:paraId="48D107FA" w14:textId="03798DA5" w:rsidR="00CE0303" w:rsidRPr="00CE0303" w:rsidRDefault="00CE0303" w:rsidP="00CE0303">
      <w:pPr>
        <w:ind w:firstLine="720"/>
        <w:rPr>
          <w:rFonts w:eastAsiaTheme="minorHAnsi"/>
          <w:lang w:val="lv-LV"/>
        </w:rPr>
      </w:pPr>
      <w:r w:rsidRPr="00CE0303">
        <w:rPr>
          <w:rFonts w:eastAsiaTheme="minorHAnsi"/>
          <w:bCs/>
          <w:lang w:val="lv-LV"/>
        </w:rPr>
        <w:t xml:space="preserve">budžeta programmā 07.00.00 “Attīstības sadarbības projekti un starptautiskā palīdzība” </w:t>
      </w:r>
      <w:r w:rsidRPr="00CE0303">
        <w:rPr>
          <w:rFonts w:eastAsiaTheme="minorHAnsi"/>
          <w:lang w:val="lv-LV"/>
        </w:rPr>
        <w:t>200</w:t>
      </w:r>
      <w:r w:rsidR="00782965">
        <w:rPr>
          <w:rFonts w:eastAsiaTheme="minorHAnsi"/>
          <w:lang w:val="lv-LV"/>
        </w:rPr>
        <w:t>,0 tūkst.</w:t>
      </w:r>
      <w:r w:rsidRPr="00CE0303">
        <w:rPr>
          <w:rFonts w:eastAsiaTheme="minorHAnsi"/>
          <w:lang w:val="lv-LV"/>
        </w:rPr>
        <w:t xml:space="preserve"> </w:t>
      </w:r>
      <w:r w:rsidRPr="00CE0303">
        <w:rPr>
          <w:rFonts w:eastAsiaTheme="minorHAnsi"/>
          <w:i/>
          <w:iCs/>
          <w:lang w:val="lv-LV"/>
        </w:rPr>
        <w:t>euro</w:t>
      </w:r>
      <w:r w:rsidRPr="00CE0303">
        <w:rPr>
          <w:rFonts w:eastAsiaTheme="minorHAnsi"/>
          <w:lang w:val="lv-LV"/>
        </w:rPr>
        <w:t xml:space="preserve"> apmērā ik gadu attīstības sadarbības projektiem, sniedzot ieguldījumu drošības un stabilitātes veicināšanā Eiropas kaimiņu reģionos;</w:t>
      </w:r>
    </w:p>
    <w:p w14:paraId="162BEA46" w14:textId="340239AE" w:rsidR="00CE0303" w:rsidRPr="00CE0303" w:rsidRDefault="00CE0303" w:rsidP="00CE0303">
      <w:pPr>
        <w:ind w:firstLine="720"/>
        <w:rPr>
          <w:rFonts w:eastAsiaTheme="minorHAnsi"/>
          <w:lang w:val="lv-LV"/>
        </w:rPr>
      </w:pPr>
      <w:r w:rsidRPr="00CE0303">
        <w:rPr>
          <w:rFonts w:eastAsiaTheme="minorHAnsi"/>
          <w:bCs/>
          <w:lang w:val="lv-LV"/>
        </w:rPr>
        <w:t xml:space="preserve">budžeta apakšprogrammā 01.04.00 “Diplomātiskās misijas ārvalstīs” </w:t>
      </w:r>
      <w:r w:rsidRPr="00CE0303">
        <w:rPr>
          <w:rFonts w:eastAsiaTheme="minorHAnsi"/>
          <w:lang w:val="lv-LV"/>
        </w:rPr>
        <w:t>44</w:t>
      </w:r>
      <w:r w:rsidR="00782965">
        <w:rPr>
          <w:rFonts w:eastAsiaTheme="minorHAnsi"/>
          <w:lang w:val="lv-LV"/>
        </w:rPr>
        <w:t>,1 tūkst.</w:t>
      </w:r>
      <w:r w:rsidRPr="00CE0303">
        <w:rPr>
          <w:rFonts w:eastAsiaTheme="minorHAnsi"/>
          <w:lang w:val="lv-LV"/>
        </w:rPr>
        <w:t xml:space="preserve"> </w:t>
      </w:r>
      <w:r w:rsidRPr="00CE0303">
        <w:rPr>
          <w:rFonts w:eastAsiaTheme="minorHAnsi"/>
          <w:i/>
          <w:iCs/>
          <w:lang w:val="lv-LV"/>
        </w:rPr>
        <w:t>euro</w:t>
      </w:r>
      <w:r w:rsidRPr="00CE0303">
        <w:rPr>
          <w:rFonts w:eastAsiaTheme="minorHAnsi"/>
          <w:lang w:val="lv-LV"/>
        </w:rPr>
        <w:t xml:space="preserve"> apmērā ik gadu nomas maksas izdevumu segšanai Latvijas Republikas vēstniecībā ASV;</w:t>
      </w:r>
    </w:p>
    <w:p w14:paraId="2DC73AD9" w14:textId="5EA39C9D" w:rsidR="00CE0303" w:rsidRPr="00CE0303" w:rsidRDefault="00CE0303" w:rsidP="00CE0303">
      <w:pPr>
        <w:ind w:firstLine="720"/>
        <w:rPr>
          <w:rFonts w:eastAsiaTheme="minorHAnsi"/>
          <w:lang w:val="lv-LV"/>
        </w:rPr>
      </w:pPr>
      <w:r w:rsidRPr="00CE0303">
        <w:rPr>
          <w:rFonts w:eastAsiaTheme="minorHAnsi"/>
          <w:bCs/>
          <w:lang w:val="lv-LV"/>
        </w:rPr>
        <w:t>budžeta programmā 97.00.00 “Nozaru vad</w:t>
      </w:r>
      <w:r w:rsidR="00782965">
        <w:rPr>
          <w:rFonts w:eastAsiaTheme="minorHAnsi"/>
          <w:bCs/>
          <w:lang w:val="lv-LV"/>
        </w:rPr>
        <w:t xml:space="preserve">ība un politikas plānošana” 560,1 tūkst. </w:t>
      </w:r>
      <w:r w:rsidRPr="00CE0303">
        <w:rPr>
          <w:rFonts w:eastAsiaTheme="minorHAnsi"/>
          <w:bCs/>
          <w:i/>
          <w:lang w:val="lv-LV"/>
        </w:rPr>
        <w:t>euro</w:t>
      </w:r>
      <w:r w:rsidRPr="00CE0303">
        <w:rPr>
          <w:rFonts w:eastAsiaTheme="minorHAnsi"/>
          <w:bCs/>
          <w:lang w:val="lv-LV"/>
        </w:rPr>
        <w:t xml:space="preserve"> apmērā</w:t>
      </w:r>
      <w:r w:rsidRPr="00CE0303">
        <w:rPr>
          <w:rFonts w:eastAsiaTheme="minorHAnsi"/>
          <w:bCs/>
          <w:iCs/>
          <w:lang w:val="lv-LV"/>
        </w:rPr>
        <w:t xml:space="preserve"> un</w:t>
      </w:r>
      <w:r w:rsidRPr="00CE0303">
        <w:rPr>
          <w:rFonts w:eastAsiaTheme="minorHAnsi"/>
          <w:bCs/>
          <w:lang w:val="lv-LV"/>
        </w:rPr>
        <w:t xml:space="preserve"> budžeta apakšprogrammā 01.04.00 “Diplo</w:t>
      </w:r>
      <w:r w:rsidR="00782965">
        <w:rPr>
          <w:rFonts w:eastAsiaTheme="minorHAnsi"/>
          <w:bCs/>
          <w:lang w:val="lv-LV"/>
        </w:rPr>
        <w:t xml:space="preserve">mātiskās misijas ārvalstīs” 512,1 tūkst. </w:t>
      </w:r>
      <w:r w:rsidRPr="00CE0303">
        <w:rPr>
          <w:rFonts w:eastAsiaTheme="minorHAnsi"/>
          <w:bCs/>
          <w:i/>
          <w:lang w:val="lv-LV"/>
        </w:rPr>
        <w:t>euro</w:t>
      </w:r>
      <w:r w:rsidRPr="00CE0303">
        <w:rPr>
          <w:rFonts w:eastAsiaTheme="minorHAnsi"/>
          <w:bCs/>
          <w:lang w:val="lv-LV"/>
        </w:rPr>
        <w:t xml:space="preserve"> apmērā</w:t>
      </w:r>
      <w:r w:rsidR="007D00BC">
        <w:rPr>
          <w:rFonts w:eastAsiaTheme="minorHAnsi"/>
          <w:bCs/>
          <w:lang w:val="lv-LV"/>
        </w:rPr>
        <w:t xml:space="preserve"> </w:t>
      </w:r>
      <w:r w:rsidRPr="00CE0303">
        <w:rPr>
          <w:rFonts w:eastAsiaTheme="minorHAnsi"/>
          <w:bCs/>
          <w:iCs/>
          <w:lang w:val="lv-LV"/>
        </w:rPr>
        <w:t xml:space="preserve">ik gadu </w:t>
      </w:r>
      <w:r w:rsidRPr="00CE0303">
        <w:rPr>
          <w:rFonts w:eastAsiaTheme="minorHAnsi"/>
          <w:lang w:val="lv-LV"/>
        </w:rPr>
        <w:t>Latvijas diplomātiskā un konsulārā dienesta stiprināšanai, Latvijas drošības un ekonomisko pamatinterešu aizstāvībai, konsulāro pakalpojumu nodrošināšanai (materiālās stimulēšanas pasākumiem un atalgojuma nodrošināšanai).</w:t>
      </w:r>
    </w:p>
    <w:tbl>
      <w:tblPr>
        <w:tblStyle w:val="TableGrid1"/>
        <w:tblW w:w="0" w:type="auto"/>
        <w:jc w:val="center"/>
        <w:tblLayout w:type="fixed"/>
        <w:tblLook w:val="04A0" w:firstRow="1" w:lastRow="0" w:firstColumn="1" w:lastColumn="0" w:noHBand="0" w:noVBand="1"/>
      </w:tblPr>
      <w:tblGrid>
        <w:gridCol w:w="709"/>
        <w:gridCol w:w="1271"/>
        <w:gridCol w:w="696"/>
        <w:gridCol w:w="1288"/>
        <w:gridCol w:w="709"/>
        <w:gridCol w:w="1276"/>
      </w:tblGrid>
      <w:tr w:rsidR="00CE0303" w:rsidRPr="00CE0303" w14:paraId="447A8C49" w14:textId="77777777" w:rsidTr="00CE0303">
        <w:trPr>
          <w:jc w:val="center"/>
        </w:trPr>
        <w:tc>
          <w:tcPr>
            <w:tcW w:w="709" w:type="dxa"/>
            <w:shd w:val="clear" w:color="auto" w:fill="92D050"/>
            <w:vAlign w:val="center"/>
          </w:tcPr>
          <w:p w14:paraId="4F29723E"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0410A572" w14:textId="77777777" w:rsidR="00CE0303" w:rsidRPr="00CE0303" w:rsidRDefault="00CE0303" w:rsidP="00CE0303">
            <w:pPr>
              <w:spacing w:after="0"/>
              <w:jc w:val="center"/>
              <w:rPr>
                <w:rFonts w:eastAsiaTheme="minorHAnsi"/>
                <w:lang w:val="lv-LV"/>
              </w:rPr>
            </w:pPr>
            <w:r w:rsidRPr="00CE0303">
              <w:rPr>
                <w:rFonts w:eastAsiaTheme="minorHAnsi"/>
                <w:lang w:val="lv-LV"/>
              </w:rPr>
              <w:t>1 316 320</w:t>
            </w:r>
          </w:p>
        </w:tc>
        <w:tc>
          <w:tcPr>
            <w:tcW w:w="696" w:type="dxa"/>
            <w:shd w:val="clear" w:color="auto" w:fill="92D050"/>
            <w:vAlign w:val="center"/>
          </w:tcPr>
          <w:p w14:paraId="0DA7AFA1"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75096337" w14:textId="77777777" w:rsidR="00CE0303" w:rsidRPr="00CE0303" w:rsidRDefault="00CE0303" w:rsidP="00CE0303">
            <w:pPr>
              <w:spacing w:after="0"/>
              <w:jc w:val="center"/>
              <w:rPr>
                <w:rFonts w:eastAsiaTheme="minorHAnsi"/>
                <w:lang w:val="lv-LV"/>
              </w:rPr>
            </w:pPr>
            <w:r w:rsidRPr="00CE0303">
              <w:rPr>
                <w:rFonts w:eastAsiaTheme="minorHAnsi"/>
                <w:lang w:val="lv-LV"/>
              </w:rPr>
              <w:t>1 316 320</w:t>
            </w:r>
          </w:p>
        </w:tc>
        <w:tc>
          <w:tcPr>
            <w:tcW w:w="709" w:type="dxa"/>
            <w:shd w:val="clear" w:color="auto" w:fill="92D050"/>
            <w:vAlign w:val="center"/>
          </w:tcPr>
          <w:p w14:paraId="043029DF"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276" w:type="dxa"/>
            <w:vAlign w:val="center"/>
          </w:tcPr>
          <w:p w14:paraId="46C31146" w14:textId="77777777" w:rsidR="00CE0303" w:rsidRPr="00CE0303" w:rsidRDefault="00CE0303" w:rsidP="00CE0303">
            <w:pPr>
              <w:spacing w:after="0"/>
              <w:jc w:val="left"/>
              <w:rPr>
                <w:rFonts w:eastAsiaTheme="minorHAnsi"/>
                <w:lang w:val="lv-LV"/>
              </w:rPr>
            </w:pPr>
            <w:r w:rsidRPr="00CE0303">
              <w:rPr>
                <w:rFonts w:eastAsiaTheme="minorHAnsi"/>
                <w:lang w:val="lv-LV"/>
              </w:rPr>
              <w:t>1 316 320</w:t>
            </w:r>
          </w:p>
        </w:tc>
      </w:tr>
    </w:tbl>
    <w:p w14:paraId="2C64AEE7" w14:textId="3157D154" w:rsidR="00CE0303" w:rsidRDefault="00CE0303" w:rsidP="00CE0303">
      <w:pPr>
        <w:ind w:firstLine="720"/>
        <w:rPr>
          <w:rFonts w:eastAsiaTheme="minorHAnsi"/>
          <w:b/>
          <w:lang w:val="lv-LV"/>
        </w:rPr>
      </w:pPr>
    </w:p>
    <w:p w14:paraId="11064395" w14:textId="77777777" w:rsidR="00002906" w:rsidRPr="00CE0303" w:rsidRDefault="00002906" w:rsidP="00CE0303">
      <w:pPr>
        <w:ind w:firstLine="720"/>
        <w:rPr>
          <w:rFonts w:eastAsiaTheme="minorHAnsi"/>
          <w:b/>
          <w:lang w:val="lv-LV"/>
        </w:rPr>
      </w:pPr>
    </w:p>
    <w:p w14:paraId="2D969A5A" w14:textId="77777777" w:rsidR="00CE0303" w:rsidRPr="00CE0303" w:rsidRDefault="00CE0303" w:rsidP="00CE0303">
      <w:pPr>
        <w:ind w:firstLine="720"/>
        <w:rPr>
          <w:rFonts w:eastAsiaTheme="minorHAnsi"/>
          <w:b/>
          <w:lang w:val="lv-LV"/>
        </w:rPr>
      </w:pPr>
      <w:r w:rsidRPr="00CE0303">
        <w:rPr>
          <w:rFonts w:eastAsiaTheme="minorHAnsi"/>
          <w:b/>
          <w:lang w:val="lv-LV"/>
        </w:rPr>
        <w:t>Ekonomikas ministrija</w:t>
      </w:r>
    </w:p>
    <w:p w14:paraId="3BB18215" w14:textId="779DB46A" w:rsidR="006B762E" w:rsidRDefault="00CE0303" w:rsidP="00002906">
      <w:pPr>
        <w:ind w:firstLine="720"/>
        <w:rPr>
          <w:rFonts w:cs="Times New Roman"/>
          <w:szCs w:val="24"/>
          <w:lang w:val="lv-LV"/>
        </w:rPr>
      </w:pPr>
      <w:r w:rsidRPr="00CE0303">
        <w:rPr>
          <w:rFonts w:cs="Times New Roman"/>
          <w:szCs w:val="24"/>
          <w:lang w:val="lv-LV"/>
        </w:rPr>
        <w:t xml:space="preserve">Veicot EM pamatbudžeta analīzi, konstatēts, ka laika periodā no 2018. līdz 2020. gadam izdevumu neizpilde vērojama programmās 28.00.00 “Ārējās ekonomiskās politikas ieviešana”, 30.00.00 “Tūrisma politikas ieviešana” un 34.00.00 “Iemaksas starptautiskajās organizācijās” un apakšprogrammās 29.05.00 “Valsts pētījumu programma enerģētikā” un 26.01.00 “Iekšējais tirgus un </w:t>
      </w:r>
      <w:r w:rsidR="00D31BE1">
        <w:rPr>
          <w:rFonts w:cs="Times New Roman"/>
          <w:szCs w:val="24"/>
          <w:lang w:val="lv-LV"/>
        </w:rPr>
        <w:t>patērētāju tiesību aizsardzība”.</w:t>
      </w:r>
    </w:p>
    <w:p w14:paraId="781F3B51" w14:textId="0E7F7B17" w:rsidR="002C24FA" w:rsidRDefault="002C24FA" w:rsidP="00002906">
      <w:pPr>
        <w:ind w:firstLine="720"/>
        <w:rPr>
          <w:rFonts w:cs="Times New Roman"/>
          <w:szCs w:val="24"/>
          <w:lang w:val="lv-LV"/>
        </w:rPr>
      </w:pPr>
    </w:p>
    <w:p w14:paraId="4BA1C8B1" w14:textId="0678F057" w:rsidR="002C24FA" w:rsidRDefault="002C24FA" w:rsidP="00002906">
      <w:pPr>
        <w:ind w:firstLine="720"/>
        <w:rPr>
          <w:rFonts w:cs="Times New Roman"/>
          <w:szCs w:val="24"/>
          <w:lang w:val="lv-LV"/>
        </w:rPr>
      </w:pPr>
    </w:p>
    <w:p w14:paraId="68A8EB48" w14:textId="5D434F03" w:rsidR="002C24FA" w:rsidRDefault="002C24FA" w:rsidP="00002906">
      <w:pPr>
        <w:ind w:firstLine="720"/>
        <w:rPr>
          <w:rFonts w:cs="Times New Roman"/>
          <w:szCs w:val="24"/>
          <w:lang w:val="lv-LV"/>
        </w:rPr>
      </w:pPr>
    </w:p>
    <w:p w14:paraId="7A3B1B6D" w14:textId="601CF433" w:rsidR="002C24FA" w:rsidRDefault="002C24FA" w:rsidP="00002906">
      <w:pPr>
        <w:ind w:firstLine="720"/>
        <w:rPr>
          <w:rFonts w:cs="Times New Roman"/>
          <w:szCs w:val="24"/>
          <w:lang w:val="lv-LV"/>
        </w:rPr>
      </w:pPr>
    </w:p>
    <w:p w14:paraId="51D1383F" w14:textId="234C17A0" w:rsidR="002C24FA" w:rsidRDefault="002C24FA" w:rsidP="00002906">
      <w:pPr>
        <w:ind w:firstLine="720"/>
        <w:rPr>
          <w:rFonts w:cs="Times New Roman"/>
          <w:szCs w:val="24"/>
          <w:lang w:val="lv-LV"/>
        </w:rPr>
      </w:pPr>
    </w:p>
    <w:p w14:paraId="39330EE5" w14:textId="77777777" w:rsidR="002C24FA" w:rsidRPr="00CE0303" w:rsidRDefault="002C24FA" w:rsidP="00002906">
      <w:pPr>
        <w:ind w:firstLine="720"/>
        <w:rPr>
          <w:rFonts w:cs="Times New Roman"/>
          <w:szCs w:val="24"/>
          <w:lang w:val="lv-LV"/>
        </w:rPr>
      </w:pPr>
    </w:p>
    <w:p w14:paraId="3BEC1283"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lastRenderedPageBreak/>
        <w:t>2.2.5. attēls</w:t>
      </w:r>
      <w:r w:rsidRPr="00CE0303">
        <w:rPr>
          <w:rFonts w:cs="Times New Roman"/>
          <w:b/>
          <w:bCs/>
          <w:sz w:val="22"/>
          <w:lang w:val="lv-LV"/>
        </w:rPr>
        <w:t xml:space="preserve"> Programmas 28.00.00 “Ārējās ekonomiskās politikas ieviešana” izdevumu analīze (milj. </w:t>
      </w:r>
      <w:r w:rsidRPr="00CE0303">
        <w:rPr>
          <w:rFonts w:cs="Times New Roman"/>
          <w:b/>
          <w:bCs/>
          <w:i/>
          <w:iCs/>
          <w:sz w:val="22"/>
          <w:lang w:val="lv-LV"/>
        </w:rPr>
        <w:t>euro</w:t>
      </w:r>
      <w:r w:rsidRPr="00CE0303">
        <w:rPr>
          <w:rFonts w:cs="Times New Roman"/>
          <w:b/>
          <w:bCs/>
          <w:sz w:val="22"/>
          <w:lang w:val="lv-LV"/>
        </w:rPr>
        <w:t>)</w:t>
      </w:r>
    </w:p>
    <w:p w14:paraId="6A8F0BDF" w14:textId="77777777" w:rsidR="00CE0303" w:rsidRPr="00CE0303" w:rsidRDefault="00CE0303" w:rsidP="00CE0303">
      <w:pPr>
        <w:jc w:val="center"/>
        <w:rPr>
          <w:rFonts w:cs="Times New Roman"/>
          <w:b/>
          <w:bCs/>
          <w:szCs w:val="24"/>
          <w:lang w:val="lv-LV"/>
        </w:rPr>
      </w:pPr>
      <w:r w:rsidRPr="00CE0303">
        <w:rPr>
          <w:rFonts w:cs="Times New Roman"/>
          <w:b/>
          <w:bCs/>
          <w:noProof/>
          <w:szCs w:val="24"/>
          <w:lang w:val="lv-LV" w:eastAsia="lv-LV"/>
        </w:rPr>
        <w:drawing>
          <wp:inline distT="0" distB="0" distL="0" distR="0" wp14:anchorId="46AB7DC1" wp14:editId="24252369">
            <wp:extent cx="5048250" cy="2238375"/>
            <wp:effectExtent l="0" t="0" r="0" b="9525"/>
            <wp:docPr id="2244" name="Chart 2244">
              <a:extLst xmlns:a="http://schemas.openxmlformats.org/drawingml/2006/main">
                <a:ext uri="{FF2B5EF4-FFF2-40B4-BE49-F238E27FC236}">
                  <a16:creationId xmlns:a16="http://schemas.microsoft.com/office/drawing/2014/main" id="{228DA363-B848-48C4-AFCB-2C9C34800A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C75384" w14:textId="77777777" w:rsidR="00CE0303" w:rsidRPr="00CE0303" w:rsidRDefault="00CE0303" w:rsidP="00CE0303">
      <w:pPr>
        <w:ind w:firstLine="720"/>
        <w:rPr>
          <w:rFonts w:cs="Times New Roman"/>
          <w:bCs/>
          <w:szCs w:val="24"/>
          <w:lang w:val="lv-LV"/>
        </w:rPr>
      </w:pPr>
      <w:r w:rsidRPr="00CE0303">
        <w:rPr>
          <w:rFonts w:cs="Times New Roman"/>
          <w:szCs w:val="24"/>
          <w:lang w:val="lv-LV"/>
        </w:rPr>
        <w:t xml:space="preserve">Programmā 28.00.00 “Ārējās ekonomiskās politikas ieviešana” pēdējo </w:t>
      </w:r>
      <w:r w:rsidRPr="00CE0303">
        <w:rPr>
          <w:rFonts w:cs="Times New Roman"/>
          <w:bCs/>
          <w:szCs w:val="24"/>
          <w:lang w:val="lv-LV"/>
        </w:rPr>
        <w:t xml:space="preserve">trīs gadu periodā veidojas izdevumu neizpilde vidēji gadā </w:t>
      </w:r>
      <w:r w:rsidRPr="00CE0303">
        <w:rPr>
          <w:rFonts w:eastAsiaTheme="minorHAnsi"/>
          <w:lang w:val="lv-LV"/>
        </w:rPr>
        <w:t xml:space="preserve">263,4 </w:t>
      </w:r>
      <w:r w:rsidRPr="00CE0303">
        <w:rPr>
          <w:rFonts w:cs="Times New Roman"/>
          <w:bCs/>
          <w:szCs w:val="24"/>
          <w:lang w:val="lv-LV"/>
        </w:rPr>
        <w:t xml:space="preserve">tūkst. </w:t>
      </w:r>
      <w:r w:rsidRPr="00CE0303">
        <w:rPr>
          <w:rFonts w:cs="Times New Roman"/>
          <w:bCs/>
          <w:i/>
          <w:szCs w:val="24"/>
          <w:lang w:val="lv-LV"/>
        </w:rPr>
        <w:t>euro</w:t>
      </w:r>
      <w:r w:rsidRPr="00CE0303">
        <w:rPr>
          <w:rFonts w:cs="Times New Roman"/>
          <w:bCs/>
          <w:szCs w:val="24"/>
          <w:lang w:val="lv-LV"/>
        </w:rPr>
        <w:t xml:space="preserve"> apmērā (</w:t>
      </w:r>
      <w:r w:rsidRPr="00CE0303">
        <w:rPr>
          <w:rFonts w:cs="Times New Roman"/>
          <w:bCs/>
          <w:iCs/>
          <w:szCs w:val="24"/>
          <w:lang w:val="lv-LV"/>
        </w:rPr>
        <w:t>2.2.5. attēls</w:t>
      </w:r>
      <w:r w:rsidRPr="00CE0303">
        <w:rPr>
          <w:rFonts w:cs="Times New Roman"/>
          <w:bCs/>
          <w:szCs w:val="24"/>
          <w:lang w:val="lv-LV"/>
        </w:rPr>
        <w:t xml:space="preserve">). </w:t>
      </w:r>
    </w:p>
    <w:p w14:paraId="55DB98D6" w14:textId="77777777" w:rsidR="00CE0303" w:rsidRPr="00CE0303" w:rsidRDefault="00CE0303" w:rsidP="00CE0303">
      <w:pPr>
        <w:ind w:firstLine="720"/>
        <w:rPr>
          <w:rFonts w:cs="Times New Roman"/>
          <w:bCs/>
          <w:szCs w:val="24"/>
          <w:lang w:val="lv-LV"/>
        </w:rPr>
      </w:pPr>
      <w:r w:rsidRPr="00CE0303">
        <w:rPr>
          <w:rFonts w:cs="Times New Roman"/>
          <w:bCs/>
          <w:szCs w:val="24"/>
          <w:lang w:val="lv-LV"/>
        </w:rPr>
        <w:t>EM 2020. gada neizpildi skaidro ar starptautiskās izstādes “Expo 2020 Dubai” pārcelšanu uz 2021. gadu un klātienes pasākumu norises atcelšanu, un norāda, ka,</w:t>
      </w:r>
      <w:r w:rsidRPr="00CE0303">
        <w:rPr>
          <w:rFonts w:asciiTheme="minorHAnsi" w:hAnsiTheme="minorHAnsi"/>
          <w:sz w:val="22"/>
          <w:lang w:val="lv-LV"/>
        </w:rPr>
        <w:t xml:space="preserve"> </w:t>
      </w:r>
      <w:r w:rsidRPr="00CE0303">
        <w:rPr>
          <w:rFonts w:cs="Times New Roman"/>
          <w:bCs/>
          <w:szCs w:val="24"/>
          <w:lang w:val="lv-LV"/>
        </w:rPr>
        <w:t>sākot ar 2021. gadu, plānotas izmaiņas saistībā ar Latvijas valsts ekonomiskā tēla ieviešanu uzņēmēju eksportspēju stiprināšanai un Latvijas institūta iekļaušanu LIAA.</w:t>
      </w:r>
    </w:p>
    <w:p w14:paraId="6483382F" w14:textId="50E1BA2D" w:rsidR="00CE0303" w:rsidRPr="00CE0303" w:rsidRDefault="00CE0303" w:rsidP="00CE0303">
      <w:pPr>
        <w:ind w:firstLine="720"/>
        <w:rPr>
          <w:rFonts w:cs="Times New Roman"/>
          <w:szCs w:val="24"/>
          <w:lang w:val="lv-LV"/>
        </w:rPr>
      </w:pPr>
      <w:r w:rsidRPr="00CE0303">
        <w:rPr>
          <w:rFonts w:cs="Times New Roman"/>
          <w:szCs w:val="24"/>
          <w:lang w:val="lv-LV"/>
        </w:rPr>
        <w:t xml:space="preserve">EM rosina programmā 28.00.00 “Ārējās ekonomiskās politikas ieviešana” 2022. gadā un turpmāk ik gadu 68,9 tūkst. </w:t>
      </w:r>
      <w:r w:rsidRPr="00CE0303">
        <w:rPr>
          <w:rFonts w:cs="Times New Roman"/>
          <w:i/>
          <w:szCs w:val="24"/>
          <w:lang w:val="lv-LV"/>
        </w:rPr>
        <w:t>euro</w:t>
      </w:r>
      <w:r w:rsidRPr="00CE0303">
        <w:rPr>
          <w:rFonts w:cs="Times New Roman"/>
          <w:szCs w:val="24"/>
          <w:lang w:val="lv-LV"/>
        </w:rPr>
        <w:t xml:space="preserve"> apmērā, tajā skaitā</w:t>
      </w:r>
      <w:r w:rsidR="007D00BC">
        <w:rPr>
          <w:rFonts w:cs="Times New Roman"/>
          <w:szCs w:val="24"/>
          <w:lang w:val="lv-LV"/>
        </w:rPr>
        <w:t xml:space="preserve"> </w:t>
      </w:r>
      <w:r w:rsidRPr="00CE0303">
        <w:rPr>
          <w:rFonts w:cs="Times New Roman"/>
          <w:szCs w:val="24"/>
          <w:lang w:val="lv-LV"/>
        </w:rPr>
        <w:t xml:space="preserve">44,0 tūkst. </w:t>
      </w:r>
      <w:r w:rsidRPr="00CE0303">
        <w:rPr>
          <w:rFonts w:cs="Times New Roman"/>
          <w:i/>
          <w:szCs w:val="24"/>
          <w:lang w:val="lv-LV"/>
        </w:rPr>
        <w:t>euro</w:t>
      </w:r>
      <w:r w:rsidRPr="00CE0303">
        <w:rPr>
          <w:rFonts w:cs="Times New Roman"/>
          <w:szCs w:val="24"/>
          <w:lang w:val="lv-LV"/>
        </w:rPr>
        <w:t xml:space="preserve"> apmērā IS Valsts platforma biznesa attīstībai (www.business.gov.lv) darbības nodrošināšanai un 2022. gadā un turpmāk ik gadu 24,9 tūkst. </w:t>
      </w:r>
      <w:r w:rsidRPr="00CE0303">
        <w:rPr>
          <w:rFonts w:cs="Times New Roman"/>
          <w:i/>
          <w:szCs w:val="24"/>
          <w:lang w:val="lv-LV"/>
        </w:rPr>
        <w:t>euro</w:t>
      </w:r>
      <w:r w:rsidRPr="00CE0303">
        <w:rPr>
          <w:rFonts w:cs="Times New Roman"/>
          <w:szCs w:val="24"/>
          <w:lang w:val="lv-LV"/>
        </w:rPr>
        <w:t xml:space="preserve"> apmērā LIAA darbinieku atlīdzības nodrošināšanai Covid-19 atbalsta programmu pēcpārbaužu veikšanai 2022. gadā un daļējai mēnešalgas izlīdzināšanai turpmāk.</w:t>
      </w:r>
    </w:p>
    <w:p w14:paraId="190F593D" w14:textId="14D4AD4F" w:rsidR="00CE0303" w:rsidRPr="00CE0303" w:rsidRDefault="00CE0303" w:rsidP="00CE0303">
      <w:pPr>
        <w:spacing w:before="120"/>
        <w:ind w:firstLine="720"/>
        <w:rPr>
          <w:rFonts w:cs="Times New Roman"/>
          <w:szCs w:val="24"/>
          <w:lang w:val="lv-LV"/>
        </w:rPr>
      </w:pPr>
      <w:r w:rsidRPr="00CE0303">
        <w:rPr>
          <w:rFonts w:eastAsiaTheme="minorHAnsi"/>
          <w:lang w:val="lv-LV"/>
        </w:rPr>
        <w:t>Ņemot vērā iepriekš norādīto finansējuma ne</w:t>
      </w:r>
      <w:r w:rsidR="006F76FD">
        <w:rPr>
          <w:rFonts w:eastAsiaTheme="minorHAnsi"/>
          <w:lang w:val="lv-LV"/>
        </w:rPr>
        <w:t>izpildes</w:t>
      </w:r>
      <w:r w:rsidRPr="00CE0303">
        <w:rPr>
          <w:rFonts w:eastAsiaTheme="minorHAnsi"/>
          <w:lang w:val="lv-LV"/>
        </w:rPr>
        <w:t xml:space="preserve"> analīzi un EM rosinātās pārdales, programmā joprojām saglabājas potenciālais iekšējais resurss</w:t>
      </w:r>
      <w:r w:rsidRPr="00CE0303">
        <w:rPr>
          <w:rFonts w:cs="Times New Roman"/>
          <w:szCs w:val="24"/>
          <w:lang w:val="lv-LV"/>
        </w:rPr>
        <w:t xml:space="preserve"> 2022. un 2023. gadam, kas būtu novirzāms aktuālākām EM prioritātēm.</w:t>
      </w:r>
    </w:p>
    <w:tbl>
      <w:tblPr>
        <w:tblStyle w:val="TableGrid1"/>
        <w:tblpPr w:leftFromText="180" w:rightFromText="180" w:vertAnchor="text" w:horzAnchor="page" w:tblpX="4636" w:tblpY="-51"/>
        <w:tblW w:w="0" w:type="auto"/>
        <w:tblLook w:val="04A0" w:firstRow="1" w:lastRow="0" w:firstColumn="1" w:lastColumn="0" w:noHBand="0" w:noVBand="1"/>
      </w:tblPr>
      <w:tblGrid>
        <w:gridCol w:w="709"/>
        <w:gridCol w:w="1129"/>
        <w:gridCol w:w="696"/>
        <w:gridCol w:w="1129"/>
      </w:tblGrid>
      <w:tr w:rsidR="00CE0303" w:rsidRPr="00CE0303" w14:paraId="67846629" w14:textId="77777777" w:rsidTr="00CE0303">
        <w:tc>
          <w:tcPr>
            <w:tcW w:w="709" w:type="dxa"/>
            <w:shd w:val="clear" w:color="auto" w:fill="ED7D31" w:themeFill="accent2"/>
            <w:vAlign w:val="center"/>
          </w:tcPr>
          <w:p w14:paraId="7CDF3DCB"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1B527D46" w14:textId="77777777" w:rsidR="00CE0303" w:rsidRPr="00CE0303" w:rsidRDefault="00CE0303" w:rsidP="00CE0303">
            <w:pPr>
              <w:spacing w:after="0"/>
              <w:jc w:val="center"/>
              <w:rPr>
                <w:rFonts w:eastAsiaTheme="minorHAnsi"/>
                <w:lang w:val="lv-LV"/>
              </w:rPr>
            </w:pPr>
            <w:r w:rsidRPr="00CE0303">
              <w:rPr>
                <w:rFonts w:eastAsiaTheme="minorHAnsi"/>
                <w:lang w:val="lv-LV"/>
              </w:rPr>
              <w:t>194 564</w:t>
            </w:r>
          </w:p>
        </w:tc>
        <w:tc>
          <w:tcPr>
            <w:tcW w:w="696" w:type="dxa"/>
            <w:shd w:val="clear" w:color="auto" w:fill="ED7D31" w:themeFill="accent2"/>
            <w:vAlign w:val="center"/>
          </w:tcPr>
          <w:p w14:paraId="469CA8E4"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03081118" w14:textId="77777777" w:rsidR="00CE0303" w:rsidRPr="00CE0303" w:rsidRDefault="00CE0303" w:rsidP="00CE0303">
            <w:pPr>
              <w:spacing w:after="0"/>
              <w:jc w:val="center"/>
              <w:rPr>
                <w:rFonts w:eastAsiaTheme="minorHAnsi"/>
                <w:b/>
                <w:lang w:val="lv-LV"/>
              </w:rPr>
            </w:pPr>
            <w:r w:rsidRPr="00CE0303">
              <w:rPr>
                <w:rFonts w:eastAsiaTheme="minorHAnsi"/>
                <w:lang w:val="lv-LV"/>
              </w:rPr>
              <w:t>194 564</w:t>
            </w:r>
          </w:p>
        </w:tc>
      </w:tr>
    </w:tbl>
    <w:p w14:paraId="74154177" w14:textId="2209443A" w:rsidR="00002906" w:rsidRDefault="00002906" w:rsidP="00CE0303">
      <w:pPr>
        <w:spacing w:line="240" w:lineRule="auto"/>
        <w:jc w:val="center"/>
        <w:rPr>
          <w:rFonts w:cs="Times New Roman"/>
          <w:b/>
          <w:bCs/>
          <w:i/>
          <w:iCs/>
          <w:sz w:val="22"/>
          <w:lang w:val="lv-LV"/>
        </w:rPr>
      </w:pPr>
    </w:p>
    <w:p w14:paraId="0E20B0BB" w14:textId="724249C7" w:rsidR="00CE0303" w:rsidRPr="00CE0303" w:rsidRDefault="00CE0303" w:rsidP="00CE0303">
      <w:pPr>
        <w:spacing w:line="240" w:lineRule="auto"/>
        <w:jc w:val="center"/>
        <w:rPr>
          <w:rFonts w:cs="Times New Roman"/>
          <w:b/>
          <w:bCs/>
          <w:sz w:val="22"/>
          <w:lang w:val="lv-LV"/>
        </w:rPr>
      </w:pPr>
      <w:r w:rsidRPr="00CE0303">
        <w:rPr>
          <w:rFonts w:cs="Times New Roman"/>
          <w:b/>
          <w:bCs/>
          <w:i/>
          <w:iCs/>
          <w:sz w:val="22"/>
          <w:lang w:val="lv-LV"/>
        </w:rPr>
        <w:t>2.2.6. attēls</w:t>
      </w:r>
      <w:r w:rsidRPr="00CE0303">
        <w:rPr>
          <w:rFonts w:cs="Times New Roman"/>
          <w:b/>
          <w:bCs/>
          <w:sz w:val="22"/>
          <w:lang w:val="lv-LV"/>
        </w:rPr>
        <w:t xml:space="preserve"> Programmas 30.00.00 “Tūrisma politikas ieviešana” izdevumu analīze (tūkst. </w:t>
      </w:r>
      <w:r w:rsidRPr="00CE0303">
        <w:rPr>
          <w:rFonts w:cs="Times New Roman"/>
          <w:b/>
          <w:bCs/>
          <w:i/>
          <w:iCs/>
          <w:sz w:val="22"/>
          <w:lang w:val="lv-LV"/>
        </w:rPr>
        <w:t>euro</w:t>
      </w:r>
      <w:r w:rsidRPr="00CE0303">
        <w:rPr>
          <w:rFonts w:cs="Times New Roman"/>
          <w:b/>
          <w:bCs/>
          <w:sz w:val="22"/>
          <w:lang w:val="lv-LV"/>
        </w:rPr>
        <w:t>)</w:t>
      </w:r>
    </w:p>
    <w:p w14:paraId="1728BACC" w14:textId="77777777" w:rsidR="00CE0303" w:rsidRPr="00CE0303" w:rsidRDefault="00CE0303" w:rsidP="00CE0303">
      <w:pPr>
        <w:spacing w:line="240" w:lineRule="auto"/>
        <w:jc w:val="center"/>
        <w:rPr>
          <w:rFonts w:cs="Times New Roman"/>
          <w:szCs w:val="24"/>
          <w:lang w:val="lv-LV"/>
        </w:rPr>
      </w:pPr>
      <w:r w:rsidRPr="00CE0303">
        <w:rPr>
          <w:noProof/>
          <w:lang w:val="lv-LV" w:eastAsia="lv-LV"/>
        </w:rPr>
        <w:drawing>
          <wp:inline distT="0" distB="0" distL="0" distR="0" wp14:anchorId="04EF3652" wp14:editId="5271B696">
            <wp:extent cx="5410200" cy="2181225"/>
            <wp:effectExtent l="0" t="0" r="0" b="9525"/>
            <wp:docPr id="2245" name="Chart 2245">
              <a:extLst xmlns:a="http://schemas.openxmlformats.org/drawingml/2006/main">
                <a:ext uri="{FF2B5EF4-FFF2-40B4-BE49-F238E27FC236}">
                  <a16:creationId xmlns:a16="http://schemas.microsoft.com/office/drawing/2014/main" id="{61892970-00BE-49B0-95CD-0EE3B9BAB1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092D4D1" w14:textId="77777777" w:rsidR="00CE0303" w:rsidRPr="00CE0303" w:rsidRDefault="00CE0303" w:rsidP="00CE0303">
      <w:pPr>
        <w:spacing w:line="240" w:lineRule="auto"/>
        <w:ind w:firstLine="720"/>
        <w:rPr>
          <w:rFonts w:cs="Times New Roman"/>
          <w:bCs/>
          <w:szCs w:val="24"/>
          <w:lang w:val="lv-LV"/>
        </w:rPr>
      </w:pPr>
      <w:r w:rsidRPr="00CE0303">
        <w:rPr>
          <w:rFonts w:cs="Times New Roman"/>
          <w:szCs w:val="24"/>
          <w:lang w:val="lv-LV"/>
        </w:rPr>
        <w:lastRenderedPageBreak/>
        <w:t xml:space="preserve">Programmā 30.00.00 “Tūrisma politikas ieviešana” </w:t>
      </w:r>
      <w:r w:rsidRPr="00CE0303">
        <w:rPr>
          <w:rFonts w:cs="Times New Roman"/>
          <w:bCs/>
          <w:szCs w:val="24"/>
          <w:lang w:val="lv-LV"/>
        </w:rPr>
        <w:t xml:space="preserve">trīs gadu periodā veidojas izdevumu neizpilde vidēji gadā 48,3 tūkst. </w:t>
      </w:r>
      <w:r w:rsidRPr="00CE0303">
        <w:rPr>
          <w:rFonts w:cs="Times New Roman"/>
          <w:bCs/>
          <w:i/>
          <w:szCs w:val="24"/>
          <w:lang w:val="lv-LV"/>
        </w:rPr>
        <w:t>euro</w:t>
      </w:r>
      <w:r w:rsidRPr="00CE0303">
        <w:rPr>
          <w:rFonts w:cs="Times New Roman"/>
          <w:bCs/>
          <w:szCs w:val="24"/>
          <w:lang w:val="lv-LV"/>
        </w:rPr>
        <w:t xml:space="preserve"> apmērā. (2.2.6. attēls). </w:t>
      </w:r>
    </w:p>
    <w:p w14:paraId="6BFB0BF2" w14:textId="2FC466DC" w:rsidR="00CE0303" w:rsidRPr="00CE0303" w:rsidRDefault="00CE0303" w:rsidP="00CE0303">
      <w:pPr>
        <w:spacing w:line="240" w:lineRule="auto"/>
        <w:ind w:firstLine="720"/>
        <w:rPr>
          <w:rFonts w:cs="Times New Roman"/>
          <w:szCs w:val="24"/>
          <w:lang w:val="lv-LV"/>
        </w:rPr>
      </w:pPr>
      <w:r w:rsidRPr="00CE0303">
        <w:rPr>
          <w:rFonts w:cs="Times New Roman"/>
          <w:szCs w:val="24"/>
          <w:lang w:val="lv-LV"/>
        </w:rPr>
        <w:t>EM neizpildi 2020. gadam skaidro ar samazinājumu komandējumu un klātienes pasākumu organizēšanas izdevumiem saistībā ar to atcelšanu va</w:t>
      </w:r>
      <w:r w:rsidR="00782965">
        <w:rPr>
          <w:rFonts w:cs="Times New Roman"/>
          <w:szCs w:val="24"/>
          <w:lang w:val="lv-LV"/>
        </w:rPr>
        <w:t>i organizēšanu tiešsaistē Covid-</w:t>
      </w:r>
      <w:r w:rsidRPr="00CE0303">
        <w:rPr>
          <w:rFonts w:cs="Times New Roman"/>
          <w:szCs w:val="24"/>
          <w:lang w:val="lv-LV"/>
        </w:rPr>
        <w:t>19 izplatības ierobežošanas ietekmē.</w:t>
      </w:r>
    </w:p>
    <w:p w14:paraId="190641B2" w14:textId="77777777" w:rsidR="00CE0303" w:rsidRPr="00CE0303" w:rsidRDefault="00CE0303" w:rsidP="00CE0303">
      <w:pPr>
        <w:spacing w:line="240" w:lineRule="auto"/>
        <w:ind w:firstLine="720"/>
        <w:rPr>
          <w:rFonts w:cs="Times New Roman"/>
          <w:szCs w:val="24"/>
          <w:lang w:val="lv-LV"/>
        </w:rPr>
      </w:pPr>
      <w:r w:rsidRPr="00CE0303">
        <w:rPr>
          <w:rFonts w:cs="Times New Roman"/>
          <w:bCs/>
          <w:szCs w:val="24"/>
          <w:lang w:val="lv-LV"/>
        </w:rPr>
        <w:t>Ņemot vērā iepriekš minēto, konstatēts, ka programmā 30.00.00 “Tūrisma politikas ieviešana”</w:t>
      </w:r>
      <w:r w:rsidRPr="00CE0303">
        <w:rPr>
          <w:rFonts w:cs="Times New Roman"/>
          <w:szCs w:val="24"/>
          <w:lang w:val="lv-LV"/>
        </w:rPr>
        <w:t xml:space="preserve"> ir potenciālais iekšējais resurss 2022. un 2023. gadam, kas būtu novirzāms aktuālākām EM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129"/>
        <w:gridCol w:w="696"/>
        <w:gridCol w:w="1129"/>
      </w:tblGrid>
      <w:tr w:rsidR="00CE0303" w:rsidRPr="00CE0303" w14:paraId="7E3F288D" w14:textId="77777777" w:rsidTr="00CE0303">
        <w:tc>
          <w:tcPr>
            <w:tcW w:w="709" w:type="dxa"/>
            <w:shd w:val="clear" w:color="auto" w:fill="ED7D31" w:themeFill="accent2"/>
            <w:vAlign w:val="center"/>
          </w:tcPr>
          <w:p w14:paraId="20130A08"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15748982" w14:textId="77777777" w:rsidR="00CE0303" w:rsidRPr="00CE0303" w:rsidRDefault="00CE0303" w:rsidP="00CE0303">
            <w:pPr>
              <w:spacing w:after="0"/>
              <w:jc w:val="center"/>
              <w:rPr>
                <w:rFonts w:eastAsiaTheme="minorHAnsi"/>
                <w:lang w:val="lv-LV"/>
              </w:rPr>
            </w:pPr>
            <w:r w:rsidRPr="00CE0303">
              <w:rPr>
                <w:rFonts w:cs="Times New Roman"/>
                <w:szCs w:val="24"/>
                <w:lang w:val="lv-LV"/>
              </w:rPr>
              <w:t>48 264</w:t>
            </w:r>
          </w:p>
        </w:tc>
        <w:tc>
          <w:tcPr>
            <w:tcW w:w="696" w:type="dxa"/>
            <w:shd w:val="clear" w:color="auto" w:fill="ED7D31" w:themeFill="accent2"/>
            <w:vAlign w:val="center"/>
          </w:tcPr>
          <w:p w14:paraId="32CC0756"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5842302E" w14:textId="77777777" w:rsidR="00CE0303" w:rsidRPr="00CE0303" w:rsidRDefault="00CE0303" w:rsidP="00CE0303">
            <w:pPr>
              <w:spacing w:after="0"/>
              <w:jc w:val="center"/>
              <w:rPr>
                <w:rFonts w:eastAsiaTheme="minorHAnsi"/>
                <w:lang w:val="lv-LV"/>
              </w:rPr>
            </w:pPr>
            <w:r w:rsidRPr="00CE0303">
              <w:rPr>
                <w:rFonts w:cs="Times New Roman"/>
                <w:szCs w:val="24"/>
                <w:lang w:val="lv-LV"/>
              </w:rPr>
              <w:t>48 264</w:t>
            </w:r>
          </w:p>
        </w:tc>
      </w:tr>
    </w:tbl>
    <w:p w14:paraId="696CE18D" w14:textId="0ADFEAEA" w:rsidR="00D31BE1" w:rsidRDefault="00D31BE1" w:rsidP="00CE0303">
      <w:pPr>
        <w:spacing w:line="240" w:lineRule="auto"/>
        <w:jc w:val="center"/>
        <w:rPr>
          <w:rFonts w:cs="Times New Roman"/>
          <w:b/>
          <w:bCs/>
          <w:i/>
          <w:iCs/>
          <w:sz w:val="22"/>
          <w:lang w:val="lv-LV"/>
        </w:rPr>
      </w:pPr>
    </w:p>
    <w:p w14:paraId="21001B7B" w14:textId="719E0DB4" w:rsidR="00CE0303" w:rsidRPr="00CE0303" w:rsidRDefault="00CE0303" w:rsidP="00CE0303">
      <w:pPr>
        <w:spacing w:line="240" w:lineRule="auto"/>
        <w:jc w:val="center"/>
        <w:rPr>
          <w:rFonts w:cs="Times New Roman"/>
          <w:b/>
          <w:bCs/>
          <w:sz w:val="22"/>
          <w:lang w:val="lv-LV"/>
        </w:rPr>
      </w:pPr>
      <w:r w:rsidRPr="00CE0303">
        <w:rPr>
          <w:rFonts w:cs="Times New Roman"/>
          <w:b/>
          <w:bCs/>
          <w:i/>
          <w:iCs/>
          <w:sz w:val="22"/>
          <w:lang w:val="lv-LV"/>
        </w:rPr>
        <w:t>2.2.7. attēls</w:t>
      </w:r>
      <w:r w:rsidRPr="00CE0303">
        <w:rPr>
          <w:rFonts w:cs="Times New Roman"/>
          <w:b/>
          <w:bCs/>
          <w:sz w:val="22"/>
          <w:lang w:val="lv-LV"/>
        </w:rPr>
        <w:t xml:space="preserve"> Programmas 34.00.00 “Iemaksas starptautiskajās organizācijās” izdevumu analīze (tūkst. </w:t>
      </w:r>
      <w:r w:rsidRPr="00CE0303">
        <w:rPr>
          <w:rFonts w:cs="Times New Roman"/>
          <w:b/>
          <w:bCs/>
          <w:i/>
          <w:iCs/>
          <w:sz w:val="22"/>
          <w:lang w:val="lv-LV"/>
        </w:rPr>
        <w:t>euro</w:t>
      </w:r>
      <w:r w:rsidRPr="00CE0303">
        <w:rPr>
          <w:rFonts w:cs="Times New Roman"/>
          <w:b/>
          <w:bCs/>
          <w:sz w:val="22"/>
          <w:lang w:val="lv-LV"/>
        </w:rPr>
        <w:t>)</w:t>
      </w:r>
    </w:p>
    <w:p w14:paraId="1C2AFBE0" w14:textId="77777777" w:rsidR="00CE0303" w:rsidRPr="00CE0303" w:rsidRDefault="00CE0303" w:rsidP="00CE0303">
      <w:pPr>
        <w:spacing w:line="240" w:lineRule="auto"/>
        <w:jc w:val="center"/>
        <w:rPr>
          <w:rFonts w:cs="Times New Roman"/>
          <w:szCs w:val="24"/>
          <w:lang w:val="lv-LV"/>
        </w:rPr>
      </w:pPr>
      <w:r w:rsidRPr="00CE0303">
        <w:rPr>
          <w:noProof/>
          <w:lang w:val="lv-LV" w:eastAsia="lv-LV"/>
        </w:rPr>
        <w:drawing>
          <wp:inline distT="0" distB="0" distL="0" distR="0" wp14:anchorId="6CE41752" wp14:editId="055FA24C">
            <wp:extent cx="5433060" cy="1924493"/>
            <wp:effectExtent l="0" t="0" r="15240" b="0"/>
            <wp:docPr id="2246" name="Chart 2246">
              <a:extLst xmlns:a="http://schemas.openxmlformats.org/drawingml/2006/main">
                <a:ext uri="{FF2B5EF4-FFF2-40B4-BE49-F238E27FC236}">
                  <a16:creationId xmlns:a16="http://schemas.microsoft.com/office/drawing/2014/main" id="{8C36615F-7C9F-434B-961E-785BD1BC7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80D9113" w14:textId="77777777" w:rsidR="00CE0303" w:rsidRPr="00CE0303" w:rsidRDefault="00CE0303" w:rsidP="00CE0303">
      <w:pPr>
        <w:spacing w:line="240" w:lineRule="auto"/>
        <w:ind w:firstLine="720"/>
        <w:rPr>
          <w:rFonts w:cs="Times New Roman"/>
          <w:bCs/>
          <w:szCs w:val="24"/>
          <w:lang w:val="lv-LV"/>
        </w:rPr>
      </w:pPr>
      <w:r w:rsidRPr="00CE0303">
        <w:rPr>
          <w:rFonts w:cs="Times New Roman"/>
          <w:szCs w:val="24"/>
          <w:lang w:val="lv-LV"/>
        </w:rPr>
        <w:t xml:space="preserve">Programmā 34.00.00 “Iemaksas starptautiskajās organizācijās” trīs gadu periodā veidojas izdevumu neizpilde vidēji gadā </w:t>
      </w:r>
      <w:r w:rsidRPr="00CE0303">
        <w:rPr>
          <w:rFonts w:cs="Times New Roman"/>
          <w:bCs/>
          <w:szCs w:val="24"/>
          <w:lang w:val="lv-LV"/>
        </w:rPr>
        <w:t xml:space="preserve">27,3 tūkst. </w:t>
      </w:r>
      <w:r w:rsidRPr="00CE0303">
        <w:rPr>
          <w:rFonts w:cs="Times New Roman"/>
          <w:bCs/>
          <w:i/>
          <w:szCs w:val="24"/>
          <w:lang w:val="lv-LV"/>
        </w:rPr>
        <w:t>euro</w:t>
      </w:r>
      <w:r w:rsidRPr="00CE0303">
        <w:rPr>
          <w:rFonts w:cs="Times New Roman"/>
          <w:bCs/>
          <w:szCs w:val="24"/>
          <w:lang w:val="lv-LV"/>
        </w:rPr>
        <w:t xml:space="preserve"> apmērā (2.2.7. attēls). </w:t>
      </w:r>
    </w:p>
    <w:p w14:paraId="7B83516D" w14:textId="77777777" w:rsidR="00CE0303" w:rsidRPr="00CE0303" w:rsidRDefault="00CE0303" w:rsidP="00CE0303">
      <w:pPr>
        <w:spacing w:line="240" w:lineRule="auto"/>
        <w:ind w:firstLine="720"/>
        <w:rPr>
          <w:rFonts w:cs="Times New Roman"/>
          <w:szCs w:val="24"/>
          <w:lang w:val="lv-LV"/>
        </w:rPr>
      </w:pPr>
      <w:r w:rsidRPr="00CE0303">
        <w:rPr>
          <w:rFonts w:cs="Times New Roman"/>
          <w:szCs w:val="24"/>
          <w:lang w:val="lv-LV"/>
        </w:rPr>
        <w:t>EM norāda, ka faktiskās izmaksas ir veiktas atbilstoši no starptautiskajām organizācijām saņemtajiem rēķiniem.</w:t>
      </w:r>
    </w:p>
    <w:p w14:paraId="77D7C665" w14:textId="77777777" w:rsidR="00CE0303" w:rsidRPr="00CE0303" w:rsidRDefault="00CE0303" w:rsidP="00CE0303">
      <w:pPr>
        <w:spacing w:line="240" w:lineRule="auto"/>
        <w:ind w:firstLine="720"/>
        <w:rPr>
          <w:rFonts w:cs="Times New Roman"/>
          <w:szCs w:val="24"/>
          <w:lang w:val="lv-LV"/>
        </w:rPr>
      </w:pPr>
      <w:r w:rsidRPr="00CE0303">
        <w:rPr>
          <w:rFonts w:cs="Times New Roman"/>
          <w:bCs/>
          <w:szCs w:val="24"/>
          <w:lang w:val="lv-LV"/>
        </w:rPr>
        <w:t>Ņemot vērā iepriekš minēto, konstatēts, ka programmā 34.00.00 “Iemaksas starptautiskajās organizācijās”</w:t>
      </w:r>
      <w:r w:rsidRPr="00CE0303">
        <w:rPr>
          <w:rFonts w:cs="Times New Roman"/>
          <w:szCs w:val="24"/>
          <w:lang w:val="lv-LV"/>
        </w:rPr>
        <w:t xml:space="preserve"> ir potenciālais iekšējais resurss 2022. un 2023. gadam</w:t>
      </w:r>
      <w:r w:rsidRPr="00CE0303">
        <w:rPr>
          <w:rFonts w:cs="Times New Roman"/>
          <w:b/>
          <w:szCs w:val="24"/>
          <w:lang w:val="lv-LV"/>
        </w:rPr>
        <w:t xml:space="preserve">, </w:t>
      </w:r>
      <w:r w:rsidRPr="00CE0303">
        <w:rPr>
          <w:rFonts w:cs="Times New Roman"/>
          <w:szCs w:val="24"/>
          <w:lang w:val="lv-LV"/>
        </w:rPr>
        <w:t>kas būtu novirzāms aktuālākām EM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129"/>
        <w:gridCol w:w="696"/>
        <w:gridCol w:w="1129"/>
      </w:tblGrid>
      <w:tr w:rsidR="00CE0303" w:rsidRPr="00CE0303" w14:paraId="54998BF2" w14:textId="77777777" w:rsidTr="00CE0303">
        <w:tc>
          <w:tcPr>
            <w:tcW w:w="709" w:type="dxa"/>
            <w:shd w:val="clear" w:color="auto" w:fill="ED7D31" w:themeFill="accent2"/>
            <w:vAlign w:val="center"/>
          </w:tcPr>
          <w:p w14:paraId="2BE2FE03"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3E379387" w14:textId="77777777" w:rsidR="00CE0303" w:rsidRPr="00CE0303" w:rsidRDefault="00CE0303" w:rsidP="00CE0303">
            <w:pPr>
              <w:spacing w:after="0"/>
              <w:jc w:val="center"/>
              <w:rPr>
                <w:rFonts w:eastAsiaTheme="minorHAnsi"/>
                <w:lang w:val="lv-LV"/>
              </w:rPr>
            </w:pPr>
            <w:r w:rsidRPr="00CE0303">
              <w:rPr>
                <w:rFonts w:eastAsiaTheme="minorHAnsi"/>
                <w:lang w:val="lv-LV"/>
              </w:rPr>
              <w:t>27 346</w:t>
            </w:r>
          </w:p>
        </w:tc>
        <w:tc>
          <w:tcPr>
            <w:tcW w:w="696" w:type="dxa"/>
            <w:shd w:val="clear" w:color="auto" w:fill="ED7D31" w:themeFill="accent2"/>
            <w:vAlign w:val="center"/>
          </w:tcPr>
          <w:p w14:paraId="7523851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EB5EEDD" w14:textId="77777777" w:rsidR="00CE0303" w:rsidRPr="00CE0303" w:rsidRDefault="00CE0303" w:rsidP="00CE0303">
            <w:pPr>
              <w:spacing w:after="0"/>
              <w:jc w:val="center"/>
              <w:rPr>
                <w:rFonts w:eastAsiaTheme="minorHAnsi"/>
                <w:b/>
                <w:lang w:val="lv-LV"/>
              </w:rPr>
            </w:pPr>
            <w:r w:rsidRPr="00CE0303">
              <w:rPr>
                <w:rFonts w:eastAsiaTheme="minorHAnsi"/>
                <w:lang w:val="lv-LV"/>
              </w:rPr>
              <w:t>27 346</w:t>
            </w:r>
          </w:p>
        </w:tc>
      </w:tr>
    </w:tbl>
    <w:p w14:paraId="2E807CD1" w14:textId="1B133A30" w:rsidR="00CE0303" w:rsidRPr="00CE0303" w:rsidRDefault="00CE0303" w:rsidP="00782965">
      <w:pPr>
        <w:spacing w:line="240" w:lineRule="auto"/>
        <w:rPr>
          <w:rFonts w:cs="Times New Roman"/>
          <w:szCs w:val="24"/>
          <w:lang w:val="lv-LV"/>
        </w:rPr>
      </w:pPr>
    </w:p>
    <w:p w14:paraId="09D1685D" w14:textId="77777777" w:rsidR="00002906" w:rsidRDefault="00002906" w:rsidP="00CE0303">
      <w:pPr>
        <w:jc w:val="center"/>
        <w:rPr>
          <w:rFonts w:cs="Times New Roman"/>
          <w:b/>
          <w:bCs/>
          <w:i/>
          <w:iCs/>
          <w:sz w:val="22"/>
          <w:lang w:val="lv-LV"/>
        </w:rPr>
      </w:pPr>
    </w:p>
    <w:p w14:paraId="12413BE4" w14:textId="07BD722A" w:rsidR="00CE0303" w:rsidRPr="00CE0303" w:rsidRDefault="00CE0303" w:rsidP="00CE0303">
      <w:pPr>
        <w:jc w:val="center"/>
        <w:rPr>
          <w:rFonts w:cs="Times New Roman"/>
          <w:b/>
          <w:bCs/>
          <w:sz w:val="22"/>
          <w:lang w:val="lv-LV"/>
        </w:rPr>
      </w:pPr>
      <w:r w:rsidRPr="00CE0303">
        <w:rPr>
          <w:rFonts w:cs="Times New Roman"/>
          <w:b/>
          <w:bCs/>
          <w:i/>
          <w:iCs/>
          <w:sz w:val="22"/>
          <w:lang w:val="lv-LV"/>
        </w:rPr>
        <w:t>2.2.8. attēls</w:t>
      </w:r>
      <w:r w:rsidRPr="00CE0303">
        <w:rPr>
          <w:rFonts w:cs="Times New Roman"/>
          <w:b/>
          <w:bCs/>
          <w:sz w:val="22"/>
          <w:lang w:val="lv-LV"/>
        </w:rPr>
        <w:t xml:space="preserve"> Apakšprogrammas 29.05.00 “Valsts pētījumu programma enerģētikā” izdevumu analīze (milj. </w:t>
      </w:r>
      <w:r w:rsidRPr="00CE0303">
        <w:rPr>
          <w:rFonts w:cs="Times New Roman"/>
          <w:b/>
          <w:bCs/>
          <w:i/>
          <w:iCs/>
          <w:sz w:val="22"/>
          <w:lang w:val="lv-LV"/>
        </w:rPr>
        <w:t>euro</w:t>
      </w:r>
      <w:r w:rsidRPr="00CE0303">
        <w:rPr>
          <w:rFonts w:cs="Times New Roman"/>
          <w:b/>
          <w:bCs/>
          <w:sz w:val="22"/>
          <w:lang w:val="lv-LV"/>
        </w:rPr>
        <w:t>)</w:t>
      </w:r>
    </w:p>
    <w:p w14:paraId="6BA344C2" w14:textId="77777777" w:rsidR="00CE0303" w:rsidRPr="00CE0303" w:rsidRDefault="00CE0303" w:rsidP="00CE0303">
      <w:pPr>
        <w:jc w:val="center"/>
        <w:rPr>
          <w:rFonts w:cs="Times New Roman"/>
          <w:b/>
          <w:bCs/>
          <w:szCs w:val="24"/>
          <w:lang w:val="lv-LV"/>
        </w:rPr>
      </w:pPr>
      <w:r w:rsidRPr="00CE0303">
        <w:rPr>
          <w:rFonts w:asciiTheme="minorHAnsi" w:hAnsiTheme="minorHAnsi"/>
          <w:noProof/>
          <w:sz w:val="22"/>
          <w:lang w:val="lv-LV" w:eastAsia="lv-LV"/>
        </w:rPr>
        <w:drawing>
          <wp:inline distT="0" distB="0" distL="0" distR="0" wp14:anchorId="40E1FAAD" wp14:editId="385A9A1C">
            <wp:extent cx="4907280" cy="1892595"/>
            <wp:effectExtent l="0" t="0" r="7620" b="12700"/>
            <wp:docPr id="2247" name="Chart 2247">
              <a:extLst xmlns:a="http://schemas.openxmlformats.org/drawingml/2006/main">
                <a:ext uri="{FF2B5EF4-FFF2-40B4-BE49-F238E27FC236}">
                  <a16:creationId xmlns:a16="http://schemas.microsoft.com/office/drawing/2014/main" id="{276910E7-E45B-4392-8DB6-3D9480640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91C9C0" w14:textId="721564EF" w:rsidR="00CE0303" w:rsidRPr="00CE0303" w:rsidRDefault="00CE0303" w:rsidP="00CE0303">
      <w:pPr>
        <w:ind w:firstLine="720"/>
        <w:rPr>
          <w:rFonts w:cs="Times New Roman"/>
          <w:bCs/>
          <w:szCs w:val="24"/>
          <w:lang w:val="lv-LV"/>
        </w:rPr>
      </w:pPr>
      <w:r w:rsidRPr="00CE0303">
        <w:rPr>
          <w:rFonts w:cs="Times New Roman"/>
          <w:bCs/>
          <w:szCs w:val="24"/>
          <w:lang w:val="lv-LV"/>
        </w:rPr>
        <w:lastRenderedPageBreak/>
        <w:t xml:space="preserve">No 2021. gada finansējums valsts pētījumu programmai enerģētikā tiek plānots apakšprogrammā 29.05.00 “Valsts pētījumu programma enerģētikā” - 0,5 milj. </w:t>
      </w:r>
      <w:r w:rsidRPr="00CE0303">
        <w:rPr>
          <w:rFonts w:cs="Times New Roman"/>
          <w:bCs/>
          <w:i/>
          <w:iCs/>
          <w:szCs w:val="24"/>
          <w:lang w:val="lv-LV"/>
        </w:rPr>
        <w:t>euro</w:t>
      </w:r>
      <w:r w:rsidRPr="00CE0303">
        <w:rPr>
          <w:rFonts w:cs="Times New Roman"/>
          <w:bCs/>
          <w:szCs w:val="24"/>
          <w:lang w:val="lv-LV"/>
        </w:rPr>
        <w:t xml:space="preserve"> apmērā un 1,5 milj. </w:t>
      </w:r>
      <w:r w:rsidRPr="00CE0303">
        <w:rPr>
          <w:rFonts w:cs="Times New Roman"/>
          <w:bCs/>
          <w:i/>
          <w:iCs/>
          <w:szCs w:val="24"/>
          <w:lang w:val="lv-LV"/>
        </w:rPr>
        <w:t>euro</w:t>
      </w:r>
      <w:r w:rsidRPr="00CE0303">
        <w:rPr>
          <w:rFonts w:cs="Times New Roman"/>
          <w:bCs/>
          <w:szCs w:val="24"/>
          <w:lang w:val="lv-LV"/>
        </w:rPr>
        <w:t xml:space="preserve"> programmā 97.00.00 “Nozaru vadība un politikas plānošana”. Savukārt no 2022. gada finansējums valsts pētījumu programmai enerģētikā pilnā apmērā (2,0 milj. </w:t>
      </w:r>
      <w:r w:rsidRPr="00CE0303">
        <w:rPr>
          <w:rFonts w:cs="Times New Roman"/>
          <w:bCs/>
          <w:i/>
          <w:iCs/>
          <w:szCs w:val="24"/>
          <w:lang w:val="lv-LV"/>
        </w:rPr>
        <w:t>euro</w:t>
      </w:r>
      <w:r w:rsidRPr="00CE0303">
        <w:rPr>
          <w:rFonts w:cs="Times New Roman"/>
          <w:bCs/>
          <w:szCs w:val="24"/>
          <w:lang w:val="lv-LV"/>
        </w:rPr>
        <w:t xml:space="preserve">) tiek plānots programmā 97.00.00 “Nozaru vadība un politikas plānošana”. Ņemot vērā, ka finansējuma mērķis un apmērs ir nemainīgs arī 2022. un 2023. gadam, pārskatīšanai tiek pakļauts programmā 97.00.00 “Nozaru vadība un politikas plānošana” iekļautais finansējums valsts pētījumu programmai enerģētikā. </w:t>
      </w:r>
    </w:p>
    <w:p w14:paraId="00F5AD96" w14:textId="77777777" w:rsidR="00CE0303" w:rsidRPr="00CE0303" w:rsidRDefault="00CE0303" w:rsidP="00CE0303">
      <w:pPr>
        <w:ind w:firstLine="720"/>
        <w:rPr>
          <w:rFonts w:cs="Times New Roman"/>
          <w:bCs/>
          <w:szCs w:val="24"/>
          <w:lang w:val="lv-LV"/>
        </w:rPr>
      </w:pPr>
      <w:r w:rsidRPr="00CE0303">
        <w:rPr>
          <w:rFonts w:cs="Times New Roman"/>
          <w:szCs w:val="24"/>
          <w:lang w:val="lv-LV"/>
        </w:rPr>
        <w:t>Apakšprogrammā 29.05.00 “Valsts pētījumu programma enerģētikā” trīs gadu periodā veidojas izdevumu neizpilde vidēji gadā</w:t>
      </w:r>
      <w:r w:rsidRPr="00CE0303">
        <w:rPr>
          <w:rFonts w:cs="Times New Roman"/>
          <w:bCs/>
          <w:szCs w:val="24"/>
          <w:lang w:val="lv-LV"/>
        </w:rPr>
        <w:t xml:space="preserve"> 354,7 tūkst. </w:t>
      </w:r>
      <w:r w:rsidRPr="00CE0303">
        <w:rPr>
          <w:rFonts w:cs="Times New Roman"/>
          <w:bCs/>
          <w:i/>
          <w:szCs w:val="24"/>
          <w:lang w:val="lv-LV"/>
        </w:rPr>
        <w:t>euro</w:t>
      </w:r>
      <w:r w:rsidRPr="00CE0303">
        <w:rPr>
          <w:rFonts w:cs="Times New Roman"/>
          <w:bCs/>
          <w:szCs w:val="24"/>
          <w:lang w:val="lv-LV"/>
        </w:rPr>
        <w:t xml:space="preserve"> apmērā (</w:t>
      </w:r>
      <w:r w:rsidRPr="00CE0303">
        <w:rPr>
          <w:rFonts w:cs="Times New Roman"/>
          <w:bCs/>
          <w:iCs/>
          <w:szCs w:val="24"/>
          <w:lang w:val="lv-LV"/>
        </w:rPr>
        <w:t>2.2.8. attēls</w:t>
      </w:r>
      <w:r w:rsidRPr="00CE0303">
        <w:rPr>
          <w:rFonts w:cs="Times New Roman"/>
          <w:bCs/>
          <w:szCs w:val="24"/>
          <w:lang w:val="lv-LV"/>
        </w:rPr>
        <w:t>).</w:t>
      </w:r>
    </w:p>
    <w:p w14:paraId="6C10F715" w14:textId="77777777" w:rsidR="00CE0303" w:rsidRPr="00CE0303" w:rsidRDefault="00CE0303" w:rsidP="00CE0303">
      <w:pPr>
        <w:ind w:firstLine="720"/>
        <w:rPr>
          <w:rFonts w:cs="Times New Roman"/>
          <w:b/>
          <w:bCs/>
          <w:szCs w:val="24"/>
          <w:lang w:val="lv-LV"/>
        </w:rPr>
      </w:pPr>
      <w:r w:rsidRPr="00CE0303">
        <w:rPr>
          <w:rFonts w:cs="Times New Roman"/>
          <w:bCs/>
          <w:szCs w:val="24"/>
          <w:lang w:val="lv-LV"/>
        </w:rPr>
        <w:t>EM skaidro, ka</w:t>
      </w:r>
      <w:r w:rsidRPr="00CE0303">
        <w:rPr>
          <w:rFonts w:cs="Times New Roman"/>
          <w:szCs w:val="24"/>
          <w:lang w:val="lv-LV"/>
        </w:rPr>
        <w:t xml:space="preserve"> neizpilde 2020. gadā veidojās novēlotas pētījumu programmas uzsākšanas dēļ (atbilstoši noslēgtajiem līgumiem pēdējie nodevumi ir plānoti 2021. gada decembrī), tādēļ līdz ar laika novirzi pētījumu uzsākšanā 2021. gadā iekļauts neizlietotais finansējums projektu pabeigšanai.</w:t>
      </w:r>
    </w:p>
    <w:p w14:paraId="61E3C52F" w14:textId="77777777" w:rsidR="00CE0303" w:rsidRPr="00CE0303" w:rsidRDefault="00CE0303" w:rsidP="00CE0303">
      <w:pPr>
        <w:ind w:firstLine="720"/>
        <w:rPr>
          <w:rFonts w:cs="Times New Roman"/>
          <w:szCs w:val="24"/>
          <w:lang w:val="lv-LV"/>
        </w:rPr>
      </w:pPr>
      <w:r w:rsidRPr="00CE0303">
        <w:rPr>
          <w:rFonts w:cs="Times New Roman"/>
          <w:bCs/>
          <w:szCs w:val="24"/>
          <w:lang w:val="lv-LV"/>
        </w:rPr>
        <w:t>Ņemot vērā iepriekš minēto, konstatēts, ka programmā 97.00.00 “Nozaru vadība un politikas plānošana”</w:t>
      </w:r>
      <w:r w:rsidRPr="00CE0303">
        <w:rPr>
          <w:rFonts w:cs="Times New Roman"/>
          <w:szCs w:val="24"/>
          <w:lang w:val="lv-LV"/>
        </w:rPr>
        <w:t xml:space="preserve"> ir potenciālais iekšējais resurss 2022. un 2023. gadam, kas būtu novirzāms aktuālākām EM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129"/>
        <w:gridCol w:w="696"/>
        <w:gridCol w:w="1129"/>
      </w:tblGrid>
      <w:tr w:rsidR="00CE0303" w:rsidRPr="00CE0303" w14:paraId="3A1D7854" w14:textId="77777777" w:rsidTr="00CE0303">
        <w:tc>
          <w:tcPr>
            <w:tcW w:w="709" w:type="dxa"/>
            <w:shd w:val="clear" w:color="auto" w:fill="ED7D31" w:themeFill="accent2"/>
            <w:vAlign w:val="center"/>
          </w:tcPr>
          <w:p w14:paraId="7A10784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64E45F8A" w14:textId="77777777" w:rsidR="00CE0303" w:rsidRPr="00CE0303" w:rsidRDefault="00CE0303" w:rsidP="00CE0303">
            <w:pPr>
              <w:spacing w:after="0"/>
              <w:jc w:val="center"/>
              <w:rPr>
                <w:rFonts w:eastAsiaTheme="minorHAnsi"/>
                <w:lang w:val="lv-LV"/>
              </w:rPr>
            </w:pPr>
            <w:r w:rsidRPr="00CE0303">
              <w:rPr>
                <w:rFonts w:eastAsiaTheme="minorHAnsi"/>
                <w:lang w:val="lv-LV"/>
              </w:rPr>
              <w:t>354 656</w:t>
            </w:r>
          </w:p>
        </w:tc>
        <w:tc>
          <w:tcPr>
            <w:tcW w:w="696" w:type="dxa"/>
            <w:shd w:val="clear" w:color="auto" w:fill="ED7D31" w:themeFill="accent2"/>
            <w:vAlign w:val="center"/>
          </w:tcPr>
          <w:p w14:paraId="28322041"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260C1F67" w14:textId="77777777" w:rsidR="00CE0303" w:rsidRPr="00CE0303" w:rsidRDefault="00CE0303" w:rsidP="00CE0303">
            <w:pPr>
              <w:spacing w:after="0"/>
              <w:jc w:val="center"/>
              <w:rPr>
                <w:rFonts w:eastAsiaTheme="minorHAnsi"/>
                <w:b/>
                <w:lang w:val="lv-LV"/>
              </w:rPr>
            </w:pPr>
            <w:r w:rsidRPr="00CE0303">
              <w:rPr>
                <w:rFonts w:eastAsiaTheme="minorHAnsi"/>
                <w:lang w:val="lv-LV"/>
              </w:rPr>
              <w:t>354 656</w:t>
            </w:r>
          </w:p>
        </w:tc>
      </w:tr>
    </w:tbl>
    <w:p w14:paraId="179DF40D" w14:textId="77777777" w:rsidR="00CE0303" w:rsidRPr="00CE0303" w:rsidRDefault="00CE0303" w:rsidP="00CE0303">
      <w:pPr>
        <w:rPr>
          <w:rFonts w:eastAsiaTheme="minorHAnsi"/>
          <w:lang w:val="lv-LV"/>
        </w:rPr>
      </w:pPr>
    </w:p>
    <w:p w14:paraId="21A85FC8" w14:textId="77777777" w:rsidR="00CE0303" w:rsidRPr="00CE0303" w:rsidRDefault="00CE0303" w:rsidP="00CE0303">
      <w:pPr>
        <w:spacing w:line="240" w:lineRule="auto"/>
        <w:jc w:val="center"/>
        <w:rPr>
          <w:rFonts w:cs="Times New Roman"/>
          <w:b/>
          <w:bCs/>
          <w:sz w:val="22"/>
          <w:lang w:val="lv-LV"/>
        </w:rPr>
      </w:pPr>
      <w:r w:rsidRPr="00CE0303">
        <w:rPr>
          <w:rFonts w:cs="Times New Roman"/>
          <w:b/>
          <w:bCs/>
          <w:i/>
          <w:iCs/>
          <w:sz w:val="22"/>
          <w:lang w:val="lv-LV"/>
        </w:rPr>
        <w:t>2.2.9. attēls</w:t>
      </w:r>
      <w:r w:rsidRPr="00CE0303">
        <w:rPr>
          <w:rFonts w:cs="Times New Roman"/>
          <w:b/>
          <w:bCs/>
          <w:sz w:val="22"/>
          <w:lang w:val="lv-LV"/>
        </w:rPr>
        <w:t xml:space="preserve"> Apakšprogrammā 26.01.00 “Iekšējais tirgus un patērētāju tiesību aizsardzība” izdevumu analīze (milj. </w:t>
      </w:r>
      <w:r w:rsidRPr="00CE0303">
        <w:rPr>
          <w:rFonts w:cs="Times New Roman"/>
          <w:b/>
          <w:bCs/>
          <w:i/>
          <w:iCs/>
          <w:sz w:val="22"/>
          <w:lang w:val="lv-LV"/>
        </w:rPr>
        <w:t>euro</w:t>
      </w:r>
      <w:r w:rsidRPr="00CE0303">
        <w:rPr>
          <w:rFonts w:cs="Times New Roman"/>
          <w:b/>
          <w:bCs/>
          <w:sz w:val="22"/>
          <w:lang w:val="lv-LV"/>
        </w:rPr>
        <w:t>)</w:t>
      </w:r>
    </w:p>
    <w:p w14:paraId="536F32F4" w14:textId="77777777" w:rsidR="00CE0303" w:rsidRPr="00CE0303" w:rsidRDefault="00CE0303" w:rsidP="00CE0303">
      <w:pPr>
        <w:spacing w:line="240" w:lineRule="auto"/>
        <w:jc w:val="center"/>
        <w:rPr>
          <w:rFonts w:cs="Times New Roman"/>
          <w:szCs w:val="24"/>
          <w:lang w:val="lv-LV"/>
        </w:rPr>
      </w:pPr>
      <w:r w:rsidRPr="00CE0303">
        <w:rPr>
          <w:noProof/>
          <w:lang w:val="lv-LV" w:eastAsia="lv-LV"/>
        </w:rPr>
        <w:drawing>
          <wp:inline distT="0" distB="0" distL="0" distR="0" wp14:anchorId="06D70728" wp14:editId="023A3AFD">
            <wp:extent cx="5326690" cy="2062480"/>
            <wp:effectExtent l="0" t="0" r="7620" b="13970"/>
            <wp:docPr id="2248" name="Chart 2248">
              <a:extLst xmlns:a="http://schemas.openxmlformats.org/drawingml/2006/main">
                <a:ext uri="{FF2B5EF4-FFF2-40B4-BE49-F238E27FC236}">
                  <a16:creationId xmlns:a16="http://schemas.microsoft.com/office/drawing/2014/main" id="{C48C02FE-7983-4309-80D1-B91460CCE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02966D" w14:textId="77777777" w:rsidR="00CE0303" w:rsidRPr="00CE0303" w:rsidRDefault="00CE0303" w:rsidP="00CE0303">
      <w:pPr>
        <w:spacing w:line="240" w:lineRule="auto"/>
        <w:ind w:firstLine="720"/>
        <w:rPr>
          <w:rFonts w:cs="Times New Roman"/>
          <w:bCs/>
          <w:szCs w:val="24"/>
          <w:lang w:val="lv-LV"/>
        </w:rPr>
      </w:pPr>
      <w:r w:rsidRPr="00CE0303">
        <w:rPr>
          <w:rFonts w:cs="Times New Roman"/>
          <w:szCs w:val="24"/>
          <w:lang w:val="lv-LV"/>
        </w:rPr>
        <w:t xml:space="preserve">Apakšprogrammā 26.01.00 “Iekšējais tirgus un patērētāju tiesību aizsardzība” </w:t>
      </w:r>
      <w:r w:rsidRPr="00CE0303">
        <w:rPr>
          <w:rFonts w:cs="Times New Roman"/>
          <w:bCs/>
          <w:szCs w:val="24"/>
          <w:lang w:val="lv-LV"/>
        </w:rPr>
        <w:t xml:space="preserve">trīs gadu periodā </w:t>
      </w:r>
      <w:r w:rsidRPr="00CE0303">
        <w:rPr>
          <w:rFonts w:cs="Times New Roman"/>
          <w:szCs w:val="24"/>
          <w:lang w:val="lv-LV"/>
        </w:rPr>
        <w:t xml:space="preserve">veidojas </w:t>
      </w:r>
      <w:r w:rsidRPr="00CE0303">
        <w:rPr>
          <w:rFonts w:cs="Times New Roman"/>
          <w:bCs/>
          <w:szCs w:val="24"/>
          <w:lang w:val="lv-LV"/>
        </w:rPr>
        <w:t xml:space="preserve">izdevumu neizpilde vidēji gadā 110,2 tūkst. </w:t>
      </w:r>
      <w:r w:rsidRPr="00CE0303">
        <w:rPr>
          <w:rFonts w:cs="Times New Roman"/>
          <w:bCs/>
          <w:i/>
          <w:szCs w:val="24"/>
          <w:lang w:val="lv-LV"/>
        </w:rPr>
        <w:t>euro</w:t>
      </w:r>
      <w:r w:rsidRPr="00CE0303">
        <w:rPr>
          <w:rFonts w:cs="Times New Roman"/>
          <w:bCs/>
          <w:szCs w:val="24"/>
          <w:lang w:val="lv-LV"/>
        </w:rPr>
        <w:t xml:space="preserve"> apmērā (2.2.9. attēls). </w:t>
      </w:r>
    </w:p>
    <w:p w14:paraId="3A51C0FE" w14:textId="77777777" w:rsidR="00CE0303" w:rsidRPr="00CE0303" w:rsidRDefault="00CE0303" w:rsidP="00CE0303">
      <w:pPr>
        <w:spacing w:line="240" w:lineRule="auto"/>
        <w:ind w:firstLine="720"/>
        <w:rPr>
          <w:rFonts w:cs="Times New Roman"/>
          <w:szCs w:val="24"/>
          <w:lang w:val="lv-LV"/>
        </w:rPr>
      </w:pPr>
      <w:r w:rsidRPr="00CE0303">
        <w:rPr>
          <w:rFonts w:cs="Times New Roman"/>
          <w:szCs w:val="24"/>
          <w:lang w:val="lv-LV"/>
        </w:rPr>
        <w:t>EM neizpildi 2020. gadam skaidro ar darbinieku mainību un štata vietu nenokomplektēšanu, nenotikušajiem plānotajiem ārvalstu komandējumiem ārkārtas situācijas dēļ, tāpat samazinājušies arī vietējie komandējumi. Vienlaikus norāda, ka saistībā ar noteiktiem ierobežojumiem netika organizēta konference par ilgtspējas jautājumiem un patērētāju aizsardzību.</w:t>
      </w:r>
    </w:p>
    <w:p w14:paraId="6D65B19A" w14:textId="4E920459" w:rsidR="00CE0303" w:rsidRPr="00CE0303" w:rsidRDefault="00CE0303" w:rsidP="00CE0303">
      <w:pPr>
        <w:ind w:firstLine="720"/>
        <w:rPr>
          <w:rFonts w:cs="Times New Roman"/>
          <w:szCs w:val="24"/>
          <w:lang w:val="lv-LV"/>
        </w:rPr>
      </w:pPr>
      <w:r w:rsidRPr="00CE0303">
        <w:rPr>
          <w:rFonts w:cs="Times New Roman"/>
          <w:szCs w:val="24"/>
          <w:lang w:val="lv-LV"/>
        </w:rPr>
        <w:t xml:space="preserve">EM rosina apakšprogrammā 2022. gadā un turpmāk ik gadu novirzīt 14,9 tūkst. </w:t>
      </w:r>
      <w:r w:rsidRPr="00CE0303">
        <w:rPr>
          <w:rFonts w:cs="Times New Roman"/>
          <w:i/>
          <w:szCs w:val="24"/>
          <w:lang w:val="lv-LV"/>
        </w:rPr>
        <w:t>euro</w:t>
      </w:r>
      <w:r w:rsidRPr="00CE0303">
        <w:rPr>
          <w:rFonts w:cs="Times New Roman"/>
          <w:szCs w:val="24"/>
          <w:lang w:val="lv-LV"/>
        </w:rPr>
        <w:t xml:space="preserve"> IT infrastruktūras uzlabošanai, lai nodrošinātu informācijas sistēmu savienojamību</w:t>
      </w:r>
      <w:r w:rsidR="00782965">
        <w:rPr>
          <w:rFonts w:cs="Times New Roman"/>
          <w:szCs w:val="24"/>
          <w:lang w:val="lv-LV"/>
        </w:rPr>
        <w:t>.</w:t>
      </w:r>
    </w:p>
    <w:p w14:paraId="715B5F46" w14:textId="0882661D" w:rsidR="00CE0303" w:rsidRPr="00CE0303" w:rsidRDefault="00CE0303" w:rsidP="00CE0303">
      <w:pPr>
        <w:spacing w:before="120"/>
        <w:ind w:firstLine="720"/>
        <w:rPr>
          <w:rFonts w:cs="Times New Roman"/>
          <w:szCs w:val="24"/>
          <w:lang w:val="lv-LV"/>
        </w:rPr>
      </w:pPr>
      <w:r w:rsidRPr="00CE0303">
        <w:rPr>
          <w:rFonts w:eastAsiaTheme="minorHAnsi"/>
          <w:lang w:val="lv-LV"/>
        </w:rPr>
        <w:t>Ņemot vērā iepriekš norādīto finansējuma ne</w:t>
      </w:r>
      <w:r w:rsidR="006F76FD">
        <w:rPr>
          <w:rFonts w:eastAsiaTheme="minorHAnsi"/>
          <w:lang w:val="lv-LV"/>
        </w:rPr>
        <w:t>izpildes</w:t>
      </w:r>
      <w:r w:rsidRPr="00CE0303">
        <w:rPr>
          <w:rFonts w:eastAsiaTheme="minorHAnsi"/>
          <w:lang w:val="lv-LV"/>
        </w:rPr>
        <w:t xml:space="preserve"> analīzi un EM rosinātās pārdales, </w:t>
      </w:r>
      <w:r w:rsidRPr="00CE0303">
        <w:rPr>
          <w:rFonts w:cs="Times New Roman"/>
          <w:bCs/>
          <w:szCs w:val="24"/>
          <w:lang w:val="lv-LV"/>
        </w:rPr>
        <w:t xml:space="preserve">apakšprogrammā 26.01.00 “Iekšējais tirgus un patērētāju tiesību aizsardzība” </w:t>
      </w:r>
      <w:r w:rsidRPr="00CE0303">
        <w:rPr>
          <w:rFonts w:eastAsiaTheme="minorHAnsi"/>
          <w:lang w:val="lv-LV"/>
        </w:rPr>
        <w:t>joprojām saglabājas potenciālais iekšējais resurss</w:t>
      </w:r>
      <w:r w:rsidRPr="00CE0303">
        <w:rPr>
          <w:rFonts w:cs="Times New Roman"/>
          <w:szCs w:val="24"/>
          <w:lang w:val="lv-LV"/>
        </w:rPr>
        <w:t xml:space="preserve"> 2022. un 2023. gadam, kas būtu novirzāms aktuālākām EM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129"/>
        <w:gridCol w:w="696"/>
        <w:gridCol w:w="1129"/>
      </w:tblGrid>
      <w:tr w:rsidR="00CE0303" w:rsidRPr="00CE0303" w14:paraId="16B24378" w14:textId="77777777" w:rsidTr="00CE0303">
        <w:tc>
          <w:tcPr>
            <w:tcW w:w="709" w:type="dxa"/>
            <w:shd w:val="clear" w:color="auto" w:fill="ED7D31" w:themeFill="accent2"/>
            <w:vAlign w:val="center"/>
          </w:tcPr>
          <w:p w14:paraId="5962E3DC" w14:textId="77777777" w:rsidR="00CE0303" w:rsidRPr="00CE0303" w:rsidRDefault="00CE0303" w:rsidP="00CE0303">
            <w:pPr>
              <w:spacing w:after="0"/>
              <w:jc w:val="center"/>
              <w:rPr>
                <w:rFonts w:eastAsiaTheme="minorHAnsi"/>
                <w:lang w:val="lv-LV"/>
              </w:rPr>
            </w:pPr>
            <w:r w:rsidRPr="00CE0303">
              <w:rPr>
                <w:rFonts w:eastAsiaTheme="minorHAnsi"/>
                <w:lang w:val="lv-LV"/>
              </w:rPr>
              <w:lastRenderedPageBreak/>
              <w:t>2022</w:t>
            </w:r>
          </w:p>
        </w:tc>
        <w:tc>
          <w:tcPr>
            <w:tcW w:w="1129" w:type="dxa"/>
            <w:vAlign w:val="center"/>
          </w:tcPr>
          <w:p w14:paraId="41CC4A42" w14:textId="77777777" w:rsidR="00CE0303" w:rsidRPr="00CE0303" w:rsidRDefault="00CE0303" w:rsidP="00CE0303">
            <w:pPr>
              <w:spacing w:after="0"/>
              <w:jc w:val="center"/>
              <w:rPr>
                <w:rFonts w:eastAsiaTheme="minorHAnsi"/>
                <w:lang w:val="lv-LV"/>
              </w:rPr>
            </w:pPr>
            <w:r w:rsidRPr="00CE0303">
              <w:rPr>
                <w:rFonts w:eastAsiaTheme="minorHAnsi"/>
                <w:lang w:val="lv-LV"/>
              </w:rPr>
              <w:t>95 298</w:t>
            </w:r>
          </w:p>
        </w:tc>
        <w:tc>
          <w:tcPr>
            <w:tcW w:w="696" w:type="dxa"/>
            <w:shd w:val="clear" w:color="auto" w:fill="ED7D31" w:themeFill="accent2"/>
            <w:vAlign w:val="center"/>
          </w:tcPr>
          <w:p w14:paraId="5549AFED"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06EEEACC" w14:textId="77777777" w:rsidR="00CE0303" w:rsidRPr="00CE0303" w:rsidRDefault="00CE0303" w:rsidP="00CE0303">
            <w:pPr>
              <w:spacing w:after="0"/>
              <w:jc w:val="center"/>
              <w:rPr>
                <w:rFonts w:eastAsiaTheme="minorHAnsi"/>
                <w:b/>
                <w:lang w:val="lv-LV"/>
              </w:rPr>
            </w:pPr>
            <w:r w:rsidRPr="00CE0303">
              <w:rPr>
                <w:rFonts w:eastAsiaTheme="minorHAnsi"/>
                <w:lang w:val="lv-LV"/>
              </w:rPr>
              <w:t>95 298</w:t>
            </w:r>
          </w:p>
        </w:tc>
      </w:tr>
    </w:tbl>
    <w:p w14:paraId="4FD2FE47" w14:textId="77777777" w:rsidR="00CE0303" w:rsidRPr="00CE0303" w:rsidRDefault="00CE0303" w:rsidP="00CE0303">
      <w:pPr>
        <w:rPr>
          <w:rFonts w:eastAsiaTheme="minorHAnsi"/>
          <w:lang w:val="lv-LV"/>
        </w:rPr>
      </w:pPr>
    </w:p>
    <w:p w14:paraId="6C71BFA9"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EM, veicot 2022.-2024. gadam plānoto izdevumu komandējumiem un klātienes pasākumu organizēšanai pārskatīšanu, iesniedza priekšlikumus to samazināšanu </w:t>
      </w:r>
      <w:r w:rsidRPr="00CE0303">
        <w:rPr>
          <w:rFonts w:eastAsiaTheme="minorHAnsi"/>
          <w:bCs/>
          <w:lang w:val="lv-LV"/>
        </w:rPr>
        <w:t xml:space="preserve">2022. gadā un turpmāk ik gadu 190,7 tūkst. </w:t>
      </w:r>
      <w:r w:rsidRPr="00CE0303">
        <w:rPr>
          <w:rFonts w:eastAsiaTheme="minorHAnsi"/>
          <w:bCs/>
          <w:i/>
          <w:lang w:val="lv-LV"/>
        </w:rPr>
        <w:t>euro</w:t>
      </w:r>
      <w:r w:rsidRPr="00CE0303">
        <w:rPr>
          <w:rFonts w:eastAsiaTheme="minorHAnsi"/>
          <w:bCs/>
          <w:lang w:val="lv-LV"/>
        </w:rPr>
        <w:t xml:space="preserve"> apmērā</w:t>
      </w:r>
      <w:r w:rsidRPr="00CE0303">
        <w:rPr>
          <w:rFonts w:eastAsiaTheme="minorHAnsi"/>
          <w:lang w:val="lv-LV"/>
        </w:rPr>
        <w:t xml:space="preserve"> un novirzīšanu aktuālu pasākumu nodrošināšanai.</w:t>
      </w:r>
    </w:p>
    <w:p w14:paraId="62D29660"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Budžeta programmā 97.00.00 “Nozaru vadība un politikas plānošana” </w:t>
      </w:r>
      <w:r w:rsidRPr="00CE0303">
        <w:rPr>
          <w:rFonts w:eastAsiaTheme="minorHAnsi"/>
          <w:bCs/>
          <w:lang w:val="lv-LV"/>
        </w:rPr>
        <w:t xml:space="preserve">2022. gadā un turpmāk ik gadu 89,7 tūkst. </w:t>
      </w:r>
      <w:r w:rsidRPr="00CE0303">
        <w:rPr>
          <w:rFonts w:eastAsiaTheme="minorHAnsi"/>
          <w:bCs/>
          <w:i/>
          <w:lang w:val="lv-LV"/>
        </w:rPr>
        <w:t>euro</w:t>
      </w:r>
      <w:r w:rsidRPr="00CE0303">
        <w:rPr>
          <w:rFonts w:eastAsiaTheme="minorHAnsi"/>
          <w:bCs/>
          <w:lang w:val="lv-LV"/>
        </w:rPr>
        <w:t xml:space="preserve"> apmērā </w:t>
      </w:r>
      <w:r w:rsidRPr="00CE0303">
        <w:rPr>
          <w:rFonts w:eastAsiaTheme="minorHAnsi"/>
          <w:lang w:val="lv-LV"/>
        </w:rPr>
        <w:t>atašeju atlīdzības palielināšanai, nodrošinot efektīvo ārējo pārstāvniecību.</w:t>
      </w:r>
    </w:p>
    <w:tbl>
      <w:tblPr>
        <w:tblStyle w:val="TableGrid1"/>
        <w:tblW w:w="0" w:type="auto"/>
        <w:jc w:val="center"/>
        <w:tblLook w:val="04A0" w:firstRow="1" w:lastRow="0" w:firstColumn="1" w:lastColumn="0" w:noHBand="0" w:noVBand="1"/>
      </w:tblPr>
      <w:tblGrid>
        <w:gridCol w:w="709"/>
        <w:gridCol w:w="1129"/>
        <w:gridCol w:w="696"/>
        <w:gridCol w:w="1129"/>
        <w:gridCol w:w="709"/>
        <w:gridCol w:w="1010"/>
      </w:tblGrid>
      <w:tr w:rsidR="00CE0303" w:rsidRPr="00CE0303" w14:paraId="21684438" w14:textId="77777777" w:rsidTr="00CE0303">
        <w:trPr>
          <w:jc w:val="center"/>
        </w:trPr>
        <w:tc>
          <w:tcPr>
            <w:tcW w:w="709" w:type="dxa"/>
            <w:shd w:val="clear" w:color="auto" w:fill="92D050"/>
            <w:vAlign w:val="center"/>
          </w:tcPr>
          <w:p w14:paraId="43DFD4F0"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7CF8E2E3" w14:textId="77777777" w:rsidR="00CE0303" w:rsidRPr="00CE0303" w:rsidRDefault="00CE0303" w:rsidP="00CE0303">
            <w:pPr>
              <w:spacing w:after="0"/>
              <w:jc w:val="center"/>
              <w:rPr>
                <w:rFonts w:eastAsiaTheme="minorHAnsi"/>
                <w:lang w:val="lv-LV"/>
              </w:rPr>
            </w:pPr>
            <w:r w:rsidRPr="00CE0303">
              <w:rPr>
                <w:rFonts w:eastAsiaTheme="minorHAnsi"/>
                <w:lang w:val="lv-LV"/>
              </w:rPr>
              <w:t>89 698</w:t>
            </w:r>
          </w:p>
        </w:tc>
        <w:tc>
          <w:tcPr>
            <w:tcW w:w="696" w:type="dxa"/>
            <w:shd w:val="clear" w:color="auto" w:fill="92D050"/>
            <w:vAlign w:val="center"/>
          </w:tcPr>
          <w:p w14:paraId="73250749"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E958037" w14:textId="77777777" w:rsidR="00CE0303" w:rsidRPr="00CE0303" w:rsidRDefault="00CE0303" w:rsidP="00CE0303">
            <w:pPr>
              <w:spacing w:after="0"/>
              <w:jc w:val="center"/>
              <w:rPr>
                <w:rFonts w:eastAsiaTheme="minorHAnsi"/>
                <w:lang w:val="lv-LV"/>
              </w:rPr>
            </w:pPr>
            <w:r w:rsidRPr="00CE0303">
              <w:rPr>
                <w:rFonts w:eastAsiaTheme="minorHAnsi"/>
                <w:lang w:val="lv-LV"/>
              </w:rPr>
              <w:t>89 698</w:t>
            </w:r>
          </w:p>
        </w:tc>
        <w:tc>
          <w:tcPr>
            <w:tcW w:w="709" w:type="dxa"/>
            <w:shd w:val="clear" w:color="auto" w:fill="92D050"/>
            <w:vAlign w:val="center"/>
          </w:tcPr>
          <w:p w14:paraId="7864B231"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vAlign w:val="center"/>
          </w:tcPr>
          <w:p w14:paraId="4A14F783" w14:textId="77777777" w:rsidR="00CE0303" w:rsidRPr="00CE0303" w:rsidRDefault="00CE0303" w:rsidP="00CE0303">
            <w:pPr>
              <w:spacing w:after="0"/>
              <w:jc w:val="left"/>
              <w:rPr>
                <w:rFonts w:eastAsiaTheme="minorHAnsi"/>
                <w:lang w:val="lv-LV"/>
              </w:rPr>
            </w:pPr>
            <w:r w:rsidRPr="00CE0303">
              <w:rPr>
                <w:rFonts w:eastAsiaTheme="minorHAnsi"/>
                <w:lang w:val="lv-LV"/>
              </w:rPr>
              <w:t>89 698</w:t>
            </w:r>
          </w:p>
        </w:tc>
      </w:tr>
    </w:tbl>
    <w:p w14:paraId="380DD3D6"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Budžeta apakšprogrammā 26.01.00 “Iekšējais tirgus un patērētāju tiesību aizsardzība” </w:t>
      </w:r>
      <w:r w:rsidRPr="00CE0303">
        <w:rPr>
          <w:rFonts w:eastAsiaTheme="minorHAnsi"/>
          <w:bCs/>
          <w:lang w:val="lv-LV"/>
        </w:rPr>
        <w:t xml:space="preserve">2022. gadā un turpmāk ik gadu 14,9 tūkst. </w:t>
      </w:r>
      <w:r w:rsidRPr="00CE0303">
        <w:rPr>
          <w:rFonts w:eastAsiaTheme="minorHAnsi"/>
          <w:bCs/>
          <w:i/>
          <w:lang w:val="lv-LV"/>
        </w:rPr>
        <w:t>euro</w:t>
      </w:r>
      <w:r w:rsidRPr="00CE0303">
        <w:rPr>
          <w:rFonts w:eastAsiaTheme="minorHAnsi"/>
          <w:bCs/>
          <w:lang w:val="lv-LV"/>
        </w:rPr>
        <w:t xml:space="preserve"> apmērā </w:t>
      </w:r>
      <w:r w:rsidRPr="00CE0303">
        <w:rPr>
          <w:rFonts w:eastAsiaTheme="minorHAnsi"/>
          <w:lang w:val="lv-LV"/>
        </w:rPr>
        <w:t>IT infrastruktūras uzlabošanai, lai nodrošinātu informācijas sistēmu savienojamību.</w:t>
      </w:r>
    </w:p>
    <w:tbl>
      <w:tblPr>
        <w:tblStyle w:val="TableGrid1"/>
        <w:tblW w:w="0" w:type="auto"/>
        <w:jc w:val="center"/>
        <w:tblLook w:val="04A0" w:firstRow="1" w:lastRow="0" w:firstColumn="1" w:lastColumn="0" w:noHBand="0" w:noVBand="1"/>
      </w:tblPr>
      <w:tblGrid>
        <w:gridCol w:w="709"/>
        <w:gridCol w:w="1129"/>
        <w:gridCol w:w="696"/>
        <w:gridCol w:w="1129"/>
        <w:gridCol w:w="709"/>
        <w:gridCol w:w="1010"/>
      </w:tblGrid>
      <w:tr w:rsidR="00CE0303" w:rsidRPr="00CE0303" w14:paraId="7C11CE2F" w14:textId="77777777" w:rsidTr="00CE0303">
        <w:trPr>
          <w:jc w:val="center"/>
        </w:trPr>
        <w:tc>
          <w:tcPr>
            <w:tcW w:w="709" w:type="dxa"/>
            <w:shd w:val="clear" w:color="auto" w:fill="92D050"/>
            <w:vAlign w:val="center"/>
          </w:tcPr>
          <w:p w14:paraId="05849B20"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4B3FE10F" w14:textId="77777777" w:rsidR="00CE0303" w:rsidRPr="00CE0303" w:rsidRDefault="00CE0303" w:rsidP="00CE0303">
            <w:pPr>
              <w:spacing w:after="0"/>
              <w:jc w:val="center"/>
              <w:rPr>
                <w:rFonts w:eastAsiaTheme="minorHAnsi"/>
                <w:lang w:val="lv-LV"/>
              </w:rPr>
            </w:pPr>
            <w:r w:rsidRPr="00CE0303">
              <w:rPr>
                <w:rFonts w:eastAsiaTheme="minorHAnsi"/>
                <w:lang w:val="lv-LV"/>
              </w:rPr>
              <w:t>14 890</w:t>
            </w:r>
          </w:p>
        </w:tc>
        <w:tc>
          <w:tcPr>
            <w:tcW w:w="696" w:type="dxa"/>
            <w:shd w:val="clear" w:color="auto" w:fill="92D050"/>
            <w:vAlign w:val="center"/>
          </w:tcPr>
          <w:p w14:paraId="6CA9CC65"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491337A0" w14:textId="77777777" w:rsidR="00CE0303" w:rsidRPr="00CE0303" w:rsidRDefault="00CE0303" w:rsidP="00CE0303">
            <w:pPr>
              <w:spacing w:after="0"/>
              <w:jc w:val="center"/>
              <w:rPr>
                <w:rFonts w:eastAsiaTheme="minorHAnsi"/>
                <w:lang w:val="lv-LV"/>
              </w:rPr>
            </w:pPr>
            <w:r w:rsidRPr="00CE0303">
              <w:rPr>
                <w:rFonts w:eastAsiaTheme="minorHAnsi"/>
                <w:lang w:val="lv-LV"/>
              </w:rPr>
              <w:t>14 890</w:t>
            </w:r>
          </w:p>
        </w:tc>
        <w:tc>
          <w:tcPr>
            <w:tcW w:w="709" w:type="dxa"/>
            <w:shd w:val="clear" w:color="auto" w:fill="92D050"/>
            <w:vAlign w:val="center"/>
          </w:tcPr>
          <w:p w14:paraId="0149D590"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vAlign w:val="center"/>
          </w:tcPr>
          <w:p w14:paraId="0892A006" w14:textId="77777777" w:rsidR="00CE0303" w:rsidRPr="00CE0303" w:rsidRDefault="00CE0303" w:rsidP="00CE0303">
            <w:pPr>
              <w:spacing w:after="0"/>
              <w:jc w:val="center"/>
              <w:rPr>
                <w:rFonts w:eastAsiaTheme="minorHAnsi"/>
                <w:lang w:val="lv-LV"/>
              </w:rPr>
            </w:pPr>
            <w:r w:rsidRPr="00CE0303">
              <w:rPr>
                <w:rFonts w:eastAsiaTheme="minorHAnsi"/>
                <w:lang w:val="lv-LV"/>
              </w:rPr>
              <w:t>14 890</w:t>
            </w:r>
          </w:p>
        </w:tc>
      </w:tr>
    </w:tbl>
    <w:p w14:paraId="521FDBC5" w14:textId="5247281D" w:rsidR="00CE0303" w:rsidRPr="00CE0303" w:rsidRDefault="00CE0303" w:rsidP="00CE0303">
      <w:pPr>
        <w:spacing w:before="120"/>
        <w:ind w:firstLine="720"/>
        <w:rPr>
          <w:rFonts w:eastAsiaTheme="minorHAnsi"/>
          <w:lang w:val="lv-LV"/>
        </w:rPr>
      </w:pPr>
      <w:r w:rsidRPr="00CE0303">
        <w:rPr>
          <w:rFonts w:eastAsiaTheme="minorHAnsi"/>
          <w:lang w:val="lv-LV"/>
        </w:rPr>
        <w:t xml:space="preserve">Budžeta programmā 28.00.00 “Ārējās ekonomiskās politikas ieviešana” </w:t>
      </w:r>
      <w:r w:rsidRPr="00CE0303">
        <w:rPr>
          <w:rFonts w:eastAsiaTheme="minorHAnsi" w:cs="Times New Roman"/>
          <w:szCs w:val="24"/>
          <w:lang w:val="lv-LV"/>
        </w:rPr>
        <w:t>2022.</w:t>
      </w:r>
      <w:r w:rsidR="00FF342C">
        <w:rPr>
          <w:rFonts w:eastAsiaTheme="minorHAnsi" w:cs="Times New Roman"/>
          <w:szCs w:val="24"/>
          <w:lang w:val="lv-LV"/>
        </w:rPr>
        <w:t xml:space="preserve"> </w:t>
      </w:r>
      <w:r w:rsidRPr="00CE0303">
        <w:rPr>
          <w:rFonts w:eastAsiaTheme="minorHAnsi" w:cs="Times New Roman"/>
          <w:szCs w:val="24"/>
          <w:lang w:val="lv-LV"/>
        </w:rPr>
        <w:t xml:space="preserve">gadā un turpmāk ik gadu 68,9 tūkst. </w:t>
      </w:r>
      <w:r w:rsidRPr="00CE0303">
        <w:rPr>
          <w:rFonts w:eastAsiaTheme="minorHAnsi" w:cs="Times New Roman"/>
          <w:i/>
          <w:szCs w:val="24"/>
          <w:lang w:val="lv-LV"/>
        </w:rPr>
        <w:t>euro</w:t>
      </w:r>
      <w:r w:rsidRPr="00CE0303">
        <w:rPr>
          <w:rFonts w:eastAsiaTheme="minorHAnsi" w:cs="Times New Roman"/>
          <w:szCs w:val="24"/>
          <w:lang w:val="lv-LV"/>
        </w:rPr>
        <w:t xml:space="preserve"> apmērā, tajā skaitā</w:t>
      </w:r>
      <w:r w:rsidR="007D00BC">
        <w:rPr>
          <w:rFonts w:eastAsiaTheme="minorHAnsi" w:cs="Times New Roman"/>
          <w:szCs w:val="24"/>
          <w:lang w:val="lv-LV"/>
        </w:rPr>
        <w:t xml:space="preserve"> </w:t>
      </w:r>
      <w:r w:rsidRPr="00CE0303">
        <w:rPr>
          <w:rFonts w:eastAsiaTheme="minorHAnsi"/>
          <w:bCs/>
          <w:lang w:val="lv-LV"/>
        </w:rPr>
        <w:t xml:space="preserve">44,0 tūkst. </w:t>
      </w:r>
      <w:r w:rsidRPr="00CE0303">
        <w:rPr>
          <w:rFonts w:eastAsiaTheme="minorHAnsi"/>
          <w:bCs/>
          <w:i/>
          <w:lang w:val="lv-LV"/>
        </w:rPr>
        <w:t>euro</w:t>
      </w:r>
      <w:r w:rsidRPr="00CE0303">
        <w:rPr>
          <w:rFonts w:eastAsiaTheme="minorHAnsi"/>
          <w:bCs/>
          <w:lang w:val="lv-LV"/>
        </w:rPr>
        <w:t xml:space="preserve"> apmērā</w:t>
      </w:r>
      <w:r w:rsidRPr="00CE0303">
        <w:rPr>
          <w:rFonts w:eastAsiaTheme="minorHAnsi"/>
          <w:lang w:val="lv-LV"/>
        </w:rPr>
        <w:t xml:space="preserve"> IS Valsts platforma biznesa attīstībai (www.business.gov.lv) darbības nodrošināšanai un </w:t>
      </w:r>
      <w:r w:rsidRPr="00CE0303">
        <w:rPr>
          <w:rFonts w:eastAsiaTheme="minorHAnsi"/>
          <w:bCs/>
          <w:lang w:val="lv-LV"/>
        </w:rPr>
        <w:t xml:space="preserve">2022. gadā un turpmāk ik gadu 24,9 tūkst. </w:t>
      </w:r>
      <w:r w:rsidRPr="00CE0303">
        <w:rPr>
          <w:rFonts w:eastAsiaTheme="minorHAnsi"/>
          <w:bCs/>
          <w:i/>
          <w:lang w:val="lv-LV"/>
        </w:rPr>
        <w:t>euro</w:t>
      </w:r>
      <w:r w:rsidRPr="00CE0303">
        <w:rPr>
          <w:rFonts w:eastAsiaTheme="minorHAnsi"/>
          <w:bCs/>
          <w:lang w:val="lv-LV"/>
        </w:rPr>
        <w:t xml:space="preserve"> apmērā</w:t>
      </w:r>
      <w:r w:rsidRPr="00CE0303">
        <w:rPr>
          <w:rFonts w:eastAsiaTheme="minorHAnsi"/>
          <w:lang w:val="lv-LV"/>
        </w:rPr>
        <w:t xml:space="preserve"> LIAA darbinieku atlīdzības nodrošināšanai Covid-19 atbalsta programmu pēcpārbaužu veikšanai 2022. gadā un daļējai mēnešalgas izlīdzināšanai turpmāk.</w:t>
      </w:r>
    </w:p>
    <w:tbl>
      <w:tblPr>
        <w:tblStyle w:val="TableGrid1"/>
        <w:tblW w:w="0" w:type="auto"/>
        <w:jc w:val="center"/>
        <w:tblLook w:val="04A0" w:firstRow="1" w:lastRow="0" w:firstColumn="1" w:lastColumn="0" w:noHBand="0" w:noVBand="1"/>
      </w:tblPr>
      <w:tblGrid>
        <w:gridCol w:w="709"/>
        <w:gridCol w:w="1129"/>
        <w:gridCol w:w="696"/>
        <w:gridCol w:w="1129"/>
        <w:gridCol w:w="709"/>
        <w:gridCol w:w="1010"/>
      </w:tblGrid>
      <w:tr w:rsidR="00CE0303" w:rsidRPr="00CE0303" w14:paraId="601CCB75" w14:textId="77777777" w:rsidTr="00CE0303">
        <w:trPr>
          <w:jc w:val="center"/>
        </w:trPr>
        <w:tc>
          <w:tcPr>
            <w:tcW w:w="709" w:type="dxa"/>
            <w:shd w:val="clear" w:color="auto" w:fill="92D050"/>
            <w:vAlign w:val="center"/>
          </w:tcPr>
          <w:p w14:paraId="2B3EEC02"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27F0E198" w14:textId="77777777" w:rsidR="00CE0303" w:rsidRPr="00CE0303" w:rsidRDefault="00CE0303" w:rsidP="00CE0303">
            <w:pPr>
              <w:spacing w:after="0"/>
              <w:jc w:val="center"/>
              <w:rPr>
                <w:rFonts w:eastAsiaTheme="minorHAnsi"/>
                <w:lang w:val="lv-LV"/>
              </w:rPr>
            </w:pPr>
            <w:r w:rsidRPr="00CE0303">
              <w:rPr>
                <w:rFonts w:eastAsiaTheme="minorHAnsi"/>
                <w:lang w:val="lv-LV"/>
              </w:rPr>
              <w:t>68 860</w:t>
            </w:r>
          </w:p>
        </w:tc>
        <w:tc>
          <w:tcPr>
            <w:tcW w:w="696" w:type="dxa"/>
            <w:shd w:val="clear" w:color="auto" w:fill="92D050"/>
            <w:vAlign w:val="center"/>
          </w:tcPr>
          <w:p w14:paraId="5F0B4807"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4ED71D24" w14:textId="77777777" w:rsidR="00CE0303" w:rsidRPr="00CE0303" w:rsidRDefault="00CE0303" w:rsidP="00CE0303">
            <w:pPr>
              <w:spacing w:after="0"/>
              <w:jc w:val="center"/>
              <w:rPr>
                <w:rFonts w:eastAsiaTheme="minorHAnsi"/>
                <w:lang w:val="lv-LV"/>
              </w:rPr>
            </w:pPr>
            <w:r w:rsidRPr="00CE0303">
              <w:rPr>
                <w:rFonts w:eastAsiaTheme="minorHAnsi" w:cs="Times New Roman"/>
                <w:szCs w:val="24"/>
                <w:lang w:val="lv-LV"/>
              </w:rPr>
              <w:t>68 860</w:t>
            </w:r>
          </w:p>
        </w:tc>
        <w:tc>
          <w:tcPr>
            <w:tcW w:w="709" w:type="dxa"/>
            <w:shd w:val="clear" w:color="auto" w:fill="92D050"/>
            <w:vAlign w:val="center"/>
          </w:tcPr>
          <w:p w14:paraId="2D85DDCC"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vAlign w:val="center"/>
          </w:tcPr>
          <w:p w14:paraId="039AAE49" w14:textId="77777777" w:rsidR="00CE0303" w:rsidRPr="00CE0303" w:rsidRDefault="00CE0303" w:rsidP="00CE0303">
            <w:pPr>
              <w:spacing w:after="0"/>
              <w:jc w:val="left"/>
              <w:rPr>
                <w:rFonts w:eastAsiaTheme="minorHAnsi"/>
                <w:lang w:val="lv-LV"/>
              </w:rPr>
            </w:pPr>
            <w:r w:rsidRPr="00CE0303">
              <w:rPr>
                <w:rFonts w:eastAsiaTheme="minorHAnsi" w:cs="Times New Roman"/>
                <w:szCs w:val="24"/>
                <w:lang w:val="lv-LV"/>
              </w:rPr>
              <w:t>68 860</w:t>
            </w:r>
          </w:p>
        </w:tc>
      </w:tr>
    </w:tbl>
    <w:p w14:paraId="4BB63666"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Budžeta apakšprogrammā 27.12.00 “LIAA darbības nodrošināšana” </w:t>
      </w:r>
      <w:r w:rsidRPr="00CE0303">
        <w:rPr>
          <w:rFonts w:eastAsiaTheme="minorHAnsi"/>
          <w:bCs/>
          <w:lang w:val="lv-LV"/>
        </w:rPr>
        <w:t xml:space="preserve">2022. gadā un turpmāk ik gadu 17,3 tūkst. </w:t>
      </w:r>
      <w:r w:rsidRPr="00CE0303">
        <w:rPr>
          <w:rFonts w:eastAsiaTheme="minorHAnsi"/>
          <w:bCs/>
          <w:i/>
          <w:lang w:val="lv-LV"/>
        </w:rPr>
        <w:t>euro</w:t>
      </w:r>
      <w:r w:rsidRPr="00CE0303">
        <w:rPr>
          <w:rFonts w:eastAsiaTheme="minorHAnsi"/>
          <w:bCs/>
          <w:lang w:val="lv-LV"/>
        </w:rPr>
        <w:t xml:space="preserve"> apmērā </w:t>
      </w:r>
      <w:r w:rsidRPr="00CE0303">
        <w:rPr>
          <w:rFonts w:eastAsiaTheme="minorHAnsi"/>
          <w:lang w:val="lv-LV"/>
        </w:rPr>
        <w:t>LIAA darbinieku atlīdzībai ES fondu 2007. - 2013. gada plānošanas perioda pēcuzraudzības pabeigšanai 2022. gadā un daļējai mēnešalgas izlīdzināšanai turpmāk.</w:t>
      </w:r>
    </w:p>
    <w:tbl>
      <w:tblPr>
        <w:tblStyle w:val="TableGrid1"/>
        <w:tblW w:w="0" w:type="auto"/>
        <w:jc w:val="center"/>
        <w:tblLook w:val="04A0" w:firstRow="1" w:lastRow="0" w:firstColumn="1" w:lastColumn="0" w:noHBand="0" w:noVBand="1"/>
      </w:tblPr>
      <w:tblGrid>
        <w:gridCol w:w="709"/>
        <w:gridCol w:w="1129"/>
        <w:gridCol w:w="696"/>
        <w:gridCol w:w="1129"/>
        <w:gridCol w:w="709"/>
        <w:gridCol w:w="1010"/>
      </w:tblGrid>
      <w:tr w:rsidR="00CE0303" w:rsidRPr="00CE0303" w14:paraId="6C5FE104" w14:textId="77777777" w:rsidTr="00CE0303">
        <w:trPr>
          <w:jc w:val="center"/>
        </w:trPr>
        <w:tc>
          <w:tcPr>
            <w:tcW w:w="709" w:type="dxa"/>
            <w:shd w:val="clear" w:color="auto" w:fill="92D050"/>
            <w:vAlign w:val="center"/>
          </w:tcPr>
          <w:p w14:paraId="2851BA4D"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6264EE3E" w14:textId="77777777" w:rsidR="00CE0303" w:rsidRPr="00CE0303" w:rsidRDefault="00CE0303" w:rsidP="00CE0303">
            <w:pPr>
              <w:spacing w:after="0"/>
              <w:jc w:val="center"/>
              <w:rPr>
                <w:rFonts w:eastAsiaTheme="minorHAnsi"/>
                <w:lang w:val="lv-LV"/>
              </w:rPr>
            </w:pPr>
            <w:r w:rsidRPr="00CE0303">
              <w:rPr>
                <w:rFonts w:eastAsiaTheme="minorHAnsi"/>
                <w:lang w:val="lv-LV"/>
              </w:rPr>
              <w:t>17 294</w:t>
            </w:r>
          </w:p>
        </w:tc>
        <w:tc>
          <w:tcPr>
            <w:tcW w:w="696" w:type="dxa"/>
            <w:shd w:val="clear" w:color="auto" w:fill="92D050"/>
            <w:vAlign w:val="center"/>
          </w:tcPr>
          <w:p w14:paraId="5514AB4C"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14FC563B" w14:textId="77777777" w:rsidR="00CE0303" w:rsidRPr="00CE0303" w:rsidRDefault="00CE0303" w:rsidP="00CE0303">
            <w:pPr>
              <w:spacing w:after="0"/>
              <w:jc w:val="center"/>
              <w:rPr>
                <w:rFonts w:eastAsiaTheme="minorHAnsi"/>
                <w:lang w:val="lv-LV"/>
              </w:rPr>
            </w:pPr>
            <w:r w:rsidRPr="00CE0303">
              <w:rPr>
                <w:rFonts w:eastAsiaTheme="minorHAnsi"/>
                <w:lang w:val="lv-LV"/>
              </w:rPr>
              <w:t>17 294</w:t>
            </w:r>
          </w:p>
        </w:tc>
        <w:tc>
          <w:tcPr>
            <w:tcW w:w="709" w:type="dxa"/>
            <w:shd w:val="clear" w:color="auto" w:fill="92D050"/>
            <w:vAlign w:val="center"/>
          </w:tcPr>
          <w:p w14:paraId="2F84E42F"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vAlign w:val="center"/>
          </w:tcPr>
          <w:p w14:paraId="1832B53F" w14:textId="77777777" w:rsidR="00CE0303" w:rsidRPr="00CE0303" w:rsidRDefault="00CE0303" w:rsidP="00CE0303">
            <w:pPr>
              <w:spacing w:after="0"/>
              <w:jc w:val="center"/>
              <w:rPr>
                <w:rFonts w:eastAsiaTheme="minorHAnsi"/>
                <w:lang w:val="lv-LV"/>
              </w:rPr>
            </w:pPr>
            <w:r w:rsidRPr="00CE0303">
              <w:rPr>
                <w:rFonts w:eastAsiaTheme="minorHAnsi"/>
                <w:lang w:val="lv-LV"/>
              </w:rPr>
              <w:t>17 294</w:t>
            </w:r>
          </w:p>
        </w:tc>
      </w:tr>
    </w:tbl>
    <w:p w14:paraId="354839F5"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EM, veicot 2022.-2024. gada plānoto izdevumu pārskatīšanu, iesniedza priekšlikumu budžeta apakšprogrammā 29.02.00 “Elektroenerģijas lietotāju atbalsts” samazināt izdevumus subsīdijām un dotācijām komersantiem atbilstoši aktualizētajām prognozēm </w:t>
      </w:r>
      <w:r w:rsidRPr="00CE0303">
        <w:rPr>
          <w:rFonts w:eastAsiaTheme="minorHAnsi"/>
          <w:bCs/>
          <w:lang w:val="lv-LV"/>
        </w:rPr>
        <w:t xml:space="preserve">2022. gadā un turpmāk ik gadu 87,1 tūkst. </w:t>
      </w:r>
      <w:r w:rsidRPr="00CE0303">
        <w:rPr>
          <w:rFonts w:eastAsiaTheme="minorHAnsi"/>
          <w:bCs/>
          <w:i/>
          <w:lang w:val="lv-LV"/>
        </w:rPr>
        <w:t>euro</w:t>
      </w:r>
      <w:r w:rsidRPr="00CE0303">
        <w:rPr>
          <w:rFonts w:eastAsiaTheme="minorHAnsi"/>
          <w:bCs/>
          <w:lang w:val="lv-LV"/>
        </w:rPr>
        <w:t xml:space="preserve"> apmērā</w:t>
      </w:r>
      <w:r w:rsidRPr="00CE0303">
        <w:rPr>
          <w:rFonts w:eastAsiaTheme="minorHAnsi"/>
          <w:lang w:val="lv-LV"/>
        </w:rPr>
        <w:t>, novirzot to šādu aktuālu pasākumu īstenošanai, lai nodrošinātu obligātās iepirkumu komponentes uzraudzību:</w:t>
      </w:r>
    </w:p>
    <w:p w14:paraId="2EE44E3C" w14:textId="77777777" w:rsidR="00CE0303" w:rsidRPr="00CE0303" w:rsidRDefault="00CE0303" w:rsidP="004C1C06">
      <w:pPr>
        <w:numPr>
          <w:ilvl w:val="0"/>
          <w:numId w:val="44"/>
        </w:numPr>
        <w:spacing w:before="120"/>
        <w:ind w:left="1077" w:hanging="357"/>
        <w:rPr>
          <w:rFonts w:eastAsiaTheme="minorHAnsi"/>
          <w:lang w:val="lv-LV"/>
        </w:rPr>
      </w:pPr>
      <w:r w:rsidRPr="00CE0303">
        <w:rPr>
          <w:rFonts w:eastAsiaTheme="minorHAnsi"/>
          <w:lang w:val="lv-LV"/>
        </w:rPr>
        <w:t xml:space="preserve">Elektroenerģijas obligātā iepirkuma uzraudzības informācijas sistēmas “Energoefektivitātes monitoringa un nodevu administrēšanas sistēma” uzturēšanai </w:t>
      </w:r>
      <w:r w:rsidRPr="00CE0303">
        <w:rPr>
          <w:rFonts w:eastAsiaTheme="minorHAnsi"/>
          <w:bCs/>
          <w:lang w:val="lv-LV"/>
        </w:rPr>
        <w:t xml:space="preserve">2022. gadā un turpmāk ik gadu 27,1 tūkst. </w:t>
      </w:r>
      <w:r w:rsidRPr="00CE0303">
        <w:rPr>
          <w:rFonts w:eastAsiaTheme="minorHAnsi"/>
          <w:bCs/>
          <w:i/>
          <w:lang w:val="lv-LV"/>
        </w:rPr>
        <w:t>euro</w:t>
      </w:r>
      <w:r w:rsidRPr="00CE0303">
        <w:rPr>
          <w:rFonts w:eastAsiaTheme="minorHAnsi"/>
          <w:bCs/>
          <w:lang w:val="lv-LV"/>
        </w:rPr>
        <w:t xml:space="preserve"> apmērā</w:t>
      </w:r>
      <w:r w:rsidRPr="00CE0303">
        <w:rPr>
          <w:rFonts w:eastAsiaTheme="minorHAnsi"/>
          <w:lang w:val="lv-LV"/>
        </w:rPr>
        <w:t>;</w:t>
      </w:r>
    </w:p>
    <w:tbl>
      <w:tblPr>
        <w:tblStyle w:val="TableGrid1"/>
        <w:tblW w:w="0" w:type="auto"/>
        <w:jc w:val="center"/>
        <w:tblLook w:val="04A0" w:firstRow="1" w:lastRow="0" w:firstColumn="1" w:lastColumn="0" w:noHBand="0" w:noVBand="1"/>
      </w:tblPr>
      <w:tblGrid>
        <w:gridCol w:w="709"/>
        <w:gridCol w:w="1129"/>
        <w:gridCol w:w="696"/>
        <w:gridCol w:w="1129"/>
        <w:gridCol w:w="709"/>
        <w:gridCol w:w="876"/>
      </w:tblGrid>
      <w:tr w:rsidR="00CE0303" w:rsidRPr="00CE0303" w14:paraId="7F133782" w14:textId="77777777" w:rsidTr="00CE0303">
        <w:trPr>
          <w:jc w:val="center"/>
        </w:trPr>
        <w:tc>
          <w:tcPr>
            <w:tcW w:w="709" w:type="dxa"/>
            <w:shd w:val="clear" w:color="auto" w:fill="92D050"/>
            <w:vAlign w:val="center"/>
          </w:tcPr>
          <w:p w14:paraId="079A32A9"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41962F39" w14:textId="77777777" w:rsidR="00CE0303" w:rsidRPr="00CE0303" w:rsidRDefault="00CE0303" w:rsidP="00CE0303">
            <w:pPr>
              <w:spacing w:after="0"/>
              <w:jc w:val="center"/>
              <w:rPr>
                <w:rFonts w:eastAsiaTheme="minorHAnsi"/>
                <w:lang w:val="lv-LV"/>
              </w:rPr>
            </w:pPr>
            <w:r w:rsidRPr="00CE0303">
              <w:rPr>
                <w:rFonts w:eastAsiaTheme="minorHAnsi"/>
                <w:lang w:val="lv-LV"/>
              </w:rPr>
              <w:t>27 095</w:t>
            </w:r>
          </w:p>
        </w:tc>
        <w:tc>
          <w:tcPr>
            <w:tcW w:w="696" w:type="dxa"/>
            <w:shd w:val="clear" w:color="auto" w:fill="92D050"/>
            <w:vAlign w:val="center"/>
          </w:tcPr>
          <w:p w14:paraId="399E6F8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0E29755F" w14:textId="77777777" w:rsidR="00CE0303" w:rsidRPr="00CE0303" w:rsidRDefault="00CE0303" w:rsidP="00CE0303">
            <w:pPr>
              <w:spacing w:after="0"/>
              <w:jc w:val="center"/>
              <w:rPr>
                <w:rFonts w:eastAsiaTheme="minorHAnsi"/>
                <w:b/>
                <w:lang w:val="lv-LV"/>
              </w:rPr>
            </w:pPr>
            <w:r w:rsidRPr="00CE0303">
              <w:rPr>
                <w:rFonts w:eastAsiaTheme="minorHAnsi"/>
                <w:lang w:val="lv-LV"/>
              </w:rPr>
              <w:t>27 095</w:t>
            </w:r>
          </w:p>
        </w:tc>
        <w:tc>
          <w:tcPr>
            <w:tcW w:w="709" w:type="dxa"/>
            <w:shd w:val="clear" w:color="auto" w:fill="92D050"/>
            <w:vAlign w:val="center"/>
          </w:tcPr>
          <w:p w14:paraId="6788837E"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876" w:type="dxa"/>
            <w:vAlign w:val="center"/>
          </w:tcPr>
          <w:p w14:paraId="7B296BA3" w14:textId="77777777" w:rsidR="00CE0303" w:rsidRPr="00CE0303" w:rsidRDefault="00CE0303" w:rsidP="00CE0303">
            <w:pPr>
              <w:spacing w:after="0"/>
              <w:jc w:val="center"/>
              <w:rPr>
                <w:rFonts w:eastAsiaTheme="minorHAnsi"/>
                <w:lang w:val="lv-LV"/>
              </w:rPr>
            </w:pPr>
            <w:r w:rsidRPr="00CE0303">
              <w:rPr>
                <w:rFonts w:eastAsiaTheme="minorHAnsi"/>
                <w:lang w:val="lv-LV"/>
              </w:rPr>
              <w:t>27 095</w:t>
            </w:r>
          </w:p>
        </w:tc>
      </w:tr>
    </w:tbl>
    <w:p w14:paraId="1F457AA1" w14:textId="77777777" w:rsidR="00CE0303" w:rsidRPr="00CE0303" w:rsidRDefault="00CE0303" w:rsidP="004C1C06">
      <w:pPr>
        <w:numPr>
          <w:ilvl w:val="0"/>
          <w:numId w:val="44"/>
        </w:numPr>
        <w:spacing w:before="120"/>
        <w:ind w:left="1077" w:hanging="357"/>
        <w:rPr>
          <w:rFonts w:eastAsiaTheme="minorHAnsi"/>
          <w:lang w:val="lv-LV"/>
        </w:rPr>
      </w:pPr>
      <w:r w:rsidRPr="00CE0303">
        <w:rPr>
          <w:rFonts w:eastAsiaTheme="minorHAnsi"/>
          <w:lang w:val="lv-LV"/>
        </w:rPr>
        <w:t xml:space="preserve">juridisko pakalpojumu apmaksai un Valsts interešu pārstāvniecībai tiesu procesos </w:t>
      </w:r>
      <w:r w:rsidRPr="00CE0303">
        <w:rPr>
          <w:rFonts w:eastAsiaTheme="minorHAnsi"/>
          <w:bCs/>
          <w:lang w:val="lv-LV"/>
        </w:rPr>
        <w:t xml:space="preserve">2022. gadā un turpmāk ik gadu 60,0 tūkst. </w:t>
      </w:r>
      <w:r w:rsidRPr="00CE0303">
        <w:rPr>
          <w:rFonts w:eastAsiaTheme="minorHAnsi"/>
          <w:bCs/>
          <w:i/>
          <w:lang w:val="lv-LV"/>
        </w:rPr>
        <w:t>euro</w:t>
      </w:r>
      <w:r w:rsidRPr="00CE0303">
        <w:rPr>
          <w:rFonts w:eastAsiaTheme="minorHAnsi"/>
          <w:bCs/>
          <w:lang w:val="lv-LV"/>
        </w:rPr>
        <w:t xml:space="preserve"> apmērā</w:t>
      </w:r>
      <w:r w:rsidRPr="00CE0303">
        <w:rPr>
          <w:rFonts w:eastAsiaTheme="minorHAnsi"/>
          <w:lang w:val="lv-LV"/>
        </w:rPr>
        <w:t xml:space="preserve">, veicot līdzekļu pārdali no budžeta apakšprogrammas 29.02.00 “Elektroenerģijas lietotāju atbalsts” uz budžeta apakšprogrammu 29.06.00 “Enerģētikas jautājumu administrēšana”. </w:t>
      </w:r>
    </w:p>
    <w:tbl>
      <w:tblPr>
        <w:tblStyle w:val="TableGrid1"/>
        <w:tblW w:w="0" w:type="auto"/>
        <w:jc w:val="center"/>
        <w:tblLook w:val="04A0" w:firstRow="1" w:lastRow="0" w:firstColumn="1" w:lastColumn="0" w:noHBand="0" w:noVBand="1"/>
      </w:tblPr>
      <w:tblGrid>
        <w:gridCol w:w="709"/>
        <w:gridCol w:w="1129"/>
        <w:gridCol w:w="696"/>
        <w:gridCol w:w="1129"/>
        <w:gridCol w:w="709"/>
        <w:gridCol w:w="876"/>
      </w:tblGrid>
      <w:tr w:rsidR="00CE0303" w:rsidRPr="00CE0303" w14:paraId="15B16A48" w14:textId="77777777" w:rsidTr="00CE0303">
        <w:trPr>
          <w:jc w:val="center"/>
        </w:trPr>
        <w:tc>
          <w:tcPr>
            <w:tcW w:w="709" w:type="dxa"/>
            <w:shd w:val="clear" w:color="auto" w:fill="92D050"/>
            <w:vAlign w:val="center"/>
          </w:tcPr>
          <w:p w14:paraId="477E2477"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4D49C8FD" w14:textId="77777777" w:rsidR="00CE0303" w:rsidRPr="00CE0303" w:rsidRDefault="00CE0303" w:rsidP="00CE0303">
            <w:pPr>
              <w:spacing w:after="0"/>
              <w:jc w:val="center"/>
              <w:rPr>
                <w:rFonts w:eastAsiaTheme="minorHAnsi"/>
                <w:lang w:val="lv-LV"/>
              </w:rPr>
            </w:pPr>
            <w:r w:rsidRPr="00CE0303">
              <w:rPr>
                <w:rFonts w:eastAsiaTheme="minorHAnsi"/>
                <w:lang w:val="lv-LV"/>
              </w:rPr>
              <w:t>60 000</w:t>
            </w:r>
          </w:p>
        </w:tc>
        <w:tc>
          <w:tcPr>
            <w:tcW w:w="696" w:type="dxa"/>
            <w:shd w:val="clear" w:color="auto" w:fill="92D050"/>
            <w:vAlign w:val="center"/>
          </w:tcPr>
          <w:p w14:paraId="22B070FF"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5EBAD5E" w14:textId="77777777" w:rsidR="00CE0303" w:rsidRPr="00CE0303" w:rsidRDefault="00CE0303" w:rsidP="00CE0303">
            <w:pPr>
              <w:spacing w:after="0"/>
              <w:jc w:val="center"/>
              <w:rPr>
                <w:rFonts w:eastAsiaTheme="minorHAnsi"/>
                <w:b/>
                <w:lang w:val="lv-LV"/>
              </w:rPr>
            </w:pPr>
            <w:r w:rsidRPr="00CE0303">
              <w:rPr>
                <w:rFonts w:eastAsiaTheme="minorHAnsi"/>
                <w:lang w:val="lv-LV"/>
              </w:rPr>
              <w:t>60 000</w:t>
            </w:r>
          </w:p>
        </w:tc>
        <w:tc>
          <w:tcPr>
            <w:tcW w:w="709" w:type="dxa"/>
            <w:shd w:val="clear" w:color="auto" w:fill="92D050"/>
            <w:vAlign w:val="center"/>
          </w:tcPr>
          <w:p w14:paraId="1D66DAF9"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876" w:type="dxa"/>
            <w:vAlign w:val="center"/>
          </w:tcPr>
          <w:p w14:paraId="0DEB448C" w14:textId="77777777" w:rsidR="00CE0303" w:rsidRPr="00CE0303" w:rsidRDefault="00CE0303" w:rsidP="00CE0303">
            <w:pPr>
              <w:spacing w:after="0"/>
              <w:jc w:val="center"/>
              <w:rPr>
                <w:rFonts w:eastAsiaTheme="minorHAnsi"/>
                <w:lang w:val="lv-LV"/>
              </w:rPr>
            </w:pPr>
            <w:r w:rsidRPr="00CE0303">
              <w:rPr>
                <w:rFonts w:eastAsiaTheme="minorHAnsi"/>
                <w:lang w:val="lv-LV"/>
              </w:rPr>
              <w:t>60 000</w:t>
            </w:r>
          </w:p>
        </w:tc>
      </w:tr>
    </w:tbl>
    <w:p w14:paraId="52470134" w14:textId="77777777" w:rsidR="00CE0303" w:rsidRPr="00CE0303" w:rsidRDefault="00CE0303" w:rsidP="00CE0303">
      <w:pPr>
        <w:spacing w:before="120"/>
        <w:ind w:firstLine="720"/>
        <w:rPr>
          <w:rFonts w:eastAsiaTheme="minorHAnsi" w:cs="Times New Roman"/>
          <w:szCs w:val="24"/>
          <w:lang w:val="lv-LV"/>
        </w:rPr>
      </w:pPr>
      <w:r w:rsidRPr="00CE0303">
        <w:rPr>
          <w:rFonts w:eastAsiaTheme="minorHAnsi" w:cs="Times New Roman"/>
          <w:szCs w:val="24"/>
          <w:lang w:val="lv-LV"/>
        </w:rPr>
        <w:t xml:space="preserve">EM valsts budžeta programmā 97.00.00 “Nozaru vadība un politikas plānošana” 2021.-2023. gada ietvarā piešķirts finansējums 2021., 2022. un 2023. gadam ik gadu 1,3 milj. </w:t>
      </w:r>
      <w:r w:rsidRPr="00CE0303">
        <w:rPr>
          <w:rFonts w:eastAsiaTheme="minorHAnsi" w:cs="Times New Roman"/>
          <w:i/>
          <w:szCs w:val="24"/>
          <w:lang w:val="lv-LV"/>
        </w:rPr>
        <w:t>euro</w:t>
      </w:r>
      <w:r w:rsidRPr="00CE0303">
        <w:rPr>
          <w:rFonts w:eastAsiaTheme="minorHAnsi" w:cs="Times New Roman"/>
          <w:szCs w:val="24"/>
          <w:lang w:val="lv-LV"/>
        </w:rPr>
        <w:t xml:space="preserve"> apmērā</w:t>
      </w:r>
      <w:r w:rsidRPr="00CE0303">
        <w:rPr>
          <w:rFonts w:eastAsiaTheme="minorHAnsi"/>
          <w:lang w:val="lv-LV"/>
        </w:rPr>
        <w:t xml:space="preserve"> </w:t>
      </w:r>
      <w:r w:rsidRPr="00CE0303">
        <w:rPr>
          <w:rFonts w:eastAsiaTheme="minorHAnsi" w:cs="Times New Roman"/>
          <w:szCs w:val="24"/>
          <w:lang w:val="lv-LV"/>
        </w:rPr>
        <w:t xml:space="preserve">tiešo investīciju pieauguma veicināšanai atbilstoši MK 2020. gada 22. septembra sēdes protokola Nr.55 38.§ “Informatīvais ziņojums “Par priekšlikumiem valsts budžeta ieņēmumiem </w:t>
      </w:r>
      <w:r w:rsidRPr="00CE0303">
        <w:rPr>
          <w:rFonts w:eastAsiaTheme="minorHAnsi" w:cs="Times New Roman"/>
          <w:szCs w:val="24"/>
          <w:lang w:val="lv-LV"/>
        </w:rPr>
        <w:lastRenderedPageBreak/>
        <w:t xml:space="preserve">un izdevumiem 2021. gadam un ietvaram 2021.-2023. gadam”” 11.4.punktam. Ņemot vērā EM sniegto informāciju par 2022. un 2023. gadā potenciāli iespējamo līdzekļu ekonomiju 178,0 tūkst. </w:t>
      </w:r>
      <w:r w:rsidRPr="00CE0303">
        <w:rPr>
          <w:rFonts w:eastAsiaTheme="minorHAnsi" w:cs="Times New Roman"/>
          <w:i/>
          <w:szCs w:val="24"/>
          <w:lang w:val="lv-LV"/>
        </w:rPr>
        <w:t>euro</w:t>
      </w:r>
      <w:r w:rsidRPr="00CE0303">
        <w:rPr>
          <w:rFonts w:eastAsiaTheme="minorHAnsi" w:cs="Times New Roman"/>
          <w:szCs w:val="24"/>
          <w:lang w:val="lv-LV"/>
        </w:rPr>
        <w:t xml:space="preserve"> apmērā</w:t>
      </w:r>
      <w:r w:rsidRPr="00CE0303">
        <w:rPr>
          <w:rFonts w:eastAsiaTheme="minorHAnsi"/>
          <w:lang w:val="lv-LV"/>
        </w:rPr>
        <w:t xml:space="preserve"> </w:t>
      </w:r>
      <w:r w:rsidRPr="00CE0303">
        <w:rPr>
          <w:rFonts w:eastAsiaTheme="minorHAnsi" w:cs="Times New Roman"/>
          <w:szCs w:val="24"/>
          <w:lang w:val="lv-LV"/>
        </w:rPr>
        <w:t xml:space="preserve">saistībā ar IT analītiskās sistēmas programmēšanas apjoma samazinājumu un uzņēmējdarbības vides pētījuma izmaksu optimizāciju, finansējumu </w:t>
      </w:r>
      <w:r w:rsidRPr="00CE0303">
        <w:rPr>
          <w:rFonts w:eastAsiaTheme="minorHAnsi" w:cs="Times New Roman"/>
          <w:bCs/>
          <w:szCs w:val="24"/>
          <w:lang w:val="lv-LV"/>
        </w:rPr>
        <w:t xml:space="preserve">178,0 tūkst. </w:t>
      </w:r>
      <w:r w:rsidRPr="00CE0303">
        <w:rPr>
          <w:rFonts w:eastAsiaTheme="minorHAnsi" w:cs="Times New Roman"/>
          <w:bCs/>
          <w:i/>
          <w:szCs w:val="24"/>
          <w:lang w:val="lv-LV"/>
        </w:rPr>
        <w:t>euro</w:t>
      </w:r>
      <w:r w:rsidRPr="00CE0303">
        <w:rPr>
          <w:rFonts w:eastAsiaTheme="minorHAnsi" w:cs="Times New Roman"/>
          <w:bCs/>
          <w:szCs w:val="24"/>
          <w:lang w:val="lv-LV"/>
        </w:rPr>
        <w:t xml:space="preserve"> apmērā 2022. un 2023. gadā</w:t>
      </w:r>
      <w:r w:rsidRPr="00CE0303">
        <w:rPr>
          <w:rFonts w:eastAsiaTheme="minorHAnsi" w:cs="Times New Roman"/>
          <w:szCs w:val="24"/>
          <w:lang w:val="lv-LV"/>
        </w:rPr>
        <w:t xml:space="preserve"> ir iespējams novirzīt ministrijas darbinieku atlīdzības palielināšanai, lai daļēji izlīdzinātu mēnešalgas un novērstu kompetentu darbinieku aiziešanu no ministrijas.</w:t>
      </w:r>
    </w:p>
    <w:tbl>
      <w:tblPr>
        <w:tblStyle w:val="TableGrid1"/>
        <w:tblW w:w="0" w:type="auto"/>
        <w:jc w:val="center"/>
        <w:tblLook w:val="04A0" w:firstRow="1" w:lastRow="0" w:firstColumn="1" w:lastColumn="0" w:noHBand="0" w:noVBand="1"/>
      </w:tblPr>
      <w:tblGrid>
        <w:gridCol w:w="709"/>
        <w:gridCol w:w="1129"/>
        <w:gridCol w:w="696"/>
        <w:gridCol w:w="1129"/>
        <w:gridCol w:w="709"/>
        <w:gridCol w:w="1010"/>
      </w:tblGrid>
      <w:tr w:rsidR="00CE0303" w:rsidRPr="00CE0303" w14:paraId="6DEF533A" w14:textId="77777777" w:rsidTr="00CE0303">
        <w:trPr>
          <w:jc w:val="center"/>
        </w:trPr>
        <w:tc>
          <w:tcPr>
            <w:tcW w:w="709" w:type="dxa"/>
            <w:shd w:val="clear" w:color="auto" w:fill="92D050"/>
            <w:vAlign w:val="center"/>
          </w:tcPr>
          <w:p w14:paraId="090618D0"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49F28CC6" w14:textId="77777777" w:rsidR="00CE0303" w:rsidRPr="00CE0303" w:rsidRDefault="00CE0303" w:rsidP="00CE0303">
            <w:pPr>
              <w:spacing w:after="0"/>
              <w:jc w:val="center"/>
              <w:rPr>
                <w:rFonts w:eastAsiaTheme="minorHAnsi"/>
                <w:lang w:val="lv-LV"/>
              </w:rPr>
            </w:pPr>
            <w:r w:rsidRPr="00CE0303">
              <w:rPr>
                <w:rFonts w:eastAsiaTheme="minorHAnsi"/>
                <w:lang w:val="lv-LV"/>
              </w:rPr>
              <w:t>177 970</w:t>
            </w:r>
          </w:p>
        </w:tc>
        <w:tc>
          <w:tcPr>
            <w:tcW w:w="696" w:type="dxa"/>
            <w:shd w:val="clear" w:color="auto" w:fill="92D050"/>
            <w:vAlign w:val="center"/>
          </w:tcPr>
          <w:p w14:paraId="790F5E05"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5D96DAB4" w14:textId="77777777" w:rsidR="00CE0303" w:rsidRPr="00CE0303" w:rsidRDefault="00CE0303" w:rsidP="00CE0303">
            <w:pPr>
              <w:spacing w:after="0"/>
              <w:jc w:val="center"/>
              <w:rPr>
                <w:rFonts w:eastAsiaTheme="minorHAnsi"/>
                <w:b/>
                <w:lang w:val="lv-LV"/>
              </w:rPr>
            </w:pPr>
            <w:r w:rsidRPr="00CE0303">
              <w:rPr>
                <w:rFonts w:eastAsiaTheme="minorHAnsi"/>
                <w:lang w:val="lv-LV"/>
              </w:rPr>
              <w:t>177 970</w:t>
            </w:r>
          </w:p>
        </w:tc>
        <w:tc>
          <w:tcPr>
            <w:tcW w:w="709" w:type="dxa"/>
            <w:shd w:val="clear" w:color="auto" w:fill="92D050"/>
            <w:vAlign w:val="center"/>
          </w:tcPr>
          <w:p w14:paraId="7F511303"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010" w:type="dxa"/>
            <w:vAlign w:val="center"/>
          </w:tcPr>
          <w:p w14:paraId="6453624F" w14:textId="77777777" w:rsidR="00CE0303" w:rsidRPr="00CE0303" w:rsidRDefault="00CE0303" w:rsidP="00CE0303">
            <w:pPr>
              <w:spacing w:after="0"/>
              <w:jc w:val="center"/>
              <w:rPr>
                <w:rFonts w:eastAsiaTheme="minorHAnsi"/>
                <w:lang w:val="lv-LV"/>
              </w:rPr>
            </w:pPr>
            <w:r w:rsidRPr="00CE0303">
              <w:rPr>
                <w:rFonts w:eastAsiaTheme="minorHAnsi"/>
                <w:lang w:val="lv-LV"/>
              </w:rPr>
              <w:t>0</w:t>
            </w:r>
          </w:p>
        </w:tc>
      </w:tr>
    </w:tbl>
    <w:p w14:paraId="1158D2CE" w14:textId="77777777" w:rsidR="00CE0303" w:rsidRPr="00CE0303" w:rsidRDefault="00CE0303" w:rsidP="00CE0303">
      <w:pPr>
        <w:rPr>
          <w:rFonts w:eastAsiaTheme="minorHAnsi"/>
          <w:b/>
          <w:lang w:val="lv-LV"/>
        </w:rPr>
      </w:pPr>
    </w:p>
    <w:p w14:paraId="179BF0B2" w14:textId="77777777" w:rsidR="00CE0303" w:rsidRPr="00CE0303" w:rsidRDefault="00CE0303" w:rsidP="00CE0303">
      <w:pPr>
        <w:ind w:firstLine="720"/>
        <w:rPr>
          <w:rFonts w:eastAsiaTheme="minorHAnsi"/>
          <w:b/>
          <w:lang w:val="lv-LV"/>
        </w:rPr>
      </w:pPr>
      <w:r w:rsidRPr="00CE0303">
        <w:rPr>
          <w:rFonts w:eastAsiaTheme="minorHAnsi"/>
          <w:b/>
          <w:lang w:val="lv-LV"/>
        </w:rPr>
        <w:t>Finanšu ministrija</w:t>
      </w:r>
    </w:p>
    <w:p w14:paraId="546D978F" w14:textId="1B2DB270" w:rsidR="00CE0303" w:rsidRPr="00CE0303" w:rsidRDefault="00CE0303" w:rsidP="00CE0303">
      <w:pPr>
        <w:ind w:firstLine="720"/>
        <w:rPr>
          <w:rFonts w:eastAsiaTheme="minorHAnsi"/>
          <w:lang w:val="lv-LV"/>
        </w:rPr>
      </w:pPr>
      <w:r w:rsidRPr="00CE0303">
        <w:rPr>
          <w:rFonts w:eastAsiaTheme="minorHAnsi"/>
          <w:lang w:val="lv-LV"/>
        </w:rPr>
        <w:t xml:space="preserve">Veicot FM pamatbudžeta analīzi, konstatēts, ka laika periodā no 2018. līdz 2020. gadam izdevumu neizpilde vērojama apakšprogrammās 31.01.00 “Budžeta izpilde” un </w:t>
      </w:r>
      <w:r w:rsidRPr="00CE0303">
        <w:rPr>
          <w:rFonts w:cs="Times New Roman"/>
          <w:szCs w:val="24"/>
          <w:lang w:val="lv-LV"/>
        </w:rPr>
        <w:t>39.02.00 “Izložu un azartspēļu organizēšanas un norises uzraudzība”</w:t>
      </w:r>
      <w:r w:rsidRPr="00CE0303">
        <w:rPr>
          <w:rFonts w:eastAsiaTheme="minorHAnsi"/>
          <w:lang w:val="lv-LV"/>
        </w:rPr>
        <w:t>, kā arī programmā 97.00.00 “Nozaru vadība un politikas plānošana”.</w:t>
      </w:r>
    </w:p>
    <w:p w14:paraId="0B5C19F3" w14:textId="77777777" w:rsidR="00CE0303" w:rsidRPr="00CE0303" w:rsidRDefault="00CE0303" w:rsidP="00534DB7">
      <w:pPr>
        <w:jc w:val="center"/>
        <w:rPr>
          <w:rFonts w:eastAsiaTheme="minorHAnsi"/>
          <w:b/>
          <w:bCs/>
          <w:sz w:val="22"/>
          <w:lang w:val="lv-LV"/>
        </w:rPr>
      </w:pPr>
      <w:r w:rsidRPr="00CE0303">
        <w:rPr>
          <w:rFonts w:eastAsiaTheme="minorHAnsi"/>
          <w:b/>
          <w:bCs/>
          <w:i/>
          <w:iCs/>
          <w:sz w:val="22"/>
          <w:lang w:val="lv-LV"/>
        </w:rPr>
        <w:t>2.2.10. attēls</w:t>
      </w:r>
      <w:r w:rsidRPr="00CE0303">
        <w:rPr>
          <w:rFonts w:eastAsiaTheme="minorHAnsi"/>
          <w:b/>
          <w:bCs/>
          <w:sz w:val="22"/>
          <w:lang w:val="lv-LV"/>
        </w:rPr>
        <w:t xml:space="preserve"> Apakšprogrammas 31.01.00 “Budžeta izpilde” izdevumu analīze (milj. </w:t>
      </w:r>
      <w:r w:rsidRPr="00CE0303">
        <w:rPr>
          <w:rFonts w:eastAsiaTheme="minorHAnsi"/>
          <w:b/>
          <w:bCs/>
          <w:i/>
          <w:iCs/>
          <w:sz w:val="22"/>
          <w:lang w:val="lv-LV"/>
        </w:rPr>
        <w:t>euro</w:t>
      </w:r>
      <w:r w:rsidRPr="00CE0303">
        <w:rPr>
          <w:rFonts w:eastAsiaTheme="minorHAnsi"/>
          <w:b/>
          <w:bCs/>
          <w:sz w:val="22"/>
          <w:lang w:val="lv-LV"/>
        </w:rPr>
        <w:t>)</w:t>
      </w:r>
    </w:p>
    <w:p w14:paraId="675C4050" w14:textId="77777777" w:rsidR="00CE0303" w:rsidRPr="00CE0303" w:rsidRDefault="00CE0303" w:rsidP="00CE0303">
      <w:pPr>
        <w:jc w:val="center"/>
        <w:rPr>
          <w:rFonts w:eastAsiaTheme="minorHAnsi"/>
          <w:b/>
          <w:bCs/>
          <w:lang w:val="lv-LV"/>
        </w:rPr>
      </w:pPr>
      <w:r w:rsidRPr="00CE0303">
        <w:rPr>
          <w:rFonts w:eastAsiaTheme="minorHAnsi"/>
          <w:b/>
          <w:bCs/>
          <w:noProof/>
          <w:lang w:val="lv-LV" w:eastAsia="lv-LV"/>
        </w:rPr>
        <w:drawing>
          <wp:inline distT="0" distB="0" distL="0" distR="0" wp14:anchorId="0EF5AAE5" wp14:editId="42E75DD2">
            <wp:extent cx="4724400" cy="2105025"/>
            <wp:effectExtent l="0" t="0" r="0" b="9525"/>
            <wp:docPr id="2249" name="Chart 2249">
              <a:extLst xmlns:a="http://schemas.openxmlformats.org/drawingml/2006/main">
                <a:ext uri="{FF2B5EF4-FFF2-40B4-BE49-F238E27FC236}">
                  <a16:creationId xmlns:a16="http://schemas.microsoft.com/office/drawing/2014/main" id="{3225C8A4-873D-4017-9407-5982AA473A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91C3060" w14:textId="60918F00" w:rsidR="00CE0303" w:rsidRPr="00CE0303" w:rsidRDefault="00CE0303" w:rsidP="00CE0303">
      <w:pPr>
        <w:ind w:firstLine="720"/>
        <w:rPr>
          <w:rFonts w:eastAsiaTheme="minorHAnsi"/>
          <w:bCs/>
          <w:lang w:val="lv-LV"/>
        </w:rPr>
      </w:pPr>
      <w:r w:rsidRPr="00CE0303">
        <w:rPr>
          <w:rFonts w:eastAsiaTheme="minorHAnsi"/>
          <w:lang w:val="lv-LV"/>
        </w:rPr>
        <w:t xml:space="preserve">Apakšprogrammā 31.01.00 “Budžeta izpilde” </w:t>
      </w:r>
      <w:r w:rsidRPr="00CE0303">
        <w:rPr>
          <w:rFonts w:eastAsiaTheme="minorHAnsi"/>
          <w:bCs/>
          <w:lang w:val="lv-LV"/>
        </w:rPr>
        <w:t>trīs gadu periodā veido</w:t>
      </w:r>
      <w:r w:rsidR="006F76FD">
        <w:rPr>
          <w:rFonts w:eastAsiaTheme="minorHAnsi"/>
          <w:bCs/>
          <w:lang w:val="lv-LV"/>
        </w:rPr>
        <w:t>jas</w:t>
      </w:r>
      <w:r w:rsidRPr="00CE0303">
        <w:rPr>
          <w:rFonts w:eastAsiaTheme="minorHAnsi"/>
          <w:bCs/>
          <w:lang w:val="lv-LV"/>
        </w:rPr>
        <w:t xml:space="preserve"> izdevumu ne</w:t>
      </w:r>
      <w:r w:rsidR="006F76FD">
        <w:rPr>
          <w:rFonts w:eastAsiaTheme="minorHAnsi"/>
          <w:bCs/>
          <w:lang w:val="lv-LV"/>
        </w:rPr>
        <w:t>izpilde</w:t>
      </w:r>
      <w:r w:rsidRPr="00CE0303">
        <w:rPr>
          <w:rFonts w:eastAsiaTheme="minorHAnsi"/>
          <w:bCs/>
          <w:lang w:val="lv-LV"/>
        </w:rPr>
        <w:t xml:space="preserve"> vidēji gadā 489,3 tūkst. </w:t>
      </w:r>
      <w:r w:rsidRPr="00CE0303">
        <w:rPr>
          <w:rFonts w:eastAsiaTheme="minorHAnsi"/>
          <w:bCs/>
          <w:i/>
          <w:lang w:val="lv-LV"/>
        </w:rPr>
        <w:t>euro</w:t>
      </w:r>
      <w:r w:rsidRPr="00CE0303">
        <w:rPr>
          <w:rFonts w:eastAsiaTheme="minorHAnsi"/>
          <w:bCs/>
          <w:lang w:val="lv-LV"/>
        </w:rPr>
        <w:t xml:space="preserve"> apmērā </w:t>
      </w:r>
      <w:r w:rsidRPr="00CE0303">
        <w:rPr>
          <w:rFonts w:cs="Times New Roman"/>
          <w:bCs/>
          <w:szCs w:val="24"/>
          <w:lang w:val="lv-LV"/>
        </w:rPr>
        <w:t>(</w:t>
      </w:r>
      <w:r w:rsidRPr="00CE0303">
        <w:rPr>
          <w:rFonts w:cs="Times New Roman"/>
          <w:bCs/>
          <w:iCs/>
          <w:szCs w:val="24"/>
          <w:lang w:val="lv-LV"/>
        </w:rPr>
        <w:t>2.2.10. attēls</w:t>
      </w:r>
      <w:r w:rsidRPr="00CE0303">
        <w:rPr>
          <w:rFonts w:cs="Times New Roman"/>
          <w:bCs/>
          <w:szCs w:val="24"/>
          <w:lang w:val="lv-LV"/>
        </w:rPr>
        <w:t xml:space="preserve">), kas </w:t>
      </w:r>
      <w:r w:rsidRPr="00CE0303">
        <w:rPr>
          <w:rFonts w:eastAsiaTheme="minorHAnsi"/>
          <w:lang w:val="lv-LV"/>
        </w:rPr>
        <w:t>ir potenciālais ministrijas iekšējais resurss 2022. un 2023. gadam un būtu novirzāms aktuālākām FM prioritātēm.</w:t>
      </w:r>
      <w:r w:rsidRPr="00CE0303">
        <w:rPr>
          <w:rFonts w:eastAsiaTheme="minorHAnsi"/>
          <w:bCs/>
          <w:lang w:val="lv-LV"/>
        </w:rPr>
        <w:t xml:space="preserve"> </w:t>
      </w:r>
      <w:r w:rsidRPr="00CE0303">
        <w:rPr>
          <w:rFonts w:eastAsiaTheme="minorHAnsi"/>
          <w:lang w:val="lv-LV"/>
        </w:rPr>
        <w:t>FM neizpildi skaidro ar pēdējo divu gadu laikā Valsts kasei piešķirtā mērķa finansējums nozīmīgu projektu īstenošanai laika un finansējuma (iepirkuma rezultāta) novirzēm.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129"/>
        <w:gridCol w:w="696"/>
        <w:gridCol w:w="1129"/>
      </w:tblGrid>
      <w:tr w:rsidR="00CE0303" w:rsidRPr="00CE0303" w14:paraId="5D01A90C" w14:textId="77777777" w:rsidTr="00CE0303">
        <w:tc>
          <w:tcPr>
            <w:tcW w:w="709" w:type="dxa"/>
            <w:shd w:val="clear" w:color="auto" w:fill="ED7D31" w:themeFill="accent2"/>
            <w:vAlign w:val="center"/>
          </w:tcPr>
          <w:p w14:paraId="2978C19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18A8B613" w14:textId="77777777" w:rsidR="00CE0303" w:rsidRPr="00CE0303" w:rsidRDefault="00CE0303" w:rsidP="00CE0303">
            <w:pPr>
              <w:spacing w:after="0"/>
              <w:jc w:val="center"/>
              <w:rPr>
                <w:rFonts w:eastAsiaTheme="minorHAnsi"/>
                <w:lang w:val="lv-LV"/>
              </w:rPr>
            </w:pPr>
            <w:r w:rsidRPr="00CE0303">
              <w:rPr>
                <w:rFonts w:eastAsiaTheme="minorHAnsi"/>
                <w:lang w:val="lv-LV"/>
              </w:rPr>
              <w:t>489 291</w:t>
            </w:r>
          </w:p>
        </w:tc>
        <w:tc>
          <w:tcPr>
            <w:tcW w:w="696" w:type="dxa"/>
            <w:shd w:val="clear" w:color="auto" w:fill="ED7D31" w:themeFill="accent2"/>
            <w:vAlign w:val="center"/>
          </w:tcPr>
          <w:p w14:paraId="1B5DAB0E"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7377FBBE" w14:textId="77777777" w:rsidR="00CE0303" w:rsidRPr="00CE0303" w:rsidRDefault="00CE0303" w:rsidP="00CE0303">
            <w:pPr>
              <w:spacing w:after="0"/>
              <w:jc w:val="center"/>
              <w:rPr>
                <w:rFonts w:eastAsiaTheme="minorHAnsi"/>
                <w:lang w:val="lv-LV"/>
              </w:rPr>
            </w:pPr>
            <w:r w:rsidRPr="00CE0303">
              <w:rPr>
                <w:rFonts w:eastAsiaTheme="minorHAnsi"/>
                <w:lang w:val="lv-LV"/>
              </w:rPr>
              <w:t>489 291</w:t>
            </w:r>
          </w:p>
        </w:tc>
      </w:tr>
    </w:tbl>
    <w:p w14:paraId="23BF2979" w14:textId="6FD5D7F2" w:rsidR="00CE0303" w:rsidRDefault="00CE0303" w:rsidP="00CE0303">
      <w:pPr>
        <w:rPr>
          <w:rFonts w:eastAsiaTheme="minorHAnsi"/>
          <w:b/>
          <w:bCs/>
          <w:lang w:val="lv-LV"/>
        </w:rPr>
      </w:pPr>
    </w:p>
    <w:p w14:paraId="79CA561F" w14:textId="3F78A974" w:rsidR="002C24FA" w:rsidRDefault="002C24FA" w:rsidP="00CE0303">
      <w:pPr>
        <w:rPr>
          <w:rFonts w:eastAsiaTheme="minorHAnsi"/>
          <w:b/>
          <w:bCs/>
          <w:lang w:val="lv-LV"/>
        </w:rPr>
      </w:pPr>
    </w:p>
    <w:p w14:paraId="13099824" w14:textId="004EF971" w:rsidR="002C24FA" w:rsidRDefault="002C24FA" w:rsidP="00CE0303">
      <w:pPr>
        <w:rPr>
          <w:rFonts w:eastAsiaTheme="minorHAnsi"/>
          <w:b/>
          <w:bCs/>
          <w:lang w:val="lv-LV"/>
        </w:rPr>
      </w:pPr>
    </w:p>
    <w:p w14:paraId="70C4210A" w14:textId="51A7FEBB" w:rsidR="002C24FA" w:rsidRDefault="002C24FA" w:rsidP="00CE0303">
      <w:pPr>
        <w:rPr>
          <w:rFonts w:eastAsiaTheme="minorHAnsi"/>
          <w:b/>
          <w:bCs/>
          <w:lang w:val="lv-LV"/>
        </w:rPr>
      </w:pPr>
    </w:p>
    <w:p w14:paraId="34E43655" w14:textId="7DDA8885" w:rsidR="002C24FA" w:rsidRDefault="002C24FA" w:rsidP="00CE0303">
      <w:pPr>
        <w:rPr>
          <w:rFonts w:eastAsiaTheme="minorHAnsi"/>
          <w:b/>
          <w:bCs/>
          <w:lang w:val="lv-LV"/>
        </w:rPr>
      </w:pPr>
    </w:p>
    <w:p w14:paraId="43B46129" w14:textId="3F014CC1" w:rsidR="002C24FA" w:rsidRDefault="002C24FA" w:rsidP="00CE0303">
      <w:pPr>
        <w:rPr>
          <w:rFonts w:eastAsiaTheme="minorHAnsi"/>
          <w:b/>
          <w:bCs/>
          <w:lang w:val="lv-LV"/>
        </w:rPr>
      </w:pPr>
    </w:p>
    <w:p w14:paraId="2FEA61A7" w14:textId="350CEB5D" w:rsidR="002C24FA" w:rsidRDefault="002C24FA" w:rsidP="00CE0303">
      <w:pPr>
        <w:rPr>
          <w:rFonts w:eastAsiaTheme="minorHAnsi"/>
          <w:b/>
          <w:bCs/>
          <w:lang w:val="lv-LV"/>
        </w:rPr>
      </w:pPr>
    </w:p>
    <w:p w14:paraId="4BAE1E0F" w14:textId="21178BC5" w:rsidR="002C24FA" w:rsidRDefault="002C24FA" w:rsidP="00CE0303">
      <w:pPr>
        <w:rPr>
          <w:rFonts w:eastAsiaTheme="minorHAnsi"/>
          <w:b/>
          <w:bCs/>
          <w:lang w:val="lv-LV"/>
        </w:rPr>
      </w:pPr>
    </w:p>
    <w:p w14:paraId="1F59CE99" w14:textId="77777777" w:rsidR="002C24FA" w:rsidRPr="00CE0303" w:rsidRDefault="002C24FA" w:rsidP="00CE0303">
      <w:pPr>
        <w:rPr>
          <w:rFonts w:eastAsiaTheme="minorHAnsi"/>
          <w:b/>
          <w:bCs/>
          <w:lang w:val="lv-LV"/>
        </w:rPr>
      </w:pPr>
    </w:p>
    <w:p w14:paraId="77A6C0F3" w14:textId="77777777" w:rsidR="00CE0303" w:rsidRPr="00CE0303" w:rsidRDefault="00CE0303" w:rsidP="00CE0303">
      <w:pPr>
        <w:spacing w:line="240" w:lineRule="auto"/>
        <w:jc w:val="center"/>
        <w:rPr>
          <w:rFonts w:cs="Times New Roman"/>
          <w:b/>
          <w:bCs/>
          <w:sz w:val="22"/>
          <w:lang w:val="lv-LV"/>
        </w:rPr>
      </w:pPr>
      <w:r w:rsidRPr="00CE0303">
        <w:rPr>
          <w:rFonts w:cs="Times New Roman"/>
          <w:b/>
          <w:bCs/>
          <w:i/>
          <w:iCs/>
          <w:sz w:val="22"/>
          <w:lang w:val="lv-LV"/>
        </w:rPr>
        <w:lastRenderedPageBreak/>
        <w:t>2.2.11. attēls</w:t>
      </w:r>
      <w:r w:rsidRPr="00CE0303">
        <w:rPr>
          <w:rFonts w:cs="Times New Roman"/>
          <w:b/>
          <w:bCs/>
          <w:sz w:val="22"/>
          <w:lang w:val="lv-LV"/>
        </w:rPr>
        <w:t xml:space="preserve"> Apakšprogrammas 39.02.00 “Izložu un azartspēļu organizēšanas un norises uzraudzība” izdevumu analīze (tūkst. </w:t>
      </w:r>
      <w:r w:rsidRPr="00CE0303">
        <w:rPr>
          <w:rFonts w:cs="Times New Roman"/>
          <w:b/>
          <w:bCs/>
          <w:i/>
          <w:iCs/>
          <w:sz w:val="22"/>
          <w:lang w:val="lv-LV"/>
        </w:rPr>
        <w:t>euro</w:t>
      </w:r>
      <w:r w:rsidRPr="00CE0303">
        <w:rPr>
          <w:rFonts w:cs="Times New Roman"/>
          <w:b/>
          <w:bCs/>
          <w:sz w:val="22"/>
          <w:lang w:val="lv-LV"/>
        </w:rPr>
        <w:t>)</w:t>
      </w:r>
    </w:p>
    <w:p w14:paraId="53451ABE" w14:textId="77777777" w:rsidR="00CE0303" w:rsidRPr="00CE0303" w:rsidRDefault="00CE0303" w:rsidP="00CE0303">
      <w:pPr>
        <w:spacing w:line="240" w:lineRule="auto"/>
        <w:jc w:val="center"/>
        <w:rPr>
          <w:rFonts w:cs="Times New Roman"/>
          <w:szCs w:val="24"/>
          <w:lang w:val="lv-LV"/>
        </w:rPr>
      </w:pPr>
      <w:r w:rsidRPr="00CE0303">
        <w:rPr>
          <w:noProof/>
          <w:lang w:val="lv-LV" w:eastAsia="lv-LV"/>
        </w:rPr>
        <w:drawing>
          <wp:inline distT="0" distB="0" distL="0" distR="0" wp14:anchorId="68939E2A" wp14:editId="22BA7675">
            <wp:extent cx="5286375" cy="2047875"/>
            <wp:effectExtent l="0" t="0" r="9525" b="9525"/>
            <wp:docPr id="2250" name="Chart 2250">
              <a:extLst xmlns:a="http://schemas.openxmlformats.org/drawingml/2006/main">
                <a:ext uri="{FF2B5EF4-FFF2-40B4-BE49-F238E27FC236}">
                  <a16:creationId xmlns:a16="http://schemas.microsoft.com/office/drawing/2014/main" id="{950F74F8-9D84-438C-AE43-FD325BDB08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D1FDD97" w14:textId="77777777" w:rsidR="00CE0303" w:rsidRPr="00CE0303" w:rsidRDefault="00CE0303" w:rsidP="00CE0303">
      <w:pPr>
        <w:spacing w:before="120"/>
        <w:ind w:firstLine="720"/>
        <w:rPr>
          <w:rFonts w:cs="Times New Roman"/>
          <w:b/>
          <w:szCs w:val="24"/>
          <w:lang w:val="lv-LV"/>
        </w:rPr>
      </w:pPr>
      <w:r w:rsidRPr="00CE0303">
        <w:rPr>
          <w:rFonts w:cs="Times New Roman"/>
          <w:szCs w:val="24"/>
          <w:lang w:val="lv-LV"/>
        </w:rPr>
        <w:t xml:space="preserve">Apakšprogrammā 39.02.00 “Izložu un azartspēļu organizēšanas un norises uzraudzība” </w:t>
      </w:r>
      <w:r w:rsidRPr="00CE0303">
        <w:rPr>
          <w:rFonts w:cs="Times New Roman"/>
          <w:bCs/>
          <w:szCs w:val="24"/>
          <w:lang w:val="lv-LV"/>
        </w:rPr>
        <w:t xml:space="preserve">trīs gadu periodā veidojas izdevumu neizpilde vidēji gadā 41,9 tūkst. </w:t>
      </w:r>
      <w:r w:rsidRPr="00CE0303">
        <w:rPr>
          <w:rFonts w:cs="Times New Roman"/>
          <w:bCs/>
          <w:i/>
          <w:szCs w:val="24"/>
          <w:lang w:val="lv-LV"/>
        </w:rPr>
        <w:t>euro</w:t>
      </w:r>
      <w:r w:rsidRPr="00CE0303">
        <w:rPr>
          <w:rFonts w:cs="Times New Roman"/>
          <w:bCs/>
          <w:szCs w:val="24"/>
          <w:lang w:val="lv-LV"/>
        </w:rPr>
        <w:t xml:space="preserve"> apmērā (2.2.11. attēls) un ir definējama kā </w:t>
      </w:r>
      <w:r w:rsidRPr="00CE0303">
        <w:rPr>
          <w:rFonts w:cs="Times New Roman"/>
          <w:szCs w:val="24"/>
          <w:lang w:val="lv-LV"/>
        </w:rPr>
        <w:t xml:space="preserve">potenciālais iekšējais resurss 2022. un 2023. gadam, kas būtu novirzāma aktuālākām FM prioritātēm. </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129"/>
        <w:gridCol w:w="696"/>
        <w:gridCol w:w="1129"/>
      </w:tblGrid>
      <w:tr w:rsidR="00CE0303" w:rsidRPr="00CE0303" w14:paraId="675FCC3A" w14:textId="77777777" w:rsidTr="00CE0303">
        <w:tc>
          <w:tcPr>
            <w:tcW w:w="709" w:type="dxa"/>
            <w:shd w:val="clear" w:color="auto" w:fill="ED7D31" w:themeFill="accent2"/>
            <w:vAlign w:val="center"/>
          </w:tcPr>
          <w:p w14:paraId="6A84B947"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00C4C751" w14:textId="77777777" w:rsidR="00CE0303" w:rsidRPr="00CE0303" w:rsidRDefault="00CE0303" w:rsidP="00CE0303">
            <w:pPr>
              <w:spacing w:after="0"/>
              <w:jc w:val="center"/>
              <w:rPr>
                <w:rFonts w:eastAsiaTheme="minorHAnsi"/>
                <w:lang w:val="lv-LV"/>
              </w:rPr>
            </w:pPr>
            <w:r w:rsidRPr="00CE0303">
              <w:rPr>
                <w:rFonts w:cs="Times New Roman"/>
                <w:szCs w:val="24"/>
                <w:lang w:val="lv-LV"/>
              </w:rPr>
              <w:t>41 925</w:t>
            </w:r>
          </w:p>
        </w:tc>
        <w:tc>
          <w:tcPr>
            <w:tcW w:w="696" w:type="dxa"/>
            <w:shd w:val="clear" w:color="auto" w:fill="ED7D31" w:themeFill="accent2"/>
            <w:vAlign w:val="center"/>
          </w:tcPr>
          <w:p w14:paraId="181F1ED5"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7CEE91E4" w14:textId="77777777" w:rsidR="00CE0303" w:rsidRPr="00CE0303" w:rsidRDefault="00CE0303" w:rsidP="00CE0303">
            <w:pPr>
              <w:spacing w:after="0"/>
              <w:jc w:val="center"/>
              <w:rPr>
                <w:rFonts w:eastAsiaTheme="minorHAnsi"/>
                <w:lang w:val="lv-LV"/>
              </w:rPr>
            </w:pPr>
            <w:r w:rsidRPr="00CE0303">
              <w:rPr>
                <w:rFonts w:cs="Times New Roman"/>
                <w:szCs w:val="24"/>
                <w:lang w:val="lv-LV"/>
              </w:rPr>
              <w:t>41 925</w:t>
            </w:r>
          </w:p>
        </w:tc>
      </w:tr>
    </w:tbl>
    <w:p w14:paraId="0C932575" w14:textId="2097D189" w:rsidR="00D31BE1" w:rsidRDefault="00D31BE1" w:rsidP="006B762E">
      <w:pPr>
        <w:rPr>
          <w:rFonts w:eastAsiaTheme="minorHAnsi"/>
          <w:b/>
          <w:bCs/>
          <w:i/>
          <w:iCs/>
          <w:sz w:val="22"/>
          <w:lang w:val="lv-LV"/>
        </w:rPr>
      </w:pPr>
    </w:p>
    <w:p w14:paraId="403A5D50" w14:textId="73FAE0D9" w:rsidR="00CE0303" w:rsidRPr="00CE0303" w:rsidRDefault="00CE0303" w:rsidP="00CE0303">
      <w:pPr>
        <w:jc w:val="center"/>
        <w:rPr>
          <w:rFonts w:eastAsiaTheme="minorHAnsi"/>
          <w:b/>
          <w:bCs/>
          <w:sz w:val="22"/>
          <w:lang w:val="lv-LV"/>
        </w:rPr>
      </w:pPr>
      <w:r w:rsidRPr="00CE0303">
        <w:rPr>
          <w:rFonts w:eastAsiaTheme="minorHAnsi"/>
          <w:b/>
          <w:bCs/>
          <w:i/>
          <w:iCs/>
          <w:sz w:val="22"/>
          <w:lang w:val="lv-LV"/>
        </w:rPr>
        <w:t>2.2.12. attēls</w:t>
      </w:r>
      <w:r w:rsidRPr="00CE0303">
        <w:rPr>
          <w:rFonts w:eastAsiaTheme="minorHAnsi"/>
          <w:b/>
          <w:bCs/>
          <w:sz w:val="22"/>
          <w:lang w:val="lv-LV"/>
        </w:rPr>
        <w:t xml:space="preserve"> Programmas 97.00.00 “Nozaru vadība un politikas plānošana” izdevumu analīze (milj. </w:t>
      </w:r>
      <w:r w:rsidRPr="00CE0303">
        <w:rPr>
          <w:rFonts w:eastAsiaTheme="minorHAnsi"/>
          <w:b/>
          <w:bCs/>
          <w:i/>
          <w:iCs/>
          <w:sz w:val="22"/>
          <w:lang w:val="lv-LV"/>
        </w:rPr>
        <w:t>euro</w:t>
      </w:r>
      <w:r w:rsidRPr="00CE0303">
        <w:rPr>
          <w:rFonts w:eastAsiaTheme="minorHAnsi"/>
          <w:b/>
          <w:bCs/>
          <w:sz w:val="22"/>
          <w:lang w:val="lv-LV"/>
        </w:rPr>
        <w:t>)</w:t>
      </w:r>
    </w:p>
    <w:p w14:paraId="1A1A90C5" w14:textId="77777777" w:rsidR="00CE0303" w:rsidRPr="00CE0303" w:rsidRDefault="00CE0303" w:rsidP="00CE0303">
      <w:pPr>
        <w:jc w:val="center"/>
        <w:rPr>
          <w:rFonts w:eastAsiaTheme="minorHAnsi"/>
          <w:b/>
          <w:bCs/>
          <w:lang w:val="lv-LV"/>
        </w:rPr>
      </w:pPr>
      <w:r w:rsidRPr="00CE0303">
        <w:rPr>
          <w:rFonts w:eastAsiaTheme="minorHAnsi"/>
          <w:b/>
          <w:bCs/>
          <w:noProof/>
          <w:lang w:val="lv-LV" w:eastAsia="lv-LV"/>
        </w:rPr>
        <w:drawing>
          <wp:inline distT="0" distB="0" distL="0" distR="0" wp14:anchorId="4717E148" wp14:editId="7A2A53BB">
            <wp:extent cx="5134610" cy="1743739"/>
            <wp:effectExtent l="0" t="0" r="8890" b="8890"/>
            <wp:docPr id="2251" name="Chart 2251">
              <a:extLst xmlns:a="http://schemas.openxmlformats.org/drawingml/2006/main">
                <a:ext uri="{FF2B5EF4-FFF2-40B4-BE49-F238E27FC236}">
                  <a16:creationId xmlns:a16="http://schemas.microsoft.com/office/drawing/2014/main" id="{DAA4479A-2BA7-4EC9-A1E1-B929530192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8308CB8" w14:textId="77777777" w:rsidR="00CE0303" w:rsidRPr="00CE0303" w:rsidRDefault="00CE0303" w:rsidP="00782965">
      <w:pPr>
        <w:ind w:firstLine="720"/>
        <w:rPr>
          <w:rFonts w:eastAsiaTheme="minorHAnsi"/>
          <w:bCs/>
          <w:lang w:val="lv-LV"/>
        </w:rPr>
      </w:pPr>
      <w:r w:rsidRPr="00CE0303">
        <w:rPr>
          <w:rFonts w:eastAsiaTheme="minorHAnsi"/>
          <w:lang w:val="lv-LV"/>
        </w:rPr>
        <w:t xml:space="preserve">Programmā 97.00.00 “Nozaru vadība un politikas plānošana” </w:t>
      </w:r>
      <w:r w:rsidRPr="00CE0303">
        <w:rPr>
          <w:rFonts w:cs="Times New Roman"/>
          <w:bCs/>
          <w:szCs w:val="24"/>
          <w:lang w:val="lv-LV"/>
        </w:rPr>
        <w:t xml:space="preserve">trīs gadu periodā veidojas izdevumu neizpilde vidēji gadā </w:t>
      </w:r>
      <w:r w:rsidRPr="00CE0303">
        <w:rPr>
          <w:rFonts w:eastAsiaTheme="minorHAnsi"/>
          <w:bCs/>
          <w:lang w:val="lv-LV"/>
        </w:rPr>
        <w:t xml:space="preserve">302,4 tūkst. </w:t>
      </w:r>
      <w:r w:rsidRPr="00CE0303">
        <w:rPr>
          <w:rFonts w:eastAsiaTheme="minorHAnsi"/>
          <w:bCs/>
          <w:i/>
          <w:lang w:val="lv-LV"/>
        </w:rPr>
        <w:t>euro</w:t>
      </w:r>
      <w:r w:rsidRPr="00CE0303">
        <w:rPr>
          <w:rFonts w:eastAsiaTheme="minorHAnsi"/>
          <w:bCs/>
          <w:lang w:val="lv-LV"/>
        </w:rPr>
        <w:t xml:space="preserve"> apmērā (2.2.12. attēls). </w:t>
      </w:r>
    </w:p>
    <w:p w14:paraId="49931655" w14:textId="77777777" w:rsidR="00CE0303" w:rsidRPr="00CE0303" w:rsidRDefault="00CE0303" w:rsidP="00782965">
      <w:pPr>
        <w:ind w:firstLine="720"/>
        <w:rPr>
          <w:rFonts w:eastAsiaTheme="minorHAnsi"/>
          <w:lang w:val="lv-LV"/>
        </w:rPr>
      </w:pPr>
      <w:r w:rsidRPr="00CE0303">
        <w:rPr>
          <w:rFonts w:eastAsiaTheme="minorHAnsi"/>
          <w:lang w:val="lv-LV"/>
        </w:rPr>
        <w:t>FM kā būtiskākos finansējuma neizpildes iemeslus norāda, ka:</w:t>
      </w:r>
    </w:p>
    <w:p w14:paraId="2ACC8A28" w14:textId="77777777" w:rsidR="00CE0303" w:rsidRPr="00CE0303" w:rsidRDefault="00CE0303" w:rsidP="004C1C06">
      <w:pPr>
        <w:numPr>
          <w:ilvl w:val="0"/>
          <w:numId w:val="42"/>
        </w:numPr>
        <w:rPr>
          <w:rFonts w:eastAsiaTheme="minorHAnsi"/>
          <w:bCs/>
          <w:lang w:val="lv-LV"/>
        </w:rPr>
      </w:pPr>
      <w:r w:rsidRPr="00CE0303">
        <w:rPr>
          <w:rFonts w:eastAsiaTheme="minorHAnsi"/>
          <w:bCs/>
          <w:lang w:val="lv-LV"/>
        </w:rPr>
        <w:t>parlamentārā sekretāra atalgojums šajā programmā tiek plānots katram gadam, bet līdz šim parlamentārais sekretārs atlīdzību nesaņēma šīs programmas ietvaros (no 2021. gada ir uzsākta atlīdzības izmaksa no šīs programmas). Tāpat atlīdzības atlikums izveidojies sakarā ar gada nogales faktiskās situācijas izmaiņām pret plānoto (slimības naudas, virsstundas, piemaksas u.c.).</w:t>
      </w:r>
    </w:p>
    <w:p w14:paraId="03DCDAC1" w14:textId="77777777" w:rsidR="00CE0303" w:rsidRPr="00CE0303" w:rsidRDefault="00CE0303" w:rsidP="004C1C06">
      <w:pPr>
        <w:numPr>
          <w:ilvl w:val="0"/>
          <w:numId w:val="42"/>
        </w:numPr>
        <w:rPr>
          <w:rFonts w:eastAsiaTheme="minorHAnsi"/>
          <w:bCs/>
          <w:lang w:val="lv-LV"/>
        </w:rPr>
      </w:pPr>
      <w:r w:rsidRPr="00CE0303">
        <w:rPr>
          <w:rFonts w:eastAsiaTheme="minorHAnsi"/>
          <w:bCs/>
          <w:lang w:val="lv-LV"/>
        </w:rPr>
        <w:t>prioritāro pasākumu “Pasākumu plāna noziedzīgi iegūtu līdzekļu legalizācijas un terorisma finansēšanas novēršanai laika periodam līdz 2019. gada 31. decembrim īstenošana” ietvaros 2019. gadā nebija aizpildītas visas amata vietas, kā arī netika izlietots viss precēm un pakalpojumiem, un kapitālajiem izdevumiem piešķirtais finansējums;</w:t>
      </w:r>
    </w:p>
    <w:p w14:paraId="4AC0D6C2" w14:textId="77777777" w:rsidR="00CE0303" w:rsidRPr="00CE0303" w:rsidRDefault="00CE0303" w:rsidP="004C1C06">
      <w:pPr>
        <w:numPr>
          <w:ilvl w:val="0"/>
          <w:numId w:val="42"/>
        </w:numPr>
        <w:rPr>
          <w:rFonts w:eastAsiaTheme="minorHAnsi"/>
          <w:bCs/>
          <w:lang w:val="lv-LV"/>
        </w:rPr>
      </w:pPr>
      <w:r w:rsidRPr="00CE0303">
        <w:rPr>
          <w:rFonts w:eastAsiaTheme="minorHAnsi"/>
          <w:bCs/>
          <w:lang w:val="lv-LV"/>
        </w:rPr>
        <w:lastRenderedPageBreak/>
        <w:t>ārvalstīs strādājošo darbinieku dzīvokļa īres un komunālo izdevumu kompensācijas – pieprasījumi mazāki kā plānots;</w:t>
      </w:r>
    </w:p>
    <w:p w14:paraId="62FBB69A" w14:textId="77777777" w:rsidR="00CE0303" w:rsidRPr="00CE0303" w:rsidRDefault="00CE0303" w:rsidP="004C1C06">
      <w:pPr>
        <w:numPr>
          <w:ilvl w:val="0"/>
          <w:numId w:val="42"/>
        </w:numPr>
        <w:rPr>
          <w:rFonts w:eastAsiaTheme="minorHAnsi"/>
          <w:bCs/>
          <w:lang w:val="lv-LV"/>
        </w:rPr>
      </w:pPr>
      <w:r w:rsidRPr="00CE0303">
        <w:rPr>
          <w:rFonts w:eastAsiaTheme="minorHAnsi"/>
          <w:bCs/>
          <w:lang w:val="lv-LV"/>
        </w:rPr>
        <w:t>daļa atlikuma izveidojusies komandējumu un saimnieciskajos izdevumos (sakari, komunālie pakalpojumi, iestādes administratīvās darbības nodrošināšanā), ņemot vērā faktisko līdzekļu nepieciešamību un vienreizējas izmaiņas, 2020. gadā arī Covid-19 ietekmē</w:t>
      </w:r>
      <w:r w:rsidRPr="00CE0303">
        <w:rPr>
          <w:rFonts w:eastAsiaTheme="minorHAnsi"/>
          <w:bCs/>
          <w:lang w:val="lv-LV"/>
        </w:rPr>
        <w:tab/>
      </w:r>
    </w:p>
    <w:p w14:paraId="6D9921E3" w14:textId="77777777" w:rsidR="00CE0303" w:rsidRPr="00CE0303" w:rsidRDefault="00CE0303" w:rsidP="00782965">
      <w:pPr>
        <w:ind w:firstLine="720"/>
        <w:rPr>
          <w:rFonts w:eastAsiaTheme="minorHAnsi"/>
          <w:lang w:val="lv-LV"/>
        </w:rPr>
      </w:pPr>
      <w:r w:rsidRPr="00CE0303">
        <w:rPr>
          <w:rFonts w:eastAsiaTheme="minorHAnsi"/>
          <w:bCs/>
          <w:lang w:val="lv-LV"/>
        </w:rPr>
        <w:t xml:space="preserve">Ņemot vērā iepriekš minēto, konstatēts, ka </w:t>
      </w:r>
      <w:r w:rsidRPr="00CE0303">
        <w:rPr>
          <w:rFonts w:eastAsiaTheme="minorHAnsi"/>
          <w:lang w:val="lv-LV"/>
        </w:rPr>
        <w:t>programmā 97.00.00 “Nozaru vadība un politikas plānošana” ir potenciālais iekšējais resurss 2022. un 2023. gadam, kas būtu novirzāms aktuālākām FM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129"/>
        <w:gridCol w:w="696"/>
        <w:gridCol w:w="1129"/>
      </w:tblGrid>
      <w:tr w:rsidR="00CE0303" w:rsidRPr="00CE0303" w14:paraId="3574E3C4" w14:textId="77777777" w:rsidTr="00CE0303">
        <w:tc>
          <w:tcPr>
            <w:tcW w:w="709" w:type="dxa"/>
            <w:shd w:val="clear" w:color="auto" w:fill="ED7D31" w:themeFill="accent2"/>
            <w:vAlign w:val="center"/>
          </w:tcPr>
          <w:p w14:paraId="26B5E98B"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2BCD3883" w14:textId="77777777" w:rsidR="00CE0303" w:rsidRPr="00CE0303" w:rsidRDefault="00CE0303" w:rsidP="00CE0303">
            <w:pPr>
              <w:spacing w:after="0"/>
              <w:jc w:val="center"/>
              <w:rPr>
                <w:rFonts w:eastAsiaTheme="minorHAnsi"/>
                <w:lang w:val="lv-LV"/>
              </w:rPr>
            </w:pPr>
            <w:r w:rsidRPr="00CE0303">
              <w:rPr>
                <w:rFonts w:eastAsiaTheme="minorHAnsi"/>
                <w:lang w:val="lv-LV"/>
              </w:rPr>
              <w:t>302 387</w:t>
            </w:r>
          </w:p>
        </w:tc>
        <w:tc>
          <w:tcPr>
            <w:tcW w:w="696" w:type="dxa"/>
            <w:shd w:val="clear" w:color="auto" w:fill="ED7D31" w:themeFill="accent2"/>
            <w:vAlign w:val="center"/>
          </w:tcPr>
          <w:p w14:paraId="7AFDCA36"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75436489" w14:textId="77777777" w:rsidR="00CE0303" w:rsidRPr="00CE0303" w:rsidRDefault="00CE0303" w:rsidP="00CE0303">
            <w:pPr>
              <w:spacing w:after="0"/>
              <w:jc w:val="center"/>
              <w:rPr>
                <w:rFonts w:eastAsiaTheme="minorHAnsi"/>
                <w:lang w:val="lv-LV"/>
              </w:rPr>
            </w:pPr>
            <w:r w:rsidRPr="00CE0303">
              <w:rPr>
                <w:rFonts w:eastAsiaTheme="minorHAnsi"/>
                <w:lang w:val="lv-LV"/>
              </w:rPr>
              <w:t>302 387</w:t>
            </w:r>
          </w:p>
        </w:tc>
      </w:tr>
    </w:tbl>
    <w:p w14:paraId="6052A3C1" w14:textId="77777777" w:rsidR="00CE0303" w:rsidRPr="00CE0303" w:rsidRDefault="00CE0303" w:rsidP="00CE0303">
      <w:pPr>
        <w:ind w:firstLine="720"/>
        <w:rPr>
          <w:rFonts w:eastAsiaTheme="minorHAnsi"/>
          <w:b/>
          <w:bCs/>
          <w:lang w:val="lv-LV"/>
        </w:rPr>
      </w:pPr>
    </w:p>
    <w:p w14:paraId="5D60FCE0" w14:textId="509BA711" w:rsidR="00CE0303" w:rsidRPr="00CE0303" w:rsidRDefault="00472F2D" w:rsidP="00472F2D">
      <w:pPr>
        <w:ind w:firstLine="720"/>
        <w:rPr>
          <w:rFonts w:eastAsiaTheme="minorHAnsi"/>
          <w:lang w:val="lv-LV"/>
        </w:rPr>
      </w:pPr>
      <w:r w:rsidRPr="00472F2D">
        <w:rPr>
          <w:rFonts w:eastAsiaTheme="minorHAnsi"/>
          <w:lang w:val="lv-LV"/>
        </w:rPr>
        <w:t>Ar 2021. gadu samazinot Centrālās finanšu un līgumu aģentūras Rīgas birojā telpas par 24% (1360 m2) un optimizējot 100 darba vietas, ietaupījums telpu nomai un komunālajiem maksājumiem novirzāms izdevumiem attālināta darba organizēšanai 2022. gadā un turpmāk ik gadu 19</w:t>
      </w:r>
      <w:r w:rsidR="00574F69">
        <w:rPr>
          <w:rFonts w:eastAsiaTheme="minorHAnsi"/>
          <w:lang w:val="lv-LV"/>
        </w:rPr>
        <w:t>,2 tūkst.</w:t>
      </w:r>
      <w:r w:rsidRPr="00472F2D">
        <w:rPr>
          <w:rFonts w:eastAsiaTheme="minorHAnsi"/>
          <w:lang w:val="lv-LV"/>
        </w:rPr>
        <w:t xml:space="preserve"> </w:t>
      </w:r>
      <w:r w:rsidRPr="00574F69">
        <w:rPr>
          <w:rFonts w:eastAsiaTheme="minorHAnsi"/>
          <w:i/>
          <w:lang w:val="lv-LV"/>
        </w:rPr>
        <w:t>euro</w:t>
      </w:r>
      <w:r w:rsidRPr="00472F2D">
        <w:rPr>
          <w:rFonts w:eastAsiaTheme="minorHAnsi"/>
          <w:lang w:val="lv-LV"/>
        </w:rPr>
        <w:t xml:space="preserve"> apmērā.</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6B762E" w14:paraId="33E48C80" w14:textId="77777777" w:rsidTr="00574F69">
        <w:trPr>
          <w:jc w:val="center"/>
        </w:trPr>
        <w:tc>
          <w:tcPr>
            <w:tcW w:w="709" w:type="dxa"/>
            <w:shd w:val="clear" w:color="auto" w:fill="92D050"/>
            <w:vAlign w:val="center"/>
          </w:tcPr>
          <w:p w14:paraId="6CD20E70"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5180E28F" w14:textId="77777777" w:rsidR="00CE0303" w:rsidRPr="00CE0303" w:rsidRDefault="00CE0303" w:rsidP="00CE0303">
            <w:pPr>
              <w:spacing w:after="0"/>
              <w:jc w:val="center"/>
              <w:rPr>
                <w:rFonts w:eastAsiaTheme="minorHAnsi"/>
                <w:lang w:val="lv-LV"/>
              </w:rPr>
            </w:pPr>
            <w:r w:rsidRPr="00CE0303">
              <w:rPr>
                <w:rFonts w:eastAsiaTheme="minorHAnsi"/>
                <w:lang w:val="lv-LV"/>
              </w:rPr>
              <w:t>19 187</w:t>
            </w:r>
          </w:p>
        </w:tc>
        <w:tc>
          <w:tcPr>
            <w:tcW w:w="696" w:type="dxa"/>
            <w:shd w:val="clear" w:color="auto" w:fill="92D050"/>
            <w:vAlign w:val="center"/>
          </w:tcPr>
          <w:p w14:paraId="58807C29"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54282688" w14:textId="77777777" w:rsidR="00CE0303" w:rsidRPr="00CE0303" w:rsidRDefault="00CE0303" w:rsidP="00CE0303">
            <w:pPr>
              <w:spacing w:after="0"/>
              <w:jc w:val="center"/>
              <w:rPr>
                <w:rFonts w:eastAsiaTheme="minorHAnsi"/>
                <w:lang w:val="lv-LV"/>
              </w:rPr>
            </w:pPr>
            <w:r w:rsidRPr="00CE0303">
              <w:rPr>
                <w:rFonts w:eastAsiaTheme="minorHAnsi"/>
                <w:lang w:val="lv-LV"/>
              </w:rPr>
              <w:t>19 187</w:t>
            </w:r>
          </w:p>
        </w:tc>
        <w:tc>
          <w:tcPr>
            <w:tcW w:w="709" w:type="dxa"/>
            <w:shd w:val="clear" w:color="auto" w:fill="92D050"/>
            <w:vAlign w:val="center"/>
          </w:tcPr>
          <w:p w14:paraId="235B0FFE"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77813BEB" w14:textId="77777777" w:rsidR="00CE0303" w:rsidRPr="00CE0303" w:rsidRDefault="00CE0303" w:rsidP="00CE0303">
            <w:pPr>
              <w:spacing w:after="0"/>
              <w:jc w:val="center"/>
              <w:rPr>
                <w:rFonts w:eastAsiaTheme="minorHAnsi"/>
                <w:lang w:val="lv-LV"/>
              </w:rPr>
            </w:pPr>
            <w:r w:rsidRPr="00CE0303">
              <w:rPr>
                <w:rFonts w:eastAsiaTheme="minorHAnsi"/>
                <w:lang w:val="lv-LV"/>
              </w:rPr>
              <w:t>19 187</w:t>
            </w:r>
          </w:p>
        </w:tc>
      </w:tr>
    </w:tbl>
    <w:p w14:paraId="61EED427" w14:textId="1C53F21E" w:rsidR="00CE0303" w:rsidRPr="00CE0303" w:rsidRDefault="00574F69" w:rsidP="00CE0303">
      <w:pPr>
        <w:spacing w:before="120"/>
        <w:ind w:firstLine="720"/>
        <w:rPr>
          <w:rFonts w:eastAsiaTheme="minorHAnsi"/>
          <w:lang w:val="lv-LV"/>
        </w:rPr>
      </w:pPr>
      <w:r w:rsidRPr="00574F69">
        <w:rPr>
          <w:rFonts w:eastAsiaTheme="minorHAnsi"/>
          <w:lang w:val="lv-LV"/>
        </w:rPr>
        <w:t xml:space="preserve">Veicot strukturālas izmaiņas, kā arī procesu optimizāciju klientu apkalpošanas un reģistrācijas jomā un samazinot </w:t>
      </w:r>
      <w:r>
        <w:rPr>
          <w:rFonts w:eastAsiaTheme="minorHAnsi"/>
          <w:lang w:val="lv-LV"/>
        </w:rPr>
        <w:t>VID</w:t>
      </w:r>
      <w:r w:rsidRPr="00574F69">
        <w:rPr>
          <w:rFonts w:eastAsiaTheme="minorHAnsi"/>
          <w:lang w:val="lv-LV"/>
        </w:rPr>
        <w:t xml:space="preserve"> amata vietu skaitu 2021.</w:t>
      </w:r>
      <w:r>
        <w:rPr>
          <w:rFonts w:eastAsiaTheme="minorHAnsi"/>
          <w:lang w:val="lv-LV"/>
        </w:rPr>
        <w:t xml:space="preserve"> </w:t>
      </w:r>
      <w:r w:rsidRPr="00574F69">
        <w:rPr>
          <w:rFonts w:eastAsiaTheme="minorHAnsi"/>
          <w:lang w:val="lv-LV"/>
        </w:rPr>
        <w:t>gadā par 16 vietām, ietaupījums novirzāms atlīdzības palielināšanai esošajām amata vietām 20</w:t>
      </w:r>
      <w:r>
        <w:rPr>
          <w:rFonts w:eastAsiaTheme="minorHAnsi"/>
          <w:lang w:val="lv-LV"/>
        </w:rPr>
        <w:t xml:space="preserve">22. gadā un turpmāk ik gadu 271,1 tūkst. </w:t>
      </w:r>
      <w:r w:rsidRPr="00574F69">
        <w:rPr>
          <w:rFonts w:eastAsiaTheme="minorHAnsi"/>
          <w:i/>
          <w:lang w:val="lv-LV"/>
        </w:rPr>
        <w:t>euro</w:t>
      </w:r>
      <w:r>
        <w:rPr>
          <w:rFonts w:eastAsiaTheme="minorHAnsi"/>
          <w:lang w:val="lv-LV"/>
        </w:rPr>
        <w:t xml:space="preserve"> apmērā.</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604B99E4" w14:textId="77777777" w:rsidTr="00CE0303">
        <w:trPr>
          <w:trHeight w:val="175"/>
          <w:jc w:val="center"/>
        </w:trPr>
        <w:tc>
          <w:tcPr>
            <w:tcW w:w="709" w:type="dxa"/>
            <w:shd w:val="clear" w:color="auto" w:fill="92D050"/>
            <w:vAlign w:val="center"/>
          </w:tcPr>
          <w:p w14:paraId="224DCB37"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1D79B7CD" w14:textId="77777777" w:rsidR="00CE0303" w:rsidRPr="00CE0303" w:rsidRDefault="00CE0303" w:rsidP="00CE0303">
            <w:pPr>
              <w:spacing w:after="0"/>
              <w:jc w:val="center"/>
              <w:rPr>
                <w:rFonts w:eastAsiaTheme="minorHAnsi"/>
                <w:lang w:val="lv-LV"/>
              </w:rPr>
            </w:pPr>
            <w:r w:rsidRPr="00CE0303">
              <w:rPr>
                <w:rFonts w:eastAsiaTheme="minorHAnsi"/>
                <w:lang w:val="lv-LV"/>
              </w:rPr>
              <w:t>271 062</w:t>
            </w:r>
          </w:p>
        </w:tc>
        <w:tc>
          <w:tcPr>
            <w:tcW w:w="572" w:type="dxa"/>
            <w:shd w:val="clear" w:color="auto" w:fill="92D050"/>
            <w:vAlign w:val="center"/>
          </w:tcPr>
          <w:p w14:paraId="618CFD80"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78E60305" w14:textId="77777777" w:rsidR="00CE0303" w:rsidRPr="00CE0303" w:rsidRDefault="00CE0303" w:rsidP="00CE0303">
            <w:pPr>
              <w:spacing w:after="0"/>
              <w:jc w:val="center"/>
              <w:rPr>
                <w:rFonts w:eastAsiaTheme="minorHAnsi"/>
                <w:lang w:val="lv-LV"/>
              </w:rPr>
            </w:pPr>
            <w:r w:rsidRPr="00CE0303">
              <w:rPr>
                <w:rFonts w:eastAsiaTheme="minorHAnsi"/>
                <w:lang w:val="lv-LV"/>
              </w:rPr>
              <w:t>271 062</w:t>
            </w:r>
          </w:p>
        </w:tc>
        <w:tc>
          <w:tcPr>
            <w:tcW w:w="709" w:type="dxa"/>
            <w:shd w:val="clear" w:color="auto" w:fill="92D050"/>
            <w:vAlign w:val="center"/>
          </w:tcPr>
          <w:p w14:paraId="2B0EC9C2"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715EE387" w14:textId="77777777" w:rsidR="00CE0303" w:rsidRPr="00CE0303" w:rsidRDefault="00CE0303" w:rsidP="00CE0303">
            <w:pPr>
              <w:spacing w:after="0"/>
              <w:jc w:val="center"/>
              <w:rPr>
                <w:rFonts w:eastAsiaTheme="minorHAnsi"/>
                <w:lang w:val="lv-LV"/>
              </w:rPr>
            </w:pPr>
            <w:r w:rsidRPr="00CE0303">
              <w:rPr>
                <w:rFonts w:eastAsiaTheme="minorHAnsi"/>
                <w:lang w:val="lv-LV"/>
              </w:rPr>
              <w:t>271 062</w:t>
            </w:r>
          </w:p>
        </w:tc>
      </w:tr>
    </w:tbl>
    <w:p w14:paraId="4F5BB6BD" w14:textId="77777777" w:rsidR="00CE0303" w:rsidRPr="00CE0303" w:rsidRDefault="00CE0303" w:rsidP="00CE0303">
      <w:pPr>
        <w:spacing w:before="120"/>
        <w:ind w:firstLine="720"/>
        <w:rPr>
          <w:rFonts w:eastAsiaTheme="minorHAnsi"/>
          <w:lang w:val="lv-LV"/>
        </w:rPr>
      </w:pPr>
      <w:r w:rsidRPr="00CE0303">
        <w:rPr>
          <w:rFonts w:eastAsiaTheme="minorHAnsi"/>
          <w:lang w:val="lv-LV"/>
        </w:rPr>
        <w:t>Atbilstoši VID nākotnes iecerēm, veidojot kopstrādes biroja telpas, veikta nomas maksas pārskatīšana un telpu platību samazināšana, lai vienu darba vietu varētu izmantot vairāki nodarbinātie. Pirmo kopstrādes telpu izveide notiks Jelgavā, pārceļoties no līdzšinējām telpām Mātera ielā 57 un Lielā ielā 6 (kopējā platība 3 201 m2) uz telpām Atmodas ielā 19 (1 950 m2). Resurss novirzāms VID budžeta pārejai uz nomas attiecībām citos objektos. Skaitliskā informācija norādīta atbilstoši 2021. gada 1. aprīļa MK sēdes protokollēmuma Nr. 31 8.§ 3. punktam. VID turpinās vērtēt telpu noslodzi un izskatīs iespēju samazināt Talejas ielas 1 telpu platību un risināt jautājumu par ekonomijas novirzīšanu pāriešanai uz nomas attiecībām citos objektos vai arī citām VID prioritātēm.</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1D21A39A" w14:textId="77777777" w:rsidTr="00CE0303">
        <w:trPr>
          <w:jc w:val="center"/>
        </w:trPr>
        <w:tc>
          <w:tcPr>
            <w:tcW w:w="709" w:type="dxa"/>
            <w:shd w:val="clear" w:color="auto" w:fill="92D050"/>
            <w:vAlign w:val="center"/>
          </w:tcPr>
          <w:p w14:paraId="0C7E549E"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6580F0B6" w14:textId="77777777" w:rsidR="00CE0303" w:rsidRPr="00CE0303" w:rsidRDefault="00CE0303" w:rsidP="00CE0303">
            <w:pPr>
              <w:spacing w:after="0"/>
              <w:jc w:val="center"/>
              <w:rPr>
                <w:rFonts w:eastAsiaTheme="minorHAnsi"/>
                <w:lang w:val="lv-LV"/>
              </w:rPr>
            </w:pPr>
            <w:r w:rsidRPr="00CE0303">
              <w:rPr>
                <w:rFonts w:eastAsiaTheme="minorHAnsi"/>
                <w:lang w:val="lv-LV"/>
              </w:rPr>
              <w:t>118 163</w:t>
            </w:r>
          </w:p>
        </w:tc>
        <w:tc>
          <w:tcPr>
            <w:tcW w:w="696" w:type="dxa"/>
            <w:shd w:val="clear" w:color="auto" w:fill="92D050"/>
            <w:vAlign w:val="center"/>
          </w:tcPr>
          <w:p w14:paraId="1E9F629E"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396FB79" w14:textId="77777777" w:rsidR="00CE0303" w:rsidRPr="00CE0303" w:rsidRDefault="00CE0303" w:rsidP="00CE0303">
            <w:pPr>
              <w:spacing w:after="0"/>
              <w:jc w:val="center"/>
              <w:rPr>
                <w:rFonts w:eastAsiaTheme="minorHAnsi"/>
                <w:lang w:val="lv-LV"/>
              </w:rPr>
            </w:pPr>
            <w:r w:rsidRPr="00CE0303">
              <w:rPr>
                <w:rFonts w:eastAsiaTheme="minorHAnsi"/>
                <w:lang w:val="lv-LV"/>
              </w:rPr>
              <w:t>118 163</w:t>
            </w:r>
          </w:p>
        </w:tc>
        <w:tc>
          <w:tcPr>
            <w:tcW w:w="709" w:type="dxa"/>
            <w:shd w:val="clear" w:color="auto" w:fill="92D050"/>
            <w:vAlign w:val="center"/>
          </w:tcPr>
          <w:p w14:paraId="323A3403"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7DEA35DF" w14:textId="77777777" w:rsidR="00CE0303" w:rsidRPr="00CE0303" w:rsidRDefault="00CE0303" w:rsidP="00CE0303">
            <w:pPr>
              <w:spacing w:after="0"/>
              <w:jc w:val="center"/>
              <w:rPr>
                <w:rFonts w:eastAsiaTheme="minorHAnsi"/>
                <w:lang w:val="lv-LV"/>
              </w:rPr>
            </w:pPr>
            <w:r w:rsidRPr="00CE0303">
              <w:rPr>
                <w:rFonts w:eastAsiaTheme="minorHAnsi"/>
                <w:lang w:val="lv-LV"/>
              </w:rPr>
              <w:t>118 163</w:t>
            </w:r>
          </w:p>
        </w:tc>
      </w:tr>
    </w:tbl>
    <w:p w14:paraId="2DBA3303" w14:textId="611AFD87" w:rsidR="00FE12EF" w:rsidRPr="00CE0303" w:rsidRDefault="00566C92" w:rsidP="00FE12EF">
      <w:pPr>
        <w:spacing w:before="120"/>
        <w:ind w:firstLine="720"/>
        <w:rPr>
          <w:rFonts w:eastAsiaTheme="minorHAnsi"/>
          <w:szCs w:val="24"/>
          <w:lang w:val="lv-LV"/>
        </w:rPr>
      </w:pPr>
      <w:r>
        <w:rPr>
          <w:rFonts w:eastAsiaTheme="minorHAnsi"/>
          <w:szCs w:val="24"/>
          <w:lang w:val="lv-LV"/>
        </w:rPr>
        <w:t>FM, veicot 2022.</w:t>
      </w:r>
      <w:r w:rsidR="00FE12EF" w:rsidRPr="00CE0303">
        <w:rPr>
          <w:rFonts w:eastAsiaTheme="minorHAnsi"/>
          <w:szCs w:val="24"/>
          <w:lang w:val="lv-LV"/>
        </w:rPr>
        <w:t>-2024. gada bāzē plānoto izdevumu pārskatīšanu, ir ide</w:t>
      </w:r>
      <w:r w:rsidR="00FE12EF">
        <w:rPr>
          <w:rFonts w:eastAsiaTheme="minorHAnsi"/>
          <w:szCs w:val="24"/>
          <w:lang w:val="lv-LV"/>
        </w:rPr>
        <w:t xml:space="preserve">ntificējusi iespēju samazināt </w:t>
      </w:r>
      <w:r w:rsidR="00FE12EF" w:rsidRPr="00CE0303">
        <w:rPr>
          <w:rFonts w:eastAsiaTheme="minorHAnsi" w:cs="Times New Roman"/>
          <w:lang w:val="lv-LV"/>
        </w:rPr>
        <w:t xml:space="preserve">budžeta apakšprogrammā 31.02.00 “Valsts parāda vadība” </w:t>
      </w:r>
      <w:r w:rsidR="00FE12EF" w:rsidRPr="00CE0303">
        <w:rPr>
          <w:rFonts w:eastAsiaTheme="minorHAnsi"/>
          <w:szCs w:val="24"/>
          <w:lang w:val="lv-LV"/>
        </w:rPr>
        <w:t xml:space="preserve">valsts parāda apkalpošanas izdevumus 2022. gadā par 42,0 milj. </w:t>
      </w:r>
      <w:r w:rsidR="00FE12EF" w:rsidRPr="00CE0303">
        <w:rPr>
          <w:rFonts w:eastAsiaTheme="minorHAnsi"/>
          <w:i/>
          <w:szCs w:val="24"/>
          <w:lang w:val="lv-LV"/>
        </w:rPr>
        <w:t>euro</w:t>
      </w:r>
      <w:r w:rsidR="00FE12EF" w:rsidRPr="00CE0303">
        <w:rPr>
          <w:rFonts w:eastAsiaTheme="minorHAnsi"/>
          <w:szCs w:val="24"/>
          <w:lang w:val="lv-LV"/>
        </w:rPr>
        <w:t xml:space="preserve">, 2023. gadā par </w:t>
      </w:r>
      <w:r w:rsidR="001225CA">
        <w:rPr>
          <w:rFonts w:eastAsiaTheme="minorHAnsi"/>
          <w:szCs w:val="24"/>
          <w:lang w:val="lv-LV"/>
        </w:rPr>
        <w:t>4,6</w:t>
      </w:r>
      <w:r w:rsidR="00FE12EF" w:rsidRPr="00CE0303">
        <w:rPr>
          <w:rFonts w:eastAsiaTheme="minorHAnsi"/>
          <w:szCs w:val="24"/>
          <w:lang w:val="lv-LV"/>
        </w:rPr>
        <w:t xml:space="preserve"> milj. </w:t>
      </w:r>
      <w:r w:rsidR="00FE12EF" w:rsidRPr="00CE0303">
        <w:rPr>
          <w:rFonts w:eastAsiaTheme="minorHAnsi"/>
          <w:i/>
          <w:szCs w:val="24"/>
          <w:lang w:val="lv-LV"/>
        </w:rPr>
        <w:t>euro</w:t>
      </w:r>
      <w:r w:rsidR="001225CA">
        <w:rPr>
          <w:rFonts w:eastAsiaTheme="minorHAnsi"/>
          <w:szCs w:val="24"/>
          <w:lang w:val="lv-LV"/>
        </w:rPr>
        <w:t>, 2024. gadā 3,3</w:t>
      </w:r>
      <w:r w:rsidR="00FE12EF" w:rsidRPr="00CE0303">
        <w:rPr>
          <w:rFonts w:eastAsiaTheme="minorHAnsi"/>
          <w:szCs w:val="24"/>
          <w:lang w:val="lv-LV"/>
        </w:rPr>
        <w:t xml:space="preserve"> milj. </w:t>
      </w:r>
      <w:r w:rsidR="00FE12EF" w:rsidRPr="00CE0303">
        <w:rPr>
          <w:rFonts w:eastAsiaTheme="minorHAnsi"/>
          <w:i/>
          <w:szCs w:val="24"/>
          <w:lang w:val="lv-LV"/>
        </w:rPr>
        <w:t>euro</w:t>
      </w:r>
      <w:r w:rsidR="00FE12EF" w:rsidRPr="00CE0303">
        <w:rPr>
          <w:rFonts w:eastAsiaTheme="minorHAnsi"/>
          <w:szCs w:val="24"/>
          <w:lang w:val="lv-LV"/>
        </w:rPr>
        <w:t xml:space="preserve">. Neskatoties uz ievērojamu prognozēto aizņemšanās apjomu pieaugumu vidējā termiņā, ko izraisīja Covid-19 uzliesmojuma seku mazināšanai un ekonomikas atbalstam veicamo un plānoto pasākumu finansēšanas nepieciešamība un fiskālie rādītāji, iespēju samazināt vidējā termiņā plānotos procentu izdevumus nodrošināja Covid-19 ietekmē vērojamas lejupvērstās procentu likmju tendences, kas ļāva nodrošināt aizņemšanos ar zemākām, nekā sākotnēji plānots, procentu likmēm (piemēram, abās šogad veiktajās eiroobligāciju emisijās, piesaistot ilgtermiņa resursus 1,750 mljrd. </w:t>
      </w:r>
      <w:r w:rsidR="00FE12EF" w:rsidRPr="00B55026">
        <w:rPr>
          <w:rFonts w:eastAsiaTheme="minorHAnsi"/>
          <w:i/>
          <w:szCs w:val="24"/>
          <w:lang w:val="lv-LV"/>
        </w:rPr>
        <w:t>euro</w:t>
      </w:r>
      <w:r w:rsidR="00FE12EF" w:rsidRPr="00CE0303">
        <w:rPr>
          <w:rFonts w:eastAsiaTheme="minorHAnsi"/>
          <w:szCs w:val="24"/>
          <w:lang w:val="lv-LV"/>
        </w:rPr>
        <w:t xml:space="preserve"> apmērā, fiksēta pro</w:t>
      </w:r>
      <w:r w:rsidR="00FE12EF">
        <w:rPr>
          <w:rFonts w:eastAsiaTheme="minorHAnsi"/>
          <w:szCs w:val="24"/>
          <w:lang w:val="lv-LV"/>
        </w:rPr>
        <w:t>centu (kupona) likme 0% līmenī).</w:t>
      </w:r>
    </w:p>
    <w:tbl>
      <w:tblPr>
        <w:tblStyle w:val="TableGrid1"/>
        <w:tblW w:w="0" w:type="auto"/>
        <w:jc w:val="center"/>
        <w:tblLook w:val="04A0" w:firstRow="1" w:lastRow="0" w:firstColumn="1" w:lastColumn="0" w:noHBand="0" w:noVBand="1"/>
      </w:tblPr>
      <w:tblGrid>
        <w:gridCol w:w="709"/>
        <w:gridCol w:w="1413"/>
        <w:gridCol w:w="696"/>
        <w:gridCol w:w="1430"/>
        <w:gridCol w:w="696"/>
        <w:gridCol w:w="1430"/>
      </w:tblGrid>
      <w:tr w:rsidR="00FE12EF" w:rsidRPr="00CE0303" w14:paraId="5FDC7EFE" w14:textId="77777777" w:rsidTr="00FE12EF">
        <w:trPr>
          <w:jc w:val="center"/>
        </w:trPr>
        <w:tc>
          <w:tcPr>
            <w:tcW w:w="709" w:type="dxa"/>
            <w:shd w:val="clear" w:color="auto" w:fill="92D050"/>
            <w:vAlign w:val="center"/>
          </w:tcPr>
          <w:p w14:paraId="5B43C697" w14:textId="77777777" w:rsidR="00FE12EF" w:rsidRPr="00CE0303" w:rsidRDefault="00FE12EF" w:rsidP="00FE12EF">
            <w:pPr>
              <w:spacing w:after="0"/>
              <w:jc w:val="center"/>
              <w:rPr>
                <w:rFonts w:eastAsiaTheme="minorHAnsi"/>
                <w:lang w:val="lv-LV"/>
              </w:rPr>
            </w:pPr>
            <w:r w:rsidRPr="00CE0303">
              <w:rPr>
                <w:rFonts w:eastAsiaTheme="minorHAnsi"/>
                <w:lang w:val="lv-LV"/>
              </w:rPr>
              <w:t>2022</w:t>
            </w:r>
          </w:p>
        </w:tc>
        <w:tc>
          <w:tcPr>
            <w:tcW w:w="1413" w:type="dxa"/>
            <w:vAlign w:val="center"/>
          </w:tcPr>
          <w:p w14:paraId="52267A27" w14:textId="77777777" w:rsidR="00FE12EF" w:rsidRPr="00CE0303" w:rsidRDefault="00FE12EF" w:rsidP="00FE12EF">
            <w:pPr>
              <w:spacing w:after="0"/>
              <w:jc w:val="center"/>
              <w:rPr>
                <w:rFonts w:eastAsiaTheme="minorHAnsi"/>
                <w:lang w:val="lv-LV"/>
              </w:rPr>
            </w:pPr>
            <w:r w:rsidRPr="00CE0303">
              <w:rPr>
                <w:rFonts w:eastAsiaTheme="minorHAnsi"/>
                <w:szCs w:val="24"/>
                <w:lang w:val="lv-LV"/>
              </w:rPr>
              <w:t>42 000 000</w:t>
            </w:r>
          </w:p>
        </w:tc>
        <w:tc>
          <w:tcPr>
            <w:tcW w:w="696" w:type="dxa"/>
            <w:shd w:val="clear" w:color="auto" w:fill="92D050"/>
            <w:vAlign w:val="center"/>
          </w:tcPr>
          <w:p w14:paraId="29290834" w14:textId="77777777" w:rsidR="00FE12EF" w:rsidRPr="00CE0303" w:rsidRDefault="00FE12EF" w:rsidP="00FE12EF">
            <w:pPr>
              <w:spacing w:after="0"/>
              <w:jc w:val="center"/>
              <w:rPr>
                <w:rFonts w:eastAsiaTheme="minorHAnsi"/>
                <w:lang w:val="lv-LV"/>
              </w:rPr>
            </w:pPr>
            <w:r w:rsidRPr="00CE0303">
              <w:rPr>
                <w:rFonts w:eastAsiaTheme="minorHAnsi"/>
                <w:lang w:val="lv-LV"/>
              </w:rPr>
              <w:t>2023</w:t>
            </w:r>
          </w:p>
        </w:tc>
        <w:tc>
          <w:tcPr>
            <w:tcW w:w="1430" w:type="dxa"/>
            <w:vAlign w:val="center"/>
          </w:tcPr>
          <w:p w14:paraId="262C8B28" w14:textId="611B88AC" w:rsidR="00FE12EF" w:rsidRPr="001225CA" w:rsidRDefault="00DF0D94" w:rsidP="001225CA">
            <w:pPr>
              <w:spacing w:after="0"/>
              <w:jc w:val="center"/>
              <w:rPr>
                <w:rFonts w:eastAsiaTheme="minorHAnsi" w:cs="Times New Roman"/>
                <w:szCs w:val="24"/>
                <w:lang w:val="lv-LV"/>
              </w:rPr>
            </w:pPr>
            <w:r>
              <w:rPr>
                <w:rFonts w:eastAsiaTheme="minorHAnsi" w:cs="Times New Roman"/>
                <w:szCs w:val="24"/>
              </w:rPr>
              <w:t>4 623 001</w:t>
            </w:r>
          </w:p>
        </w:tc>
        <w:tc>
          <w:tcPr>
            <w:tcW w:w="696" w:type="dxa"/>
            <w:shd w:val="clear" w:color="auto" w:fill="92D050"/>
            <w:vAlign w:val="center"/>
          </w:tcPr>
          <w:p w14:paraId="15E35653" w14:textId="77777777" w:rsidR="00FE12EF" w:rsidRPr="00CE0303" w:rsidRDefault="00FE12EF" w:rsidP="00FE12EF">
            <w:pPr>
              <w:spacing w:after="0"/>
              <w:jc w:val="center"/>
              <w:rPr>
                <w:rFonts w:eastAsiaTheme="minorHAnsi"/>
                <w:lang w:val="lv-LV"/>
              </w:rPr>
            </w:pPr>
            <w:r w:rsidRPr="00CE0303">
              <w:rPr>
                <w:rFonts w:eastAsiaTheme="minorHAnsi"/>
                <w:lang w:val="lv-LV"/>
              </w:rPr>
              <w:t>2024</w:t>
            </w:r>
          </w:p>
        </w:tc>
        <w:tc>
          <w:tcPr>
            <w:tcW w:w="1430" w:type="dxa"/>
            <w:vAlign w:val="center"/>
          </w:tcPr>
          <w:p w14:paraId="4D736AFE" w14:textId="4D3AAF60" w:rsidR="00FE12EF" w:rsidRPr="00CE0303" w:rsidRDefault="00514C20" w:rsidP="00747A65">
            <w:pPr>
              <w:spacing w:after="0"/>
              <w:jc w:val="center"/>
              <w:rPr>
                <w:rFonts w:eastAsiaTheme="minorHAnsi"/>
                <w:lang w:val="lv-LV"/>
              </w:rPr>
            </w:pPr>
            <w:r w:rsidRPr="00514C20">
              <w:rPr>
                <w:rFonts w:eastAsiaTheme="minorHAnsi" w:cs="Times New Roman"/>
                <w:szCs w:val="24"/>
                <w:lang w:val="lv-LV"/>
              </w:rPr>
              <w:t>3 324 344</w:t>
            </w:r>
          </w:p>
        </w:tc>
      </w:tr>
    </w:tbl>
    <w:p w14:paraId="4EE05655" w14:textId="77777777" w:rsidR="00574F69" w:rsidRPr="00CE0303" w:rsidRDefault="00574F69" w:rsidP="00574F69">
      <w:pPr>
        <w:spacing w:before="120"/>
        <w:ind w:firstLine="720"/>
        <w:rPr>
          <w:rFonts w:eastAsiaTheme="minorHAnsi"/>
          <w:szCs w:val="24"/>
          <w:lang w:val="lv-LV"/>
        </w:rPr>
      </w:pPr>
      <w:r>
        <w:rPr>
          <w:rFonts w:eastAsiaTheme="minorHAnsi"/>
          <w:szCs w:val="24"/>
          <w:lang w:val="lv-LV"/>
        </w:rPr>
        <w:lastRenderedPageBreak/>
        <w:t xml:space="preserve">FM identificējusi iespēju </w:t>
      </w:r>
      <w:r w:rsidRPr="00CE0303">
        <w:rPr>
          <w:rFonts w:eastAsiaTheme="minorHAnsi"/>
          <w:szCs w:val="24"/>
          <w:lang w:val="lv-LV"/>
        </w:rPr>
        <w:t>2022. gadā</w:t>
      </w:r>
      <w:r>
        <w:rPr>
          <w:rFonts w:eastAsiaTheme="minorHAnsi"/>
          <w:szCs w:val="24"/>
          <w:lang w:val="lv-LV"/>
        </w:rPr>
        <w:t xml:space="preserve"> samazināt plānotos pārcelšanās izdevumus 1</w:t>
      </w:r>
      <w:r w:rsidRPr="00CE0303">
        <w:rPr>
          <w:rFonts w:eastAsiaTheme="minorHAnsi"/>
          <w:szCs w:val="24"/>
          <w:lang w:val="lv-LV"/>
        </w:rPr>
        <w:t xml:space="preserve">46,0 tūkst. </w:t>
      </w:r>
      <w:r w:rsidRPr="00CE0303">
        <w:rPr>
          <w:rFonts w:eastAsiaTheme="minorHAnsi"/>
          <w:i/>
          <w:szCs w:val="24"/>
          <w:lang w:val="lv-LV"/>
        </w:rPr>
        <w:t>euro</w:t>
      </w:r>
      <w:r w:rsidRPr="00CE0303">
        <w:rPr>
          <w:rFonts w:eastAsiaTheme="minorHAnsi"/>
          <w:szCs w:val="24"/>
          <w:lang w:val="lv-LV"/>
        </w:rPr>
        <w:t xml:space="preserve"> apmērā, tajā skaitā valsts budžeta programmā 32.00.00 “Iepirkumu uzraudzības birojs” 120,0 tūkst. </w:t>
      </w:r>
      <w:r w:rsidRPr="00CE0303">
        <w:rPr>
          <w:rFonts w:eastAsiaTheme="minorHAnsi"/>
          <w:i/>
          <w:szCs w:val="24"/>
          <w:lang w:val="lv-LV"/>
        </w:rPr>
        <w:t>euro</w:t>
      </w:r>
      <w:r w:rsidRPr="00CE0303">
        <w:rPr>
          <w:rFonts w:eastAsiaTheme="minorHAnsi"/>
          <w:szCs w:val="24"/>
          <w:lang w:val="lv-LV"/>
        </w:rPr>
        <w:t xml:space="preserve">, valsts budžeta apakšprogrammā 39.02.00 “Izložu un azartspēļu organizēšanas un norises uzraudzība” 21,0 tūkst. </w:t>
      </w:r>
      <w:r w:rsidRPr="00CE0303">
        <w:rPr>
          <w:rFonts w:eastAsiaTheme="minorHAnsi"/>
          <w:i/>
          <w:szCs w:val="24"/>
          <w:lang w:val="lv-LV"/>
        </w:rPr>
        <w:t>euro</w:t>
      </w:r>
      <w:r w:rsidRPr="00CE0303">
        <w:rPr>
          <w:rFonts w:eastAsiaTheme="minorHAnsi"/>
          <w:szCs w:val="24"/>
          <w:lang w:val="lv-LV"/>
        </w:rPr>
        <w:t xml:space="preserve"> un valsts budžeta apakšprogrammā 31.01.00 “Budžeta izpilde” 5,0 tūkst. </w:t>
      </w:r>
      <w:r w:rsidRPr="00CE0303">
        <w:rPr>
          <w:rFonts w:eastAsiaTheme="minorHAnsi"/>
          <w:i/>
          <w:szCs w:val="24"/>
          <w:lang w:val="lv-LV"/>
        </w:rPr>
        <w:t>euro</w:t>
      </w:r>
      <w:r>
        <w:rPr>
          <w:rFonts w:eastAsiaTheme="minorHAnsi"/>
          <w:szCs w:val="24"/>
          <w:lang w:val="lv-LV"/>
        </w:rPr>
        <w:t xml:space="preserve"> s</w:t>
      </w:r>
      <w:r w:rsidRPr="00CE0303">
        <w:rPr>
          <w:rFonts w:eastAsiaTheme="minorHAnsi"/>
          <w:szCs w:val="24"/>
          <w:lang w:val="lv-LV"/>
        </w:rPr>
        <w:t>aistībā ar iepirkumu konkursa noslēgšanos bez rezultāta būvniecības darbu veikšanai Smilšu ielā 1, Rīgā (5.literis), būvniecības darbi kavēsies vismaz par 6 mēnešiem</w:t>
      </w:r>
      <w:r>
        <w:rPr>
          <w:rFonts w:eastAsiaTheme="minorHAnsi"/>
          <w:szCs w:val="24"/>
          <w:lang w:val="lv-LV"/>
        </w:rPr>
        <w:t>.</w:t>
      </w:r>
    </w:p>
    <w:tbl>
      <w:tblPr>
        <w:tblStyle w:val="TableGrid1"/>
        <w:tblW w:w="0" w:type="auto"/>
        <w:jc w:val="center"/>
        <w:tblLook w:val="04A0" w:firstRow="1" w:lastRow="0" w:firstColumn="1" w:lastColumn="0" w:noHBand="0" w:noVBand="1"/>
      </w:tblPr>
      <w:tblGrid>
        <w:gridCol w:w="709"/>
        <w:gridCol w:w="1413"/>
        <w:gridCol w:w="696"/>
        <w:gridCol w:w="1430"/>
        <w:gridCol w:w="696"/>
        <w:gridCol w:w="1430"/>
      </w:tblGrid>
      <w:tr w:rsidR="00574F69" w:rsidRPr="00CE0303" w14:paraId="7C60FDCD" w14:textId="77777777" w:rsidTr="002C24FA">
        <w:trPr>
          <w:jc w:val="center"/>
        </w:trPr>
        <w:tc>
          <w:tcPr>
            <w:tcW w:w="709" w:type="dxa"/>
            <w:shd w:val="clear" w:color="auto" w:fill="92D050"/>
            <w:vAlign w:val="center"/>
          </w:tcPr>
          <w:p w14:paraId="0F5CCFA0" w14:textId="77777777" w:rsidR="00574F69" w:rsidRPr="00CE0303" w:rsidRDefault="00574F69" w:rsidP="002C24FA">
            <w:pPr>
              <w:spacing w:after="0"/>
              <w:jc w:val="center"/>
              <w:rPr>
                <w:rFonts w:eastAsiaTheme="minorHAnsi"/>
                <w:lang w:val="lv-LV"/>
              </w:rPr>
            </w:pPr>
            <w:r w:rsidRPr="00CE0303">
              <w:rPr>
                <w:rFonts w:eastAsiaTheme="minorHAnsi"/>
                <w:lang w:val="lv-LV"/>
              </w:rPr>
              <w:t>2022</w:t>
            </w:r>
          </w:p>
        </w:tc>
        <w:tc>
          <w:tcPr>
            <w:tcW w:w="1413" w:type="dxa"/>
            <w:vAlign w:val="center"/>
          </w:tcPr>
          <w:p w14:paraId="7695F14F" w14:textId="77777777" w:rsidR="00574F69" w:rsidRPr="00CE0303" w:rsidRDefault="00574F69" w:rsidP="002C24FA">
            <w:pPr>
              <w:spacing w:after="0"/>
              <w:jc w:val="center"/>
              <w:rPr>
                <w:rFonts w:eastAsiaTheme="minorHAnsi"/>
                <w:lang w:val="lv-LV"/>
              </w:rPr>
            </w:pPr>
            <w:r w:rsidRPr="00CE0303">
              <w:rPr>
                <w:rFonts w:eastAsiaTheme="minorHAnsi"/>
                <w:szCs w:val="24"/>
                <w:lang w:val="lv-LV"/>
              </w:rPr>
              <w:t>146 000</w:t>
            </w:r>
          </w:p>
        </w:tc>
        <w:tc>
          <w:tcPr>
            <w:tcW w:w="696" w:type="dxa"/>
            <w:shd w:val="clear" w:color="auto" w:fill="92D050"/>
            <w:vAlign w:val="center"/>
          </w:tcPr>
          <w:p w14:paraId="715748C6" w14:textId="77777777" w:rsidR="00574F69" w:rsidRPr="00CE0303" w:rsidRDefault="00574F69" w:rsidP="002C24FA">
            <w:pPr>
              <w:spacing w:after="0"/>
              <w:jc w:val="center"/>
              <w:rPr>
                <w:rFonts w:eastAsiaTheme="minorHAnsi"/>
                <w:lang w:val="lv-LV"/>
              </w:rPr>
            </w:pPr>
            <w:r w:rsidRPr="00CE0303">
              <w:rPr>
                <w:rFonts w:eastAsiaTheme="minorHAnsi"/>
                <w:lang w:val="lv-LV"/>
              </w:rPr>
              <w:t>2023</w:t>
            </w:r>
          </w:p>
        </w:tc>
        <w:tc>
          <w:tcPr>
            <w:tcW w:w="1430" w:type="dxa"/>
            <w:vAlign w:val="center"/>
          </w:tcPr>
          <w:p w14:paraId="3C8FD57B" w14:textId="77777777" w:rsidR="00574F69" w:rsidRPr="00CE0303" w:rsidRDefault="00574F69" w:rsidP="002C24FA">
            <w:pPr>
              <w:spacing w:after="0"/>
              <w:jc w:val="center"/>
              <w:rPr>
                <w:rFonts w:eastAsiaTheme="minorHAnsi"/>
                <w:lang w:val="lv-LV"/>
              </w:rPr>
            </w:pPr>
            <w:r>
              <w:rPr>
                <w:rFonts w:eastAsiaTheme="minorHAnsi"/>
                <w:szCs w:val="24"/>
                <w:lang w:val="lv-LV"/>
              </w:rPr>
              <w:t>0</w:t>
            </w:r>
          </w:p>
        </w:tc>
        <w:tc>
          <w:tcPr>
            <w:tcW w:w="696" w:type="dxa"/>
            <w:shd w:val="clear" w:color="auto" w:fill="92D050"/>
            <w:vAlign w:val="center"/>
          </w:tcPr>
          <w:p w14:paraId="74FDABC4" w14:textId="77777777" w:rsidR="00574F69" w:rsidRPr="00CE0303" w:rsidRDefault="00574F69" w:rsidP="002C24FA">
            <w:pPr>
              <w:spacing w:after="0"/>
              <w:jc w:val="center"/>
              <w:rPr>
                <w:rFonts w:eastAsiaTheme="minorHAnsi"/>
                <w:lang w:val="lv-LV"/>
              </w:rPr>
            </w:pPr>
            <w:r w:rsidRPr="00CE0303">
              <w:rPr>
                <w:rFonts w:eastAsiaTheme="minorHAnsi"/>
                <w:lang w:val="lv-LV"/>
              </w:rPr>
              <w:t>2024</w:t>
            </w:r>
          </w:p>
        </w:tc>
        <w:tc>
          <w:tcPr>
            <w:tcW w:w="1430" w:type="dxa"/>
            <w:vAlign w:val="center"/>
          </w:tcPr>
          <w:p w14:paraId="42B38779" w14:textId="77777777" w:rsidR="00574F69" w:rsidRPr="00CE0303" w:rsidRDefault="00574F69" w:rsidP="002C24FA">
            <w:pPr>
              <w:spacing w:after="0"/>
              <w:jc w:val="center"/>
              <w:rPr>
                <w:rFonts w:eastAsiaTheme="minorHAnsi"/>
                <w:lang w:val="lv-LV"/>
              </w:rPr>
            </w:pPr>
            <w:r>
              <w:rPr>
                <w:rFonts w:eastAsiaTheme="minorHAnsi"/>
                <w:szCs w:val="24"/>
                <w:lang w:val="lv-LV"/>
              </w:rPr>
              <w:t>0</w:t>
            </w:r>
          </w:p>
        </w:tc>
      </w:tr>
    </w:tbl>
    <w:p w14:paraId="5AB22CC8" w14:textId="344D1F2E" w:rsidR="00CE0303" w:rsidRPr="00CE0303" w:rsidRDefault="00E56578" w:rsidP="00B55026">
      <w:pPr>
        <w:spacing w:before="120"/>
        <w:ind w:firstLine="720"/>
        <w:rPr>
          <w:rFonts w:eastAsia="Times New Roman" w:cs="Times New Roman"/>
          <w:szCs w:val="24"/>
          <w:lang w:val="lv-LV"/>
        </w:rPr>
      </w:pPr>
      <w:r>
        <w:rPr>
          <w:rFonts w:eastAsiaTheme="minorHAnsi" w:cs="Times New Roman"/>
          <w:szCs w:val="24"/>
          <w:lang w:val="lv-LV"/>
        </w:rPr>
        <w:t xml:space="preserve"> </w:t>
      </w:r>
      <w:r w:rsidR="00CE0303" w:rsidRPr="00CE0303">
        <w:rPr>
          <w:rFonts w:eastAsiaTheme="minorHAnsi" w:cs="Times New Roman"/>
          <w:szCs w:val="24"/>
          <w:lang w:val="lv-LV"/>
        </w:rPr>
        <w:t xml:space="preserve">Vienlaikus FM piedāvā novirzīt no izdevumu pārskatīšanā identificētajiem resursiem </w:t>
      </w:r>
      <w:r w:rsidR="00514C20" w:rsidRPr="00514C20">
        <w:rPr>
          <w:rFonts w:eastAsiaTheme="minorHAnsi" w:cs="Times New Roman"/>
          <w:szCs w:val="24"/>
          <w:lang w:val="lv-LV"/>
        </w:rPr>
        <w:t>2022.</w:t>
      </w:r>
      <w:r w:rsidR="00514C20">
        <w:rPr>
          <w:rFonts w:eastAsiaTheme="minorHAnsi" w:cs="Times New Roman"/>
          <w:szCs w:val="24"/>
          <w:lang w:val="lv-LV"/>
        </w:rPr>
        <w:t xml:space="preserve"> </w:t>
      </w:r>
      <w:r w:rsidR="00514C20" w:rsidRPr="00514C20">
        <w:rPr>
          <w:rFonts w:eastAsiaTheme="minorHAnsi" w:cs="Times New Roman"/>
          <w:szCs w:val="24"/>
          <w:lang w:val="lv-LV"/>
        </w:rPr>
        <w:t xml:space="preserve">gadā </w:t>
      </w:r>
      <w:r>
        <w:rPr>
          <w:rFonts w:eastAsiaTheme="minorHAnsi" w:cs="Times New Roman"/>
          <w:szCs w:val="24"/>
          <w:lang w:val="lv-LV"/>
        </w:rPr>
        <w:t>12 427 369</w:t>
      </w:r>
      <w:r w:rsidR="00747A65" w:rsidRPr="00747A65">
        <w:rPr>
          <w:rFonts w:eastAsiaTheme="minorHAnsi" w:cs="Times New Roman"/>
          <w:szCs w:val="24"/>
          <w:lang w:val="lv-LV"/>
        </w:rPr>
        <w:t xml:space="preserve"> </w:t>
      </w:r>
      <w:r w:rsidR="00514C20" w:rsidRPr="00514C20">
        <w:rPr>
          <w:rFonts w:eastAsiaTheme="minorHAnsi" w:cs="Times New Roman"/>
          <w:i/>
          <w:szCs w:val="24"/>
          <w:lang w:val="lv-LV"/>
        </w:rPr>
        <w:t>euro</w:t>
      </w:r>
      <w:r w:rsidR="00514C20" w:rsidRPr="00514C20">
        <w:rPr>
          <w:rFonts w:eastAsiaTheme="minorHAnsi" w:cs="Times New Roman"/>
          <w:szCs w:val="24"/>
          <w:lang w:val="lv-LV"/>
        </w:rPr>
        <w:t xml:space="preserve">, 2023. gadā </w:t>
      </w:r>
      <w:r w:rsidRPr="00E56578">
        <w:rPr>
          <w:rFonts w:eastAsiaTheme="minorHAnsi" w:cs="Times New Roman"/>
          <w:szCs w:val="24"/>
          <w:lang w:val="lv-LV"/>
        </w:rPr>
        <w:t xml:space="preserve">4 623 001 </w:t>
      </w:r>
      <w:r w:rsidR="00514C20" w:rsidRPr="00514C20">
        <w:rPr>
          <w:rFonts w:eastAsiaTheme="minorHAnsi" w:cs="Times New Roman"/>
          <w:i/>
          <w:szCs w:val="24"/>
          <w:lang w:val="lv-LV"/>
        </w:rPr>
        <w:t>euro</w:t>
      </w:r>
      <w:r w:rsidR="00514C20" w:rsidRPr="00514C20">
        <w:rPr>
          <w:rFonts w:eastAsiaTheme="minorHAnsi" w:cs="Times New Roman"/>
          <w:szCs w:val="24"/>
          <w:lang w:val="lv-LV"/>
        </w:rPr>
        <w:t xml:space="preserve"> un 2024. gadā </w:t>
      </w:r>
      <w:r w:rsidRPr="00E56578">
        <w:rPr>
          <w:rFonts w:eastAsiaTheme="minorHAnsi" w:cs="Times New Roman"/>
          <w:szCs w:val="24"/>
          <w:lang w:val="lv-LV"/>
        </w:rPr>
        <w:t>3 324</w:t>
      </w:r>
      <w:r>
        <w:rPr>
          <w:rFonts w:eastAsiaTheme="minorHAnsi" w:cs="Times New Roman"/>
          <w:szCs w:val="24"/>
          <w:lang w:val="lv-LV"/>
        </w:rPr>
        <w:t> </w:t>
      </w:r>
      <w:r w:rsidRPr="00E56578">
        <w:rPr>
          <w:rFonts w:eastAsiaTheme="minorHAnsi" w:cs="Times New Roman"/>
          <w:szCs w:val="24"/>
          <w:lang w:val="lv-LV"/>
        </w:rPr>
        <w:t>344</w:t>
      </w:r>
      <w:r>
        <w:rPr>
          <w:rFonts w:eastAsiaTheme="minorHAnsi" w:cs="Times New Roman"/>
          <w:szCs w:val="24"/>
          <w:lang w:val="lv-LV"/>
        </w:rPr>
        <w:t xml:space="preserve"> </w:t>
      </w:r>
      <w:r w:rsidR="00514C20" w:rsidRPr="00514C20">
        <w:rPr>
          <w:rFonts w:eastAsiaTheme="minorHAnsi" w:cs="Times New Roman"/>
          <w:i/>
          <w:szCs w:val="24"/>
          <w:lang w:val="lv-LV"/>
        </w:rPr>
        <w:t>euro</w:t>
      </w:r>
      <w:r w:rsidR="00B55026">
        <w:rPr>
          <w:rFonts w:eastAsiaTheme="minorHAnsi" w:cs="Times New Roman"/>
          <w:szCs w:val="24"/>
          <w:lang w:val="lv-LV"/>
        </w:rPr>
        <w:t>,</w:t>
      </w:r>
      <w:r w:rsidR="00B55026" w:rsidRPr="00B63E72">
        <w:rPr>
          <w:rFonts w:cs="Times New Roman"/>
        </w:rPr>
        <w:t xml:space="preserve"> </w:t>
      </w:r>
      <w:r w:rsidR="00B55026" w:rsidRPr="00B55026">
        <w:rPr>
          <w:rFonts w:cs="Times New Roman"/>
          <w:lang w:val="lv-LV"/>
        </w:rPr>
        <w:t>šādu pasākumu īstenošanai:</w:t>
      </w:r>
    </w:p>
    <w:p w14:paraId="129EAA23" w14:textId="4944CE41" w:rsidR="00B55026" w:rsidRPr="00B55026" w:rsidRDefault="00B55026" w:rsidP="004C1C06">
      <w:pPr>
        <w:numPr>
          <w:ilvl w:val="0"/>
          <w:numId w:val="51"/>
        </w:numPr>
        <w:spacing w:before="120"/>
        <w:rPr>
          <w:rFonts w:eastAsiaTheme="minorHAnsi" w:cs="Times New Roman"/>
          <w:szCs w:val="24"/>
          <w:lang w:val="lv-LV"/>
        </w:rPr>
      </w:pPr>
      <w:r w:rsidRPr="00B55026">
        <w:rPr>
          <w:rFonts w:eastAsiaTheme="minorHAnsi" w:cs="Times New Roman"/>
          <w:iCs/>
          <w:szCs w:val="24"/>
          <w:lang w:val="lv-LV"/>
        </w:rPr>
        <w:t xml:space="preserve">budžeta programmā 32.00.00 “Iepirkumu uzraudzības birojs” </w:t>
      </w:r>
      <w:r w:rsidRPr="00B55026">
        <w:rPr>
          <w:rFonts w:eastAsiaTheme="minorHAnsi" w:cs="Times New Roman"/>
          <w:szCs w:val="24"/>
          <w:lang w:val="lv-LV"/>
        </w:rPr>
        <w:t xml:space="preserve">2023. gadā  215 289 </w:t>
      </w:r>
      <w:r w:rsidRPr="00B55026">
        <w:rPr>
          <w:rFonts w:eastAsiaTheme="minorHAnsi" w:cs="Times New Roman"/>
          <w:i/>
          <w:szCs w:val="24"/>
          <w:lang w:val="lv-LV"/>
        </w:rPr>
        <w:t>euro</w:t>
      </w:r>
      <w:r w:rsidRPr="00B55026">
        <w:rPr>
          <w:rFonts w:eastAsiaTheme="minorHAnsi" w:cs="Times New Roman"/>
          <w:szCs w:val="24"/>
          <w:lang w:val="lv-LV"/>
        </w:rPr>
        <w:t xml:space="preserve">, 2024. gadā un turpmāk ik gadu 29 416 </w:t>
      </w:r>
      <w:r w:rsidRPr="00B55026">
        <w:rPr>
          <w:rFonts w:eastAsiaTheme="minorHAnsi" w:cs="Times New Roman"/>
          <w:i/>
          <w:szCs w:val="24"/>
          <w:lang w:val="lv-LV"/>
        </w:rPr>
        <w:t>euro</w:t>
      </w:r>
      <w:r w:rsidRPr="00B55026">
        <w:rPr>
          <w:rFonts w:eastAsiaTheme="minorHAnsi" w:cs="Times New Roman"/>
          <w:iCs/>
          <w:szCs w:val="24"/>
          <w:lang w:val="lv-LV"/>
        </w:rPr>
        <w:t>,</w:t>
      </w:r>
      <w:r w:rsidRPr="00B55026">
        <w:rPr>
          <w:rFonts w:eastAsiaTheme="minorHAnsi" w:cs="Times New Roman"/>
          <w:szCs w:val="24"/>
          <w:lang w:val="lv-LV"/>
        </w:rPr>
        <w:t xml:space="preserve"> budžeta apakšprogrammā 39.02.00 “Izložu un azartspēļu organizēšanas un norises uzraudzība”  2023.</w:t>
      </w:r>
      <w:r>
        <w:rPr>
          <w:rFonts w:eastAsiaTheme="minorHAnsi" w:cs="Times New Roman"/>
          <w:szCs w:val="24"/>
          <w:lang w:val="lv-LV"/>
        </w:rPr>
        <w:t xml:space="preserve"> </w:t>
      </w:r>
      <w:r w:rsidRPr="00B55026">
        <w:rPr>
          <w:rFonts w:eastAsiaTheme="minorHAnsi" w:cs="Times New Roman"/>
          <w:szCs w:val="24"/>
          <w:lang w:val="lv-LV"/>
        </w:rPr>
        <w:t xml:space="preserve">gadā 104 535 </w:t>
      </w:r>
      <w:r w:rsidRPr="00B55026">
        <w:rPr>
          <w:rFonts w:eastAsiaTheme="minorHAnsi" w:cs="Times New Roman"/>
          <w:i/>
          <w:szCs w:val="24"/>
          <w:lang w:val="lv-LV"/>
        </w:rPr>
        <w:t>euro</w:t>
      </w:r>
      <w:r w:rsidRPr="00B55026">
        <w:rPr>
          <w:rFonts w:eastAsiaTheme="minorHAnsi" w:cs="Times New Roman"/>
          <w:szCs w:val="24"/>
          <w:lang w:val="lv-LV"/>
        </w:rPr>
        <w:t>, 2024.</w:t>
      </w:r>
      <w:r w:rsidR="00566C92">
        <w:rPr>
          <w:rFonts w:eastAsiaTheme="minorHAnsi" w:cs="Times New Roman"/>
          <w:szCs w:val="24"/>
          <w:lang w:val="lv-LV"/>
        </w:rPr>
        <w:t xml:space="preserve"> </w:t>
      </w:r>
      <w:r w:rsidRPr="00B55026">
        <w:rPr>
          <w:rFonts w:eastAsiaTheme="minorHAnsi" w:cs="Times New Roman"/>
          <w:szCs w:val="24"/>
          <w:lang w:val="lv-LV"/>
        </w:rPr>
        <w:t xml:space="preserve">gadā 11 035 </w:t>
      </w:r>
      <w:r w:rsidRPr="00B55026">
        <w:rPr>
          <w:rFonts w:eastAsiaTheme="minorHAnsi" w:cs="Times New Roman"/>
          <w:i/>
          <w:szCs w:val="24"/>
          <w:lang w:val="lv-LV"/>
        </w:rPr>
        <w:t>euro</w:t>
      </w:r>
      <w:r w:rsidRPr="00B55026">
        <w:rPr>
          <w:rFonts w:eastAsiaTheme="minorHAnsi" w:cs="Times New Roman"/>
          <w:szCs w:val="24"/>
          <w:lang w:val="lv-LV"/>
        </w:rPr>
        <w:t xml:space="preserve">, budžeta apakšprogrammā 31.01.00 “Budžeta izpilde” 2023.gadā 5 000 </w:t>
      </w:r>
      <w:r w:rsidRPr="00B55026">
        <w:rPr>
          <w:rFonts w:eastAsiaTheme="minorHAnsi" w:cs="Times New Roman"/>
          <w:i/>
          <w:iCs/>
          <w:szCs w:val="24"/>
          <w:lang w:val="lv-LV"/>
        </w:rPr>
        <w:t>euro,</w:t>
      </w:r>
      <w:r w:rsidRPr="00B55026">
        <w:rPr>
          <w:rFonts w:eastAsiaTheme="minorHAnsi"/>
          <w:szCs w:val="24"/>
          <w:lang w:val="lv-LV"/>
        </w:rPr>
        <w:t xml:space="preserve"> </w:t>
      </w:r>
      <w:r w:rsidRPr="00B55026">
        <w:rPr>
          <w:rFonts w:eastAsiaTheme="minorHAnsi" w:cs="Times New Roman"/>
          <w:iCs/>
          <w:szCs w:val="24"/>
          <w:lang w:val="lv-LV"/>
        </w:rPr>
        <w:t>budžeta programmā 97.00.00 “Nozares vadība</w:t>
      </w:r>
      <w:r w:rsidR="0039676E" w:rsidRPr="0039676E">
        <w:rPr>
          <w:lang w:val="lv-LV"/>
        </w:rPr>
        <w:t xml:space="preserve"> un politikas plānošana</w:t>
      </w:r>
      <w:r w:rsidRPr="00B55026">
        <w:rPr>
          <w:rFonts w:eastAsiaTheme="minorHAnsi" w:cs="Times New Roman"/>
          <w:iCs/>
          <w:szCs w:val="24"/>
          <w:lang w:val="lv-LV"/>
        </w:rPr>
        <w:t>”</w:t>
      </w:r>
      <w:r w:rsidRPr="00B55026">
        <w:rPr>
          <w:rFonts w:eastAsiaTheme="minorHAnsi" w:cs="Times New Roman"/>
          <w:i/>
          <w:iCs/>
          <w:szCs w:val="24"/>
          <w:lang w:val="lv-LV"/>
        </w:rPr>
        <w:t xml:space="preserve"> </w:t>
      </w:r>
      <w:r w:rsidRPr="00B55026">
        <w:rPr>
          <w:rFonts w:eastAsiaTheme="minorHAnsi" w:cs="Times New Roman"/>
          <w:iCs/>
          <w:szCs w:val="24"/>
          <w:lang w:val="lv-LV"/>
        </w:rPr>
        <w:t>2023.</w:t>
      </w:r>
      <w:r>
        <w:rPr>
          <w:rFonts w:eastAsiaTheme="minorHAnsi" w:cs="Times New Roman"/>
          <w:iCs/>
          <w:szCs w:val="24"/>
          <w:lang w:val="lv-LV"/>
        </w:rPr>
        <w:t xml:space="preserve"> </w:t>
      </w:r>
      <w:r w:rsidRPr="00B55026">
        <w:rPr>
          <w:rFonts w:eastAsiaTheme="minorHAnsi" w:cs="Times New Roman"/>
          <w:iCs/>
          <w:szCs w:val="24"/>
          <w:lang w:val="lv-LV"/>
        </w:rPr>
        <w:t xml:space="preserve">gadā 221 882 </w:t>
      </w:r>
      <w:r w:rsidRPr="00B55026">
        <w:rPr>
          <w:rFonts w:eastAsiaTheme="minorHAnsi" w:cs="Times New Roman"/>
          <w:i/>
          <w:iCs/>
          <w:szCs w:val="24"/>
          <w:lang w:val="lv-LV"/>
        </w:rPr>
        <w:t xml:space="preserve">euro </w:t>
      </w:r>
      <w:r w:rsidRPr="00B55026">
        <w:rPr>
          <w:rFonts w:eastAsiaTheme="minorHAnsi" w:cs="Times New Roman"/>
          <w:szCs w:val="24"/>
          <w:lang w:val="lv-LV"/>
        </w:rPr>
        <w:t xml:space="preserve">telpu iekārtošanas un nomas maksas pieauguma segšanai, pārejot uz telpām Smilšu ielā 1, Rīgā (Lit.005), lai nodrošinātu iespēju izmantot </w:t>
      </w:r>
      <w:r>
        <w:rPr>
          <w:rFonts w:eastAsiaTheme="minorHAnsi" w:cs="Times New Roman"/>
          <w:szCs w:val="24"/>
          <w:lang w:val="lv-LV"/>
        </w:rPr>
        <w:t>FM</w:t>
      </w:r>
      <w:r w:rsidRPr="00B55026">
        <w:rPr>
          <w:rFonts w:eastAsiaTheme="minorHAnsi" w:cs="Times New Roman"/>
          <w:szCs w:val="24"/>
          <w:lang w:val="lv-LV"/>
        </w:rPr>
        <w:t xml:space="preserve"> resorā pieejamos resursus (sanāksmju telpu pieejamība, atsevišķu IKT risinājumu centralizēta izmantošana, lietvedības pakalpojuma centralizēšana)</w:t>
      </w:r>
      <w:r>
        <w:rPr>
          <w:rFonts w:eastAsiaTheme="minorHAnsi" w:cs="Times New Roman"/>
          <w:szCs w:val="24"/>
          <w:lang w:val="lv-LV"/>
        </w:rPr>
        <w:t>;</w:t>
      </w:r>
    </w:p>
    <w:p w14:paraId="34AD88FA" w14:textId="330C23A9" w:rsidR="00B55026" w:rsidRPr="00B55026" w:rsidRDefault="00B55026" w:rsidP="004C1C06">
      <w:pPr>
        <w:numPr>
          <w:ilvl w:val="0"/>
          <w:numId w:val="51"/>
        </w:numPr>
        <w:spacing w:before="120"/>
        <w:rPr>
          <w:rFonts w:eastAsiaTheme="minorHAnsi" w:cs="Times New Roman"/>
          <w:szCs w:val="24"/>
          <w:lang w:val="lv-LV"/>
        </w:rPr>
      </w:pPr>
      <w:r w:rsidRPr="00B55026">
        <w:rPr>
          <w:rFonts w:eastAsiaTheme="minorHAnsi" w:cs="Times New Roman"/>
          <w:szCs w:val="24"/>
          <w:lang w:val="lv-LV"/>
        </w:rPr>
        <w:t>budžeta programmā 33.00.00 “Valsts ieņēmumu un muitas politikas nodrošināšana” E-rēķinu sistēmas ieviešanai 2022.</w:t>
      </w:r>
      <w:r>
        <w:rPr>
          <w:rFonts w:eastAsiaTheme="minorHAnsi" w:cs="Times New Roman"/>
          <w:szCs w:val="24"/>
          <w:lang w:val="lv-LV"/>
        </w:rPr>
        <w:t xml:space="preserve"> </w:t>
      </w:r>
      <w:r w:rsidRPr="00B55026">
        <w:rPr>
          <w:rFonts w:eastAsiaTheme="minorHAnsi" w:cs="Times New Roman"/>
          <w:szCs w:val="24"/>
          <w:lang w:val="lv-LV"/>
        </w:rPr>
        <w:t xml:space="preserve">gadā </w:t>
      </w:r>
      <w:r w:rsidR="0097325F">
        <w:rPr>
          <w:rFonts w:eastAsiaTheme="minorHAnsi" w:cs="Times New Roman"/>
          <w:szCs w:val="24"/>
          <w:lang w:val="lv-LV"/>
        </w:rPr>
        <w:t>4</w:t>
      </w:r>
      <w:r w:rsidR="0097325F" w:rsidRPr="0097325F">
        <w:rPr>
          <w:rFonts w:eastAsiaTheme="minorHAnsi" w:cs="Times New Roman"/>
          <w:szCs w:val="24"/>
          <w:lang w:val="lv-LV"/>
        </w:rPr>
        <w:t xml:space="preserve">4 576 </w:t>
      </w:r>
      <w:r w:rsidR="0097325F" w:rsidRPr="0097325F">
        <w:rPr>
          <w:rFonts w:eastAsiaTheme="minorHAnsi" w:cs="Times New Roman"/>
          <w:i/>
          <w:szCs w:val="24"/>
          <w:lang w:val="lv-LV"/>
        </w:rPr>
        <w:t>euro</w:t>
      </w:r>
      <w:r w:rsidR="0097325F" w:rsidRPr="0097325F">
        <w:rPr>
          <w:rFonts w:eastAsiaTheme="minorHAnsi" w:cs="Times New Roman"/>
          <w:szCs w:val="24"/>
          <w:lang w:val="lv-LV"/>
        </w:rPr>
        <w:t>, 2023.</w:t>
      </w:r>
      <w:r w:rsidR="0097325F">
        <w:rPr>
          <w:rFonts w:eastAsiaTheme="minorHAnsi" w:cs="Times New Roman"/>
          <w:szCs w:val="24"/>
          <w:lang w:val="lv-LV"/>
        </w:rPr>
        <w:t xml:space="preserve"> </w:t>
      </w:r>
      <w:r w:rsidR="0097325F" w:rsidRPr="0097325F">
        <w:rPr>
          <w:rFonts w:eastAsiaTheme="minorHAnsi" w:cs="Times New Roman"/>
          <w:szCs w:val="24"/>
          <w:lang w:val="lv-LV"/>
        </w:rPr>
        <w:t xml:space="preserve">gadā </w:t>
      </w:r>
      <w:r w:rsidR="0039676E" w:rsidRPr="0039676E">
        <w:rPr>
          <w:lang w:val="lv-LV"/>
        </w:rPr>
        <w:t xml:space="preserve">69 474 </w:t>
      </w:r>
      <w:r w:rsidR="0097325F" w:rsidRPr="0097325F">
        <w:rPr>
          <w:rFonts w:eastAsiaTheme="minorHAnsi" w:cs="Times New Roman"/>
          <w:i/>
          <w:szCs w:val="24"/>
          <w:lang w:val="lv-LV"/>
        </w:rPr>
        <w:t>euro</w:t>
      </w:r>
      <w:r w:rsidR="0039676E">
        <w:rPr>
          <w:rFonts w:eastAsiaTheme="minorHAnsi" w:cs="Times New Roman"/>
          <w:szCs w:val="24"/>
          <w:lang w:val="lv-LV"/>
        </w:rPr>
        <w:t xml:space="preserve"> un </w:t>
      </w:r>
      <w:r w:rsidR="0039676E" w:rsidRPr="0039676E">
        <w:rPr>
          <w:lang w:val="lv-LV"/>
        </w:rPr>
        <w:t xml:space="preserve">2024. </w:t>
      </w:r>
      <w:r w:rsidR="0039676E">
        <w:rPr>
          <w:lang w:val="lv-LV"/>
        </w:rPr>
        <w:t xml:space="preserve">gadā 68 385 </w:t>
      </w:r>
      <w:r w:rsidR="0039676E" w:rsidRPr="0039676E">
        <w:rPr>
          <w:i/>
          <w:lang w:val="lv-LV"/>
        </w:rPr>
        <w:t>euro</w:t>
      </w:r>
      <w:r w:rsidR="0039676E" w:rsidRPr="0039676E">
        <w:rPr>
          <w:lang w:val="lv-LV"/>
        </w:rPr>
        <w:t>;</w:t>
      </w:r>
    </w:p>
    <w:p w14:paraId="4ACD5073" w14:textId="7C79ED51" w:rsidR="00B55026" w:rsidRPr="00B55026" w:rsidRDefault="00B55026" w:rsidP="004C1C06">
      <w:pPr>
        <w:numPr>
          <w:ilvl w:val="0"/>
          <w:numId w:val="51"/>
        </w:numPr>
        <w:spacing w:before="120"/>
        <w:rPr>
          <w:rFonts w:eastAsiaTheme="minorHAnsi" w:cs="Times New Roman"/>
          <w:szCs w:val="24"/>
          <w:lang w:val="lv-LV"/>
        </w:rPr>
      </w:pPr>
      <w:r w:rsidRPr="00B55026">
        <w:rPr>
          <w:rFonts w:eastAsiaTheme="minorHAnsi" w:cs="Times New Roman"/>
          <w:szCs w:val="24"/>
          <w:lang w:val="lv-LV"/>
        </w:rPr>
        <w:t xml:space="preserve">budžeta programmā </w:t>
      </w:r>
      <w:r w:rsidRPr="00B55026">
        <w:rPr>
          <w:rFonts w:eastAsiaTheme="minorHAnsi" w:cs="Times New Roman"/>
          <w:iCs/>
          <w:szCs w:val="24"/>
          <w:lang w:val="lv-LV"/>
        </w:rPr>
        <w:t>32.00.00 “Iepirkumu uzraudzības birojs”</w:t>
      </w:r>
      <w:r w:rsidRPr="00B55026">
        <w:rPr>
          <w:rFonts w:eastAsiaTheme="minorHAnsi" w:cs="Times New Roman"/>
          <w:szCs w:val="24"/>
          <w:lang w:val="lv-LV"/>
        </w:rPr>
        <w:t xml:space="preserve"> </w:t>
      </w:r>
      <w:r>
        <w:rPr>
          <w:rFonts w:eastAsiaTheme="minorHAnsi" w:cs="Times New Roman"/>
          <w:szCs w:val="24"/>
          <w:lang w:val="lv-LV"/>
        </w:rPr>
        <w:t>IUB</w:t>
      </w:r>
      <w:r w:rsidRPr="00B55026">
        <w:rPr>
          <w:rFonts w:eastAsiaTheme="minorHAnsi" w:cs="Times New Roman"/>
          <w:szCs w:val="24"/>
          <w:lang w:val="lv-LV"/>
        </w:rPr>
        <w:t xml:space="preserve"> attīstības stratēģiskajai vadībai 2022.</w:t>
      </w:r>
      <w:r>
        <w:rPr>
          <w:rFonts w:eastAsiaTheme="minorHAnsi" w:cs="Times New Roman"/>
          <w:szCs w:val="24"/>
          <w:lang w:val="lv-LV"/>
        </w:rPr>
        <w:t xml:space="preserve"> </w:t>
      </w:r>
      <w:r w:rsidRPr="00B55026">
        <w:rPr>
          <w:rFonts w:eastAsiaTheme="minorHAnsi" w:cs="Times New Roman"/>
          <w:szCs w:val="24"/>
          <w:lang w:val="lv-LV"/>
        </w:rPr>
        <w:t xml:space="preserve">gadā 225 370 </w:t>
      </w:r>
      <w:r w:rsidRPr="00B55026">
        <w:rPr>
          <w:rFonts w:eastAsiaTheme="minorHAnsi" w:cs="Times New Roman"/>
          <w:i/>
          <w:szCs w:val="24"/>
          <w:lang w:val="lv-LV"/>
        </w:rPr>
        <w:t>euro</w:t>
      </w:r>
      <w:r w:rsidRPr="00B55026">
        <w:rPr>
          <w:rFonts w:eastAsiaTheme="minorHAnsi" w:cs="Times New Roman"/>
          <w:szCs w:val="24"/>
          <w:lang w:val="lv-LV"/>
        </w:rPr>
        <w:t xml:space="preserve">, 2023. un </w:t>
      </w:r>
      <w:r w:rsidR="0039676E" w:rsidRPr="0039676E">
        <w:rPr>
          <w:rFonts w:eastAsiaTheme="minorHAnsi" w:cs="Times New Roman"/>
          <w:szCs w:val="24"/>
          <w:lang w:val="lv-LV"/>
        </w:rPr>
        <w:t xml:space="preserve">2024. gadā </w:t>
      </w:r>
      <w:r w:rsidRPr="00B55026">
        <w:rPr>
          <w:rFonts w:eastAsiaTheme="minorHAnsi" w:cs="Times New Roman"/>
          <w:szCs w:val="24"/>
          <w:lang w:val="lv-LV"/>
        </w:rPr>
        <w:t xml:space="preserve">223 000 </w:t>
      </w:r>
      <w:r w:rsidRPr="00B55026">
        <w:rPr>
          <w:rFonts w:eastAsiaTheme="minorHAnsi" w:cs="Times New Roman"/>
          <w:i/>
          <w:szCs w:val="24"/>
          <w:lang w:val="lv-LV"/>
        </w:rPr>
        <w:t>euro</w:t>
      </w:r>
      <w:r w:rsidRPr="00B55026">
        <w:rPr>
          <w:rFonts w:eastAsiaTheme="minorHAnsi" w:cs="Times New Roman"/>
          <w:szCs w:val="24"/>
          <w:lang w:val="lv-LV"/>
        </w:rPr>
        <w:t>;</w:t>
      </w:r>
    </w:p>
    <w:p w14:paraId="699105CB" w14:textId="1E2CA109" w:rsidR="00B55026" w:rsidRPr="00B55026" w:rsidRDefault="00B55026" w:rsidP="004C1C06">
      <w:pPr>
        <w:numPr>
          <w:ilvl w:val="0"/>
          <w:numId w:val="51"/>
        </w:numPr>
        <w:spacing w:before="120"/>
        <w:rPr>
          <w:rFonts w:eastAsiaTheme="minorHAnsi" w:cs="Times New Roman"/>
          <w:szCs w:val="24"/>
          <w:lang w:val="lv-LV"/>
        </w:rPr>
      </w:pPr>
      <w:r w:rsidRPr="00B55026">
        <w:rPr>
          <w:rFonts w:eastAsiaTheme="minorHAnsi" w:cs="Times New Roman"/>
          <w:szCs w:val="24"/>
          <w:lang w:val="lv-LV"/>
        </w:rPr>
        <w:t xml:space="preserve">budžeta programmā 97.00.00 “Nozares vadība” </w:t>
      </w:r>
      <w:r>
        <w:rPr>
          <w:rFonts w:eastAsiaTheme="minorHAnsi" w:cs="Times New Roman"/>
          <w:szCs w:val="24"/>
          <w:lang w:val="lv-LV"/>
        </w:rPr>
        <w:t>FM</w:t>
      </w:r>
      <w:r w:rsidRPr="00B55026">
        <w:rPr>
          <w:rFonts w:eastAsiaTheme="minorHAnsi" w:cs="Times New Roman"/>
          <w:szCs w:val="24"/>
          <w:lang w:val="lv-LV"/>
        </w:rPr>
        <w:t xml:space="preserve"> kapacitātes stiprināšanai stratēģisko uzdevumu izpildei un konkurētspējīga atalgojuma nodrošināšanai, efektīvas komercdarbības atbalsta kontroles funkcijas nodrošināšanai valsts un pašvaldību budžetiem finansētiem pasākumiem</w:t>
      </w:r>
      <w:r w:rsidR="007F2061">
        <w:rPr>
          <w:rFonts w:eastAsiaTheme="minorHAnsi" w:cs="Times New Roman"/>
          <w:szCs w:val="24"/>
          <w:lang w:val="lv-LV"/>
        </w:rPr>
        <w:t>,</w:t>
      </w:r>
      <w:r w:rsidR="007F2061" w:rsidRPr="007F2061">
        <w:rPr>
          <w:lang w:val="lv-LV"/>
        </w:rPr>
        <w:t xml:space="preserve"> izmaiņu azartspēļu un izložu jomā ieviešanai</w:t>
      </w:r>
      <w:r w:rsidRPr="00B55026">
        <w:rPr>
          <w:rFonts w:eastAsiaTheme="minorHAnsi" w:cs="Times New Roman"/>
          <w:szCs w:val="24"/>
          <w:lang w:val="lv-LV"/>
        </w:rPr>
        <w:t xml:space="preserve"> </w:t>
      </w:r>
      <w:r w:rsidR="00514C20" w:rsidRPr="00514C20">
        <w:rPr>
          <w:rFonts w:eastAsiaTheme="minorHAnsi" w:cs="Times New Roman"/>
          <w:szCs w:val="24"/>
          <w:lang w:val="lv-LV"/>
        </w:rPr>
        <w:t xml:space="preserve">2022. gadā 814 106 </w:t>
      </w:r>
      <w:r w:rsidR="00514C20" w:rsidRPr="00514C20">
        <w:rPr>
          <w:rFonts w:eastAsiaTheme="minorHAnsi" w:cs="Times New Roman"/>
          <w:i/>
          <w:szCs w:val="24"/>
          <w:lang w:val="lv-LV"/>
        </w:rPr>
        <w:t>euro</w:t>
      </w:r>
      <w:r w:rsidR="00514C20" w:rsidRPr="00514C20">
        <w:rPr>
          <w:rFonts w:eastAsiaTheme="minorHAnsi" w:cs="Times New Roman"/>
          <w:szCs w:val="24"/>
          <w:lang w:val="lv-LV"/>
        </w:rPr>
        <w:t xml:space="preserve">, 2023. un 2024. gadā 810 622 </w:t>
      </w:r>
      <w:r w:rsidR="00514C20" w:rsidRPr="00514C20">
        <w:rPr>
          <w:rFonts w:eastAsiaTheme="minorHAnsi" w:cs="Times New Roman"/>
          <w:i/>
          <w:szCs w:val="24"/>
          <w:lang w:val="lv-LV"/>
        </w:rPr>
        <w:t>euro</w:t>
      </w:r>
      <w:r w:rsidRPr="00B55026">
        <w:rPr>
          <w:rFonts w:eastAsiaTheme="minorHAnsi" w:cs="Times New Roman"/>
          <w:szCs w:val="24"/>
          <w:lang w:val="lv-LV"/>
        </w:rPr>
        <w:t>;</w:t>
      </w:r>
    </w:p>
    <w:p w14:paraId="5C2BDA48" w14:textId="5E89A096" w:rsidR="0039676E" w:rsidRPr="00E56578" w:rsidRDefault="00B55026" w:rsidP="00E56578">
      <w:pPr>
        <w:numPr>
          <w:ilvl w:val="0"/>
          <w:numId w:val="51"/>
        </w:numPr>
        <w:spacing w:before="120"/>
        <w:rPr>
          <w:rFonts w:eastAsiaTheme="minorHAnsi" w:cs="Times New Roman"/>
          <w:szCs w:val="24"/>
        </w:rPr>
      </w:pPr>
      <w:r w:rsidRPr="0039676E">
        <w:rPr>
          <w:rFonts w:eastAsiaTheme="minorHAnsi" w:cs="Times New Roman"/>
          <w:szCs w:val="24"/>
          <w:lang w:val="lv-LV"/>
        </w:rPr>
        <w:t xml:space="preserve">budžeta apakšprogrammā 41.13.00 “Finansējums VAS “Valsts nekustamie īpašumi” īstenojamiem projektiem un pasākumiem” 2022. gadā 3 200 000 </w:t>
      </w:r>
      <w:r w:rsidRPr="0039676E">
        <w:rPr>
          <w:rFonts w:eastAsiaTheme="minorHAnsi" w:cs="Times New Roman"/>
          <w:i/>
          <w:szCs w:val="24"/>
          <w:lang w:val="lv-LV"/>
        </w:rPr>
        <w:t xml:space="preserve">euro </w:t>
      </w:r>
      <w:r w:rsidRPr="0039676E">
        <w:rPr>
          <w:rFonts w:eastAsiaTheme="minorHAnsi"/>
          <w:szCs w:val="24"/>
          <w:lang w:val="lv-LV"/>
        </w:rPr>
        <w:t>VNĪ (ēku) rem</w:t>
      </w:r>
      <w:r w:rsidR="0039676E">
        <w:rPr>
          <w:rFonts w:eastAsiaTheme="minorHAnsi"/>
          <w:szCs w:val="24"/>
          <w:lang w:val="lv-LV"/>
        </w:rPr>
        <w:t xml:space="preserve">ontdarbu veikšanai, tai skaitā, </w:t>
      </w:r>
      <w:r w:rsidRPr="0039676E">
        <w:rPr>
          <w:rFonts w:eastAsiaTheme="minorHAnsi" w:cs="Times New Roman"/>
          <w:szCs w:val="24"/>
          <w:lang w:val="lv-LV"/>
        </w:rPr>
        <w:t>Jaunā Rīgas teātra ēkas Lāčplēša ielā 25, Rīgā, rekonstrukcijas izdevumu segšanai</w:t>
      </w:r>
      <w:r w:rsidR="0039676E">
        <w:rPr>
          <w:rFonts w:eastAsiaTheme="minorHAnsi" w:cs="Times New Roman"/>
          <w:szCs w:val="24"/>
          <w:lang w:val="lv-LV"/>
        </w:rPr>
        <w:t xml:space="preserve"> (1,3 milj. </w:t>
      </w:r>
      <w:r w:rsidR="0039676E" w:rsidRPr="0039676E">
        <w:rPr>
          <w:rFonts w:eastAsiaTheme="minorHAnsi" w:cs="Times New Roman"/>
          <w:i/>
          <w:szCs w:val="24"/>
          <w:lang w:val="lv-LV"/>
        </w:rPr>
        <w:t>euro</w:t>
      </w:r>
      <w:r w:rsidR="0039676E">
        <w:rPr>
          <w:rFonts w:eastAsiaTheme="minorHAnsi" w:cs="Times New Roman"/>
          <w:szCs w:val="24"/>
          <w:lang w:val="lv-LV"/>
        </w:rPr>
        <w:t>)</w:t>
      </w:r>
      <w:r w:rsidR="0039676E" w:rsidRPr="0039676E">
        <w:rPr>
          <w:lang w:val="lv-LV"/>
        </w:rPr>
        <w:t xml:space="preserve"> </w:t>
      </w:r>
      <w:r w:rsidR="0039676E">
        <w:rPr>
          <w:lang w:val="lv-LV"/>
        </w:rPr>
        <w:t xml:space="preserve">un </w:t>
      </w:r>
      <w:r w:rsidR="0039676E" w:rsidRPr="0039676E">
        <w:rPr>
          <w:rFonts w:eastAsiaTheme="minorHAnsi" w:cs="Times New Roman"/>
          <w:szCs w:val="24"/>
          <w:lang w:val="lv-LV"/>
        </w:rPr>
        <w:t xml:space="preserve">ēkas pielāgošanai Latvijas Proves biroja valsts deleģētās funkcijas nodrošināšanai </w:t>
      </w:r>
      <w:r w:rsidR="0039676E">
        <w:rPr>
          <w:rFonts w:eastAsiaTheme="minorHAnsi" w:cs="Times New Roman"/>
          <w:szCs w:val="24"/>
          <w:lang w:val="lv-LV"/>
        </w:rPr>
        <w:t xml:space="preserve">(1,9 milj. </w:t>
      </w:r>
      <w:r w:rsidR="0039676E" w:rsidRPr="00E56578">
        <w:rPr>
          <w:rFonts w:eastAsiaTheme="minorHAnsi" w:cs="Times New Roman"/>
          <w:i/>
          <w:szCs w:val="24"/>
          <w:lang w:val="lv-LV"/>
        </w:rPr>
        <w:t>euro</w:t>
      </w:r>
      <w:r w:rsidR="0039676E" w:rsidRPr="00E56578">
        <w:rPr>
          <w:rFonts w:eastAsiaTheme="minorHAnsi" w:cs="Times New Roman"/>
          <w:szCs w:val="24"/>
          <w:lang w:val="lv-LV"/>
        </w:rPr>
        <w:t>)</w:t>
      </w:r>
      <w:r w:rsidR="00E56578" w:rsidRPr="00E56578">
        <w:rPr>
          <w:rFonts w:eastAsiaTheme="minorHAnsi" w:cs="Times New Roman"/>
          <w:szCs w:val="24"/>
          <w:lang w:val="lv-LV"/>
        </w:rPr>
        <w:t xml:space="preserve">, </w:t>
      </w:r>
      <w:r w:rsidR="00E56578" w:rsidRPr="00E56578">
        <w:rPr>
          <w:lang w:val="lv-LV"/>
        </w:rPr>
        <w:t>attiecīgi precizējot un palielinot ilgtermiņa saistību apmēru</w:t>
      </w:r>
      <w:r w:rsidR="0039676E" w:rsidRPr="00E56578">
        <w:rPr>
          <w:rFonts w:eastAsiaTheme="minorHAnsi" w:cs="Times New Roman"/>
          <w:szCs w:val="24"/>
          <w:lang w:val="lv-LV"/>
        </w:rPr>
        <w:t>;</w:t>
      </w:r>
    </w:p>
    <w:p w14:paraId="0B6AE800" w14:textId="41C61282" w:rsidR="00B55026" w:rsidRPr="0039676E" w:rsidRDefault="00B55026" w:rsidP="004C1C06">
      <w:pPr>
        <w:numPr>
          <w:ilvl w:val="0"/>
          <w:numId w:val="51"/>
        </w:numPr>
        <w:spacing w:before="120"/>
        <w:rPr>
          <w:rFonts w:eastAsiaTheme="minorHAnsi" w:cs="Times New Roman"/>
          <w:szCs w:val="24"/>
          <w:lang w:val="lv-LV"/>
        </w:rPr>
      </w:pPr>
      <w:r w:rsidRPr="0039676E">
        <w:rPr>
          <w:rFonts w:eastAsiaTheme="minorHAnsi" w:cs="Times New Roman"/>
          <w:szCs w:val="24"/>
          <w:lang w:val="lv-LV"/>
        </w:rPr>
        <w:t>budžeta apakšprogrammā 41.13.00 “Finansējums VAS “Valsts nekustamie īpašumi” īstenojamiem projektiem un pasākumiem” 2022. gadā 5 358 412</w:t>
      </w:r>
      <w:r w:rsidRPr="0039676E">
        <w:rPr>
          <w:rFonts w:eastAsiaTheme="minorHAnsi" w:cs="Times New Roman"/>
          <w:i/>
          <w:szCs w:val="24"/>
          <w:lang w:val="lv-LV"/>
        </w:rPr>
        <w:t xml:space="preserve"> euro</w:t>
      </w:r>
      <w:r w:rsidRPr="0039676E">
        <w:rPr>
          <w:rFonts w:eastAsiaTheme="minorHAnsi" w:cs="Times New Roman"/>
          <w:szCs w:val="24"/>
          <w:lang w:val="lv-LV"/>
        </w:rPr>
        <w:t xml:space="preserve"> un 2023. gadā 707 600</w:t>
      </w:r>
      <w:r w:rsidRPr="0039676E">
        <w:rPr>
          <w:rFonts w:eastAsiaTheme="minorHAnsi" w:cs="Times New Roman"/>
          <w:i/>
          <w:szCs w:val="24"/>
          <w:lang w:val="lv-LV"/>
        </w:rPr>
        <w:t xml:space="preserve"> euro</w:t>
      </w:r>
      <w:r w:rsidRPr="0039676E">
        <w:rPr>
          <w:rFonts w:eastAsiaTheme="minorHAnsi" w:cs="Times New Roman"/>
          <w:szCs w:val="24"/>
          <w:lang w:val="lv-LV"/>
        </w:rPr>
        <w:t xml:space="preserve"> pievienotās vērtības priekšnodokļa atmaksai valsts budžetā par veiktajiem būvniecības darbiem </w:t>
      </w:r>
      <w:r w:rsidR="001E2107" w:rsidRPr="001E2107">
        <w:rPr>
          <w:rFonts w:eastAsiaTheme="minorHAnsi" w:cs="Times New Roman"/>
          <w:szCs w:val="24"/>
          <w:lang w:val="lv-LV"/>
        </w:rPr>
        <w:t>ES Fondu īstenotajos projektos</w:t>
      </w:r>
      <w:r w:rsidRPr="001E2107">
        <w:rPr>
          <w:rFonts w:eastAsiaTheme="minorHAnsi" w:cs="Times New Roman"/>
          <w:szCs w:val="24"/>
          <w:lang w:val="lv-LV"/>
        </w:rPr>
        <w:t>;</w:t>
      </w:r>
    </w:p>
    <w:p w14:paraId="060DAD05" w14:textId="482D3C25" w:rsidR="00DE6C53" w:rsidRPr="00B55026" w:rsidRDefault="00B55026" w:rsidP="004C1C06">
      <w:pPr>
        <w:numPr>
          <w:ilvl w:val="0"/>
          <w:numId w:val="51"/>
        </w:numPr>
        <w:spacing w:before="120"/>
        <w:rPr>
          <w:rFonts w:eastAsiaTheme="minorHAnsi" w:cs="Times New Roman"/>
          <w:szCs w:val="24"/>
          <w:lang w:val="lv-LV"/>
        </w:rPr>
      </w:pPr>
      <w:r w:rsidRPr="00B55026">
        <w:rPr>
          <w:rFonts w:eastAsiaTheme="minorHAnsi" w:cs="Times New Roman"/>
          <w:szCs w:val="24"/>
          <w:lang w:val="lv-LV"/>
        </w:rPr>
        <w:t xml:space="preserve">valsts nekustamo īpašumu nomas maksas un apsaimniekošanas izdevumu pieauguma segšanai, lai segtu nomas objekta pārvaldīšanas un apsaimniekošanas izdevumu izmaiņas, </w:t>
      </w:r>
      <w:r w:rsidRPr="00B55026">
        <w:rPr>
          <w:rFonts w:eastAsiaTheme="minorHAnsi" w:cs="Times New Roman"/>
          <w:szCs w:val="24"/>
          <w:lang w:val="lv-LV"/>
        </w:rPr>
        <w:lastRenderedPageBreak/>
        <w:t xml:space="preserve">2022. gadā 1 563 972 </w:t>
      </w:r>
      <w:r w:rsidRPr="00B55026">
        <w:rPr>
          <w:rFonts w:eastAsiaTheme="minorHAnsi" w:cs="Times New Roman"/>
          <w:i/>
          <w:iCs/>
          <w:szCs w:val="24"/>
          <w:lang w:val="lv-LV"/>
        </w:rPr>
        <w:t xml:space="preserve">euro </w:t>
      </w:r>
      <w:r w:rsidRPr="00B55026">
        <w:rPr>
          <w:rFonts w:eastAsiaTheme="minorHAnsi" w:cs="Times New Roman"/>
          <w:szCs w:val="24"/>
          <w:lang w:val="lv-LV"/>
        </w:rPr>
        <w:t xml:space="preserve">un </w:t>
      </w:r>
      <w:r w:rsidR="001E2107" w:rsidRPr="001E2107">
        <w:rPr>
          <w:lang w:val="lv-LV"/>
        </w:rPr>
        <w:t xml:space="preserve">2023. gadā un 2024. gadā 1 399 141 </w:t>
      </w:r>
      <w:r w:rsidRPr="00B55026">
        <w:rPr>
          <w:rFonts w:eastAsiaTheme="minorHAnsi" w:cs="Times New Roman"/>
          <w:i/>
          <w:szCs w:val="24"/>
          <w:lang w:val="lv-LV"/>
        </w:rPr>
        <w:t>euro</w:t>
      </w:r>
      <w:r w:rsidRPr="00B55026">
        <w:rPr>
          <w:rFonts w:eastAsiaTheme="minorHAnsi" w:cs="Times New Roman"/>
          <w:szCs w:val="24"/>
          <w:lang w:val="lv-LV"/>
        </w:rPr>
        <w:t>. Detalizētu sadalījumu finansējuma</w:t>
      </w:r>
      <w:r w:rsidR="00E8299F">
        <w:rPr>
          <w:rFonts w:eastAsiaTheme="minorHAnsi" w:cs="Times New Roman"/>
          <w:szCs w:val="24"/>
          <w:lang w:val="lv-LV"/>
        </w:rPr>
        <w:t>m pa resoriem skatīt Tabulā Nr.</w:t>
      </w:r>
      <w:r w:rsidR="00DE6C53">
        <w:rPr>
          <w:rFonts w:eastAsiaTheme="minorHAnsi" w:cs="Times New Roman"/>
          <w:szCs w:val="24"/>
          <w:lang w:val="lv-LV"/>
        </w:rPr>
        <w:t xml:space="preserve"> </w:t>
      </w:r>
      <w:r w:rsidR="00E8299F">
        <w:rPr>
          <w:rFonts w:eastAsiaTheme="minorHAnsi" w:cs="Times New Roman"/>
          <w:szCs w:val="24"/>
          <w:lang w:val="lv-LV"/>
        </w:rPr>
        <w:t>2.2.3</w:t>
      </w:r>
      <w:r w:rsidRPr="00B55026">
        <w:rPr>
          <w:rFonts w:eastAsiaTheme="minorHAnsi" w:cs="Times New Roman"/>
          <w:szCs w:val="24"/>
          <w:lang w:val="lv-LV"/>
        </w:rPr>
        <w:t>.;</w:t>
      </w:r>
    </w:p>
    <w:p w14:paraId="4E28977E" w14:textId="0EC58E4B" w:rsidR="00E8299F" w:rsidRDefault="00B55026" w:rsidP="00E8299F">
      <w:pPr>
        <w:spacing w:after="0"/>
        <w:jc w:val="center"/>
        <w:rPr>
          <w:rFonts w:cs="Times New Roman"/>
          <w:b/>
          <w:bCs/>
          <w:sz w:val="22"/>
          <w:lang w:val="lv-LV"/>
        </w:rPr>
      </w:pPr>
      <w:r>
        <w:rPr>
          <w:rFonts w:cs="Times New Roman"/>
          <w:b/>
          <w:bCs/>
          <w:i/>
          <w:iCs/>
          <w:sz w:val="22"/>
          <w:lang w:val="lv-LV"/>
        </w:rPr>
        <w:t>2.2.3</w:t>
      </w:r>
      <w:r w:rsidRPr="00CE0303">
        <w:rPr>
          <w:rFonts w:cs="Times New Roman"/>
          <w:b/>
          <w:bCs/>
          <w:i/>
          <w:iCs/>
          <w:sz w:val="22"/>
          <w:lang w:val="lv-LV"/>
        </w:rPr>
        <w:t>. tabula</w:t>
      </w:r>
      <w:r w:rsidRPr="00CE0303">
        <w:rPr>
          <w:rFonts w:cs="Times New Roman"/>
          <w:b/>
          <w:bCs/>
          <w:sz w:val="22"/>
          <w:lang w:val="lv-LV"/>
        </w:rPr>
        <w:t xml:space="preserve"> </w:t>
      </w:r>
      <w:r w:rsidR="00E8299F">
        <w:rPr>
          <w:rFonts w:cs="Times New Roman"/>
          <w:b/>
          <w:bCs/>
          <w:sz w:val="22"/>
          <w:lang w:val="lv-LV"/>
        </w:rPr>
        <w:t xml:space="preserve">Finansējums </w:t>
      </w:r>
      <w:r w:rsidR="00E8299F" w:rsidRPr="00E8299F">
        <w:rPr>
          <w:rFonts w:cs="Times New Roman"/>
          <w:b/>
          <w:bCs/>
          <w:sz w:val="22"/>
          <w:lang w:val="lv-LV"/>
        </w:rPr>
        <w:t xml:space="preserve">valsts nekustamo īpašumu nomas maksas un apsaimniekošanas </w:t>
      </w:r>
    </w:p>
    <w:p w14:paraId="2B47E77B" w14:textId="27D3AA87" w:rsidR="00B55026" w:rsidRPr="00CE0303" w:rsidRDefault="00E8299F" w:rsidP="00E8299F">
      <w:pPr>
        <w:spacing w:after="0"/>
        <w:jc w:val="center"/>
        <w:rPr>
          <w:rFonts w:cs="Times New Roman"/>
          <w:b/>
          <w:bCs/>
          <w:sz w:val="22"/>
          <w:lang w:val="lv-LV"/>
        </w:rPr>
      </w:pPr>
      <w:r w:rsidRPr="00E8299F">
        <w:rPr>
          <w:rFonts w:cs="Times New Roman"/>
          <w:b/>
          <w:bCs/>
          <w:sz w:val="22"/>
          <w:lang w:val="lv-LV"/>
        </w:rPr>
        <w:t>izdevumu pieauguma segšanai</w:t>
      </w:r>
      <w:r>
        <w:rPr>
          <w:rFonts w:cs="Times New Roman"/>
          <w:b/>
          <w:bCs/>
          <w:sz w:val="22"/>
          <w:lang w:val="lv-LV"/>
        </w:rPr>
        <w:t xml:space="preserve"> sadalījumā pa resoriem,</w:t>
      </w:r>
      <w:r w:rsidR="00B55026" w:rsidRPr="00CE0303">
        <w:rPr>
          <w:rFonts w:cs="Times New Roman"/>
          <w:b/>
          <w:bCs/>
          <w:sz w:val="22"/>
          <w:lang w:val="lv-LV"/>
        </w:rPr>
        <w:t xml:space="preserve"> </w:t>
      </w:r>
      <w:r w:rsidR="00B55026" w:rsidRPr="00CE0303">
        <w:rPr>
          <w:rFonts w:cs="Times New Roman"/>
          <w:b/>
          <w:bCs/>
          <w:i/>
          <w:sz w:val="22"/>
          <w:lang w:val="lv-LV"/>
        </w:rPr>
        <w:t>euro</w:t>
      </w:r>
    </w:p>
    <w:tbl>
      <w:tblPr>
        <w:tblpPr w:leftFromText="180" w:rightFromText="180" w:vertAnchor="text" w:horzAnchor="margin" w:tblpX="421" w:tblpY="115"/>
        <w:tblW w:w="8646" w:type="dxa"/>
        <w:tblLook w:val="04A0" w:firstRow="1" w:lastRow="0" w:firstColumn="1" w:lastColumn="0" w:noHBand="0" w:noVBand="1"/>
      </w:tblPr>
      <w:tblGrid>
        <w:gridCol w:w="3260"/>
        <w:gridCol w:w="1276"/>
        <w:gridCol w:w="1417"/>
        <w:gridCol w:w="1559"/>
        <w:gridCol w:w="1134"/>
      </w:tblGrid>
      <w:tr w:rsidR="00E8299F" w:rsidRPr="00B55026" w14:paraId="6428EEEF"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63F93B" w14:textId="77777777" w:rsidR="00E8299F" w:rsidRPr="00B55026" w:rsidRDefault="00E8299F" w:rsidP="00E56578">
            <w:pPr>
              <w:spacing w:after="0" w:line="240" w:lineRule="auto"/>
              <w:jc w:val="center"/>
              <w:rPr>
                <w:rFonts w:eastAsia="Times New Roman" w:cs="Times New Roman"/>
                <w:b/>
                <w:bCs/>
                <w:sz w:val="22"/>
                <w:lang w:val="lv-LV" w:eastAsia="lv-LV"/>
              </w:rPr>
            </w:pPr>
            <w:r w:rsidRPr="00B55026">
              <w:rPr>
                <w:rFonts w:eastAsia="Times New Roman" w:cs="Times New Roman"/>
                <w:b/>
                <w:bCs/>
                <w:sz w:val="22"/>
                <w:lang w:val="lv-LV" w:eastAsia="lv-LV"/>
              </w:rPr>
              <w:t>Resors</w:t>
            </w:r>
          </w:p>
        </w:tc>
        <w:tc>
          <w:tcPr>
            <w:tcW w:w="127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D5CF80A" w14:textId="77777777" w:rsidR="00E8299F" w:rsidRPr="00B55026" w:rsidRDefault="00E8299F" w:rsidP="00E56578">
            <w:pPr>
              <w:spacing w:after="0" w:line="240" w:lineRule="auto"/>
              <w:jc w:val="center"/>
              <w:rPr>
                <w:rFonts w:eastAsia="Times New Roman" w:cs="Times New Roman"/>
                <w:b/>
                <w:bCs/>
                <w:sz w:val="22"/>
                <w:lang w:val="lv-LV" w:eastAsia="lv-LV"/>
              </w:rPr>
            </w:pPr>
            <w:r w:rsidRPr="00B55026">
              <w:rPr>
                <w:rFonts w:eastAsia="Times New Roman" w:cs="Times New Roman"/>
                <w:b/>
                <w:bCs/>
                <w:sz w:val="22"/>
                <w:lang w:val="lv-LV" w:eastAsia="lv-LV"/>
              </w:rPr>
              <w:t>2022</w:t>
            </w:r>
          </w:p>
        </w:tc>
        <w:tc>
          <w:tcPr>
            <w:tcW w:w="1417"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2A48CE5" w14:textId="77777777" w:rsidR="00E8299F" w:rsidRPr="00B55026" w:rsidRDefault="00E8299F" w:rsidP="00E56578">
            <w:pPr>
              <w:spacing w:after="0" w:line="240" w:lineRule="auto"/>
              <w:jc w:val="center"/>
              <w:rPr>
                <w:rFonts w:eastAsia="Times New Roman" w:cs="Times New Roman"/>
                <w:b/>
                <w:bCs/>
                <w:sz w:val="22"/>
                <w:lang w:val="lv-LV" w:eastAsia="lv-LV"/>
              </w:rPr>
            </w:pPr>
            <w:r w:rsidRPr="00B55026">
              <w:rPr>
                <w:rFonts w:eastAsia="Times New Roman" w:cs="Times New Roman"/>
                <w:b/>
                <w:bCs/>
                <w:sz w:val="22"/>
                <w:lang w:val="lv-LV" w:eastAsia="lv-LV"/>
              </w:rPr>
              <w:t>2023</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DBE115F" w14:textId="77777777" w:rsidR="00E8299F" w:rsidRPr="00B55026" w:rsidRDefault="00E8299F" w:rsidP="00E56578">
            <w:pPr>
              <w:spacing w:after="0" w:line="240" w:lineRule="auto"/>
              <w:jc w:val="center"/>
              <w:rPr>
                <w:rFonts w:eastAsia="Times New Roman" w:cs="Times New Roman"/>
                <w:b/>
                <w:bCs/>
                <w:sz w:val="22"/>
                <w:lang w:val="lv-LV" w:eastAsia="lv-LV"/>
              </w:rPr>
            </w:pPr>
            <w:r w:rsidRPr="00B55026">
              <w:rPr>
                <w:rFonts w:eastAsia="Times New Roman" w:cs="Times New Roman"/>
                <w:b/>
                <w:bCs/>
                <w:sz w:val="22"/>
                <w:lang w:val="lv-LV" w:eastAsia="lv-LV"/>
              </w:rPr>
              <w:t>2024</w:t>
            </w:r>
          </w:p>
        </w:tc>
        <w:tc>
          <w:tcPr>
            <w:tcW w:w="1134"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FAD3DCE" w14:textId="77777777" w:rsidR="00E8299F" w:rsidRPr="00B55026" w:rsidRDefault="00E8299F" w:rsidP="00E56578">
            <w:pPr>
              <w:spacing w:after="0" w:line="240" w:lineRule="auto"/>
              <w:jc w:val="center"/>
              <w:rPr>
                <w:rFonts w:eastAsia="Times New Roman" w:cs="Times New Roman"/>
                <w:b/>
                <w:bCs/>
                <w:sz w:val="22"/>
                <w:lang w:val="lv-LV" w:eastAsia="lv-LV"/>
              </w:rPr>
            </w:pPr>
            <w:r w:rsidRPr="00B55026">
              <w:rPr>
                <w:rFonts w:eastAsia="Times New Roman" w:cs="Times New Roman"/>
                <w:b/>
                <w:bCs/>
                <w:sz w:val="22"/>
                <w:lang w:val="lv-LV" w:eastAsia="lv-LV"/>
              </w:rPr>
              <w:t>2025 un turpmāk</w:t>
            </w:r>
          </w:p>
        </w:tc>
      </w:tr>
      <w:tr w:rsidR="00E8299F" w:rsidRPr="00B55026" w14:paraId="5F677D7A" w14:textId="77777777" w:rsidTr="00E56578">
        <w:trPr>
          <w:trHeight w:val="25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16344A2" w14:textId="77777777" w:rsidR="00E8299F" w:rsidRPr="00B55026" w:rsidRDefault="00E8299F" w:rsidP="00E56578">
            <w:pPr>
              <w:spacing w:after="0" w:line="240" w:lineRule="auto"/>
              <w:jc w:val="left"/>
              <w:rPr>
                <w:rFonts w:eastAsia="Times New Roman" w:cs="Times New Roman"/>
                <w:b/>
                <w:bCs/>
                <w:i/>
                <w:iCs/>
                <w:sz w:val="22"/>
                <w:lang w:val="lv-LV" w:eastAsia="lv-LV"/>
              </w:rPr>
            </w:pPr>
            <w:r w:rsidRPr="00B55026">
              <w:rPr>
                <w:rFonts w:eastAsia="Times New Roman" w:cs="Times New Roman"/>
                <w:b/>
                <w:bCs/>
                <w:i/>
                <w:iCs/>
                <w:sz w:val="22"/>
                <w:lang w:val="lv-LV" w:eastAsia="lv-LV"/>
              </w:rPr>
              <w:t>Kopā, tajā skaitā:</w:t>
            </w:r>
          </w:p>
        </w:tc>
        <w:tc>
          <w:tcPr>
            <w:tcW w:w="1276" w:type="dxa"/>
            <w:tcBorders>
              <w:top w:val="nil"/>
              <w:left w:val="nil"/>
              <w:bottom w:val="single" w:sz="4" w:space="0" w:color="auto"/>
              <w:right w:val="single" w:sz="4" w:space="0" w:color="auto"/>
            </w:tcBorders>
            <w:shd w:val="clear" w:color="auto" w:fill="auto"/>
            <w:noWrap/>
            <w:vAlign w:val="center"/>
            <w:hideMark/>
          </w:tcPr>
          <w:p w14:paraId="284CAD5B" w14:textId="77777777" w:rsidR="00E8299F" w:rsidRPr="00B55026" w:rsidRDefault="00E8299F" w:rsidP="00E56578">
            <w:pPr>
              <w:spacing w:after="0"/>
              <w:jc w:val="center"/>
              <w:rPr>
                <w:rFonts w:eastAsiaTheme="minorHAnsi" w:cs="Times New Roman"/>
                <w:b/>
                <w:bCs/>
                <w:i/>
                <w:iCs/>
                <w:sz w:val="22"/>
                <w:lang w:val="lv-LV"/>
              </w:rPr>
            </w:pPr>
            <w:r w:rsidRPr="00B55026">
              <w:rPr>
                <w:rFonts w:eastAsiaTheme="minorHAnsi" w:cs="Times New Roman"/>
                <w:b/>
                <w:bCs/>
                <w:i/>
                <w:iCs/>
                <w:sz w:val="22"/>
                <w:lang w:val="lv-LV"/>
              </w:rPr>
              <w:t>1 563 972</w:t>
            </w:r>
          </w:p>
        </w:tc>
        <w:tc>
          <w:tcPr>
            <w:tcW w:w="1417" w:type="dxa"/>
            <w:tcBorders>
              <w:top w:val="nil"/>
              <w:left w:val="nil"/>
              <w:bottom w:val="single" w:sz="4" w:space="0" w:color="auto"/>
              <w:right w:val="single" w:sz="4" w:space="0" w:color="auto"/>
            </w:tcBorders>
            <w:shd w:val="clear" w:color="auto" w:fill="auto"/>
            <w:noWrap/>
            <w:vAlign w:val="center"/>
            <w:hideMark/>
          </w:tcPr>
          <w:p w14:paraId="20A33FDF" w14:textId="77777777" w:rsidR="00E8299F" w:rsidRPr="00B55026" w:rsidRDefault="00E8299F" w:rsidP="00E56578">
            <w:pPr>
              <w:spacing w:after="0" w:line="240" w:lineRule="auto"/>
              <w:jc w:val="center"/>
              <w:rPr>
                <w:rFonts w:eastAsia="Times New Roman" w:cs="Times New Roman"/>
                <w:b/>
                <w:bCs/>
                <w:i/>
                <w:iCs/>
                <w:sz w:val="22"/>
                <w:lang w:val="lv-LV" w:eastAsia="lv-LV"/>
              </w:rPr>
            </w:pPr>
            <w:r w:rsidRPr="00B55026">
              <w:rPr>
                <w:rFonts w:eastAsiaTheme="minorHAnsi" w:cs="Times New Roman"/>
                <w:b/>
                <w:bCs/>
                <w:i/>
                <w:iCs/>
                <w:sz w:val="22"/>
                <w:lang w:val="lv-LV"/>
              </w:rPr>
              <w:t>1 399 141</w:t>
            </w:r>
          </w:p>
        </w:tc>
        <w:tc>
          <w:tcPr>
            <w:tcW w:w="1559" w:type="dxa"/>
            <w:tcBorders>
              <w:top w:val="nil"/>
              <w:left w:val="nil"/>
              <w:bottom w:val="single" w:sz="4" w:space="0" w:color="auto"/>
              <w:right w:val="single" w:sz="4" w:space="0" w:color="auto"/>
            </w:tcBorders>
            <w:shd w:val="clear" w:color="auto" w:fill="auto"/>
            <w:noWrap/>
            <w:vAlign w:val="center"/>
            <w:hideMark/>
          </w:tcPr>
          <w:p w14:paraId="31D61040" w14:textId="77777777" w:rsidR="00E8299F" w:rsidRPr="00B55026" w:rsidRDefault="00E8299F" w:rsidP="00E56578">
            <w:pPr>
              <w:spacing w:after="0" w:line="240" w:lineRule="auto"/>
              <w:jc w:val="center"/>
              <w:rPr>
                <w:rFonts w:eastAsia="Times New Roman" w:cs="Times New Roman"/>
                <w:b/>
                <w:bCs/>
                <w:i/>
                <w:iCs/>
                <w:sz w:val="22"/>
                <w:lang w:val="lv-LV" w:eastAsia="lv-LV"/>
              </w:rPr>
            </w:pPr>
            <w:r w:rsidRPr="00B55026">
              <w:rPr>
                <w:rFonts w:eastAsiaTheme="minorHAnsi" w:cs="Times New Roman"/>
                <w:b/>
                <w:bCs/>
                <w:i/>
                <w:iCs/>
                <w:sz w:val="22"/>
                <w:lang w:val="lv-LV"/>
              </w:rPr>
              <w:t>1 399 141</w:t>
            </w:r>
          </w:p>
        </w:tc>
        <w:tc>
          <w:tcPr>
            <w:tcW w:w="1134" w:type="dxa"/>
            <w:tcBorders>
              <w:top w:val="nil"/>
              <w:left w:val="nil"/>
              <w:bottom w:val="single" w:sz="4" w:space="0" w:color="auto"/>
              <w:right w:val="single" w:sz="4" w:space="0" w:color="auto"/>
            </w:tcBorders>
            <w:shd w:val="clear" w:color="auto" w:fill="auto"/>
            <w:noWrap/>
            <w:vAlign w:val="center"/>
            <w:hideMark/>
          </w:tcPr>
          <w:p w14:paraId="7C3A309A" w14:textId="77777777" w:rsidR="00E8299F" w:rsidRPr="00B55026" w:rsidRDefault="00E8299F" w:rsidP="00E56578">
            <w:pPr>
              <w:spacing w:after="0" w:line="240" w:lineRule="auto"/>
              <w:jc w:val="center"/>
              <w:rPr>
                <w:rFonts w:eastAsia="Times New Roman" w:cs="Times New Roman"/>
                <w:b/>
                <w:bCs/>
                <w:i/>
                <w:iCs/>
                <w:sz w:val="22"/>
                <w:lang w:val="lv-LV" w:eastAsia="lv-LV"/>
              </w:rPr>
            </w:pPr>
            <w:r w:rsidRPr="00B55026">
              <w:rPr>
                <w:rFonts w:eastAsiaTheme="minorHAnsi" w:cs="Times New Roman"/>
                <w:b/>
                <w:bCs/>
                <w:i/>
                <w:iCs/>
                <w:sz w:val="22"/>
                <w:lang w:val="lv-LV"/>
              </w:rPr>
              <w:t>1 399 141</w:t>
            </w:r>
          </w:p>
        </w:tc>
      </w:tr>
      <w:tr w:rsidR="00E8299F" w:rsidRPr="00B55026" w14:paraId="4EA18806"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5A323"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Ārlietu ministrija</w:t>
            </w:r>
          </w:p>
        </w:tc>
        <w:tc>
          <w:tcPr>
            <w:tcW w:w="1276" w:type="dxa"/>
            <w:tcBorders>
              <w:top w:val="single" w:sz="4" w:space="0" w:color="auto"/>
              <w:left w:val="nil"/>
              <w:bottom w:val="single" w:sz="4" w:space="0" w:color="auto"/>
              <w:right w:val="single" w:sz="4" w:space="0" w:color="auto"/>
            </w:tcBorders>
            <w:shd w:val="clear" w:color="auto" w:fill="auto"/>
            <w:noWrap/>
            <w:hideMark/>
          </w:tcPr>
          <w:p w14:paraId="2A904C2F"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iCs/>
                <w:sz w:val="22"/>
                <w:lang w:val="lv-LV" w:eastAsia="lv-LV"/>
              </w:rPr>
              <w:t>153 150</w:t>
            </w:r>
          </w:p>
        </w:tc>
        <w:tc>
          <w:tcPr>
            <w:tcW w:w="1417" w:type="dxa"/>
            <w:tcBorders>
              <w:top w:val="single" w:sz="4" w:space="0" w:color="auto"/>
              <w:left w:val="nil"/>
              <w:bottom w:val="single" w:sz="4" w:space="0" w:color="auto"/>
              <w:right w:val="single" w:sz="4" w:space="0" w:color="auto"/>
            </w:tcBorders>
            <w:shd w:val="clear" w:color="auto" w:fill="auto"/>
            <w:noWrap/>
            <w:hideMark/>
          </w:tcPr>
          <w:p w14:paraId="7CC77213"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iCs/>
                <w:sz w:val="22"/>
                <w:lang w:val="lv-LV" w:eastAsia="lv-LV"/>
              </w:rPr>
              <w:t>153 150</w:t>
            </w:r>
          </w:p>
        </w:tc>
        <w:tc>
          <w:tcPr>
            <w:tcW w:w="1559" w:type="dxa"/>
            <w:tcBorders>
              <w:top w:val="single" w:sz="4" w:space="0" w:color="auto"/>
              <w:left w:val="nil"/>
              <w:bottom w:val="single" w:sz="4" w:space="0" w:color="auto"/>
              <w:right w:val="single" w:sz="4" w:space="0" w:color="auto"/>
            </w:tcBorders>
            <w:shd w:val="clear" w:color="auto" w:fill="auto"/>
            <w:noWrap/>
            <w:hideMark/>
          </w:tcPr>
          <w:p w14:paraId="0A703C4A"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iCs/>
                <w:sz w:val="22"/>
                <w:lang w:val="lv-LV" w:eastAsia="lv-LV"/>
              </w:rPr>
              <w:t>153 150</w:t>
            </w:r>
          </w:p>
        </w:tc>
        <w:tc>
          <w:tcPr>
            <w:tcW w:w="1134" w:type="dxa"/>
            <w:tcBorders>
              <w:top w:val="single" w:sz="4" w:space="0" w:color="auto"/>
              <w:left w:val="nil"/>
              <w:bottom w:val="single" w:sz="4" w:space="0" w:color="auto"/>
              <w:right w:val="single" w:sz="4" w:space="0" w:color="auto"/>
            </w:tcBorders>
            <w:shd w:val="clear" w:color="auto" w:fill="auto"/>
            <w:noWrap/>
            <w:hideMark/>
          </w:tcPr>
          <w:p w14:paraId="0EC5A041"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iCs/>
                <w:sz w:val="22"/>
                <w:lang w:val="lv-LV" w:eastAsia="lv-LV"/>
              </w:rPr>
              <w:t>153 150</w:t>
            </w:r>
          </w:p>
        </w:tc>
      </w:tr>
      <w:tr w:rsidR="00E8299F" w:rsidRPr="00B55026" w14:paraId="15E77AB2"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C20AD"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Iekšlietu ministrija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AE6629" w14:textId="77777777" w:rsidR="00E8299F" w:rsidRPr="00B55026" w:rsidRDefault="00E8299F" w:rsidP="00E56578">
            <w:pPr>
              <w:spacing w:after="0"/>
              <w:jc w:val="right"/>
              <w:rPr>
                <w:rFonts w:eastAsiaTheme="minorHAnsi" w:cs="Times New Roman"/>
                <w:i/>
                <w:iCs/>
                <w:sz w:val="22"/>
                <w:lang w:val="lv-LV"/>
              </w:rPr>
            </w:pPr>
            <w:r w:rsidRPr="00B55026">
              <w:rPr>
                <w:rFonts w:eastAsia="Times New Roman" w:cs="Times New Roman"/>
                <w:bCs/>
                <w:i/>
                <w:iCs/>
                <w:sz w:val="22"/>
                <w:lang w:val="lv-LV" w:eastAsia="lv-LV"/>
              </w:rPr>
              <w:t>66 116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3922084"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iCs/>
                <w:sz w:val="22"/>
                <w:lang w:val="lv-LV" w:eastAsia="lv-LV"/>
              </w:rPr>
              <w:t>66 116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7F637E8"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iCs/>
                <w:sz w:val="22"/>
                <w:lang w:val="lv-LV" w:eastAsia="lv-LV"/>
              </w:rPr>
              <w:t>66 116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BCB6B7E"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iCs/>
                <w:sz w:val="22"/>
                <w:lang w:val="lv-LV" w:eastAsia="lv-LV"/>
              </w:rPr>
              <w:t>66 116</w:t>
            </w:r>
          </w:p>
        </w:tc>
      </w:tr>
      <w:tr w:rsidR="00E8299F" w:rsidRPr="00B55026" w14:paraId="0DACC0DF"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C1CC"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Kultūras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9A5B8"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sz w:val="22"/>
                <w:lang w:val="lv-LV" w:eastAsia="lv-LV"/>
              </w:rPr>
              <w:t>185 353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7725E"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sz w:val="22"/>
                <w:lang w:val="lv-LV" w:eastAsia="lv-LV"/>
              </w:rPr>
              <w:t>185 353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B30A2"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sz w:val="22"/>
                <w:lang w:val="lv-LV" w:eastAsia="lv-LV"/>
              </w:rPr>
              <w:t>185 353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557F9" w14:textId="77777777" w:rsidR="00E8299F" w:rsidRPr="00B55026" w:rsidRDefault="00E8299F" w:rsidP="00E56578">
            <w:pPr>
              <w:spacing w:after="0" w:line="240" w:lineRule="auto"/>
              <w:jc w:val="right"/>
              <w:rPr>
                <w:rFonts w:eastAsia="Times New Roman" w:cs="Times New Roman"/>
                <w:bCs/>
                <w:i/>
                <w:iCs/>
                <w:sz w:val="22"/>
                <w:lang w:val="lv-LV" w:eastAsia="lv-LV"/>
              </w:rPr>
            </w:pPr>
            <w:r w:rsidRPr="00B55026">
              <w:rPr>
                <w:rFonts w:eastAsia="Times New Roman" w:cs="Times New Roman"/>
                <w:bCs/>
                <w:i/>
                <w:sz w:val="22"/>
                <w:lang w:val="lv-LV" w:eastAsia="lv-LV"/>
              </w:rPr>
              <w:t>185 353</w:t>
            </w:r>
          </w:p>
        </w:tc>
      </w:tr>
      <w:tr w:rsidR="00E8299F" w:rsidRPr="00B55026" w14:paraId="30041C00"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FD1F0"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Labklājības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5B8BE"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81 560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D3D5F"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81 560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83204"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81 560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38864"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81 560</w:t>
            </w:r>
          </w:p>
        </w:tc>
      </w:tr>
      <w:tr w:rsidR="00E8299F" w:rsidRPr="00B55026" w14:paraId="2223A3E3"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30444"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LR Prokuratūra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77D7D"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413 491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62DFA"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248 660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EBC8B"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248 660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3E98E"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248 660</w:t>
            </w:r>
          </w:p>
        </w:tc>
      </w:tr>
      <w:tr w:rsidR="00E8299F" w:rsidRPr="00B55026" w14:paraId="60CCF1AF"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2F0E3"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Tieslietu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021DD"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54 205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FD641"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54 205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B5395"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54 205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2380B"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54 205</w:t>
            </w:r>
          </w:p>
        </w:tc>
      </w:tr>
      <w:tr w:rsidR="00E8299F" w:rsidRPr="00B55026" w14:paraId="1856F182"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0B1CC"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Veselības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6591B62D"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148 649</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14:paraId="2206B8BD"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148 649</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76E9DCB6"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148 649</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4C518D9"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148 649</w:t>
            </w:r>
          </w:p>
        </w:tc>
      </w:tr>
      <w:tr w:rsidR="00E8299F" w:rsidRPr="00B55026" w14:paraId="2DE7B295"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BD64D" w14:textId="77777777"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Finanšu ministrija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D92C27"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heme="minorHAnsi" w:cs="Times New Roman"/>
                <w:i/>
                <w:iCs/>
                <w:sz w:val="22"/>
                <w:lang w:val="lv-LV"/>
              </w:rPr>
              <w:t>398 516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57FA863"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heme="minorHAnsi" w:cs="Times New Roman"/>
                <w:i/>
                <w:iCs/>
                <w:sz w:val="22"/>
                <w:lang w:val="lv-LV"/>
              </w:rPr>
              <w:t>398 516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D6BBE18"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heme="minorHAnsi" w:cs="Times New Roman"/>
                <w:i/>
                <w:iCs/>
                <w:sz w:val="22"/>
                <w:lang w:val="lv-LV"/>
              </w:rPr>
              <w:t>398 516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68A0A5"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heme="minorHAnsi" w:cs="Times New Roman"/>
                <w:i/>
                <w:iCs/>
                <w:sz w:val="22"/>
                <w:lang w:val="lv-LV"/>
              </w:rPr>
              <w:t>398 516</w:t>
            </w:r>
          </w:p>
        </w:tc>
      </w:tr>
      <w:tr w:rsidR="00E8299F" w:rsidRPr="00B55026" w14:paraId="7F22144D"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CBAD366" w14:textId="126E62DF" w:rsidR="00E8299F" w:rsidRPr="00B55026" w:rsidRDefault="00E8299F" w:rsidP="00E56578">
            <w:pPr>
              <w:spacing w:after="0" w:line="240" w:lineRule="auto"/>
              <w:ind w:left="169"/>
              <w:jc w:val="left"/>
              <w:rPr>
                <w:rFonts w:eastAsia="Times New Roman" w:cs="Times New Roman"/>
                <w:bCs/>
                <w:i/>
                <w:iCs/>
                <w:sz w:val="22"/>
                <w:lang w:val="lv-LV" w:eastAsia="lv-LV"/>
              </w:rPr>
            </w:pPr>
            <w:r>
              <w:rPr>
                <w:rFonts w:eastAsia="Times New Roman" w:cs="Times New Roman"/>
                <w:bCs/>
                <w:i/>
                <w:iCs/>
                <w:sz w:val="22"/>
                <w:lang w:val="lv-LV" w:eastAsia="lv-LV"/>
              </w:rPr>
              <w:t xml:space="preserve">Vides aizsardzības un </w:t>
            </w:r>
            <w:r w:rsidRPr="00B55026">
              <w:rPr>
                <w:rFonts w:eastAsia="Times New Roman" w:cs="Times New Roman"/>
                <w:bCs/>
                <w:i/>
                <w:iCs/>
                <w:sz w:val="22"/>
                <w:lang w:val="lv-LV" w:eastAsia="lv-LV"/>
              </w:rPr>
              <w:t>reģionālās attīstības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CBEA8"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13 956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AFB44"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13 956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61714"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13 956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016A8"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sz w:val="22"/>
                <w:lang w:val="lv-LV" w:eastAsia="lv-LV"/>
              </w:rPr>
              <w:t>13 956</w:t>
            </w:r>
          </w:p>
        </w:tc>
      </w:tr>
      <w:tr w:rsidR="00E8299F" w:rsidRPr="00B55026" w14:paraId="4FB24BFD" w14:textId="77777777" w:rsidTr="00E56578">
        <w:trPr>
          <w:trHeight w:val="28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1D61E" w14:textId="28F57A80" w:rsidR="00E8299F" w:rsidRPr="00B55026" w:rsidRDefault="00E8299F" w:rsidP="00E56578">
            <w:pPr>
              <w:spacing w:after="0" w:line="240" w:lineRule="auto"/>
              <w:ind w:firstLineChars="76" w:firstLine="167"/>
              <w:jc w:val="left"/>
              <w:rPr>
                <w:rFonts w:eastAsia="Times New Roman" w:cs="Times New Roman"/>
                <w:bCs/>
                <w:i/>
                <w:iCs/>
                <w:sz w:val="22"/>
                <w:lang w:val="lv-LV" w:eastAsia="lv-LV"/>
              </w:rPr>
            </w:pPr>
            <w:r w:rsidRPr="00B55026">
              <w:rPr>
                <w:rFonts w:eastAsia="Times New Roman" w:cs="Times New Roman"/>
                <w:bCs/>
                <w:i/>
                <w:iCs/>
                <w:sz w:val="22"/>
                <w:lang w:val="lv-LV" w:eastAsia="lv-LV"/>
              </w:rPr>
              <w:t>Zemkopības ministrija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01862"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iCs/>
                <w:sz w:val="22"/>
                <w:lang w:val="lv-LV" w:eastAsia="lv-LV"/>
              </w:rPr>
              <w:t>48 976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45F7C"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iCs/>
                <w:sz w:val="22"/>
                <w:lang w:val="lv-LV" w:eastAsia="lv-LV"/>
              </w:rPr>
              <w:t>48 976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009DD"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iCs/>
                <w:sz w:val="22"/>
                <w:lang w:val="lv-LV" w:eastAsia="lv-LV"/>
              </w:rPr>
              <w:t>48 976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739D4" w14:textId="77777777" w:rsidR="00E8299F" w:rsidRPr="00B55026" w:rsidRDefault="00E8299F" w:rsidP="00E56578">
            <w:pPr>
              <w:spacing w:after="0" w:line="240" w:lineRule="auto"/>
              <w:jc w:val="right"/>
              <w:rPr>
                <w:rFonts w:eastAsia="Times New Roman" w:cs="Times New Roman"/>
                <w:bCs/>
                <w:i/>
                <w:sz w:val="22"/>
                <w:lang w:val="lv-LV" w:eastAsia="lv-LV"/>
              </w:rPr>
            </w:pPr>
            <w:r w:rsidRPr="00B55026">
              <w:rPr>
                <w:rFonts w:eastAsia="Times New Roman" w:cs="Times New Roman"/>
                <w:bCs/>
                <w:i/>
                <w:iCs/>
                <w:sz w:val="22"/>
                <w:lang w:val="lv-LV" w:eastAsia="lv-LV"/>
              </w:rPr>
              <w:t>48 976</w:t>
            </w:r>
          </w:p>
        </w:tc>
      </w:tr>
    </w:tbl>
    <w:p w14:paraId="08C938BB" w14:textId="77777777" w:rsidR="00B55026" w:rsidRDefault="00B55026" w:rsidP="00B55026">
      <w:pPr>
        <w:spacing w:after="160"/>
        <w:ind w:left="360"/>
        <w:contextualSpacing/>
        <w:jc w:val="left"/>
        <w:rPr>
          <w:rFonts w:eastAsiaTheme="minorHAnsi" w:cs="Times New Roman"/>
          <w:szCs w:val="24"/>
          <w:lang w:val="lv-LV"/>
        </w:rPr>
      </w:pPr>
    </w:p>
    <w:p w14:paraId="2CBF7C6E" w14:textId="4248711C" w:rsidR="00E8299F" w:rsidRPr="00E8299F" w:rsidRDefault="00B55026" w:rsidP="004C1C06">
      <w:pPr>
        <w:numPr>
          <w:ilvl w:val="0"/>
          <w:numId w:val="51"/>
        </w:numPr>
        <w:spacing w:after="160"/>
        <w:contextualSpacing/>
        <w:rPr>
          <w:rFonts w:eastAsia="Times New Roman" w:cs="Times New Roman"/>
          <w:szCs w:val="24"/>
          <w:lang w:val="lv-LV"/>
        </w:rPr>
      </w:pPr>
      <w:r w:rsidRPr="00B55026">
        <w:rPr>
          <w:rFonts w:eastAsiaTheme="minorHAnsi" w:cs="Times New Roman"/>
          <w:szCs w:val="24"/>
          <w:lang w:val="lv-LV"/>
        </w:rPr>
        <w:t xml:space="preserve">robežšķērsošanas vietu “Silene” un “Pāternieki” pēc rekonstrukcijas pabeigšanas uzturēšanas izdevumu pieauguma segšanai, lai nodrošinātu papildu iznomāto platību nomas un komunālo izdevumu apmaksu, </w:t>
      </w:r>
      <w:r w:rsidR="001E2107">
        <w:rPr>
          <w:rFonts w:eastAsiaTheme="minorHAnsi" w:cs="Times New Roman"/>
          <w:szCs w:val="24"/>
          <w:lang w:val="lv-LV"/>
        </w:rPr>
        <w:t>2022.-</w:t>
      </w:r>
      <w:r w:rsidR="001E2107" w:rsidRPr="001E2107">
        <w:rPr>
          <w:rFonts w:eastAsiaTheme="minorHAnsi" w:cs="Times New Roman"/>
          <w:szCs w:val="24"/>
          <w:lang w:val="lv-LV"/>
        </w:rPr>
        <w:t>2024. gadā  327</w:t>
      </w:r>
      <w:r w:rsidR="001E2107">
        <w:rPr>
          <w:rFonts w:eastAsiaTheme="minorHAnsi" w:cs="Times New Roman"/>
          <w:szCs w:val="24"/>
          <w:lang w:val="lv-LV"/>
        </w:rPr>
        <w:t> </w:t>
      </w:r>
      <w:r w:rsidR="001E2107" w:rsidRPr="001E2107">
        <w:rPr>
          <w:rFonts w:eastAsiaTheme="minorHAnsi" w:cs="Times New Roman"/>
          <w:szCs w:val="24"/>
          <w:lang w:val="lv-LV"/>
        </w:rPr>
        <w:t>436</w:t>
      </w:r>
      <w:r w:rsidR="001E2107">
        <w:rPr>
          <w:rFonts w:eastAsiaTheme="minorHAnsi" w:cs="Times New Roman"/>
          <w:szCs w:val="24"/>
          <w:lang w:val="lv-LV"/>
        </w:rPr>
        <w:t xml:space="preserve"> </w:t>
      </w:r>
      <w:r w:rsidRPr="00B55026">
        <w:rPr>
          <w:rFonts w:eastAsiaTheme="minorHAnsi" w:cs="Times New Roman"/>
          <w:i/>
          <w:szCs w:val="24"/>
          <w:lang w:val="lv-LV"/>
        </w:rPr>
        <w:t>euro.</w:t>
      </w:r>
      <w:r w:rsidR="008E6347">
        <w:rPr>
          <w:rFonts w:eastAsiaTheme="minorHAnsi" w:cs="Times New Roman"/>
          <w:szCs w:val="24"/>
          <w:lang w:val="lv-LV"/>
        </w:rPr>
        <w:t xml:space="preserve">, t.sk. FM (VID) 231 882 </w:t>
      </w:r>
      <w:r w:rsidR="008E6347" w:rsidRPr="008E6347">
        <w:rPr>
          <w:rFonts w:eastAsiaTheme="minorHAnsi" w:cs="Times New Roman"/>
          <w:i/>
          <w:szCs w:val="24"/>
          <w:lang w:val="lv-LV"/>
        </w:rPr>
        <w:t>euro</w:t>
      </w:r>
      <w:r w:rsidR="008E6347">
        <w:rPr>
          <w:rFonts w:eastAsiaTheme="minorHAnsi" w:cs="Times New Roman"/>
          <w:szCs w:val="24"/>
          <w:lang w:val="lv-LV"/>
        </w:rPr>
        <w:t xml:space="preserve">, IeM 37 057 </w:t>
      </w:r>
      <w:r w:rsidR="008E6347" w:rsidRPr="008E6347">
        <w:rPr>
          <w:rFonts w:eastAsiaTheme="minorHAnsi" w:cs="Times New Roman"/>
          <w:i/>
          <w:szCs w:val="24"/>
          <w:lang w:val="lv-LV"/>
        </w:rPr>
        <w:t>euro</w:t>
      </w:r>
      <w:r w:rsidR="008E6347">
        <w:rPr>
          <w:rFonts w:eastAsiaTheme="minorHAnsi" w:cs="Times New Roman"/>
          <w:szCs w:val="24"/>
          <w:lang w:val="lv-LV"/>
        </w:rPr>
        <w:t xml:space="preserve">, ZM 58 497 </w:t>
      </w:r>
      <w:r w:rsidR="008E6347" w:rsidRPr="008E6347">
        <w:rPr>
          <w:rFonts w:eastAsiaTheme="minorHAnsi" w:cs="Times New Roman"/>
          <w:i/>
          <w:szCs w:val="24"/>
          <w:lang w:val="lv-LV"/>
        </w:rPr>
        <w:t>euro</w:t>
      </w:r>
      <w:r w:rsidR="008E6347">
        <w:rPr>
          <w:rFonts w:eastAsiaTheme="minorHAnsi" w:cs="Times New Roman"/>
          <w:szCs w:val="24"/>
          <w:lang w:val="lv-LV"/>
        </w:rPr>
        <w:t xml:space="preserve">. </w:t>
      </w:r>
    </w:p>
    <w:p w14:paraId="6A2EA301" w14:textId="06D875ED" w:rsidR="00B55026" w:rsidRPr="00E8299F" w:rsidRDefault="00B55026" w:rsidP="004C1C06">
      <w:pPr>
        <w:pStyle w:val="ListParagraph"/>
        <w:numPr>
          <w:ilvl w:val="0"/>
          <w:numId w:val="51"/>
        </w:numPr>
        <w:spacing w:before="120"/>
        <w:ind w:left="357" w:hanging="357"/>
        <w:contextualSpacing w:val="0"/>
        <w:rPr>
          <w:rFonts w:eastAsia="Times New Roman" w:cs="Times New Roman"/>
          <w:szCs w:val="24"/>
          <w:lang w:val="lv-LV"/>
        </w:rPr>
      </w:pPr>
      <w:r w:rsidRPr="00E8299F">
        <w:rPr>
          <w:rFonts w:eastAsiaTheme="minorHAnsi" w:cs="Times New Roman"/>
          <w:szCs w:val="24"/>
          <w:lang w:val="lv-LV"/>
        </w:rPr>
        <w:t xml:space="preserve">budžeta programmā apakšprogrammā 31.02.00 “Valsts parāda vadība” </w:t>
      </w:r>
      <w:r w:rsidRPr="00E8299F">
        <w:rPr>
          <w:rFonts w:eastAsia="Times New Roman" w:cs="Times New Roman"/>
          <w:szCs w:val="24"/>
          <w:lang w:val="lv-LV"/>
        </w:rPr>
        <w:t>komisijas maksu izdevumu segšanai par obligāciju emisijām, lai nodrošinātu izdevumu pieauguma segšanu saistībā ar vidējā termiņā prognozēto aizņemšanās apjomu pieaugumu</w:t>
      </w:r>
      <w:r w:rsidRPr="00E8299F">
        <w:rPr>
          <w:rFonts w:eastAsia="Times New Roman" w:cs="Times New Roman"/>
          <w:szCs w:val="24"/>
          <w:lang w:val="lv-LV" w:eastAsia="lv-LV"/>
        </w:rPr>
        <w:t xml:space="preserve">, 2022. gadā 263 497 </w:t>
      </w:r>
      <w:r w:rsidRPr="00E8299F">
        <w:rPr>
          <w:rFonts w:eastAsia="Times New Roman" w:cs="Times New Roman"/>
          <w:i/>
          <w:szCs w:val="24"/>
          <w:lang w:val="lv-LV" w:eastAsia="lv-LV"/>
        </w:rPr>
        <w:t>euro</w:t>
      </w:r>
      <w:r w:rsidRPr="00E8299F">
        <w:rPr>
          <w:rFonts w:eastAsia="Times New Roman" w:cs="Times New Roman"/>
          <w:szCs w:val="24"/>
          <w:lang w:val="lv-LV" w:eastAsia="lv-LV"/>
        </w:rPr>
        <w:t xml:space="preserve">, 2023. gadā 229 022 </w:t>
      </w:r>
      <w:r w:rsidRPr="00E8299F">
        <w:rPr>
          <w:rFonts w:eastAsia="Times New Roman" w:cs="Times New Roman"/>
          <w:i/>
          <w:szCs w:val="24"/>
          <w:lang w:val="lv-LV" w:eastAsia="lv-LV"/>
        </w:rPr>
        <w:t>euro</w:t>
      </w:r>
      <w:r w:rsidRPr="00E8299F">
        <w:rPr>
          <w:rFonts w:eastAsia="Times New Roman" w:cs="Times New Roman"/>
          <w:szCs w:val="24"/>
          <w:lang w:val="lv-LV" w:eastAsia="lv-LV"/>
        </w:rPr>
        <w:t xml:space="preserve">  un  2024. gadā 285 309 </w:t>
      </w:r>
      <w:r w:rsidRPr="00E8299F">
        <w:rPr>
          <w:rFonts w:eastAsia="Times New Roman" w:cs="Times New Roman"/>
          <w:i/>
          <w:szCs w:val="24"/>
          <w:lang w:val="lv-LV" w:eastAsia="lv-LV"/>
        </w:rPr>
        <w:t>euro</w:t>
      </w:r>
      <w:r w:rsidRPr="00E8299F">
        <w:rPr>
          <w:rFonts w:eastAsia="Times New Roman" w:cs="Times New Roman"/>
          <w:szCs w:val="24"/>
          <w:lang w:val="lv-LV" w:eastAsia="lv-LV"/>
        </w:rPr>
        <w:t>;</w:t>
      </w:r>
    </w:p>
    <w:p w14:paraId="49381B3D" w14:textId="27AE0275" w:rsidR="00B55026" w:rsidRPr="00B55026" w:rsidRDefault="00B55026" w:rsidP="004C1C06">
      <w:pPr>
        <w:numPr>
          <w:ilvl w:val="0"/>
          <w:numId w:val="51"/>
        </w:numPr>
        <w:spacing w:before="120"/>
        <w:rPr>
          <w:rFonts w:eastAsia="Times New Roman" w:cs="Times New Roman"/>
          <w:szCs w:val="24"/>
          <w:lang w:val="lv-LV"/>
        </w:rPr>
      </w:pPr>
      <w:r w:rsidRPr="00B55026">
        <w:rPr>
          <w:rFonts w:eastAsiaTheme="minorHAnsi" w:cs="Times New Roman"/>
          <w:szCs w:val="24"/>
          <w:lang w:val="lv-LV"/>
        </w:rPr>
        <w:t>budžeta programmā 97.00.00 “</w:t>
      </w:r>
      <w:r w:rsidR="008E6347" w:rsidRPr="008E6347">
        <w:rPr>
          <w:rFonts w:eastAsiaTheme="minorHAnsi" w:cs="Times New Roman"/>
          <w:szCs w:val="24"/>
          <w:lang w:val="lv-LV"/>
        </w:rPr>
        <w:t>Nozaru vadība un politikas plānošana</w:t>
      </w:r>
      <w:r w:rsidRPr="00B55026">
        <w:rPr>
          <w:rFonts w:eastAsiaTheme="minorHAnsi" w:cs="Times New Roman"/>
          <w:szCs w:val="24"/>
          <w:lang w:val="lv-LV"/>
        </w:rPr>
        <w:t xml:space="preserve">” </w:t>
      </w:r>
      <w:r w:rsidRPr="00B55026">
        <w:rPr>
          <w:rFonts w:eastAsia="Times New Roman" w:cs="Times New Roman"/>
          <w:szCs w:val="24"/>
          <w:lang w:val="lv-LV"/>
        </w:rPr>
        <w:t xml:space="preserve">valsts pārvaldes iekšējā audita struktūrvienību darbības ārējām novērtējumam, lai attīstītu iekšējā audita struktūrvienību darba kvalitātes nodrošināšanas un uzlabošanas sistēmu, </w:t>
      </w:r>
      <w:r w:rsidRPr="00B55026">
        <w:rPr>
          <w:rFonts w:eastAsia="Times New Roman" w:cs="Times New Roman"/>
          <w:szCs w:val="24"/>
          <w:lang w:val="lv-LV" w:eastAsia="lv-LV"/>
        </w:rPr>
        <w:t xml:space="preserve">2022. gadā 50 000 </w:t>
      </w:r>
      <w:r w:rsidRPr="00B55026">
        <w:rPr>
          <w:rFonts w:eastAsia="Times New Roman" w:cs="Times New Roman"/>
          <w:i/>
          <w:szCs w:val="24"/>
          <w:lang w:val="lv-LV" w:eastAsia="lv-LV"/>
        </w:rPr>
        <w:t>euro</w:t>
      </w:r>
      <w:r w:rsidRPr="00B55026">
        <w:rPr>
          <w:rFonts w:eastAsia="Times New Roman" w:cs="Times New Roman"/>
          <w:szCs w:val="24"/>
          <w:lang w:val="lv-LV" w:eastAsia="lv-LV"/>
        </w:rPr>
        <w:t xml:space="preserve"> un  2023. gadā 80 000 </w:t>
      </w:r>
      <w:r w:rsidRPr="00B55026">
        <w:rPr>
          <w:rFonts w:eastAsia="Times New Roman" w:cs="Times New Roman"/>
          <w:i/>
          <w:szCs w:val="24"/>
          <w:lang w:val="lv-LV" w:eastAsia="lv-LV"/>
        </w:rPr>
        <w:t>euro</w:t>
      </w:r>
      <w:r w:rsidRPr="00B55026">
        <w:rPr>
          <w:rFonts w:eastAsia="Times New Roman" w:cs="Times New Roman"/>
          <w:szCs w:val="24"/>
          <w:lang w:val="lv-LV" w:eastAsia="lv-LV"/>
        </w:rPr>
        <w:t>;</w:t>
      </w:r>
    </w:p>
    <w:p w14:paraId="46638C06" w14:textId="4B359433" w:rsidR="00B55026" w:rsidRPr="00B55026" w:rsidRDefault="00B55026" w:rsidP="004C1C06">
      <w:pPr>
        <w:numPr>
          <w:ilvl w:val="0"/>
          <w:numId w:val="51"/>
        </w:numPr>
        <w:spacing w:before="120"/>
        <w:rPr>
          <w:rFonts w:eastAsia="Times New Roman" w:cs="Times New Roman"/>
          <w:szCs w:val="24"/>
          <w:lang w:val="lv-LV"/>
        </w:rPr>
      </w:pPr>
      <w:r w:rsidRPr="00B55026">
        <w:rPr>
          <w:rFonts w:eastAsiaTheme="minorHAnsi" w:cs="Times New Roman"/>
          <w:szCs w:val="24"/>
          <w:lang w:val="lv-LV"/>
        </w:rPr>
        <w:t>budžeta programmā 97.00.00 “</w:t>
      </w:r>
      <w:r w:rsidR="001D71AD" w:rsidRPr="001D71AD">
        <w:rPr>
          <w:rFonts w:eastAsiaTheme="minorHAnsi" w:cs="Times New Roman"/>
          <w:szCs w:val="24"/>
          <w:lang w:val="lv-LV"/>
        </w:rPr>
        <w:t>Nozaru vadība un politikas plānošana</w:t>
      </w:r>
      <w:r w:rsidRPr="00B55026">
        <w:rPr>
          <w:rFonts w:eastAsiaTheme="minorHAnsi" w:cs="Times New Roman"/>
          <w:szCs w:val="24"/>
          <w:lang w:val="lv-LV"/>
        </w:rPr>
        <w:t xml:space="preserve">” </w:t>
      </w:r>
      <w:r w:rsidRPr="00B55026">
        <w:rPr>
          <w:rFonts w:eastAsia="Times New Roman" w:cs="Times New Roman"/>
          <w:szCs w:val="24"/>
          <w:lang w:val="lv-LV"/>
        </w:rPr>
        <w:t xml:space="preserve">iekšējā audita ieviešanai pašvaldībās, lai digitalizētu un modernizētu valsts pārvaldes iekšējā audita funkciju, </w:t>
      </w:r>
      <w:r w:rsidR="001D71AD">
        <w:rPr>
          <w:rFonts w:eastAsia="Times New Roman" w:cs="Times New Roman"/>
          <w:szCs w:val="24"/>
          <w:lang w:val="lv-LV" w:eastAsia="lv-LV"/>
        </w:rPr>
        <w:t>2022. gadā 22</w:t>
      </w:r>
      <w:r w:rsidRPr="00B55026">
        <w:rPr>
          <w:rFonts w:eastAsia="Times New Roman" w:cs="Times New Roman"/>
          <w:szCs w:val="24"/>
          <w:lang w:val="lv-LV" w:eastAsia="lv-LV"/>
        </w:rPr>
        <w:t xml:space="preserve">0 000 </w:t>
      </w:r>
      <w:r w:rsidRPr="00B55026">
        <w:rPr>
          <w:rFonts w:eastAsia="Times New Roman" w:cs="Times New Roman"/>
          <w:i/>
          <w:szCs w:val="24"/>
          <w:lang w:val="lv-LV" w:eastAsia="lv-LV"/>
        </w:rPr>
        <w:t>euro</w:t>
      </w:r>
      <w:r w:rsidR="001D71AD">
        <w:rPr>
          <w:rFonts w:eastAsia="Times New Roman" w:cs="Times New Roman"/>
          <w:szCs w:val="24"/>
          <w:lang w:val="lv-LV" w:eastAsia="lv-LV"/>
        </w:rPr>
        <w:t>, 2023. gadā 8</w:t>
      </w:r>
      <w:r w:rsidRPr="00B55026">
        <w:rPr>
          <w:rFonts w:eastAsia="Times New Roman" w:cs="Times New Roman"/>
          <w:szCs w:val="24"/>
          <w:lang w:val="lv-LV" w:eastAsia="lv-LV"/>
        </w:rPr>
        <w:t xml:space="preserve">0 000 </w:t>
      </w:r>
      <w:r w:rsidRPr="00B55026">
        <w:rPr>
          <w:rFonts w:eastAsia="Times New Roman" w:cs="Times New Roman"/>
          <w:i/>
          <w:szCs w:val="24"/>
          <w:lang w:val="lv-LV" w:eastAsia="lv-LV"/>
        </w:rPr>
        <w:t>euro</w:t>
      </w:r>
      <w:r w:rsidR="001D71AD">
        <w:rPr>
          <w:rFonts w:eastAsia="Times New Roman" w:cs="Times New Roman"/>
          <w:szCs w:val="24"/>
          <w:lang w:val="lv-LV" w:eastAsia="lv-LV"/>
        </w:rPr>
        <w:t>, 2024. gadā 8</w:t>
      </w:r>
      <w:r w:rsidRPr="00B55026">
        <w:rPr>
          <w:rFonts w:eastAsia="Times New Roman" w:cs="Times New Roman"/>
          <w:szCs w:val="24"/>
          <w:lang w:val="lv-LV" w:eastAsia="lv-LV"/>
        </w:rPr>
        <w:t xml:space="preserve">0 000 </w:t>
      </w:r>
      <w:r w:rsidRPr="00B55026">
        <w:rPr>
          <w:rFonts w:eastAsia="Times New Roman" w:cs="Times New Roman"/>
          <w:i/>
          <w:iCs/>
          <w:szCs w:val="24"/>
          <w:lang w:val="lv-LV" w:eastAsia="lv-LV"/>
        </w:rPr>
        <w:t>euro</w:t>
      </w:r>
      <w:r w:rsidRPr="00B55026">
        <w:rPr>
          <w:rFonts w:eastAsia="Times New Roman" w:cs="Times New Roman"/>
          <w:szCs w:val="24"/>
          <w:lang w:val="lv-LV" w:eastAsia="lv-LV"/>
        </w:rPr>
        <w:t xml:space="preserve"> un turpmāk ik gadu 80 000 </w:t>
      </w:r>
      <w:r w:rsidRPr="00B55026">
        <w:rPr>
          <w:rFonts w:eastAsia="Times New Roman" w:cs="Times New Roman"/>
          <w:i/>
          <w:szCs w:val="24"/>
          <w:lang w:val="lv-LV" w:eastAsia="lv-LV"/>
        </w:rPr>
        <w:t>euro</w:t>
      </w:r>
      <w:r w:rsidRPr="00B55026">
        <w:rPr>
          <w:rFonts w:eastAsia="Times New Roman" w:cs="Times New Roman"/>
          <w:szCs w:val="24"/>
          <w:lang w:val="lv-LV" w:eastAsia="lv-LV"/>
        </w:rPr>
        <w:t>;</w:t>
      </w:r>
    </w:p>
    <w:p w14:paraId="73FF89F5" w14:textId="2E2CA72E" w:rsidR="00B55026" w:rsidRDefault="00B55026" w:rsidP="004C1C06">
      <w:pPr>
        <w:numPr>
          <w:ilvl w:val="0"/>
          <w:numId w:val="51"/>
        </w:numPr>
        <w:spacing w:before="120"/>
        <w:rPr>
          <w:rFonts w:eastAsia="Times New Roman" w:cs="Times New Roman"/>
          <w:szCs w:val="24"/>
          <w:lang w:val="lv-LV"/>
        </w:rPr>
      </w:pPr>
      <w:r w:rsidRPr="00B55026">
        <w:rPr>
          <w:rFonts w:eastAsiaTheme="minorHAnsi" w:cs="Times New Roman"/>
          <w:szCs w:val="24"/>
          <w:lang w:val="lv-LV"/>
        </w:rPr>
        <w:t>budžeta programmā 97.00.00 “</w:t>
      </w:r>
      <w:r w:rsidR="004E68FF" w:rsidRPr="004E68FF">
        <w:rPr>
          <w:rFonts w:eastAsiaTheme="minorHAnsi" w:cs="Times New Roman"/>
          <w:szCs w:val="24"/>
          <w:lang w:val="lv-LV"/>
        </w:rPr>
        <w:t>Nozaru vadība un politikas plānošana</w:t>
      </w:r>
      <w:r w:rsidRPr="00B55026">
        <w:rPr>
          <w:rFonts w:eastAsiaTheme="minorHAnsi" w:cs="Times New Roman"/>
          <w:szCs w:val="24"/>
          <w:lang w:val="lv-LV"/>
        </w:rPr>
        <w:t xml:space="preserve">” </w:t>
      </w:r>
      <w:r w:rsidRPr="00B55026">
        <w:rPr>
          <w:rFonts w:eastAsia="Times New Roman" w:cs="Times New Roman"/>
          <w:szCs w:val="24"/>
          <w:lang w:val="lv-LV"/>
        </w:rPr>
        <w:t xml:space="preserve">valsts pārvaldes iekšējā audita struktūrvienību kapacitātes stiprināšanai un konkurētspējīga iekšējo auditoru sertifikācijas procesa ieviešanai, lai veicinātu modernu pārvaldību, tostarp birokrātijas mazināšanu, labas pārvaldības attīstību un efektivitātes celšanu publiskajā pārvaldē </w:t>
      </w:r>
      <w:r w:rsidRPr="00B55026">
        <w:rPr>
          <w:rFonts w:eastAsia="Times New Roman" w:cs="Times New Roman"/>
          <w:szCs w:val="24"/>
          <w:lang w:val="lv-LV" w:eastAsia="lv-LV"/>
        </w:rPr>
        <w:t xml:space="preserve">2022. gadā 310 000 </w:t>
      </w:r>
      <w:r w:rsidRPr="00B55026">
        <w:rPr>
          <w:rFonts w:eastAsia="Times New Roman" w:cs="Times New Roman"/>
          <w:i/>
          <w:szCs w:val="24"/>
          <w:lang w:val="lv-LV" w:eastAsia="lv-LV"/>
        </w:rPr>
        <w:t>euro</w:t>
      </w:r>
      <w:r w:rsidRPr="00B55026">
        <w:rPr>
          <w:rFonts w:eastAsia="Times New Roman" w:cs="Times New Roman"/>
          <w:szCs w:val="24"/>
          <w:lang w:val="lv-LV" w:eastAsia="lv-LV"/>
        </w:rPr>
        <w:t xml:space="preserve">, 2023. gadā 100 000 </w:t>
      </w:r>
      <w:r w:rsidRPr="00B55026">
        <w:rPr>
          <w:rFonts w:eastAsia="Times New Roman" w:cs="Times New Roman"/>
          <w:i/>
          <w:szCs w:val="24"/>
          <w:lang w:val="lv-LV" w:eastAsia="lv-LV"/>
        </w:rPr>
        <w:t>euro</w:t>
      </w:r>
      <w:r w:rsidRPr="00B55026">
        <w:rPr>
          <w:rFonts w:eastAsia="Times New Roman" w:cs="Times New Roman"/>
          <w:szCs w:val="24"/>
          <w:lang w:val="lv-LV" w:eastAsia="lv-LV"/>
        </w:rPr>
        <w:t xml:space="preserve">, 2024. gadā 40 000 </w:t>
      </w:r>
      <w:r w:rsidRPr="00B55026">
        <w:rPr>
          <w:rFonts w:eastAsia="Times New Roman" w:cs="Times New Roman"/>
          <w:i/>
          <w:iCs/>
          <w:szCs w:val="24"/>
          <w:lang w:val="lv-LV" w:eastAsia="lv-LV"/>
        </w:rPr>
        <w:t>euro</w:t>
      </w:r>
      <w:r w:rsidR="004E68FF">
        <w:rPr>
          <w:rFonts w:eastAsia="Times New Roman" w:cs="Times New Roman"/>
          <w:szCs w:val="24"/>
          <w:lang w:val="lv-LV" w:eastAsia="lv-LV"/>
        </w:rPr>
        <w:t>.</w:t>
      </w:r>
    </w:p>
    <w:p w14:paraId="50F06813" w14:textId="665BCC29" w:rsidR="00574F69" w:rsidRDefault="00DE6C53" w:rsidP="00574F69">
      <w:pPr>
        <w:numPr>
          <w:ilvl w:val="0"/>
          <w:numId w:val="51"/>
        </w:numPr>
        <w:spacing w:before="120"/>
        <w:rPr>
          <w:rFonts w:eastAsia="Times New Roman" w:cs="Times New Roman"/>
          <w:szCs w:val="24"/>
          <w:lang w:val="lv-LV"/>
        </w:rPr>
      </w:pPr>
      <w:r w:rsidRPr="00DE6C53">
        <w:rPr>
          <w:rFonts w:eastAsia="Times New Roman" w:cs="Times New Roman"/>
          <w:szCs w:val="24"/>
          <w:lang w:val="lv-LV"/>
        </w:rPr>
        <w:t xml:space="preserve">ZM budžeta apakšprogrammā 22.03.00 “Kultūra” ir paredzēts finansējums nodibinājumam “Kokneses fonds” ZM valdījumā esošā un Likteņdārza sastāvā ietilpstošā valsts nekustamā īpašuma “Sala” saglabāšanai, attīstīšanai un uzturēšanai 100 000 </w:t>
      </w:r>
      <w:r w:rsidRPr="00DE6C53">
        <w:rPr>
          <w:rFonts w:eastAsia="Times New Roman" w:cs="Times New Roman"/>
          <w:i/>
          <w:szCs w:val="24"/>
          <w:lang w:val="lv-LV"/>
        </w:rPr>
        <w:t>euro</w:t>
      </w:r>
      <w:r w:rsidRPr="00DE6C53">
        <w:rPr>
          <w:rFonts w:eastAsia="Times New Roman" w:cs="Times New Roman"/>
          <w:szCs w:val="24"/>
          <w:lang w:val="lv-LV"/>
        </w:rPr>
        <w:t xml:space="preserve"> apmērā ik gadu. FM ir saņemta nodibinājuma “Kokneses fonds” 2021.</w:t>
      </w:r>
      <w:r>
        <w:rPr>
          <w:rFonts w:eastAsia="Times New Roman" w:cs="Times New Roman"/>
          <w:szCs w:val="24"/>
          <w:lang w:val="lv-LV"/>
        </w:rPr>
        <w:t xml:space="preserve"> </w:t>
      </w:r>
      <w:r w:rsidRPr="00DE6C53">
        <w:rPr>
          <w:rFonts w:eastAsia="Times New Roman" w:cs="Times New Roman"/>
          <w:szCs w:val="24"/>
          <w:lang w:val="lv-LV"/>
        </w:rPr>
        <w:t>gada 16.</w:t>
      </w:r>
      <w:r>
        <w:rPr>
          <w:rFonts w:eastAsia="Times New Roman" w:cs="Times New Roman"/>
          <w:szCs w:val="24"/>
          <w:lang w:val="lv-LV"/>
        </w:rPr>
        <w:t xml:space="preserve"> </w:t>
      </w:r>
      <w:r w:rsidRPr="00DE6C53">
        <w:rPr>
          <w:rFonts w:eastAsia="Times New Roman" w:cs="Times New Roman"/>
          <w:szCs w:val="24"/>
          <w:lang w:val="lv-LV"/>
        </w:rPr>
        <w:t xml:space="preserve">jūnija vēstule, kurā tiek izteikts aicinājums sniegt papildu atbalstu Likteņdārza uzturēšanas izdevumu segšanai 50 000 </w:t>
      </w:r>
      <w:r w:rsidRPr="00DE6C53">
        <w:rPr>
          <w:rFonts w:eastAsia="Times New Roman" w:cs="Times New Roman"/>
          <w:i/>
          <w:szCs w:val="24"/>
          <w:lang w:val="lv-LV"/>
        </w:rPr>
        <w:t>euro</w:t>
      </w:r>
      <w:r w:rsidRPr="00DE6C53">
        <w:rPr>
          <w:rFonts w:eastAsia="Times New Roman" w:cs="Times New Roman"/>
          <w:szCs w:val="24"/>
          <w:lang w:val="lv-LV"/>
        </w:rPr>
        <w:t xml:space="preserve"> </w:t>
      </w:r>
      <w:r w:rsidRPr="00DE6C53">
        <w:rPr>
          <w:rFonts w:eastAsia="Times New Roman" w:cs="Times New Roman"/>
          <w:szCs w:val="24"/>
          <w:lang w:val="lv-LV"/>
        </w:rPr>
        <w:lastRenderedPageBreak/>
        <w:t>apmērā, lai Likteņdārza komplekss, ieskaitot Saieta namu, kura pabeigšanai arī tika piešķirts valsts budžeta finansējums, varētu sekmīgi pildīt savas funkcijas, attīstot un dažādojot piemiņas kopšanas formas, kā arī rīkojot izglītības un kultūras pasākumus. Fin</w:t>
      </w:r>
      <w:r w:rsidR="007F2061">
        <w:rPr>
          <w:rFonts w:eastAsia="Times New Roman" w:cs="Times New Roman"/>
          <w:szCs w:val="24"/>
          <w:lang w:val="lv-LV"/>
        </w:rPr>
        <w:t>ansējums nepieciešams</w:t>
      </w:r>
      <w:r w:rsidRPr="00DE6C53">
        <w:rPr>
          <w:rFonts w:eastAsia="Times New Roman" w:cs="Times New Roman"/>
          <w:szCs w:val="24"/>
          <w:lang w:val="lv-LV"/>
        </w:rPr>
        <w:t>, lai daļēji segtu Saieta nama apsaimniekošanas izdevumus.</w:t>
      </w:r>
      <w:r>
        <w:rPr>
          <w:rFonts w:eastAsia="Times New Roman" w:cs="Times New Roman"/>
          <w:szCs w:val="24"/>
          <w:lang w:val="lv-LV"/>
        </w:rPr>
        <w:t xml:space="preserve"> </w:t>
      </w:r>
      <w:r w:rsidRPr="00DE6C53">
        <w:rPr>
          <w:rFonts w:eastAsia="Times New Roman" w:cs="Times New Roman"/>
          <w:szCs w:val="24"/>
          <w:lang w:val="lv-LV"/>
        </w:rPr>
        <w:t xml:space="preserve">Likteņdārza uzturēšanas izdevumu segšanai papildu nepieciešamo finansējumu 50 000 </w:t>
      </w:r>
      <w:r w:rsidRPr="00DE6C53">
        <w:rPr>
          <w:rFonts w:eastAsia="Times New Roman" w:cs="Times New Roman"/>
          <w:i/>
          <w:szCs w:val="24"/>
          <w:lang w:val="lv-LV"/>
        </w:rPr>
        <w:t>euro</w:t>
      </w:r>
      <w:r w:rsidRPr="00DE6C53">
        <w:rPr>
          <w:rFonts w:eastAsia="Times New Roman" w:cs="Times New Roman"/>
          <w:szCs w:val="24"/>
          <w:lang w:val="lv-LV"/>
        </w:rPr>
        <w:t xml:space="preserve"> apmērā </w:t>
      </w:r>
      <w:r w:rsidR="00B967E5">
        <w:rPr>
          <w:rFonts w:eastAsia="Times New Roman" w:cs="Times New Roman"/>
          <w:szCs w:val="24"/>
          <w:lang w:val="lv-LV"/>
        </w:rPr>
        <w:t>2022. - 2024.gadam</w:t>
      </w:r>
      <w:r w:rsidRPr="00DE6C53">
        <w:rPr>
          <w:rFonts w:eastAsia="Times New Roman" w:cs="Times New Roman"/>
          <w:szCs w:val="24"/>
          <w:lang w:val="lv-LV"/>
        </w:rPr>
        <w:t xml:space="preserve"> nepieciešams paredzēt </w:t>
      </w:r>
      <w:r>
        <w:rPr>
          <w:rFonts w:eastAsia="Times New Roman" w:cs="Times New Roman"/>
          <w:szCs w:val="24"/>
          <w:lang w:val="lv-LV"/>
        </w:rPr>
        <w:t>ZM</w:t>
      </w:r>
      <w:r w:rsidRPr="00DE6C53">
        <w:rPr>
          <w:rFonts w:eastAsia="Times New Roman" w:cs="Times New Roman"/>
          <w:szCs w:val="24"/>
          <w:lang w:val="lv-LV"/>
        </w:rPr>
        <w:t xml:space="preserve"> budžeta apa</w:t>
      </w:r>
      <w:r w:rsidR="00B967E5">
        <w:rPr>
          <w:rFonts w:eastAsia="Times New Roman" w:cs="Times New Roman"/>
          <w:szCs w:val="24"/>
          <w:lang w:val="lv-LV"/>
        </w:rPr>
        <w:t xml:space="preserve">kšprogrammā 22.03.00 “Kultūra”. </w:t>
      </w:r>
    </w:p>
    <w:p w14:paraId="16BCF23E" w14:textId="45C9272B" w:rsidR="00574F69" w:rsidRPr="00574F69" w:rsidRDefault="00574F69" w:rsidP="00574F69">
      <w:pPr>
        <w:spacing w:before="120"/>
        <w:ind w:firstLine="720"/>
        <w:rPr>
          <w:rFonts w:eastAsia="Times New Roman" w:cs="Times New Roman"/>
          <w:szCs w:val="24"/>
          <w:lang w:val="lv-LV"/>
        </w:rPr>
      </w:pPr>
      <w:r w:rsidRPr="00574F69">
        <w:rPr>
          <w:rFonts w:eastAsiaTheme="minorHAnsi"/>
          <w:szCs w:val="24"/>
          <w:lang w:val="lv-LV"/>
        </w:rPr>
        <w:t xml:space="preserve">Valsts budžeta programmā 33.00.00 “Valsts ieņēmumu un muitas politikas nodrošināšana” ir identificēta iespēja samazināt izdevumus 2022. gadam un turpmāk ik gadu </w:t>
      </w:r>
      <w:r w:rsidRPr="00574F69">
        <w:rPr>
          <w:rFonts w:eastAsia="Times New Roman"/>
          <w:szCs w:val="24"/>
          <w:lang w:val="lv-LV" w:eastAsia="lv-LV"/>
        </w:rPr>
        <w:t xml:space="preserve">516,6 tūkst. </w:t>
      </w:r>
      <w:r w:rsidRPr="00574F69">
        <w:rPr>
          <w:rFonts w:eastAsia="Times New Roman"/>
          <w:i/>
          <w:szCs w:val="24"/>
          <w:lang w:val="lv-LV" w:eastAsia="lv-LV"/>
        </w:rPr>
        <w:t>euro</w:t>
      </w:r>
      <w:r w:rsidRPr="00574F69">
        <w:rPr>
          <w:rFonts w:eastAsia="Times New Roman"/>
          <w:szCs w:val="24"/>
          <w:lang w:val="lv-LV" w:eastAsia="lv-LV"/>
        </w:rPr>
        <w:t xml:space="preserve"> apmērā no </w:t>
      </w:r>
      <w:r w:rsidRPr="00574F69">
        <w:rPr>
          <w:rFonts w:eastAsiaTheme="minorHAnsi"/>
          <w:szCs w:val="24"/>
          <w:lang w:val="lv-LV"/>
        </w:rPr>
        <w:t>sistēmu pilnveidošanas un uzturēšanas darbiem, informācijas sistēmu drošības pārvaldībai un informācijas sistēmu tehnikai un biroja tehnikai saistībā ar attālinātā darba ieviešanu, kā arī samazinot nomāto transportlīdzekļu skaitu un ārpakalpojumus video materiālu apstrādei un grafiskā dizaina veikšanai.</w:t>
      </w:r>
    </w:p>
    <w:tbl>
      <w:tblPr>
        <w:tblStyle w:val="TableGrid1"/>
        <w:tblW w:w="0" w:type="auto"/>
        <w:jc w:val="center"/>
        <w:tblLook w:val="04A0" w:firstRow="1" w:lastRow="0" w:firstColumn="1" w:lastColumn="0" w:noHBand="0" w:noVBand="1"/>
      </w:tblPr>
      <w:tblGrid>
        <w:gridCol w:w="709"/>
        <w:gridCol w:w="1413"/>
        <w:gridCol w:w="696"/>
        <w:gridCol w:w="1430"/>
        <w:gridCol w:w="696"/>
        <w:gridCol w:w="1430"/>
      </w:tblGrid>
      <w:tr w:rsidR="00574F69" w:rsidRPr="00CE0303" w14:paraId="0E0EE69E" w14:textId="77777777" w:rsidTr="002C24FA">
        <w:trPr>
          <w:jc w:val="center"/>
        </w:trPr>
        <w:tc>
          <w:tcPr>
            <w:tcW w:w="709" w:type="dxa"/>
            <w:shd w:val="clear" w:color="auto" w:fill="92D050"/>
            <w:vAlign w:val="center"/>
          </w:tcPr>
          <w:p w14:paraId="69A6025F" w14:textId="77777777" w:rsidR="00574F69" w:rsidRPr="00CE0303" w:rsidRDefault="00574F69" w:rsidP="002C24FA">
            <w:pPr>
              <w:spacing w:after="0"/>
              <w:jc w:val="center"/>
              <w:rPr>
                <w:rFonts w:eastAsiaTheme="minorHAnsi"/>
                <w:lang w:val="lv-LV"/>
              </w:rPr>
            </w:pPr>
            <w:r w:rsidRPr="00CE0303">
              <w:rPr>
                <w:rFonts w:eastAsiaTheme="minorHAnsi"/>
                <w:lang w:val="lv-LV"/>
              </w:rPr>
              <w:t>2022</w:t>
            </w:r>
          </w:p>
        </w:tc>
        <w:tc>
          <w:tcPr>
            <w:tcW w:w="1413" w:type="dxa"/>
            <w:vAlign w:val="center"/>
          </w:tcPr>
          <w:p w14:paraId="20B5EC27" w14:textId="77777777" w:rsidR="00574F69" w:rsidRPr="00CE0303" w:rsidRDefault="00574F69" w:rsidP="002C24FA">
            <w:pPr>
              <w:spacing w:after="0"/>
              <w:jc w:val="center"/>
              <w:rPr>
                <w:rFonts w:eastAsiaTheme="minorHAnsi"/>
                <w:lang w:val="lv-LV"/>
              </w:rPr>
            </w:pPr>
            <w:r>
              <w:rPr>
                <w:rFonts w:eastAsiaTheme="minorHAnsi"/>
                <w:szCs w:val="24"/>
                <w:lang w:val="lv-LV"/>
              </w:rPr>
              <w:t>516 55</w:t>
            </w:r>
            <w:r w:rsidRPr="00CE0303">
              <w:rPr>
                <w:rFonts w:eastAsiaTheme="minorHAnsi"/>
                <w:szCs w:val="24"/>
                <w:lang w:val="lv-LV"/>
              </w:rPr>
              <w:t>0</w:t>
            </w:r>
          </w:p>
        </w:tc>
        <w:tc>
          <w:tcPr>
            <w:tcW w:w="696" w:type="dxa"/>
            <w:shd w:val="clear" w:color="auto" w:fill="92D050"/>
            <w:vAlign w:val="center"/>
          </w:tcPr>
          <w:p w14:paraId="7E314E62" w14:textId="77777777" w:rsidR="00574F69" w:rsidRPr="00CE0303" w:rsidRDefault="00574F69" w:rsidP="002C24FA">
            <w:pPr>
              <w:spacing w:after="0"/>
              <w:jc w:val="center"/>
              <w:rPr>
                <w:rFonts w:eastAsiaTheme="minorHAnsi"/>
                <w:lang w:val="lv-LV"/>
              </w:rPr>
            </w:pPr>
            <w:r w:rsidRPr="00CE0303">
              <w:rPr>
                <w:rFonts w:eastAsiaTheme="minorHAnsi"/>
                <w:lang w:val="lv-LV"/>
              </w:rPr>
              <w:t>2023</w:t>
            </w:r>
          </w:p>
        </w:tc>
        <w:tc>
          <w:tcPr>
            <w:tcW w:w="1430" w:type="dxa"/>
            <w:vAlign w:val="center"/>
          </w:tcPr>
          <w:p w14:paraId="44990AF9" w14:textId="77777777" w:rsidR="00574F69" w:rsidRPr="00CE0303" w:rsidRDefault="00574F69" w:rsidP="002C24FA">
            <w:pPr>
              <w:spacing w:after="0"/>
              <w:jc w:val="center"/>
              <w:rPr>
                <w:rFonts w:eastAsiaTheme="minorHAnsi"/>
                <w:lang w:val="lv-LV"/>
              </w:rPr>
            </w:pPr>
            <w:r w:rsidRPr="00CE0303">
              <w:rPr>
                <w:rFonts w:eastAsiaTheme="minorHAnsi"/>
                <w:szCs w:val="24"/>
                <w:lang w:val="lv-LV"/>
              </w:rPr>
              <w:t xml:space="preserve">516 </w:t>
            </w:r>
            <w:r>
              <w:rPr>
                <w:rFonts w:eastAsiaTheme="minorHAnsi"/>
                <w:szCs w:val="24"/>
                <w:lang w:val="lv-LV"/>
              </w:rPr>
              <w:t>55</w:t>
            </w:r>
            <w:r w:rsidRPr="00CE0303">
              <w:rPr>
                <w:rFonts w:eastAsiaTheme="minorHAnsi"/>
                <w:szCs w:val="24"/>
                <w:lang w:val="lv-LV"/>
              </w:rPr>
              <w:t>0</w:t>
            </w:r>
          </w:p>
        </w:tc>
        <w:tc>
          <w:tcPr>
            <w:tcW w:w="696" w:type="dxa"/>
            <w:shd w:val="clear" w:color="auto" w:fill="92D050"/>
            <w:vAlign w:val="center"/>
          </w:tcPr>
          <w:p w14:paraId="3E46D896" w14:textId="77777777" w:rsidR="00574F69" w:rsidRPr="00CE0303" w:rsidRDefault="00574F69" w:rsidP="002C24FA">
            <w:pPr>
              <w:spacing w:after="0"/>
              <w:jc w:val="center"/>
              <w:rPr>
                <w:rFonts w:eastAsiaTheme="minorHAnsi"/>
                <w:lang w:val="lv-LV"/>
              </w:rPr>
            </w:pPr>
            <w:r w:rsidRPr="00CE0303">
              <w:rPr>
                <w:rFonts w:eastAsiaTheme="minorHAnsi"/>
                <w:lang w:val="lv-LV"/>
              </w:rPr>
              <w:t>2024</w:t>
            </w:r>
          </w:p>
        </w:tc>
        <w:tc>
          <w:tcPr>
            <w:tcW w:w="1430" w:type="dxa"/>
            <w:vAlign w:val="center"/>
          </w:tcPr>
          <w:p w14:paraId="3EEFBC12" w14:textId="3609BFA9" w:rsidR="00574F69" w:rsidRPr="00574F69" w:rsidRDefault="00574F69" w:rsidP="00574F69">
            <w:pPr>
              <w:pStyle w:val="ListParagraph"/>
              <w:numPr>
                <w:ilvl w:val="0"/>
                <w:numId w:val="56"/>
              </w:numPr>
              <w:spacing w:after="0"/>
              <w:jc w:val="center"/>
              <w:rPr>
                <w:rFonts w:eastAsiaTheme="minorHAnsi"/>
                <w:lang w:val="lv-LV"/>
              </w:rPr>
            </w:pPr>
            <w:r w:rsidRPr="00574F69">
              <w:rPr>
                <w:rFonts w:eastAsiaTheme="minorHAnsi"/>
                <w:szCs w:val="24"/>
                <w:lang w:val="lv-LV"/>
              </w:rPr>
              <w:t>0</w:t>
            </w:r>
          </w:p>
        </w:tc>
      </w:tr>
    </w:tbl>
    <w:p w14:paraId="6CB1FA56" w14:textId="77777777" w:rsidR="00574F69" w:rsidRPr="00574F69" w:rsidRDefault="00574F69" w:rsidP="00574F69">
      <w:pPr>
        <w:spacing w:before="120"/>
        <w:ind w:firstLine="720"/>
        <w:rPr>
          <w:rFonts w:eastAsiaTheme="minorHAnsi"/>
          <w:szCs w:val="24"/>
          <w:lang w:val="lv-LV"/>
        </w:rPr>
      </w:pPr>
      <w:r w:rsidRPr="00574F69">
        <w:rPr>
          <w:rFonts w:eastAsiaTheme="minorHAnsi"/>
          <w:szCs w:val="24"/>
          <w:lang w:val="lv-LV"/>
        </w:rPr>
        <w:t xml:space="preserve">Valsts budžeta programmā </w:t>
      </w:r>
      <w:r w:rsidRPr="00574F69">
        <w:rPr>
          <w:lang w:val="lv-LV"/>
        </w:rPr>
        <w:t xml:space="preserve">budžeta programmā 97.00.00 “Nozaru vadība un politikas plānošana” </w:t>
      </w:r>
      <w:r w:rsidRPr="00574F69">
        <w:rPr>
          <w:rFonts w:eastAsiaTheme="minorHAnsi"/>
          <w:szCs w:val="24"/>
          <w:lang w:val="lv-LV"/>
        </w:rPr>
        <w:t xml:space="preserve">ir identificēta iespēja samazināt izdevumus 2022. gadam un turpmāk ik gadu </w:t>
      </w:r>
      <w:r w:rsidRPr="00574F69">
        <w:rPr>
          <w:rFonts w:eastAsia="Times New Roman"/>
          <w:szCs w:val="24"/>
          <w:lang w:val="lv-LV" w:eastAsia="lv-LV"/>
        </w:rPr>
        <w:t xml:space="preserve">95,6 tūkst. </w:t>
      </w:r>
      <w:r w:rsidRPr="00574F69">
        <w:rPr>
          <w:rFonts w:eastAsia="Times New Roman"/>
          <w:i/>
          <w:szCs w:val="24"/>
          <w:lang w:val="lv-LV" w:eastAsia="lv-LV"/>
        </w:rPr>
        <w:t>euro</w:t>
      </w:r>
      <w:r w:rsidRPr="00574F69">
        <w:rPr>
          <w:rFonts w:eastAsia="Times New Roman"/>
          <w:szCs w:val="24"/>
          <w:lang w:val="lv-LV" w:eastAsia="lv-LV"/>
        </w:rPr>
        <w:t xml:space="preserve"> apmērā efektivizējot darba organizēšanas procesu</w:t>
      </w:r>
      <w:r w:rsidRPr="00574F69">
        <w:rPr>
          <w:rFonts w:eastAsiaTheme="minorHAnsi"/>
          <w:szCs w:val="24"/>
          <w:lang w:val="lv-LV"/>
        </w:rPr>
        <w:t>.</w:t>
      </w:r>
    </w:p>
    <w:tbl>
      <w:tblPr>
        <w:tblStyle w:val="TableGrid1"/>
        <w:tblW w:w="0" w:type="auto"/>
        <w:jc w:val="center"/>
        <w:tblLook w:val="04A0" w:firstRow="1" w:lastRow="0" w:firstColumn="1" w:lastColumn="0" w:noHBand="0" w:noVBand="1"/>
      </w:tblPr>
      <w:tblGrid>
        <w:gridCol w:w="709"/>
        <w:gridCol w:w="1413"/>
        <w:gridCol w:w="696"/>
        <w:gridCol w:w="1430"/>
        <w:gridCol w:w="696"/>
        <w:gridCol w:w="1430"/>
      </w:tblGrid>
      <w:tr w:rsidR="00574F69" w:rsidRPr="00CE0303" w14:paraId="1CC4BE71" w14:textId="77777777" w:rsidTr="002C24FA">
        <w:trPr>
          <w:jc w:val="center"/>
        </w:trPr>
        <w:tc>
          <w:tcPr>
            <w:tcW w:w="709" w:type="dxa"/>
            <w:shd w:val="clear" w:color="auto" w:fill="92D050"/>
            <w:vAlign w:val="center"/>
          </w:tcPr>
          <w:p w14:paraId="02DDA544" w14:textId="77777777" w:rsidR="00574F69" w:rsidRPr="00CE0303" w:rsidRDefault="00574F69" w:rsidP="002C24FA">
            <w:pPr>
              <w:spacing w:after="0"/>
              <w:jc w:val="center"/>
              <w:rPr>
                <w:rFonts w:eastAsiaTheme="minorHAnsi"/>
                <w:lang w:val="lv-LV"/>
              </w:rPr>
            </w:pPr>
            <w:r w:rsidRPr="00CE0303">
              <w:rPr>
                <w:rFonts w:eastAsiaTheme="minorHAnsi"/>
                <w:lang w:val="lv-LV"/>
              </w:rPr>
              <w:t>2022</w:t>
            </w:r>
          </w:p>
        </w:tc>
        <w:tc>
          <w:tcPr>
            <w:tcW w:w="1413" w:type="dxa"/>
            <w:vAlign w:val="center"/>
          </w:tcPr>
          <w:p w14:paraId="0C19C419" w14:textId="77777777" w:rsidR="00574F69" w:rsidRPr="00CE0303" w:rsidRDefault="00574F69" w:rsidP="002C24FA">
            <w:pPr>
              <w:spacing w:after="0"/>
              <w:jc w:val="center"/>
              <w:rPr>
                <w:rFonts w:eastAsiaTheme="minorHAnsi"/>
                <w:lang w:val="lv-LV"/>
              </w:rPr>
            </w:pPr>
            <w:r>
              <w:rPr>
                <w:rFonts w:eastAsiaTheme="minorHAnsi"/>
                <w:szCs w:val="24"/>
              </w:rPr>
              <w:t>95 600</w:t>
            </w:r>
          </w:p>
        </w:tc>
        <w:tc>
          <w:tcPr>
            <w:tcW w:w="696" w:type="dxa"/>
            <w:shd w:val="clear" w:color="auto" w:fill="92D050"/>
            <w:vAlign w:val="center"/>
          </w:tcPr>
          <w:p w14:paraId="5384B4DF" w14:textId="77777777" w:rsidR="00574F69" w:rsidRPr="00CE0303" w:rsidRDefault="00574F69" w:rsidP="002C24FA">
            <w:pPr>
              <w:spacing w:after="0"/>
              <w:jc w:val="center"/>
              <w:rPr>
                <w:rFonts w:eastAsiaTheme="minorHAnsi"/>
                <w:lang w:val="lv-LV"/>
              </w:rPr>
            </w:pPr>
            <w:r w:rsidRPr="00CE0303">
              <w:rPr>
                <w:rFonts w:eastAsiaTheme="minorHAnsi"/>
                <w:lang w:val="lv-LV"/>
              </w:rPr>
              <w:t>2023</w:t>
            </w:r>
          </w:p>
        </w:tc>
        <w:tc>
          <w:tcPr>
            <w:tcW w:w="1430" w:type="dxa"/>
            <w:vAlign w:val="center"/>
          </w:tcPr>
          <w:p w14:paraId="251BABEA" w14:textId="77777777" w:rsidR="00574F69" w:rsidRPr="00CE0303" w:rsidRDefault="00574F69" w:rsidP="002C24FA">
            <w:pPr>
              <w:spacing w:after="0"/>
              <w:jc w:val="center"/>
              <w:rPr>
                <w:rFonts w:eastAsiaTheme="minorHAnsi"/>
                <w:lang w:val="lv-LV"/>
              </w:rPr>
            </w:pPr>
            <w:r>
              <w:rPr>
                <w:rFonts w:eastAsiaTheme="minorHAnsi"/>
                <w:szCs w:val="24"/>
              </w:rPr>
              <w:t>95 600</w:t>
            </w:r>
          </w:p>
        </w:tc>
        <w:tc>
          <w:tcPr>
            <w:tcW w:w="696" w:type="dxa"/>
            <w:shd w:val="clear" w:color="auto" w:fill="92D050"/>
            <w:vAlign w:val="center"/>
          </w:tcPr>
          <w:p w14:paraId="319F038E" w14:textId="77777777" w:rsidR="00574F69" w:rsidRPr="00CE0303" w:rsidRDefault="00574F69" w:rsidP="002C24FA">
            <w:pPr>
              <w:spacing w:after="0"/>
              <w:jc w:val="center"/>
              <w:rPr>
                <w:rFonts w:eastAsiaTheme="minorHAnsi"/>
                <w:lang w:val="lv-LV"/>
              </w:rPr>
            </w:pPr>
            <w:r w:rsidRPr="00CE0303">
              <w:rPr>
                <w:rFonts w:eastAsiaTheme="minorHAnsi"/>
                <w:lang w:val="lv-LV"/>
              </w:rPr>
              <w:t>2024</w:t>
            </w:r>
          </w:p>
        </w:tc>
        <w:tc>
          <w:tcPr>
            <w:tcW w:w="1430" w:type="dxa"/>
            <w:vAlign w:val="center"/>
          </w:tcPr>
          <w:p w14:paraId="3C58265E" w14:textId="77777777" w:rsidR="00574F69" w:rsidRPr="00CE0303" w:rsidRDefault="00574F69" w:rsidP="002C24FA">
            <w:pPr>
              <w:spacing w:after="0"/>
              <w:jc w:val="center"/>
              <w:rPr>
                <w:rFonts w:eastAsiaTheme="minorHAnsi"/>
                <w:lang w:val="lv-LV"/>
              </w:rPr>
            </w:pPr>
            <w:r>
              <w:rPr>
                <w:rFonts w:eastAsiaTheme="minorHAnsi"/>
                <w:szCs w:val="24"/>
              </w:rPr>
              <w:t>95 600</w:t>
            </w:r>
          </w:p>
        </w:tc>
      </w:tr>
    </w:tbl>
    <w:p w14:paraId="6F500BB8" w14:textId="77777777" w:rsidR="00574F69" w:rsidRDefault="00574F69" w:rsidP="00CE0303">
      <w:pPr>
        <w:ind w:firstLine="720"/>
        <w:rPr>
          <w:rFonts w:eastAsiaTheme="minorHAnsi"/>
          <w:b/>
          <w:lang w:val="lv-LV"/>
        </w:rPr>
      </w:pPr>
    </w:p>
    <w:p w14:paraId="6BFAF01F" w14:textId="0BAFB8C5" w:rsidR="00CE0303" w:rsidRPr="00CE0303" w:rsidRDefault="00CE0303" w:rsidP="00CE0303">
      <w:pPr>
        <w:ind w:firstLine="720"/>
        <w:rPr>
          <w:rFonts w:eastAsiaTheme="minorHAnsi"/>
          <w:b/>
          <w:lang w:val="lv-LV"/>
        </w:rPr>
      </w:pPr>
      <w:r w:rsidRPr="00CE0303">
        <w:rPr>
          <w:rFonts w:eastAsiaTheme="minorHAnsi"/>
          <w:b/>
          <w:lang w:val="lv-LV"/>
        </w:rPr>
        <w:t>Iekšlietu ministrija</w:t>
      </w:r>
    </w:p>
    <w:p w14:paraId="14DAC8CE" w14:textId="083D3354" w:rsidR="00CE0303" w:rsidRPr="00CE0303" w:rsidRDefault="00CE0303" w:rsidP="00CE0303">
      <w:pPr>
        <w:ind w:firstLine="720"/>
        <w:rPr>
          <w:rFonts w:cs="Times New Roman"/>
          <w:szCs w:val="24"/>
          <w:lang w:val="lv-LV"/>
        </w:rPr>
      </w:pPr>
      <w:r w:rsidRPr="00CE0303">
        <w:rPr>
          <w:rFonts w:cs="Times New Roman"/>
          <w:szCs w:val="24"/>
          <w:lang w:val="lv-LV"/>
        </w:rPr>
        <w:t xml:space="preserve">Veicot IeM pamatbudžeta analīzi, konstatēts, ka laika periodā no 2018. līdz 2020. gadam izdevumu neizpilde vērojama apakšprogrammā 06.01.00 “Valsts policija” un programmā 42.00.00 “Iekšējās drošības biroja darbība”. </w:t>
      </w:r>
    </w:p>
    <w:p w14:paraId="2856494D"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2.2.13. attēls</w:t>
      </w:r>
      <w:r w:rsidRPr="00CE0303">
        <w:rPr>
          <w:rFonts w:cs="Times New Roman"/>
          <w:b/>
          <w:bCs/>
          <w:sz w:val="22"/>
          <w:lang w:val="lv-LV"/>
        </w:rPr>
        <w:t xml:space="preserve"> Apakšprogrammas 06.01.00 “Valsts policija” izdevumu analīze (milj. </w:t>
      </w:r>
      <w:r w:rsidRPr="00CE0303">
        <w:rPr>
          <w:rFonts w:cs="Times New Roman"/>
          <w:b/>
          <w:bCs/>
          <w:i/>
          <w:iCs/>
          <w:sz w:val="22"/>
          <w:lang w:val="lv-LV"/>
        </w:rPr>
        <w:t>euro</w:t>
      </w:r>
      <w:r w:rsidRPr="00CE0303">
        <w:rPr>
          <w:rFonts w:cs="Times New Roman"/>
          <w:b/>
          <w:bCs/>
          <w:sz w:val="22"/>
          <w:lang w:val="lv-LV"/>
        </w:rPr>
        <w:t>)</w:t>
      </w:r>
    </w:p>
    <w:p w14:paraId="1146C6DF" w14:textId="77777777" w:rsidR="00CE0303" w:rsidRPr="00CE0303" w:rsidRDefault="00CE0303" w:rsidP="00CE0303">
      <w:pPr>
        <w:jc w:val="center"/>
        <w:rPr>
          <w:rFonts w:cs="Times New Roman"/>
          <w:b/>
          <w:bCs/>
          <w:szCs w:val="24"/>
          <w:lang w:val="lv-LV"/>
        </w:rPr>
      </w:pPr>
      <w:r w:rsidRPr="00CE0303">
        <w:rPr>
          <w:rFonts w:cs="Times New Roman"/>
          <w:b/>
          <w:bCs/>
          <w:noProof/>
          <w:szCs w:val="24"/>
          <w:lang w:val="lv-LV" w:eastAsia="lv-LV"/>
        </w:rPr>
        <w:drawing>
          <wp:inline distT="0" distB="0" distL="0" distR="0" wp14:anchorId="44DB3634" wp14:editId="28BB39BD">
            <wp:extent cx="5071730" cy="2094614"/>
            <wp:effectExtent l="0" t="0" r="15240" b="1270"/>
            <wp:docPr id="2252" name="Chart 2252">
              <a:extLst xmlns:a="http://schemas.openxmlformats.org/drawingml/2006/main">
                <a:ext uri="{FF2B5EF4-FFF2-40B4-BE49-F238E27FC236}">
                  <a16:creationId xmlns:a16="http://schemas.microsoft.com/office/drawing/2014/main" id="{0F0A0044-C9BD-47E9-9BBB-5B1FCC05C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3481FD1" w14:textId="122FE381" w:rsidR="00CE0303" w:rsidRPr="00CE0303" w:rsidRDefault="00CE0303" w:rsidP="001D4D0B">
      <w:pPr>
        <w:ind w:firstLine="720"/>
        <w:rPr>
          <w:rFonts w:cs="Times New Roman"/>
          <w:bCs/>
          <w:szCs w:val="24"/>
          <w:lang w:val="lv-LV"/>
        </w:rPr>
      </w:pPr>
      <w:r w:rsidRPr="00CE0303">
        <w:rPr>
          <w:rFonts w:cs="Times New Roman"/>
          <w:szCs w:val="24"/>
          <w:lang w:val="lv-LV"/>
        </w:rPr>
        <w:t>Apakšprogrammā 06.01.00 “Valsts policija” trīs gadu periodā veido</w:t>
      </w:r>
      <w:r w:rsidR="006F76FD">
        <w:rPr>
          <w:rFonts w:cs="Times New Roman"/>
          <w:szCs w:val="24"/>
          <w:lang w:val="lv-LV"/>
        </w:rPr>
        <w:t>jas</w:t>
      </w:r>
      <w:r w:rsidRPr="00CE0303">
        <w:rPr>
          <w:rFonts w:cs="Times New Roman"/>
          <w:szCs w:val="24"/>
          <w:lang w:val="lv-LV"/>
        </w:rPr>
        <w:t xml:space="preserve"> </w:t>
      </w:r>
      <w:r w:rsidRPr="00CE0303">
        <w:rPr>
          <w:rFonts w:cs="Times New Roman"/>
          <w:bCs/>
          <w:szCs w:val="24"/>
          <w:lang w:val="lv-LV"/>
        </w:rPr>
        <w:t>izdevumu ne</w:t>
      </w:r>
      <w:r w:rsidR="006F76FD">
        <w:rPr>
          <w:rFonts w:cs="Times New Roman"/>
          <w:bCs/>
          <w:szCs w:val="24"/>
          <w:lang w:val="lv-LV"/>
        </w:rPr>
        <w:t xml:space="preserve">izpilde </w:t>
      </w:r>
      <w:r w:rsidRPr="00CE0303">
        <w:rPr>
          <w:rFonts w:cs="Times New Roman"/>
          <w:bCs/>
          <w:szCs w:val="24"/>
          <w:lang w:val="lv-LV"/>
        </w:rPr>
        <w:t xml:space="preserve">vidēji gadā 1,8 milj. </w:t>
      </w:r>
      <w:r w:rsidRPr="00CE0303">
        <w:rPr>
          <w:rFonts w:cs="Times New Roman"/>
          <w:bCs/>
          <w:i/>
          <w:szCs w:val="24"/>
          <w:lang w:val="lv-LV"/>
        </w:rPr>
        <w:t>euro</w:t>
      </w:r>
      <w:r w:rsidRPr="00CE0303">
        <w:rPr>
          <w:rFonts w:cs="Times New Roman"/>
          <w:bCs/>
          <w:szCs w:val="24"/>
          <w:lang w:val="lv-LV"/>
        </w:rPr>
        <w:t xml:space="preserve"> apmērā (</w:t>
      </w:r>
      <w:r w:rsidRPr="00CE0303">
        <w:rPr>
          <w:rFonts w:cs="Times New Roman"/>
          <w:bCs/>
          <w:iCs/>
          <w:szCs w:val="24"/>
          <w:lang w:val="lv-LV"/>
        </w:rPr>
        <w:t>2.2.13. attēls</w:t>
      </w:r>
      <w:r w:rsidRPr="00CE0303">
        <w:rPr>
          <w:rFonts w:cs="Times New Roman"/>
          <w:bCs/>
          <w:szCs w:val="24"/>
          <w:lang w:val="lv-LV"/>
        </w:rPr>
        <w:t>). IeM norāda, ka izdevumu neizpildi ik gadu galvenokārt ietekmē:</w:t>
      </w:r>
    </w:p>
    <w:p w14:paraId="60F987B7" w14:textId="1CC01A57" w:rsidR="00CE0303" w:rsidRPr="00CE0303" w:rsidRDefault="00CE0303" w:rsidP="004C1C06">
      <w:pPr>
        <w:numPr>
          <w:ilvl w:val="0"/>
          <w:numId w:val="43"/>
        </w:numPr>
        <w:ind w:left="1077" w:hanging="357"/>
        <w:rPr>
          <w:rFonts w:cs="Times New Roman"/>
          <w:bCs/>
          <w:szCs w:val="24"/>
          <w:lang w:val="lv-LV"/>
        </w:rPr>
      </w:pPr>
      <w:r w:rsidRPr="00CE0303">
        <w:rPr>
          <w:rFonts w:cs="Times New Roman"/>
          <w:bCs/>
          <w:szCs w:val="24"/>
          <w:lang w:val="lv-LV"/>
        </w:rPr>
        <w:t>ilgtermiņa pasākuma “Ceļu satiksmes pārkāpumu fiksēšanas tehnisko līdzekļu (fotoradaru) darbības nodrošināšana” piešķirtā finansējuma ne</w:t>
      </w:r>
      <w:r w:rsidR="006F76FD">
        <w:rPr>
          <w:rFonts w:cs="Times New Roman"/>
          <w:bCs/>
          <w:szCs w:val="24"/>
          <w:lang w:val="lv-LV"/>
        </w:rPr>
        <w:t>izpilde</w:t>
      </w:r>
      <w:r w:rsidRPr="00CE0303">
        <w:rPr>
          <w:rFonts w:cs="Times New Roman"/>
          <w:bCs/>
          <w:szCs w:val="24"/>
          <w:lang w:val="lv-LV"/>
        </w:rPr>
        <w:t xml:space="preserve"> sakarā ar faktiskajiem maksājumiem CSDD un kadru mainību. Šī pasākuma izdevumi tika pārskatīti un precizēti sadarbībā ar CSDD, kā arī veikti atbilstoši grozījumi rīkojumā. </w:t>
      </w:r>
    </w:p>
    <w:p w14:paraId="5FD85BCF" w14:textId="6A06A299" w:rsidR="00CE0303" w:rsidRPr="00CE0303" w:rsidRDefault="00CE0303" w:rsidP="004C1C06">
      <w:pPr>
        <w:numPr>
          <w:ilvl w:val="0"/>
          <w:numId w:val="43"/>
        </w:numPr>
        <w:rPr>
          <w:rFonts w:cs="Times New Roman"/>
          <w:bCs/>
          <w:szCs w:val="24"/>
          <w:lang w:val="lv-LV"/>
        </w:rPr>
      </w:pPr>
      <w:r w:rsidRPr="00CE0303">
        <w:rPr>
          <w:rFonts w:cs="Times New Roman"/>
          <w:bCs/>
          <w:szCs w:val="24"/>
          <w:lang w:val="lv-LV"/>
        </w:rPr>
        <w:lastRenderedPageBreak/>
        <w:t>nesaņemtie ieņēmumi un neveiktie izdevumi no maksas pakalpojumiem</w:t>
      </w:r>
      <w:r w:rsidR="00496A9A" w:rsidRPr="00496A9A">
        <w:rPr>
          <w:rFonts w:cs="Times New Roman"/>
          <w:bCs/>
          <w:szCs w:val="24"/>
          <w:lang w:val="lv-LV"/>
        </w:rPr>
        <w:t>, kas 2018.</w:t>
      </w:r>
      <w:r w:rsidR="00496A9A">
        <w:rPr>
          <w:rFonts w:cs="Times New Roman"/>
          <w:bCs/>
          <w:szCs w:val="24"/>
          <w:lang w:val="lv-LV"/>
        </w:rPr>
        <w:t xml:space="preserve"> </w:t>
      </w:r>
      <w:r w:rsidR="00496A9A" w:rsidRPr="00496A9A">
        <w:rPr>
          <w:rFonts w:cs="Times New Roman"/>
          <w:bCs/>
          <w:szCs w:val="24"/>
          <w:lang w:val="lv-LV"/>
        </w:rPr>
        <w:t>gadā sas</w:t>
      </w:r>
      <w:r w:rsidR="00496A9A">
        <w:rPr>
          <w:rFonts w:cs="Times New Roman"/>
          <w:bCs/>
          <w:szCs w:val="24"/>
          <w:lang w:val="lv-LV"/>
        </w:rPr>
        <w:t>niedza</w:t>
      </w:r>
      <w:r w:rsidR="00496A9A" w:rsidRPr="00496A9A">
        <w:rPr>
          <w:rFonts w:cs="Times New Roman"/>
          <w:bCs/>
          <w:szCs w:val="24"/>
          <w:lang w:val="lv-LV"/>
        </w:rPr>
        <w:t xml:space="preserve"> 104 559 </w:t>
      </w:r>
      <w:r w:rsidR="00496A9A" w:rsidRPr="00496A9A">
        <w:rPr>
          <w:rFonts w:cs="Times New Roman"/>
          <w:bCs/>
          <w:i/>
          <w:szCs w:val="24"/>
          <w:lang w:val="lv-LV"/>
        </w:rPr>
        <w:t>euro</w:t>
      </w:r>
      <w:r w:rsidR="00496A9A" w:rsidRPr="00496A9A">
        <w:rPr>
          <w:rFonts w:cs="Times New Roman"/>
          <w:bCs/>
          <w:szCs w:val="24"/>
          <w:lang w:val="lv-LV"/>
        </w:rPr>
        <w:t>, 2019.</w:t>
      </w:r>
      <w:r w:rsidR="00496A9A">
        <w:rPr>
          <w:rFonts w:cs="Times New Roman"/>
          <w:bCs/>
          <w:szCs w:val="24"/>
          <w:lang w:val="lv-LV"/>
        </w:rPr>
        <w:t xml:space="preserve"> </w:t>
      </w:r>
      <w:r w:rsidR="00496A9A" w:rsidRPr="00496A9A">
        <w:rPr>
          <w:rFonts w:cs="Times New Roman"/>
          <w:bCs/>
          <w:szCs w:val="24"/>
          <w:lang w:val="lv-LV"/>
        </w:rPr>
        <w:t xml:space="preserve">gadā – 441 929 </w:t>
      </w:r>
      <w:r w:rsidR="00496A9A" w:rsidRPr="00496A9A">
        <w:rPr>
          <w:rFonts w:cs="Times New Roman"/>
          <w:bCs/>
          <w:i/>
          <w:szCs w:val="24"/>
          <w:lang w:val="lv-LV"/>
        </w:rPr>
        <w:t>euro</w:t>
      </w:r>
      <w:r w:rsidR="00496A9A" w:rsidRPr="00496A9A">
        <w:rPr>
          <w:rFonts w:cs="Times New Roman"/>
          <w:bCs/>
          <w:szCs w:val="24"/>
          <w:lang w:val="lv-LV"/>
        </w:rPr>
        <w:t>, 2020.</w:t>
      </w:r>
      <w:r w:rsidR="00496A9A">
        <w:rPr>
          <w:rFonts w:cs="Times New Roman"/>
          <w:bCs/>
          <w:szCs w:val="24"/>
          <w:lang w:val="lv-LV"/>
        </w:rPr>
        <w:t xml:space="preserve"> </w:t>
      </w:r>
      <w:r w:rsidR="00496A9A" w:rsidRPr="00496A9A">
        <w:rPr>
          <w:rFonts w:cs="Times New Roman"/>
          <w:bCs/>
          <w:szCs w:val="24"/>
          <w:lang w:val="lv-LV"/>
        </w:rPr>
        <w:t xml:space="preserve">gadā – 839 793 </w:t>
      </w:r>
      <w:r w:rsidR="00496A9A" w:rsidRPr="00496A9A">
        <w:rPr>
          <w:rFonts w:cs="Times New Roman"/>
          <w:bCs/>
          <w:i/>
          <w:szCs w:val="24"/>
          <w:lang w:val="lv-LV"/>
        </w:rPr>
        <w:t>euro</w:t>
      </w:r>
      <w:r w:rsidRPr="00CE0303">
        <w:rPr>
          <w:rFonts w:cs="Times New Roman"/>
          <w:bCs/>
          <w:szCs w:val="24"/>
          <w:lang w:val="lv-LV"/>
        </w:rPr>
        <w:t>;</w:t>
      </w:r>
    </w:p>
    <w:p w14:paraId="0A46F65C" w14:textId="77777777" w:rsidR="00CE0303" w:rsidRPr="00CE0303" w:rsidRDefault="00CE0303" w:rsidP="004C1C06">
      <w:pPr>
        <w:numPr>
          <w:ilvl w:val="0"/>
          <w:numId w:val="43"/>
        </w:numPr>
        <w:ind w:left="1077" w:hanging="357"/>
        <w:rPr>
          <w:rFonts w:cs="Times New Roman"/>
          <w:bCs/>
          <w:szCs w:val="24"/>
          <w:lang w:val="lv-LV"/>
        </w:rPr>
      </w:pPr>
      <w:r w:rsidRPr="00CE0303">
        <w:rPr>
          <w:rFonts w:cs="Times New Roman"/>
          <w:bCs/>
          <w:szCs w:val="24"/>
          <w:lang w:val="lv-LV"/>
        </w:rPr>
        <w:t>iepirkumu procedūru aizkavēšanās.</w:t>
      </w:r>
    </w:p>
    <w:p w14:paraId="5F65D8F3" w14:textId="0BA9DC72" w:rsidR="00CE0303" w:rsidRPr="00CE0303" w:rsidRDefault="00CE0303" w:rsidP="001D4D0B">
      <w:pPr>
        <w:ind w:firstLine="720"/>
        <w:rPr>
          <w:rFonts w:cs="Times New Roman"/>
          <w:szCs w:val="24"/>
          <w:lang w:val="lv-LV"/>
        </w:rPr>
      </w:pPr>
      <w:r w:rsidRPr="00CE0303">
        <w:rPr>
          <w:rFonts w:cs="Times New Roman"/>
          <w:szCs w:val="24"/>
          <w:lang w:val="lv-LV"/>
        </w:rPr>
        <w:t xml:space="preserve">IeM informējusi, ka </w:t>
      </w:r>
      <w:r w:rsidRPr="00CE0303">
        <w:rPr>
          <w:rFonts w:eastAsiaTheme="minorHAnsi"/>
          <w:lang w:val="lv-LV"/>
        </w:rPr>
        <w:t xml:space="preserve">apakšprogrammā 06.01.00 “Valsts policija” radies ietaupījums 822,3 </w:t>
      </w:r>
      <w:r w:rsidR="000E25B9">
        <w:rPr>
          <w:rFonts w:eastAsiaTheme="minorHAnsi"/>
          <w:lang w:val="lv-LV"/>
        </w:rPr>
        <w:t>tūkst</w:t>
      </w:r>
      <w:r w:rsidRPr="00CE0303">
        <w:rPr>
          <w:rFonts w:eastAsiaTheme="minorHAnsi"/>
          <w:lang w:val="lv-LV"/>
        </w:rPr>
        <w:t xml:space="preserve">. </w:t>
      </w:r>
      <w:r w:rsidRPr="00CE0303">
        <w:rPr>
          <w:rFonts w:eastAsiaTheme="minorHAnsi"/>
          <w:i/>
          <w:lang w:val="lv-LV"/>
        </w:rPr>
        <w:t>euro</w:t>
      </w:r>
      <w:r w:rsidRPr="00CE0303">
        <w:rPr>
          <w:rFonts w:eastAsiaTheme="minorHAnsi"/>
          <w:lang w:val="lv-LV"/>
        </w:rPr>
        <w:t xml:space="preserve"> apmērā</w:t>
      </w:r>
      <w:r w:rsidRPr="00CE0303">
        <w:rPr>
          <w:rFonts w:cs="Times New Roman"/>
          <w:szCs w:val="24"/>
          <w:lang w:val="lv-LV"/>
        </w:rPr>
        <w:t xml:space="preserve"> s</w:t>
      </w:r>
      <w:r w:rsidRPr="00CE0303">
        <w:rPr>
          <w:rFonts w:eastAsiaTheme="minorHAnsi"/>
          <w:lang w:val="lv-LV"/>
        </w:rPr>
        <w:t xml:space="preserve">aistībā ar Covid-19 infekcijas izplatības ierobežošanas pasākumiem - 2020. gadā būtiski samazinoties konvojēto personu skaitam (2018. gadā 30 141 persona, 2020. gadā 15 962 personas), kā arī tiesas procesu organizēšanai izmantojot videokonferences. Ņemot vērā, ka </w:t>
      </w:r>
      <w:r w:rsidR="001D4D0B">
        <w:rPr>
          <w:rFonts w:eastAsiaTheme="minorHAnsi"/>
          <w:lang w:val="lv-LV"/>
        </w:rPr>
        <w:t>VP</w:t>
      </w:r>
      <w:r w:rsidRPr="00CE0303">
        <w:rPr>
          <w:rFonts w:eastAsiaTheme="minorHAnsi"/>
          <w:lang w:val="lv-LV"/>
        </w:rPr>
        <w:t xml:space="preserve"> tiek plānotas strukturālas un organizatoriskas izmaiņas - uz universālām prasmēm balstīta policijas darba ieviešana (reaģējošie spēki), patrulēšanas funkciju uzlabošana, finansējums būtu novirzāms šo izmaiņu finansēšanai. Reaģējošā policista koncepts nodrošinās amatpersonu spēju kompleksi pielietot iegūtās zināšanas specifiskās policijas darbības jomās, kā arī prasmi sadarboties, strādāt komandā, pieņemt lēmumus un uzņemties atbildību.</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45408C46" w14:textId="77777777" w:rsidTr="00CE0303">
        <w:trPr>
          <w:jc w:val="center"/>
        </w:trPr>
        <w:tc>
          <w:tcPr>
            <w:tcW w:w="709" w:type="dxa"/>
            <w:shd w:val="clear" w:color="auto" w:fill="92D050"/>
            <w:vAlign w:val="center"/>
          </w:tcPr>
          <w:p w14:paraId="6140BE96"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0BDC784E" w14:textId="77777777" w:rsidR="00CE0303" w:rsidRPr="00CE0303" w:rsidRDefault="00CE0303" w:rsidP="00CE0303">
            <w:pPr>
              <w:spacing w:after="0"/>
              <w:jc w:val="center"/>
              <w:rPr>
                <w:rFonts w:eastAsiaTheme="minorHAnsi"/>
                <w:lang w:val="lv-LV"/>
              </w:rPr>
            </w:pPr>
            <w:r w:rsidRPr="00CE0303">
              <w:rPr>
                <w:rFonts w:eastAsiaTheme="minorHAnsi"/>
                <w:lang w:val="lv-LV"/>
              </w:rPr>
              <w:t>822 317</w:t>
            </w:r>
          </w:p>
        </w:tc>
        <w:tc>
          <w:tcPr>
            <w:tcW w:w="696" w:type="dxa"/>
            <w:shd w:val="clear" w:color="auto" w:fill="92D050"/>
            <w:vAlign w:val="center"/>
          </w:tcPr>
          <w:p w14:paraId="24000CD3"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30F8AEE1" w14:textId="77777777" w:rsidR="00CE0303" w:rsidRPr="00CE0303" w:rsidRDefault="00CE0303" w:rsidP="00CE0303">
            <w:pPr>
              <w:spacing w:after="0"/>
              <w:jc w:val="center"/>
              <w:rPr>
                <w:rFonts w:eastAsiaTheme="minorHAnsi"/>
                <w:lang w:val="lv-LV"/>
              </w:rPr>
            </w:pPr>
            <w:r w:rsidRPr="00CE0303">
              <w:rPr>
                <w:rFonts w:eastAsiaTheme="minorHAnsi"/>
                <w:lang w:val="lv-LV"/>
              </w:rPr>
              <w:t>822 317</w:t>
            </w:r>
          </w:p>
        </w:tc>
        <w:tc>
          <w:tcPr>
            <w:tcW w:w="709" w:type="dxa"/>
            <w:shd w:val="clear" w:color="auto" w:fill="92D050"/>
            <w:vAlign w:val="center"/>
          </w:tcPr>
          <w:p w14:paraId="4F59B85E"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4002C4B1" w14:textId="77777777" w:rsidR="00CE0303" w:rsidRPr="00CE0303" w:rsidRDefault="00CE0303" w:rsidP="00CE0303">
            <w:pPr>
              <w:spacing w:after="0"/>
              <w:jc w:val="center"/>
              <w:rPr>
                <w:rFonts w:eastAsiaTheme="minorHAnsi"/>
                <w:lang w:val="lv-LV"/>
              </w:rPr>
            </w:pPr>
            <w:r w:rsidRPr="00CE0303">
              <w:rPr>
                <w:rFonts w:eastAsiaTheme="minorHAnsi"/>
                <w:lang w:val="lv-LV"/>
              </w:rPr>
              <w:t>822 317</w:t>
            </w:r>
          </w:p>
        </w:tc>
      </w:tr>
    </w:tbl>
    <w:p w14:paraId="58522854" w14:textId="4231B32B" w:rsidR="00CE0303" w:rsidRPr="00CE0303" w:rsidRDefault="00CE0303" w:rsidP="00CE0303">
      <w:pPr>
        <w:spacing w:before="120"/>
        <w:ind w:firstLine="720"/>
        <w:rPr>
          <w:rFonts w:cs="Times New Roman"/>
          <w:szCs w:val="24"/>
          <w:lang w:val="lv-LV"/>
        </w:rPr>
      </w:pPr>
      <w:r w:rsidRPr="00CE0303">
        <w:rPr>
          <w:rFonts w:eastAsiaTheme="minorHAnsi"/>
          <w:lang w:val="lv-LV"/>
        </w:rPr>
        <w:t>Ņemot vērā iepriekš norādīto finansējuma ne</w:t>
      </w:r>
      <w:r w:rsidR="006F76FD">
        <w:rPr>
          <w:rFonts w:eastAsiaTheme="minorHAnsi"/>
          <w:lang w:val="lv-LV"/>
        </w:rPr>
        <w:t>izpildes</w:t>
      </w:r>
      <w:r w:rsidRPr="00CE0303">
        <w:rPr>
          <w:rFonts w:eastAsiaTheme="minorHAnsi"/>
          <w:lang w:val="lv-LV"/>
        </w:rPr>
        <w:t xml:space="preserve"> analīzi un IeM rosināto, apakšprogrammā joprojām saglabājas potenciālais iekšējais resurss</w:t>
      </w:r>
      <w:r w:rsidRPr="00CE0303">
        <w:rPr>
          <w:rFonts w:cs="Times New Roman"/>
          <w:szCs w:val="24"/>
          <w:lang w:val="lv-LV"/>
        </w:rPr>
        <w:t xml:space="preserve"> 2022. un 2023. gadam, kas būtu novirzāms aktuālākām IeM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12AFEF8C" w14:textId="77777777" w:rsidTr="00CE0303">
        <w:tc>
          <w:tcPr>
            <w:tcW w:w="709" w:type="dxa"/>
            <w:shd w:val="clear" w:color="auto" w:fill="ED7D31" w:themeFill="accent2"/>
            <w:vAlign w:val="center"/>
          </w:tcPr>
          <w:p w14:paraId="62E2029E"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138B5B04" w14:textId="4C8952FE" w:rsidR="00CE0303" w:rsidRPr="00CE0303" w:rsidRDefault="00470219" w:rsidP="00CE0303">
            <w:pPr>
              <w:spacing w:after="0"/>
              <w:jc w:val="center"/>
              <w:rPr>
                <w:rFonts w:eastAsiaTheme="minorHAnsi"/>
                <w:lang w:val="lv-LV"/>
              </w:rPr>
            </w:pPr>
            <w:r>
              <w:rPr>
                <w:rFonts w:eastAsiaTheme="minorHAnsi"/>
                <w:lang w:val="lv-LV"/>
              </w:rPr>
              <w:t>556 374</w:t>
            </w:r>
          </w:p>
        </w:tc>
        <w:tc>
          <w:tcPr>
            <w:tcW w:w="696" w:type="dxa"/>
            <w:shd w:val="clear" w:color="auto" w:fill="ED7D31" w:themeFill="accent2"/>
            <w:vAlign w:val="center"/>
          </w:tcPr>
          <w:p w14:paraId="642F665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09761929" w14:textId="7EDF6C52" w:rsidR="00CE0303" w:rsidRPr="00CE0303" w:rsidRDefault="00470219" w:rsidP="00CE0303">
            <w:pPr>
              <w:spacing w:after="0"/>
              <w:jc w:val="center"/>
              <w:rPr>
                <w:rFonts w:eastAsiaTheme="minorHAnsi"/>
                <w:lang w:val="lv-LV"/>
              </w:rPr>
            </w:pPr>
            <w:r>
              <w:rPr>
                <w:rFonts w:eastAsiaTheme="minorHAnsi"/>
                <w:lang w:val="lv-LV"/>
              </w:rPr>
              <w:t>556 374</w:t>
            </w:r>
          </w:p>
        </w:tc>
      </w:tr>
    </w:tbl>
    <w:p w14:paraId="02858370" w14:textId="77777777" w:rsidR="00CE0303" w:rsidRPr="00CE0303" w:rsidRDefault="00CE0303" w:rsidP="00CE0303">
      <w:pPr>
        <w:ind w:firstLine="720"/>
        <w:rPr>
          <w:rFonts w:eastAsiaTheme="minorHAnsi"/>
          <w:lang w:val="lv-LV"/>
        </w:rPr>
      </w:pPr>
    </w:p>
    <w:p w14:paraId="57100E4B" w14:textId="77777777" w:rsidR="00CE0303" w:rsidRPr="00CE0303" w:rsidRDefault="00CE0303" w:rsidP="00CE0303">
      <w:pPr>
        <w:jc w:val="center"/>
        <w:rPr>
          <w:rFonts w:cs="Times New Roman"/>
          <w:szCs w:val="24"/>
          <w:lang w:val="lv-LV"/>
        </w:rPr>
      </w:pPr>
      <w:r w:rsidRPr="00CE0303">
        <w:rPr>
          <w:rFonts w:cs="Times New Roman"/>
          <w:b/>
          <w:bCs/>
          <w:i/>
          <w:iCs/>
          <w:sz w:val="22"/>
          <w:lang w:val="lv-LV"/>
        </w:rPr>
        <w:t>2.2.14. attēls</w:t>
      </w:r>
      <w:r w:rsidRPr="00CE0303">
        <w:rPr>
          <w:rFonts w:cs="Times New Roman"/>
          <w:b/>
          <w:bCs/>
          <w:sz w:val="22"/>
          <w:lang w:val="lv-LV"/>
        </w:rPr>
        <w:t xml:space="preserve"> Programmas 42.00.00 “Iekšējās drošības biroja darbība” izdevumu analīze (milj. </w:t>
      </w:r>
      <w:r w:rsidRPr="00CE0303">
        <w:rPr>
          <w:rFonts w:cs="Times New Roman"/>
          <w:b/>
          <w:bCs/>
          <w:i/>
          <w:iCs/>
          <w:sz w:val="22"/>
          <w:lang w:val="lv-LV"/>
        </w:rPr>
        <w:t>euro</w:t>
      </w:r>
      <w:r w:rsidRPr="00CE0303">
        <w:rPr>
          <w:rFonts w:cs="Times New Roman"/>
          <w:b/>
          <w:bCs/>
          <w:sz w:val="22"/>
          <w:lang w:val="lv-LV"/>
        </w:rPr>
        <w:t>)</w:t>
      </w:r>
      <w:r w:rsidRPr="00CE0303">
        <w:rPr>
          <w:rFonts w:asciiTheme="minorHAnsi" w:hAnsiTheme="minorHAnsi"/>
          <w:noProof/>
          <w:sz w:val="22"/>
          <w:lang w:val="lv-LV" w:eastAsia="lv-LV"/>
        </w:rPr>
        <w:drawing>
          <wp:inline distT="0" distB="0" distL="0" distR="0" wp14:anchorId="31A2E120" wp14:editId="04BF0D42">
            <wp:extent cx="5553075" cy="1952625"/>
            <wp:effectExtent l="0" t="0" r="9525" b="9525"/>
            <wp:docPr id="2253" name="Chart 2253">
              <a:extLst xmlns:a="http://schemas.openxmlformats.org/drawingml/2006/main">
                <a:ext uri="{FF2B5EF4-FFF2-40B4-BE49-F238E27FC236}">
                  <a16:creationId xmlns:a16="http://schemas.microsoft.com/office/drawing/2014/main" id="{B1FA6ADA-B20F-4E82-9C3D-DAD1D0499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E012C57" w14:textId="77777777" w:rsidR="00CE0303" w:rsidRPr="00CE0303" w:rsidRDefault="00CE0303" w:rsidP="00CE0303">
      <w:pPr>
        <w:ind w:firstLine="720"/>
        <w:rPr>
          <w:rFonts w:cs="Times New Roman"/>
          <w:szCs w:val="24"/>
          <w:lang w:val="lv-LV"/>
        </w:rPr>
      </w:pPr>
      <w:r w:rsidRPr="00CE0303">
        <w:rPr>
          <w:rFonts w:cs="Times New Roman"/>
          <w:szCs w:val="24"/>
          <w:lang w:val="lv-LV"/>
        </w:rPr>
        <w:t xml:space="preserve">Programmā 42.00.00 “Iekšējās drošības biroja darbība” trīs gadu periodā veidojas izdevumu neizpilde </w:t>
      </w:r>
      <w:r w:rsidRPr="00CE0303">
        <w:rPr>
          <w:rFonts w:cs="Times New Roman"/>
          <w:bCs/>
          <w:szCs w:val="24"/>
          <w:lang w:val="lv-LV"/>
        </w:rPr>
        <w:t xml:space="preserve">vidēji gadā 190,0 tūkst. </w:t>
      </w:r>
      <w:r w:rsidRPr="00CE0303">
        <w:rPr>
          <w:rFonts w:cs="Times New Roman"/>
          <w:bCs/>
          <w:i/>
          <w:szCs w:val="24"/>
          <w:lang w:val="lv-LV"/>
        </w:rPr>
        <w:t xml:space="preserve">euro </w:t>
      </w:r>
      <w:r w:rsidRPr="00CE0303">
        <w:rPr>
          <w:rFonts w:cs="Times New Roman"/>
          <w:bCs/>
          <w:szCs w:val="24"/>
          <w:lang w:val="lv-LV"/>
        </w:rPr>
        <w:t>apmērā</w:t>
      </w:r>
      <w:r w:rsidRPr="00CE0303">
        <w:rPr>
          <w:rFonts w:cs="Times New Roman"/>
          <w:szCs w:val="24"/>
          <w:lang w:val="lv-LV"/>
        </w:rPr>
        <w:t xml:space="preserve"> (2.2.14. attēls).</w:t>
      </w:r>
    </w:p>
    <w:p w14:paraId="2E0ECEF6" w14:textId="1A8BA525" w:rsidR="00CE0303" w:rsidRPr="00CE0303" w:rsidRDefault="00CE0303" w:rsidP="00CE0303">
      <w:pPr>
        <w:ind w:firstLine="720"/>
        <w:rPr>
          <w:rFonts w:cs="Times New Roman"/>
          <w:color w:val="FF0000"/>
          <w:szCs w:val="24"/>
          <w:lang w:val="lv-LV"/>
        </w:rPr>
      </w:pPr>
      <w:r w:rsidRPr="00CE0303">
        <w:rPr>
          <w:rFonts w:cs="Times New Roman"/>
          <w:szCs w:val="24"/>
          <w:lang w:val="lv-LV"/>
        </w:rPr>
        <w:t>IeM neizpildes iemeslu nenorāda, jo informācija ir klasificēta.</w:t>
      </w:r>
      <w:r w:rsidR="000C4A24">
        <w:rPr>
          <w:rFonts w:cs="Times New Roman"/>
          <w:szCs w:val="24"/>
          <w:lang w:val="lv-LV"/>
        </w:rPr>
        <w:t xml:space="preserve"> Papildus norādāms, ka ar 2020. gadu ir veikta iekšējā pārdale 279,2 tūkst. </w:t>
      </w:r>
      <w:r w:rsidR="000C4A24" w:rsidRPr="000C4A24">
        <w:rPr>
          <w:rFonts w:cs="Times New Roman"/>
          <w:i/>
          <w:szCs w:val="24"/>
          <w:lang w:val="lv-LV"/>
        </w:rPr>
        <w:t>euro</w:t>
      </w:r>
      <w:r w:rsidR="000C4A24">
        <w:rPr>
          <w:rFonts w:cs="Times New Roman"/>
          <w:szCs w:val="24"/>
          <w:lang w:val="lv-LV"/>
        </w:rPr>
        <w:t xml:space="preserve"> apmērā izdevumu pārskatīšanas ietvaros. </w:t>
      </w:r>
    </w:p>
    <w:p w14:paraId="0926868B" w14:textId="77777777" w:rsidR="00CE0303" w:rsidRPr="00CE0303" w:rsidRDefault="00CE0303" w:rsidP="00CE0303">
      <w:pPr>
        <w:spacing w:before="120"/>
        <w:ind w:firstLine="720"/>
        <w:rPr>
          <w:rFonts w:cs="Times New Roman"/>
          <w:szCs w:val="24"/>
          <w:lang w:val="lv-LV"/>
        </w:rPr>
      </w:pPr>
      <w:r w:rsidRPr="00CE0303">
        <w:rPr>
          <w:rFonts w:cs="Times New Roman"/>
          <w:szCs w:val="24"/>
          <w:lang w:val="lv-LV"/>
        </w:rPr>
        <w:t>Identificētā vidējā neizpildes summa ir definējama kā potenciālais iekšējais resurss 2022. un 2023. gadam, kas būtu novirzāms aktuālākām IeM prioritātēm.</w:t>
      </w:r>
      <w:r w:rsidRPr="00CE0303">
        <w:rPr>
          <w:rFonts w:cs="Times New Roman"/>
          <w:b/>
          <w:szCs w:val="24"/>
          <w:lang w:val="lv-LV"/>
        </w:rPr>
        <w:t xml:space="preserve"> </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69385865" w14:textId="77777777" w:rsidTr="00CE0303">
        <w:tc>
          <w:tcPr>
            <w:tcW w:w="709" w:type="dxa"/>
            <w:shd w:val="clear" w:color="auto" w:fill="ED7D31" w:themeFill="accent2"/>
            <w:vAlign w:val="center"/>
          </w:tcPr>
          <w:p w14:paraId="26042770" w14:textId="77777777" w:rsidR="00CE0303" w:rsidRPr="00CE0303" w:rsidRDefault="00CE0303" w:rsidP="00D310F2">
            <w:pPr>
              <w:spacing w:after="0"/>
              <w:jc w:val="center"/>
              <w:rPr>
                <w:rFonts w:eastAsiaTheme="minorHAnsi"/>
                <w:lang w:val="lv-LV"/>
              </w:rPr>
            </w:pPr>
            <w:r w:rsidRPr="00CE0303">
              <w:rPr>
                <w:rFonts w:eastAsiaTheme="minorHAnsi"/>
                <w:lang w:val="lv-LV"/>
              </w:rPr>
              <w:t>2022</w:t>
            </w:r>
          </w:p>
        </w:tc>
        <w:tc>
          <w:tcPr>
            <w:tcW w:w="1271" w:type="dxa"/>
            <w:vAlign w:val="center"/>
          </w:tcPr>
          <w:p w14:paraId="0869BC39" w14:textId="77777777" w:rsidR="00CE0303" w:rsidRPr="00CE0303" w:rsidRDefault="00CE0303" w:rsidP="00D310F2">
            <w:pPr>
              <w:spacing w:after="0"/>
              <w:jc w:val="center"/>
              <w:rPr>
                <w:rFonts w:eastAsiaTheme="minorHAnsi"/>
                <w:lang w:val="lv-LV"/>
              </w:rPr>
            </w:pPr>
            <w:r w:rsidRPr="00CE0303">
              <w:rPr>
                <w:rFonts w:cs="Times New Roman"/>
                <w:szCs w:val="24"/>
                <w:lang w:val="lv-LV"/>
              </w:rPr>
              <w:t>189 970</w:t>
            </w:r>
          </w:p>
        </w:tc>
        <w:tc>
          <w:tcPr>
            <w:tcW w:w="696" w:type="dxa"/>
            <w:shd w:val="clear" w:color="auto" w:fill="ED7D31" w:themeFill="accent2"/>
            <w:vAlign w:val="center"/>
          </w:tcPr>
          <w:p w14:paraId="5B668396" w14:textId="77777777" w:rsidR="00CE0303" w:rsidRPr="00CE0303" w:rsidRDefault="00CE0303" w:rsidP="00D310F2">
            <w:pPr>
              <w:spacing w:after="0"/>
              <w:jc w:val="center"/>
              <w:rPr>
                <w:rFonts w:eastAsiaTheme="minorHAnsi"/>
                <w:lang w:val="lv-LV"/>
              </w:rPr>
            </w:pPr>
            <w:r w:rsidRPr="00CE0303">
              <w:rPr>
                <w:rFonts w:eastAsiaTheme="minorHAnsi"/>
                <w:lang w:val="lv-LV"/>
              </w:rPr>
              <w:t>2023</w:t>
            </w:r>
          </w:p>
        </w:tc>
        <w:tc>
          <w:tcPr>
            <w:tcW w:w="1288" w:type="dxa"/>
            <w:vAlign w:val="center"/>
          </w:tcPr>
          <w:p w14:paraId="06D30A21" w14:textId="77777777" w:rsidR="00CE0303" w:rsidRPr="00CE0303" w:rsidRDefault="00CE0303" w:rsidP="00D310F2">
            <w:pPr>
              <w:spacing w:after="0"/>
              <w:jc w:val="center"/>
              <w:rPr>
                <w:rFonts w:eastAsiaTheme="minorHAnsi"/>
                <w:lang w:val="lv-LV"/>
              </w:rPr>
            </w:pPr>
            <w:r w:rsidRPr="00CE0303">
              <w:rPr>
                <w:rFonts w:cs="Times New Roman"/>
                <w:szCs w:val="24"/>
                <w:lang w:val="lv-LV"/>
              </w:rPr>
              <w:t>189 970</w:t>
            </w:r>
          </w:p>
        </w:tc>
      </w:tr>
    </w:tbl>
    <w:p w14:paraId="31A414AD" w14:textId="77777777" w:rsidR="00CE0303" w:rsidRPr="00D310F2" w:rsidRDefault="00CE0303" w:rsidP="00CE0303">
      <w:pPr>
        <w:ind w:firstLine="720"/>
        <w:rPr>
          <w:rFonts w:eastAsiaTheme="minorHAnsi"/>
          <w:sz w:val="16"/>
          <w:szCs w:val="14"/>
          <w:lang w:val="lv-LV"/>
        </w:rPr>
      </w:pPr>
    </w:p>
    <w:p w14:paraId="7EB9FF98" w14:textId="77777777" w:rsidR="00CE0303" w:rsidRPr="00CE0303" w:rsidRDefault="00CE0303" w:rsidP="00D310F2">
      <w:pPr>
        <w:ind w:firstLine="720"/>
        <w:rPr>
          <w:rFonts w:eastAsiaTheme="minorHAnsi"/>
          <w:lang w:val="lv-LV"/>
        </w:rPr>
      </w:pPr>
      <w:r w:rsidRPr="00CE0303">
        <w:rPr>
          <w:rFonts w:eastAsiaTheme="minorHAnsi"/>
          <w:lang w:val="lv-LV"/>
        </w:rPr>
        <w:t xml:space="preserve">IeM izvērtējot izdevumus budžeta apakšprogrammā 40.02.00 “Nekustamie īpašumi un centralizētais iepirkums” konstatēts, ka sakarā ar energoefektivitātes pasākumu īstenošanu daļā no nekustamajiem īpašumiem, tai skaitā ēku renovācijas un siltināšanas pasākumi, apkures katlu nomaiņu un citu ēku atjaunojošo darbu veikšanu, samazinās siltumenerģijas patēriņš un veidojas finanšu līdzekļu ietaupījums siltumenerģijai 73,0 tūkst. </w:t>
      </w:r>
      <w:r w:rsidRPr="00CE0303">
        <w:rPr>
          <w:rFonts w:eastAsiaTheme="minorHAnsi"/>
          <w:i/>
          <w:lang w:val="lv-LV"/>
        </w:rPr>
        <w:t>euro</w:t>
      </w:r>
      <w:r w:rsidRPr="00CE0303">
        <w:rPr>
          <w:rFonts w:eastAsiaTheme="minorHAnsi"/>
          <w:lang w:val="lv-LV"/>
        </w:rPr>
        <w:t xml:space="preserve"> apmērā un kurināmajam 26,0 tūkst. </w:t>
      </w:r>
      <w:r w:rsidRPr="00CE0303">
        <w:rPr>
          <w:rFonts w:eastAsiaTheme="minorHAnsi"/>
          <w:i/>
          <w:lang w:val="lv-LV"/>
        </w:rPr>
        <w:t>euro</w:t>
      </w:r>
      <w:r w:rsidRPr="00CE0303">
        <w:rPr>
          <w:rFonts w:eastAsiaTheme="minorHAnsi"/>
          <w:lang w:val="lv-LV"/>
        </w:rPr>
        <w:t xml:space="preserve"> apmērā. Tāpat, uzlabojot nekustamā īpašuma apsaimniekošanas kvalitāti, </w:t>
      </w:r>
      <w:r w:rsidRPr="00CE0303">
        <w:rPr>
          <w:rFonts w:eastAsiaTheme="minorHAnsi"/>
          <w:lang w:val="lv-LV"/>
        </w:rPr>
        <w:lastRenderedPageBreak/>
        <w:t xml:space="preserve">vienlaicīgi optimizējot apsaimniekošanas pakalpojumus, kā arī atsavinot iekšlietu dienestu funkciju nodrošināšanai nevajadzīgos nekustamos īpašumus, veidojās finanšu līdzekļu ietaupījums nekustamo īpašumu apsaimniekošanai paredzētajos izdevumos 54,2 tūkst. </w:t>
      </w:r>
      <w:r w:rsidRPr="00CE0303">
        <w:rPr>
          <w:rFonts w:eastAsiaTheme="minorHAnsi"/>
          <w:i/>
          <w:lang w:val="lv-LV"/>
        </w:rPr>
        <w:t>euro</w:t>
      </w:r>
      <w:r w:rsidRPr="00CE0303">
        <w:rPr>
          <w:rFonts w:eastAsiaTheme="minorHAnsi"/>
          <w:lang w:val="lv-LV"/>
        </w:rPr>
        <w:t xml:space="preserve"> apmērā. IeM arī turpmāk plāno veikt energoefektivitātes un siltināšanas pasākumus, kā arī nekustamā īpašuma apsaimniekošanas optimizācijas pasākumus, lai uzlabotu nodarbināto darba vietu apstākļus un samazinātu nekustamā īpašuma apsaimniekošanas izdevumus. ERAF projektu ietvaros jau veikta 6 ēku siltināšana, kas katram objektam rada vidēji 48% energopatēriņa samazinājumu, kā arī tiek veikta apkures katlu nomaiņa uz energoefektīvākiem, bez tam turpinās ERAF projekta ietvaros 6 ēku siltināšana, kas nodrošinās arī šajos objektos energopatēriņa samazinājumu. Papildus augstas gatavības projektu ietvaros, ir uzsākts darbs pie 8 depo būvniecības. Šie objekti ir paredzēti ar augstu energoefektivitāti un ļaus atteikties no vecajiem VUGD depo.</w:t>
      </w:r>
    </w:p>
    <w:p w14:paraId="408F66C0" w14:textId="77777777" w:rsidR="00CE0303" w:rsidRPr="00CE0303" w:rsidRDefault="00CE0303" w:rsidP="00CE0303">
      <w:pPr>
        <w:ind w:firstLine="720"/>
        <w:rPr>
          <w:rFonts w:eastAsiaTheme="minorHAnsi"/>
          <w:lang w:val="lv-LV"/>
        </w:rPr>
      </w:pPr>
      <w:r w:rsidRPr="00CE0303">
        <w:rPr>
          <w:rFonts w:eastAsiaTheme="minorHAnsi"/>
          <w:lang w:val="lv-LV"/>
        </w:rPr>
        <w:t xml:space="preserve">IeM ierosina ietaupīto finansējumu 153,2 tūkst. </w:t>
      </w:r>
      <w:r w:rsidRPr="00CE0303">
        <w:rPr>
          <w:rFonts w:eastAsiaTheme="minorHAnsi"/>
          <w:i/>
          <w:lang w:val="lv-LV"/>
        </w:rPr>
        <w:t>euro</w:t>
      </w:r>
      <w:r w:rsidRPr="00CE0303">
        <w:rPr>
          <w:rFonts w:eastAsiaTheme="minorHAnsi"/>
          <w:lang w:val="lv-LV"/>
        </w:rPr>
        <w:t xml:space="preserve"> apmērā pārdalīt budžeta apakšprogrammai 40.01.00 “Administrēšana” atlīdzības izdevumu palielināšanai, lai nodrošinātu konkurētspējīgu atalgojumu un varētu piesaistīt augsti kvalificētus speciālistus, ievērojot Nodrošinājuma valsts aģentūras funkcijas nekustamo īpašumu jomā, īpaši būvniecības jomā, kur no 2022. gada plānota vismaz 16 jaunu objektu būvniecība (augstas gatavības projektu un Atveseļošanas un noturības mehānisma ietvaros paredzēto projektu īstenošana). </w:t>
      </w:r>
    </w:p>
    <w:p w14:paraId="5865A964" w14:textId="27C084DF" w:rsidR="00CE0303" w:rsidRPr="00CE0303" w:rsidRDefault="006B762E" w:rsidP="00534DB7">
      <w:pPr>
        <w:jc w:val="center"/>
        <w:rPr>
          <w:rFonts w:eastAsiaTheme="minorHAnsi"/>
          <w:b/>
          <w:bCs/>
          <w:i/>
          <w:sz w:val="22"/>
          <w:szCs w:val="24"/>
          <w:lang w:val="lv-LV"/>
        </w:rPr>
      </w:pPr>
      <w:r>
        <w:rPr>
          <w:rFonts w:eastAsiaTheme="minorHAnsi"/>
          <w:b/>
          <w:bCs/>
          <w:i/>
          <w:iCs/>
          <w:sz w:val="22"/>
          <w:szCs w:val="24"/>
          <w:lang w:val="lv-LV"/>
        </w:rPr>
        <w:t>2.2.4</w:t>
      </w:r>
      <w:r w:rsidR="00CE0303" w:rsidRPr="00CE0303">
        <w:rPr>
          <w:rFonts w:eastAsiaTheme="minorHAnsi"/>
          <w:b/>
          <w:bCs/>
          <w:i/>
          <w:iCs/>
          <w:sz w:val="22"/>
          <w:szCs w:val="24"/>
          <w:lang w:val="lv-LV"/>
        </w:rPr>
        <w:t>. tabula</w:t>
      </w:r>
      <w:r w:rsidR="00CE0303" w:rsidRPr="00CE0303">
        <w:rPr>
          <w:rFonts w:eastAsiaTheme="minorHAnsi"/>
          <w:b/>
          <w:bCs/>
          <w:i/>
          <w:sz w:val="22"/>
          <w:szCs w:val="24"/>
          <w:lang w:val="lv-LV"/>
        </w:rPr>
        <w:t xml:space="preserve"> </w:t>
      </w:r>
      <w:r w:rsidR="00CE0303" w:rsidRPr="006A642E">
        <w:rPr>
          <w:rFonts w:eastAsia="Times New Roman" w:cs="Times New Roman"/>
          <w:b/>
          <w:sz w:val="22"/>
          <w:lang w:val="lv-LV" w:eastAsia="en-GB"/>
        </w:rPr>
        <w:t>Atlīdzības izdevumu aprēķins</w:t>
      </w:r>
      <w:r w:rsidR="00CE0303" w:rsidRPr="006A642E">
        <w:rPr>
          <w:rFonts w:eastAsiaTheme="minorHAnsi"/>
          <w:b/>
          <w:bCs/>
          <w:i/>
          <w:sz w:val="22"/>
          <w:lang w:val="lv-LV"/>
        </w:rPr>
        <w:t>, 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587"/>
        <w:gridCol w:w="4045"/>
        <w:gridCol w:w="1533"/>
      </w:tblGrid>
      <w:tr w:rsidR="00CE0303" w:rsidRPr="00CE0303" w14:paraId="5C3BEB1C" w14:textId="77777777" w:rsidTr="00D310F2">
        <w:trPr>
          <w:trHeight w:val="1138"/>
          <w:tblHeader/>
        </w:trPr>
        <w:tc>
          <w:tcPr>
            <w:tcW w:w="494" w:type="pct"/>
            <w:shd w:val="clear" w:color="auto" w:fill="auto"/>
            <w:noWrap/>
            <w:vAlign w:val="center"/>
            <w:hideMark/>
          </w:tcPr>
          <w:p w14:paraId="4F2052C5" w14:textId="77777777"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Cs/>
                <w:color w:val="000000"/>
                <w:sz w:val="20"/>
                <w:szCs w:val="20"/>
                <w:lang w:val="lv-LV" w:eastAsia="lv-LV"/>
              </w:rPr>
              <w:t>EKK</w:t>
            </w:r>
          </w:p>
        </w:tc>
        <w:tc>
          <w:tcPr>
            <w:tcW w:w="1427" w:type="pct"/>
            <w:shd w:val="clear" w:color="auto" w:fill="auto"/>
            <w:vAlign w:val="center"/>
            <w:hideMark/>
          </w:tcPr>
          <w:p w14:paraId="2614298F" w14:textId="77777777"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Cs/>
                <w:color w:val="000000"/>
                <w:sz w:val="20"/>
                <w:szCs w:val="20"/>
                <w:lang w:val="lv-LV" w:eastAsia="lv-LV"/>
              </w:rPr>
              <w:t>Izdevumu nosaukums</w:t>
            </w:r>
          </w:p>
        </w:tc>
        <w:tc>
          <w:tcPr>
            <w:tcW w:w="2232" w:type="pct"/>
            <w:shd w:val="clear" w:color="auto" w:fill="auto"/>
            <w:vAlign w:val="center"/>
            <w:hideMark/>
          </w:tcPr>
          <w:p w14:paraId="6E8B0C31" w14:textId="2BCBE972"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
                <w:bCs/>
                <w:sz w:val="20"/>
                <w:szCs w:val="20"/>
                <w:lang w:val="lv-LV" w:eastAsia="lv-LV"/>
              </w:rPr>
              <w:t xml:space="preserve">40.01.00 </w:t>
            </w:r>
            <w:r w:rsidR="004B7F98">
              <w:rPr>
                <w:rFonts w:eastAsia="Times New Roman" w:cs="Times New Roman"/>
                <w:b/>
                <w:bCs/>
                <w:sz w:val="20"/>
                <w:szCs w:val="20"/>
                <w:lang w:val="lv-LV" w:eastAsia="lv-LV"/>
              </w:rPr>
              <w:t>“</w:t>
            </w:r>
            <w:r w:rsidRPr="00CE0303">
              <w:rPr>
                <w:rFonts w:eastAsia="Times New Roman" w:cs="Times New Roman"/>
                <w:b/>
                <w:bCs/>
                <w:sz w:val="20"/>
                <w:szCs w:val="20"/>
                <w:lang w:val="lv-LV" w:eastAsia="lv-LV"/>
              </w:rPr>
              <w:t>Administrēšana</w:t>
            </w:r>
            <w:r w:rsidR="004B7F98">
              <w:rPr>
                <w:rFonts w:eastAsia="Times New Roman" w:cs="Times New Roman"/>
                <w:b/>
                <w:bCs/>
                <w:sz w:val="20"/>
                <w:szCs w:val="20"/>
                <w:lang w:val="lv-LV" w:eastAsia="lv-LV"/>
              </w:rPr>
              <w:t>”</w:t>
            </w:r>
          </w:p>
        </w:tc>
        <w:tc>
          <w:tcPr>
            <w:tcW w:w="846" w:type="pct"/>
            <w:shd w:val="clear" w:color="auto" w:fill="auto"/>
            <w:vAlign w:val="center"/>
            <w:hideMark/>
          </w:tcPr>
          <w:p w14:paraId="675FAB4F" w14:textId="79CC5C98"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Cs/>
                <w:color w:val="000000"/>
                <w:sz w:val="20"/>
                <w:szCs w:val="20"/>
                <w:lang w:val="lv-LV" w:eastAsia="lv-LV"/>
              </w:rPr>
              <w:t>Papildu nepieciešamais finansējums 2022.</w:t>
            </w:r>
            <w:r w:rsidR="00FF342C">
              <w:rPr>
                <w:rFonts w:eastAsia="Times New Roman" w:cs="Times New Roman"/>
                <w:bCs/>
                <w:color w:val="000000"/>
                <w:sz w:val="20"/>
                <w:szCs w:val="20"/>
                <w:lang w:val="lv-LV" w:eastAsia="lv-LV"/>
              </w:rPr>
              <w:t xml:space="preserve"> </w:t>
            </w:r>
            <w:r w:rsidRPr="00CE0303">
              <w:rPr>
                <w:rFonts w:eastAsia="Times New Roman" w:cs="Times New Roman"/>
                <w:bCs/>
                <w:color w:val="000000"/>
                <w:sz w:val="20"/>
                <w:szCs w:val="20"/>
                <w:lang w:val="lv-LV" w:eastAsia="lv-LV"/>
              </w:rPr>
              <w:t>gadam un turpmāk ik gadu</w:t>
            </w:r>
          </w:p>
        </w:tc>
      </w:tr>
      <w:tr w:rsidR="00CE0303" w:rsidRPr="00CE0303" w14:paraId="5D65F580" w14:textId="77777777" w:rsidTr="00D310F2">
        <w:trPr>
          <w:trHeight w:val="70"/>
        </w:trPr>
        <w:tc>
          <w:tcPr>
            <w:tcW w:w="494" w:type="pct"/>
            <w:shd w:val="clear" w:color="auto" w:fill="auto"/>
            <w:noWrap/>
            <w:vAlign w:val="bottom"/>
            <w:hideMark/>
          </w:tcPr>
          <w:p w14:paraId="01B78338" w14:textId="77777777" w:rsidR="00CE0303" w:rsidRPr="00CE0303" w:rsidRDefault="00CE0303" w:rsidP="00CE0303">
            <w:pPr>
              <w:spacing w:after="0" w:line="240" w:lineRule="auto"/>
              <w:jc w:val="left"/>
              <w:rPr>
                <w:rFonts w:eastAsia="Times New Roman" w:cs="Times New Roman"/>
                <w:b/>
                <w:bCs/>
                <w:sz w:val="20"/>
                <w:szCs w:val="20"/>
                <w:lang w:val="lv-LV" w:eastAsia="lv-LV"/>
              </w:rPr>
            </w:pPr>
          </w:p>
        </w:tc>
        <w:tc>
          <w:tcPr>
            <w:tcW w:w="1427" w:type="pct"/>
            <w:shd w:val="clear" w:color="auto" w:fill="auto"/>
            <w:vAlign w:val="bottom"/>
            <w:hideMark/>
          </w:tcPr>
          <w:p w14:paraId="783199FC"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 xml:space="preserve">Izdevumi - kopā </w:t>
            </w:r>
          </w:p>
        </w:tc>
        <w:tc>
          <w:tcPr>
            <w:tcW w:w="2232" w:type="pct"/>
            <w:shd w:val="clear" w:color="auto" w:fill="auto"/>
            <w:vAlign w:val="center"/>
            <w:hideMark/>
          </w:tcPr>
          <w:p w14:paraId="21ED63EB"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 </w:t>
            </w:r>
          </w:p>
        </w:tc>
        <w:tc>
          <w:tcPr>
            <w:tcW w:w="846" w:type="pct"/>
            <w:shd w:val="clear" w:color="auto" w:fill="auto"/>
            <w:vAlign w:val="center"/>
            <w:hideMark/>
          </w:tcPr>
          <w:p w14:paraId="2B1EF33B"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153 224</w:t>
            </w:r>
          </w:p>
        </w:tc>
      </w:tr>
      <w:tr w:rsidR="00CE0303" w:rsidRPr="00CE0303" w14:paraId="45E28A45" w14:textId="77777777" w:rsidTr="00534DB7">
        <w:trPr>
          <w:trHeight w:val="70"/>
        </w:trPr>
        <w:tc>
          <w:tcPr>
            <w:tcW w:w="494" w:type="pct"/>
            <w:shd w:val="clear" w:color="auto" w:fill="auto"/>
            <w:hideMark/>
          </w:tcPr>
          <w:p w14:paraId="2B880BE3"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 1000</w:t>
            </w:r>
          </w:p>
        </w:tc>
        <w:tc>
          <w:tcPr>
            <w:tcW w:w="1427" w:type="pct"/>
            <w:shd w:val="clear" w:color="auto" w:fill="auto"/>
            <w:hideMark/>
          </w:tcPr>
          <w:p w14:paraId="1D3CDBE2"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 xml:space="preserve"> Atlīdzība</w:t>
            </w:r>
          </w:p>
        </w:tc>
        <w:tc>
          <w:tcPr>
            <w:tcW w:w="2232" w:type="pct"/>
            <w:shd w:val="clear" w:color="auto" w:fill="auto"/>
            <w:vAlign w:val="center"/>
            <w:hideMark/>
          </w:tcPr>
          <w:p w14:paraId="42CC2D77"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 </w:t>
            </w:r>
          </w:p>
        </w:tc>
        <w:tc>
          <w:tcPr>
            <w:tcW w:w="846" w:type="pct"/>
            <w:shd w:val="clear" w:color="auto" w:fill="auto"/>
            <w:vAlign w:val="center"/>
            <w:hideMark/>
          </w:tcPr>
          <w:p w14:paraId="2DF90932"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153 224</w:t>
            </w:r>
          </w:p>
        </w:tc>
      </w:tr>
      <w:tr w:rsidR="00CE0303" w:rsidRPr="00CE0303" w14:paraId="3F4A7423" w14:textId="77777777" w:rsidTr="00534DB7">
        <w:trPr>
          <w:trHeight w:val="70"/>
        </w:trPr>
        <w:tc>
          <w:tcPr>
            <w:tcW w:w="494" w:type="pct"/>
            <w:shd w:val="clear" w:color="auto" w:fill="auto"/>
            <w:hideMark/>
          </w:tcPr>
          <w:p w14:paraId="1EDF615E"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 1100</w:t>
            </w:r>
          </w:p>
        </w:tc>
        <w:tc>
          <w:tcPr>
            <w:tcW w:w="1427" w:type="pct"/>
            <w:shd w:val="clear" w:color="auto" w:fill="auto"/>
            <w:hideMark/>
          </w:tcPr>
          <w:p w14:paraId="7AA726FD"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 Atalgojums</w:t>
            </w:r>
          </w:p>
        </w:tc>
        <w:tc>
          <w:tcPr>
            <w:tcW w:w="2232" w:type="pct"/>
            <w:shd w:val="clear" w:color="auto" w:fill="auto"/>
            <w:vAlign w:val="center"/>
            <w:hideMark/>
          </w:tcPr>
          <w:p w14:paraId="798FC1ED"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 </w:t>
            </w:r>
          </w:p>
        </w:tc>
        <w:tc>
          <w:tcPr>
            <w:tcW w:w="846" w:type="pct"/>
            <w:shd w:val="clear" w:color="auto" w:fill="auto"/>
            <w:vAlign w:val="center"/>
            <w:hideMark/>
          </w:tcPr>
          <w:p w14:paraId="1B0F916B" w14:textId="0E7AA78E"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123 97</w:t>
            </w:r>
            <w:r w:rsidR="000E25B9">
              <w:rPr>
                <w:rFonts w:eastAsia="Times New Roman" w:cs="Times New Roman"/>
                <w:b/>
                <w:bCs/>
                <w:sz w:val="20"/>
                <w:szCs w:val="20"/>
                <w:lang w:val="lv-LV" w:eastAsia="lv-LV"/>
              </w:rPr>
              <w:t>7</w:t>
            </w:r>
          </w:p>
        </w:tc>
      </w:tr>
      <w:tr w:rsidR="00CE0303" w:rsidRPr="00CE0303" w14:paraId="07A07AEE" w14:textId="77777777" w:rsidTr="00534DB7">
        <w:trPr>
          <w:trHeight w:val="70"/>
        </w:trPr>
        <w:tc>
          <w:tcPr>
            <w:tcW w:w="494" w:type="pct"/>
            <w:shd w:val="clear" w:color="auto" w:fill="auto"/>
            <w:hideMark/>
          </w:tcPr>
          <w:p w14:paraId="26563A62"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 1110</w:t>
            </w:r>
          </w:p>
        </w:tc>
        <w:tc>
          <w:tcPr>
            <w:tcW w:w="1427" w:type="pct"/>
            <w:shd w:val="clear" w:color="auto" w:fill="auto"/>
            <w:hideMark/>
          </w:tcPr>
          <w:p w14:paraId="550A8902"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 Mēnešalga </w:t>
            </w:r>
          </w:p>
        </w:tc>
        <w:tc>
          <w:tcPr>
            <w:tcW w:w="2232" w:type="pct"/>
            <w:shd w:val="clear" w:color="auto" w:fill="auto"/>
            <w:vAlign w:val="center"/>
            <w:hideMark/>
          </w:tcPr>
          <w:p w14:paraId="1036EF8A"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 </w:t>
            </w:r>
          </w:p>
        </w:tc>
        <w:tc>
          <w:tcPr>
            <w:tcW w:w="846" w:type="pct"/>
            <w:shd w:val="clear" w:color="auto" w:fill="auto"/>
            <w:vAlign w:val="center"/>
            <w:hideMark/>
          </w:tcPr>
          <w:p w14:paraId="2690447F"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24 660</w:t>
            </w:r>
          </w:p>
        </w:tc>
      </w:tr>
      <w:tr w:rsidR="00CE0303" w:rsidRPr="00CE0303" w14:paraId="2CE20C3A" w14:textId="77777777" w:rsidTr="00534DB7">
        <w:trPr>
          <w:trHeight w:val="3585"/>
        </w:trPr>
        <w:tc>
          <w:tcPr>
            <w:tcW w:w="494" w:type="pct"/>
            <w:shd w:val="clear" w:color="auto" w:fill="auto"/>
            <w:hideMark/>
          </w:tcPr>
          <w:p w14:paraId="3298B82E" w14:textId="77777777" w:rsidR="00CE0303" w:rsidRPr="00CE0303" w:rsidRDefault="00CE0303" w:rsidP="00CE0303">
            <w:pPr>
              <w:spacing w:after="0" w:line="240" w:lineRule="auto"/>
              <w:jc w:val="right"/>
              <w:rPr>
                <w:rFonts w:eastAsia="Times New Roman" w:cs="Times New Roman"/>
                <w:sz w:val="20"/>
                <w:szCs w:val="20"/>
                <w:lang w:val="lv-LV" w:eastAsia="lv-LV"/>
              </w:rPr>
            </w:pPr>
            <w:r w:rsidRPr="00CE0303">
              <w:rPr>
                <w:rFonts w:eastAsia="Times New Roman" w:cs="Times New Roman"/>
                <w:sz w:val="20"/>
                <w:szCs w:val="20"/>
                <w:lang w:val="lv-LV" w:eastAsia="lv-LV"/>
              </w:rPr>
              <w:t> 1119</w:t>
            </w:r>
          </w:p>
        </w:tc>
        <w:tc>
          <w:tcPr>
            <w:tcW w:w="1427" w:type="pct"/>
            <w:shd w:val="clear" w:color="auto" w:fill="auto"/>
            <w:hideMark/>
          </w:tcPr>
          <w:p w14:paraId="27DE8DA3" w14:textId="1399A359" w:rsidR="00CE0303" w:rsidRPr="00CE0303" w:rsidRDefault="00CE0303" w:rsidP="00CF64D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 Pārējo darbinieku mēnešalga </w:t>
            </w:r>
          </w:p>
        </w:tc>
        <w:tc>
          <w:tcPr>
            <w:tcW w:w="2232" w:type="pct"/>
            <w:shd w:val="clear" w:color="auto" w:fill="auto"/>
            <w:vAlign w:val="center"/>
            <w:hideMark/>
          </w:tcPr>
          <w:p w14:paraId="1FEC6049" w14:textId="3DB327CB" w:rsidR="00CE0303" w:rsidRPr="00CE0303" w:rsidRDefault="00CE0303" w:rsidP="00CF64D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Darbinieki ar sekojošām amatu saimēm, līmeņiem un mēnešalgu grupām:</w:t>
            </w:r>
            <w:r w:rsidRPr="00CE0303">
              <w:rPr>
                <w:rFonts w:eastAsia="Times New Roman" w:cs="Times New Roman"/>
                <w:sz w:val="20"/>
                <w:szCs w:val="20"/>
                <w:lang w:val="lv-LV" w:eastAsia="lv-LV"/>
              </w:rPr>
              <w:br/>
              <w:t>3.1. 3 IIB</w:t>
            </w:r>
            <w:r w:rsidR="00CF64D3">
              <w:rPr>
                <w:rFonts w:eastAsia="Times New Roman" w:cs="Times New Roman"/>
                <w:sz w:val="20"/>
                <w:szCs w:val="20"/>
                <w:lang w:val="lv-LV" w:eastAsia="lv-LV"/>
              </w:rPr>
              <w:t xml:space="preserve"> </w:t>
            </w:r>
            <w:r w:rsidRPr="00CE0303">
              <w:rPr>
                <w:rFonts w:eastAsia="Times New Roman" w:cs="Times New Roman"/>
                <w:sz w:val="20"/>
                <w:szCs w:val="20"/>
                <w:lang w:val="lv-LV" w:eastAsia="lv-LV"/>
              </w:rPr>
              <w:t xml:space="preserve">Apsaimniekošana (nekustamā īpašuma speciālists) - 8.mēnešalgu grupa 3.kategorija 143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t xml:space="preserve"> x 3 amata vietas x 12 mēneši = 5 148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br/>
              <w:t xml:space="preserve">3.2. 3 III Apsaimniekošana (vecākais referents) - 10.mēnešalgu grupa 3.kategorija 190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t xml:space="preserve"> x 3 amata vietas x 12 mēneši = 6 840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br/>
              <w:t xml:space="preserve">3.3. 32 IIC Projektu vadība (projekta vadītājs) - 10.mēnešalgu grupa 3. kategorija 180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t xml:space="preserve"> x 3 amata vietas x 12 mēneši = 6 480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br/>
              <w:t xml:space="preserve">3.4. 32 IIIA Projektu vadība (būvprojekta vadītājs) - 11.mēnešalgu grupa 3. kategorija 129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t xml:space="preserve"> x 4 amata vietas x 12 mēneši = 6 192 </w:t>
            </w:r>
            <w:r w:rsidRPr="00CE0303">
              <w:rPr>
                <w:rFonts w:eastAsia="Times New Roman" w:cs="Times New Roman"/>
                <w:i/>
                <w:sz w:val="20"/>
                <w:szCs w:val="20"/>
                <w:lang w:val="lv-LV" w:eastAsia="lv-LV"/>
              </w:rPr>
              <w:t>euro</w:t>
            </w:r>
          </w:p>
        </w:tc>
        <w:tc>
          <w:tcPr>
            <w:tcW w:w="846" w:type="pct"/>
            <w:shd w:val="clear" w:color="auto" w:fill="auto"/>
            <w:noWrap/>
            <w:vAlign w:val="center"/>
            <w:hideMark/>
          </w:tcPr>
          <w:p w14:paraId="4A36A197"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24 660</w:t>
            </w:r>
          </w:p>
        </w:tc>
      </w:tr>
      <w:tr w:rsidR="00CE0303" w:rsidRPr="00CE0303" w14:paraId="552B030C" w14:textId="77777777" w:rsidTr="00534DB7">
        <w:trPr>
          <w:trHeight w:val="267"/>
        </w:trPr>
        <w:tc>
          <w:tcPr>
            <w:tcW w:w="494" w:type="pct"/>
            <w:shd w:val="clear" w:color="auto" w:fill="auto"/>
            <w:hideMark/>
          </w:tcPr>
          <w:p w14:paraId="76FBD5E6"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 1140</w:t>
            </w:r>
          </w:p>
        </w:tc>
        <w:tc>
          <w:tcPr>
            <w:tcW w:w="1427" w:type="pct"/>
            <w:shd w:val="clear" w:color="auto" w:fill="auto"/>
            <w:hideMark/>
          </w:tcPr>
          <w:p w14:paraId="3649C7AD"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Piemaksas, prēmijas un naudas balvas</w:t>
            </w:r>
          </w:p>
        </w:tc>
        <w:tc>
          <w:tcPr>
            <w:tcW w:w="2232" w:type="pct"/>
            <w:shd w:val="clear" w:color="auto" w:fill="auto"/>
            <w:noWrap/>
            <w:vAlign w:val="center"/>
            <w:hideMark/>
          </w:tcPr>
          <w:p w14:paraId="477DF9B6"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 </w:t>
            </w:r>
          </w:p>
        </w:tc>
        <w:tc>
          <w:tcPr>
            <w:tcW w:w="846" w:type="pct"/>
            <w:shd w:val="clear" w:color="auto" w:fill="auto"/>
            <w:noWrap/>
            <w:vAlign w:val="center"/>
            <w:hideMark/>
          </w:tcPr>
          <w:p w14:paraId="46E187FE"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99 317</w:t>
            </w:r>
          </w:p>
        </w:tc>
      </w:tr>
      <w:tr w:rsidR="00CE0303" w:rsidRPr="00CE0303" w14:paraId="416E1336" w14:textId="77777777" w:rsidTr="00534DB7">
        <w:trPr>
          <w:trHeight w:val="587"/>
        </w:trPr>
        <w:tc>
          <w:tcPr>
            <w:tcW w:w="494" w:type="pct"/>
            <w:shd w:val="clear" w:color="auto" w:fill="auto"/>
            <w:hideMark/>
          </w:tcPr>
          <w:p w14:paraId="6E20D326" w14:textId="77777777" w:rsidR="00CE0303" w:rsidRPr="00CE0303" w:rsidRDefault="00CE0303" w:rsidP="00CE0303">
            <w:pPr>
              <w:spacing w:after="0" w:line="240" w:lineRule="auto"/>
              <w:jc w:val="right"/>
              <w:rPr>
                <w:rFonts w:eastAsia="Times New Roman" w:cs="Times New Roman"/>
                <w:sz w:val="20"/>
                <w:szCs w:val="20"/>
                <w:lang w:val="lv-LV" w:eastAsia="lv-LV"/>
              </w:rPr>
            </w:pPr>
            <w:r w:rsidRPr="00CE0303">
              <w:rPr>
                <w:rFonts w:eastAsia="Times New Roman" w:cs="Times New Roman"/>
                <w:sz w:val="20"/>
                <w:szCs w:val="20"/>
                <w:lang w:val="lv-LV" w:eastAsia="lv-LV"/>
              </w:rPr>
              <w:t> 1146</w:t>
            </w:r>
          </w:p>
        </w:tc>
        <w:tc>
          <w:tcPr>
            <w:tcW w:w="1427" w:type="pct"/>
            <w:shd w:val="clear" w:color="auto" w:fill="auto"/>
            <w:hideMark/>
          </w:tcPr>
          <w:p w14:paraId="7C51594E"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Piemaksa par personisko darba ieguldījumu un darba kvalitāti</w:t>
            </w:r>
          </w:p>
        </w:tc>
        <w:tc>
          <w:tcPr>
            <w:tcW w:w="2232" w:type="pct"/>
            <w:shd w:val="clear" w:color="auto" w:fill="auto"/>
            <w:vAlign w:val="center"/>
            <w:hideMark/>
          </w:tcPr>
          <w:p w14:paraId="57DBF2F4"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30% x vidējā atlīdzība 1 254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t xml:space="preserve"> x 22 amata vietas x 12 mēneši = 99 317 </w:t>
            </w:r>
            <w:r w:rsidRPr="00CE0303">
              <w:rPr>
                <w:rFonts w:eastAsia="Times New Roman" w:cs="Times New Roman"/>
                <w:i/>
                <w:sz w:val="20"/>
                <w:szCs w:val="20"/>
                <w:lang w:val="lv-LV" w:eastAsia="lv-LV"/>
              </w:rPr>
              <w:t>euro</w:t>
            </w:r>
          </w:p>
        </w:tc>
        <w:tc>
          <w:tcPr>
            <w:tcW w:w="846" w:type="pct"/>
            <w:shd w:val="clear" w:color="auto" w:fill="auto"/>
            <w:noWrap/>
            <w:vAlign w:val="center"/>
            <w:hideMark/>
          </w:tcPr>
          <w:p w14:paraId="2C0470F4"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99 317</w:t>
            </w:r>
          </w:p>
        </w:tc>
      </w:tr>
      <w:tr w:rsidR="00CE0303" w:rsidRPr="00CE0303" w14:paraId="1797731B" w14:textId="77777777" w:rsidTr="00534DB7">
        <w:trPr>
          <w:trHeight w:val="724"/>
        </w:trPr>
        <w:tc>
          <w:tcPr>
            <w:tcW w:w="494" w:type="pct"/>
            <w:shd w:val="clear" w:color="auto" w:fill="auto"/>
            <w:hideMark/>
          </w:tcPr>
          <w:p w14:paraId="36E3DEE7"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 1200</w:t>
            </w:r>
          </w:p>
        </w:tc>
        <w:tc>
          <w:tcPr>
            <w:tcW w:w="1427" w:type="pct"/>
            <w:shd w:val="clear" w:color="auto" w:fill="auto"/>
            <w:hideMark/>
          </w:tcPr>
          <w:p w14:paraId="5EEB070D"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 xml:space="preserve"> Darba devēja valsts sociālās apdrošināšanas </w:t>
            </w:r>
            <w:r w:rsidRPr="00CE0303">
              <w:rPr>
                <w:rFonts w:eastAsia="Times New Roman" w:cs="Times New Roman"/>
                <w:b/>
                <w:bCs/>
                <w:sz w:val="20"/>
                <w:szCs w:val="20"/>
                <w:lang w:val="lv-LV" w:eastAsia="lv-LV"/>
              </w:rPr>
              <w:lastRenderedPageBreak/>
              <w:t>obligātās iemaksas, pabalsti un kompensācijas</w:t>
            </w:r>
          </w:p>
        </w:tc>
        <w:tc>
          <w:tcPr>
            <w:tcW w:w="2232" w:type="pct"/>
            <w:shd w:val="clear" w:color="auto" w:fill="auto"/>
            <w:noWrap/>
            <w:vAlign w:val="center"/>
            <w:hideMark/>
          </w:tcPr>
          <w:p w14:paraId="797A7455"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lastRenderedPageBreak/>
              <w:t> </w:t>
            </w:r>
          </w:p>
        </w:tc>
        <w:tc>
          <w:tcPr>
            <w:tcW w:w="846" w:type="pct"/>
            <w:shd w:val="clear" w:color="auto" w:fill="auto"/>
            <w:noWrap/>
            <w:vAlign w:val="center"/>
            <w:hideMark/>
          </w:tcPr>
          <w:p w14:paraId="69CDCF52"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29 247</w:t>
            </w:r>
          </w:p>
        </w:tc>
      </w:tr>
      <w:tr w:rsidR="00CE0303" w:rsidRPr="00CE0303" w14:paraId="124EB482" w14:textId="77777777" w:rsidTr="00D310F2">
        <w:trPr>
          <w:trHeight w:val="470"/>
        </w:trPr>
        <w:tc>
          <w:tcPr>
            <w:tcW w:w="494" w:type="pct"/>
            <w:shd w:val="clear" w:color="auto" w:fill="auto"/>
            <w:hideMark/>
          </w:tcPr>
          <w:p w14:paraId="28277F05"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 1210</w:t>
            </w:r>
          </w:p>
        </w:tc>
        <w:tc>
          <w:tcPr>
            <w:tcW w:w="1427" w:type="pct"/>
            <w:shd w:val="clear" w:color="auto" w:fill="auto"/>
            <w:hideMark/>
          </w:tcPr>
          <w:p w14:paraId="0E409CBD"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Darba devēja valsts sociālās apdrošināšanas obligātās iemaksas</w:t>
            </w:r>
          </w:p>
        </w:tc>
        <w:tc>
          <w:tcPr>
            <w:tcW w:w="2232" w:type="pct"/>
            <w:shd w:val="clear" w:color="auto" w:fill="auto"/>
            <w:vAlign w:val="center"/>
            <w:hideMark/>
          </w:tcPr>
          <w:p w14:paraId="5FC9C1CB"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23,59% no 123 977 </w:t>
            </w:r>
            <w:r w:rsidRPr="00CE0303">
              <w:rPr>
                <w:rFonts w:eastAsia="Times New Roman" w:cs="Times New Roman"/>
                <w:i/>
                <w:sz w:val="20"/>
                <w:szCs w:val="20"/>
                <w:lang w:val="lv-LV" w:eastAsia="lv-LV"/>
              </w:rPr>
              <w:t>euro</w:t>
            </w:r>
            <w:r w:rsidRPr="00CE0303">
              <w:rPr>
                <w:rFonts w:eastAsia="Times New Roman" w:cs="Times New Roman"/>
                <w:sz w:val="20"/>
                <w:szCs w:val="20"/>
                <w:lang w:val="lv-LV" w:eastAsia="lv-LV"/>
              </w:rPr>
              <w:t xml:space="preserve"> = 29 247 </w:t>
            </w:r>
            <w:r w:rsidRPr="00CE0303">
              <w:rPr>
                <w:rFonts w:eastAsia="Times New Roman" w:cs="Times New Roman"/>
                <w:i/>
                <w:sz w:val="20"/>
                <w:szCs w:val="20"/>
                <w:lang w:val="lv-LV" w:eastAsia="lv-LV"/>
              </w:rPr>
              <w:t>euro</w:t>
            </w:r>
          </w:p>
        </w:tc>
        <w:tc>
          <w:tcPr>
            <w:tcW w:w="846" w:type="pct"/>
            <w:shd w:val="clear" w:color="auto" w:fill="auto"/>
            <w:noWrap/>
            <w:vAlign w:val="center"/>
            <w:hideMark/>
          </w:tcPr>
          <w:p w14:paraId="5A1C7F5B"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29 247</w:t>
            </w:r>
          </w:p>
        </w:tc>
      </w:tr>
      <w:tr w:rsidR="00CE0303" w:rsidRPr="00CE0303" w14:paraId="67C0DB35" w14:textId="77777777" w:rsidTr="00D310F2">
        <w:trPr>
          <w:trHeight w:val="70"/>
        </w:trPr>
        <w:tc>
          <w:tcPr>
            <w:tcW w:w="494" w:type="pct"/>
            <w:shd w:val="clear" w:color="auto" w:fill="auto"/>
            <w:noWrap/>
            <w:vAlign w:val="bottom"/>
            <w:hideMark/>
          </w:tcPr>
          <w:p w14:paraId="706F88A9" w14:textId="77777777" w:rsidR="00CE0303" w:rsidRPr="00D310F2" w:rsidRDefault="00CE0303" w:rsidP="00CE0303">
            <w:pPr>
              <w:spacing w:after="0" w:line="240" w:lineRule="auto"/>
              <w:jc w:val="left"/>
              <w:rPr>
                <w:rFonts w:eastAsia="Times New Roman" w:cs="Times New Roman"/>
                <w:b/>
                <w:bCs/>
                <w:color w:val="000000"/>
                <w:sz w:val="22"/>
                <w:lang w:val="lv-LV" w:eastAsia="lv-LV"/>
              </w:rPr>
            </w:pPr>
            <w:r w:rsidRPr="00D310F2">
              <w:rPr>
                <w:rFonts w:eastAsia="Times New Roman" w:cs="Times New Roman"/>
                <w:b/>
                <w:bCs/>
                <w:color w:val="000000"/>
                <w:sz w:val="22"/>
                <w:lang w:val="lv-LV" w:eastAsia="lv-LV"/>
              </w:rPr>
              <w:t>KOPĀ</w:t>
            </w:r>
          </w:p>
        </w:tc>
        <w:tc>
          <w:tcPr>
            <w:tcW w:w="1427" w:type="pct"/>
            <w:shd w:val="clear" w:color="auto" w:fill="auto"/>
            <w:noWrap/>
            <w:vAlign w:val="center"/>
            <w:hideMark/>
          </w:tcPr>
          <w:p w14:paraId="01DAA665" w14:textId="77777777" w:rsidR="00CE0303" w:rsidRPr="00D310F2" w:rsidRDefault="00CE0303" w:rsidP="00CE0303">
            <w:pPr>
              <w:spacing w:after="0" w:line="240" w:lineRule="auto"/>
              <w:jc w:val="center"/>
              <w:rPr>
                <w:rFonts w:eastAsia="Times New Roman" w:cs="Times New Roman"/>
                <w:b/>
                <w:bCs/>
                <w:color w:val="000000"/>
                <w:sz w:val="22"/>
                <w:lang w:val="lv-LV" w:eastAsia="lv-LV"/>
              </w:rPr>
            </w:pPr>
            <w:r w:rsidRPr="00D310F2">
              <w:rPr>
                <w:rFonts w:eastAsia="Times New Roman" w:cs="Times New Roman"/>
                <w:b/>
                <w:bCs/>
                <w:color w:val="000000"/>
                <w:sz w:val="22"/>
                <w:lang w:val="lv-LV" w:eastAsia="lv-LV"/>
              </w:rPr>
              <w:t>x</w:t>
            </w:r>
          </w:p>
        </w:tc>
        <w:tc>
          <w:tcPr>
            <w:tcW w:w="2232" w:type="pct"/>
            <w:shd w:val="clear" w:color="auto" w:fill="auto"/>
            <w:noWrap/>
            <w:vAlign w:val="bottom"/>
            <w:hideMark/>
          </w:tcPr>
          <w:p w14:paraId="3C2E32DB" w14:textId="77777777" w:rsidR="00CE0303" w:rsidRPr="00D310F2" w:rsidRDefault="00CE0303" w:rsidP="00CE0303">
            <w:pPr>
              <w:spacing w:after="0" w:line="240" w:lineRule="auto"/>
              <w:jc w:val="left"/>
              <w:rPr>
                <w:rFonts w:eastAsia="Times New Roman" w:cs="Times New Roman"/>
                <w:b/>
                <w:bCs/>
                <w:color w:val="000000"/>
                <w:sz w:val="22"/>
                <w:lang w:val="lv-LV" w:eastAsia="lv-LV"/>
              </w:rPr>
            </w:pPr>
            <w:r w:rsidRPr="00D310F2">
              <w:rPr>
                <w:rFonts w:eastAsia="Times New Roman" w:cs="Times New Roman"/>
                <w:b/>
                <w:bCs/>
                <w:color w:val="000000"/>
                <w:sz w:val="22"/>
                <w:lang w:val="lv-LV" w:eastAsia="lv-LV"/>
              </w:rPr>
              <w:t> </w:t>
            </w:r>
          </w:p>
        </w:tc>
        <w:tc>
          <w:tcPr>
            <w:tcW w:w="846" w:type="pct"/>
            <w:shd w:val="clear" w:color="auto" w:fill="auto"/>
            <w:noWrap/>
            <w:vAlign w:val="center"/>
            <w:hideMark/>
          </w:tcPr>
          <w:p w14:paraId="5361BDF2" w14:textId="77777777" w:rsidR="00CE0303" w:rsidRPr="00D310F2" w:rsidRDefault="00CE0303" w:rsidP="00CE0303">
            <w:pPr>
              <w:spacing w:after="0" w:line="240" w:lineRule="auto"/>
              <w:jc w:val="center"/>
              <w:rPr>
                <w:rFonts w:eastAsia="Times New Roman" w:cs="Times New Roman"/>
                <w:b/>
                <w:bCs/>
                <w:color w:val="000000"/>
                <w:sz w:val="22"/>
                <w:lang w:val="lv-LV" w:eastAsia="lv-LV"/>
              </w:rPr>
            </w:pPr>
            <w:r w:rsidRPr="00D310F2">
              <w:rPr>
                <w:rFonts w:eastAsia="Times New Roman" w:cs="Times New Roman"/>
                <w:b/>
                <w:bCs/>
                <w:color w:val="000000"/>
                <w:sz w:val="22"/>
                <w:lang w:val="lv-LV" w:eastAsia="lv-LV"/>
              </w:rPr>
              <w:t>153 224</w:t>
            </w:r>
          </w:p>
        </w:tc>
      </w:tr>
    </w:tbl>
    <w:p w14:paraId="6CA6687A" w14:textId="77777777" w:rsidR="00CE0303" w:rsidRPr="00D310F2" w:rsidRDefault="00CE0303" w:rsidP="00CE0303">
      <w:pPr>
        <w:rPr>
          <w:rFonts w:eastAsiaTheme="minorHAnsi"/>
          <w:sz w:val="10"/>
          <w:szCs w:val="8"/>
          <w:lang w:val="lv-LV"/>
        </w:rPr>
      </w:pP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59F1306C" w14:textId="77777777" w:rsidTr="00CE0303">
        <w:trPr>
          <w:jc w:val="center"/>
        </w:trPr>
        <w:tc>
          <w:tcPr>
            <w:tcW w:w="709" w:type="dxa"/>
            <w:shd w:val="clear" w:color="auto" w:fill="92D050"/>
            <w:vAlign w:val="center"/>
          </w:tcPr>
          <w:p w14:paraId="4703038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59AC6CE0" w14:textId="77777777" w:rsidR="00CE0303" w:rsidRPr="00CE0303" w:rsidRDefault="00CE0303" w:rsidP="00CE0303">
            <w:pPr>
              <w:spacing w:after="0"/>
              <w:jc w:val="center"/>
              <w:rPr>
                <w:rFonts w:eastAsiaTheme="minorHAnsi"/>
                <w:lang w:val="lv-LV"/>
              </w:rPr>
            </w:pPr>
            <w:r w:rsidRPr="00CE0303">
              <w:rPr>
                <w:rFonts w:eastAsiaTheme="minorHAnsi"/>
                <w:lang w:val="lv-LV"/>
              </w:rPr>
              <w:t>153 224</w:t>
            </w:r>
          </w:p>
        </w:tc>
        <w:tc>
          <w:tcPr>
            <w:tcW w:w="696" w:type="dxa"/>
            <w:shd w:val="clear" w:color="auto" w:fill="92D050"/>
            <w:vAlign w:val="center"/>
          </w:tcPr>
          <w:p w14:paraId="46D9A4BE"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2691DEEC" w14:textId="77777777" w:rsidR="00CE0303" w:rsidRPr="00CE0303" w:rsidRDefault="00CE0303" w:rsidP="00CE0303">
            <w:pPr>
              <w:spacing w:after="0"/>
              <w:jc w:val="center"/>
              <w:rPr>
                <w:rFonts w:eastAsiaTheme="minorHAnsi"/>
                <w:lang w:val="lv-LV"/>
              </w:rPr>
            </w:pPr>
            <w:r w:rsidRPr="00CE0303">
              <w:rPr>
                <w:rFonts w:eastAsiaTheme="minorHAnsi"/>
                <w:lang w:val="lv-LV"/>
              </w:rPr>
              <w:t>153 224</w:t>
            </w:r>
          </w:p>
        </w:tc>
        <w:tc>
          <w:tcPr>
            <w:tcW w:w="709" w:type="dxa"/>
            <w:shd w:val="clear" w:color="auto" w:fill="92D050"/>
            <w:vAlign w:val="center"/>
          </w:tcPr>
          <w:p w14:paraId="4521CBAA"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3C8F20FC" w14:textId="77777777" w:rsidR="00CE0303" w:rsidRPr="00CE0303" w:rsidRDefault="00CE0303" w:rsidP="00CE0303">
            <w:pPr>
              <w:spacing w:after="0"/>
              <w:jc w:val="center"/>
              <w:rPr>
                <w:rFonts w:eastAsiaTheme="minorHAnsi"/>
                <w:lang w:val="lv-LV"/>
              </w:rPr>
            </w:pPr>
            <w:r w:rsidRPr="00CE0303">
              <w:rPr>
                <w:rFonts w:eastAsiaTheme="minorHAnsi"/>
                <w:lang w:val="lv-LV"/>
              </w:rPr>
              <w:t>153 224</w:t>
            </w:r>
          </w:p>
        </w:tc>
      </w:tr>
    </w:tbl>
    <w:p w14:paraId="14DB8703" w14:textId="77777777" w:rsidR="00CE0303" w:rsidRPr="00CE0303" w:rsidRDefault="00CE0303" w:rsidP="001D5145">
      <w:pPr>
        <w:tabs>
          <w:tab w:val="left" w:pos="-1701"/>
        </w:tabs>
        <w:spacing w:before="120"/>
        <w:ind w:firstLine="720"/>
        <w:rPr>
          <w:rFonts w:eastAsia="Times New Roman" w:cs="Times New Roman"/>
          <w:szCs w:val="24"/>
          <w:lang w:val="lv-LV" w:eastAsia="en-GB"/>
        </w:rPr>
      </w:pPr>
      <w:r w:rsidRPr="00CE0303">
        <w:rPr>
          <w:rFonts w:eastAsia="Times New Roman" w:cs="Times New Roman"/>
          <w:szCs w:val="24"/>
          <w:lang w:val="lv-LV" w:eastAsia="en-GB"/>
        </w:rPr>
        <w:t xml:space="preserve">Budžeta apakšprogrammā 40.03.00 “Lietiskie pierādījumi un izņemtā manta” samazinās izdevumu apjoms, kas saistīts ar lietisko pierādījumu un izņemtās mantas glabāšanu un pārvietošanu, jo ar 2020. gada 1. jūliju stājās spēkā Administratīvās atbildības likums, kā rezultātā ievērojami samazinājās glabāšanā nododamo izņemto mantu – ceļu satiksmē izņemto transporta līdzekļu apjoms, kuru evakuācijas pakalpojumus nodrošināja komersanti. Finanšu līdzekļu ietaupījums ir 301,4 tūkst. </w:t>
      </w:r>
      <w:r w:rsidRPr="00CE0303">
        <w:rPr>
          <w:rFonts w:eastAsia="Times New Roman" w:cs="Times New Roman"/>
          <w:i/>
          <w:szCs w:val="24"/>
          <w:lang w:val="lv-LV" w:eastAsia="en-GB"/>
        </w:rPr>
        <w:t>euro</w:t>
      </w:r>
      <w:r w:rsidRPr="00CE0303">
        <w:rPr>
          <w:rFonts w:eastAsia="Times New Roman" w:cs="Times New Roman"/>
          <w:szCs w:val="24"/>
          <w:lang w:val="lv-LV" w:eastAsia="en-GB"/>
        </w:rPr>
        <w:t xml:space="preserve">. Savukārt, lai paaugstinātu personāla konkurētspēju un nodrošinātu darbības atbilstību visaugstākajiem kvalitātes standartiem, sekmējot efektīvu Nodrošinājuma valsts aģentūras uzdevumu un funkciju pildīšanu, nostiprinot administratīvo kapacitāti, Nodrošinājuma valsts aģentūrai nepieciešams papildu finansējums atlīdzībai. IeM ierosina ietaupīto finansējumu novirzīt atlīdzībai, lai piešķirtu piemaksas darbiniekiem par personisko darba ieguldījumu un darba kvalitāti, tādējādi paaugstinot motivāciju un novēršot kompetentu darbinieku aizplūšanu uz privāto sektoru un citām institūcijām, pārdalot to no budžeta apakšprogrammas 40.03.00 “Lietiskie pierādījumi un izņemtā manta” 301,4 tūkst. </w:t>
      </w:r>
      <w:r w:rsidRPr="00CE0303">
        <w:rPr>
          <w:rFonts w:eastAsia="Times New Roman" w:cs="Times New Roman"/>
          <w:i/>
          <w:szCs w:val="24"/>
          <w:lang w:val="lv-LV" w:eastAsia="en-GB"/>
        </w:rPr>
        <w:t>euro</w:t>
      </w:r>
      <w:r w:rsidRPr="00CE0303">
        <w:rPr>
          <w:rFonts w:eastAsia="Times New Roman" w:cs="Times New Roman"/>
          <w:szCs w:val="24"/>
          <w:lang w:val="lv-LV" w:eastAsia="en-GB"/>
        </w:rPr>
        <w:t xml:space="preserve"> apmērā (izdevumi precēm un pakalpojumiem) uz apakšprogrammu 40.01.00 „Administrēšana” 301,4 tūkst.</w:t>
      </w:r>
      <w:r w:rsidRPr="00CE0303">
        <w:rPr>
          <w:rFonts w:eastAsia="Times New Roman" w:cs="Times New Roman"/>
          <w:i/>
          <w:szCs w:val="24"/>
          <w:lang w:val="lv-LV" w:eastAsia="en-GB"/>
        </w:rPr>
        <w:t xml:space="preserve"> euro</w:t>
      </w:r>
      <w:r w:rsidRPr="00CE0303">
        <w:rPr>
          <w:rFonts w:eastAsia="Times New Roman" w:cs="Times New Roman"/>
          <w:szCs w:val="24"/>
          <w:lang w:val="lv-LV" w:eastAsia="en-GB"/>
        </w:rPr>
        <w:t xml:space="preserve"> apmērā (izdevumi atlīdzība). </w:t>
      </w:r>
    </w:p>
    <w:p w14:paraId="44D74785" w14:textId="6C737E53" w:rsidR="00CE0303" w:rsidRPr="00CE0303" w:rsidRDefault="006B762E" w:rsidP="00534DB7">
      <w:pPr>
        <w:jc w:val="center"/>
        <w:rPr>
          <w:rFonts w:eastAsiaTheme="minorHAnsi"/>
          <w:b/>
          <w:bCs/>
          <w:i/>
          <w:sz w:val="22"/>
          <w:szCs w:val="24"/>
          <w:lang w:val="lv-LV"/>
        </w:rPr>
      </w:pPr>
      <w:r>
        <w:rPr>
          <w:rFonts w:eastAsiaTheme="minorHAnsi"/>
          <w:b/>
          <w:bCs/>
          <w:i/>
          <w:iCs/>
          <w:sz w:val="22"/>
          <w:szCs w:val="24"/>
          <w:lang w:val="lv-LV"/>
        </w:rPr>
        <w:t>2.2.5</w:t>
      </w:r>
      <w:r w:rsidR="00CE0303" w:rsidRPr="00CE0303">
        <w:rPr>
          <w:rFonts w:eastAsiaTheme="minorHAnsi"/>
          <w:b/>
          <w:bCs/>
          <w:i/>
          <w:iCs/>
          <w:sz w:val="22"/>
          <w:szCs w:val="24"/>
          <w:lang w:val="lv-LV"/>
        </w:rPr>
        <w:t>. tabula</w:t>
      </w:r>
      <w:r w:rsidR="00CE0303" w:rsidRPr="00CE0303">
        <w:rPr>
          <w:rFonts w:eastAsiaTheme="minorHAnsi"/>
          <w:b/>
          <w:bCs/>
          <w:i/>
          <w:sz w:val="22"/>
          <w:szCs w:val="24"/>
          <w:lang w:val="lv-LV"/>
        </w:rPr>
        <w:t xml:space="preserve"> </w:t>
      </w:r>
      <w:r w:rsidR="00CE0303" w:rsidRPr="006A642E">
        <w:rPr>
          <w:rFonts w:eastAsia="Times New Roman" w:cs="Times New Roman"/>
          <w:b/>
          <w:sz w:val="22"/>
          <w:lang w:val="lv-LV" w:eastAsia="en-GB"/>
        </w:rPr>
        <w:t>Atlīdzības izdevumu aprēķins</w:t>
      </w:r>
      <w:r w:rsidR="00CE0303" w:rsidRPr="006A642E">
        <w:rPr>
          <w:rFonts w:eastAsiaTheme="minorHAnsi"/>
          <w:b/>
          <w:bCs/>
          <w:i/>
          <w:sz w:val="22"/>
          <w:lang w:val="lv-LV"/>
        </w:rPr>
        <w:t>, euro</w:t>
      </w:r>
    </w:p>
    <w:tbl>
      <w:tblPr>
        <w:tblW w:w="5000" w:type="pct"/>
        <w:tblLook w:val="04A0" w:firstRow="1" w:lastRow="0" w:firstColumn="1" w:lastColumn="0" w:noHBand="0" w:noVBand="1"/>
      </w:tblPr>
      <w:tblGrid>
        <w:gridCol w:w="1250"/>
        <w:gridCol w:w="3139"/>
        <w:gridCol w:w="3139"/>
        <w:gridCol w:w="1533"/>
      </w:tblGrid>
      <w:tr w:rsidR="00CE0303" w:rsidRPr="00CE0303" w14:paraId="7F93E7D4" w14:textId="77777777" w:rsidTr="00D310F2">
        <w:trPr>
          <w:trHeight w:val="528"/>
        </w:trPr>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DF9375" w14:textId="77777777"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Cs/>
                <w:color w:val="000000"/>
                <w:sz w:val="20"/>
                <w:szCs w:val="20"/>
                <w:lang w:val="lv-LV" w:eastAsia="lv-LV"/>
              </w:rPr>
              <w:t>EKK</w:t>
            </w:r>
          </w:p>
        </w:tc>
        <w:tc>
          <w:tcPr>
            <w:tcW w:w="1732" w:type="pct"/>
            <w:tcBorders>
              <w:top w:val="single" w:sz="4" w:space="0" w:color="auto"/>
              <w:left w:val="nil"/>
              <w:bottom w:val="single" w:sz="4" w:space="0" w:color="auto"/>
              <w:right w:val="single" w:sz="4" w:space="0" w:color="auto"/>
            </w:tcBorders>
            <w:shd w:val="clear" w:color="auto" w:fill="auto"/>
            <w:vAlign w:val="center"/>
          </w:tcPr>
          <w:p w14:paraId="4928B6B0" w14:textId="77777777"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Cs/>
                <w:color w:val="000000"/>
                <w:sz w:val="20"/>
                <w:szCs w:val="20"/>
                <w:lang w:val="lv-LV" w:eastAsia="lv-LV"/>
              </w:rPr>
              <w:t>Izdevumu nosaukums</w:t>
            </w:r>
          </w:p>
        </w:tc>
        <w:tc>
          <w:tcPr>
            <w:tcW w:w="1732" w:type="pct"/>
            <w:tcBorders>
              <w:top w:val="single" w:sz="4" w:space="0" w:color="auto"/>
              <w:left w:val="nil"/>
              <w:bottom w:val="single" w:sz="4" w:space="0" w:color="auto"/>
              <w:right w:val="single" w:sz="4" w:space="0" w:color="auto"/>
            </w:tcBorders>
            <w:shd w:val="clear" w:color="auto" w:fill="auto"/>
            <w:vAlign w:val="center"/>
          </w:tcPr>
          <w:p w14:paraId="39F546D8" w14:textId="3DC83793"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 xml:space="preserve">40.01.00 </w:t>
            </w:r>
            <w:r w:rsidR="004B7F98">
              <w:rPr>
                <w:rFonts w:eastAsia="Times New Roman" w:cs="Times New Roman"/>
                <w:b/>
                <w:bCs/>
                <w:sz w:val="20"/>
                <w:szCs w:val="20"/>
                <w:lang w:val="lv-LV" w:eastAsia="lv-LV"/>
              </w:rPr>
              <w:t>“</w:t>
            </w:r>
            <w:r w:rsidRPr="00CE0303">
              <w:rPr>
                <w:rFonts w:eastAsia="Times New Roman" w:cs="Times New Roman"/>
                <w:b/>
                <w:bCs/>
                <w:sz w:val="20"/>
                <w:szCs w:val="20"/>
                <w:lang w:val="lv-LV" w:eastAsia="lv-LV"/>
              </w:rPr>
              <w:t>Administrēšana</w:t>
            </w:r>
            <w:r w:rsidR="004B7F98">
              <w:rPr>
                <w:rFonts w:eastAsia="Times New Roman" w:cs="Times New Roman"/>
                <w:b/>
                <w:bCs/>
                <w:sz w:val="20"/>
                <w:szCs w:val="20"/>
                <w:lang w:val="lv-LV" w:eastAsia="lv-LV"/>
              </w:rPr>
              <w:t>”</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11AB9C32" w14:textId="10C3229F"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Cs/>
                <w:color w:val="000000"/>
                <w:sz w:val="20"/>
                <w:szCs w:val="20"/>
                <w:lang w:val="lv-LV" w:eastAsia="lv-LV"/>
              </w:rPr>
              <w:t>Papildu nepieciešamais finansējums 2022.</w:t>
            </w:r>
            <w:r w:rsidR="00FF342C">
              <w:rPr>
                <w:rFonts w:eastAsia="Times New Roman" w:cs="Times New Roman"/>
                <w:bCs/>
                <w:color w:val="000000"/>
                <w:sz w:val="20"/>
                <w:szCs w:val="20"/>
                <w:lang w:val="lv-LV" w:eastAsia="lv-LV"/>
              </w:rPr>
              <w:t xml:space="preserve"> </w:t>
            </w:r>
            <w:r w:rsidRPr="00CE0303">
              <w:rPr>
                <w:rFonts w:eastAsia="Times New Roman" w:cs="Times New Roman"/>
                <w:bCs/>
                <w:color w:val="000000"/>
                <w:sz w:val="20"/>
                <w:szCs w:val="20"/>
                <w:lang w:val="lv-LV" w:eastAsia="lv-LV"/>
              </w:rPr>
              <w:t>gadam un turpmāk ik gadu</w:t>
            </w:r>
          </w:p>
        </w:tc>
      </w:tr>
      <w:tr w:rsidR="00CE0303" w:rsidRPr="00CE0303" w14:paraId="5668C197" w14:textId="77777777" w:rsidTr="00D310F2">
        <w:trPr>
          <w:trHeight w:val="75"/>
        </w:trPr>
        <w:tc>
          <w:tcPr>
            <w:tcW w:w="690" w:type="pct"/>
            <w:tcBorders>
              <w:top w:val="single" w:sz="4" w:space="0" w:color="auto"/>
              <w:left w:val="single" w:sz="4" w:space="0" w:color="auto"/>
              <w:bottom w:val="single" w:sz="4" w:space="0" w:color="auto"/>
              <w:right w:val="single" w:sz="4" w:space="0" w:color="000000"/>
            </w:tcBorders>
            <w:shd w:val="clear" w:color="auto" w:fill="auto"/>
            <w:vAlign w:val="bottom"/>
            <w:hideMark/>
          </w:tcPr>
          <w:p w14:paraId="68319CA9" w14:textId="77777777" w:rsidR="00CE0303" w:rsidRPr="00CE0303" w:rsidRDefault="00CE0303" w:rsidP="00CE0303">
            <w:pPr>
              <w:spacing w:after="0" w:line="240" w:lineRule="auto"/>
              <w:jc w:val="left"/>
              <w:rPr>
                <w:rFonts w:eastAsia="Times New Roman" w:cs="Times New Roman"/>
                <w:b/>
                <w:bCs/>
                <w:sz w:val="20"/>
                <w:szCs w:val="20"/>
                <w:lang w:val="lv-LV" w:eastAsia="lv-LV"/>
              </w:rPr>
            </w:pPr>
          </w:p>
        </w:tc>
        <w:tc>
          <w:tcPr>
            <w:tcW w:w="1732" w:type="pct"/>
            <w:tcBorders>
              <w:top w:val="single" w:sz="4" w:space="0" w:color="auto"/>
              <w:left w:val="single" w:sz="4" w:space="0" w:color="auto"/>
              <w:bottom w:val="single" w:sz="4" w:space="0" w:color="auto"/>
              <w:right w:val="single" w:sz="4" w:space="0" w:color="000000"/>
            </w:tcBorders>
            <w:shd w:val="clear" w:color="auto" w:fill="auto"/>
            <w:vAlign w:val="bottom"/>
          </w:tcPr>
          <w:p w14:paraId="5253E7EB" w14:textId="77777777" w:rsidR="00CE0303" w:rsidRPr="00CE0303" w:rsidRDefault="00CE0303" w:rsidP="00CE0303">
            <w:pPr>
              <w:spacing w:after="0" w:line="240" w:lineRule="auto"/>
              <w:jc w:val="left"/>
              <w:rPr>
                <w:rFonts w:eastAsia="Times New Roman" w:cs="Times New Roman"/>
                <w:b/>
                <w:bCs/>
                <w:sz w:val="20"/>
                <w:szCs w:val="20"/>
                <w:lang w:val="lv-LV" w:eastAsia="lv-LV"/>
              </w:rPr>
            </w:pPr>
            <w:r w:rsidRPr="00CE0303">
              <w:rPr>
                <w:rFonts w:eastAsia="Times New Roman" w:cs="Times New Roman"/>
                <w:b/>
                <w:bCs/>
                <w:sz w:val="20"/>
                <w:szCs w:val="20"/>
                <w:lang w:val="lv-LV" w:eastAsia="lv-LV"/>
              </w:rPr>
              <w:t>Izdevumi kopā</w:t>
            </w:r>
          </w:p>
        </w:tc>
        <w:tc>
          <w:tcPr>
            <w:tcW w:w="1732" w:type="pct"/>
            <w:tcBorders>
              <w:top w:val="nil"/>
              <w:left w:val="nil"/>
              <w:bottom w:val="single" w:sz="4" w:space="0" w:color="auto"/>
              <w:right w:val="single" w:sz="4" w:space="0" w:color="auto"/>
            </w:tcBorders>
            <w:shd w:val="clear" w:color="auto" w:fill="auto"/>
            <w:vAlign w:val="center"/>
          </w:tcPr>
          <w:p w14:paraId="77F50B1E" w14:textId="77777777" w:rsidR="00CE0303" w:rsidRPr="00CE0303" w:rsidRDefault="00CE0303" w:rsidP="00CE0303">
            <w:pPr>
              <w:spacing w:after="0" w:line="240" w:lineRule="auto"/>
              <w:jc w:val="center"/>
              <w:rPr>
                <w:rFonts w:eastAsia="Times New Roman" w:cs="Times New Roman"/>
                <w:b/>
                <w:bCs/>
                <w:sz w:val="20"/>
                <w:szCs w:val="20"/>
                <w:lang w:val="lv-LV" w:eastAsia="lv-LV"/>
              </w:rPr>
            </w:pPr>
          </w:p>
        </w:tc>
        <w:tc>
          <w:tcPr>
            <w:tcW w:w="846" w:type="pct"/>
            <w:tcBorders>
              <w:top w:val="nil"/>
              <w:left w:val="nil"/>
              <w:bottom w:val="single" w:sz="4" w:space="0" w:color="auto"/>
              <w:right w:val="single" w:sz="4" w:space="0" w:color="auto"/>
            </w:tcBorders>
            <w:shd w:val="clear" w:color="auto" w:fill="auto"/>
            <w:vAlign w:val="center"/>
            <w:hideMark/>
          </w:tcPr>
          <w:p w14:paraId="0EB87B8E"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301 392</w:t>
            </w:r>
          </w:p>
        </w:tc>
      </w:tr>
      <w:tr w:rsidR="00CE0303" w:rsidRPr="00CE0303" w14:paraId="2D733671" w14:textId="77777777" w:rsidTr="00D310F2">
        <w:trPr>
          <w:trHeight w:val="122"/>
        </w:trPr>
        <w:tc>
          <w:tcPr>
            <w:tcW w:w="690" w:type="pct"/>
            <w:tcBorders>
              <w:top w:val="single" w:sz="4" w:space="0" w:color="auto"/>
              <w:left w:val="single" w:sz="4" w:space="0" w:color="auto"/>
              <w:bottom w:val="single" w:sz="4" w:space="0" w:color="auto"/>
              <w:right w:val="single" w:sz="4" w:space="0" w:color="000000"/>
            </w:tcBorders>
            <w:shd w:val="clear" w:color="auto" w:fill="auto"/>
            <w:vAlign w:val="bottom"/>
            <w:hideMark/>
          </w:tcPr>
          <w:p w14:paraId="0BD790E1"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1000 </w:t>
            </w:r>
          </w:p>
        </w:tc>
        <w:tc>
          <w:tcPr>
            <w:tcW w:w="1732" w:type="pct"/>
            <w:tcBorders>
              <w:top w:val="single" w:sz="4" w:space="0" w:color="auto"/>
              <w:left w:val="single" w:sz="4" w:space="0" w:color="auto"/>
              <w:bottom w:val="single" w:sz="4" w:space="0" w:color="auto"/>
              <w:right w:val="single" w:sz="4" w:space="0" w:color="000000"/>
            </w:tcBorders>
            <w:shd w:val="clear" w:color="auto" w:fill="auto"/>
            <w:vAlign w:val="bottom"/>
          </w:tcPr>
          <w:p w14:paraId="67DDC51A"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Atlīdzība</w:t>
            </w:r>
          </w:p>
        </w:tc>
        <w:tc>
          <w:tcPr>
            <w:tcW w:w="1732" w:type="pct"/>
            <w:tcBorders>
              <w:top w:val="nil"/>
              <w:left w:val="nil"/>
              <w:bottom w:val="single" w:sz="4" w:space="0" w:color="auto"/>
              <w:right w:val="single" w:sz="4" w:space="0" w:color="auto"/>
            </w:tcBorders>
            <w:shd w:val="clear" w:color="auto" w:fill="auto"/>
            <w:vAlign w:val="center"/>
          </w:tcPr>
          <w:p w14:paraId="41DF6D95" w14:textId="77777777" w:rsidR="00CE0303" w:rsidRPr="00CE0303" w:rsidRDefault="00CE0303" w:rsidP="00CE0303">
            <w:pPr>
              <w:spacing w:after="0" w:line="240" w:lineRule="auto"/>
              <w:jc w:val="center"/>
              <w:rPr>
                <w:rFonts w:eastAsia="Times New Roman" w:cs="Times New Roman"/>
                <w:b/>
                <w:bCs/>
                <w:sz w:val="20"/>
                <w:szCs w:val="20"/>
                <w:lang w:val="lv-LV" w:eastAsia="lv-LV"/>
              </w:rPr>
            </w:pPr>
          </w:p>
        </w:tc>
        <w:tc>
          <w:tcPr>
            <w:tcW w:w="846" w:type="pct"/>
            <w:tcBorders>
              <w:top w:val="nil"/>
              <w:left w:val="nil"/>
              <w:bottom w:val="single" w:sz="4" w:space="0" w:color="auto"/>
              <w:right w:val="single" w:sz="4" w:space="0" w:color="auto"/>
            </w:tcBorders>
            <w:shd w:val="clear" w:color="auto" w:fill="auto"/>
            <w:vAlign w:val="center"/>
            <w:hideMark/>
          </w:tcPr>
          <w:p w14:paraId="337BBFA0"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301 392</w:t>
            </w:r>
          </w:p>
        </w:tc>
      </w:tr>
      <w:tr w:rsidR="00CE0303" w:rsidRPr="00CE0303" w14:paraId="25796754" w14:textId="77777777" w:rsidTr="00D310F2">
        <w:trPr>
          <w:trHeight w:val="70"/>
        </w:trPr>
        <w:tc>
          <w:tcPr>
            <w:tcW w:w="690" w:type="pct"/>
            <w:tcBorders>
              <w:top w:val="single" w:sz="4" w:space="0" w:color="auto"/>
              <w:left w:val="single" w:sz="4" w:space="0" w:color="auto"/>
              <w:bottom w:val="single" w:sz="4" w:space="0" w:color="auto"/>
              <w:right w:val="single" w:sz="4" w:space="0" w:color="000000"/>
            </w:tcBorders>
            <w:shd w:val="clear" w:color="auto" w:fill="auto"/>
            <w:vAlign w:val="bottom"/>
            <w:hideMark/>
          </w:tcPr>
          <w:p w14:paraId="37FC544F"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1100 </w:t>
            </w:r>
          </w:p>
        </w:tc>
        <w:tc>
          <w:tcPr>
            <w:tcW w:w="1732" w:type="pct"/>
            <w:tcBorders>
              <w:top w:val="single" w:sz="4" w:space="0" w:color="auto"/>
              <w:left w:val="single" w:sz="4" w:space="0" w:color="auto"/>
              <w:bottom w:val="single" w:sz="4" w:space="0" w:color="auto"/>
              <w:right w:val="single" w:sz="4" w:space="0" w:color="000000"/>
            </w:tcBorders>
            <w:shd w:val="clear" w:color="auto" w:fill="auto"/>
            <w:vAlign w:val="bottom"/>
          </w:tcPr>
          <w:p w14:paraId="663B2A92"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Atalgojums</w:t>
            </w:r>
          </w:p>
        </w:tc>
        <w:tc>
          <w:tcPr>
            <w:tcW w:w="1732" w:type="pct"/>
            <w:tcBorders>
              <w:top w:val="nil"/>
              <w:left w:val="nil"/>
              <w:bottom w:val="single" w:sz="4" w:space="0" w:color="auto"/>
              <w:right w:val="single" w:sz="4" w:space="0" w:color="auto"/>
            </w:tcBorders>
            <w:shd w:val="clear" w:color="auto" w:fill="auto"/>
            <w:vAlign w:val="center"/>
          </w:tcPr>
          <w:p w14:paraId="06DD1502" w14:textId="77777777" w:rsidR="00CE0303" w:rsidRPr="00CE0303" w:rsidRDefault="00CE0303" w:rsidP="00CE0303">
            <w:pPr>
              <w:spacing w:after="0" w:line="240" w:lineRule="auto"/>
              <w:jc w:val="center"/>
              <w:rPr>
                <w:rFonts w:eastAsia="Times New Roman" w:cs="Times New Roman"/>
                <w:b/>
                <w:bCs/>
                <w:sz w:val="20"/>
                <w:szCs w:val="20"/>
                <w:lang w:val="lv-LV" w:eastAsia="lv-LV"/>
              </w:rPr>
            </w:pPr>
          </w:p>
        </w:tc>
        <w:tc>
          <w:tcPr>
            <w:tcW w:w="846" w:type="pct"/>
            <w:tcBorders>
              <w:top w:val="nil"/>
              <w:left w:val="nil"/>
              <w:bottom w:val="single" w:sz="4" w:space="0" w:color="auto"/>
              <w:right w:val="single" w:sz="4" w:space="0" w:color="auto"/>
            </w:tcBorders>
            <w:shd w:val="clear" w:color="auto" w:fill="auto"/>
            <w:vAlign w:val="center"/>
            <w:hideMark/>
          </w:tcPr>
          <w:p w14:paraId="6A7BABC4" w14:textId="77777777" w:rsidR="00CE0303" w:rsidRPr="00CE0303" w:rsidRDefault="00CE0303" w:rsidP="00CE0303">
            <w:pPr>
              <w:spacing w:after="0" w:line="240" w:lineRule="auto"/>
              <w:jc w:val="center"/>
              <w:rPr>
                <w:rFonts w:eastAsia="Times New Roman" w:cs="Times New Roman"/>
                <w:b/>
                <w:bCs/>
                <w:sz w:val="20"/>
                <w:szCs w:val="20"/>
                <w:lang w:val="lv-LV" w:eastAsia="lv-LV"/>
              </w:rPr>
            </w:pPr>
            <w:r w:rsidRPr="00CE0303">
              <w:rPr>
                <w:rFonts w:eastAsia="Times New Roman" w:cs="Times New Roman"/>
                <w:b/>
                <w:bCs/>
                <w:sz w:val="20"/>
                <w:szCs w:val="20"/>
                <w:lang w:val="lv-LV" w:eastAsia="lv-LV"/>
              </w:rPr>
              <w:t>243 864</w:t>
            </w:r>
          </w:p>
        </w:tc>
      </w:tr>
      <w:tr w:rsidR="00CE0303" w:rsidRPr="00CE0303" w14:paraId="7F51DC19" w14:textId="77777777" w:rsidTr="00D310F2">
        <w:trPr>
          <w:trHeight w:val="355"/>
        </w:trPr>
        <w:tc>
          <w:tcPr>
            <w:tcW w:w="690"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3D7DD549" w14:textId="77777777" w:rsidR="00CE0303" w:rsidRPr="00CE0303" w:rsidRDefault="00CE0303" w:rsidP="00CE0303">
            <w:pPr>
              <w:spacing w:after="0" w:line="240" w:lineRule="auto"/>
              <w:jc w:val="left"/>
              <w:rPr>
                <w:rFonts w:eastAsia="Times New Roman" w:cs="Times New Roman"/>
                <w:color w:val="000000"/>
                <w:sz w:val="20"/>
                <w:szCs w:val="20"/>
                <w:lang w:val="lv-LV" w:eastAsia="lv-LV"/>
              </w:rPr>
            </w:pPr>
            <w:r w:rsidRPr="00CE0303">
              <w:rPr>
                <w:rFonts w:eastAsia="Times New Roman" w:cs="Times New Roman"/>
                <w:color w:val="000000"/>
                <w:sz w:val="20"/>
                <w:szCs w:val="20"/>
                <w:lang w:val="lv-LV" w:eastAsia="lv-LV"/>
              </w:rPr>
              <w:t xml:space="preserve">1146 </w:t>
            </w:r>
          </w:p>
        </w:tc>
        <w:tc>
          <w:tcPr>
            <w:tcW w:w="1732" w:type="pct"/>
            <w:tcBorders>
              <w:top w:val="single" w:sz="4" w:space="0" w:color="auto"/>
              <w:left w:val="single" w:sz="4" w:space="0" w:color="auto"/>
              <w:bottom w:val="single" w:sz="4" w:space="0" w:color="auto"/>
              <w:right w:val="single" w:sz="4" w:space="0" w:color="000000"/>
            </w:tcBorders>
            <w:shd w:val="clear" w:color="auto" w:fill="auto"/>
            <w:vAlign w:val="center"/>
          </w:tcPr>
          <w:p w14:paraId="1F6C2E35" w14:textId="6E5AAF66" w:rsidR="00CE0303" w:rsidRPr="00CE0303" w:rsidRDefault="00CE0303" w:rsidP="00CE0303">
            <w:pPr>
              <w:spacing w:after="0" w:line="240" w:lineRule="auto"/>
              <w:jc w:val="left"/>
              <w:rPr>
                <w:rFonts w:eastAsia="Times New Roman" w:cs="Times New Roman"/>
                <w:color w:val="000000"/>
                <w:sz w:val="20"/>
                <w:szCs w:val="20"/>
                <w:lang w:val="lv-LV" w:eastAsia="lv-LV"/>
              </w:rPr>
            </w:pPr>
            <w:r w:rsidRPr="00CE0303">
              <w:rPr>
                <w:rFonts w:eastAsia="Times New Roman" w:cs="Times New Roman"/>
                <w:color w:val="000000"/>
                <w:sz w:val="20"/>
                <w:szCs w:val="20"/>
                <w:lang w:val="lv-LV" w:eastAsia="lv-LV"/>
              </w:rPr>
              <w:t>Piemaksa par personisko darba ieguldījumu un darba kvalitāti</w:t>
            </w:r>
          </w:p>
        </w:tc>
        <w:tc>
          <w:tcPr>
            <w:tcW w:w="1732" w:type="pct"/>
            <w:tcBorders>
              <w:top w:val="nil"/>
              <w:left w:val="nil"/>
              <w:bottom w:val="single" w:sz="4" w:space="0" w:color="auto"/>
              <w:right w:val="single" w:sz="4" w:space="0" w:color="auto"/>
            </w:tcBorders>
            <w:shd w:val="clear" w:color="auto" w:fill="auto"/>
            <w:vAlign w:val="center"/>
          </w:tcPr>
          <w:p w14:paraId="1435752F"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color w:val="000000"/>
                <w:sz w:val="20"/>
                <w:szCs w:val="20"/>
                <w:lang w:val="lv-LV" w:eastAsia="lv-LV"/>
              </w:rPr>
              <w:t xml:space="preserve">1 129 </w:t>
            </w:r>
            <w:r w:rsidRPr="00CE0303">
              <w:rPr>
                <w:rFonts w:eastAsia="Times New Roman" w:cs="Times New Roman"/>
                <w:i/>
                <w:color w:val="000000"/>
                <w:sz w:val="20"/>
                <w:szCs w:val="20"/>
                <w:lang w:val="lv-LV" w:eastAsia="lv-LV"/>
              </w:rPr>
              <w:t>euro</w:t>
            </w:r>
            <w:r w:rsidRPr="00CE0303">
              <w:rPr>
                <w:rFonts w:eastAsia="Times New Roman" w:cs="Times New Roman"/>
                <w:color w:val="000000"/>
                <w:sz w:val="20"/>
                <w:szCs w:val="20"/>
                <w:lang w:val="lv-LV" w:eastAsia="lv-LV"/>
              </w:rPr>
              <w:t xml:space="preserve"> vidējā mēnešalga x 30% x 60 darbinieki x 12 mēneši = 243 864 </w:t>
            </w:r>
            <w:r w:rsidRPr="00CE0303">
              <w:rPr>
                <w:rFonts w:eastAsia="Times New Roman" w:cs="Times New Roman"/>
                <w:i/>
                <w:color w:val="000000"/>
                <w:sz w:val="20"/>
                <w:szCs w:val="20"/>
                <w:lang w:val="lv-LV" w:eastAsia="lv-LV"/>
              </w:rPr>
              <w:t>euro</w:t>
            </w:r>
          </w:p>
        </w:tc>
        <w:tc>
          <w:tcPr>
            <w:tcW w:w="846" w:type="pct"/>
            <w:tcBorders>
              <w:top w:val="nil"/>
              <w:left w:val="nil"/>
              <w:bottom w:val="single" w:sz="4" w:space="0" w:color="auto"/>
              <w:right w:val="single" w:sz="4" w:space="0" w:color="auto"/>
            </w:tcBorders>
            <w:shd w:val="clear" w:color="auto" w:fill="auto"/>
            <w:vAlign w:val="center"/>
            <w:hideMark/>
          </w:tcPr>
          <w:p w14:paraId="61DD3BF4"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243 864</w:t>
            </w:r>
          </w:p>
        </w:tc>
      </w:tr>
      <w:tr w:rsidR="00CE0303" w:rsidRPr="00CE0303" w14:paraId="512F6DF9" w14:textId="77777777" w:rsidTr="00D310F2">
        <w:trPr>
          <w:trHeight w:val="351"/>
        </w:trPr>
        <w:tc>
          <w:tcPr>
            <w:tcW w:w="690"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0275B0D5"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1200 </w:t>
            </w:r>
          </w:p>
        </w:tc>
        <w:tc>
          <w:tcPr>
            <w:tcW w:w="1732" w:type="pct"/>
            <w:tcBorders>
              <w:top w:val="single" w:sz="4" w:space="0" w:color="auto"/>
              <w:left w:val="single" w:sz="4" w:space="0" w:color="auto"/>
              <w:bottom w:val="single" w:sz="4" w:space="0" w:color="auto"/>
              <w:right w:val="single" w:sz="4" w:space="0" w:color="000000"/>
            </w:tcBorders>
            <w:shd w:val="clear" w:color="auto" w:fill="auto"/>
            <w:vAlign w:val="center"/>
          </w:tcPr>
          <w:p w14:paraId="780D97B1" w14:textId="77777777" w:rsidR="00CE0303" w:rsidRPr="00CE0303" w:rsidRDefault="00CE0303" w:rsidP="00CE0303">
            <w:pPr>
              <w:spacing w:after="0" w:line="240" w:lineRule="auto"/>
              <w:jc w:val="left"/>
              <w:rPr>
                <w:rFonts w:eastAsia="Times New Roman" w:cs="Times New Roman"/>
                <w:sz w:val="20"/>
                <w:szCs w:val="20"/>
                <w:lang w:val="lv-LV" w:eastAsia="lv-LV"/>
              </w:rPr>
            </w:pPr>
            <w:r w:rsidRPr="00CE0303">
              <w:rPr>
                <w:rFonts w:eastAsia="Times New Roman" w:cs="Times New Roman"/>
                <w:sz w:val="20"/>
                <w:szCs w:val="20"/>
                <w:lang w:val="lv-LV" w:eastAsia="lv-LV"/>
              </w:rPr>
              <w:t xml:space="preserve"> Darba devēja valsts sociālās apdrošināšanas obligātās iemaksas, pabalsti un kompensācijas</w:t>
            </w:r>
          </w:p>
        </w:tc>
        <w:tc>
          <w:tcPr>
            <w:tcW w:w="1732" w:type="pct"/>
            <w:tcBorders>
              <w:top w:val="nil"/>
              <w:left w:val="nil"/>
              <w:bottom w:val="single" w:sz="4" w:space="0" w:color="auto"/>
              <w:right w:val="single" w:sz="4" w:space="0" w:color="auto"/>
            </w:tcBorders>
            <w:shd w:val="clear" w:color="auto" w:fill="auto"/>
            <w:vAlign w:val="center"/>
          </w:tcPr>
          <w:p w14:paraId="3C8169F9" w14:textId="77777777" w:rsidR="00CE0303" w:rsidRPr="00CE0303" w:rsidRDefault="00CE0303" w:rsidP="00CE0303">
            <w:pPr>
              <w:spacing w:after="0" w:line="240" w:lineRule="auto"/>
              <w:jc w:val="center"/>
              <w:rPr>
                <w:rFonts w:eastAsia="Times New Roman" w:cs="Times New Roman"/>
                <w:sz w:val="20"/>
                <w:szCs w:val="20"/>
                <w:lang w:val="lv-LV" w:eastAsia="lv-LV"/>
              </w:rPr>
            </w:pPr>
          </w:p>
        </w:tc>
        <w:tc>
          <w:tcPr>
            <w:tcW w:w="846" w:type="pct"/>
            <w:tcBorders>
              <w:top w:val="nil"/>
              <w:left w:val="nil"/>
              <w:bottom w:val="single" w:sz="4" w:space="0" w:color="auto"/>
              <w:right w:val="single" w:sz="4" w:space="0" w:color="auto"/>
            </w:tcBorders>
            <w:shd w:val="clear" w:color="auto" w:fill="auto"/>
            <w:vAlign w:val="center"/>
            <w:hideMark/>
          </w:tcPr>
          <w:p w14:paraId="4BCB4C00"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57 528</w:t>
            </w:r>
          </w:p>
        </w:tc>
      </w:tr>
      <w:tr w:rsidR="00CE0303" w:rsidRPr="00CE0303" w14:paraId="5E068B55" w14:textId="77777777" w:rsidTr="00D310F2">
        <w:trPr>
          <w:trHeight w:val="219"/>
        </w:trPr>
        <w:tc>
          <w:tcPr>
            <w:tcW w:w="690"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39AB85C" w14:textId="77777777" w:rsidR="00CE0303" w:rsidRPr="00CE0303" w:rsidRDefault="00CE0303" w:rsidP="00CE0303">
            <w:pPr>
              <w:spacing w:after="0" w:line="240" w:lineRule="auto"/>
              <w:jc w:val="left"/>
              <w:rPr>
                <w:rFonts w:eastAsia="Times New Roman" w:cs="Times New Roman"/>
                <w:color w:val="000000"/>
                <w:sz w:val="20"/>
                <w:szCs w:val="20"/>
                <w:lang w:val="lv-LV" w:eastAsia="lv-LV"/>
              </w:rPr>
            </w:pPr>
            <w:r w:rsidRPr="00CE0303">
              <w:rPr>
                <w:rFonts w:eastAsia="Times New Roman" w:cs="Times New Roman"/>
                <w:color w:val="000000"/>
                <w:sz w:val="20"/>
                <w:szCs w:val="20"/>
                <w:lang w:val="lv-LV" w:eastAsia="lv-LV"/>
              </w:rPr>
              <w:t xml:space="preserve">1210 </w:t>
            </w:r>
          </w:p>
        </w:tc>
        <w:tc>
          <w:tcPr>
            <w:tcW w:w="1732" w:type="pct"/>
            <w:tcBorders>
              <w:top w:val="single" w:sz="4" w:space="0" w:color="auto"/>
              <w:left w:val="single" w:sz="4" w:space="0" w:color="auto"/>
              <w:bottom w:val="single" w:sz="4" w:space="0" w:color="auto"/>
              <w:right w:val="single" w:sz="4" w:space="0" w:color="000000"/>
            </w:tcBorders>
            <w:shd w:val="clear" w:color="auto" w:fill="auto"/>
            <w:vAlign w:val="center"/>
          </w:tcPr>
          <w:p w14:paraId="019F5F2B" w14:textId="77777777" w:rsidR="00CE0303" w:rsidRPr="00CE0303" w:rsidRDefault="00CE0303" w:rsidP="00CE0303">
            <w:pPr>
              <w:spacing w:after="0" w:line="240" w:lineRule="auto"/>
              <w:jc w:val="left"/>
              <w:rPr>
                <w:rFonts w:eastAsia="Times New Roman" w:cs="Times New Roman"/>
                <w:color w:val="000000"/>
                <w:sz w:val="20"/>
                <w:szCs w:val="20"/>
                <w:lang w:val="lv-LV" w:eastAsia="lv-LV"/>
              </w:rPr>
            </w:pPr>
            <w:r w:rsidRPr="00CE0303">
              <w:rPr>
                <w:rFonts w:eastAsia="Times New Roman" w:cs="Times New Roman"/>
                <w:color w:val="000000"/>
                <w:sz w:val="20"/>
                <w:szCs w:val="20"/>
                <w:lang w:val="lv-LV" w:eastAsia="lv-LV"/>
              </w:rPr>
              <w:t>Darba devēja sociālās apdrošināšanas obligātās iemaksas</w:t>
            </w:r>
          </w:p>
        </w:tc>
        <w:tc>
          <w:tcPr>
            <w:tcW w:w="1732" w:type="pct"/>
            <w:tcBorders>
              <w:top w:val="nil"/>
              <w:left w:val="nil"/>
              <w:bottom w:val="single" w:sz="4" w:space="0" w:color="auto"/>
              <w:right w:val="single" w:sz="4" w:space="0" w:color="auto"/>
            </w:tcBorders>
            <w:shd w:val="clear" w:color="auto" w:fill="auto"/>
            <w:vAlign w:val="center"/>
          </w:tcPr>
          <w:p w14:paraId="5A129B82"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color w:val="000000"/>
                <w:sz w:val="20"/>
                <w:szCs w:val="20"/>
                <w:lang w:val="lv-LV" w:eastAsia="lv-LV"/>
              </w:rPr>
              <w:t xml:space="preserve">243 864 </w:t>
            </w:r>
            <w:r w:rsidRPr="00CE0303">
              <w:rPr>
                <w:rFonts w:eastAsia="Times New Roman" w:cs="Times New Roman"/>
                <w:i/>
                <w:color w:val="000000"/>
                <w:sz w:val="20"/>
                <w:szCs w:val="20"/>
                <w:lang w:val="lv-LV" w:eastAsia="lv-LV"/>
              </w:rPr>
              <w:t>euro</w:t>
            </w:r>
            <w:r w:rsidRPr="00CE0303">
              <w:rPr>
                <w:rFonts w:eastAsia="Times New Roman" w:cs="Times New Roman"/>
                <w:color w:val="000000"/>
                <w:sz w:val="20"/>
                <w:szCs w:val="20"/>
                <w:lang w:val="lv-LV" w:eastAsia="lv-LV"/>
              </w:rPr>
              <w:t xml:space="preserve"> x 23.59% DD VSAOI = 57 528 </w:t>
            </w:r>
            <w:r w:rsidRPr="00CE0303">
              <w:rPr>
                <w:rFonts w:eastAsia="Times New Roman" w:cs="Times New Roman"/>
                <w:i/>
                <w:color w:val="000000"/>
                <w:sz w:val="20"/>
                <w:szCs w:val="20"/>
                <w:lang w:val="lv-LV" w:eastAsia="lv-LV"/>
              </w:rPr>
              <w:t>euro</w:t>
            </w:r>
          </w:p>
        </w:tc>
        <w:tc>
          <w:tcPr>
            <w:tcW w:w="846" w:type="pct"/>
            <w:tcBorders>
              <w:top w:val="nil"/>
              <w:left w:val="nil"/>
              <w:bottom w:val="single" w:sz="4" w:space="0" w:color="auto"/>
              <w:right w:val="single" w:sz="4" w:space="0" w:color="auto"/>
            </w:tcBorders>
            <w:shd w:val="clear" w:color="auto" w:fill="auto"/>
            <w:vAlign w:val="center"/>
            <w:hideMark/>
          </w:tcPr>
          <w:p w14:paraId="16E4AE7C" w14:textId="77777777" w:rsidR="00CE0303" w:rsidRPr="00CE0303" w:rsidRDefault="00CE0303" w:rsidP="00CE0303">
            <w:pPr>
              <w:spacing w:after="0" w:line="240" w:lineRule="auto"/>
              <w:jc w:val="center"/>
              <w:rPr>
                <w:rFonts w:eastAsia="Times New Roman" w:cs="Times New Roman"/>
                <w:sz w:val="20"/>
                <w:szCs w:val="20"/>
                <w:lang w:val="lv-LV" w:eastAsia="lv-LV"/>
              </w:rPr>
            </w:pPr>
            <w:r w:rsidRPr="00CE0303">
              <w:rPr>
                <w:rFonts w:eastAsia="Times New Roman" w:cs="Times New Roman"/>
                <w:sz w:val="20"/>
                <w:szCs w:val="20"/>
                <w:lang w:val="lv-LV" w:eastAsia="lv-LV"/>
              </w:rPr>
              <w:t>57 528</w:t>
            </w:r>
          </w:p>
        </w:tc>
      </w:tr>
    </w:tbl>
    <w:p w14:paraId="3C1C363D" w14:textId="77777777" w:rsidR="00CE0303" w:rsidRPr="00D310F2" w:rsidRDefault="00CE0303" w:rsidP="00CE0303">
      <w:pPr>
        <w:tabs>
          <w:tab w:val="left" w:pos="-1701"/>
        </w:tabs>
        <w:spacing w:before="120" w:after="0" w:line="240" w:lineRule="auto"/>
        <w:ind w:firstLine="720"/>
        <w:rPr>
          <w:rFonts w:eastAsia="Times New Roman" w:cs="Times New Roman"/>
          <w:sz w:val="14"/>
          <w:szCs w:val="14"/>
          <w:lang w:val="lv-LV" w:eastAsia="en-GB"/>
        </w:rPr>
      </w:pP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0784E621" w14:textId="77777777" w:rsidTr="00CE0303">
        <w:trPr>
          <w:jc w:val="center"/>
        </w:trPr>
        <w:tc>
          <w:tcPr>
            <w:tcW w:w="709" w:type="dxa"/>
            <w:shd w:val="clear" w:color="auto" w:fill="92D050"/>
            <w:vAlign w:val="center"/>
          </w:tcPr>
          <w:p w14:paraId="21598D64"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0391F6E5" w14:textId="77777777" w:rsidR="00CE0303" w:rsidRPr="00CE0303" w:rsidRDefault="00CE0303" w:rsidP="00CE0303">
            <w:pPr>
              <w:spacing w:after="0"/>
              <w:jc w:val="center"/>
              <w:rPr>
                <w:rFonts w:eastAsiaTheme="minorHAnsi"/>
                <w:lang w:val="lv-LV"/>
              </w:rPr>
            </w:pPr>
            <w:r w:rsidRPr="00CE0303">
              <w:rPr>
                <w:rFonts w:eastAsiaTheme="minorHAnsi"/>
                <w:lang w:val="lv-LV"/>
              </w:rPr>
              <w:t>301 392</w:t>
            </w:r>
          </w:p>
        </w:tc>
        <w:tc>
          <w:tcPr>
            <w:tcW w:w="696" w:type="dxa"/>
            <w:shd w:val="clear" w:color="auto" w:fill="92D050"/>
            <w:vAlign w:val="center"/>
          </w:tcPr>
          <w:p w14:paraId="11B96033"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0FAC3010" w14:textId="77777777" w:rsidR="00CE0303" w:rsidRPr="00CE0303" w:rsidRDefault="00CE0303" w:rsidP="00CE0303">
            <w:pPr>
              <w:spacing w:after="0"/>
              <w:jc w:val="center"/>
              <w:rPr>
                <w:rFonts w:eastAsiaTheme="minorHAnsi"/>
                <w:lang w:val="lv-LV"/>
              </w:rPr>
            </w:pPr>
            <w:r w:rsidRPr="00CE0303">
              <w:rPr>
                <w:rFonts w:eastAsiaTheme="minorHAnsi"/>
                <w:lang w:val="lv-LV"/>
              </w:rPr>
              <w:t>301 392</w:t>
            </w:r>
          </w:p>
        </w:tc>
        <w:tc>
          <w:tcPr>
            <w:tcW w:w="709" w:type="dxa"/>
            <w:shd w:val="clear" w:color="auto" w:fill="92D050"/>
            <w:vAlign w:val="center"/>
          </w:tcPr>
          <w:p w14:paraId="5BBC9DBE"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6DFC6A3F" w14:textId="77777777" w:rsidR="00CE0303" w:rsidRPr="00CE0303" w:rsidRDefault="00CE0303" w:rsidP="00CE0303">
            <w:pPr>
              <w:spacing w:after="0"/>
              <w:jc w:val="center"/>
              <w:rPr>
                <w:rFonts w:eastAsiaTheme="minorHAnsi"/>
                <w:lang w:val="lv-LV"/>
              </w:rPr>
            </w:pPr>
            <w:r w:rsidRPr="00CE0303">
              <w:rPr>
                <w:rFonts w:eastAsiaTheme="minorHAnsi"/>
                <w:lang w:val="lv-LV"/>
              </w:rPr>
              <w:t>301 392</w:t>
            </w:r>
          </w:p>
        </w:tc>
      </w:tr>
    </w:tbl>
    <w:p w14:paraId="107D418E" w14:textId="77777777" w:rsidR="00CE0303" w:rsidRPr="00CE0303" w:rsidRDefault="00CE0303" w:rsidP="001D5145">
      <w:pPr>
        <w:spacing w:before="120"/>
        <w:ind w:firstLine="720"/>
        <w:rPr>
          <w:rFonts w:eastAsiaTheme="minorHAnsi"/>
          <w:lang w:val="lv-LV"/>
        </w:rPr>
      </w:pPr>
      <w:r w:rsidRPr="00CE0303">
        <w:rPr>
          <w:rFonts w:eastAsiaTheme="minorHAnsi"/>
          <w:lang w:val="lv-LV"/>
        </w:rPr>
        <w:t xml:space="preserve">IeM ir izvērtējusi izdevumus pamatkapitāla veidošanai budžeta apakšprogrammā 40.02.00 “Nekustamais īpašums un centralizētais iepirkums” un ierosina samazināt izdevumus pamatkapitāla veidošanai 300,0 tūkst. </w:t>
      </w:r>
      <w:r w:rsidRPr="00CE0303">
        <w:rPr>
          <w:rFonts w:eastAsiaTheme="minorHAnsi"/>
          <w:i/>
          <w:lang w:val="lv-LV"/>
        </w:rPr>
        <w:t>euro</w:t>
      </w:r>
      <w:r w:rsidRPr="00CE0303">
        <w:rPr>
          <w:rFonts w:eastAsiaTheme="minorHAnsi"/>
          <w:lang w:val="lv-LV"/>
        </w:rPr>
        <w:t xml:space="preserve"> apmērā, pārdalot tos budžeta programmai 97.00.00 “Nozaru vadība un politikas veidošana”, lai nodrošinātu piemaksu par personisko darba </w:t>
      </w:r>
      <w:r w:rsidRPr="00CE0303">
        <w:rPr>
          <w:rFonts w:eastAsiaTheme="minorHAnsi"/>
          <w:lang w:val="lv-LV"/>
        </w:rPr>
        <w:lastRenderedPageBreak/>
        <w:t>ieguldījumu un darba kvalitāti piešķiršanu IeM nodarbinātajiem, tādējādi paaugstinot motivāciju un novēršot kompetentu darbinieku aizplūšanu uz privāto sektoru un citām institūcijām, kas ir īpaši aktuāli IeM kā politikas veidotājai un ieviešanas uzraudzītājai.</w:t>
      </w:r>
    </w:p>
    <w:p w14:paraId="30489597" w14:textId="362ED5BC" w:rsidR="00CE0303" w:rsidRPr="00CE0303" w:rsidRDefault="006B762E" w:rsidP="00D310F2">
      <w:pPr>
        <w:jc w:val="center"/>
        <w:rPr>
          <w:rFonts w:eastAsiaTheme="minorHAnsi"/>
          <w:b/>
          <w:bCs/>
          <w:i/>
          <w:sz w:val="22"/>
          <w:szCs w:val="24"/>
          <w:lang w:val="lv-LV"/>
        </w:rPr>
      </w:pPr>
      <w:r>
        <w:rPr>
          <w:rFonts w:eastAsiaTheme="minorHAnsi"/>
          <w:b/>
          <w:bCs/>
          <w:i/>
          <w:iCs/>
          <w:sz w:val="22"/>
          <w:szCs w:val="24"/>
          <w:lang w:val="lv-LV"/>
        </w:rPr>
        <w:t>2.2.6</w:t>
      </w:r>
      <w:r w:rsidR="00CE0303" w:rsidRPr="00CE0303">
        <w:rPr>
          <w:rFonts w:eastAsiaTheme="minorHAnsi"/>
          <w:b/>
          <w:bCs/>
          <w:i/>
          <w:iCs/>
          <w:sz w:val="22"/>
          <w:szCs w:val="24"/>
          <w:lang w:val="lv-LV"/>
        </w:rPr>
        <w:t>. tabula</w:t>
      </w:r>
      <w:r w:rsidR="00CE0303" w:rsidRPr="00CE0303">
        <w:rPr>
          <w:rFonts w:eastAsiaTheme="minorHAnsi"/>
          <w:b/>
          <w:bCs/>
          <w:i/>
          <w:sz w:val="22"/>
          <w:szCs w:val="24"/>
          <w:lang w:val="lv-LV"/>
        </w:rPr>
        <w:t xml:space="preserve"> </w:t>
      </w:r>
      <w:r w:rsidR="00CE0303" w:rsidRPr="006A642E">
        <w:rPr>
          <w:rFonts w:eastAsia="Times New Roman" w:cs="Times New Roman"/>
          <w:b/>
          <w:sz w:val="22"/>
          <w:lang w:val="lv-LV" w:eastAsia="en-GB"/>
        </w:rPr>
        <w:t>Atlīdzības izdevumu aprēķins</w:t>
      </w:r>
      <w:r w:rsidR="00CE0303" w:rsidRPr="006A642E">
        <w:rPr>
          <w:rFonts w:eastAsiaTheme="minorHAnsi"/>
          <w:b/>
          <w:bCs/>
          <w:i/>
          <w:sz w:val="22"/>
          <w:lang w:val="lv-LV"/>
        </w:rPr>
        <w:t>, euro</w:t>
      </w:r>
    </w:p>
    <w:tbl>
      <w:tblPr>
        <w:tblW w:w="5000" w:type="pct"/>
        <w:tblCellMar>
          <w:left w:w="30" w:type="dxa"/>
          <w:right w:w="30" w:type="dxa"/>
        </w:tblCellMar>
        <w:tblLook w:val="0000" w:firstRow="0" w:lastRow="0" w:firstColumn="0" w:lastColumn="0" w:noHBand="0" w:noVBand="0"/>
      </w:tblPr>
      <w:tblGrid>
        <w:gridCol w:w="726"/>
        <w:gridCol w:w="3099"/>
        <w:gridCol w:w="3712"/>
        <w:gridCol w:w="1528"/>
      </w:tblGrid>
      <w:tr w:rsidR="00CE0303" w:rsidRPr="00CE0303" w14:paraId="21CF2C34" w14:textId="77777777" w:rsidTr="00D310F2">
        <w:trPr>
          <w:trHeight w:val="943"/>
          <w:tblHeader/>
        </w:trPr>
        <w:tc>
          <w:tcPr>
            <w:tcW w:w="400" w:type="pct"/>
            <w:tcBorders>
              <w:top w:val="single" w:sz="2" w:space="0" w:color="auto"/>
              <w:left w:val="single" w:sz="2" w:space="0" w:color="auto"/>
              <w:bottom w:val="single" w:sz="2" w:space="0" w:color="auto"/>
              <w:right w:val="single" w:sz="2" w:space="0" w:color="auto"/>
            </w:tcBorders>
            <w:vAlign w:val="center"/>
          </w:tcPr>
          <w:p w14:paraId="6B9F93C0" w14:textId="77777777"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Cs/>
                <w:color w:val="000000"/>
                <w:sz w:val="20"/>
                <w:szCs w:val="20"/>
                <w:lang w:val="lv-LV" w:eastAsia="lv-LV"/>
              </w:rPr>
              <w:t>EKK</w:t>
            </w:r>
          </w:p>
        </w:tc>
        <w:tc>
          <w:tcPr>
            <w:tcW w:w="1709" w:type="pct"/>
            <w:tcBorders>
              <w:top w:val="single" w:sz="2" w:space="0" w:color="auto"/>
              <w:left w:val="single" w:sz="2" w:space="0" w:color="auto"/>
              <w:bottom w:val="single" w:sz="2" w:space="0" w:color="auto"/>
              <w:right w:val="single" w:sz="2" w:space="0" w:color="auto"/>
            </w:tcBorders>
            <w:vAlign w:val="center"/>
          </w:tcPr>
          <w:p w14:paraId="63F41B0B" w14:textId="77777777" w:rsidR="00CE0303" w:rsidRPr="00CE0303" w:rsidRDefault="00CE0303" w:rsidP="00CE0303">
            <w:pPr>
              <w:spacing w:after="0" w:line="240" w:lineRule="auto"/>
              <w:jc w:val="center"/>
              <w:rPr>
                <w:rFonts w:eastAsia="Times New Roman" w:cs="Times New Roman"/>
                <w:bCs/>
                <w:color w:val="000000"/>
                <w:sz w:val="20"/>
                <w:szCs w:val="20"/>
                <w:lang w:val="lv-LV" w:eastAsia="lv-LV"/>
              </w:rPr>
            </w:pPr>
            <w:r w:rsidRPr="00CE0303">
              <w:rPr>
                <w:rFonts w:eastAsia="Times New Roman" w:cs="Times New Roman"/>
                <w:bCs/>
                <w:color w:val="000000"/>
                <w:sz w:val="20"/>
                <w:szCs w:val="20"/>
                <w:lang w:val="lv-LV" w:eastAsia="lv-LV"/>
              </w:rPr>
              <w:t>Izdevumu nosaukums</w:t>
            </w:r>
          </w:p>
        </w:tc>
        <w:tc>
          <w:tcPr>
            <w:tcW w:w="2047" w:type="pct"/>
            <w:tcBorders>
              <w:top w:val="single" w:sz="2" w:space="0" w:color="auto"/>
              <w:left w:val="single" w:sz="2" w:space="0" w:color="auto"/>
              <w:bottom w:val="single" w:sz="2" w:space="0" w:color="auto"/>
              <w:right w:val="single" w:sz="2" w:space="0" w:color="auto"/>
            </w:tcBorders>
          </w:tcPr>
          <w:p w14:paraId="26BE5D39" w14:textId="77777777" w:rsidR="00CE0303" w:rsidRPr="00CE0303" w:rsidRDefault="00CE0303" w:rsidP="00CE0303">
            <w:pPr>
              <w:autoSpaceDE w:val="0"/>
              <w:autoSpaceDN w:val="0"/>
              <w:adjustRightInd w:val="0"/>
              <w:spacing w:after="0" w:line="240" w:lineRule="auto"/>
              <w:ind w:left="-3175" w:firstLine="3175"/>
              <w:jc w:val="center"/>
              <w:rPr>
                <w:rFonts w:eastAsiaTheme="minorHAnsi" w:cs="Times New Roman"/>
                <w:color w:val="000000"/>
                <w:sz w:val="20"/>
                <w:szCs w:val="20"/>
                <w:lang w:val="lv-LV"/>
              </w:rPr>
            </w:pPr>
          </w:p>
          <w:p w14:paraId="700B2095" w14:textId="77777777" w:rsidR="00CE0303" w:rsidRPr="00CE0303" w:rsidRDefault="00CE0303" w:rsidP="00CE0303">
            <w:pPr>
              <w:autoSpaceDE w:val="0"/>
              <w:autoSpaceDN w:val="0"/>
              <w:adjustRightInd w:val="0"/>
              <w:spacing w:after="0" w:line="240" w:lineRule="auto"/>
              <w:ind w:left="-3175" w:firstLine="3175"/>
              <w:jc w:val="center"/>
              <w:rPr>
                <w:rFonts w:eastAsiaTheme="minorHAnsi" w:cs="Times New Roman"/>
                <w:color w:val="000000"/>
                <w:sz w:val="20"/>
                <w:szCs w:val="20"/>
                <w:lang w:val="lv-LV"/>
              </w:rPr>
            </w:pPr>
          </w:p>
          <w:p w14:paraId="75EDDBE7" w14:textId="77777777" w:rsidR="00CE0303" w:rsidRPr="00CE0303" w:rsidRDefault="00CE0303" w:rsidP="00CE0303">
            <w:pPr>
              <w:spacing w:after="0" w:line="240" w:lineRule="auto"/>
              <w:jc w:val="center"/>
              <w:rPr>
                <w:rFonts w:eastAsiaTheme="minorHAnsi" w:cs="Times New Roman"/>
                <w:color w:val="000000"/>
                <w:sz w:val="20"/>
                <w:szCs w:val="20"/>
                <w:lang w:val="lv-LV"/>
              </w:rPr>
            </w:pPr>
            <w:r w:rsidRPr="00CE0303">
              <w:rPr>
                <w:rFonts w:eastAsia="Times New Roman" w:cs="Times New Roman"/>
                <w:b/>
                <w:bCs/>
                <w:sz w:val="20"/>
                <w:szCs w:val="20"/>
                <w:lang w:val="lv-LV" w:eastAsia="lv-LV"/>
              </w:rPr>
              <w:t>97.00.00 “Nozaru vadība un politikas veidošana”</w:t>
            </w:r>
          </w:p>
        </w:tc>
        <w:tc>
          <w:tcPr>
            <w:tcW w:w="843" w:type="pct"/>
            <w:tcBorders>
              <w:top w:val="single" w:sz="2" w:space="0" w:color="auto"/>
              <w:left w:val="single" w:sz="2" w:space="0" w:color="auto"/>
              <w:bottom w:val="single" w:sz="2" w:space="0" w:color="auto"/>
              <w:right w:val="single" w:sz="2" w:space="0" w:color="auto"/>
            </w:tcBorders>
          </w:tcPr>
          <w:p w14:paraId="411A1CC9" w14:textId="7D6446BA"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imes New Roman" w:cs="Times New Roman"/>
                <w:bCs/>
                <w:color w:val="000000"/>
                <w:sz w:val="20"/>
                <w:szCs w:val="20"/>
                <w:lang w:val="lv-LV" w:eastAsia="lv-LV"/>
              </w:rPr>
              <w:t>Papildu nepieciešamais finansējums 2022.</w:t>
            </w:r>
            <w:r w:rsidR="00FF342C">
              <w:rPr>
                <w:rFonts w:eastAsia="Times New Roman" w:cs="Times New Roman"/>
                <w:bCs/>
                <w:color w:val="000000"/>
                <w:sz w:val="20"/>
                <w:szCs w:val="20"/>
                <w:lang w:val="lv-LV" w:eastAsia="lv-LV"/>
              </w:rPr>
              <w:t xml:space="preserve"> </w:t>
            </w:r>
            <w:r w:rsidRPr="00CE0303">
              <w:rPr>
                <w:rFonts w:eastAsia="Times New Roman" w:cs="Times New Roman"/>
                <w:bCs/>
                <w:color w:val="000000"/>
                <w:sz w:val="20"/>
                <w:szCs w:val="20"/>
                <w:lang w:val="lv-LV" w:eastAsia="lv-LV"/>
              </w:rPr>
              <w:t>gadam un turpmāk ik gadu</w:t>
            </w:r>
          </w:p>
        </w:tc>
      </w:tr>
      <w:tr w:rsidR="00CE0303" w:rsidRPr="00CE0303" w14:paraId="69E04181" w14:textId="77777777" w:rsidTr="00D310F2">
        <w:trPr>
          <w:trHeight w:val="75"/>
        </w:trPr>
        <w:tc>
          <w:tcPr>
            <w:tcW w:w="400" w:type="pct"/>
            <w:tcBorders>
              <w:top w:val="single" w:sz="2" w:space="0" w:color="auto"/>
              <w:left w:val="single" w:sz="2" w:space="0" w:color="auto"/>
              <w:bottom w:val="single" w:sz="2" w:space="0" w:color="auto"/>
              <w:right w:val="single" w:sz="2" w:space="0" w:color="auto"/>
            </w:tcBorders>
          </w:tcPr>
          <w:p w14:paraId="23DF90EC" w14:textId="77777777" w:rsidR="00CE0303" w:rsidRPr="00CE0303" w:rsidRDefault="00CE0303" w:rsidP="00CE0303">
            <w:pPr>
              <w:autoSpaceDE w:val="0"/>
              <w:autoSpaceDN w:val="0"/>
              <w:adjustRightInd w:val="0"/>
              <w:spacing w:after="0" w:line="240" w:lineRule="auto"/>
              <w:jc w:val="center"/>
              <w:rPr>
                <w:rFonts w:eastAsiaTheme="minorHAnsi" w:cs="Times New Roman"/>
                <w:b/>
                <w:bCs/>
                <w:color w:val="000000"/>
                <w:sz w:val="20"/>
                <w:szCs w:val="20"/>
                <w:lang w:val="lv-LV"/>
              </w:rPr>
            </w:pPr>
            <w:r w:rsidRPr="00CE0303">
              <w:rPr>
                <w:rFonts w:eastAsiaTheme="minorHAnsi" w:cs="Times New Roman"/>
                <w:b/>
                <w:bCs/>
                <w:color w:val="000000"/>
                <w:sz w:val="20"/>
                <w:szCs w:val="20"/>
                <w:lang w:val="lv-LV"/>
              </w:rPr>
              <w:t>1000</w:t>
            </w:r>
          </w:p>
        </w:tc>
        <w:tc>
          <w:tcPr>
            <w:tcW w:w="1709" w:type="pct"/>
            <w:tcBorders>
              <w:top w:val="single" w:sz="2" w:space="0" w:color="auto"/>
              <w:left w:val="single" w:sz="2" w:space="0" w:color="auto"/>
              <w:bottom w:val="single" w:sz="2" w:space="0" w:color="auto"/>
              <w:right w:val="single" w:sz="2" w:space="0" w:color="auto"/>
            </w:tcBorders>
          </w:tcPr>
          <w:p w14:paraId="52C772E4" w14:textId="77777777" w:rsidR="00CE0303" w:rsidRPr="00CE0303" w:rsidRDefault="00CE0303" w:rsidP="00CE0303">
            <w:pPr>
              <w:autoSpaceDE w:val="0"/>
              <w:autoSpaceDN w:val="0"/>
              <w:adjustRightInd w:val="0"/>
              <w:spacing w:after="0" w:line="240" w:lineRule="auto"/>
              <w:jc w:val="left"/>
              <w:rPr>
                <w:rFonts w:eastAsiaTheme="minorHAnsi" w:cs="Times New Roman"/>
                <w:b/>
                <w:bCs/>
                <w:color w:val="000000"/>
                <w:sz w:val="20"/>
                <w:szCs w:val="20"/>
                <w:lang w:val="lv-LV"/>
              </w:rPr>
            </w:pPr>
            <w:r w:rsidRPr="00CE0303">
              <w:rPr>
                <w:rFonts w:eastAsiaTheme="minorHAnsi" w:cs="Times New Roman"/>
                <w:b/>
                <w:bCs/>
                <w:color w:val="000000"/>
                <w:sz w:val="20"/>
                <w:szCs w:val="20"/>
                <w:lang w:val="lv-LV"/>
              </w:rPr>
              <w:t>Atlīdzība</w:t>
            </w:r>
          </w:p>
        </w:tc>
        <w:tc>
          <w:tcPr>
            <w:tcW w:w="2047" w:type="pct"/>
            <w:tcBorders>
              <w:top w:val="single" w:sz="2" w:space="0" w:color="auto"/>
              <w:left w:val="single" w:sz="2" w:space="0" w:color="auto"/>
              <w:bottom w:val="single" w:sz="2" w:space="0" w:color="auto"/>
              <w:right w:val="single" w:sz="2" w:space="0" w:color="auto"/>
            </w:tcBorders>
          </w:tcPr>
          <w:p w14:paraId="488F87C5" w14:textId="77777777" w:rsidR="00CE0303" w:rsidRPr="00CE0303" w:rsidRDefault="00CE0303" w:rsidP="00CE0303">
            <w:pPr>
              <w:autoSpaceDE w:val="0"/>
              <w:autoSpaceDN w:val="0"/>
              <w:adjustRightInd w:val="0"/>
              <w:spacing w:after="0" w:line="240" w:lineRule="auto"/>
              <w:jc w:val="center"/>
              <w:rPr>
                <w:rFonts w:eastAsiaTheme="minorHAnsi" w:cs="Times New Roman"/>
                <w:b/>
                <w:bCs/>
                <w:color w:val="000000"/>
                <w:sz w:val="20"/>
                <w:szCs w:val="20"/>
                <w:lang w:val="lv-LV"/>
              </w:rPr>
            </w:pPr>
            <w:r w:rsidRPr="00CE0303">
              <w:rPr>
                <w:rFonts w:eastAsiaTheme="minorHAnsi" w:cs="Times New Roman"/>
                <w:b/>
                <w:bCs/>
                <w:color w:val="000000"/>
                <w:sz w:val="20"/>
                <w:szCs w:val="20"/>
                <w:lang w:val="lv-LV"/>
              </w:rPr>
              <w:t>x</w:t>
            </w:r>
          </w:p>
        </w:tc>
        <w:tc>
          <w:tcPr>
            <w:tcW w:w="843" w:type="pct"/>
            <w:tcBorders>
              <w:top w:val="single" w:sz="2" w:space="0" w:color="auto"/>
              <w:left w:val="single" w:sz="2" w:space="0" w:color="auto"/>
              <w:bottom w:val="single" w:sz="2" w:space="0" w:color="auto"/>
              <w:right w:val="single" w:sz="2" w:space="0" w:color="auto"/>
            </w:tcBorders>
          </w:tcPr>
          <w:p w14:paraId="45585C78" w14:textId="77777777" w:rsidR="00CE0303" w:rsidRPr="00CE0303" w:rsidRDefault="00CE0303" w:rsidP="00CE0303">
            <w:pPr>
              <w:autoSpaceDE w:val="0"/>
              <w:autoSpaceDN w:val="0"/>
              <w:adjustRightInd w:val="0"/>
              <w:spacing w:after="0" w:line="240" w:lineRule="auto"/>
              <w:jc w:val="center"/>
              <w:rPr>
                <w:rFonts w:eastAsiaTheme="minorHAnsi" w:cs="Times New Roman"/>
                <w:b/>
                <w:bCs/>
                <w:color w:val="000000"/>
                <w:sz w:val="20"/>
                <w:szCs w:val="20"/>
                <w:lang w:val="lv-LV"/>
              </w:rPr>
            </w:pPr>
            <w:r w:rsidRPr="00CE0303">
              <w:rPr>
                <w:rFonts w:eastAsiaTheme="minorHAnsi" w:cs="Times New Roman"/>
                <w:b/>
                <w:bCs/>
                <w:color w:val="000000"/>
                <w:sz w:val="20"/>
                <w:szCs w:val="20"/>
                <w:lang w:val="lv-LV"/>
              </w:rPr>
              <w:t>300 000</w:t>
            </w:r>
          </w:p>
        </w:tc>
      </w:tr>
      <w:tr w:rsidR="00CE0303" w:rsidRPr="00CE0303" w14:paraId="02E12F8C" w14:textId="77777777" w:rsidTr="00D310F2">
        <w:trPr>
          <w:trHeight w:val="233"/>
        </w:trPr>
        <w:tc>
          <w:tcPr>
            <w:tcW w:w="400" w:type="pct"/>
            <w:tcBorders>
              <w:top w:val="single" w:sz="2" w:space="0" w:color="auto"/>
              <w:left w:val="single" w:sz="2" w:space="0" w:color="auto"/>
              <w:bottom w:val="single" w:sz="2" w:space="0" w:color="auto"/>
              <w:right w:val="single" w:sz="2" w:space="0" w:color="auto"/>
            </w:tcBorders>
          </w:tcPr>
          <w:p w14:paraId="5B3DF0DE"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1140</w:t>
            </w:r>
          </w:p>
        </w:tc>
        <w:tc>
          <w:tcPr>
            <w:tcW w:w="1709" w:type="pct"/>
            <w:tcBorders>
              <w:top w:val="single" w:sz="2" w:space="0" w:color="auto"/>
              <w:left w:val="single" w:sz="2" w:space="0" w:color="auto"/>
              <w:bottom w:val="single" w:sz="2" w:space="0" w:color="auto"/>
              <w:right w:val="single" w:sz="2" w:space="0" w:color="auto"/>
            </w:tcBorders>
          </w:tcPr>
          <w:p w14:paraId="724E49EA" w14:textId="77777777" w:rsidR="00CE0303" w:rsidRPr="00CE0303" w:rsidRDefault="00CE0303" w:rsidP="00CE0303">
            <w:pPr>
              <w:autoSpaceDE w:val="0"/>
              <w:autoSpaceDN w:val="0"/>
              <w:adjustRightInd w:val="0"/>
              <w:spacing w:after="0" w:line="240" w:lineRule="auto"/>
              <w:jc w:val="left"/>
              <w:rPr>
                <w:rFonts w:eastAsiaTheme="minorHAnsi" w:cs="Times New Roman"/>
                <w:color w:val="000000"/>
                <w:sz w:val="20"/>
                <w:szCs w:val="20"/>
                <w:lang w:val="lv-LV"/>
              </w:rPr>
            </w:pPr>
            <w:r w:rsidRPr="00CE0303">
              <w:rPr>
                <w:rFonts w:eastAsiaTheme="minorHAnsi" w:cs="Times New Roman"/>
                <w:color w:val="000000"/>
                <w:sz w:val="20"/>
                <w:szCs w:val="20"/>
                <w:lang w:val="lv-LV"/>
              </w:rPr>
              <w:t>Piemaksas, prēmijas un naudas balvas</w:t>
            </w:r>
          </w:p>
        </w:tc>
        <w:tc>
          <w:tcPr>
            <w:tcW w:w="2047" w:type="pct"/>
            <w:tcBorders>
              <w:top w:val="single" w:sz="2" w:space="0" w:color="auto"/>
              <w:left w:val="single" w:sz="2" w:space="0" w:color="auto"/>
              <w:bottom w:val="single" w:sz="2" w:space="0" w:color="auto"/>
              <w:right w:val="single" w:sz="2" w:space="0" w:color="auto"/>
            </w:tcBorders>
          </w:tcPr>
          <w:p w14:paraId="40768AF9"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x</w:t>
            </w:r>
          </w:p>
        </w:tc>
        <w:tc>
          <w:tcPr>
            <w:tcW w:w="843" w:type="pct"/>
            <w:tcBorders>
              <w:top w:val="single" w:sz="2" w:space="0" w:color="auto"/>
              <w:left w:val="single" w:sz="2" w:space="0" w:color="auto"/>
              <w:bottom w:val="single" w:sz="2" w:space="0" w:color="auto"/>
              <w:right w:val="single" w:sz="2" w:space="0" w:color="auto"/>
            </w:tcBorders>
          </w:tcPr>
          <w:p w14:paraId="1EBE3AC4"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p>
        </w:tc>
      </w:tr>
      <w:tr w:rsidR="00CE0303" w:rsidRPr="00CE0303" w14:paraId="3B5B93F5" w14:textId="77777777" w:rsidTr="00D310F2">
        <w:trPr>
          <w:trHeight w:val="1140"/>
        </w:trPr>
        <w:tc>
          <w:tcPr>
            <w:tcW w:w="400" w:type="pct"/>
            <w:tcBorders>
              <w:top w:val="single" w:sz="2" w:space="0" w:color="auto"/>
              <w:left w:val="single" w:sz="2" w:space="0" w:color="auto"/>
              <w:bottom w:val="single" w:sz="2" w:space="0" w:color="auto"/>
              <w:right w:val="single" w:sz="2" w:space="0" w:color="auto"/>
            </w:tcBorders>
          </w:tcPr>
          <w:p w14:paraId="13E9C622"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1146</w:t>
            </w:r>
          </w:p>
        </w:tc>
        <w:tc>
          <w:tcPr>
            <w:tcW w:w="1709" w:type="pct"/>
            <w:tcBorders>
              <w:top w:val="single" w:sz="2" w:space="0" w:color="auto"/>
              <w:left w:val="single" w:sz="2" w:space="0" w:color="auto"/>
              <w:bottom w:val="single" w:sz="2" w:space="0" w:color="auto"/>
              <w:right w:val="single" w:sz="2" w:space="0" w:color="auto"/>
            </w:tcBorders>
          </w:tcPr>
          <w:p w14:paraId="0A62C9A5" w14:textId="77777777" w:rsidR="00CE0303" w:rsidRPr="00CE0303" w:rsidRDefault="00CE0303" w:rsidP="00CE0303">
            <w:pPr>
              <w:autoSpaceDE w:val="0"/>
              <w:autoSpaceDN w:val="0"/>
              <w:adjustRightInd w:val="0"/>
              <w:spacing w:after="0" w:line="240" w:lineRule="auto"/>
              <w:jc w:val="left"/>
              <w:rPr>
                <w:rFonts w:eastAsiaTheme="minorHAnsi" w:cs="Times New Roman"/>
                <w:color w:val="000000"/>
                <w:sz w:val="20"/>
                <w:szCs w:val="20"/>
                <w:lang w:val="lv-LV"/>
              </w:rPr>
            </w:pPr>
            <w:r w:rsidRPr="00CE0303">
              <w:rPr>
                <w:rFonts w:eastAsiaTheme="minorHAnsi" w:cs="Times New Roman"/>
                <w:color w:val="000000"/>
                <w:sz w:val="20"/>
                <w:szCs w:val="20"/>
                <w:lang w:val="lv-LV"/>
              </w:rPr>
              <w:t>Piemaksa par personisko darba ieguldījumu un darba kvalitāti</w:t>
            </w:r>
          </w:p>
        </w:tc>
        <w:tc>
          <w:tcPr>
            <w:tcW w:w="2047" w:type="pct"/>
            <w:tcBorders>
              <w:top w:val="single" w:sz="2" w:space="0" w:color="auto"/>
              <w:left w:val="single" w:sz="2" w:space="0" w:color="auto"/>
              <w:bottom w:val="single" w:sz="2" w:space="0" w:color="auto"/>
              <w:right w:val="single" w:sz="2" w:space="0" w:color="auto"/>
            </w:tcBorders>
          </w:tcPr>
          <w:p w14:paraId="0ADE6768"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 xml:space="preserve">vidēji mēnesī piemaksa tiks noteikta 50 darbiniekiem x vidējā mēnešalga darbiniekiem, kuri saņems piemaksu 1348,54 </w:t>
            </w:r>
            <w:r w:rsidRPr="00CE0303">
              <w:rPr>
                <w:rFonts w:eastAsiaTheme="minorHAnsi" w:cs="Times New Roman"/>
                <w:i/>
                <w:color w:val="000000"/>
                <w:sz w:val="20"/>
                <w:szCs w:val="20"/>
                <w:lang w:val="lv-LV"/>
              </w:rPr>
              <w:t>euro</w:t>
            </w:r>
            <w:r w:rsidRPr="00CE0303">
              <w:rPr>
                <w:rFonts w:eastAsiaTheme="minorHAnsi" w:cs="Times New Roman"/>
                <w:color w:val="000000"/>
                <w:sz w:val="20"/>
                <w:szCs w:val="20"/>
                <w:lang w:val="lv-LV"/>
              </w:rPr>
              <w:t xml:space="preserve"> x 30% piemaksas apmērs = 20 228,10 </w:t>
            </w:r>
            <w:r w:rsidRPr="00CE0303">
              <w:rPr>
                <w:rFonts w:eastAsiaTheme="minorHAnsi" w:cs="Times New Roman"/>
                <w:i/>
                <w:color w:val="000000"/>
                <w:sz w:val="20"/>
                <w:szCs w:val="20"/>
                <w:lang w:val="lv-LV"/>
              </w:rPr>
              <w:t>euro</w:t>
            </w:r>
            <w:r w:rsidRPr="00CE0303">
              <w:rPr>
                <w:rFonts w:eastAsiaTheme="minorHAnsi" w:cs="Times New Roman"/>
                <w:color w:val="000000"/>
                <w:sz w:val="20"/>
                <w:szCs w:val="20"/>
                <w:lang w:val="lv-LV"/>
              </w:rPr>
              <w:t xml:space="preserve"> x 12 mēneši =242 737,20 </w:t>
            </w:r>
            <w:r w:rsidRPr="00CE0303">
              <w:rPr>
                <w:rFonts w:eastAsiaTheme="minorHAnsi" w:cs="Times New Roman"/>
                <w:i/>
                <w:color w:val="000000"/>
                <w:sz w:val="20"/>
                <w:szCs w:val="20"/>
                <w:lang w:val="lv-LV"/>
              </w:rPr>
              <w:t>euro</w:t>
            </w:r>
          </w:p>
        </w:tc>
        <w:tc>
          <w:tcPr>
            <w:tcW w:w="843" w:type="pct"/>
            <w:tcBorders>
              <w:top w:val="single" w:sz="2" w:space="0" w:color="auto"/>
              <w:left w:val="single" w:sz="2" w:space="0" w:color="auto"/>
              <w:bottom w:val="single" w:sz="2" w:space="0" w:color="auto"/>
              <w:right w:val="single" w:sz="2" w:space="0" w:color="auto"/>
            </w:tcBorders>
          </w:tcPr>
          <w:p w14:paraId="1131B78F"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242 738</w:t>
            </w:r>
          </w:p>
        </w:tc>
      </w:tr>
      <w:tr w:rsidR="00CE0303" w:rsidRPr="00CE0303" w14:paraId="21FE497D" w14:textId="77777777" w:rsidTr="00D310F2">
        <w:trPr>
          <w:trHeight w:val="408"/>
        </w:trPr>
        <w:tc>
          <w:tcPr>
            <w:tcW w:w="400" w:type="pct"/>
            <w:tcBorders>
              <w:top w:val="single" w:sz="2" w:space="0" w:color="auto"/>
              <w:left w:val="single" w:sz="2" w:space="0" w:color="auto"/>
              <w:bottom w:val="single" w:sz="2" w:space="0" w:color="auto"/>
              <w:right w:val="single" w:sz="2" w:space="0" w:color="auto"/>
            </w:tcBorders>
          </w:tcPr>
          <w:p w14:paraId="434801E2"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1200</w:t>
            </w:r>
          </w:p>
        </w:tc>
        <w:tc>
          <w:tcPr>
            <w:tcW w:w="1709" w:type="pct"/>
            <w:tcBorders>
              <w:top w:val="single" w:sz="2" w:space="0" w:color="auto"/>
              <w:left w:val="single" w:sz="2" w:space="0" w:color="auto"/>
              <w:bottom w:val="single" w:sz="2" w:space="0" w:color="auto"/>
              <w:right w:val="single" w:sz="2" w:space="0" w:color="auto"/>
            </w:tcBorders>
          </w:tcPr>
          <w:p w14:paraId="3C7D19D0" w14:textId="77777777" w:rsidR="00CE0303" w:rsidRPr="00CE0303" w:rsidRDefault="00CE0303" w:rsidP="00CE0303">
            <w:pPr>
              <w:autoSpaceDE w:val="0"/>
              <w:autoSpaceDN w:val="0"/>
              <w:adjustRightInd w:val="0"/>
              <w:spacing w:after="0" w:line="240" w:lineRule="auto"/>
              <w:jc w:val="left"/>
              <w:rPr>
                <w:rFonts w:eastAsiaTheme="minorHAnsi" w:cs="Times New Roman"/>
                <w:color w:val="000000"/>
                <w:sz w:val="20"/>
                <w:szCs w:val="20"/>
                <w:lang w:val="lv-LV"/>
              </w:rPr>
            </w:pPr>
            <w:r w:rsidRPr="00CE0303">
              <w:rPr>
                <w:rFonts w:eastAsiaTheme="minorHAnsi" w:cs="Times New Roman"/>
                <w:color w:val="000000"/>
                <w:sz w:val="20"/>
                <w:szCs w:val="20"/>
                <w:lang w:val="lv-LV"/>
              </w:rPr>
              <w:t>Darba devēja valsts sociālās apdrošināšanas obligātās iemaksas, pabalsti un kompensācijas</w:t>
            </w:r>
          </w:p>
        </w:tc>
        <w:tc>
          <w:tcPr>
            <w:tcW w:w="2047" w:type="pct"/>
            <w:tcBorders>
              <w:top w:val="single" w:sz="2" w:space="0" w:color="auto"/>
              <w:left w:val="single" w:sz="2" w:space="0" w:color="auto"/>
              <w:bottom w:val="single" w:sz="2" w:space="0" w:color="auto"/>
              <w:right w:val="single" w:sz="2" w:space="0" w:color="auto"/>
            </w:tcBorders>
          </w:tcPr>
          <w:p w14:paraId="26540AD1"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x</w:t>
            </w:r>
          </w:p>
        </w:tc>
        <w:tc>
          <w:tcPr>
            <w:tcW w:w="843" w:type="pct"/>
            <w:tcBorders>
              <w:top w:val="single" w:sz="2" w:space="0" w:color="auto"/>
              <w:left w:val="single" w:sz="2" w:space="0" w:color="auto"/>
              <w:bottom w:val="single" w:sz="2" w:space="0" w:color="auto"/>
              <w:right w:val="single" w:sz="2" w:space="0" w:color="auto"/>
            </w:tcBorders>
          </w:tcPr>
          <w:p w14:paraId="012FCDFE"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p>
        </w:tc>
      </w:tr>
      <w:tr w:rsidR="00CE0303" w:rsidRPr="00CE0303" w14:paraId="53FD2454" w14:textId="77777777" w:rsidTr="00D310F2">
        <w:trPr>
          <w:trHeight w:val="105"/>
        </w:trPr>
        <w:tc>
          <w:tcPr>
            <w:tcW w:w="400" w:type="pct"/>
            <w:tcBorders>
              <w:top w:val="single" w:sz="2" w:space="0" w:color="auto"/>
              <w:left w:val="single" w:sz="2" w:space="0" w:color="auto"/>
              <w:bottom w:val="single" w:sz="2" w:space="0" w:color="auto"/>
              <w:right w:val="single" w:sz="2" w:space="0" w:color="auto"/>
            </w:tcBorders>
          </w:tcPr>
          <w:p w14:paraId="33560D70"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1210</w:t>
            </w:r>
          </w:p>
        </w:tc>
        <w:tc>
          <w:tcPr>
            <w:tcW w:w="1709" w:type="pct"/>
            <w:tcBorders>
              <w:top w:val="single" w:sz="2" w:space="0" w:color="auto"/>
              <w:left w:val="single" w:sz="2" w:space="0" w:color="auto"/>
              <w:bottom w:val="single" w:sz="2" w:space="0" w:color="auto"/>
              <w:right w:val="single" w:sz="2" w:space="0" w:color="auto"/>
            </w:tcBorders>
          </w:tcPr>
          <w:p w14:paraId="074E5C8B" w14:textId="77777777" w:rsidR="00CE0303" w:rsidRPr="00CE0303" w:rsidRDefault="00CE0303" w:rsidP="00CE0303">
            <w:pPr>
              <w:autoSpaceDE w:val="0"/>
              <w:autoSpaceDN w:val="0"/>
              <w:adjustRightInd w:val="0"/>
              <w:spacing w:after="0" w:line="240" w:lineRule="auto"/>
              <w:jc w:val="left"/>
              <w:rPr>
                <w:rFonts w:eastAsiaTheme="minorHAnsi" w:cs="Times New Roman"/>
                <w:color w:val="000000"/>
                <w:sz w:val="20"/>
                <w:szCs w:val="20"/>
                <w:lang w:val="lv-LV"/>
              </w:rPr>
            </w:pPr>
            <w:r w:rsidRPr="00CE0303">
              <w:rPr>
                <w:rFonts w:eastAsiaTheme="minorHAnsi" w:cs="Times New Roman"/>
                <w:color w:val="000000"/>
                <w:sz w:val="20"/>
                <w:szCs w:val="20"/>
                <w:lang w:val="lv-LV"/>
              </w:rPr>
              <w:t>Darba devēja valsts sociālās apdrošināšanas obligātās iemaksas</w:t>
            </w:r>
          </w:p>
        </w:tc>
        <w:tc>
          <w:tcPr>
            <w:tcW w:w="2047" w:type="pct"/>
            <w:tcBorders>
              <w:top w:val="single" w:sz="2" w:space="0" w:color="auto"/>
              <w:left w:val="single" w:sz="2" w:space="0" w:color="auto"/>
              <w:bottom w:val="single" w:sz="2" w:space="0" w:color="auto"/>
              <w:right w:val="single" w:sz="2" w:space="0" w:color="auto"/>
            </w:tcBorders>
          </w:tcPr>
          <w:p w14:paraId="6440E9F8"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 xml:space="preserve">Papildu nepieciešamais finansējums piemaksām </w:t>
            </w:r>
          </w:p>
          <w:p w14:paraId="295CAA65"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 xml:space="preserve">242 737,20 </w:t>
            </w:r>
            <w:r w:rsidRPr="00CE0303">
              <w:rPr>
                <w:rFonts w:eastAsiaTheme="minorHAnsi" w:cs="Times New Roman"/>
                <w:i/>
                <w:color w:val="000000"/>
                <w:sz w:val="20"/>
                <w:szCs w:val="20"/>
                <w:lang w:val="lv-LV"/>
              </w:rPr>
              <w:t>euro</w:t>
            </w:r>
            <w:r w:rsidRPr="00CE0303">
              <w:rPr>
                <w:rFonts w:eastAsiaTheme="minorHAnsi" w:cs="Times New Roman"/>
                <w:color w:val="000000"/>
                <w:sz w:val="20"/>
                <w:szCs w:val="20"/>
                <w:lang w:val="lv-LV"/>
              </w:rPr>
              <w:t xml:space="preserve"> x DD VSAOI 23,59% = 57 261,71 </w:t>
            </w:r>
            <w:r w:rsidRPr="00CE0303">
              <w:rPr>
                <w:rFonts w:eastAsiaTheme="minorHAnsi" w:cs="Times New Roman"/>
                <w:i/>
                <w:color w:val="000000"/>
                <w:sz w:val="20"/>
                <w:szCs w:val="20"/>
                <w:lang w:val="lv-LV"/>
              </w:rPr>
              <w:t>euro</w:t>
            </w:r>
          </w:p>
        </w:tc>
        <w:tc>
          <w:tcPr>
            <w:tcW w:w="843" w:type="pct"/>
            <w:tcBorders>
              <w:top w:val="single" w:sz="2" w:space="0" w:color="auto"/>
              <w:left w:val="single" w:sz="2" w:space="0" w:color="auto"/>
              <w:bottom w:val="single" w:sz="2" w:space="0" w:color="auto"/>
              <w:right w:val="single" w:sz="2" w:space="0" w:color="auto"/>
            </w:tcBorders>
          </w:tcPr>
          <w:p w14:paraId="6301B803" w14:textId="77777777" w:rsidR="00CE0303" w:rsidRPr="00CE0303" w:rsidRDefault="00CE0303" w:rsidP="00CE0303">
            <w:pPr>
              <w:autoSpaceDE w:val="0"/>
              <w:autoSpaceDN w:val="0"/>
              <w:adjustRightInd w:val="0"/>
              <w:spacing w:after="0" w:line="240" w:lineRule="auto"/>
              <w:jc w:val="center"/>
              <w:rPr>
                <w:rFonts w:eastAsiaTheme="minorHAnsi" w:cs="Times New Roman"/>
                <w:color w:val="000000"/>
                <w:sz w:val="20"/>
                <w:szCs w:val="20"/>
                <w:lang w:val="lv-LV"/>
              </w:rPr>
            </w:pPr>
            <w:r w:rsidRPr="00CE0303">
              <w:rPr>
                <w:rFonts w:eastAsiaTheme="minorHAnsi" w:cs="Times New Roman"/>
                <w:color w:val="000000"/>
                <w:sz w:val="20"/>
                <w:szCs w:val="20"/>
                <w:lang w:val="lv-LV"/>
              </w:rPr>
              <w:t>57 262</w:t>
            </w:r>
          </w:p>
        </w:tc>
      </w:tr>
      <w:tr w:rsidR="00CE0303" w:rsidRPr="00CE0303" w14:paraId="4A67D617" w14:textId="77777777" w:rsidTr="00D310F2">
        <w:trPr>
          <w:trHeight w:val="75"/>
        </w:trPr>
        <w:tc>
          <w:tcPr>
            <w:tcW w:w="400" w:type="pct"/>
            <w:tcBorders>
              <w:top w:val="single" w:sz="2" w:space="0" w:color="auto"/>
              <w:left w:val="single" w:sz="2" w:space="0" w:color="auto"/>
              <w:bottom w:val="single" w:sz="2" w:space="0" w:color="auto"/>
              <w:right w:val="single" w:sz="2" w:space="0" w:color="auto"/>
            </w:tcBorders>
          </w:tcPr>
          <w:p w14:paraId="3167912B" w14:textId="77777777" w:rsidR="00CE0303" w:rsidRPr="00CE0303" w:rsidRDefault="00CE0303" w:rsidP="00CE0303">
            <w:pPr>
              <w:autoSpaceDE w:val="0"/>
              <w:autoSpaceDN w:val="0"/>
              <w:adjustRightInd w:val="0"/>
              <w:spacing w:after="0" w:line="240" w:lineRule="auto"/>
              <w:jc w:val="center"/>
              <w:rPr>
                <w:rFonts w:eastAsiaTheme="minorHAnsi" w:cs="Times New Roman"/>
                <w:b/>
                <w:bCs/>
                <w:color w:val="000000"/>
                <w:sz w:val="20"/>
                <w:szCs w:val="20"/>
                <w:lang w:val="lv-LV"/>
              </w:rPr>
            </w:pPr>
            <w:r w:rsidRPr="00CE0303">
              <w:rPr>
                <w:rFonts w:eastAsiaTheme="minorHAnsi" w:cs="Times New Roman"/>
                <w:b/>
                <w:bCs/>
                <w:color w:val="000000"/>
                <w:sz w:val="20"/>
                <w:szCs w:val="20"/>
                <w:lang w:val="lv-LV"/>
              </w:rPr>
              <w:t>Kopā</w:t>
            </w:r>
          </w:p>
        </w:tc>
        <w:tc>
          <w:tcPr>
            <w:tcW w:w="1709" w:type="pct"/>
            <w:tcBorders>
              <w:top w:val="single" w:sz="2" w:space="0" w:color="auto"/>
              <w:left w:val="single" w:sz="2" w:space="0" w:color="auto"/>
              <w:bottom w:val="single" w:sz="2" w:space="0" w:color="auto"/>
              <w:right w:val="single" w:sz="2" w:space="0" w:color="auto"/>
            </w:tcBorders>
          </w:tcPr>
          <w:p w14:paraId="6D38F29D" w14:textId="77777777" w:rsidR="00CE0303" w:rsidRPr="00CE0303" w:rsidRDefault="00CE0303" w:rsidP="00CE0303">
            <w:pPr>
              <w:autoSpaceDE w:val="0"/>
              <w:autoSpaceDN w:val="0"/>
              <w:adjustRightInd w:val="0"/>
              <w:spacing w:after="0" w:line="240" w:lineRule="auto"/>
              <w:jc w:val="center"/>
              <w:rPr>
                <w:rFonts w:eastAsiaTheme="minorHAnsi" w:cs="Times New Roman"/>
                <w:b/>
                <w:bCs/>
                <w:color w:val="000000"/>
                <w:sz w:val="20"/>
                <w:szCs w:val="20"/>
                <w:lang w:val="lv-LV"/>
              </w:rPr>
            </w:pPr>
          </w:p>
        </w:tc>
        <w:tc>
          <w:tcPr>
            <w:tcW w:w="2047" w:type="pct"/>
            <w:tcBorders>
              <w:top w:val="single" w:sz="2" w:space="0" w:color="auto"/>
              <w:left w:val="single" w:sz="2" w:space="0" w:color="auto"/>
              <w:bottom w:val="single" w:sz="2" w:space="0" w:color="auto"/>
              <w:right w:val="single" w:sz="2" w:space="0" w:color="auto"/>
            </w:tcBorders>
          </w:tcPr>
          <w:p w14:paraId="3CC062A1" w14:textId="77777777" w:rsidR="00CE0303" w:rsidRPr="00CE0303" w:rsidRDefault="00CE0303" w:rsidP="00CE0303">
            <w:pPr>
              <w:autoSpaceDE w:val="0"/>
              <w:autoSpaceDN w:val="0"/>
              <w:adjustRightInd w:val="0"/>
              <w:spacing w:after="0" w:line="240" w:lineRule="auto"/>
              <w:jc w:val="center"/>
              <w:rPr>
                <w:rFonts w:eastAsiaTheme="minorHAnsi" w:cs="Times New Roman"/>
                <w:b/>
                <w:bCs/>
                <w:color w:val="000000"/>
                <w:sz w:val="20"/>
                <w:szCs w:val="20"/>
                <w:lang w:val="lv-LV"/>
              </w:rPr>
            </w:pPr>
          </w:p>
        </w:tc>
        <w:tc>
          <w:tcPr>
            <w:tcW w:w="843" w:type="pct"/>
            <w:tcBorders>
              <w:top w:val="single" w:sz="2" w:space="0" w:color="auto"/>
              <w:left w:val="single" w:sz="2" w:space="0" w:color="auto"/>
              <w:bottom w:val="single" w:sz="2" w:space="0" w:color="auto"/>
              <w:right w:val="single" w:sz="2" w:space="0" w:color="auto"/>
            </w:tcBorders>
          </w:tcPr>
          <w:p w14:paraId="3B947C0D" w14:textId="77777777" w:rsidR="00CE0303" w:rsidRPr="00CE0303" w:rsidRDefault="00CE0303" w:rsidP="00CE0303">
            <w:pPr>
              <w:autoSpaceDE w:val="0"/>
              <w:autoSpaceDN w:val="0"/>
              <w:adjustRightInd w:val="0"/>
              <w:spacing w:after="0" w:line="240" w:lineRule="auto"/>
              <w:jc w:val="center"/>
              <w:rPr>
                <w:rFonts w:eastAsiaTheme="minorHAnsi" w:cs="Times New Roman"/>
                <w:b/>
                <w:bCs/>
                <w:color w:val="000000"/>
                <w:sz w:val="20"/>
                <w:szCs w:val="20"/>
                <w:lang w:val="lv-LV"/>
              </w:rPr>
            </w:pPr>
            <w:r w:rsidRPr="00CE0303">
              <w:rPr>
                <w:rFonts w:eastAsiaTheme="minorHAnsi" w:cs="Times New Roman"/>
                <w:b/>
                <w:bCs/>
                <w:color w:val="000000"/>
                <w:sz w:val="20"/>
                <w:szCs w:val="20"/>
                <w:lang w:val="lv-LV"/>
              </w:rPr>
              <w:t>300 000</w:t>
            </w:r>
          </w:p>
        </w:tc>
      </w:tr>
    </w:tbl>
    <w:p w14:paraId="2A581FEA" w14:textId="77777777" w:rsidR="00D310F2" w:rsidRPr="00D310F2" w:rsidRDefault="00D310F2" w:rsidP="00D310F2">
      <w:pPr>
        <w:tabs>
          <w:tab w:val="left" w:pos="-1701"/>
        </w:tabs>
        <w:spacing w:before="120"/>
        <w:rPr>
          <w:rFonts w:eastAsia="Calibri" w:cs="Times New Roman"/>
          <w:sz w:val="2"/>
          <w:szCs w:val="2"/>
          <w:lang w:val="lv-LV"/>
        </w:rPr>
      </w:pP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D310F2" w:rsidRPr="00CE0303" w14:paraId="68951A0E" w14:textId="77777777" w:rsidTr="00A84300">
        <w:trPr>
          <w:jc w:val="center"/>
        </w:trPr>
        <w:tc>
          <w:tcPr>
            <w:tcW w:w="709" w:type="dxa"/>
            <w:shd w:val="clear" w:color="auto" w:fill="92D050"/>
            <w:vAlign w:val="center"/>
          </w:tcPr>
          <w:p w14:paraId="19B70977" w14:textId="77777777" w:rsidR="00D310F2" w:rsidRPr="00CE0303" w:rsidRDefault="00D310F2" w:rsidP="00A84300">
            <w:pPr>
              <w:spacing w:after="0"/>
              <w:jc w:val="center"/>
              <w:rPr>
                <w:rFonts w:eastAsiaTheme="minorHAnsi"/>
                <w:lang w:val="lv-LV"/>
              </w:rPr>
            </w:pPr>
            <w:r w:rsidRPr="00CE0303">
              <w:rPr>
                <w:rFonts w:eastAsiaTheme="minorHAnsi"/>
                <w:lang w:val="lv-LV"/>
              </w:rPr>
              <w:t>2022</w:t>
            </w:r>
          </w:p>
        </w:tc>
        <w:tc>
          <w:tcPr>
            <w:tcW w:w="1129" w:type="dxa"/>
            <w:vAlign w:val="center"/>
          </w:tcPr>
          <w:p w14:paraId="1DF2D487" w14:textId="77777777" w:rsidR="00D310F2" w:rsidRPr="00CE0303" w:rsidRDefault="00D310F2" w:rsidP="00A84300">
            <w:pPr>
              <w:spacing w:after="0"/>
              <w:jc w:val="center"/>
              <w:rPr>
                <w:rFonts w:eastAsiaTheme="minorHAnsi"/>
                <w:lang w:val="lv-LV"/>
              </w:rPr>
            </w:pPr>
            <w:r w:rsidRPr="00CE0303">
              <w:rPr>
                <w:rFonts w:eastAsiaTheme="minorHAnsi"/>
                <w:lang w:val="lv-LV"/>
              </w:rPr>
              <w:t>300 000</w:t>
            </w:r>
          </w:p>
        </w:tc>
        <w:tc>
          <w:tcPr>
            <w:tcW w:w="696" w:type="dxa"/>
            <w:shd w:val="clear" w:color="auto" w:fill="92D050"/>
            <w:vAlign w:val="center"/>
          </w:tcPr>
          <w:p w14:paraId="07CFFEA9" w14:textId="77777777" w:rsidR="00D310F2" w:rsidRPr="00CE0303" w:rsidRDefault="00D310F2" w:rsidP="00A84300">
            <w:pPr>
              <w:spacing w:after="0"/>
              <w:jc w:val="center"/>
              <w:rPr>
                <w:rFonts w:eastAsiaTheme="minorHAnsi"/>
                <w:lang w:val="lv-LV"/>
              </w:rPr>
            </w:pPr>
            <w:r w:rsidRPr="00CE0303">
              <w:rPr>
                <w:rFonts w:eastAsiaTheme="minorHAnsi"/>
                <w:lang w:val="lv-LV"/>
              </w:rPr>
              <w:t>2023</w:t>
            </w:r>
          </w:p>
        </w:tc>
        <w:tc>
          <w:tcPr>
            <w:tcW w:w="1129" w:type="dxa"/>
            <w:vAlign w:val="center"/>
          </w:tcPr>
          <w:p w14:paraId="51695509" w14:textId="77777777" w:rsidR="00D310F2" w:rsidRPr="00CE0303" w:rsidRDefault="00D310F2" w:rsidP="00A84300">
            <w:pPr>
              <w:spacing w:after="0"/>
              <w:jc w:val="center"/>
              <w:rPr>
                <w:rFonts w:eastAsiaTheme="minorHAnsi"/>
                <w:lang w:val="lv-LV"/>
              </w:rPr>
            </w:pPr>
            <w:r w:rsidRPr="00CE0303">
              <w:rPr>
                <w:rFonts w:eastAsiaTheme="minorHAnsi"/>
                <w:lang w:val="lv-LV"/>
              </w:rPr>
              <w:t>300 000</w:t>
            </w:r>
          </w:p>
        </w:tc>
        <w:tc>
          <w:tcPr>
            <w:tcW w:w="709" w:type="dxa"/>
            <w:shd w:val="clear" w:color="auto" w:fill="92D050"/>
            <w:vAlign w:val="center"/>
          </w:tcPr>
          <w:p w14:paraId="50F02A96" w14:textId="77777777" w:rsidR="00D310F2" w:rsidRPr="00CE0303" w:rsidRDefault="00D310F2" w:rsidP="00A84300">
            <w:pPr>
              <w:spacing w:after="0"/>
              <w:jc w:val="center"/>
              <w:rPr>
                <w:rFonts w:eastAsiaTheme="minorHAnsi"/>
                <w:lang w:val="lv-LV"/>
              </w:rPr>
            </w:pPr>
            <w:r w:rsidRPr="00CE0303">
              <w:rPr>
                <w:rFonts w:eastAsiaTheme="minorHAnsi"/>
                <w:lang w:val="lv-LV"/>
              </w:rPr>
              <w:t>2024</w:t>
            </w:r>
          </w:p>
        </w:tc>
        <w:tc>
          <w:tcPr>
            <w:tcW w:w="1134" w:type="dxa"/>
            <w:vAlign w:val="center"/>
          </w:tcPr>
          <w:p w14:paraId="289EA10C" w14:textId="77777777" w:rsidR="00D310F2" w:rsidRPr="00CE0303" w:rsidRDefault="00D310F2" w:rsidP="00A84300">
            <w:pPr>
              <w:spacing w:after="0"/>
              <w:jc w:val="center"/>
              <w:rPr>
                <w:rFonts w:eastAsiaTheme="minorHAnsi"/>
                <w:lang w:val="lv-LV"/>
              </w:rPr>
            </w:pPr>
            <w:r w:rsidRPr="00CE0303">
              <w:rPr>
                <w:rFonts w:eastAsiaTheme="minorHAnsi"/>
                <w:lang w:val="lv-LV"/>
              </w:rPr>
              <w:t>300 000</w:t>
            </w:r>
          </w:p>
        </w:tc>
      </w:tr>
    </w:tbl>
    <w:p w14:paraId="6E29D7A8" w14:textId="11CD1A85" w:rsidR="00CE0303" w:rsidRPr="00CE0303" w:rsidRDefault="00CE0303" w:rsidP="001D5145">
      <w:pPr>
        <w:tabs>
          <w:tab w:val="left" w:pos="-1701"/>
        </w:tabs>
        <w:spacing w:before="120"/>
        <w:ind w:firstLine="720"/>
        <w:rPr>
          <w:rFonts w:eastAsia="Calibri" w:cs="Times New Roman"/>
          <w:lang w:val="lv-LV"/>
        </w:rPr>
      </w:pPr>
      <w:r w:rsidRPr="00CE0303">
        <w:rPr>
          <w:rFonts w:eastAsia="Calibri" w:cs="Times New Roman"/>
          <w:lang w:val="lv-LV"/>
        </w:rPr>
        <w:t>Saistībā ar to, ka Nodrošinājuma valsts aģentūra veic nekustamā īpašuma apsaimniekošanu, un, lai nodrošinātu nekustama īpašumā nodokļa segšanu par objektu</w:t>
      </w:r>
      <w:r w:rsidR="00CF64D3">
        <w:rPr>
          <w:rFonts w:eastAsia="Calibri" w:cs="Times New Roman"/>
          <w:lang w:val="lv-LV"/>
        </w:rPr>
        <w:t xml:space="preserve"> </w:t>
      </w:r>
      <w:r w:rsidRPr="00CE0303">
        <w:rPr>
          <w:rFonts w:eastAsia="Calibri" w:cs="Times New Roman"/>
          <w:lang w:val="lv-LV"/>
        </w:rPr>
        <w:t xml:space="preserve">J.Tinanova iela 86, Zavoloko iela 8, Rēzeknē, nepieciešams veikt izdevumu pārdali 2022. gadā un turpmāk ik gadu 633 </w:t>
      </w:r>
      <w:r w:rsidRPr="00CE0303">
        <w:rPr>
          <w:rFonts w:eastAsia="Calibri" w:cs="Times New Roman"/>
          <w:i/>
          <w:lang w:val="lv-LV"/>
        </w:rPr>
        <w:t>euro</w:t>
      </w:r>
      <w:r w:rsidRPr="00CE0303">
        <w:rPr>
          <w:rFonts w:eastAsia="Calibri" w:cs="Times New Roman"/>
          <w:lang w:val="lv-LV"/>
        </w:rPr>
        <w:t xml:space="preserve"> apmērā (izdevumi precēm un pakalpojumiem), samazinot finansējumu budžeta programmā 10.00.00 “Valsts robežsardzes darbība” un palielinot budžeta apakšprogrammā 40.02.00 “Nekustamais īpašums un centralizētais iepirkums”.</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289FBFDE" w14:textId="77777777" w:rsidTr="00002906">
        <w:trPr>
          <w:jc w:val="center"/>
        </w:trPr>
        <w:tc>
          <w:tcPr>
            <w:tcW w:w="709" w:type="dxa"/>
            <w:shd w:val="clear" w:color="auto" w:fill="92D050"/>
            <w:vAlign w:val="center"/>
          </w:tcPr>
          <w:p w14:paraId="5643374C"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6BAD54C5" w14:textId="77777777" w:rsidR="00CE0303" w:rsidRPr="00CE0303" w:rsidRDefault="00CE0303" w:rsidP="00CE0303">
            <w:pPr>
              <w:spacing w:after="0"/>
              <w:jc w:val="center"/>
              <w:rPr>
                <w:rFonts w:eastAsiaTheme="minorHAnsi"/>
                <w:lang w:val="lv-LV"/>
              </w:rPr>
            </w:pPr>
            <w:r w:rsidRPr="00CE0303">
              <w:rPr>
                <w:rFonts w:eastAsiaTheme="minorHAnsi"/>
                <w:lang w:val="lv-LV"/>
              </w:rPr>
              <w:t>633</w:t>
            </w:r>
          </w:p>
        </w:tc>
        <w:tc>
          <w:tcPr>
            <w:tcW w:w="696" w:type="dxa"/>
            <w:shd w:val="clear" w:color="auto" w:fill="92D050"/>
            <w:vAlign w:val="center"/>
          </w:tcPr>
          <w:p w14:paraId="7399F490"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744820D6" w14:textId="77777777" w:rsidR="00CE0303" w:rsidRPr="00CE0303" w:rsidRDefault="00CE0303" w:rsidP="00CE0303">
            <w:pPr>
              <w:spacing w:after="0"/>
              <w:jc w:val="center"/>
              <w:rPr>
                <w:rFonts w:eastAsiaTheme="minorHAnsi"/>
                <w:lang w:val="lv-LV"/>
              </w:rPr>
            </w:pPr>
            <w:r w:rsidRPr="00CE0303">
              <w:rPr>
                <w:rFonts w:eastAsiaTheme="minorHAnsi"/>
                <w:lang w:val="lv-LV"/>
              </w:rPr>
              <w:t>633</w:t>
            </w:r>
          </w:p>
        </w:tc>
        <w:tc>
          <w:tcPr>
            <w:tcW w:w="709" w:type="dxa"/>
            <w:shd w:val="clear" w:color="auto" w:fill="92D050"/>
            <w:vAlign w:val="center"/>
          </w:tcPr>
          <w:p w14:paraId="0E209A92"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13D68B03" w14:textId="77777777" w:rsidR="00CE0303" w:rsidRPr="00CE0303" w:rsidRDefault="00CE0303" w:rsidP="00CE0303">
            <w:pPr>
              <w:spacing w:after="0"/>
              <w:jc w:val="center"/>
              <w:rPr>
                <w:rFonts w:eastAsiaTheme="minorHAnsi"/>
                <w:lang w:val="lv-LV"/>
              </w:rPr>
            </w:pPr>
            <w:r w:rsidRPr="00CE0303">
              <w:rPr>
                <w:rFonts w:eastAsiaTheme="minorHAnsi"/>
                <w:lang w:val="lv-LV"/>
              </w:rPr>
              <w:t>633</w:t>
            </w:r>
          </w:p>
        </w:tc>
      </w:tr>
    </w:tbl>
    <w:p w14:paraId="13906FF5" w14:textId="77777777" w:rsidR="00CE0303" w:rsidRPr="00CE0303" w:rsidRDefault="00CE0303" w:rsidP="001D5145">
      <w:pPr>
        <w:spacing w:before="120"/>
        <w:ind w:firstLine="720"/>
        <w:rPr>
          <w:rFonts w:eastAsiaTheme="minorHAnsi"/>
          <w:lang w:val="lv-LV"/>
        </w:rPr>
      </w:pPr>
      <w:r w:rsidRPr="00CE0303">
        <w:rPr>
          <w:rFonts w:eastAsiaTheme="minorHAnsi"/>
          <w:lang w:val="lv-LV"/>
        </w:rPr>
        <w:t xml:space="preserve">Budžeta apakšprogrammā 06.01.00 “Valsts policija” nepieciešama finansējuma pārdale sociāla rakstura maksājumu un kompensāciju izdevumu segšanai. Šajā izdevumu klasifikācijas kodā tiek plānoti izdevumi kaitējuma atlīdzības izmaksai un pabalstiem saistībā ar amatpersonas (darbinieka) nāvi (turpmāk – pabalsts). Kaitējuma atlīdzības izmaksas samazinās, bet palielinās izmaksas pabalstiem. Izdevumi sociāla rakstura maksājumiem un kompensācijām plānoti 34,0 tūkst. </w:t>
      </w:r>
      <w:r w:rsidRPr="00CE0303">
        <w:rPr>
          <w:rFonts w:eastAsiaTheme="minorHAnsi"/>
          <w:i/>
          <w:lang w:val="lv-LV"/>
        </w:rPr>
        <w:t>euro</w:t>
      </w:r>
      <w:r w:rsidRPr="00CE0303">
        <w:rPr>
          <w:rFonts w:eastAsiaTheme="minorHAnsi"/>
          <w:lang w:val="lv-LV"/>
        </w:rPr>
        <w:t xml:space="preserve"> apmērā. Ņemot vērā iepriekšējo gadu izpildi, izmaksas tiek precizētas un ir 42,0 tūkst. </w:t>
      </w:r>
      <w:r w:rsidRPr="00CE0303">
        <w:rPr>
          <w:rFonts w:eastAsiaTheme="minorHAnsi"/>
          <w:i/>
          <w:lang w:val="lv-LV"/>
        </w:rPr>
        <w:t>euro</w:t>
      </w:r>
      <w:r w:rsidRPr="00CE0303">
        <w:rPr>
          <w:rFonts w:eastAsiaTheme="minorHAnsi"/>
          <w:lang w:val="lv-LV"/>
        </w:rPr>
        <w:t xml:space="preserve"> apmērā, tai skaitā, izdevumi kaitējuma atlīdzību izmaksām 11 personām 29,6 tūkst. </w:t>
      </w:r>
      <w:r w:rsidRPr="00CE0303">
        <w:rPr>
          <w:rFonts w:eastAsiaTheme="minorHAnsi"/>
          <w:i/>
          <w:lang w:val="lv-LV"/>
        </w:rPr>
        <w:t>euro</w:t>
      </w:r>
      <w:r w:rsidRPr="00CE0303">
        <w:rPr>
          <w:rFonts w:eastAsiaTheme="minorHAnsi"/>
          <w:lang w:val="lv-LV"/>
        </w:rPr>
        <w:t xml:space="preserve"> un pabalstiem 12,4 tūkst. </w:t>
      </w:r>
      <w:r w:rsidRPr="00CE0303">
        <w:rPr>
          <w:rFonts w:eastAsiaTheme="minorHAnsi"/>
          <w:i/>
          <w:lang w:val="lv-LV"/>
        </w:rPr>
        <w:t>euro</w:t>
      </w:r>
      <w:r w:rsidRPr="00CE0303">
        <w:rPr>
          <w:rFonts w:eastAsiaTheme="minorHAnsi"/>
          <w:lang w:val="lv-LV"/>
        </w:rPr>
        <w:t xml:space="preserve">. Pabalstu apmērs nav precīzi paredzams, bet tiek plānots, ņemot vērā iepriekšējo gadu izdevumus. Lai nodrošinātu šo izdevumu segšanu, IeM ierosina budžeta apakšprogrammā 06.01.00 “Valsts policija” 2022. gadā un turpmāk ik gadu samazināt izdevumus atlīdzībai un attiecīgi palielināt izdevumus 8,0 tūkst. </w:t>
      </w:r>
      <w:r w:rsidRPr="00CE0303">
        <w:rPr>
          <w:rFonts w:eastAsiaTheme="minorHAnsi"/>
          <w:i/>
          <w:lang w:val="lv-LV"/>
        </w:rPr>
        <w:t>euro</w:t>
      </w:r>
      <w:r w:rsidRPr="00CE0303">
        <w:rPr>
          <w:rFonts w:eastAsiaTheme="minorHAnsi"/>
          <w:lang w:val="lv-LV"/>
        </w:rPr>
        <w:t xml:space="preserve"> apmērā sociāla rakstura maksājumiem un kompensācijām, jo pabalsta apmērs tiešā veidā saistīts ar mēnešalgu.</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33EC4FA8" w14:textId="77777777" w:rsidTr="00CE0303">
        <w:trPr>
          <w:jc w:val="center"/>
        </w:trPr>
        <w:tc>
          <w:tcPr>
            <w:tcW w:w="709" w:type="dxa"/>
            <w:shd w:val="clear" w:color="auto" w:fill="92D050"/>
            <w:vAlign w:val="center"/>
          </w:tcPr>
          <w:p w14:paraId="2723C859"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22C9B69B" w14:textId="77777777" w:rsidR="00CE0303" w:rsidRPr="00CE0303" w:rsidRDefault="00CE0303" w:rsidP="00CE0303">
            <w:pPr>
              <w:spacing w:after="0"/>
              <w:jc w:val="center"/>
              <w:rPr>
                <w:rFonts w:eastAsiaTheme="minorHAnsi"/>
                <w:lang w:val="lv-LV"/>
              </w:rPr>
            </w:pPr>
            <w:r w:rsidRPr="00CE0303">
              <w:rPr>
                <w:rFonts w:eastAsiaTheme="minorHAnsi"/>
                <w:lang w:val="lv-LV"/>
              </w:rPr>
              <w:t>8 000</w:t>
            </w:r>
          </w:p>
        </w:tc>
        <w:tc>
          <w:tcPr>
            <w:tcW w:w="696" w:type="dxa"/>
            <w:shd w:val="clear" w:color="auto" w:fill="92D050"/>
            <w:vAlign w:val="center"/>
          </w:tcPr>
          <w:p w14:paraId="2F6F1B9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54827467" w14:textId="77777777" w:rsidR="00CE0303" w:rsidRPr="00CE0303" w:rsidRDefault="00CE0303" w:rsidP="00CE0303">
            <w:pPr>
              <w:spacing w:after="0"/>
              <w:jc w:val="center"/>
              <w:rPr>
                <w:rFonts w:eastAsiaTheme="minorHAnsi"/>
                <w:lang w:val="lv-LV"/>
              </w:rPr>
            </w:pPr>
            <w:r w:rsidRPr="00CE0303">
              <w:rPr>
                <w:rFonts w:eastAsiaTheme="minorHAnsi"/>
                <w:lang w:val="lv-LV"/>
              </w:rPr>
              <w:t>8 000</w:t>
            </w:r>
          </w:p>
        </w:tc>
        <w:tc>
          <w:tcPr>
            <w:tcW w:w="709" w:type="dxa"/>
            <w:shd w:val="clear" w:color="auto" w:fill="92D050"/>
            <w:vAlign w:val="center"/>
          </w:tcPr>
          <w:p w14:paraId="2BB8799F"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5F1E994F" w14:textId="77777777" w:rsidR="00CE0303" w:rsidRPr="00CE0303" w:rsidRDefault="00CE0303" w:rsidP="00CE0303">
            <w:pPr>
              <w:spacing w:after="0"/>
              <w:jc w:val="center"/>
              <w:rPr>
                <w:rFonts w:eastAsiaTheme="minorHAnsi"/>
                <w:lang w:val="lv-LV"/>
              </w:rPr>
            </w:pPr>
            <w:r w:rsidRPr="00CE0303">
              <w:rPr>
                <w:rFonts w:eastAsiaTheme="minorHAnsi"/>
                <w:lang w:val="lv-LV"/>
              </w:rPr>
              <w:t>8 000</w:t>
            </w:r>
          </w:p>
        </w:tc>
      </w:tr>
    </w:tbl>
    <w:p w14:paraId="0BB89F59" w14:textId="77777777" w:rsidR="00CE0303" w:rsidRPr="00CE0303" w:rsidRDefault="00CE0303" w:rsidP="00CE0303">
      <w:pPr>
        <w:spacing w:before="120"/>
        <w:ind w:firstLine="720"/>
        <w:rPr>
          <w:rFonts w:eastAsiaTheme="minorHAnsi"/>
          <w:szCs w:val="24"/>
          <w:lang w:val="lv-LV"/>
        </w:rPr>
      </w:pPr>
      <w:r w:rsidRPr="00CE0303">
        <w:rPr>
          <w:rFonts w:eastAsiaTheme="minorHAnsi"/>
          <w:szCs w:val="24"/>
          <w:lang w:val="lv-LV"/>
        </w:rPr>
        <w:t xml:space="preserve">Izvērtējot budžeta apakšprogrammas 11.01.00 “Pilsonības un migrācijas lietu pārvalde” finansējuma izlietojumu, konstatēts, ka visas PMPL teritoriālās nodaļas ir aprīkotas ar </w:t>
      </w:r>
      <w:r w:rsidRPr="00CE0303">
        <w:rPr>
          <w:rFonts w:eastAsiaTheme="minorHAnsi"/>
          <w:szCs w:val="24"/>
          <w:lang w:val="lv-LV"/>
        </w:rPr>
        <w:lastRenderedPageBreak/>
        <w:t xml:space="preserve">videonovērošanas sistēmām un turpmākas iegādes nav nepieciešamas. Periodiski būs nepieciešami videosistēmu remonta izdevumi, ko PMLP nodrošinās piešķirto finanšu līdzekļu ietvaros. </w:t>
      </w:r>
    </w:p>
    <w:p w14:paraId="44C5DF77" w14:textId="6746A863" w:rsidR="00CE0303" w:rsidRPr="00CE0303" w:rsidRDefault="00CE0303" w:rsidP="00CE0303">
      <w:pPr>
        <w:spacing w:before="120"/>
        <w:ind w:firstLine="720"/>
        <w:rPr>
          <w:rFonts w:eastAsiaTheme="minorHAnsi"/>
          <w:szCs w:val="24"/>
          <w:lang w:val="lv-LV"/>
        </w:rPr>
      </w:pPr>
      <w:r w:rsidRPr="00CE0303">
        <w:rPr>
          <w:rFonts w:eastAsiaTheme="minorHAnsi"/>
          <w:szCs w:val="24"/>
          <w:lang w:val="lv-LV"/>
        </w:rPr>
        <w:t>Budžeta apakšprogrammas 11.01.00 “Pilsonības un migrācijas lietu pārvalde” izdevumos pamatkapitāla veidošanai plānoti</w:t>
      </w:r>
      <w:r w:rsidR="00CF64D3">
        <w:rPr>
          <w:rFonts w:eastAsiaTheme="minorHAnsi"/>
          <w:szCs w:val="24"/>
          <w:lang w:val="lv-LV"/>
        </w:rPr>
        <w:t xml:space="preserve"> </w:t>
      </w:r>
      <w:r w:rsidRPr="00CE0303">
        <w:rPr>
          <w:rFonts w:eastAsiaTheme="minorHAnsi"/>
          <w:szCs w:val="24"/>
          <w:lang w:val="lv-LV"/>
        </w:rPr>
        <w:t>izdevumi</w:t>
      </w:r>
      <w:r w:rsidR="00CF64D3">
        <w:rPr>
          <w:rFonts w:eastAsiaTheme="minorHAnsi"/>
          <w:szCs w:val="24"/>
          <w:lang w:val="lv-LV"/>
        </w:rPr>
        <w:t xml:space="preserve"> </w:t>
      </w:r>
      <w:r w:rsidRPr="00CE0303">
        <w:rPr>
          <w:rFonts w:eastAsiaTheme="minorHAnsi"/>
          <w:szCs w:val="24"/>
          <w:lang w:val="lv-LV"/>
        </w:rPr>
        <w:t>klientu apkalpošanas teritoriālo nodaļu</w:t>
      </w:r>
      <w:r w:rsidR="00CF64D3">
        <w:rPr>
          <w:rFonts w:eastAsiaTheme="minorHAnsi"/>
          <w:szCs w:val="24"/>
          <w:lang w:val="lv-LV"/>
        </w:rPr>
        <w:t xml:space="preserve"> </w:t>
      </w:r>
      <w:r w:rsidRPr="00CE0303">
        <w:rPr>
          <w:rFonts w:eastAsiaTheme="minorHAnsi"/>
          <w:szCs w:val="24"/>
          <w:lang w:val="lv-LV"/>
        </w:rPr>
        <w:t>aprīkojuma atjaunošanai un papildus materiāli tehniskā nodrošinājuma iegādei, kas iekļauj arī video</w:t>
      </w:r>
      <w:r w:rsidR="001D5145">
        <w:rPr>
          <w:rFonts w:eastAsiaTheme="minorHAnsi"/>
          <w:szCs w:val="24"/>
          <w:lang w:val="lv-LV"/>
        </w:rPr>
        <w:t xml:space="preserve">sistēmu aprīkojuma uzstādīšanu. </w:t>
      </w:r>
      <w:r w:rsidRPr="00CE0303">
        <w:rPr>
          <w:rFonts w:eastAsiaTheme="minorHAnsi"/>
          <w:szCs w:val="24"/>
          <w:lang w:val="lv-LV"/>
        </w:rPr>
        <w:t xml:space="preserve">Videonovērošanas sistēmu iegāde teritoriālajām nodaļām iekļauta valsts budžeta apakšprogrammā 70.18.00 “Iekšējās drošības fonda un Patvēruma, migrācijas un integrācijas fondu projektu un pasākumu īstenošana (2014-2020)” kā aktivitāte PMLP īstenotajā projektā un visas teritoriālās nodaļas tiks aprīkotas ar videonovērošanas sistēmām un turpmākas iegādes tiks plānotas atbilstoši aprīkojuma tehnoloģiju attīstībai. </w:t>
      </w:r>
    </w:p>
    <w:p w14:paraId="761AB2AA" w14:textId="77777777" w:rsidR="00CE0303" w:rsidRPr="00CE0303" w:rsidRDefault="00CE0303" w:rsidP="00CE0303">
      <w:pPr>
        <w:spacing w:before="120"/>
        <w:ind w:firstLine="720"/>
        <w:rPr>
          <w:rFonts w:eastAsiaTheme="minorHAnsi"/>
          <w:szCs w:val="24"/>
          <w:lang w:val="lv-LV"/>
        </w:rPr>
      </w:pPr>
      <w:r w:rsidRPr="00CE0303">
        <w:rPr>
          <w:rFonts w:eastAsiaTheme="minorHAnsi"/>
          <w:szCs w:val="24"/>
          <w:lang w:val="lv-LV"/>
        </w:rPr>
        <w:t xml:space="preserve">Ņemot vērā, ka privātajā sektorā strādājošiem vidējais darba samaksas apmērs katru gadu palielinās, arī PMLP nepieciešams palielināt nodarbināto mēnešalgas apmēru, nepārsniedzot Valsts un pašvaldību institūciju amatpersonu un darbinieku atlīdzības likumā noteikto apmēru, lai līdzīgos amatos strādājošajiem PMLP un privātajā sektorā, atalgojuma atšķirības kaut nedaudz samazinātos. IeM ierosina palielināt izdevumus atlīdzībai 49,6 tūkst. </w:t>
      </w:r>
      <w:r w:rsidRPr="00CE0303">
        <w:rPr>
          <w:rFonts w:eastAsiaTheme="minorHAnsi"/>
          <w:i/>
          <w:szCs w:val="24"/>
          <w:lang w:val="lv-LV"/>
        </w:rPr>
        <w:t>euro</w:t>
      </w:r>
      <w:r w:rsidRPr="00CE0303">
        <w:rPr>
          <w:rFonts w:eastAsiaTheme="minorHAnsi"/>
          <w:szCs w:val="24"/>
          <w:lang w:val="lv-LV"/>
        </w:rPr>
        <w:t xml:space="preserve"> apmērā, paredzot tos PMLP priekšnieka vietnieku, struktūrvienību vadītāju un migrācijas jomā strādājošo vecāko referentu, kuriem noteikta 3. kategorija, mēnešalgas palielinājumam, vienlaicīgi samazinot izdevumus pamatkapitāla veidošanai, kas bija plānoti videonovērošanas sistēmu ierīkošanai. </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254B6BA7" w14:textId="77777777" w:rsidTr="00CE0303">
        <w:trPr>
          <w:jc w:val="center"/>
        </w:trPr>
        <w:tc>
          <w:tcPr>
            <w:tcW w:w="709" w:type="dxa"/>
            <w:shd w:val="clear" w:color="auto" w:fill="92D050"/>
            <w:vAlign w:val="center"/>
          </w:tcPr>
          <w:p w14:paraId="79452D2C"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6DE2F648" w14:textId="77777777" w:rsidR="00CE0303" w:rsidRPr="00CE0303" w:rsidRDefault="00CE0303" w:rsidP="00CE0303">
            <w:pPr>
              <w:spacing w:after="0"/>
              <w:jc w:val="center"/>
              <w:rPr>
                <w:rFonts w:eastAsiaTheme="minorHAnsi"/>
                <w:lang w:val="lv-LV"/>
              </w:rPr>
            </w:pPr>
            <w:r w:rsidRPr="00CE0303">
              <w:rPr>
                <w:rFonts w:eastAsiaTheme="minorHAnsi"/>
                <w:lang w:val="lv-LV"/>
              </w:rPr>
              <w:t>49 615</w:t>
            </w:r>
          </w:p>
        </w:tc>
        <w:tc>
          <w:tcPr>
            <w:tcW w:w="696" w:type="dxa"/>
            <w:shd w:val="clear" w:color="auto" w:fill="92D050"/>
            <w:vAlign w:val="center"/>
          </w:tcPr>
          <w:p w14:paraId="370F0764"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569B5C12" w14:textId="77777777" w:rsidR="00CE0303" w:rsidRPr="00CE0303" w:rsidRDefault="00CE0303" w:rsidP="00CE0303">
            <w:pPr>
              <w:spacing w:after="0"/>
              <w:jc w:val="center"/>
              <w:rPr>
                <w:rFonts w:eastAsiaTheme="minorHAnsi"/>
                <w:lang w:val="lv-LV"/>
              </w:rPr>
            </w:pPr>
            <w:r w:rsidRPr="00CE0303">
              <w:rPr>
                <w:rFonts w:eastAsiaTheme="minorHAnsi"/>
                <w:lang w:val="lv-LV"/>
              </w:rPr>
              <w:t>49 615</w:t>
            </w:r>
          </w:p>
        </w:tc>
        <w:tc>
          <w:tcPr>
            <w:tcW w:w="709" w:type="dxa"/>
            <w:shd w:val="clear" w:color="auto" w:fill="92D050"/>
            <w:vAlign w:val="center"/>
          </w:tcPr>
          <w:p w14:paraId="21280917"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17F17613" w14:textId="77777777" w:rsidR="00CE0303" w:rsidRPr="00CE0303" w:rsidRDefault="00CE0303" w:rsidP="00CE0303">
            <w:pPr>
              <w:spacing w:after="0"/>
              <w:jc w:val="center"/>
              <w:rPr>
                <w:rFonts w:eastAsiaTheme="minorHAnsi"/>
                <w:lang w:val="lv-LV"/>
              </w:rPr>
            </w:pPr>
            <w:r w:rsidRPr="00CE0303">
              <w:rPr>
                <w:rFonts w:eastAsiaTheme="minorHAnsi"/>
                <w:lang w:val="lv-LV"/>
              </w:rPr>
              <w:t>49 615</w:t>
            </w:r>
          </w:p>
        </w:tc>
      </w:tr>
    </w:tbl>
    <w:p w14:paraId="596DBAB6" w14:textId="77777777" w:rsidR="00CE0303" w:rsidRPr="00CE0303" w:rsidRDefault="00CE0303" w:rsidP="00CE0303">
      <w:pPr>
        <w:ind w:firstLine="720"/>
        <w:rPr>
          <w:rFonts w:eastAsiaTheme="minorHAnsi"/>
          <w:b/>
          <w:lang w:val="lv-LV"/>
        </w:rPr>
      </w:pPr>
    </w:p>
    <w:p w14:paraId="61A0B82C" w14:textId="77777777" w:rsidR="00CE0303" w:rsidRPr="00CE0303" w:rsidRDefault="00CE0303" w:rsidP="00CE0303">
      <w:pPr>
        <w:ind w:firstLine="720"/>
        <w:rPr>
          <w:rFonts w:eastAsiaTheme="minorHAnsi"/>
          <w:b/>
          <w:lang w:val="lv-LV"/>
        </w:rPr>
      </w:pPr>
      <w:r w:rsidRPr="00CE0303">
        <w:rPr>
          <w:rFonts w:eastAsiaTheme="minorHAnsi"/>
          <w:b/>
          <w:lang w:val="lv-LV"/>
        </w:rPr>
        <w:t>Izglītības un zinātnes ministrija</w:t>
      </w:r>
    </w:p>
    <w:p w14:paraId="6DC66AF0" w14:textId="463BC16C" w:rsidR="00CE0303" w:rsidRPr="00CE0303" w:rsidRDefault="00CE0303" w:rsidP="00CE0303">
      <w:pPr>
        <w:ind w:firstLine="720"/>
        <w:rPr>
          <w:rFonts w:cs="Times New Roman"/>
          <w:szCs w:val="24"/>
          <w:lang w:val="lv-LV"/>
        </w:rPr>
      </w:pPr>
      <w:r w:rsidRPr="00CE0303">
        <w:rPr>
          <w:rFonts w:cs="Times New Roman"/>
          <w:szCs w:val="24"/>
          <w:lang w:val="lv-LV"/>
        </w:rPr>
        <w:t xml:space="preserve">Veicot IZM pamatbudžeta izdevumu analīzi, konstatēts, ka laika periodā no 2018. līdz 2020. gadam izdevumu neizpilde vērojama budžeta apakšprogrammās 02.01.00 “Profesionālās izglītības programmu īstenošana” un 03.11.00 “Koledžas”, kā arī programmā 21.00.00 “Jaunatnes politikas valsts programma”. </w:t>
      </w:r>
    </w:p>
    <w:p w14:paraId="4F9EC74B" w14:textId="49533791" w:rsidR="00002906" w:rsidRPr="00CE0303" w:rsidRDefault="00CE0303" w:rsidP="007F7266">
      <w:pPr>
        <w:ind w:firstLine="720"/>
        <w:rPr>
          <w:rFonts w:cs="Times New Roman"/>
          <w:bCs/>
          <w:szCs w:val="24"/>
          <w:lang w:val="lv-LV"/>
        </w:rPr>
      </w:pPr>
      <w:r w:rsidRPr="00CE0303">
        <w:rPr>
          <w:rFonts w:cs="Times New Roman"/>
          <w:szCs w:val="24"/>
          <w:lang w:val="lv-LV"/>
        </w:rPr>
        <w:t xml:space="preserve">Budžeta apakšprogrammā 02.01.00 “Profesionālās izglītības programmu īstenošana” </w:t>
      </w:r>
      <w:r w:rsidRPr="00CE0303">
        <w:rPr>
          <w:rFonts w:cs="Times New Roman"/>
          <w:bCs/>
          <w:szCs w:val="24"/>
          <w:lang w:val="lv-LV"/>
        </w:rPr>
        <w:t xml:space="preserve">trīs gadu periodā </w:t>
      </w:r>
      <w:r w:rsidRPr="00CE0303">
        <w:rPr>
          <w:rFonts w:cs="Times New Roman"/>
          <w:szCs w:val="24"/>
          <w:lang w:val="lv-LV"/>
        </w:rPr>
        <w:t xml:space="preserve">veidojas </w:t>
      </w:r>
      <w:r w:rsidRPr="00CE0303">
        <w:rPr>
          <w:rFonts w:cs="Times New Roman"/>
          <w:bCs/>
          <w:szCs w:val="24"/>
          <w:lang w:val="lv-LV"/>
        </w:rPr>
        <w:t xml:space="preserve">izdevumu neizpilde vidēji 648,9 tūkst. </w:t>
      </w:r>
      <w:r w:rsidRPr="00CE0303">
        <w:rPr>
          <w:rFonts w:cs="Times New Roman"/>
          <w:bCs/>
          <w:i/>
          <w:szCs w:val="24"/>
          <w:lang w:val="lv-LV"/>
        </w:rPr>
        <w:t>euro</w:t>
      </w:r>
      <w:r w:rsidRPr="00CE0303">
        <w:rPr>
          <w:rFonts w:cs="Times New Roman"/>
          <w:bCs/>
          <w:szCs w:val="24"/>
          <w:lang w:val="lv-LV"/>
        </w:rPr>
        <w:t xml:space="preserve"> apmērā ik gadu (</w:t>
      </w:r>
      <w:r w:rsidRPr="00CE0303">
        <w:rPr>
          <w:rFonts w:cs="Times New Roman"/>
          <w:bCs/>
          <w:iCs/>
          <w:szCs w:val="24"/>
          <w:lang w:val="lv-LV"/>
        </w:rPr>
        <w:t>2.2.15. attēls</w:t>
      </w:r>
      <w:r w:rsidRPr="00CE0303">
        <w:rPr>
          <w:rFonts w:cs="Times New Roman"/>
          <w:bCs/>
          <w:szCs w:val="24"/>
          <w:lang w:val="lv-LV"/>
        </w:rPr>
        <w:t xml:space="preserve">). </w:t>
      </w:r>
    </w:p>
    <w:p w14:paraId="04051E38"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2.2.15. attēls</w:t>
      </w:r>
      <w:r w:rsidRPr="00CE0303">
        <w:rPr>
          <w:rFonts w:cs="Times New Roman"/>
          <w:b/>
          <w:bCs/>
          <w:sz w:val="22"/>
          <w:lang w:val="lv-LV"/>
        </w:rPr>
        <w:t xml:space="preserve"> Apakšprogrammas 02.01.00 “Profesionālās izglītības programmu īstenošana” izdevumu analīze (milj. </w:t>
      </w:r>
      <w:r w:rsidRPr="00CE0303">
        <w:rPr>
          <w:rFonts w:cs="Times New Roman"/>
          <w:b/>
          <w:bCs/>
          <w:i/>
          <w:iCs/>
          <w:sz w:val="22"/>
          <w:lang w:val="lv-LV"/>
        </w:rPr>
        <w:t>euro</w:t>
      </w:r>
      <w:r w:rsidRPr="00CE0303">
        <w:rPr>
          <w:rFonts w:cs="Times New Roman"/>
          <w:b/>
          <w:bCs/>
          <w:sz w:val="22"/>
          <w:lang w:val="lv-LV"/>
        </w:rPr>
        <w:t>)</w:t>
      </w:r>
    </w:p>
    <w:p w14:paraId="5364FE6B" w14:textId="77777777" w:rsidR="00CE0303" w:rsidRPr="00CE0303" w:rsidRDefault="00CE0303" w:rsidP="00CE0303">
      <w:pPr>
        <w:jc w:val="center"/>
        <w:rPr>
          <w:rFonts w:cs="Times New Roman"/>
          <w:szCs w:val="24"/>
          <w:lang w:val="lv-LV"/>
        </w:rPr>
      </w:pPr>
      <w:r w:rsidRPr="00CE0303">
        <w:rPr>
          <w:rFonts w:cs="Times New Roman"/>
          <w:noProof/>
          <w:szCs w:val="24"/>
          <w:lang w:val="lv-LV" w:eastAsia="lv-LV"/>
        </w:rPr>
        <w:drawing>
          <wp:inline distT="0" distB="0" distL="0" distR="0" wp14:anchorId="265308EC" wp14:editId="5A8A1216">
            <wp:extent cx="4859020" cy="2013995"/>
            <wp:effectExtent l="0" t="0" r="17780" b="5715"/>
            <wp:docPr id="2254" name="Chart 2254">
              <a:extLst xmlns:a="http://schemas.openxmlformats.org/drawingml/2006/main">
                <a:ext uri="{FF2B5EF4-FFF2-40B4-BE49-F238E27FC236}">
                  <a16:creationId xmlns:a16="http://schemas.microsoft.com/office/drawing/2014/main" id="{1493CE0A-B3EE-41F3-9FDF-DD18389EC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FE703E4" w14:textId="78786A35" w:rsidR="00D31BE1" w:rsidRPr="00CE0303" w:rsidRDefault="00CE0303" w:rsidP="00002906">
      <w:pPr>
        <w:ind w:firstLine="720"/>
        <w:rPr>
          <w:rFonts w:cs="Times New Roman"/>
          <w:szCs w:val="24"/>
          <w:lang w:val="lv-LV"/>
        </w:rPr>
      </w:pPr>
      <w:r w:rsidRPr="00CE0303">
        <w:rPr>
          <w:rFonts w:cs="Times New Roman"/>
          <w:szCs w:val="24"/>
          <w:lang w:val="lv-LV"/>
        </w:rPr>
        <w:lastRenderedPageBreak/>
        <w:t xml:space="preserve">IZM skaidro, ka 2020. gadā saistībā ar ārkārtas situāciju valstī profesionālās izglītības iestādēs nebija iespējams sniegt daļu no maksas pakalpojumiem, līdz ar to par 1,3 milj. </w:t>
      </w:r>
      <w:r w:rsidRPr="00CE0303">
        <w:rPr>
          <w:rFonts w:cs="Times New Roman"/>
          <w:i/>
          <w:iCs/>
          <w:szCs w:val="24"/>
          <w:lang w:val="lv-LV"/>
        </w:rPr>
        <w:t>euro</w:t>
      </w:r>
      <w:r w:rsidRPr="00CE0303">
        <w:rPr>
          <w:rFonts w:cs="Times New Roman"/>
          <w:szCs w:val="24"/>
          <w:lang w:val="lv-LV"/>
        </w:rPr>
        <w:t xml:space="preserve"> netika izpildīti plānotie ieņēmumi no maksas pakalpojumiem par NVA pasūtījumiem bezdarbnieku apmācībai, kā arī no dienesta viesnīcas nomas un attiecīgi no tiem netika segti plānotie izdevumi atlīdzībai, precēm un pakalpojumiem, sociālajiem pabalstiem un kapitālajām iegādēm. Vienlaikus IZM vērš uzmanību, ka budžeta apakšprogramma ir ievērojami daudz izpildītāju (31) un kopējā apakšprogrammas neizpilde veidojas no individuālo izpildītāju relatīvi nebūtisko neizpilžu kopsummas. </w:t>
      </w:r>
    </w:p>
    <w:p w14:paraId="4B652FE2"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2.2.16. attēls</w:t>
      </w:r>
      <w:r w:rsidRPr="00CE0303">
        <w:rPr>
          <w:rFonts w:cs="Times New Roman"/>
          <w:b/>
          <w:bCs/>
          <w:sz w:val="22"/>
          <w:lang w:val="lv-LV"/>
        </w:rPr>
        <w:t xml:space="preserve"> Apakšprogrammas 03.11.00 “Koledžas” izdevumu analīze (milj. </w:t>
      </w:r>
      <w:r w:rsidRPr="00CE0303">
        <w:rPr>
          <w:rFonts w:cs="Times New Roman"/>
          <w:b/>
          <w:bCs/>
          <w:i/>
          <w:iCs/>
          <w:sz w:val="22"/>
          <w:lang w:val="lv-LV"/>
        </w:rPr>
        <w:t>euro</w:t>
      </w:r>
      <w:r w:rsidRPr="00CE0303">
        <w:rPr>
          <w:rFonts w:cs="Times New Roman"/>
          <w:b/>
          <w:bCs/>
          <w:sz w:val="22"/>
          <w:lang w:val="lv-LV"/>
        </w:rPr>
        <w:t>)</w:t>
      </w:r>
    </w:p>
    <w:p w14:paraId="03EAC254" w14:textId="77777777" w:rsidR="00CE0303" w:rsidRPr="00CE0303" w:rsidRDefault="00CE0303" w:rsidP="00CE0303">
      <w:pPr>
        <w:jc w:val="center"/>
        <w:rPr>
          <w:rFonts w:cs="Times New Roman"/>
          <w:szCs w:val="24"/>
          <w:lang w:val="lv-LV"/>
        </w:rPr>
      </w:pPr>
      <w:r w:rsidRPr="00CE0303">
        <w:rPr>
          <w:rFonts w:cs="Times New Roman"/>
          <w:noProof/>
          <w:szCs w:val="24"/>
          <w:lang w:val="lv-LV" w:eastAsia="lv-LV"/>
        </w:rPr>
        <w:drawing>
          <wp:inline distT="0" distB="0" distL="0" distR="0" wp14:anchorId="7DE4B359" wp14:editId="49C169F9">
            <wp:extent cx="4859020" cy="2002421"/>
            <wp:effectExtent l="0" t="0" r="17780" b="17145"/>
            <wp:docPr id="2255" name="Chart 2255">
              <a:extLst xmlns:a="http://schemas.openxmlformats.org/drawingml/2006/main">
                <a:ext uri="{FF2B5EF4-FFF2-40B4-BE49-F238E27FC236}">
                  <a16:creationId xmlns:a16="http://schemas.microsoft.com/office/drawing/2014/main" id="{89A7A69A-B13F-433C-9FEA-E2F2D94B9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02DC018" w14:textId="77777777" w:rsidR="00CE0303" w:rsidRPr="00CE0303" w:rsidRDefault="00CE0303" w:rsidP="00CE0303">
      <w:pPr>
        <w:ind w:firstLine="720"/>
        <w:rPr>
          <w:rFonts w:cs="Times New Roman"/>
          <w:bCs/>
          <w:szCs w:val="24"/>
          <w:lang w:val="lv-LV"/>
        </w:rPr>
      </w:pPr>
      <w:r w:rsidRPr="00CE0303">
        <w:rPr>
          <w:rFonts w:cs="Times New Roman"/>
          <w:szCs w:val="24"/>
          <w:lang w:val="lv-LV"/>
        </w:rPr>
        <w:t xml:space="preserve">Savukārt budžeta apakšprogrammā 03.11.00 “Koledžas” </w:t>
      </w:r>
      <w:r w:rsidRPr="00CE0303">
        <w:rPr>
          <w:rFonts w:cs="Times New Roman"/>
          <w:bCs/>
          <w:szCs w:val="24"/>
          <w:lang w:val="lv-LV"/>
        </w:rPr>
        <w:t xml:space="preserve">trīs gadu periodā veidojas izdevumu neizpilde vidēji 365,4 tūkst. </w:t>
      </w:r>
      <w:r w:rsidRPr="00CE0303">
        <w:rPr>
          <w:rFonts w:cs="Times New Roman"/>
          <w:bCs/>
          <w:i/>
          <w:szCs w:val="24"/>
          <w:lang w:val="lv-LV"/>
        </w:rPr>
        <w:t>euro</w:t>
      </w:r>
      <w:r w:rsidRPr="00CE0303">
        <w:rPr>
          <w:rFonts w:cs="Times New Roman"/>
          <w:bCs/>
          <w:szCs w:val="24"/>
          <w:lang w:val="lv-LV"/>
        </w:rPr>
        <w:t xml:space="preserve"> apmērā ik gadu (</w:t>
      </w:r>
      <w:r w:rsidRPr="00CE0303">
        <w:rPr>
          <w:rFonts w:cs="Times New Roman"/>
          <w:bCs/>
          <w:iCs/>
          <w:szCs w:val="24"/>
          <w:lang w:val="lv-LV"/>
        </w:rPr>
        <w:t>2.2.16. attēls</w:t>
      </w:r>
      <w:r w:rsidRPr="00CE0303">
        <w:rPr>
          <w:rFonts w:cs="Times New Roman"/>
          <w:bCs/>
          <w:szCs w:val="24"/>
          <w:lang w:val="lv-LV"/>
        </w:rPr>
        <w:t>).</w:t>
      </w:r>
    </w:p>
    <w:p w14:paraId="6AAB71F1" w14:textId="55068E49" w:rsidR="00002906" w:rsidRPr="00CE0303" w:rsidRDefault="00CE0303" w:rsidP="007F7266">
      <w:pPr>
        <w:ind w:firstLine="720"/>
        <w:rPr>
          <w:rFonts w:cs="Times New Roman"/>
          <w:szCs w:val="24"/>
          <w:lang w:val="lv-LV"/>
        </w:rPr>
      </w:pPr>
      <w:r w:rsidRPr="00CE0303">
        <w:rPr>
          <w:rFonts w:cs="Times New Roman"/>
          <w:szCs w:val="24"/>
          <w:lang w:val="lv-LV"/>
        </w:rPr>
        <w:t>IZM neizpildi skaidro ar mazāku studentu skaitu maksas grupās nekā sākotnēji tika plānots, citiem uzņēmumiem un iestādēm iznomāto telpu apjoma samazināšanos, ieņēmumu no palīgražošanas - graudu ražas neizpildi, kā arī sakarā ar Covid-19 radīto ietekmi.</w:t>
      </w:r>
    </w:p>
    <w:p w14:paraId="6DAA72FD"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2.2.17. attēls</w:t>
      </w:r>
      <w:r w:rsidRPr="00CE0303">
        <w:rPr>
          <w:rFonts w:cs="Times New Roman"/>
          <w:b/>
          <w:bCs/>
          <w:sz w:val="22"/>
          <w:lang w:val="lv-LV"/>
        </w:rPr>
        <w:t xml:space="preserve"> Programmas 21.00.00 “Jaunatnes politikas valsts programma” izdevumu analīze (tūkst. </w:t>
      </w:r>
      <w:r w:rsidRPr="00CE0303">
        <w:rPr>
          <w:rFonts w:cs="Times New Roman"/>
          <w:b/>
          <w:bCs/>
          <w:i/>
          <w:iCs/>
          <w:sz w:val="22"/>
          <w:lang w:val="lv-LV"/>
        </w:rPr>
        <w:t>euro</w:t>
      </w:r>
      <w:r w:rsidRPr="00CE0303">
        <w:rPr>
          <w:rFonts w:cs="Times New Roman"/>
          <w:b/>
          <w:bCs/>
          <w:sz w:val="22"/>
          <w:lang w:val="lv-LV"/>
        </w:rPr>
        <w:t>)</w:t>
      </w:r>
    </w:p>
    <w:p w14:paraId="3F0A3505" w14:textId="77777777" w:rsidR="00CE0303" w:rsidRPr="00CE0303" w:rsidRDefault="00CE0303" w:rsidP="00CE0303">
      <w:pPr>
        <w:jc w:val="center"/>
        <w:rPr>
          <w:rFonts w:cs="Times New Roman"/>
          <w:szCs w:val="24"/>
          <w:lang w:val="lv-LV"/>
        </w:rPr>
      </w:pPr>
      <w:r w:rsidRPr="00CE0303">
        <w:rPr>
          <w:rFonts w:asciiTheme="minorHAnsi" w:hAnsiTheme="minorHAnsi"/>
          <w:noProof/>
          <w:sz w:val="22"/>
          <w:lang w:val="lv-LV" w:eastAsia="lv-LV"/>
        </w:rPr>
        <w:drawing>
          <wp:inline distT="0" distB="0" distL="0" distR="0" wp14:anchorId="1C0B4D0D" wp14:editId="7897AC28">
            <wp:extent cx="5316220" cy="2013995"/>
            <wp:effectExtent l="0" t="0" r="17780" b="5715"/>
            <wp:docPr id="2256" name="Chart 2256">
              <a:extLst xmlns:a="http://schemas.openxmlformats.org/drawingml/2006/main">
                <a:ext uri="{FF2B5EF4-FFF2-40B4-BE49-F238E27FC236}">
                  <a16:creationId xmlns:a16="http://schemas.microsoft.com/office/drawing/2014/main" id="{921D80E9-90A3-4998-8ECA-EB8157A25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5A0C3E2" w14:textId="77777777" w:rsidR="00CE0303" w:rsidRPr="00CE0303" w:rsidRDefault="00CE0303" w:rsidP="00CE0303">
      <w:pPr>
        <w:ind w:firstLine="720"/>
        <w:rPr>
          <w:rFonts w:cs="Times New Roman"/>
          <w:bCs/>
          <w:szCs w:val="24"/>
          <w:lang w:val="lv-LV"/>
        </w:rPr>
      </w:pPr>
      <w:r w:rsidRPr="00CE0303">
        <w:rPr>
          <w:rFonts w:cs="Times New Roman"/>
          <w:szCs w:val="24"/>
          <w:lang w:val="lv-LV"/>
        </w:rPr>
        <w:t xml:space="preserve">Budžeta programmā 21.00.00 “Jaunatnes politikas valsts programma” trīs gadu periodā veidojas izdevumu neizpilde vidēji </w:t>
      </w:r>
      <w:r w:rsidRPr="00CE0303">
        <w:rPr>
          <w:rFonts w:cs="Times New Roman"/>
          <w:bCs/>
          <w:szCs w:val="24"/>
          <w:lang w:val="lv-LV"/>
        </w:rPr>
        <w:t xml:space="preserve">13,8 tūkst. </w:t>
      </w:r>
      <w:r w:rsidRPr="00CE0303">
        <w:rPr>
          <w:rFonts w:cs="Times New Roman"/>
          <w:bCs/>
          <w:i/>
          <w:szCs w:val="24"/>
          <w:lang w:val="lv-LV"/>
        </w:rPr>
        <w:t>euro</w:t>
      </w:r>
      <w:r w:rsidRPr="00CE0303">
        <w:rPr>
          <w:rFonts w:cs="Times New Roman"/>
          <w:bCs/>
          <w:szCs w:val="24"/>
          <w:lang w:val="lv-LV"/>
        </w:rPr>
        <w:t xml:space="preserve"> apmērā ik gadu, kas ir definējams kā </w:t>
      </w:r>
      <w:r w:rsidRPr="00CE0303">
        <w:rPr>
          <w:rFonts w:cs="Times New Roman"/>
          <w:szCs w:val="24"/>
          <w:lang w:val="lv-LV"/>
        </w:rPr>
        <w:t>potenciālais iekšējais resurss 2022. un 2023. gadam un</w:t>
      </w:r>
      <w:r w:rsidRPr="00CE0303">
        <w:rPr>
          <w:rFonts w:cs="Times New Roman"/>
          <w:b/>
          <w:szCs w:val="24"/>
          <w:lang w:val="lv-LV"/>
        </w:rPr>
        <w:t xml:space="preserve"> </w:t>
      </w:r>
      <w:r w:rsidRPr="00CE0303">
        <w:rPr>
          <w:rFonts w:cs="Times New Roman"/>
          <w:szCs w:val="24"/>
          <w:lang w:val="lv-LV"/>
        </w:rPr>
        <w:t>būtu novirzāms aktuālākām IZM prioritātēm.</w:t>
      </w:r>
      <w:r w:rsidRPr="00CE0303">
        <w:rPr>
          <w:rFonts w:cs="Times New Roman"/>
          <w:b/>
          <w:szCs w:val="24"/>
          <w:lang w:val="lv-LV"/>
        </w:rPr>
        <w:t xml:space="preserve"> </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009A4EFB" w14:textId="77777777" w:rsidTr="00CE0303">
        <w:tc>
          <w:tcPr>
            <w:tcW w:w="709" w:type="dxa"/>
            <w:shd w:val="clear" w:color="auto" w:fill="ED7D31" w:themeFill="accent2"/>
            <w:vAlign w:val="center"/>
          </w:tcPr>
          <w:p w14:paraId="03875806"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7A488404" w14:textId="77777777" w:rsidR="00CE0303" w:rsidRPr="00CE0303" w:rsidRDefault="00CE0303" w:rsidP="00CE0303">
            <w:pPr>
              <w:spacing w:after="0"/>
              <w:jc w:val="center"/>
              <w:rPr>
                <w:rFonts w:eastAsiaTheme="minorHAnsi"/>
                <w:lang w:val="lv-LV"/>
              </w:rPr>
            </w:pPr>
            <w:r w:rsidRPr="00CE0303">
              <w:rPr>
                <w:rFonts w:cs="Times New Roman"/>
                <w:szCs w:val="24"/>
                <w:lang w:val="lv-LV"/>
              </w:rPr>
              <w:t>13 753</w:t>
            </w:r>
          </w:p>
        </w:tc>
        <w:tc>
          <w:tcPr>
            <w:tcW w:w="696" w:type="dxa"/>
            <w:shd w:val="clear" w:color="auto" w:fill="ED7D31" w:themeFill="accent2"/>
            <w:vAlign w:val="center"/>
          </w:tcPr>
          <w:p w14:paraId="4AFD833D"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7AA0A9AD" w14:textId="77777777" w:rsidR="00CE0303" w:rsidRPr="00CE0303" w:rsidRDefault="00CE0303" w:rsidP="00CE0303">
            <w:pPr>
              <w:spacing w:after="0"/>
              <w:jc w:val="center"/>
              <w:rPr>
                <w:rFonts w:eastAsiaTheme="minorHAnsi"/>
                <w:lang w:val="lv-LV"/>
              </w:rPr>
            </w:pPr>
            <w:r w:rsidRPr="00CE0303">
              <w:rPr>
                <w:rFonts w:cs="Times New Roman"/>
                <w:szCs w:val="24"/>
                <w:lang w:val="lv-LV"/>
              </w:rPr>
              <w:t>13 753</w:t>
            </w:r>
          </w:p>
        </w:tc>
      </w:tr>
    </w:tbl>
    <w:p w14:paraId="3AD4B3D9" w14:textId="77777777" w:rsidR="00CE0303" w:rsidRPr="00CE0303" w:rsidRDefault="00CE0303" w:rsidP="00CE0303">
      <w:pPr>
        <w:ind w:firstLine="720"/>
        <w:rPr>
          <w:rFonts w:cs="Times New Roman"/>
          <w:szCs w:val="24"/>
          <w:lang w:val="lv-LV"/>
        </w:rPr>
      </w:pPr>
    </w:p>
    <w:p w14:paraId="0D045C4F" w14:textId="64FDCC45" w:rsidR="00CE0303" w:rsidRPr="00CE0303" w:rsidRDefault="00CE0303" w:rsidP="00CE0303">
      <w:pPr>
        <w:ind w:firstLine="720"/>
        <w:rPr>
          <w:rFonts w:eastAsiaTheme="minorHAnsi"/>
          <w:lang w:val="lv-LV"/>
        </w:rPr>
      </w:pPr>
      <w:r w:rsidRPr="00CE0303">
        <w:rPr>
          <w:rFonts w:eastAsiaTheme="minorHAnsi"/>
          <w:lang w:val="lv-LV"/>
        </w:rPr>
        <w:lastRenderedPageBreak/>
        <w:t xml:space="preserve">Lai no 2021. gada 1. septembra starptautiskajās skolās strādājošo pedagogu darba samaksa no valsts budžeta līdzekļiem tiktu veikta tikai par starptautiskās izglītības programmas mācību priekšmeta “Latvijas mācība” īstenošanu, ir veikti attiecīgi grozījumi 2020. gada 25. augusta MK noteikumos Nr. 538 "Kārtība, kādā valsts finansē darba samaksu pedagogiem privātajās izglītības iestādēs". Aprēķinātais indikatīvais ietaupījums 2021. gada 4 mēnešiem (septembrim-decembrim) varētu būt līdz 303,0 tūkst. </w:t>
      </w:r>
      <w:r w:rsidRPr="00CE0303">
        <w:rPr>
          <w:rFonts w:eastAsiaTheme="minorHAnsi"/>
          <w:i/>
          <w:lang w:val="lv-LV"/>
        </w:rPr>
        <w:t>euro</w:t>
      </w:r>
      <w:r w:rsidRPr="00CE0303">
        <w:rPr>
          <w:rFonts w:eastAsiaTheme="minorHAnsi"/>
          <w:lang w:val="lv-LV"/>
        </w:rPr>
        <w:t xml:space="preserve"> (aprēķins pārējiem gadiem, veikts izrēķinot viena mēneša potenciālo resursu ietaupījumu un reizinot to ar</w:t>
      </w:r>
      <w:r w:rsidR="00CF64D3">
        <w:rPr>
          <w:rFonts w:eastAsiaTheme="minorHAnsi"/>
          <w:lang w:val="lv-LV"/>
        </w:rPr>
        <w:t xml:space="preserve"> </w:t>
      </w:r>
      <w:r w:rsidRPr="00CE0303">
        <w:rPr>
          <w:rFonts w:eastAsiaTheme="minorHAnsi"/>
          <w:lang w:val="lv-LV"/>
        </w:rPr>
        <w:t>9). Ietaupījums tiks novirzīts privāto izglītības iestāžu pedagogu darba samaksas nodrošināšanai, atbilstoši izglītojamo skaita pieaugumam, kas ik gadu, salīdzinājumā ar iepriekšējo mācību periodu, sasniedz vidēji 14 procentus. Izdevumi plānoti IZM budžeta apakšprogrammā 01.05.00 „Dotācija privātajām mācību iestādēm”.</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180FB814" w14:textId="77777777" w:rsidTr="00CE0303">
        <w:trPr>
          <w:jc w:val="center"/>
        </w:trPr>
        <w:tc>
          <w:tcPr>
            <w:tcW w:w="709" w:type="dxa"/>
            <w:shd w:val="clear" w:color="auto" w:fill="92D050"/>
            <w:vAlign w:val="center"/>
          </w:tcPr>
          <w:p w14:paraId="7B5604C8"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2E0274CD" w14:textId="77777777" w:rsidR="00CE0303" w:rsidRPr="00CE0303" w:rsidRDefault="00CE0303" w:rsidP="00CE0303">
            <w:pPr>
              <w:spacing w:after="0"/>
              <w:jc w:val="center"/>
              <w:rPr>
                <w:rFonts w:eastAsiaTheme="minorHAnsi"/>
                <w:lang w:val="lv-LV"/>
              </w:rPr>
            </w:pPr>
            <w:r w:rsidRPr="00CE0303">
              <w:rPr>
                <w:rFonts w:eastAsiaTheme="minorHAnsi"/>
                <w:lang w:val="lv-LV"/>
              </w:rPr>
              <w:t>681 651</w:t>
            </w:r>
          </w:p>
        </w:tc>
        <w:tc>
          <w:tcPr>
            <w:tcW w:w="696" w:type="dxa"/>
            <w:shd w:val="clear" w:color="auto" w:fill="92D050"/>
            <w:vAlign w:val="center"/>
          </w:tcPr>
          <w:p w14:paraId="2F47B7F6"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D6929E3" w14:textId="77777777" w:rsidR="00CE0303" w:rsidRPr="00CE0303" w:rsidRDefault="00CE0303" w:rsidP="00CE0303">
            <w:pPr>
              <w:spacing w:after="0"/>
              <w:jc w:val="center"/>
              <w:rPr>
                <w:rFonts w:eastAsiaTheme="minorHAnsi"/>
                <w:lang w:val="lv-LV"/>
              </w:rPr>
            </w:pPr>
            <w:r w:rsidRPr="00CE0303">
              <w:rPr>
                <w:rFonts w:eastAsiaTheme="minorHAnsi"/>
                <w:lang w:val="lv-LV"/>
              </w:rPr>
              <w:t>681 651</w:t>
            </w:r>
          </w:p>
        </w:tc>
        <w:tc>
          <w:tcPr>
            <w:tcW w:w="709" w:type="dxa"/>
            <w:shd w:val="clear" w:color="auto" w:fill="92D050"/>
            <w:vAlign w:val="center"/>
          </w:tcPr>
          <w:p w14:paraId="7678DB47"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15812FB4" w14:textId="77777777" w:rsidR="00CE0303" w:rsidRPr="00CE0303" w:rsidRDefault="00CE0303" w:rsidP="00CE0303">
            <w:pPr>
              <w:spacing w:after="0"/>
              <w:jc w:val="center"/>
              <w:rPr>
                <w:rFonts w:eastAsiaTheme="minorHAnsi"/>
                <w:lang w:val="lv-LV"/>
              </w:rPr>
            </w:pPr>
            <w:r w:rsidRPr="00CE0303">
              <w:rPr>
                <w:rFonts w:eastAsiaTheme="minorHAnsi"/>
                <w:lang w:val="lv-LV"/>
              </w:rPr>
              <w:t>681 651</w:t>
            </w:r>
          </w:p>
        </w:tc>
      </w:tr>
    </w:tbl>
    <w:p w14:paraId="2E1586C6" w14:textId="757F8CA4" w:rsidR="00CE0303" w:rsidRPr="00CE0303" w:rsidRDefault="00CE0303" w:rsidP="00CE0303">
      <w:pPr>
        <w:spacing w:before="120"/>
        <w:ind w:firstLine="720"/>
        <w:rPr>
          <w:rFonts w:eastAsiaTheme="minorHAnsi"/>
          <w:lang w:val="lv-LV"/>
        </w:rPr>
      </w:pPr>
      <w:r w:rsidRPr="00CE0303">
        <w:rPr>
          <w:rFonts w:eastAsiaTheme="minorHAnsi"/>
          <w:lang w:val="lv-LV"/>
        </w:rPr>
        <w:t>IZM sadarbībā ar VIAA, atbilstoši IZM ES politiku instrumentu un pārējās ārvalstu finanšu palīdzības līdzfinansēto projektu un pasākumu īstenošanai plānotajam finansējumam konkursa kārtībā piešķir Latvijas valsts stipendijas ārvalstu studentiem studijām Latvijas augstākās izglītības institūcijās un Latvijas valsts stipendijas ārvalstu akadēmiskajam personālam, kā arī finansējumu pētniecībai un dalībai vasaras skolās. Saskaņā ar valsts budžeta izstrādes principiem, finansējumu ES politiku instrumentu un pārējās ārvalstu finanšu palīdzības līdzfinansēto projektu un pasākumu īstenošanas sadaļā ministrijas galvenokārt plāno dažādu ES projektu īstenošanai un to finansējuma apmērs tiek noteikts atbilstoši valdības lēmumiem par dalību attiecīgajos projektos, savukārt stipendiju piešķiršana ārzemniekiem studijām, pētniecībai un dalībai vasaras skolās pēc savas būtības ir pastāvīgi paredzami līdzekļi, kas nav saistīti ar projektu īstenošanu. Līdz ar to stipendiju nodrošināšanai ārzemniekiem studijām, pētniecībai un dalībai vasaras skolās, kā arī minēto pasākumu administrēšanai nepieciešamo finansējumu nepieciešams plānot, pārdalot finansējumu 2022. gadā un turpmāk ik gadu no ES politiku instrumentu un pārējās ārvalstu finanšu palīdzības līdzfinansēto projektu un pasākumu īstenošanas izdevumiem uz pamatfunkciju īstenošanas izdevumiem, t.sk. samazinot budžeta apakšprogrammās 70.07.00</w:t>
      </w:r>
      <w:r w:rsidR="00CF64D3">
        <w:rPr>
          <w:rFonts w:eastAsiaTheme="minorHAnsi"/>
          <w:lang w:val="lv-LV"/>
        </w:rPr>
        <w:t xml:space="preserve"> </w:t>
      </w:r>
      <w:r w:rsidRPr="00CE0303">
        <w:rPr>
          <w:rFonts w:eastAsiaTheme="minorHAnsi"/>
          <w:lang w:val="lv-LV"/>
        </w:rPr>
        <w:t>“Eiropas Savienības, starptautiskās sadarbības programmu un inovāciju izglītības jomā īstenošanas nodrošināšana” un 70.08.00 “Valsts izglītības attīstības aģentūra” plānoto finansējuma apmēru minēto aktivitāšu īstenošanai un pārdalot to uz IZM budžeta apakšprogrammu pamatfunkciju īstenošanai 42.05.00 “Valsts izglītības attīstības aģentūras darbības nodrošināšana”, kuras mērķis ir</w:t>
      </w:r>
      <w:r w:rsidR="00CF64D3">
        <w:rPr>
          <w:rFonts w:eastAsiaTheme="minorHAnsi"/>
          <w:lang w:val="lv-LV"/>
        </w:rPr>
        <w:t xml:space="preserve"> </w:t>
      </w:r>
      <w:r w:rsidRPr="00CE0303">
        <w:rPr>
          <w:rFonts w:eastAsiaTheme="minorHAnsi"/>
          <w:lang w:val="lv-LV"/>
        </w:rPr>
        <w:t xml:space="preserve">īstenot valsts politiku izglītības, zinātnes un inovāciju jomā un nodrošināt IZM atbildībā esošo valsts, ES politiku un ārvalstu finanšu palīdzības instrumentu programmu, projektu un iniciatīvu īstenošanu un uzraudzību, t.sk. nodrošināt starptautiskās sadarbības programmu ieviešanu Latvijā, par kuru īstenošanu IZM ir noslēgusi divpusējas vai trīspusējas sadarbības vienošanās. </w:t>
      </w:r>
    </w:p>
    <w:p w14:paraId="0AE0138E" w14:textId="5CD2CC7F" w:rsidR="00CE0303" w:rsidRPr="00CE0303" w:rsidRDefault="00CE0303" w:rsidP="00CE0303">
      <w:pPr>
        <w:spacing w:before="120"/>
        <w:ind w:firstLine="720"/>
        <w:rPr>
          <w:rFonts w:eastAsiaTheme="minorHAnsi"/>
          <w:lang w:val="lv-LV"/>
        </w:rPr>
      </w:pPr>
      <w:r w:rsidRPr="00CE0303">
        <w:rPr>
          <w:rFonts w:eastAsiaTheme="minorHAnsi"/>
          <w:lang w:val="lv-LV"/>
        </w:rPr>
        <w:t xml:space="preserve">Tai skaitā, lai nodrošinātu projektā „Finansējums stipendiju nodrošināšanai ārzemniekiem studijām, pētniecībai un dalībai starptautiskajās vasaras skolās Latvijā” iesaistīto darbinieku atlīdzību, nepieciešams veikt apropriācijas pārdali starp EKK kodiem, samazinot izdevumus precēm un pakalpojumiem un attiecīgi palielinot izdevumus atlīdzībai 39,6 tūkst. </w:t>
      </w:r>
      <w:r w:rsidRPr="00CE0303">
        <w:rPr>
          <w:rFonts w:eastAsiaTheme="minorHAnsi"/>
          <w:i/>
          <w:lang w:val="lv-LV"/>
        </w:rPr>
        <w:t>euro</w:t>
      </w:r>
      <w:r w:rsidRPr="00CE0303">
        <w:rPr>
          <w:rFonts w:eastAsiaTheme="minorHAnsi"/>
          <w:lang w:val="lv-LV"/>
        </w:rPr>
        <w:t xml:space="preserve"> apmērā 2022.</w:t>
      </w:r>
      <w:r w:rsidR="00FF342C">
        <w:rPr>
          <w:rFonts w:eastAsiaTheme="minorHAnsi"/>
          <w:lang w:val="lv-LV"/>
        </w:rPr>
        <w:t xml:space="preserve"> </w:t>
      </w:r>
      <w:r w:rsidRPr="00CE0303">
        <w:rPr>
          <w:rFonts w:eastAsiaTheme="minorHAnsi"/>
          <w:lang w:val="lv-LV"/>
        </w:rPr>
        <w:t>gadā un turpmāk ik gadu.</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4979C2A2" w14:textId="77777777" w:rsidTr="00CE0303">
        <w:trPr>
          <w:jc w:val="center"/>
        </w:trPr>
        <w:tc>
          <w:tcPr>
            <w:tcW w:w="709" w:type="dxa"/>
            <w:shd w:val="clear" w:color="auto" w:fill="92D050"/>
            <w:vAlign w:val="center"/>
          </w:tcPr>
          <w:p w14:paraId="515AD5D9"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24CAC691" w14:textId="77777777" w:rsidR="00CE0303" w:rsidRPr="00CE0303" w:rsidRDefault="00CE0303" w:rsidP="00CE0303">
            <w:pPr>
              <w:spacing w:after="0"/>
              <w:jc w:val="center"/>
              <w:rPr>
                <w:rFonts w:eastAsiaTheme="minorHAnsi"/>
                <w:lang w:val="lv-LV"/>
              </w:rPr>
            </w:pPr>
            <w:r w:rsidRPr="00CE0303">
              <w:rPr>
                <w:rFonts w:eastAsiaTheme="minorHAnsi"/>
                <w:lang w:val="lv-LV"/>
              </w:rPr>
              <w:t>755 292</w:t>
            </w:r>
          </w:p>
        </w:tc>
        <w:tc>
          <w:tcPr>
            <w:tcW w:w="696" w:type="dxa"/>
            <w:shd w:val="clear" w:color="auto" w:fill="92D050"/>
            <w:vAlign w:val="center"/>
          </w:tcPr>
          <w:p w14:paraId="12306F43"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72914DC" w14:textId="77777777" w:rsidR="00CE0303" w:rsidRPr="00CE0303" w:rsidRDefault="00CE0303" w:rsidP="00CE0303">
            <w:pPr>
              <w:spacing w:after="0"/>
              <w:jc w:val="center"/>
              <w:rPr>
                <w:rFonts w:eastAsiaTheme="minorHAnsi"/>
                <w:lang w:val="lv-LV"/>
              </w:rPr>
            </w:pPr>
            <w:r w:rsidRPr="00CE0303">
              <w:rPr>
                <w:rFonts w:eastAsiaTheme="minorHAnsi"/>
                <w:lang w:val="lv-LV"/>
              </w:rPr>
              <w:t>755 292</w:t>
            </w:r>
          </w:p>
        </w:tc>
        <w:tc>
          <w:tcPr>
            <w:tcW w:w="709" w:type="dxa"/>
            <w:shd w:val="clear" w:color="auto" w:fill="92D050"/>
            <w:vAlign w:val="center"/>
          </w:tcPr>
          <w:p w14:paraId="2E122C9E"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0A466412" w14:textId="77777777" w:rsidR="00CE0303" w:rsidRPr="00CE0303" w:rsidRDefault="00CE0303" w:rsidP="00CE0303">
            <w:pPr>
              <w:spacing w:after="0"/>
              <w:jc w:val="center"/>
              <w:rPr>
                <w:rFonts w:eastAsiaTheme="minorHAnsi"/>
                <w:lang w:val="lv-LV"/>
              </w:rPr>
            </w:pPr>
            <w:r w:rsidRPr="00CE0303">
              <w:rPr>
                <w:rFonts w:eastAsiaTheme="minorHAnsi"/>
                <w:lang w:val="lv-LV"/>
              </w:rPr>
              <w:t>755 292</w:t>
            </w:r>
          </w:p>
        </w:tc>
      </w:tr>
    </w:tbl>
    <w:p w14:paraId="5F2C8E40" w14:textId="715C9345" w:rsidR="00CE0303" w:rsidRPr="00CE0303" w:rsidRDefault="00CE0303" w:rsidP="00CE0303">
      <w:pPr>
        <w:spacing w:before="120"/>
        <w:ind w:firstLine="720"/>
        <w:rPr>
          <w:rFonts w:eastAsiaTheme="minorHAnsi"/>
          <w:lang w:val="lv-LV"/>
        </w:rPr>
      </w:pPr>
      <w:r w:rsidRPr="00CE0303">
        <w:rPr>
          <w:rFonts w:eastAsiaTheme="minorHAnsi"/>
          <w:lang w:val="lv-LV"/>
        </w:rPr>
        <w:t xml:space="preserve">Lai nodrošinātu piemaksas par papildus tiešajiem amata pienākumiem veiktajiem darbiem, piemaksas par aizvietošanu atvaļinājuma laikā un piemaksas par darba uzdevuma izpildi paaugstinātas intensitātes apstākļos, atbilstoši Valsts un pašvaldību institūciju </w:t>
      </w:r>
      <w:r w:rsidRPr="00CE0303">
        <w:rPr>
          <w:rFonts w:eastAsiaTheme="minorHAnsi"/>
          <w:lang w:val="lv-LV"/>
        </w:rPr>
        <w:lastRenderedPageBreak/>
        <w:t xml:space="preserve">amatpersonu un darbinieku atlīdzības likumā noteiktajam, IZM budžeta ietvaros veicama finansējuma pārdale starp ekonomiskās klasifikācijas kodiem budžeta apakšprogrammā 97.01.00 „Ministrijas centrālā aparāta darbības nodrošināšana”, samazinot izdevumus precēm un pakalpojumiem un attiecīgi palielinot izdevumus atlīdzībai 104,9 tūkst. </w:t>
      </w:r>
      <w:r w:rsidRPr="00CE0303">
        <w:rPr>
          <w:rFonts w:eastAsiaTheme="minorHAnsi"/>
          <w:i/>
          <w:lang w:val="lv-LV"/>
        </w:rPr>
        <w:t>euro</w:t>
      </w:r>
      <w:r w:rsidR="00E6660B">
        <w:rPr>
          <w:rFonts w:eastAsiaTheme="minorHAnsi"/>
          <w:lang w:val="lv-LV"/>
        </w:rPr>
        <w:t xml:space="preserve"> apmērā 2021</w:t>
      </w:r>
      <w:r w:rsidRPr="00CE0303">
        <w:rPr>
          <w:rFonts w:eastAsiaTheme="minorHAnsi"/>
          <w:lang w:val="lv-LV"/>
        </w:rPr>
        <w:t>. gadā un turpmāk ik gadu. Ekonomija izdevumu klasifikācijas kodā preces un pakalpojumi veidojas saistībā ar izdevumu pārskatīšanu komunālajiem, sakaru un uzturēšanas izdevumiem. IZM ir atteikusies no drukas iekārtām katrā kabinetā ministrijās telpās Vaļņu ielā 2, Rīgā, līdz ar to ir samazināti izdevumi par drukas iekārtu uzturēšanas izdevumiem, tai skaitā papīru, kā arī ir pārskatīti telefonoperatoru sniegtie pakalpojumi, izvēloties izdevīgāku piedāvājumu. Tāpat, ņemot vērā ministrijas telpās veiktos remontdarbus, tika samazināti izdevumi par elektroenerģiju un siltumenerģiju.</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71AB5BB0" w14:textId="77777777" w:rsidTr="00CE0303">
        <w:trPr>
          <w:jc w:val="center"/>
        </w:trPr>
        <w:tc>
          <w:tcPr>
            <w:tcW w:w="709" w:type="dxa"/>
            <w:shd w:val="clear" w:color="auto" w:fill="92D050"/>
            <w:vAlign w:val="center"/>
          </w:tcPr>
          <w:p w14:paraId="4B5A1F71"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5B7504FF" w14:textId="77777777" w:rsidR="00CE0303" w:rsidRPr="00CE0303" w:rsidRDefault="00CE0303" w:rsidP="00CE0303">
            <w:pPr>
              <w:spacing w:after="0"/>
              <w:jc w:val="center"/>
              <w:rPr>
                <w:rFonts w:eastAsiaTheme="minorHAnsi"/>
                <w:lang w:val="lv-LV"/>
              </w:rPr>
            </w:pPr>
            <w:r w:rsidRPr="00CE0303">
              <w:rPr>
                <w:rFonts w:eastAsiaTheme="minorHAnsi"/>
                <w:lang w:val="lv-LV"/>
              </w:rPr>
              <w:t>104 960</w:t>
            </w:r>
          </w:p>
        </w:tc>
        <w:tc>
          <w:tcPr>
            <w:tcW w:w="696" w:type="dxa"/>
            <w:shd w:val="clear" w:color="auto" w:fill="92D050"/>
            <w:vAlign w:val="center"/>
          </w:tcPr>
          <w:p w14:paraId="334D8766"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405028F3" w14:textId="77777777" w:rsidR="00CE0303" w:rsidRPr="00CE0303" w:rsidRDefault="00CE0303" w:rsidP="00CE0303">
            <w:pPr>
              <w:spacing w:after="0"/>
              <w:jc w:val="center"/>
              <w:rPr>
                <w:rFonts w:eastAsiaTheme="minorHAnsi"/>
                <w:lang w:val="lv-LV"/>
              </w:rPr>
            </w:pPr>
            <w:r w:rsidRPr="00CE0303">
              <w:rPr>
                <w:rFonts w:eastAsiaTheme="minorHAnsi"/>
                <w:lang w:val="lv-LV"/>
              </w:rPr>
              <w:t>104 960</w:t>
            </w:r>
          </w:p>
        </w:tc>
        <w:tc>
          <w:tcPr>
            <w:tcW w:w="709" w:type="dxa"/>
            <w:shd w:val="clear" w:color="auto" w:fill="92D050"/>
            <w:vAlign w:val="center"/>
          </w:tcPr>
          <w:p w14:paraId="5E3FC466"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4F5E59E4" w14:textId="77777777" w:rsidR="00CE0303" w:rsidRPr="00CE0303" w:rsidRDefault="00CE0303" w:rsidP="00CE0303">
            <w:pPr>
              <w:spacing w:after="0"/>
              <w:jc w:val="center"/>
              <w:rPr>
                <w:rFonts w:eastAsiaTheme="minorHAnsi"/>
                <w:lang w:val="lv-LV"/>
              </w:rPr>
            </w:pPr>
            <w:r w:rsidRPr="00CE0303">
              <w:rPr>
                <w:rFonts w:eastAsiaTheme="minorHAnsi"/>
                <w:lang w:val="lv-LV"/>
              </w:rPr>
              <w:t>104 960</w:t>
            </w:r>
          </w:p>
        </w:tc>
      </w:tr>
    </w:tbl>
    <w:p w14:paraId="55E9634D" w14:textId="681194DA" w:rsidR="00CE0303" w:rsidRPr="00CE0303" w:rsidRDefault="00CE0303" w:rsidP="00CE0303">
      <w:pPr>
        <w:spacing w:before="120"/>
        <w:ind w:firstLine="720"/>
        <w:rPr>
          <w:rFonts w:eastAsiaTheme="minorHAnsi"/>
          <w:lang w:val="lv-LV"/>
        </w:rPr>
      </w:pPr>
      <w:r w:rsidRPr="00CE0303">
        <w:rPr>
          <w:rFonts w:eastAsiaTheme="minorHAnsi"/>
          <w:lang w:val="lv-LV"/>
        </w:rPr>
        <w:t>Lai nodrošin</w:t>
      </w:r>
      <w:r w:rsidR="001D5145">
        <w:rPr>
          <w:rFonts w:eastAsiaTheme="minorHAnsi"/>
          <w:lang w:val="lv-LV"/>
        </w:rPr>
        <w:t>ātu darba</w:t>
      </w:r>
      <w:r w:rsidRPr="00CE0303">
        <w:rPr>
          <w:rFonts w:eastAsiaTheme="minorHAnsi"/>
          <w:lang w:val="lv-LV"/>
        </w:rPr>
        <w:t xml:space="preserve"> vidē balstītas (DVB) 2. līmeņa profesionālās augstākās izglītības studiju programmas “Skolotājs” īstenošanu, IZM budžeta ietvaros nepieciešams veikt finansējuma pārdali no budžeta apakšprogrammas 05.01.00 “Zinātniskās darbības nodrošināšana” uz budžeta apakšprogrammu 03.01.00 “Augstskolas” </w:t>
      </w:r>
      <w:r w:rsidR="004E5856">
        <w:rPr>
          <w:rFonts w:eastAsiaTheme="minorHAnsi"/>
          <w:lang w:val="lv-LV"/>
        </w:rPr>
        <w:t xml:space="preserve">557,8 </w:t>
      </w:r>
      <w:r w:rsidRPr="00CE0303">
        <w:rPr>
          <w:rFonts w:eastAsiaTheme="minorHAnsi"/>
          <w:lang w:val="lv-LV"/>
        </w:rPr>
        <w:t xml:space="preserve">tūkst. </w:t>
      </w:r>
      <w:r w:rsidRPr="00CE0303">
        <w:rPr>
          <w:rFonts w:eastAsiaTheme="minorHAnsi"/>
          <w:i/>
          <w:lang w:val="lv-LV"/>
        </w:rPr>
        <w:t>euro</w:t>
      </w:r>
      <w:r w:rsidR="004E5856">
        <w:rPr>
          <w:rFonts w:eastAsiaTheme="minorHAnsi"/>
          <w:lang w:val="lv-LV"/>
        </w:rPr>
        <w:t xml:space="preserve"> apmērā 2023</w:t>
      </w:r>
      <w:r w:rsidRPr="00CE0303">
        <w:rPr>
          <w:rFonts w:eastAsiaTheme="minorHAnsi"/>
          <w:lang w:val="lv-LV"/>
        </w:rPr>
        <w:t xml:space="preserve">. gadā un turpmāk ik gadu. Lai nodrošinātu nepieciešamo finansējumu skolotāju DVB programmai, IZM plāno pakāpeniski pārtraukt budžeta apakšprogrammas 05.01.00 “Zinātniskās darbības nodrošināšana” ietvaros finansēt LU Akadēmiskās bibliotēkas uzturēšanu, kas savulaik tika nodota LU no LZA. </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6CCD4D88" w14:textId="77777777" w:rsidTr="00CE0303">
        <w:trPr>
          <w:jc w:val="center"/>
        </w:trPr>
        <w:tc>
          <w:tcPr>
            <w:tcW w:w="709" w:type="dxa"/>
            <w:shd w:val="clear" w:color="auto" w:fill="92D050"/>
            <w:vAlign w:val="center"/>
          </w:tcPr>
          <w:p w14:paraId="75935E41"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3193E949" w14:textId="0D7F6AC0" w:rsidR="00CE0303" w:rsidRPr="00CE0303" w:rsidRDefault="004E5856" w:rsidP="00CE0303">
            <w:pPr>
              <w:spacing w:after="0"/>
              <w:jc w:val="center"/>
              <w:rPr>
                <w:rFonts w:eastAsiaTheme="minorHAnsi"/>
                <w:lang w:val="lv-LV"/>
              </w:rPr>
            </w:pPr>
            <w:r>
              <w:rPr>
                <w:rFonts w:eastAsiaTheme="minorHAnsi"/>
                <w:lang w:val="lv-LV"/>
              </w:rPr>
              <w:t>0</w:t>
            </w:r>
          </w:p>
        </w:tc>
        <w:tc>
          <w:tcPr>
            <w:tcW w:w="696" w:type="dxa"/>
            <w:shd w:val="clear" w:color="auto" w:fill="92D050"/>
            <w:vAlign w:val="center"/>
          </w:tcPr>
          <w:p w14:paraId="12697129"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7226EAFD" w14:textId="266606DF" w:rsidR="00CE0303" w:rsidRPr="00CE0303" w:rsidRDefault="004E5856" w:rsidP="00CE0303">
            <w:pPr>
              <w:spacing w:after="0"/>
              <w:jc w:val="center"/>
              <w:rPr>
                <w:rFonts w:eastAsiaTheme="minorHAnsi"/>
                <w:lang w:val="lv-LV"/>
              </w:rPr>
            </w:pPr>
            <w:r w:rsidRPr="004E5856">
              <w:rPr>
                <w:rFonts w:eastAsiaTheme="minorHAnsi"/>
                <w:lang w:val="lv-LV"/>
              </w:rPr>
              <w:t>557 827</w:t>
            </w:r>
          </w:p>
        </w:tc>
        <w:tc>
          <w:tcPr>
            <w:tcW w:w="709" w:type="dxa"/>
            <w:shd w:val="clear" w:color="auto" w:fill="92D050"/>
            <w:vAlign w:val="center"/>
          </w:tcPr>
          <w:p w14:paraId="5A11D57C"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7937CD56" w14:textId="461AFF5F" w:rsidR="00CE0303" w:rsidRPr="00CE0303" w:rsidRDefault="004E5856" w:rsidP="00CE0303">
            <w:pPr>
              <w:spacing w:after="0"/>
              <w:jc w:val="center"/>
              <w:rPr>
                <w:rFonts w:eastAsiaTheme="minorHAnsi"/>
                <w:lang w:val="lv-LV"/>
              </w:rPr>
            </w:pPr>
            <w:r w:rsidRPr="004E5856">
              <w:rPr>
                <w:rFonts w:eastAsiaTheme="minorHAnsi"/>
                <w:lang w:val="lv-LV"/>
              </w:rPr>
              <w:t>557 827</w:t>
            </w:r>
          </w:p>
        </w:tc>
      </w:tr>
    </w:tbl>
    <w:p w14:paraId="1B244CD3" w14:textId="6C0671CF" w:rsidR="00CE0303" w:rsidRPr="00CE0303" w:rsidRDefault="00CE0303" w:rsidP="00CE0303">
      <w:pPr>
        <w:spacing w:before="120"/>
        <w:ind w:firstLine="720"/>
        <w:rPr>
          <w:rFonts w:eastAsiaTheme="minorHAnsi"/>
          <w:lang w:val="lv-LV"/>
        </w:rPr>
      </w:pPr>
      <w:r w:rsidRPr="00CE0303">
        <w:rPr>
          <w:rFonts w:eastAsiaTheme="minorHAnsi"/>
          <w:lang w:val="lv-LV"/>
        </w:rPr>
        <w:t xml:space="preserve">Ņemot vērā, ka IZM plāno pakāpeniski slēgt budžeta apakšprogrammu 03.05.00 “Snieguma finansējums augstskolu stratēģisko mērķu īstenošanai”, IZM budžeta ietvaros nepieciešams veikt finansējuma pārdali no budžeta apakšprogrammas 03.05.00 “Snieguma finansējums augstskolu stratēģisko mērķu īstenošanai” 2022. gadā 82,1 tūkst. </w:t>
      </w:r>
      <w:r w:rsidRPr="00CE0303">
        <w:rPr>
          <w:rFonts w:eastAsiaTheme="minorHAnsi"/>
          <w:i/>
          <w:lang w:val="lv-LV"/>
        </w:rPr>
        <w:t>euro</w:t>
      </w:r>
      <w:r w:rsidRPr="00CE0303">
        <w:rPr>
          <w:rFonts w:eastAsiaTheme="minorHAnsi"/>
          <w:lang w:val="lv-LV"/>
        </w:rPr>
        <w:t xml:space="preserve"> apmērā, 2023. gadā un turpmāk ik gadu 207,1 tūkst. </w:t>
      </w:r>
      <w:r w:rsidRPr="00CE0303">
        <w:rPr>
          <w:rFonts w:eastAsiaTheme="minorHAnsi"/>
          <w:i/>
          <w:lang w:val="lv-LV"/>
        </w:rPr>
        <w:t>euro</w:t>
      </w:r>
      <w:r w:rsidRPr="00CE0303">
        <w:rPr>
          <w:rFonts w:eastAsiaTheme="minorHAnsi"/>
          <w:lang w:val="lv-LV"/>
        </w:rPr>
        <w:t xml:space="preserve"> apmērā uz budžeta apakšprogrammu 03.01.00 "Augstskolas". Budžeta apakšprogramma 03.05.00 “Snieguma finansējums augstskolu stratēģisko mērķu īstenošanai” sākotnēji tika izveidota, lai nodrošinātu snieguma finansējumu augstskolām, kurās tiek apgūta pedagoga profesija, piešķirot tām snieguma finansējumu par pedagogiem, kas pēc absolvēšanas strādā izglītības iestādēs. Minētās</w:t>
      </w:r>
      <w:r w:rsidR="00CF64D3">
        <w:rPr>
          <w:rFonts w:eastAsiaTheme="minorHAnsi"/>
          <w:lang w:val="lv-LV"/>
        </w:rPr>
        <w:t xml:space="preserve"> </w:t>
      </w:r>
      <w:r w:rsidRPr="00CE0303">
        <w:rPr>
          <w:rFonts w:eastAsiaTheme="minorHAnsi"/>
          <w:lang w:val="lv-LV"/>
        </w:rPr>
        <w:t>budžeta apakšprogrammas mērķis ir panākt nepieciešamo pedagogu skaitu skolās, kas pēc būtības dublē budžeta apakšprogrammas 03.01.00 “Augstskolas” mērķi.</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1DB23682" w14:textId="77777777" w:rsidTr="00CE0303">
        <w:trPr>
          <w:jc w:val="center"/>
        </w:trPr>
        <w:tc>
          <w:tcPr>
            <w:tcW w:w="709" w:type="dxa"/>
            <w:shd w:val="clear" w:color="auto" w:fill="92D050"/>
            <w:vAlign w:val="center"/>
          </w:tcPr>
          <w:p w14:paraId="5AA3FC37"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600FA158" w14:textId="77777777" w:rsidR="00CE0303" w:rsidRPr="00CE0303" w:rsidRDefault="00CE0303" w:rsidP="00CE0303">
            <w:pPr>
              <w:spacing w:after="0"/>
              <w:jc w:val="center"/>
              <w:rPr>
                <w:rFonts w:eastAsiaTheme="minorHAnsi"/>
                <w:lang w:val="lv-LV"/>
              </w:rPr>
            </w:pPr>
            <w:r w:rsidRPr="00CE0303">
              <w:rPr>
                <w:rFonts w:eastAsiaTheme="minorHAnsi"/>
                <w:lang w:val="lv-LV"/>
              </w:rPr>
              <w:t>82 053</w:t>
            </w:r>
          </w:p>
        </w:tc>
        <w:tc>
          <w:tcPr>
            <w:tcW w:w="696" w:type="dxa"/>
            <w:shd w:val="clear" w:color="auto" w:fill="92D050"/>
            <w:vAlign w:val="center"/>
          </w:tcPr>
          <w:p w14:paraId="52ADA53A"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AA8905D" w14:textId="77777777" w:rsidR="00CE0303" w:rsidRPr="00CE0303" w:rsidRDefault="00CE0303" w:rsidP="00CE0303">
            <w:pPr>
              <w:spacing w:after="0"/>
              <w:jc w:val="center"/>
              <w:rPr>
                <w:rFonts w:eastAsiaTheme="minorHAnsi"/>
                <w:lang w:val="lv-LV"/>
              </w:rPr>
            </w:pPr>
            <w:r w:rsidRPr="00CE0303">
              <w:rPr>
                <w:rFonts w:eastAsiaTheme="minorHAnsi"/>
                <w:lang w:val="lv-LV"/>
              </w:rPr>
              <w:t>207 053</w:t>
            </w:r>
          </w:p>
        </w:tc>
        <w:tc>
          <w:tcPr>
            <w:tcW w:w="709" w:type="dxa"/>
            <w:shd w:val="clear" w:color="auto" w:fill="92D050"/>
            <w:vAlign w:val="center"/>
          </w:tcPr>
          <w:p w14:paraId="5FB72802"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1086C7F8" w14:textId="77777777" w:rsidR="00CE0303" w:rsidRPr="00CE0303" w:rsidRDefault="00CE0303" w:rsidP="00CE0303">
            <w:pPr>
              <w:spacing w:after="0"/>
              <w:jc w:val="center"/>
              <w:rPr>
                <w:rFonts w:eastAsiaTheme="minorHAnsi"/>
                <w:lang w:val="lv-LV"/>
              </w:rPr>
            </w:pPr>
            <w:r w:rsidRPr="00CE0303">
              <w:rPr>
                <w:rFonts w:eastAsiaTheme="minorHAnsi"/>
                <w:lang w:val="lv-LV"/>
              </w:rPr>
              <w:t>207 053</w:t>
            </w:r>
          </w:p>
        </w:tc>
      </w:tr>
    </w:tbl>
    <w:p w14:paraId="30BE5419" w14:textId="77777777" w:rsidR="00CE0303" w:rsidRPr="00CE0303" w:rsidRDefault="00CE0303" w:rsidP="00CE0303">
      <w:pPr>
        <w:spacing w:before="120"/>
        <w:ind w:firstLine="720"/>
        <w:rPr>
          <w:rFonts w:eastAsiaTheme="minorHAnsi"/>
          <w:lang w:val="lv-LV"/>
        </w:rPr>
      </w:pPr>
      <w:r w:rsidRPr="00CE0303">
        <w:rPr>
          <w:rFonts w:eastAsiaTheme="minorHAnsi"/>
          <w:lang w:val="lv-LV"/>
        </w:rPr>
        <w:t xml:space="preserve">Ņemot vērā, ka IZM plāno pakāpeniski slēgt budžeta apakšprogrammu 03.05.00 “Snieguma finansējums augstskolu stratēģisko mērķu īstenošanai”, IZM budžeta ietvaros nepieciešams veikt finansējuma pārdali no budžeta apakšprogrammas 03.05.00 “Snieguma finansējums augstskolu stratēģisko mērķu īstenošanai” uz budžeta apakšprogrammu 03.04.00 “Studējošo un studiju kreditēšana” 27,4 tūkst. </w:t>
      </w:r>
      <w:r w:rsidRPr="00CE0303">
        <w:rPr>
          <w:rFonts w:eastAsiaTheme="minorHAnsi"/>
          <w:i/>
          <w:lang w:val="lv-LV"/>
        </w:rPr>
        <w:t>euro</w:t>
      </w:r>
      <w:r w:rsidRPr="00CE0303">
        <w:rPr>
          <w:rFonts w:eastAsiaTheme="minorHAnsi"/>
          <w:lang w:val="lv-LV"/>
        </w:rPr>
        <w:t xml:space="preserve"> apmērā 2022. gadā un turpmāk ik gadu, lai nodrošinātu papildus finansējumu valsts garantēto studiju un studējošo kredītu pieejamībai procentu izdevumiem. </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58096099" w14:textId="77777777" w:rsidTr="00CE0303">
        <w:trPr>
          <w:jc w:val="center"/>
        </w:trPr>
        <w:tc>
          <w:tcPr>
            <w:tcW w:w="709" w:type="dxa"/>
            <w:shd w:val="clear" w:color="auto" w:fill="92D050"/>
            <w:vAlign w:val="center"/>
          </w:tcPr>
          <w:p w14:paraId="10AD0074"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57F70C8D" w14:textId="77777777" w:rsidR="00CE0303" w:rsidRPr="00CE0303" w:rsidRDefault="00CE0303" w:rsidP="00CE0303">
            <w:pPr>
              <w:spacing w:after="0"/>
              <w:jc w:val="center"/>
              <w:rPr>
                <w:rFonts w:eastAsiaTheme="minorHAnsi"/>
                <w:lang w:val="lv-LV"/>
              </w:rPr>
            </w:pPr>
            <w:r w:rsidRPr="00CE0303">
              <w:rPr>
                <w:rFonts w:eastAsiaTheme="minorHAnsi"/>
                <w:lang w:val="lv-LV"/>
              </w:rPr>
              <w:t>27 360</w:t>
            </w:r>
          </w:p>
        </w:tc>
        <w:tc>
          <w:tcPr>
            <w:tcW w:w="696" w:type="dxa"/>
            <w:shd w:val="clear" w:color="auto" w:fill="92D050"/>
            <w:vAlign w:val="center"/>
          </w:tcPr>
          <w:p w14:paraId="3BA94FB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69641F28" w14:textId="77777777" w:rsidR="00CE0303" w:rsidRPr="00CE0303" w:rsidRDefault="00CE0303" w:rsidP="00CE0303">
            <w:pPr>
              <w:spacing w:after="0"/>
              <w:jc w:val="center"/>
              <w:rPr>
                <w:rFonts w:eastAsiaTheme="minorHAnsi"/>
                <w:lang w:val="lv-LV"/>
              </w:rPr>
            </w:pPr>
            <w:r w:rsidRPr="00CE0303">
              <w:rPr>
                <w:rFonts w:eastAsiaTheme="minorHAnsi"/>
                <w:lang w:val="lv-LV"/>
              </w:rPr>
              <w:t>27 360</w:t>
            </w:r>
          </w:p>
        </w:tc>
        <w:tc>
          <w:tcPr>
            <w:tcW w:w="709" w:type="dxa"/>
            <w:shd w:val="clear" w:color="auto" w:fill="92D050"/>
            <w:vAlign w:val="center"/>
          </w:tcPr>
          <w:p w14:paraId="410C2F27"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0B79BB0C" w14:textId="77777777" w:rsidR="00CE0303" w:rsidRPr="00CE0303" w:rsidRDefault="00CE0303" w:rsidP="00CE0303">
            <w:pPr>
              <w:spacing w:after="0"/>
              <w:jc w:val="center"/>
              <w:rPr>
                <w:rFonts w:eastAsiaTheme="minorHAnsi"/>
                <w:lang w:val="lv-LV"/>
              </w:rPr>
            </w:pPr>
            <w:r w:rsidRPr="00CE0303">
              <w:rPr>
                <w:rFonts w:eastAsiaTheme="minorHAnsi"/>
                <w:lang w:val="lv-LV"/>
              </w:rPr>
              <w:t>27 360</w:t>
            </w:r>
          </w:p>
        </w:tc>
      </w:tr>
    </w:tbl>
    <w:p w14:paraId="611D3A8E" w14:textId="3721DA15" w:rsidR="00D31BE1" w:rsidRDefault="00D31BE1" w:rsidP="000C671E">
      <w:pPr>
        <w:rPr>
          <w:rFonts w:eastAsiaTheme="minorHAnsi"/>
          <w:b/>
          <w:lang w:val="lv-LV"/>
        </w:rPr>
      </w:pPr>
    </w:p>
    <w:p w14:paraId="28B81658" w14:textId="542A53D0" w:rsidR="007F7266" w:rsidRDefault="007F7266" w:rsidP="000C671E">
      <w:pPr>
        <w:rPr>
          <w:rFonts w:eastAsiaTheme="minorHAnsi"/>
          <w:b/>
          <w:lang w:val="lv-LV"/>
        </w:rPr>
      </w:pPr>
    </w:p>
    <w:p w14:paraId="76DE2402" w14:textId="77777777" w:rsidR="007F7266" w:rsidRPr="00CE0303" w:rsidRDefault="007F7266" w:rsidP="000C671E">
      <w:pPr>
        <w:rPr>
          <w:rFonts w:eastAsiaTheme="minorHAnsi"/>
          <w:b/>
          <w:lang w:val="lv-LV"/>
        </w:rPr>
      </w:pPr>
    </w:p>
    <w:p w14:paraId="7377F9AB" w14:textId="77777777" w:rsidR="00CE0303" w:rsidRPr="00CE0303" w:rsidRDefault="00CE0303" w:rsidP="00CE0303">
      <w:pPr>
        <w:ind w:firstLine="720"/>
        <w:rPr>
          <w:rFonts w:eastAsiaTheme="minorHAnsi"/>
          <w:b/>
          <w:lang w:val="lv-LV"/>
        </w:rPr>
      </w:pPr>
      <w:r w:rsidRPr="00CE0303">
        <w:rPr>
          <w:rFonts w:eastAsiaTheme="minorHAnsi"/>
          <w:b/>
          <w:lang w:val="lv-LV"/>
        </w:rPr>
        <w:lastRenderedPageBreak/>
        <w:t>Kultūras ministrija</w:t>
      </w:r>
    </w:p>
    <w:p w14:paraId="5CB20F54" w14:textId="77777777" w:rsidR="00CE0303" w:rsidRPr="00CE0303" w:rsidRDefault="00CE0303" w:rsidP="00CE0303">
      <w:pPr>
        <w:ind w:firstLine="720"/>
        <w:rPr>
          <w:rFonts w:eastAsiaTheme="minorHAnsi"/>
          <w:lang w:val="lv-LV"/>
        </w:rPr>
      </w:pPr>
      <w:r w:rsidRPr="00CE0303">
        <w:rPr>
          <w:rFonts w:eastAsiaTheme="minorHAnsi"/>
          <w:lang w:val="lv-LV"/>
        </w:rPr>
        <w:t xml:space="preserve">KM ir izvērtējusi Nacionālās kultūras mantojuma pārvaldes veicamās funkcijas un turpmāk noteiktās prioritārās aktivitātes. Funkciju centralizācijas rezultātā tika likvidētas grāmatvežu vietas Nacionālās kultūras mantojuma pārvaldē, tādējādi rodot finansējuma ietaupījumu 39,3 tūkst. </w:t>
      </w:r>
      <w:r w:rsidRPr="00CE0303">
        <w:rPr>
          <w:rFonts w:eastAsiaTheme="minorHAnsi"/>
          <w:i/>
          <w:lang w:val="lv-LV"/>
        </w:rPr>
        <w:t>euro</w:t>
      </w:r>
      <w:r w:rsidRPr="00CE0303">
        <w:rPr>
          <w:rFonts w:eastAsiaTheme="minorHAnsi"/>
          <w:lang w:val="lv-LV"/>
        </w:rPr>
        <w:t xml:space="preserve"> apmērā nozīmīgu izdevumu segšanai. Izvērtējot Nacionālās kultūras mantojuma pārvaldes funkciju un uzdevumu izpildi, esošo cilvēkresursu un finansējuma ietvaros, nodrošinot efektīvāku kultūras mantojuma pārvaldību un attīstību, iespējams samazināt administratīvā personāla izmaksas un attiecīgos izdevumus novirzīt politikas plānošanai.</w:t>
      </w:r>
    </w:p>
    <w:tbl>
      <w:tblPr>
        <w:tblStyle w:val="TableGrid1"/>
        <w:tblW w:w="0" w:type="auto"/>
        <w:jc w:val="center"/>
        <w:tblLook w:val="04A0" w:firstRow="1" w:lastRow="0" w:firstColumn="1" w:lastColumn="0" w:noHBand="0" w:noVBand="1"/>
      </w:tblPr>
      <w:tblGrid>
        <w:gridCol w:w="709"/>
        <w:gridCol w:w="1129"/>
        <w:gridCol w:w="696"/>
        <w:gridCol w:w="1129"/>
        <w:gridCol w:w="709"/>
        <w:gridCol w:w="1134"/>
      </w:tblGrid>
      <w:tr w:rsidR="00CE0303" w:rsidRPr="00CE0303" w14:paraId="63CF4C0F" w14:textId="77777777" w:rsidTr="00CE0303">
        <w:trPr>
          <w:jc w:val="center"/>
        </w:trPr>
        <w:tc>
          <w:tcPr>
            <w:tcW w:w="709" w:type="dxa"/>
            <w:shd w:val="clear" w:color="auto" w:fill="92D050"/>
            <w:vAlign w:val="center"/>
          </w:tcPr>
          <w:p w14:paraId="3602ED3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29545AA9" w14:textId="77777777" w:rsidR="00CE0303" w:rsidRPr="00CE0303" w:rsidRDefault="00CE0303" w:rsidP="00CE0303">
            <w:pPr>
              <w:spacing w:after="0"/>
              <w:jc w:val="center"/>
              <w:rPr>
                <w:rFonts w:eastAsiaTheme="minorHAnsi"/>
                <w:lang w:val="lv-LV"/>
              </w:rPr>
            </w:pPr>
            <w:r w:rsidRPr="00CE0303">
              <w:rPr>
                <w:rFonts w:eastAsiaTheme="minorHAnsi"/>
                <w:lang w:val="lv-LV"/>
              </w:rPr>
              <w:t>39 267</w:t>
            </w:r>
          </w:p>
        </w:tc>
        <w:tc>
          <w:tcPr>
            <w:tcW w:w="696" w:type="dxa"/>
            <w:shd w:val="clear" w:color="auto" w:fill="92D050"/>
            <w:vAlign w:val="center"/>
          </w:tcPr>
          <w:p w14:paraId="2426D7E5"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129" w:type="dxa"/>
            <w:vAlign w:val="center"/>
          </w:tcPr>
          <w:p w14:paraId="01351F26" w14:textId="77777777" w:rsidR="00CE0303" w:rsidRPr="00CE0303" w:rsidRDefault="00CE0303" w:rsidP="00CE0303">
            <w:pPr>
              <w:spacing w:after="0"/>
              <w:jc w:val="center"/>
              <w:rPr>
                <w:rFonts w:eastAsiaTheme="minorHAnsi"/>
                <w:lang w:val="lv-LV"/>
              </w:rPr>
            </w:pPr>
            <w:r w:rsidRPr="00CE0303">
              <w:rPr>
                <w:rFonts w:eastAsiaTheme="minorHAnsi"/>
                <w:lang w:val="lv-LV"/>
              </w:rPr>
              <w:t>39 267</w:t>
            </w:r>
          </w:p>
        </w:tc>
        <w:tc>
          <w:tcPr>
            <w:tcW w:w="709" w:type="dxa"/>
            <w:shd w:val="clear" w:color="auto" w:fill="92D050"/>
            <w:vAlign w:val="center"/>
          </w:tcPr>
          <w:p w14:paraId="6DF895B2"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34" w:type="dxa"/>
            <w:vAlign w:val="center"/>
          </w:tcPr>
          <w:p w14:paraId="7493C3E6" w14:textId="77777777" w:rsidR="00CE0303" w:rsidRPr="00CE0303" w:rsidRDefault="00CE0303" w:rsidP="00CE0303">
            <w:pPr>
              <w:spacing w:after="0"/>
              <w:jc w:val="center"/>
              <w:rPr>
                <w:rFonts w:eastAsiaTheme="minorHAnsi"/>
                <w:lang w:val="lv-LV"/>
              </w:rPr>
            </w:pPr>
            <w:r w:rsidRPr="00CE0303">
              <w:rPr>
                <w:rFonts w:eastAsiaTheme="minorHAnsi"/>
                <w:lang w:val="lv-LV"/>
              </w:rPr>
              <w:t>39 267</w:t>
            </w:r>
          </w:p>
        </w:tc>
      </w:tr>
    </w:tbl>
    <w:p w14:paraId="22A5BEE2" w14:textId="497C487A" w:rsidR="00CE0303" w:rsidRPr="00CE0303" w:rsidRDefault="00CE0303" w:rsidP="00CE0303">
      <w:pPr>
        <w:spacing w:before="120"/>
        <w:ind w:firstLine="720"/>
        <w:rPr>
          <w:rFonts w:eastAsiaTheme="minorHAnsi"/>
          <w:lang w:val="lv-LV"/>
        </w:rPr>
      </w:pPr>
      <w:r w:rsidRPr="00CE0303">
        <w:rPr>
          <w:rFonts w:eastAsiaTheme="minorHAnsi"/>
          <w:lang w:val="lv-LV"/>
        </w:rPr>
        <w:t xml:space="preserve">KM sadarbībā ar </w:t>
      </w:r>
      <w:r w:rsidR="001D5145">
        <w:rPr>
          <w:rFonts w:eastAsiaTheme="minorHAnsi"/>
          <w:lang w:val="lv-LV"/>
        </w:rPr>
        <w:t>VNĪ</w:t>
      </w:r>
      <w:r w:rsidRPr="00CE0303">
        <w:rPr>
          <w:rFonts w:eastAsiaTheme="minorHAnsi"/>
          <w:lang w:val="lv-LV"/>
        </w:rPr>
        <w:t xml:space="preserve"> programmas "Mantojums-2018" ietvaros" ir veikusi nomas maksas izdevumu pārskatīšanu nekustamajā īpašumā Doma laukumā 6, Rīgā, nomas maksas izdevumu segšanai. Saskaņā ar aktualizēto nomas maksas un papildu maksājumu aprēķinu nekustamā īpašuma Doma laukumā 6, Rīgā, telpu nomas maksas un papildu maksājumu izdevumu segšanai no 2021. gada līdz 2031. gadam (kapitālieguldījumu atmaksāšanas periodā) veidojas finansējuma ietaupījums no 2021. gada līdz 2030. gadam 361,5 tūkst. </w:t>
      </w:r>
      <w:r w:rsidRPr="00CE0303">
        <w:rPr>
          <w:rFonts w:eastAsiaTheme="minorHAnsi"/>
          <w:i/>
          <w:lang w:val="lv-LV"/>
        </w:rPr>
        <w:t>euro</w:t>
      </w:r>
      <w:r w:rsidRPr="00CE0303">
        <w:rPr>
          <w:rFonts w:eastAsiaTheme="minorHAnsi"/>
          <w:lang w:val="lv-LV"/>
        </w:rPr>
        <w:t xml:space="preserve"> apmērā ik gadu, un 2031. gadā (līdz 2031.</w:t>
      </w:r>
      <w:r w:rsidR="00FF342C">
        <w:rPr>
          <w:rFonts w:eastAsiaTheme="minorHAnsi"/>
          <w:lang w:val="lv-LV"/>
        </w:rPr>
        <w:t xml:space="preserve"> </w:t>
      </w:r>
      <w:r w:rsidRPr="00CE0303">
        <w:rPr>
          <w:rFonts w:eastAsiaTheme="minorHAnsi"/>
          <w:lang w:val="lv-LV"/>
        </w:rPr>
        <w:t>gada 23.</w:t>
      </w:r>
      <w:r w:rsidR="00FF342C">
        <w:rPr>
          <w:rFonts w:eastAsiaTheme="minorHAnsi"/>
          <w:lang w:val="lv-LV"/>
        </w:rPr>
        <w:t xml:space="preserve"> </w:t>
      </w:r>
      <w:r w:rsidRPr="00CE0303">
        <w:rPr>
          <w:rFonts w:eastAsiaTheme="minorHAnsi"/>
          <w:lang w:val="lv-LV"/>
        </w:rPr>
        <w:t xml:space="preserve">maijam) 393,7 tūkst. </w:t>
      </w:r>
      <w:r w:rsidRPr="00CE0303">
        <w:rPr>
          <w:rFonts w:eastAsiaTheme="minorHAnsi"/>
          <w:i/>
          <w:lang w:val="lv-LV"/>
        </w:rPr>
        <w:t>euro</w:t>
      </w:r>
      <w:r w:rsidRPr="00CE0303">
        <w:rPr>
          <w:rFonts w:eastAsiaTheme="minorHAnsi"/>
          <w:lang w:val="lv-LV"/>
        </w:rPr>
        <w:t>.</w:t>
      </w:r>
      <w:r w:rsidR="00CF64D3" w:rsidRPr="00CE0303">
        <w:rPr>
          <w:rFonts w:eastAsiaTheme="minorHAnsi"/>
          <w:lang w:val="lv-LV"/>
        </w:rPr>
        <w:t xml:space="preserve"> </w:t>
      </w:r>
      <w:r w:rsidRPr="00CE0303">
        <w:rPr>
          <w:rFonts w:eastAsiaTheme="minorHAnsi"/>
          <w:lang w:val="lv-LV"/>
        </w:rPr>
        <w:t xml:space="preserve">Finansējuma ietaupījums ir novirzāms KM padotībā esošu iestāžu lietoto valsts īpašumā, FM valdījumā un VNĪ īpašumā esošo nekustamo īpašumu nomas maksas un papildu maksājumu segšanai (142,9 tūkst. </w:t>
      </w:r>
      <w:r w:rsidRPr="00CE0303">
        <w:rPr>
          <w:rFonts w:eastAsiaTheme="minorHAnsi"/>
          <w:i/>
          <w:lang w:val="lv-LV"/>
        </w:rPr>
        <w:t xml:space="preserve">euro </w:t>
      </w:r>
      <w:r w:rsidRPr="00CE0303">
        <w:rPr>
          <w:rFonts w:eastAsiaTheme="minorHAnsi"/>
          <w:lang w:val="lv-LV"/>
        </w:rPr>
        <w:t xml:space="preserve">apmērā), kā arī nomas maksas un papildu maksājumu segšanai pēc 2031. gada 23. maija (iepriekš pārskatot noslēgtos nomas līgumus, nepieciešamos nomas maksas apmērus un nomas objektus), finansējumu pārdalot no budžeta apakšprogrammas 22.07.00 </w:t>
      </w:r>
      <w:r w:rsidR="00CF64D3" w:rsidRPr="00CE0303">
        <w:rPr>
          <w:rFonts w:eastAsiaTheme="minorHAnsi"/>
          <w:lang w:val="lv-LV"/>
        </w:rPr>
        <w:t>“</w:t>
      </w:r>
      <w:r w:rsidRPr="00CE0303">
        <w:rPr>
          <w:rFonts w:eastAsiaTheme="minorHAnsi"/>
          <w:lang w:val="lv-LV"/>
        </w:rPr>
        <w:t xml:space="preserve">Nomas maksas VAS </w:t>
      </w:r>
      <w:r w:rsidR="00CF64D3" w:rsidRPr="00CE0303">
        <w:rPr>
          <w:rFonts w:eastAsiaTheme="minorHAnsi"/>
          <w:lang w:val="lv-LV"/>
        </w:rPr>
        <w:t>“</w:t>
      </w:r>
      <w:r w:rsidRPr="00CE0303">
        <w:rPr>
          <w:rFonts w:eastAsiaTheme="minorHAnsi"/>
          <w:lang w:val="lv-LV"/>
        </w:rPr>
        <w:t>Valsts nekustamie īpašumi</w:t>
      </w:r>
      <w:r w:rsidR="00CF64D3" w:rsidRPr="00CE0303">
        <w:rPr>
          <w:rFonts w:eastAsiaTheme="minorHAnsi"/>
          <w:lang w:val="lv-LV"/>
        </w:rPr>
        <w:t>”</w:t>
      </w:r>
      <w:r w:rsidRPr="00CE0303">
        <w:rPr>
          <w:rFonts w:eastAsiaTheme="minorHAnsi"/>
          <w:lang w:val="lv-LV"/>
        </w:rPr>
        <w:t xml:space="preserve"> programmas </w:t>
      </w:r>
      <w:r w:rsidR="00CF64D3" w:rsidRPr="00CE0303">
        <w:rPr>
          <w:rFonts w:eastAsiaTheme="minorHAnsi"/>
          <w:lang w:val="lv-LV"/>
        </w:rPr>
        <w:t>“</w:t>
      </w:r>
      <w:r w:rsidRPr="00CE0303">
        <w:rPr>
          <w:rFonts w:eastAsiaTheme="minorHAnsi"/>
          <w:lang w:val="lv-LV"/>
        </w:rPr>
        <w:t>Mantojums-2018</w:t>
      </w:r>
      <w:r w:rsidR="00CF64D3" w:rsidRPr="00CE0303">
        <w:rPr>
          <w:rFonts w:eastAsiaTheme="minorHAnsi"/>
          <w:lang w:val="lv-LV"/>
        </w:rPr>
        <w:t>”</w:t>
      </w:r>
      <w:r w:rsidRPr="00CE0303">
        <w:rPr>
          <w:rFonts w:eastAsiaTheme="minorHAnsi"/>
          <w:lang w:val="lv-LV"/>
        </w:rPr>
        <w:t xml:space="preserve"> ietvaros</w:t>
      </w:r>
      <w:r w:rsidR="00CF64D3" w:rsidRPr="00CE0303">
        <w:rPr>
          <w:rFonts w:eastAsiaTheme="minorHAnsi"/>
          <w:lang w:val="lv-LV"/>
        </w:rPr>
        <w:t>”</w:t>
      </w:r>
      <w:r w:rsidRPr="00CE0303">
        <w:rPr>
          <w:rFonts w:eastAsiaTheme="minorHAnsi"/>
          <w:lang w:val="lv-LV"/>
        </w:rPr>
        <w:t xml:space="preserve"> uz budžeta apakšprogrammu 19.07.00 </w:t>
      </w:r>
      <w:r w:rsidR="00CF64D3" w:rsidRPr="00CE0303">
        <w:rPr>
          <w:rFonts w:eastAsiaTheme="minorHAnsi"/>
          <w:lang w:val="lv-LV"/>
        </w:rPr>
        <w:t>“</w:t>
      </w:r>
      <w:r w:rsidRPr="00CE0303">
        <w:rPr>
          <w:rFonts w:eastAsiaTheme="minorHAnsi"/>
          <w:lang w:val="lv-LV"/>
        </w:rPr>
        <w:t>Māksla un literatūra</w:t>
      </w:r>
      <w:r w:rsidR="00CF64D3" w:rsidRPr="00CE0303">
        <w:rPr>
          <w:rFonts w:eastAsiaTheme="minorHAnsi"/>
          <w:lang w:val="lv-LV"/>
        </w:rPr>
        <w:t>”</w:t>
      </w:r>
      <w:r w:rsidRPr="00CE0303">
        <w:rPr>
          <w:rFonts w:eastAsiaTheme="minorHAnsi"/>
          <w:lang w:val="lv-LV"/>
        </w:rPr>
        <w:t xml:space="preserve">, programmu 20.00.00 </w:t>
      </w:r>
      <w:r w:rsidR="00CF64D3" w:rsidRPr="00CE0303">
        <w:rPr>
          <w:rFonts w:eastAsiaTheme="minorHAnsi"/>
          <w:lang w:val="lv-LV"/>
        </w:rPr>
        <w:t>“</w:t>
      </w:r>
      <w:r w:rsidRPr="00CE0303">
        <w:rPr>
          <w:rFonts w:eastAsiaTheme="minorHAnsi"/>
          <w:lang w:val="lv-LV"/>
        </w:rPr>
        <w:t>Kultūrizglītība</w:t>
      </w:r>
      <w:r w:rsidR="00CF64D3" w:rsidRPr="00CE0303">
        <w:rPr>
          <w:rFonts w:eastAsiaTheme="minorHAnsi"/>
          <w:lang w:val="lv-LV"/>
        </w:rPr>
        <w:t>”</w:t>
      </w:r>
      <w:r w:rsidRPr="00CE0303">
        <w:rPr>
          <w:rFonts w:eastAsiaTheme="minorHAnsi"/>
          <w:lang w:val="lv-LV"/>
        </w:rPr>
        <w:t xml:space="preserve">, programmu 21.00.00 </w:t>
      </w:r>
      <w:r w:rsidR="00CF64D3" w:rsidRPr="00CE0303">
        <w:rPr>
          <w:rFonts w:eastAsiaTheme="minorHAnsi"/>
          <w:lang w:val="lv-LV"/>
        </w:rPr>
        <w:t>“</w:t>
      </w:r>
      <w:r w:rsidRPr="00CE0303">
        <w:rPr>
          <w:rFonts w:eastAsiaTheme="minorHAnsi"/>
          <w:lang w:val="lv-LV"/>
        </w:rPr>
        <w:t>Kultūras mantojums</w:t>
      </w:r>
      <w:r w:rsidR="00CF64D3" w:rsidRPr="00CE0303">
        <w:rPr>
          <w:rFonts w:eastAsiaTheme="minorHAnsi"/>
          <w:lang w:val="lv-LV"/>
        </w:rPr>
        <w:t>”</w:t>
      </w:r>
      <w:r w:rsidRPr="00CE0303">
        <w:rPr>
          <w:rFonts w:eastAsiaTheme="minorHAnsi"/>
          <w:lang w:val="lv-LV"/>
        </w:rPr>
        <w:t xml:space="preserve"> un programmu 97.00.00 </w:t>
      </w:r>
      <w:r w:rsidR="00CF64D3" w:rsidRPr="00CE0303">
        <w:rPr>
          <w:rFonts w:eastAsiaTheme="minorHAnsi"/>
          <w:lang w:val="lv-LV"/>
        </w:rPr>
        <w:t>“</w:t>
      </w:r>
      <w:r w:rsidRPr="00CE0303">
        <w:rPr>
          <w:rFonts w:eastAsiaTheme="minorHAnsi"/>
          <w:lang w:val="lv-LV"/>
        </w:rPr>
        <w:t>Nozaru vadība un politikas plānošana</w:t>
      </w:r>
      <w:r w:rsidR="00CF64D3" w:rsidRPr="00CE0303">
        <w:rPr>
          <w:rFonts w:eastAsiaTheme="minorHAnsi"/>
          <w:lang w:val="lv-LV"/>
        </w:rPr>
        <w:t>”</w:t>
      </w:r>
      <w:r w:rsidR="00CF64D3">
        <w:rPr>
          <w:rFonts w:eastAsiaTheme="minorHAnsi"/>
          <w:lang w:val="lv-LV"/>
        </w:rPr>
        <w:t xml:space="preserve">. </w:t>
      </w:r>
      <w:r w:rsidRPr="00CE0303">
        <w:rPr>
          <w:rFonts w:eastAsiaTheme="minorHAnsi"/>
          <w:lang w:val="lv-LV"/>
        </w:rPr>
        <w:t>Attiecīgās finansējuma pārdales ir veiktas likumā “Par valsts budžetu 2021.</w:t>
      </w:r>
      <w:r w:rsidR="00FF342C">
        <w:rPr>
          <w:rFonts w:eastAsiaTheme="minorHAnsi"/>
          <w:lang w:val="lv-LV"/>
        </w:rPr>
        <w:t xml:space="preserve"> </w:t>
      </w:r>
      <w:r w:rsidRPr="00CE0303">
        <w:rPr>
          <w:rFonts w:eastAsiaTheme="minorHAnsi"/>
          <w:lang w:val="lv-LV"/>
        </w:rPr>
        <w:t>gadam”.</w:t>
      </w:r>
    </w:p>
    <w:tbl>
      <w:tblPr>
        <w:tblStyle w:val="TableGrid1"/>
        <w:tblW w:w="0" w:type="auto"/>
        <w:jc w:val="center"/>
        <w:tblLook w:val="04A0" w:firstRow="1" w:lastRow="0" w:firstColumn="1" w:lastColumn="0" w:noHBand="0" w:noVBand="1"/>
      </w:tblPr>
      <w:tblGrid>
        <w:gridCol w:w="709"/>
        <w:gridCol w:w="1271"/>
        <w:gridCol w:w="696"/>
        <w:gridCol w:w="1288"/>
        <w:gridCol w:w="696"/>
        <w:gridCol w:w="1289"/>
      </w:tblGrid>
      <w:tr w:rsidR="00CE0303" w:rsidRPr="00CE0303" w14:paraId="5EC2D0EE" w14:textId="77777777" w:rsidTr="00CE0303">
        <w:trPr>
          <w:jc w:val="center"/>
        </w:trPr>
        <w:tc>
          <w:tcPr>
            <w:tcW w:w="709" w:type="dxa"/>
            <w:shd w:val="clear" w:color="auto" w:fill="92D050"/>
            <w:vAlign w:val="center"/>
          </w:tcPr>
          <w:p w14:paraId="4B989900"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383277FB" w14:textId="77777777" w:rsidR="00CE0303" w:rsidRPr="00CE0303" w:rsidRDefault="00CE0303" w:rsidP="00CE0303">
            <w:pPr>
              <w:spacing w:after="0"/>
              <w:jc w:val="center"/>
              <w:rPr>
                <w:rFonts w:eastAsiaTheme="minorHAnsi"/>
                <w:lang w:val="lv-LV"/>
              </w:rPr>
            </w:pPr>
            <w:r w:rsidRPr="00CE0303">
              <w:rPr>
                <w:rFonts w:eastAsiaTheme="minorHAnsi"/>
                <w:lang w:val="lv-LV"/>
              </w:rPr>
              <w:t>361 502</w:t>
            </w:r>
          </w:p>
        </w:tc>
        <w:tc>
          <w:tcPr>
            <w:tcW w:w="696" w:type="dxa"/>
            <w:shd w:val="clear" w:color="auto" w:fill="92D050"/>
            <w:vAlign w:val="center"/>
          </w:tcPr>
          <w:p w14:paraId="0331B001"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2439C558" w14:textId="77777777" w:rsidR="00CE0303" w:rsidRPr="00CE0303" w:rsidRDefault="00CE0303" w:rsidP="00CE0303">
            <w:pPr>
              <w:spacing w:after="0"/>
              <w:jc w:val="center"/>
              <w:rPr>
                <w:rFonts w:eastAsiaTheme="minorHAnsi"/>
                <w:lang w:val="lv-LV"/>
              </w:rPr>
            </w:pPr>
            <w:r w:rsidRPr="00CE0303">
              <w:rPr>
                <w:rFonts w:eastAsiaTheme="minorHAnsi"/>
                <w:lang w:val="lv-LV"/>
              </w:rPr>
              <w:t>361 502</w:t>
            </w:r>
          </w:p>
        </w:tc>
        <w:tc>
          <w:tcPr>
            <w:tcW w:w="696" w:type="dxa"/>
            <w:shd w:val="clear" w:color="auto" w:fill="92D050"/>
            <w:vAlign w:val="center"/>
          </w:tcPr>
          <w:p w14:paraId="5754968A"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289" w:type="dxa"/>
            <w:vAlign w:val="center"/>
          </w:tcPr>
          <w:p w14:paraId="6320073E" w14:textId="77777777" w:rsidR="00CE0303" w:rsidRPr="00CE0303" w:rsidRDefault="00CE0303" w:rsidP="00CE0303">
            <w:pPr>
              <w:spacing w:after="0"/>
              <w:jc w:val="center"/>
              <w:rPr>
                <w:rFonts w:eastAsiaTheme="minorHAnsi"/>
                <w:lang w:val="lv-LV"/>
              </w:rPr>
            </w:pPr>
            <w:r w:rsidRPr="00CE0303">
              <w:rPr>
                <w:rFonts w:eastAsiaTheme="minorHAnsi"/>
                <w:lang w:val="lv-LV"/>
              </w:rPr>
              <w:t>361 502</w:t>
            </w:r>
          </w:p>
        </w:tc>
      </w:tr>
    </w:tbl>
    <w:p w14:paraId="349FFC25" w14:textId="77777777" w:rsidR="007F7266" w:rsidRDefault="007F7266" w:rsidP="00CE0303">
      <w:pPr>
        <w:ind w:firstLine="720"/>
        <w:rPr>
          <w:rFonts w:eastAsiaTheme="minorHAnsi"/>
          <w:b/>
          <w:lang w:val="lv-LV"/>
        </w:rPr>
      </w:pPr>
    </w:p>
    <w:p w14:paraId="1AC434EA" w14:textId="777A9480" w:rsidR="00CE0303" w:rsidRPr="00CE0303" w:rsidRDefault="00CE0303" w:rsidP="00CE0303">
      <w:pPr>
        <w:ind w:firstLine="720"/>
        <w:rPr>
          <w:rFonts w:eastAsiaTheme="minorHAnsi"/>
          <w:b/>
          <w:lang w:val="lv-LV"/>
        </w:rPr>
      </w:pPr>
      <w:r w:rsidRPr="00CE0303">
        <w:rPr>
          <w:rFonts w:eastAsiaTheme="minorHAnsi"/>
          <w:b/>
          <w:lang w:val="lv-LV"/>
        </w:rPr>
        <w:t>Labklājības ministrija</w:t>
      </w:r>
    </w:p>
    <w:p w14:paraId="40288206" w14:textId="5F66E8E1" w:rsidR="007F7266" w:rsidRPr="00D31BE1" w:rsidRDefault="00CE0303" w:rsidP="007F7266">
      <w:pPr>
        <w:ind w:firstLine="720"/>
        <w:rPr>
          <w:rFonts w:cs="Times New Roman"/>
          <w:bCs/>
          <w:szCs w:val="24"/>
          <w:lang w:val="lv-LV"/>
        </w:rPr>
      </w:pPr>
      <w:r w:rsidRPr="00CE0303">
        <w:rPr>
          <w:rFonts w:eastAsiaTheme="minorHAnsi" w:cs="Times New Roman"/>
          <w:szCs w:val="24"/>
          <w:lang w:val="lv-LV"/>
        </w:rPr>
        <w:t xml:space="preserve">Veicot LM pamatbudžeta analīzi, konstatēts, ka laika periodā no 2018. līdz 2020. gadam izdevumu neizpilde vērojama </w:t>
      </w:r>
      <w:bookmarkStart w:id="10" w:name="_Hlk73943499"/>
      <w:r w:rsidRPr="00CE0303">
        <w:rPr>
          <w:rFonts w:eastAsiaTheme="minorHAnsi" w:cs="Times New Roman"/>
          <w:szCs w:val="24"/>
          <w:lang w:val="lv-LV"/>
        </w:rPr>
        <w:t>apakšprogrammā 20.01.00 “Valsts sociālie pabalsti”</w:t>
      </w:r>
      <w:bookmarkEnd w:id="10"/>
      <w:r w:rsidRPr="00CE0303">
        <w:rPr>
          <w:rFonts w:eastAsiaTheme="minorHAnsi" w:cs="Times New Roman"/>
          <w:szCs w:val="24"/>
          <w:lang w:val="lv-LV"/>
        </w:rPr>
        <w:t xml:space="preserve">, veidojot </w:t>
      </w:r>
      <w:r w:rsidR="006F76FD">
        <w:rPr>
          <w:rFonts w:eastAsiaTheme="minorHAnsi" w:cs="Times New Roman"/>
          <w:bCs/>
          <w:szCs w:val="24"/>
          <w:lang w:val="lv-LV"/>
        </w:rPr>
        <w:t xml:space="preserve">trīs gadu periodā izdevumu neizpildi </w:t>
      </w:r>
      <w:r w:rsidRPr="00CE0303">
        <w:rPr>
          <w:rFonts w:eastAsiaTheme="minorHAnsi" w:cs="Times New Roman"/>
          <w:bCs/>
          <w:szCs w:val="24"/>
          <w:lang w:val="lv-LV"/>
        </w:rPr>
        <w:t xml:space="preserve">vidēji gadā 8,1 milj. </w:t>
      </w:r>
      <w:r w:rsidRPr="00CE0303">
        <w:rPr>
          <w:rFonts w:eastAsiaTheme="minorHAnsi" w:cs="Times New Roman"/>
          <w:bCs/>
          <w:i/>
          <w:szCs w:val="24"/>
          <w:lang w:val="lv-LV"/>
        </w:rPr>
        <w:t>euro</w:t>
      </w:r>
      <w:r w:rsidRPr="00CE0303">
        <w:rPr>
          <w:rFonts w:eastAsiaTheme="minorHAnsi" w:cs="Times New Roman"/>
          <w:bCs/>
          <w:szCs w:val="24"/>
          <w:lang w:val="lv-LV"/>
        </w:rPr>
        <w:t xml:space="preserve"> apmērā </w:t>
      </w:r>
      <w:r w:rsidRPr="00CE0303">
        <w:rPr>
          <w:rFonts w:cs="Times New Roman"/>
          <w:bCs/>
          <w:szCs w:val="24"/>
          <w:lang w:val="lv-LV"/>
        </w:rPr>
        <w:t>(</w:t>
      </w:r>
      <w:r w:rsidRPr="00CE0303">
        <w:rPr>
          <w:rFonts w:cs="Times New Roman"/>
          <w:bCs/>
          <w:iCs/>
          <w:szCs w:val="24"/>
          <w:lang w:val="lv-LV"/>
        </w:rPr>
        <w:t>2.2.18. attēls</w:t>
      </w:r>
      <w:r w:rsidRPr="00CE0303">
        <w:rPr>
          <w:rFonts w:cs="Times New Roman"/>
          <w:bCs/>
          <w:szCs w:val="24"/>
          <w:lang w:val="lv-LV"/>
        </w:rPr>
        <w:t>).</w:t>
      </w:r>
    </w:p>
    <w:p w14:paraId="3D6FA9CE" w14:textId="58501BF3" w:rsidR="00CE0303" w:rsidRPr="00CE0303" w:rsidRDefault="00CE0303" w:rsidP="00CE0303">
      <w:pPr>
        <w:jc w:val="center"/>
        <w:rPr>
          <w:rFonts w:eastAsiaTheme="minorHAnsi" w:cs="Times New Roman"/>
          <w:b/>
          <w:bCs/>
          <w:sz w:val="22"/>
          <w:lang w:val="lv-LV"/>
        </w:rPr>
      </w:pPr>
      <w:r w:rsidRPr="00CE0303">
        <w:rPr>
          <w:rFonts w:eastAsiaTheme="minorHAnsi" w:cs="Times New Roman"/>
          <w:b/>
          <w:bCs/>
          <w:i/>
          <w:iCs/>
          <w:sz w:val="22"/>
          <w:lang w:val="lv-LV"/>
        </w:rPr>
        <w:t>2.2.18. attēls</w:t>
      </w:r>
      <w:r w:rsidRPr="00CE0303">
        <w:rPr>
          <w:rFonts w:eastAsiaTheme="minorHAnsi" w:cs="Times New Roman"/>
          <w:b/>
          <w:bCs/>
          <w:sz w:val="22"/>
          <w:lang w:val="lv-LV"/>
        </w:rPr>
        <w:t xml:space="preserve"> Apakšprogrammas 20.01.00 “Valsts sociālie pabalsti” izdevumu analīze (milj. </w:t>
      </w:r>
      <w:r w:rsidRPr="00CE0303">
        <w:rPr>
          <w:rFonts w:eastAsiaTheme="minorHAnsi" w:cs="Times New Roman"/>
          <w:b/>
          <w:bCs/>
          <w:i/>
          <w:iCs/>
          <w:sz w:val="22"/>
          <w:lang w:val="lv-LV"/>
        </w:rPr>
        <w:t>euro</w:t>
      </w:r>
      <w:r w:rsidRPr="00CE0303">
        <w:rPr>
          <w:rFonts w:eastAsiaTheme="minorHAnsi" w:cs="Times New Roman"/>
          <w:b/>
          <w:bCs/>
          <w:sz w:val="22"/>
          <w:lang w:val="lv-LV"/>
        </w:rPr>
        <w:t>)</w:t>
      </w:r>
    </w:p>
    <w:p w14:paraId="7FD21A13" w14:textId="42476D0E" w:rsidR="00CE0303" w:rsidRPr="00CE0303" w:rsidRDefault="00CA5079" w:rsidP="00CE0303">
      <w:pPr>
        <w:jc w:val="center"/>
        <w:rPr>
          <w:rFonts w:eastAsiaTheme="minorHAnsi" w:cs="Times New Roman"/>
          <w:b/>
          <w:bCs/>
          <w:szCs w:val="24"/>
          <w:lang w:val="lv-LV"/>
        </w:rPr>
      </w:pPr>
      <w:r w:rsidRPr="00CA5079">
        <w:rPr>
          <w:rFonts w:eastAsiaTheme="minorHAnsi" w:cs="Times New Roman"/>
          <w:b/>
          <w:bCs/>
          <w:noProof/>
          <w:szCs w:val="24"/>
          <w:lang w:val="lv-LV" w:eastAsia="lv-LV"/>
        </w:rPr>
        <w:drawing>
          <wp:inline distT="0" distB="0" distL="0" distR="0" wp14:anchorId="492F9C42" wp14:editId="11B29DAB">
            <wp:extent cx="4316730" cy="1875098"/>
            <wp:effectExtent l="0" t="0" r="7620" b="11430"/>
            <wp:docPr id="2257" name="Chart 2257">
              <a:extLst xmlns:a="http://schemas.openxmlformats.org/drawingml/2006/main">
                <a:ext uri="{FF2B5EF4-FFF2-40B4-BE49-F238E27FC236}">
                  <a16:creationId xmlns:a16="http://schemas.microsoft.com/office/drawing/2014/main" id="{11E00A1C-67B1-4E4E-BFA5-B9C4854AE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A3F4DBA" w14:textId="77777777" w:rsidR="00CE0303" w:rsidRPr="00CE0303" w:rsidRDefault="00CE0303" w:rsidP="007F7266">
      <w:pPr>
        <w:spacing w:before="120"/>
        <w:ind w:firstLine="720"/>
        <w:rPr>
          <w:rFonts w:eastAsiaTheme="minorHAnsi" w:cs="Times New Roman"/>
          <w:szCs w:val="24"/>
          <w:lang w:val="lv-LV"/>
        </w:rPr>
      </w:pPr>
      <w:r w:rsidRPr="00CE0303">
        <w:rPr>
          <w:rFonts w:eastAsiaTheme="minorHAnsi" w:cs="Times New Roman"/>
          <w:szCs w:val="24"/>
          <w:lang w:val="lv-LV"/>
        </w:rPr>
        <w:lastRenderedPageBreak/>
        <w:t>LM norāda, ka pastāvīgi analizē izpildes, un, ja tiek identificēts, ka kādā no pakalpojumiem, tai skaitā apakšprogrammā 20.01.00 “Valsts sociālie pabalsti” veidojas atlikums, tad, ņemot vērā, ka ir pakalpojumi, kuriem finansējums ir nepietiekams, sniedz priekšlikumus pārdalēm. Vienlaikus norāda, ka bāze katru gadu tiek plānota, piemērojot “0” budžetu, līdz ar to, ja programmas ietvaros bāzes finansējums tika samazināts, tad šis finansējums tika pārdalīts citiem nozares pasākumiem, tādā veidā efektīvāk izlietojot finansējumu un novirzot</w:t>
      </w:r>
      <w:r w:rsidRPr="00CE0303">
        <w:rPr>
          <w:rFonts w:eastAsiaTheme="minorHAnsi"/>
          <w:lang w:val="lv-LV"/>
        </w:rPr>
        <w:t xml:space="preserve"> </w:t>
      </w:r>
      <w:r w:rsidRPr="00CE0303">
        <w:rPr>
          <w:rFonts w:eastAsiaTheme="minorHAnsi" w:cs="Times New Roman"/>
          <w:szCs w:val="24"/>
          <w:lang w:val="lv-LV"/>
        </w:rPr>
        <w:t>to citu, resoram aktuālu jautājumu risināšanai.</w:t>
      </w:r>
    </w:p>
    <w:p w14:paraId="2995B81B" w14:textId="77777777" w:rsidR="00CE0303" w:rsidRPr="00CE0303" w:rsidRDefault="00CE0303" w:rsidP="007F7266">
      <w:pPr>
        <w:spacing w:before="120"/>
        <w:ind w:firstLine="720"/>
        <w:rPr>
          <w:rFonts w:eastAsiaTheme="minorHAnsi" w:cs="Times New Roman"/>
          <w:szCs w:val="24"/>
          <w:lang w:val="lv-LV"/>
        </w:rPr>
      </w:pPr>
      <w:r w:rsidRPr="00CE0303">
        <w:rPr>
          <w:rFonts w:eastAsiaTheme="minorHAnsi" w:cs="Times New Roman"/>
          <w:bCs/>
          <w:szCs w:val="24"/>
          <w:lang w:val="lv-LV"/>
        </w:rPr>
        <w:t xml:space="preserve">Ņemot vērā iepriekš minēto, konstatēts, ka </w:t>
      </w:r>
      <w:r w:rsidRPr="00CE0303">
        <w:rPr>
          <w:rFonts w:eastAsiaTheme="minorHAnsi" w:cs="Times New Roman"/>
          <w:szCs w:val="24"/>
          <w:lang w:val="lv-LV"/>
        </w:rPr>
        <w:t>apakšprogrammā 20.01.00 “Valsts sociālie pabalsti” ir potenciālais iekšējais resurss 2022. un 2023. gadam</w:t>
      </w:r>
      <w:r w:rsidRPr="00CE0303">
        <w:rPr>
          <w:rFonts w:eastAsiaTheme="minorHAnsi" w:cs="Times New Roman"/>
          <w:b/>
          <w:szCs w:val="24"/>
          <w:lang w:val="lv-LV"/>
        </w:rPr>
        <w:t>.</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24F782FE" w14:textId="77777777" w:rsidTr="00CE0303">
        <w:tc>
          <w:tcPr>
            <w:tcW w:w="709" w:type="dxa"/>
            <w:shd w:val="clear" w:color="auto" w:fill="ED7D31" w:themeFill="accent2"/>
            <w:vAlign w:val="center"/>
          </w:tcPr>
          <w:p w14:paraId="6FC4ADFC"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67539601" w14:textId="77777777" w:rsidR="00CE0303" w:rsidRPr="00CE0303" w:rsidRDefault="00CE0303" w:rsidP="00CE0303">
            <w:pPr>
              <w:spacing w:after="0"/>
              <w:jc w:val="center"/>
              <w:rPr>
                <w:rFonts w:eastAsiaTheme="minorHAnsi"/>
                <w:lang w:val="lv-LV"/>
              </w:rPr>
            </w:pPr>
            <w:r w:rsidRPr="00CE0303">
              <w:rPr>
                <w:rFonts w:eastAsiaTheme="minorHAnsi"/>
                <w:lang w:val="lv-LV"/>
              </w:rPr>
              <w:t>8 062 588</w:t>
            </w:r>
          </w:p>
        </w:tc>
        <w:tc>
          <w:tcPr>
            <w:tcW w:w="696" w:type="dxa"/>
            <w:shd w:val="clear" w:color="auto" w:fill="ED7D31" w:themeFill="accent2"/>
            <w:vAlign w:val="center"/>
          </w:tcPr>
          <w:p w14:paraId="0CAE8F24"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1FB60556" w14:textId="77777777" w:rsidR="00CE0303" w:rsidRPr="00CE0303" w:rsidRDefault="00CE0303" w:rsidP="00CE0303">
            <w:pPr>
              <w:spacing w:after="0"/>
              <w:jc w:val="center"/>
              <w:rPr>
                <w:rFonts w:eastAsiaTheme="minorHAnsi"/>
                <w:lang w:val="lv-LV"/>
              </w:rPr>
            </w:pPr>
            <w:r w:rsidRPr="00CE0303">
              <w:rPr>
                <w:rFonts w:eastAsiaTheme="minorHAnsi"/>
                <w:lang w:val="lv-LV"/>
              </w:rPr>
              <w:t>8 062 588</w:t>
            </w:r>
          </w:p>
        </w:tc>
      </w:tr>
    </w:tbl>
    <w:p w14:paraId="5D2E4630" w14:textId="77777777" w:rsidR="00CA5079" w:rsidRDefault="00CA5079" w:rsidP="00CE0303">
      <w:pPr>
        <w:spacing w:line="240" w:lineRule="auto"/>
        <w:ind w:firstLine="567"/>
        <w:rPr>
          <w:rFonts w:eastAsia="Times New Roman" w:cs="Times New Roman"/>
          <w:szCs w:val="25"/>
          <w:lang w:val="lv-LV"/>
        </w:rPr>
      </w:pPr>
    </w:p>
    <w:p w14:paraId="4A0E648B" w14:textId="5664752D" w:rsidR="00CE0303" w:rsidRPr="00CE0303" w:rsidRDefault="00CE0303" w:rsidP="007F7266">
      <w:pPr>
        <w:ind w:firstLine="567"/>
        <w:rPr>
          <w:rFonts w:eastAsia="Times New Roman" w:cs="Times New Roman"/>
          <w:szCs w:val="25"/>
          <w:lang w:val="lv-LV"/>
        </w:rPr>
      </w:pPr>
      <w:r w:rsidRPr="00CE0303">
        <w:rPr>
          <w:rFonts w:eastAsia="Times New Roman" w:cs="Times New Roman"/>
          <w:szCs w:val="25"/>
          <w:lang w:val="lv-LV"/>
        </w:rPr>
        <w:t>Lai nodrošinātu portatīvo datoru iegādi attālināta darba un attālinātu darba sanāksmju, mācību nodrošināšanai Veselības un darbspēju ekspertīzes ārstu komisijas darbiniekiem, LM lūdz veikt izdevumu pārdali starp izdevumu kodiem apakšprogrammā 05.62.00 “Veselības un darbspēju ekspertīzes ārstu valsts komisija” 2022. gadam un turpmāk ik gadu, samazinot izdevumu</w:t>
      </w:r>
      <w:r w:rsidR="00CA5079">
        <w:rPr>
          <w:rFonts w:eastAsia="Times New Roman" w:cs="Times New Roman"/>
          <w:szCs w:val="25"/>
          <w:lang w:val="lv-LV"/>
        </w:rPr>
        <w:t>s</w:t>
      </w:r>
      <w:r w:rsidRPr="00CE0303">
        <w:rPr>
          <w:rFonts w:eastAsia="Times New Roman" w:cs="Times New Roman"/>
          <w:szCs w:val="25"/>
          <w:lang w:val="lv-LV"/>
        </w:rPr>
        <w:t xml:space="preserve"> precēm un pakalpojumiem 3 000 </w:t>
      </w:r>
      <w:r w:rsidRPr="00CE0303">
        <w:rPr>
          <w:rFonts w:eastAsia="Times New Roman" w:cs="Times New Roman"/>
          <w:i/>
          <w:szCs w:val="25"/>
          <w:lang w:val="lv-LV"/>
        </w:rPr>
        <w:t>euro</w:t>
      </w:r>
      <w:r w:rsidRPr="00CE0303">
        <w:rPr>
          <w:rFonts w:eastAsia="Times New Roman" w:cs="Times New Roman"/>
          <w:szCs w:val="25"/>
          <w:lang w:val="lv-LV"/>
        </w:rPr>
        <w:t xml:space="preserve"> apmērā un palielinot izdevumus kapitālajām iegādēm 3 000 </w:t>
      </w:r>
      <w:r w:rsidRPr="00CE0303">
        <w:rPr>
          <w:rFonts w:eastAsia="Times New Roman" w:cs="Times New Roman"/>
          <w:i/>
          <w:szCs w:val="25"/>
          <w:lang w:val="lv-LV"/>
        </w:rPr>
        <w:t>euro</w:t>
      </w:r>
      <w:r w:rsidRPr="00CE0303">
        <w:rPr>
          <w:rFonts w:eastAsia="Times New Roman" w:cs="Times New Roman"/>
          <w:szCs w:val="25"/>
          <w:lang w:val="lv-LV"/>
        </w:rPr>
        <w:t xml:space="preserve"> apmērā.</w:t>
      </w:r>
      <w:r w:rsidRPr="00CE0303">
        <w:rPr>
          <w:rFonts w:eastAsia="Times New Roman" w:cs="Times New Roman"/>
          <w:b/>
          <w:szCs w:val="25"/>
          <w:lang w:val="lv-LV"/>
        </w:rPr>
        <w:t xml:space="preserve"> </w:t>
      </w:r>
      <w:r w:rsidRPr="00CE0303">
        <w:rPr>
          <w:rFonts w:eastAsia="Times New Roman" w:cs="Times New Roman"/>
          <w:szCs w:val="25"/>
          <w:lang w:val="lv-LV"/>
        </w:rPr>
        <w:t xml:space="preserve">Katru gadu plānots iegādāties vidēji 2 portatīvos datorus (provizoriskais aprēķins: 1 150 </w:t>
      </w:r>
      <w:r w:rsidRPr="00CE0303">
        <w:rPr>
          <w:rFonts w:eastAsia="Times New Roman" w:cs="Times New Roman"/>
          <w:i/>
          <w:szCs w:val="25"/>
          <w:lang w:val="lv-LV"/>
        </w:rPr>
        <w:t>euro</w:t>
      </w:r>
      <w:r w:rsidRPr="00CE0303">
        <w:rPr>
          <w:rFonts w:eastAsia="Times New Roman" w:cs="Times New Roman"/>
          <w:szCs w:val="25"/>
          <w:lang w:val="lv-LV"/>
        </w:rPr>
        <w:t xml:space="preserve"> (vidējā viena datora cena) + 350 </w:t>
      </w:r>
      <w:r w:rsidRPr="00CE0303">
        <w:rPr>
          <w:rFonts w:eastAsia="Times New Roman" w:cs="Times New Roman"/>
          <w:i/>
          <w:szCs w:val="25"/>
          <w:lang w:val="lv-LV"/>
        </w:rPr>
        <w:t>euro</w:t>
      </w:r>
      <w:r w:rsidRPr="00CE0303">
        <w:rPr>
          <w:rFonts w:eastAsia="Times New Roman" w:cs="Times New Roman"/>
          <w:szCs w:val="25"/>
          <w:lang w:val="lv-LV"/>
        </w:rPr>
        <w:t xml:space="preserve"> (vidējā licences cena) x 2 = 3 000 </w:t>
      </w:r>
      <w:r w:rsidRPr="00CE0303">
        <w:rPr>
          <w:rFonts w:eastAsia="Times New Roman" w:cs="Times New Roman"/>
          <w:i/>
          <w:szCs w:val="25"/>
          <w:lang w:val="lv-LV"/>
        </w:rPr>
        <w:t>euro</w:t>
      </w:r>
      <w:r w:rsidRPr="00CE0303">
        <w:rPr>
          <w:rFonts w:eastAsia="Times New Roman" w:cs="Times New Roman"/>
          <w:szCs w:val="25"/>
          <w:lang w:val="lv-LV"/>
        </w:rPr>
        <w:t>).</w:t>
      </w:r>
    </w:p>
    <w:tbl>
      <w:tblPr>
        <w:tblStyle w:val="TableGrid1"/>
        <w:tblW w:w="0" w:type="auto"/>
        <w:jc w:val="center"/>
        <w:tblLook w:val="04A0" w:firstRow="1" w:lastRow="0" w:firstColumn="1" w:lastColumn="0" w:noHBand="0" w:noVBand="1"/>
      </w:tblPr>
      <w:tblGrid>
        <w:gridCol w:w="709"/>
        <w:gridCol w:w="1129"/>
        <w:gridCol w:w="696"/>
        <w:gridCol w:w="1005"/>
        <w:gridCol w:w="709"/>
        <w:gridCol w:w="996"/>
      </w:tblGrid>
      <w:tr w:rsidR="00CE0303" w:rsidRPr="00CE0303" w14:paraId="42366076" w14:textId="77777777" w:rsidTr="00CE0303">
        <w:trPr>
          <w:jc w:val="center"/>
        </w:trPr>
        <w:tc>
          <w:tcPr>
            <w:tcW w:w="709" w:type="dxa"/>
            <w:shd w:val="clear" w:color="auto" w:fill="92D050"/>
            <w:vAlign w:val="center"/>
          </w:tcPr>
          <w:p w14:paraId="25340C01"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58BD3E3B" w14:textId="77777777" w:rsidR="00CE0303" w:rsidRPr="00CE0303" w:rsidRDefault="00CE0303" w:rsidP="00CE0303">
            <w:pPr>
              <w:spacing w:after="0"/>
              <w:jc w:val="center"/>
              <w:rPr>
                <w:rFonts w:eastAsiaTheme="minorHAnsi"/>
                <w:lang w:val="lv-LV"/>
              </w:rPr>
            </w:pPr>
            <w:r w:rsidRPr="00CE0303">
              <w:rPr>
                <w:rFonts w:eastAsiaTheme="minorHAnsi"/>
                <w:lang w:val="lv-LV"/>
              </w:rPr>
              <w:t>3 000</w:t>
            </w:r>
          </w:p>
        </w:tc>
        <w:tc>
          <w:tcPr>
            <w:tcW w:w="696" w:type="dxa"/>
            <w:shd w:val="clear" w:color="auto" w:fill="92D050"/>
            <w:vAlign w:val="center"/>
          </w:tcPr>
          <w:p w14:paraId="6F093C4A"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005" w:type="dxa"/>
            <w:vAlign w:val="center"/>
          </w:tcPr>
          <w:p w14:paraId="505AE170" w14:textId="77777777" w:rsidR="00CE0303" w:rsidRPr="00CE0303" w:rsidRDefault="00CE0303" w:rsidP="00CE0303">
            <w:pPr>
              <w:spacing w:after="0"/>
              <w:jc w:val="center"/>
              <w:rPr>
                <w:rFonts w:eastAsiaTheme="minorHAnsi"/>
                <w:lang w:val="lv-LV"/>
              </w:rPr>
            </w:pPr>
            <w:r w:rsidRPr="00CE0303">
              <w:rPr>
                <w:rFonts w:eastAsiaTheme="minorHAnsi"/>
                <w:lang w:val="lv-LV"/>
              </w:rPr>
              <w:t>3 000</w:t>
            </w:r>
          </w:p>
        </w:tc>
        <w:tc>
          <w:tcPr>
            <w:tcW w:w="709" w:type="dxa"/>
            <w:shd w:val="clear" w:color="auto" w:fill="92D050"/>
            <w:vAlign w:val="center"/>
          </w:tcPr>
          <w:p w14:paraId="49875795"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996" w:type="dxa"/>
            <w:vAlign w:val="center"/>
          </w:tcPr>
          <w:p w14:paraId="6837DD6C" w14:textId="77777777" w:rsidR="00CE0303" w:rsidRPr="00CE0303" w:rsidRDefault="00CE0303" w:rsidP="00CE0303">
            <w:pPr>
              <w:spacing w:after="0"/>
              <w:jc w:val="center"/>
              <w:rPr>
                <w:rFonts w:eastAsiaTheme="minorHAnsi"/>
                <w:lang w:val="lv-LV"/>
              </w:rPr>
            </w:pPr>
            <w:r w:rsidRPr="00CE0303">
              <w:rPr>
                <w:rFonts w:eastAsiaTheme="minorHAnsi"/>
                <w:lang w:val="lv-LV"/>
              </w:rPr>
              <w:t>3 000</w:t>
            </w:r>
          </w:p>
        </w:tc>
      </w:tr>
    </w:tbl>
    <w:p w14:paraId="3B1F5BBF" w14:textId="053570BA" w:rsidR="00CE0303" w:rsidRPr="007868F8" w:rsidRDefault="00152D2E" w:rsidP="00CE0303">
      <w:pPr>
        <w:rPr>
          <w:rFonts w:cs="Times New Roman"/>
          <w:bCs/>
          <w:szCs w:val="24"/>
          <w:lang w:val="lv-LV"/>
        </w:rPr>
      </w:pPr>
      <w:r w:rsidRPr="00152D2E">
        <w:rPr>
          <w:rFonts w:cs="Times New Roman"/>
          <w:bCs/>
          <w:szCs w:val="24"/>
          <w:lang w:val="lv-LV"/>
        </w:rPr>
        <w:tab/>
      </w:r>
    </w:p>
    <w:p w14:paraId="3D0F6FCD" w14:textId="77777777" w:rsidR="00CE0303" w:rsidRPr="00CE0303" w:rsidRDefault="00CE0303" w:rsidP="00CE0303">
      <w:pPr>
        <w:ind w:firstLine="720"/>
        <w:rPr>
          <w:rFonts w:cs="Times New Roman"/>
          <w:b/>
          <w:bCs/>
          <w:szCs w:val="24"/>
          <w:lang w:val="lv-LV"/>
        </w:rPr>
      </w:pPr>
      <w:r w:rsidRPr="00CE0303">
        <w:rPr>
          <w:rFonts w:cs="Times New Roman"/>
          <w:b/>
          <w:bCs/>
          <w:szCs w:val="24"/>
          <w:lang w:val="lv-LV"/>
        </w:rPr>
        <w:t>Pārresoru koordinācijas centrs</w:t>
      </w:r>
    </w:p>
    <w:p w14:paraId="3FF134D0" w14:textId="33E58E75" w:rsidR="007F7266" w:rsidRPr="00D31BE1" w:rsidRDefault="00CE0303" w:rsidP="007F7266">
      <w:pPr>
        <w:spacing w:before="120"/>
        <w:ind w:firstLine="720"/>
        <w:rPr>
          <w:rFonts w:cs="Times New Roman"/>
          <w:bCs/>
          <w:szCs w:val="24"/>
          <w:lang w:val="lv-LV"/>
        </w:rPr>
      </w:pPr>
      <w:r w:rsidRPr="00CE0303">
        <w:rPr>
          <w:rFonts w:cs="Times New Roman"/>
          <w:szCs w:val="24"/>
          <w:lang w:val="lv-LV"/>
        </w:rPr>
        <w:t xml:space="preserve">Veicot PKC pamatbudžeta analīzi, konstatēts, ka laika periodā no 2018. līdz 2020. gadam izdevumu neizpilde vērojama </w:t>
      </w:r>
      <w:bookmarkStart w:id="11" w:name="_Hlk74036831"/>
      <w:r w:rsidRPr="00CE0303">
        <w:rPr>
          <w:rFonts w:cs="Times New Roman"/>
          <w:szCs w:val="24"/>
          <w:lang w:val="lv-LV"/>
        </w:rPr>
        <w:t>programmā 01.00.00 “Pārresoru koordinācijas centra darbības nodrošināšana”</w:t>
      </w:r>
      <w:bookmarkEnd w:id="11"/>
      <w:r w:rsidRPr="00CE0303">
        <w:rPr>
          <w:rFonts w:cs="Times New Roman"/>
          <w:szCs w:val="24"/>
          <w:lang w:val="lv-LV"/>
        </w:rPr>
        <w:t xml:space="preserve">, veidojot </w:t>
      </w:r>
      <w:r w:rsidRPr="00CE0303">
        <w:rPr>
          <w:rFonts w:cs="Times New Roman"/>
          <w:bCs/>
          <w:szCs w:val="24"/>
          <w:lang w:val="lv-LV"/>
        </w:rPr>
        <w:t>trīs gadu periodā izdevumu ne</w:t>
      </w:r>
      <w:r w:rsidR="006F76FD">
        <w:rPr>
          <w:rFonts w:cs="Times New Roman"/>
          <w:bCs/>
          <w:szCs w:val="24"/>
          <w:lang w:val="lv-LV"/>
        </w:rPr>
        <w:t>izpildi</w:t>
      </w:r>
      <w:r w:rsidRPr="00CE0303">
        <w:rPr>
          <w:rFonts w:cs="Times New Roman"/>
          <w:bCs/>
          <w:szCs w:val="24"/>
          <w:lang w:val="lv-LV"/>
        </w:rPr>
        <w:t xml:space="preserve"> vidēji gadā 401,8 tūkst. </w:t>
      </w:r>
      <w:r w:rsidRPr="00CE0303">
        <w:rPr>
          <w:rFonts w:cs="Times New Roman"/>
          <w:bCs/>
          <w:i/>
          <w:szCs w:val="24"/>
          <w:lang w:val="lv-LV"/>
        </w:rPr>
        <w:t>euro</w:t>
      </w:r>
      <w:r w:rsidRPr="00CE0303">
        <w:rPr>
          <w:rFonts w:cs="Times New Roman"/>
          <w:bCs/>
          <w:szCs w:val="24"/>
          <w:lang w:val="lv-LV"/>
        </w:rPr>
        <w:t xml:space="preserve"> apmērā (</w:t>
      </w:r>
      <w:r w:rsidRPr="00CE0303">
        <w:rPr>
          <w:rFonts w:cs="Times New Roman"/>
          <w:bCs/>
          <w:iCs/>
          <w:szCs w:val="24"/>
          <w:lang w:val="lv-LV"/>
        </w:rPr>
        <w:t>2.2.19. attēls</w:t>
      </w:r>
      <w:r w:rsidRPr="00CE0303">
        <w:rPr>
          <w:rFonts w:cs="Times New Roman"/>
          <w:bCs/>
          <w:szCs w:val="24"/>
          <w:lang w:val="lv-LV"/>
        </w:rPr>
        <w:t>).</w:t>
      </w:r>
    </w:p>
    <w:p w14:paraId="768812A1"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2.2.19. attēls</w:t>
      </w:r>
      <w:r w:rsidRPr="00CE0303">
        <w:rPr>
          <w:rFonts w:cs="Times New Roman"/>
          <w:b/>
          <w:bCs/>
          <w:sz w:val="22"/>
          <w:lang w:val="lv-LV"/>
        </w:rPr>
        <w:t xml:space="preserve"> Programmas 01.00.00 “Pārresoru koordinācijas centra darbības nodrošināšana” izdevumu analīze (milj. </w:t>
      </w:r>
      <w:r w:rsidRPr="00CE0303">
        <w:rPr>
          <w:rFonts w:cs="Times New Roman"/>
          <w:b/>
          <w:bCs/>
          <w:i/>
          <w:iCs/>
          <w:sz w:val="22"/>
          <w:lang w:val="lv-LV"/>
        </w:rPr>
        <w:t>euro</w:t>
      </w:r>
      <w:r w:rsidRPr="00CE0303">
        <w:rPr>
          <w:rFonts w:cs="Times New Roman"/>
          <w:b/>
          <w:bCs/>
          <w:sz w:val="22"/>
          <w:lang w:val="lv-LV"/>
        </w:rPr>
        <w:t>)</w:t>
      </w:r>
    </w:p>
    <w:p w14:paraId="5D3F99C1" w14:textId="77777777" w:rsidR="00CE0303" w:rsidRPr="00CE0303" w:rsidRDefault="00CE0303" w:rsidP="00CE0303">
      <w:pPr>
        <w:jc w:val="center"/>
        <w:rPr>
          <w:rFonts w:cs="Times New Roman"/>
          <w:szCs w:val="24"/>
          <w:lang w:val="lv-LV"/>
        </w:rPr>
      </w:pPr>
      <w:r w:rsidRPr="00CE0303">
        <w:rPr>
          <w:rFonts w:asciiTheme="minorHAnsi" w:hAnsiTheme="minorHAnsi"/>
          <w:noProof/>
          <w:sz w:val="22"/>
          <w:lang w:val="lv-LV" w:eastAsia="lv-LV"/>
        </w:rPr>
        <w:drawing>
          <wp:inline distT="0" distB="0" distL="0" distR="0" wp14:anchorId="7B21429E" wp14:editId="64A681E3">
            <wp:extent cx="4944139" cy="1988288"/>
            <wp:effectExtent l="0" t="0" r="8890" b="12065"/>
            <wp:docPr id="2258" name="Chart 2258">
              <a:extLst xmlns:a="http://schemas.openxmlformats.org/drawingml/2006/main">
                <a:ext uri="{FF2B5EF4-FFF2-40B4-BE49-F238E27FC236}">
                  <a16:creationId xmlns:a16="http://schemas.microsoft.com/office/drawing/2014/main" id="{FD009C98-4E96-4D3B-9830-7B6941F90A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BFA7746" w14:textId="77777777" w:rsidR="00CE0303" w:rsidRPr="00CE0303" w:rsidRDefault="00CE0303" w:rsidP="00CE0303">
      <w:pPr>
        <w:ind w:firstLine="720"/>
        <w:rPr>
          <w:rFonts w:cs="Times New Roman"/>
          <w:szCs w:val="24"/>
          <w:lang w:val="lv-LV"/>
        </w:rPr>
      </w:pPr>
      <w:r w:rsidRPr="00CE0303">
        <w:rPr>
          <w:rFonts w:cs="Times New Roman"/>
          <w:szCs w:val="24"/>
          <w:lang w:val="lv-LV"/>
        </w:rPr>
        <w:t>PKC 2020. gada neizpildi skaidro ar Multimodālās agrīnās intervences programmas STOP 4-7 īstenošanas aizkavēšanos COVID-19 ietekmē, kā arī ar prioritārajam pasākumam “Latvijas konkurētspējas novērtējums un tā uzraudzības (monitoringa) sistēma” piešķirtā finansējuma pilnā apmērā neapgūšanu.</w:t>
      </w:r>
    </w:p>
    <w:p w14:paraId="02BEA36E" w14:textId="77777777" w:rsidR="00CE0303" w:rsidRPr="00CE0303" w:rsidRDefault="00CE0303" w:rsidP="00CE0303">
      <w:pPr>
        <w:ind w:firstLine="720"/>
        <w:rPr>
          <w:rFonts w:cs="Times New Roman"/>
          <w:szCs w:val="24"/>
          <w:lang w:val="lv-LV"/>
        </w:rPr>
      </w:pPr>
      <w:r w:rsidRPr="00CE0303">
        <w:rPr>
          <w:rFonts w:cs="Times New Roman"/>
          <w:bCs/>
          <w:szCs w:val="24"/>
          <w:lang w:val="lv-LV"/>
        </w:rPr>
        <w:lastRenderedPageBreak/>
        <w:t xml:space="preserve">Ņemot vērā iepriekš minēto, konstatēts, ka </w:t>
      </w:r>
      <w:r w:rsidRPr="00CE0303">
        <w:rPr>
          <w:rFonts w:cs="Times New Roman"/>
          <w:szCs w:val="24"/>
          <w:lang w:val="lv-LV"/>
        </w:rPr>
        <w:t>programmā 01.00.00 “Pārresoru koordinācijas centra darbības nodrošināšana” ir potenciālais iekšējais resurss 2022. un 2023. gadam.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4D04E0E4" w14:textId="77777777" w:rsidTr="00CE0303">
        <w:tc>
          <w:tcPr>
            <w:tcW w:w="709" w:type="dxa"/>
            <w:shd w:val="clear" w:color="auto" w:fill="ED7D31" w:themeFill="accent2"/>
            <w:vAlign w:val="center"/>
          </w:tcPr>
          <w:p w14:paraId="6690751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4EEA0F03" w14:textId="77777777" w:rsidR="00CE0303" w:rsidRPr="00CE0303" w:rsidRDefault="00CE0303" w:rsidP="00CE0303">
            <w:pPr>
              <w:spacing w:after="0"/>
              <w:jc w:val="center"/>
              <w:rPr>
                <w:rFonts w:eastAsiaTheme="minorHAnsi"/>
                <w:lang w:val="lv-LV"/>
              </w:rPr>
            </w:pPr>
            <w:r w:rsidRPr="00CE0303">
              <w:rPr>
                <w:rFonts w:eastAsiaTheme="minorHAnsi"/>
                <w:lang w:val="lv-LV"/>
              </w:rPr>
              <w:t>401 768</w:t>
            </w:r>
          </w:p>
        </w:tc>
        <w:tc>
          <w:tcPr>
            <w:tcW w:w="696" w:type="dxa"/>
            <w:shd w:val="clear" w:color="auto" w:fill="ED7D31" w:themeFill="accent2"/>
            <w:vAlign w:val="center"/>
          </w:tcPr>
          <w:p w14:paraId="044ED463"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5F369BD3" w14:textId="77777777" w:rsidR="00CE0303" w:rsidRPr="00CE0303" w:rsidRDefault="00CE0303" w:rsidP="00CE0303">
            <w:pPr>
              <w:spacing w:after="0"/>
              <w:jc w:val="center"/>
              <w:rPr>
                <w:rFonts w:eastAsiaTheme="minorHAnsi"/>
                <w:lang w:val="lv-LV"/>
              </w:rPr>
            </w:pPr>
            <w:r w:rsidRPr="00CE0303">
              <w:rPr>
                <w:rFonts w:eastAsiaTheme="minorHAnsi"/>
                <w:lang w:val="lv-LV"/>
              </w:rPr>
              <w:t>401 768</w:t>
            </w:r>
          </w:p>
        </w:tc>
      </w:tr>
    </w:tbl>
    <w:p w14:paraId="4F34729A" w14:textId="77777777" w:rsidR="00CE0303" w:rsidRPr="00CE0303" w:rsidRDefault="00CE0303" w:rsidP="00CE0303">
      <w:pPr>
        <w:ind w:firstLine="720"/>
        <w:rPr>
          <w:rFonts w:cs="Times New Roman"/>
          <w:b/>
          <w:bCs/>
          <w:szCs w:val="24"/>
          <w:lang w:val="lv-LV"/>
        </w:rPr>
      </w:pPr>
    </w:p>
    <w:p w14:paraId="2A1D6DBD" w14:textId="77777777" w:rsidR="00CE0303" w:rsidRPr="00CE0303" w:rsidRDefault="00CE0303" w:rsidP="00CE0303">
      <w:pPr>
        <w:spacing w:line="240" w:lineRule="auto"/>
        <w:ind w:firstLine="720"/>
        <w:rPr>
          <w:rFonts w:cs="Times New Roman"/>
          <w:b/>
          <w:bCs/>
          <w:szCs w:val="24"/>
          <w:lang w:val="lv-LV"/>
        </w:rPr>
      </w:pPr>
      <w:r w:rsidRPr="00CE0303">
        <w:rPr>
          <w:rFonts w:cs="Times New Roman"/>
          <w:b/>
          <w:bCs/>
          <w:szCs w:val="24"/>
          <w:lang w:val="lv-LV"/>
        </w:rPr>
        <w:t>Radio un televīzija</w:t>
      </w:r>
    </w:p>
    <w:p w14:paraId="4607C5CD" w14:textId="77777777" w:rsidR="00CE0303" w:rsidRPr="00CE0303" w:rsidRDefault="00CE0303" w:rsidP="00CE0303">
      <w:pPr>
        <w:spacing w:before="120"/>
        <w:ind w:firstLine="720"/>
        <w:rPr>
          <w:rFonts w:eastAsiaTheme="minorHAnsi"/>
          <w:lang w:val="lv-LV"/>
        </w:rPr>
      </w:pPr>
      <w:r w:rsidRPr="00CE0303">
        <w:rPr>
          <w:rFonts w:eastAsiaTheme="minorHAnsi"/>
          <w:lang w:val="lv-LV"/>
        </w:rPr>
        <w:t>2021. gada 1. janvārī stājās spēkā Sabiedrisko elektronisko plašsaziņas līdzekļu un to pārvaldības likums, kurš paredz SEPLP izveidi. SEPLP funkcijas ir noteiktas Sabiedrisko elektronisko plašsaziņas līdzekļu un to pārvaldības likuma 17. pantā. Vienlaikus ar minētā likuma spēkā stāšanos Elektronisko plašsaziņas līdzekļu likumā tika samazinātas NEPLP funkcijas, tostarp jautājumus par sabiedriskā pasūtījuma izstrādi, apstiprināšanu un īstenošanas uzraudzību turpmāk paredzot SEPLP kompetencē. Ņemot vērā, ka jautājumi saistībā ar sabiedrisko pasūtījumu sabiedriskajos elektroniskajos plašsaziņas līdzekļos turpmāk tiks regulēti Sabiedrisko elektronisko plašsaziņas līdzekļu un to pārvaldības likumā noteiktajā kārtībā un tie būs SEPLP kompetencē, nepieciešams veikt izmaiņas valsts budžeta plānošanā.</w:t>
      </w:r>
    </w:p>
    <w:p w14:paraId="333C10A8" w14:textId="77777777" w:rsidR="00CE0303" w:rsidRPr="00CE0303" w:rsidRDefault="00CE0303" w:rsidP="00CE0303">
      <w:pPr>
        <w:ind w:firstLine="720"/>
        <w:rPr>
          <w:rFonts w:eastAsiaTheme="minorHAnsi"/>
          <w:lang w:val="lv-LV"/>
        </w:rPr>
      </w:pPr>
      <w:r w:rsidRPr="00CE0303">
        <w:rPr>
          <w:rFonts w:eastAsiaTheme="minorHAnsi"/>
          <w:lang w:val="lv-LV"/>
        </w:rPr>
        <w:t xml:space="preserve">Šobrīd budžeta resorā 47. “Radio un televīzija” tiek plānots finansējums NEPLP darbības nodrošināšanai, Latvijas Radio un Latvijas Televīzijas programmu veidošanai un izplatīšanai, komerciālajām televīzijām un radio un finansējums galalietotājiem bez maksas izplatāmo programmu sarakstā iekļauto televīzijas programmu izplatīšanai atbilstoši Elektronisko plašsaziņas līdzekļu likumā paredzētajam. </w:t>
      </w:r>
    </w:p>
    <w:p w14:paraId="2257C5F0" w14:textId="77777777" w:rsidR="00CE0303" w:rsidRPr="00CE0303" w:rsidRDefault="00CE0303" w:rsidP="00CE0303">
      <w:pPr>
        <w:ind w:firstLine="720"/>
        <w:rPr>
          <w:rFonts w:eastAsiaTheme="minorHAnsi"/>
          <w:lang w:val="lv-LV"/>
        </w:rPr>
      </w:pPr>
      <w:r w:rsidRPr="00CE0303">
        <w:rPr>
          <w:rFonts w:eastAsiaTheme="minorHAnsi"/>
          <w:lang w:val="lv-LV"/>
        </w:rPr>
        <w:t>Tā kā 2020. gada 19. novembrī Saeimā pieņemtais Sabiedrisko elektronisko plašsaziņas līdzekļu un to pārvaldības likums un 2020. gada 10. decembrī Saeimā pieņemtie grozījumi Elektronisko plašsaziņas līdzekļu likumā paredz būtiskas kompetenču izmaiņas sabiedrisko elektronisko plašsaziņas līdzekļu darbības jomā un elektronisko plašsaziņas līdzekļu uzraudzībā, kā arī atbilstoši normatīvajos aktos paredzētajam gan SEPLP, gan NEPLP ir neatkarīgas, pilntiesīgas, autonomas institūcijas, nepieciešams veikt budžeta plānošanu atbilstoši izdevumu būtībai. Tādējādi, lai būtu skaidrs finansējuma saņēmējs, budžeta resoram “47. Radio un televīzija” nepieciešams precizēt resora nosaukumu, izsakot to “47. Radio un televīzijas regulators”. Šajā resorā tiktu plānots finansējums NEPLP darbības nodrošināšanai un galalietotājiem bez maksas izplatāmo programmu sarakstā iekļauto televīzijas programmu izplatīšanai atbilstoši Elektronisko plašsaziņas līdzekļu likumā paredzētajam. Savukārt SEPLP uzdevumu izpildei nepieciešams izveidot jaunu budžeta resoru – “46. Sabiedriskie elektroniskie plašsaziņas līdzekļi”, kurā tiktu plānots finansējums SEPLP un sabiedrisko elektronisko plašsaziņas līdzekļu Ombuda darbības nodrošināšanai un sabiedriskā pasūtījuma īstenošanai sabiedriskajos elektroniskajos plašsaziņas līdzekļos.</w:t>
      </w:r>
    </w:p>
    <w:p w14:paraId="1C5157EA" w14:textId="0F197947" w:rsidR="00CE0303" w:rsidRPr="00CE0303" w:rsidRDefault="00CE0303" w:rsidP="00CE0303">
      <w:pPr>
        <w:ind w:firstLine="720"/>
        <w:rPr>
          <w:rFonts w:eastAsiaTheme="minorHAnsi"/>
          <w:lang w:val="lv-LV"/>
        </w:rPr>
      </w:pPr>
      <w:r w:rsidRPr="00CE0303">
        <w:rPr>
          <w:rFonts w:eastAsiaTheme="minorHAnsi"/>
          <w:lang w:val="lv-LV"/>
        </w:rPr>
        <w:t>Vienlaikus līdz ar 2020. gada 10. decembrī Saeimā pieņemtajiem grozījumiem Elektronisko plašsaziņas līdzekļu likumā, tika izslēgta likuma XIII nodaļa “Sabiedriskais pasūtījums”, kuras 71. panta otrā daļa, paredzēja, ka atsevišķu raidījumu vai programmu veidošanu atbilstoši Elektronisko plašsaziņas līdzekļu nozares attīstības nacionālajai stratēģijai NEPLP var konkursa kārtībā nodot citiem elektroniskajiem plašsaziņas līdzekļiem, ja kopējā izmaksu summa šiem elektroniskajiem plašsaziņas līdzekļiem sabiedriskā pasūtījuma izpildei attiecīgajā kalendārajā gadā nepārsniedz 15 procentus no sabiedriskā pasūtījuma īstenošanai piešķirtajiem līdzekļiem. Ņemot vērā, ka šobrīd ne Sabiedrisko elektronisko plašsaziņas līdzekļu un to pārvaldības likumā, ne Elektronisko plašsaziņas līdzekļu likumā nav noteikts konkrēts finansējuma apmērs vai procents, kurš būtu novirzāms citiem elektroniskajiem plašsaziņas līdzekļiem sabiedriskā pasūtījuma nodrošināšanai, KM ierosina sama</w:t>
      </w:r>
      <w:r w:rsidR="00B374D7">
        <w:rPr>
          <w:rFonts w:eastAsiaTheme="minorHAnsi"/>
          <w:lang w:val="lv-LV"/>
        </w:rPr>
        <w:t xml:space="preserve">zināt valsts </w:t>
      </w:r>
      <w:r w:rsidR="00B374D7">
        <w:rPr>
          <w:rFonts w:eastAsiaTheme="minorHAnsi"/>
          <w:lang w:val="lv-LV"/>
        </w:rPr>
        <w:lastRenderedPageBreak/>
        <w:t>budžeta resora 47. “</w:t>
      </w:r>
      <w:r w:rsidRPr="00CE0303">
        <w:rPr>
          <w:rFonts w:eastAsiaTheme="minorHAnsi"/>
          <w:lang w:val="lv-LV"/>
        </w:rPr>
        <w:t xml:space="preserve">Radio un televīzija” programmas 04.00.00 “Komerciālās televīzijas un radio” finansējumu 2022. gadā 1 128 403 </w:t>
      </w:r>
      <w:r w:rsidR="001D5145" w:rsidRPr="001D5145">
        <w:rPr>
          <w:rFonts w:eastAsiaTheme="minorHAnsi"/>
          <w:i/>
          <w:lang w:val="lv-LV"/>
        </w:rPr>
        <w:t>euro</w:t>
      </w:r>
      <w:r w:rsidRPr="00CE0303">
        <w:rPr>
          <w:rFonts w:eastAsiaTheme="minorHAnsi"/>
          <w:lang w:val="lv-LV"/>
        </w:rPr>
        <w:t xml:space="preserve"> apmērā, 2023. gadā 1 053 403 </w:t>
      </w:r>
      <w:r w:rsidR="001D5145" w:rsidRPr="001D5145">
        <w:rPr>
          <w:rFonts w:eastAsiaTheme="minorHAnsi"/>
          <w:i/>
          <w:lang w:val="lv-LV"/>
        </w:rPr>
        <w:t>euro</w:t>
      </w:r>
      <w:r w:rsidRPr="00CE0303">
        <w:rPr>
          <w:rFonts w:eastAsiaTheme="minorHAnsi"/>
          <w:lang w:val="lv-LV"/>
        </w:rPr>
        <w:t xml:space="preserve"> apmērā un 2024. gadā 1 128 403 </w:t>
      </w:r>
      <w:r w:rsidR="001D5145" w:rsidRPr="001D5145">
        <w:rPr>
          <w:rFonts w:eastAsiaTheme="minorHAnsi"/>
          <w:i/>
          <w:lang w:val="lv-LV"/>
        </w:rPr>
        <w:t>euro</w:t>
      </w:r>
      <w:r w:rsidRPr="00CE0303">
        <w:rPr>
          <w:rFonts w:eastAsiaTheme="minorHAnsi"/>
          <w:lang w:val="lv-LV"/>
        </w:rPr>
        <w:t xml:space="preserve"> apmērā, vienlaikus palielinot finansējumu KM budžeta programmā 27.00.00 “Mediju politikas īstenošana” 2022. gadā 1 128 403 </w:t>
      </w:r>
      <w:r w:rsidR="001D5145" w:rsidRPr="001D5145">
        <w:rPr>
          <w:rFonts w:eastAsiaTheme="minorHAnsi"/>
          <w:i/>
          <w:lang w:val="lv-LV"/>
        </w:rPr>
        <w:t>euro</w:t>
      </w:r>
      <w:r w:rsidRPr="00CE0303">
        <w:rPr>
          <w:rFonts w:eastAsiaTheme="minorHAnsi"/>
          <w:lang w:val="lv-LV"/>
        </w:rPr>
        <w:t xml:space="preserve"> apmērā, 2023. gadā 1 053 403 </w:t>
      </w:r>
      <w:r w:rsidR="001D5145" w:rsidRPr="001D5145">
        <w:rPr>
          <w:rFonts w:eastAsiaTheme="minorHAnsi"/>
          <w:i/>
          <w:lang w:val="lv-LV"/>
        </w:rPr>
        <w:t>euro</w:t>
      </w:r>
      <w:r w:rsidRPr="00CE0303">
        <w:rPr>
          <w:rFonts w:eastAsiaTheme="minorHAnsi"/>
          <w:lang w:val="lv-LV"/>
        </w:rPr>
        <w:t xml:space="preserve"> apmērā un 2024. gadā un turpmāk katru gadu </w:t>
      </w:r>
      <w:r w:rsidR="00CF64D3">
        <w:rPr>
          <w:rFonts w:eastAsiaTheme="minorHAnsi"/>
          <w:lang w:val="lv-LV"/>
        </w:rPr>
        <w:t xml:space="preserve">1 128 403 </w:t>
      </w:r>
      <w:r w:rsidR="00B374D7" w:rsidRPr="001D5145">
        <w:rPr>
          <w:rFonts w:eastAsiaTheme="minorHAnsi"/>
          <w:i/>
          <w:lang w:val="lv-LV"/>
        </w:rPr>
        <w:t>euro</w:t>
      </w:r>
      <w:r w:rsidR="00CF64D3">
        <w:rPr>
          <w:rFonts w:eastAsiaTheme="minorHAnsi"/>
          <w:lang w:val="lv-LV"/>
        </w:rPr>
        <w:t xml:space="preserve"> apmērā, </w:t>
      </w:r>
      <w:r w:rsidRPr="00CE0303">
        <w:rPr>
          <w:rFonts w:eastAsiaTheme="minorHAnsi"/>
          <w:lang w:val="lv-LV"/>
        </w:rPr>
        <w:t>Mediju atbalsta fonda darbības paplašināšanai, tādējādi nodrošinot, ka finansējums gan komerciālajiem drukātajiem medijiem, gan komerciālajiem elektroniskajiem medijiem tiek plānots vienuviet.</w:t>
      </w:r>
    </w:p>
    <w:p w14:paraId="77A669AC" w14:textId="77777777" w:rsidR="00CE0303" w:rsidRPr="00CE0303" w:rsidRDefault="00CE0303" w:rsidP="00CE0303">
      <w:pPr>
        <w:spacing w:line="240" w:lineRule="auto"/>
        <w:ind w:firstLine="720"/>
        <w:rPr>
          <w:rFonts w:cs="Times New Roman"/>
          <w:b/>
          <w:bCs/>
          <w:szCs w:val="24"/>
          <w:lang w:val="lv-LV"/>
        </w:rPr>
      </w:pPr>
    </w:p>
    <w:p w14:paraId="4630D821" w14:textId="77777777" w:rsidR="00CE0303" w:rsidRPr="00CE0303" w:rsidRDefault="00CE0303" w:rsidP="00CE0303">
      <w:pPr>
        <w:spacing w:line="240" w:lineRule="auto"/>
        <w:ind w:firstLine="720"/>
        <w:rPr>
          <w:rFonts w:cs="Times New Roman"/>
          <w:b/>
          <w:bCs/>
          <w:szCs w:val="24"/>
          <w:lang w:val="lv-LV"/>
        </w:rPr>
      </w:pPr>
      <w:r w:rsidRPr="00CE0303">
        <w:rPr>
          <w:rFonts w:cs="Times New Roman"/>
          <w:b/>
          <w:bCs/>
          <w:szCs w:val="24"/>
          <w:lang w:val="lv-LV"/>
        </w:rPr>
        <w:t>Sabiedrības integrācijas fonds</w:t>
      </w:r>
    </w:p>
    <w:p w14:paraId="5AE05283" w14:textId="29B3D9A8" w:rsidR="00CE0303" w:rsidRPr="00CE0303" w:rsidRDefault="00CE0303" w:rsidP="00CE0303">
      <w:pPr>
        <w:spacing w:line="240" w:lineRule="auto"/>
        <w:ind w:firstLine="720"/>
        <w:rPr>
          <w:rFonts w:cs="Times New Roman"/>
          <w:bCs/>
          <w:szCs w:val="24"/>
          <w:lang w:val="lv-LV"/>
        </w:rPr>
      </w:pPr>
      <w:r w:rsidRPr="00CE0303">
        <w:rPr>
          <w:rFonts w:cs="Times New Roman"/>
          <w:szCs w:val="24"/>
          <w:lang w:val="lv-LV"/>
        </w:rPr>
        <w:t xml:space="preserve">Veicot SIF pamatbudžeta analīzi, konstatēts, ka laika periodā no 2018. līdz 2020. gadam vērojama izdevumu neizpilde programmā 02.00.00 “Latvijas NVO fonda un latviešu valodas apguves programmas”, veidojot </w:t>
      </w:r>
      <w:r w:rsidRPr="00CE0303">
        <w:rPr>
          <w:rFonts w:cs="Times New Roman"/>
          <w:bCs/>
          <w:szCs w:val="24"/>
          <w:lang w:val="lv-LV"/>
        </w:rPr>
        <w:t>trīs gadu periodā izdevumu ne</w:t>
      </w:r>
      <w:r w:rsidR="006F76FD">
        <w:rPr>
          <w:rFonts w:cs="Times New Roman"/>
          <w:bCs/>
          <w:szCs w:val="24"/>
          <w:lang w:val="lv-LV"/>
        </w:rPr>
        <w:t>izpildi</w:t>
      </w:r>
      <w:r w:rsidRPr="00CE0303">
        <w:rPr>
          <w:rFonts w:cs="Times New Roman"/>
          <w:bCs/>
          <w:szCs w:val="24"/>
          <w:lang w:val="lv-LV"/>
        </w:rPr>
        <w:t xml:space="preserve"> vidēji gadā 33,1 tūkst. </w:t>
      </w:r>
      <w:r w:rsidRPr="00CE0303">
        <w:rPr>
          <w:rFonts w:cs="Times New Roman"/>
          <w:bCs/>
          <w:i/>
          <w:szCs w:val="24"/>
          <w:lang w:val="lv-LV"/>
        </w:rPr>
        <w:t>euro</w:t>
      </w:r>
      <w:r w:rsidRPr="00CE0303">
        <w:rPr>
          <w:rFonts w:cs="Times New Roman"/>
          <w:bCs/>
          <w:szCs w:val="24"/>
          <w:lang w:val="lv-LV"/>
        </w:rPr>
        <w:t xml:space="preserve"> apmērā. </w:t>
      </w:r>
    </w:p>
    <w:p w14:paraId="6ACA5456" w14:textId="77777777" w:rsidR="00CE0303" w:rsidRPr="00CE0303" w:rsidRDefault="00CE0303" w:rsidP="00CE0303">
      <w:pPr>
        <w:spacing w:line="240" w:lineRule="auto"/>
        <w:jc w:val="center"/>
        <w:rPr>
          <w:rFonts w:cs="Times New Roman"/>
          <w:b/>
          <w:bCs/>
          <w:sz w:val="22"/>
          <w:lang w:val="lv-LV"/>
        </w:rPr>
      </w:pPr>
      <w:r w:rsidRPr="00CE0303">
        <w:rPr>
          <w:rFonts w:cs="Times New Roman"/>
          <w:b/>
          <w:bCs/>
          <w:i/>
          <w:iCs/>
          <w:sz w:val="22"/>
          <w:lang w:val="lv-LV"/>
        </w:rPr>
        <w:t>2.2.20. attēls</w:t>
      </w:r>
      <w:r w:rsidRPr="00CE0303">
        <w:rPr>
          <w:rFonts w:cs="Times New Roman"/>
          <w:b/>
          <w:bCs/>
          <w:sz w:val="22"/>
          <w:lang w:val="lv-LV"/>
        </w:rPr>
        <w:t xml:space="preserve"> Programmas 02.00.00 “Latvijas NVO fonda un latviešu valodas apguves programmas” izdevumu analīze (milj. </w:t>
      </w:r>
      <w:r w:rsidRPr="00CE0303">
        <w:rPr>
          <w:rFonts w:cs="Times New Roman"/>
          <w:b/>
          <w:bCs/>
          <w:i/>
          <w:iCs/>
          <w:sz w:val="22"/>
          <w:lang w:val="lv-LV"/>
        </w:rPr>
        <w:t>euro</w:t>
      </w:r>
      <w:r w:rsidRPr="00CE0303">
        <w:rPr>
          <w:rFonts w:cs="Times New Roman"/>
          <w:b/>
          <w:bCs/>
          <w:sz w:val="22"/>
          <w:lang w:val="lv-LV"/>
        </w:rPr>
        <w:t>)</w:t>
      </w:r>
    </w:p>
    <w:p w14:paraId="6F1264E5" w14:textId="77777777" w:rsidR="00CE0303" w:rsidRPr="00CE0303" w:rsidRDefault="00CE0303" w:rsidP="00CE0303">
      <w:pPr>
        <w:spacing w:line="240" w:lineRule="auto"/>
        <w:rPr>
          <w:rFonts w:cs="Times New Roman"/>
          <w:szCs w:val="24"/>
          <w:lang w:val="lv-LV"/>
        </w:rPr>
      </w:pPr>
      <w:r w:rsidRPr="00CE0303">
        <w:rPr>
          <w:noProof/>
          <w:lang w:val="lv-LV" w:eastAsia="lv-LV"/>
        </w:rPr>
        <w:drawing>
          <wp:inline distT="0" distB="0" distL="0" distR="0" wp14:anchorId="60FBBC46" wp14:editId="3472C643">
            <wp:extent cx="5688419" cy="2211070"/>
            <wp:effectExtent l="0" t="0" r="7620" b="17780"/>
            <wp:docPr id="2260" name="Chart 2260">
              <a:extLst xmlns:a="http://schemas.openxmlformats.org/drawingml/2006/main">
                <a:ext uri="{FF2B5EF4-FFF2-40B4-BE49-F238E27FC236}">
                  <a16:creationId xmlns:a16="http://schemas.microsoft.com/office/drawing/2014/main" id="{08FF37E0-2529-436D-B2DE-27A8E0F4F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FB5968F" w14:textId="77777777" w:rsidR="00CE0303" w:rsidRPr="00CE0303" w:rsidRDefault="00CE0303" w:rsidP="00CE0303">
      <w:pPr>
        <w:spacing w:line="240" w:lineRule="auto"/>
        <w:ind w:firstLine="720"/>
        <w:rPr>
          <w:rFonts w:cs="Times New Roman"/>
          <w:szCs w:val="24"/>
          <w:lang w:val="lv-LV"/>
        </w:rPr>
      </w:pPr>
      <w:r w:rsidRPr="00CE0303">
        <w:rPr>
          <w:rFonts w:cs="Times New Roman"/>
          <w:szCs w:val="24"/>
          <w:lang w:val="lv-LV"/>
        </w:rPr>
        <w:t>SIF neizpildi 2020. gadam skaidro ar to, ka izdevumi projektu vērtēšanas ekspertiem decembrī mazāki par plānotajiem, kā arī NVO projekti, kuru gala atskaites apstiprinātas novembrī un decembrī, realizēti par mazākām izmaksām kā paredzēts noslēgtajos līgumos.</w:t>
      </w:r>
    </w:p>
    <w:p w14:paraId="645DBF0B" w14:textId="77777777" w:rsidR="00CE0303" w:rsidRPr="00CE0303" w:rsidRDefault="00CE0303" w:rsidP="00CE0303">
      <w:pPr>
        <w:spacing w:line="240" w:lineRule="auto"/>
        <w:ind w:firstLine="720"/>
        <w:rPr>
          <w:rFonts w:cs="Times New Roman"/>
          <w:szCs w:val="24"/>
          <w:lang w:val="lv-LV"/>
        </w:rPr>
      </w:pPr>
      <w:r w:rsidRPr="00CE0303">
        <w:rPr>
          <w:rFonts w:cs="Times New Roman"/>
          <w:bCs/>
          <w:szCs w:val="24"/>
          <w:lang w:val="lv-LV"/>
        </w:rPr>
        <w:t>Ņemot vērā iepriekš minēto, konstatēts, ka programmā 02.00.00 “Latvijas NVO fonda un latviešu valodas apguves programmas”</w:t>
      </w:r>
      <w:r w:rsidRPr="00CE0303">
        <w:rPr>
          <w:rFonts w:cs="Times New Roman"/>
          <w:szCs w:val="24"/>
          <w:lang w:val="lv-LV"/>
        </w:rPr>
        <w:t xml:space="preserve"> ir potenciālais iekšējais resurss 2022. un 2023. gadam, kas būtu novirzāms aktuālākām SIF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590B4D52" w14:textId="77777777" w:rsidTr="00CE0303">
        <w:tc>
          <w:tcPr>
            <w:tcW w:w="709" w:type="dxa"/>
            <w:shd w:val="clear" w:color="auto" w:fill="ED7D31" w:themeFill="accent2"/>
            <w:vAlign w:val="center"/>
          </w:tcPr>
          <w:p w14:paraId="7B76F3B1"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1D6FC051" w14:textId="77777777" w:rsidR="00CE0303" w:rsidRPr="00CE0303" w:rsidRDefault="00CE0303" w:rsidP="00CE0303">
            <w:pPr>
              <w:spacing w:after="0"/>
              <w:jc w:val="center"/>
              <w:rPr>
                <w:rFonts w:eastAsiaTheme="minorHAnsi"/>
                <w:lang w:val="lv-LV"/>
              </w:rPr>
            </w:pPr>
            <w:r w:rsidRPr="00CE0303">
              <w:rPr>
                <w:rFonts w:eastAsiaTheme="minorHAnsi"/>
                <w:lang w:val="lv-LV"/>
              </w:rPr>
              <w:t>33 171</w:t>
            </w:r>
          </w:p>
        </w:tc>
        <w:tc>
          <w:tcPr>
            <w:tcW w:w="696" w:type="dxa"/>
            <w:shd w:val="clear" w:color="auto" w:fill="ED7D31" w:themeFill="accent2"/>
            <w:vAlign w:val="center"/>
          </w:tcPr>
          <w:p w14:paraId="6331B65F"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052E3747" w14:textId="77777777" w:rsidR="00CE0303" w:rsidRPr="00CE0303" w:rsidRDefault="00CE0303" w:rsidP="00CE0303">
            <w:pPr>
              <w:spacing w:after="0"/>
              <w:jc w:val="center"/>
              <w:rPr>
                <w:rFonts w:eastAsiaTheme="minorHAnsi"/>
                <w:lang w:val="lv-LV"/>
              </w:rPr>
            </w:pPr>
            <w:r w:rsidRPr="00CE0303">
              <w:rPr>
                <w:rFonts w:eastAsiaTheme="minorHAnsi"/>
                <w:lang w:val="lv-LV"/>
              </w:rPr>
              <w:t>33 171</w:t>
            </w:r>
          </w:p>
        </w:tc>
      </w:tr>
    </w:tbl>
    <w:p w14:paraId="271C0232" w14:textId="79E7CC43" w:rsidR="00D310F2" w:rsidRDefault="00D310F2" w:rsidP="00CE0303">
      <w:pPr>
        <w:ind w:firstLine="720"/>
        <w:rPr>
          <w:rFonts w:cs="Times New Roman"/>
          <w:b/>
          <w:bCs/>
          <w:szCs w:val="24"/>
          <w:lang w:val="lv-LV"/>
        </w:rPr>
      </w:pPr>
    </w:p>
    <w:p w14:paraId="4C9421BF" w14:textId="77777777" w:rsidR="00B84B1E" w:rsidRDefault="00B84B1E" w:rsidP="00CE0303">
      <w:pPr>
        <w:ind w:firstLine="720"/>
        <w:rPr>
          <w:rFonts w:eastAsiaTheme="minorHAnsi"/>
          <w:b/>
          <w:lang w:val="lv-LV"/>
        </w:rPr>
      </w:pPr>
    </w:p>
    <w:p w14:paraId="67C8C944" w14:textId="62D1D66D" w:rsidR="00CE0303" w:rsidRPr="00CE0303" w:rsidRDefault="00CE0303" w:rsidP="00CE0303">
      <w:pPr>
        <w:ind w:firstLine="720"/>
        <w:rPr>
          <w:rFonts w:eastAsiaTheme="minorHAnsi"/>
          <w:b/>
          <w:lang w:val="lv-LV"/>
        </w:rPr>
      </w:pPr>
      <w:r w:rsidRPr="00CE0303">
        <w:rPr>
          <w:rFonts w:eastAsiaTheme="minorHAnsi"/>
          <w:b/>
          <w:lang w:val="lv-LV"/>
        </w:rPr>
        <w:t>Satiksmes ministrija</w:t>
      </w:r>
    </w:p>
    <w:p w14:paraId="1CDE1191" w14:textId="7C63FB4A" w:rsidR="00CE0303" w:rsidRDefault="00CE0303" w:rsidP="00CE0303">
      <w:pPr>
        <w:ind w:firstLine="720"/>
        <w:rPr>
          <w:rFonts w:cs="Times New Roman"/>
          <w:bCs/>
          <w:szCs w:val="24"/>
          <w:lang w:val="lv-LV"/>
        </w:rPr>
      </w:pPr>
      <w:bookmarkStart w:id="12" w:name="_Hlk72998891"/>
      <w:r w:rsidRPr="00CE0303">
        <w:rPr>
          <w:rFonts w:eastAsiaTheme="minorHAnsi" w:cs="Times New Roman"/>
          <w:szCs w:val="24"/>
          <w:lang w:val="lv-LV"/>
        </w:rPr>
        <w:t xml:space="preserve">Veicot SM pamatbudžeta analīzi, konstatēts, ka laika periodā no 2018. līdz 2020. gadam izdevumu neizpilde vērojama programmā 97.00.00 “Nozaru vadība un politikas plānošana”, veidojot </w:t>
      </w:r>
      <w:r w:rsidRPr="00CE0303">
        <w:rPr>
          <w:rFonts w:eastAsiaTheme="minorHAnsi" w:cs="Times New Roman"/>
          <w:bCs/>
          <w:szCs w:val="24"/>
          <w:lang w:val="lv-LV"/>
        </w:rPr>
        <w:t>trīs gadu periodā izdevumu ne</w:t>
      </w:r>
      <w:r w:rsidR="006F76FD">
        <w:rPr>
          <w:rFonts w:eastAsiaTheme="minorHAnsi" w:cs="Times New Roman"/>
          <w:bCs/>
          <w:szCs w:val="24"/>
          <w:lang w:val="lv-LV"/>
        </w:rPr>
        <w:t>izpildi</w:t>
      </w:r>
      <w:r w:rsidRPr="00CE0303">
        <w:rPr>
          <w:rFonts w:eastAsiaTheme="minorHAnsi" w:cs="Times New Roman"/>
          <w:bCs/>
          <w:szCs w:val="24"/>
          <w:lang w:val="lv-LV"/>
        </w:rPr>
        <w:t xml:space="preserve"> vidēji g</w:t>
      </w:r>
      <w:r w:rsidR="006F76FD">
        <w:rPr>
          <w:rFonts w:eastAsiaTheme="minorHAnsi" w:cs="Times New Roman"/>
          <w:bCs/>
          <w:szCs w:val="24"/>
          <w:lang w:val="lv-LV"/>
        </w:rPr>
        <w:t>adā 680,</w:t>
      </w:r>
      <w:r w:rsidRPr="00CE0303">
        <w:rPr>
          <w:rFonts w:eastAsiaTheme="minorHAnsi" w:cs="Times New Roman"/>
          <w:bCs/>
          <w:szCs w:val="24"/>
          <w:lang w:val="lv-LV"/>
        </w:rPr>
        <w:t xml:space="preserve">8 tūkst. </w:t>
      </w:r>
      <w:r w:rsidRPr="00CE0303">
        <w:rPr>
          <w:rFonts w:eastAsiaTheme="minorHAnsi" w:cs="Times New Roman"/>
          <w:bCs/>
          <w:i/>
          <w:szCs w:val="24"/>
          <w:lang w:val="lv-LV"/>
        </w:rPr>
        <w:t>euro</w:t>
      </w:r>
      <w:r w:rsidRPr="00CE0303">
        <w:rPr>
          <w:rFonts w:eastAsiaTheme="minorHAnsi" w:cs="Times New Roman"/>
          <w:bCs/>
          <w:szCs w:val="24"/>
          <w:lang w:val="lv-LV"/>
        </w:rPr>
        <w:t xml:space="preserve"> apmērā </w:t>
      </w:r>
      <w:r w:rsidRPr="00CE0303">
        <w:rPr>
          <w:rFonts w:cs="Times New Roman"/>
          <w:bCs/>
          <w:szCs w:val="24"/>
          <w:lang w:val="lv-LV"/>
        </w:rPr>
        <w:t>(</w:t>
      </w:r>
      <w:r w:rsidRPr="00CE0303">
        <w:rPr>
          <w:rFonts w:cs="Times New Roman"/>
          <w:bCs/>
          <w:iCs/>
          <w:szCs w:val="24"/>
          <w:lang w:val="lv-LV"/>
        </w:rPr>
        <w:t>2.2.21. attēls</w:t>
      </w:r>
      <w:r w:rsidRPr="00CE0303">
        <w:rPr>
          <w:rFonts w:cs="Times New Roman"/>
          <w:bCs/>
          <w:szCs w:val="24"/>
          <w:lang w:val="lv-LV"/>
        </w:rPr>
        <w:t>).</w:t>
      </w:r>
    </w:p>
    <w:p w14:paraId="69FD7355" w14:textId="4D026ACA" w:rsidR="006F76FD" w:rsidRDefault="006F76FD" w:rsidP="00CE0303">
      <w:pPr>
        <w:ind w:firstLine="720"/>
        <w:rPr>
          <w:rFonts w:cs="Times New Roman"/>
          <w:bCs/>
          <w:szCs w:val="24"/>
          <w:lang w:val="lv-LV"/>
        </w:rPr>
      </w:pPr>
    </w:p>
    <w:p w14:paraId="70C7A710" w14:textId="77777777" w:rsidR="006F76FD" w:rsidRPr="00CE0303" w:rsidRDefault="006F76FD" w:rsidP="00CE0303">
      <w:pPr>
        <w:ind w:firstLine="720"/>
        <w:rPr>
          <w:rFonts w:eastAsiaTheme="minorHAnsi" w:cs="Times New Roman"/>
          <w:szCs w:val="24"/>
          <w:lang w:val="lv-LV"/>
        </w:rPr>
      </w:pPr>
    </w:p>
    <w:p w14:paraId="0E54B5AE" w14:textId="77777777" w:rsidR="00CE0303" w:rsidRPr="00CE0303" w:rsidRDefault="00CE0303" w:rsidP="00CE0303">
      <w:pPr>
        <w:jc w:val="center"/>
        <w:rPr>
          <w:rFonts w:eastAsiaTheme="minorHAnsi" w:cs="Times New Roman"/>
          <w:b/>
          <w:bCs/>
          <w:sz w:val="22"/>
          <w:lang w:val="lv-LV"/>
        </w:rPr>
      </w:pPr>
      <w:r w:rsidRPr="00CE0303">
        <w:rPr>
          <w:rFonts w:eastAsiaTheme="minorHAnsi" w:cs="Times New Roman"/>
          <w:b/>
          <w:bCs/>
          <w:i/>
          <w:iCs/>
          <w:sz w:val="22"/>
          <w:lang w:val="lv-LV"/>
        </w:rPr>
        <w:lastRenderedPageBreak/>
        <w:t>2.2.21. attēls</w:t>
      </w:r>
      <w:r w:rsidRPr="00CE0303">
        <w:rPr>
          <w:rFonts w:eastAsiaTheme="minorHAnsi" w:cs="Times New Roman"/>
          <w:b/>
          <w:bCs/>
          <w:sz w:val="22"/>
          <w:lang w:val="lv-LV"/>
        </w:rPr>
        <w:t xml:space="preserve"> Programmas </w:t>
      </w:r>
      <w:bookmarkStart w:id="13" w:name="_Hlk73944168"/>
      <w:r w:rsidRPr="00CE0303">
        <w:rPr>
          <w:rFonts w:eastAsiaTheme="minorHAnsi" w:cs="Times New Roman"/>
          <w:b/>
          <w:bCs/>
          <w:sz w:val="22"/>
          <w:lang w:val="lv-LV"/>
        </w:rPr>
        <w:t xml:space="preserve">97.00.00 “Nozaru vadība un politikas plānošana” </w:t>
      </w:r>
      <w:bookmarkEnd w:id="13"/>
      <w:r w:rsidRPr="00CE0303">
        <w:rPr>
          <w:rFonts w:eastAsiaTheme="minorHAnsi" w:cs="Times New Roman"/>
          <w:b/>
          <w:bCs/>
          <w:sz w:val="22"/>
          <w:lang w:val="lv-LV"/>
        </w:rPr>
        <w:t xml:space="preserve">izdevumu analīze (milj. </w:t>
      </w:r>
      <w:r w:rsidRPr="00CE0303">
        <w:rPr>
          <w:rFonts w:eastAsiaTheme="minorHAnsi" w:cs="Times New Roman"/>
          <w:b/>
          <w:bCs/>
          <w:i/>
          <w:iCs/>
          <w:sz w:val="22"/>
          <w:lang w:val="lv-LV"/>
        </w:rPr>
        <w:t>euro</w:t>
      </w:r>
      <w:r w:rsidRPr="00CE0303">
        <w:rPr>
          <w:rFonts w:eastAsiaTheme="minorHAnsi" w:cs="Times New Roman"/>
          <w:b/>
          <w:bCs/>
          <w:sz w:val="22"/>
          <w:lang w:val="lv-LV"/>
        </w:rPr>
        <w:t>)</w:t>
      </w:r>
    </w:p>
    <w:bookmarkEnd w:id="12"/>
    <w:p w14:paraId="62CA8B0F" w14:textId="77777777" w:rsidR="00CE0303" w:rsidRPr="00CE0303" w:rsidRDefault="00CE0303" w:rsidP="00CE0303">
      <w:pPr>
        <w:jc w:val="center"/>
        <w:rPr>
          <w:rFonts w:eastAsiaTheme="minorHAnsi" w:cs="Times New Roman"/>
          <w:b/>
          <w:bCs/>
          <w:szCs w:val="24"/>
          <w:lang w:val="lv-LV"/>
        </w:rPr>
      </w:pPr>
      <w:r w:rsidRPr="00CE0303">
        <w:rPr>
          <w:rFonts w:eastAsiaTheme="minorHAnsi" w:cs="Times New Roman"/>
          <w:b/>
          <w:bCs/>
          <w:noProof/>
          <w:szCs w:val="24"/>
          <w:lang w:val="lv-LV" w:eastAsia="lv-LV"/>
        </w:rPr>
        <w:drawing>
          <wp:inline distT="0" distB="0" distL="0" distR="0" wp14:anchorId="322CC358" wp14:editId="3A5218A4">
            <wp:extent cx="5229225" cy="2019300"/>
            <wp:effectExtent l="0" t="0" r="9525" b="0"/>
            <wp:docPr id="2261" name="Chart 2261">
              <a:extLst xmlns:a="http://schemas.openxmlformats.org/drawingml/2006/main">
                <a:ext uri="{FF2B5EF4-FFF2-40B4-BE49-F238E27FC236}">
                  <a16:creationId xmlns:a16="http://schemas.microsoft.com/office/drawing/2014/main" id="{DDEA76DE-4742-4F83-A619-B0133152AE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F4596CB" w14:textId="33724C2D" w:rsidR="00CE0303" w:rsidRPr="00CE0303" w:rsidRDefault="00CE0303" w:rsidP="00CE0303">
      <w:pPr>
        <w:ind w:firstLine="720"/>
        <w:rPr>
          <w:rFonts w:eastAsiaTheme="minorHAnsi" w:cs="Times New Roman"/>
          <w:szCs w:val="24"/>
          <w:lang w:val="lv-LV"/>
        </w:rPr>
      </w:pPr>
      <w:r w:rsidRPr="00CE0303">
        <w:rPr>
          <w:rFonts w:cs="Times New Roman"/>
          <w:szCs w:val="24"/>
          <w:lang w:val="lv-LV"/>
        </w:rPr>
        <w:t xml:space="preserve">SM norāda, ka izdevumi tiek segti no valsts budžeta dotācijas un pašu ieņēmumiem, tad attiecīgi, plānojot kārtējā gada budžeta izdevumus, tiek paredzēti līdzekļi </w:t>
      </w:r>
      <w:r w:rsidR="008927F1">
        <w:rPr>
          <w:rFonts w:cs="Times New Roman"/>
          <w:szCs w:val="24"/>
          <w:lang w:val="lv-LV"/>
        </w:rPr>
        <w:t>dažādu SM izdevumu segšanai</w:t>
      </w:r>
      <w:r w:rsidRPr="00CE0303">
        <w:rPr>
          <w:rFonts w:cs="Times New Roman"/>
          <w:szCs w:val="24"/>
          <w:lang w:val="lv-LV"/>
        </w:rPr>
        <w:t>.</w:t>
      </w:r>
      <w:r w:rsidRPr="00CE0303">
        <w:rPr>
          <w:rFonts w:eastAsiaTheme="minorHAnsi" w:cs="Times New Roman"/>
          <w:szCs w:val="24"/>
          <w:lang w:val="lv-LV"/>
        </w:rPr>
        <w:t xml:space="preserve"> No </w:t>
      </w:r>
      <w:r w:rsidRPr="00CE0303">
        <w:rPr>
          <w:rFonts w:cs="Times New Roman"/>
          <w:szCs w:val="24"/>
          <w:lang w:val="lv-LV"/>
        </w:rPr>
        <w:t xml:space="preserve">2022. līdz 2024. gadam SM pamatbudžeta programmā 97.00.00 “Nozaru </w:t>
      </w:r>
      <w:r w:rsidR="00CF64D3">
        <w:rPr>
          <w:rFonts w:cs="Times New Roman"/>
          <w:szCs w:val="24"/>
          <w:lang w:val="lv-LV"/>
        </w:rPr>
        <w:t xml:space="preserve">vadība un politikas plānošana” </w:t>
      </w:r>
      <w:r w:rsidRPr="00CE0303">
        <w:rPr>
          <w:rFonts w:cs="Times New Roman"/>
          <w:szCs w:val="24"/>
          <w:lang w:val="lv-LV"/>
        </w:rPr>
        <w:t>tiek plānotas finanšu rezerves – attiecīgi 454</w:t>
      </w:r>
      <w:r w:rsidR="00B374D7">
        <w:rPr>
          <w:rFonts w:cs="Times New Roman"/>
          <w:szCs w:val="24"/>
          <w:lang w:val="lv-LV"/>
        </w:rPr>
        <w:t xml:space="preserve">,7 tūkst. </w:t>
      </w:r>
      <w:r w:rsidRPr="00CE0303">
        <w:rPr>
          <w:rFonts w:cs="Times New Roman"/>
          <w:i/>
          <w:iCs/>
          <w:szCs w:val="24"/>
          <w:lang w:val="lv-LV"/>
        </w:rPr>
        <w:t>euro</w:t>
      </w:r>
      <w:r w:rsidRPr="00CE0303">
        <w:rPr>
          <w:rFonts w:cs="Times New Roman"/>
          <w:szCs w:val="24"/>
          <w:lang w:val="lv-LV"/>
        </w:rPr>
        <w:t xml:space="preserve"> apmērā 2022. un 2023. gadā katru gadu, 358</w:t>
      </w:r>
      <w:r w:rsidR="00B374D7">
        <w:rPr>
          <w:rFonts w:cs="Times New Roman"/>
          <w:szCs w:val="24"/>
          <w:lang w:val="lv-LV"/>
        </w:rPr>
        <w:t>,0 tūkst.</w:t>
      </w:r>
      <w:r w:rsidRPr="00CE0303">
        <w:rPr>
          <w:rFonts w:cs="Times New Roman"/>
          <w:szCs w:val="24"/>
          <w:lang w:val="lv-LV"/>
        </w:rPr>
        <w:t xml:space="preserve"> </w:t>
      </w:r>
      <w:r w:rsidRPr="00CE0303">
        <w:rPr>
          <w:rFonts w:cs="Times New Roman"/>
          <w:i/>
          <w:iCs/>
          <w:szCs w:val="24"/>
          <w:lang w:val="lv-LV"/>
        </w:rPr>
        <w:t>euro</w:t>
      </w:r>
      <w:r w:rsidRPr="00CE0303">
        <w:rPr>
          <w:rFonts w:cs="Times New Roman"/>
          <w:szCs w:val="24"/>
          <w:lang w:val="lv-LV"/>
        </w:rPr>
        <w:t xml:space="preserve"> apmērā 2024. gadā</w:t>
      </w:r>
      <w:r w:rsidR="008927F1">
        <w:rPr>
          <w:rFonts w:cs="Times New Roman"/>
          <w:szCs w:val="24"/>
          <w:lang w:val="lv-LV"/>
        </w:rPr>
        <w:t>,</w:t>
      </w:r>
      <w:r w:rsidR="008927F1" w:rsidRPr="00D61A11">
        <w:rPr>
          <w:lang w:val="lv-LV"/>
        </w:rPr>
        <w:t xml:space="preserve"> </w:t>
      </w:r>
      <w:r w:rsidR="008927F1" w:rsidRPr="008927F1">
        <w:rPr>
          <w:rFonts w:cs="Times New Roman"/>
          <w:szCs w:val="24"/>
          <w:lang w:val="lv-LV"/>
        </w:rPr>
        <w:t>kas tiks iestrādāta</w:t>
      </w:r>
      <w:r w:rsidR="008927F1">
        <w:rPr>
          <w:rFonts w:cs="Times New Roman"/>
          <w:szCs w:val="24"/>
          <w:lang w:val="lv-LV"/>
        </w:rPr>
        <w:t xml:space="preserve"> nākamo periodu bāzes izdevumos</w:t>
      </w:r>
      <w:r w:rsidRPr="00CE0303">
        <w:rPr>
          <w:rFonts w:cs="Times New Roman"/>
          <w:szCs w:val="24"/>
          <w:lang w:val="lv-LV"/>
        </w:rPr>
        <w:t xml:space="preserve"> kārtējo/ārkārtas</w:t>
      </w:r>
      <w:r w:rsidR="00CF64D3">
        <w:rPr>
          <w:rFonts w:cs="Times New Roman"/>
          <w:szCs w:val="24"/>
          <w:lang w:val="lv-LV"/>
        </w:rPr>
        <w:t xml:space="preserve"> </w:t>
      </w:r>
      <w:r w:rsidRPr="00CE0303">
        <w:rPr>
          <w:rFonts w:cs="Times New Roman"/>
          <w:szCs w:val="24"/>
          <w:lang w:val="lv-LV"/>
        </w:rPr>
        <w:t xml:space="preserve">izdevumu segšanai – ēkas Gogoļa ielā 3 uzturēšanas un remontdarbiem, kā arī </w:t>
      </w:r>
      <w:r w:rsidR="008927F1">
        <w:rPr>
          <w:rFonts w:cs="Times New Roman"/>
          <w:szCs w:val="24"/>
          <w:lang w:val="lv-LV"/>
        </w:rPr>
        <w:t xml:space="preserve">paredzamiem izdevumiem - </w:t>
      </w:r>
      <w:r w:rsidRPr="00CE0303">
        <w:rPr>
          <w:rFonts w:cs="Times New Roman"/>
          <w:szCs w:val="24"/>
          <w:lang w:val="lv-LV"/>
        </w:rPr>
        <w:t xml:space="preserve">tiesvedībām (juridiskajām konsultācijām). </w:t>
      </w:r>
      <w:r w:rsidR="00052832" w:rsidRPr="00052832">
        <w:rPr>
          <w:rFonts w:cs="Times New Roman"/>
          <w:szCs w:val="24"/>
          <w:lang w:val="lv-LV"/>
        </w:rPr>
        <w:t xml:space="preserve">Vienlaikus no </w:t>
      </w:r>
      <w:r w:rsidR="00052832">
        <w:rPr>
          <w:rFonts w:cs="Times New Roman"/>
          <w:szCs w:val="24"/>
          <w:lang w:val="lv-LV"/>
        </w:rPr>
        <w:t>sagatavotā bāzes izdevumu 2022.-</w:t>
      </w:r>
      <w:r w:rsidR="00052832" w:rsidRPr="00052832">
        <w:rPr>
          <w:rFonts w:cs="Times New Roman"/>
          <w:szCs w:val="24"/>
          <w:lang w:val="lv-LV"/>
        </w:rPr>
        <w:t>2024.</w:t>
      </w:r>
      <w:r w:rsidR="00052832">
        <w:rPr>
          <w:rFonts w:cs="Times New Roman"/>
          <w:szCs w:val="24"/>
          <w:lang w:val="lv-LV"/>
        </w:rPr>
        <w:t xml:space="preserve"> </w:t>
      </w:r>
      <w:r w:rsidR="00052832" w:rsidRPr="00052832">
        <w:rPr>
          <w:rFonts w:cs="Times New Roman"/>
          <w:szCs w:val="24"/>
          <w:lang w:val="lv-LV"/>
        </w:rPr>
        <w:t>gadam projekta FM secina, ka SM par finanšu rezervi uzskata uzkrātos maksas pakalpojumu ieņēmumu atlikumus, kas nav uzskatāmi par iekšējiem resursiem.</w:t>
      </w:r>
    </w:p>
    <w:p w14:paraId="3D0BD662" w14:textId="4D38F03B" w:rsidR="00CE0303" w:rsidRDefault="00CE0303" w:rsidP="00052832">
      <w:pPr>
        <w:ind w:firstLine="720"/>
        <w:rPr>
          <w:rFonts w:cs="Times New Roman"/>
          <w:szCs w:val="24"/>
          <w:lang w:val="lv-LV"/>
        </w:rPr>
      </w:pPr>
      <w:r w:rsidRPr="00CE0303">
        <w:rPr>
          <w:rFonts w:cs="Times New Roman"/>
          <w:bCs/>
          <w:szCs w:val="24"/>
          <w:lang w:val="lv-LV"/>
        </w:rPr>
        <w:t xml:space="preserve">Ņemot vērā iepriekš minēto, </w:t>
      </w:r>
      <w:r w:rsidR="00052832" w:rsidRPr="00052832">
        <w:rPr>
          <w:rFonts w:cs="Times New Roman"/>
          <w:bCs/>
          <w:szCs w:val="24"/>
          <w:lang w:val="lv-LV"/>
        </w:rPr>
        <w:t xml:space="preserve">kā arī </w:t>
      </w:r>
      <w:r w:rsidR="00052832">
        <w:rPr>
          <w:rFonts w:cs="Times New Roman"/>
          <w:bCs/>
          <w:szCs w:val="24"/>
          <w:lang w:val="lv-LV"/>
        </w:rPr>
        <w:t>SM</w:t>
      </w:r>
      <w:r w:rsidR="00052832" w:rsidRPr="00052832">
        <w:rPr>
          <w:rFonts w:cs="Times New Roman"/>
          <w:bCs/>
          <w:szCs w:val="24"/>
          <w:lang w:val="lv-LV"/>
        </w:rPr>
        <w:t xml:space="preserve"> ikgadēji iesniegtās atskaites par valsts pamatbudžeta izpildes analīzi 12 mēnešiem</w:t>
      </w:r>
      <w:r w:rsidR="00052832" w:rsidRPr="00D61A11">
        <w:rPr>
          <w:rFonts w:cs="Times New Roman"/>
          <w:bCs/>
          <w:szCs w:val="24"/>
          <w:lang w:val="lv-LV"/>
        </w:rPr>
        <w:t xml:space="preserve"> </w:t>
      </w:r>
      <w:r w:rsidRPr="00CE0303">
        <w:rPr>
          <w:rFonts w:cs="Times New Roman"/>
          <w:bCs/>
          <w:szCs w:val="24"/>
          <w:lang w:val="lv-LV"/>
        </w:rPr>
        <w:t>konstatēts, ka programmā 97.00.00 “Nozaru vadība un politikas plānošana”</w:t>
      </w:r>
      <w:r w:rsidRPr="00CE0303">
        <w:rPr>
          <w:rFonts w:cs="Times New Roman"/>
          <w:szCs w:val="24"/>
          <w:lang w:val="lv-LV"/>
        </w:rPr>
        <w:t xml:space="preserve"> </w:t>
      </w:r>
      <w:r w:rsidR="00052832" w:rsidRPr="00052832">
        <w:rPr>
          <w:rFonts w:cs="Times New Roman"/>
          <w:szCs w:val="24"/>
          <w:lang w:val="lv-LV"/>
        </w:rPr>
        <w:t>regulārās izdevumu neizpildes pamatā veidojas saistībā ar tādu izdevumu neizpildi, kas tiek finansēti no maksas pakalpojumu ieņēmumiem un to atlikumiem, attiecīgi iekšējie resursi no vispārējā kārtībā sadalāmās dotācijas no vispārējiem ieņēmumiem nav konstatēt</w:t>
      </w:r>
      <w:r w:rsidR="00052832">
        <w:rPr>
          <w:rFonts w:cs="Times New Roman"/>
          <w:szCs w:val="24"/>
          <w:lang w:val="lv-LV"/>
        </w:rPr>
        <w:t>i.</w:t>
      </w:r>
    </w:p>
    <w:p w14:paraId="2BA7DA3D" w14:textId="1D131A74" w:rsidR="00E85520" w:rsidRDefault="00E85520" w:rsidP="00E85520">
      <w:pPr>
        <w:ind w:firstLine="567"/>
        <w:rPr>
          <w:rFonts w:eastAsiaTheme="minorHAnsi" w:cs="Times New Roman"/>
          <w:szCs w:val="24"/>
          <w:lang w:val="lv-LV"/>
        </w:rPr>
      </w:pPr>
      <w:r w:rsidRPr="00E85520">
        <w:rPr>
          <w:rFonts w:eastAsiaTheme="minorHAnsi" w:cs="Times New Roman"/>
          <w:szCs w:val="24"/>
          <w:lang w:val="lv-LV"/>
        </w:rPr>
        <w:t xml:space="preserve">Lai </w:t>
      </w:r>
      <w:r w:rsidRPr="00E85520">
        <w:rPr>
          <w:rFonts w:eastAsiaTheme="minorHAnsi" w:cs="Times New Roman"/>
          <w:szCs w:val="24"/>
          <w:lang w:val="lv-LV" w:eastAsia="lv-LV"/>
        </w:rPr>
        <w:t>nodrošinātu ministrijas nodarbinātajiem iespēju saņemt atlīdzību par papildus saviem tiešajiem amata (darba, dienesta) pienākumiem veicamajiem papildus amata aprakstā noteiktajiem pienākumiem, tai skaitā  BEREC biroja darbības atbalstam, SM (</w:t>
      </w:r>
      <w:r w:rsidRPr="00E85520">
        <w:rPr>
          <w:rFonts w:eastAsiaTheme="minorHAnsi" w:cs="Times New Roman"/>
          <w:szCs w:val="24"/>
          <w:lang w:val="lv-LV"/>
        </w:rPr>
        <w:t xml:space="preserve">2021.gada 5.augusta vēstule Nr.15-01/3118) lūdz veikt izdevumu pārdali starp izdevumu kodiem programmā 97.00.00 “Nozaru vadība un politikas plānošana” 2022. gadam un turpmāk ik gadu, samazinot izdevumus precēm un pakalpojumiem </w:t>
      </w:r>
      <w:r w:rsidR="00D810EC">
        <w:rPr>
          <w:rFonts w:eastAsiaTheme="minorHAnsi" w:cs="Times New Roman"/>
          <w:szCs w:val="24"/>
          <w:lang w:val="lv-LV"/>
        </w:rPr>
        <w:t>154,3</w:t>
      </w:r>
      <w:r w:rsidR="003F1259">
        <w:rPr>
          <w:rFonts w:eastAsiaTheme="minorHAnsi" w:cs="Times New Roman"/>
          <w:szCs w:val="24"/>
          <w:lang w:val="lv-LV"/>
        </w:rPr>
        <w:t xml:space="preserve"> tūkst. </w:t>
      </w:r>
      <w:r w:rsidRPr="00E85520">
        <w:rPr>
          <w:rFonts w:eastAsiaTheme="minorHAnsi" w:cs="Times New Roman"/>
          <w:i/>
          <w:iCs/>
          <w:szCs w:val="24"/>
          <w:lang w:val="lv-LV"/>
        </w:rPr>
        <w:t>euro</w:t>
      </w:r>
      <w:r w:rsidRPr="00E85520">
        <w:rPr>
          <w:rFonts w:eastAsiaTheme="minorHAnsi" w:cs="Times New Roman"/>
          <w:szCs w:val="24"/>
          <w:lang w:val="lv-LV"/>
        </w:rPr>
        <w:t xml:space="preserve"> apmērā un palielinot izdevumus</w:t>
      </w:r>
      <w:r w:rsidR="003F1259">
        <w:rPr>
          <w:rFonts w:eastAsiaTheme="minorHAnsi" w:cs="Times New Roman"/>
          <w:szCs w:val="24"/>
          <w:lang w:val="lv-LV"/>
        </w:rPr>
        <w:t xml:space="preserve"> atlīdzībai </w:t>
      </w:r>
      <w:r w:rsidR="00D810EC">
        <w:rPr>
          <w:rFonts w:eastAsiaTheme="minorHAnsi" w:cs="Times New Roman"/>
          <w:szCs w:val="24"/>
          <w:lang w:val="lv-LV"/>
        </w:rPr>
        <w:t xml:space="preserve">154,3 </w:t>
      </w:r>
      <w:r w:rsidR="003F1259">
        <w:rPr>
          <w:rFonts w:eastAsiaTheme="minorHAnsi" w:cs="Times New Roman"/>
          <w:szCs w:val="24"/>
          <w:lang w:val="lv-LV"/>
        </w:rPr>
        <w:t xml:space="preserve">tūkst. </w:t>
      </w:r>
      <w:r w:rsidRPr="00E85520">
        <w:rPr>
          <w:rFonts w:eastAsiaTheme="minorHAnsi" w:cs="Times New Roman"/>
          <w:i/>
          <w:iCs/>
          <w:szCs w:val="24"/>
          <w:lang w:val="lv-LV"/>
        </w:rPr>
        <w:t>euro</w:t>
      </w:r>
      <w:r w:rsidRPr="00E85520">
        <w:rPr>
          <w:rFonts w:eastAsiaTheme="minorHAnsi" w:cs="Times New Roman"/>
          <w:szCs w:val="24"/>
          <w:lang w:val="lv-LV"/>
        </w:rPr>
        <w:t xml:space="preserve"> apmērā. Izdevumus precēm un pakalp</w:t>
      </w:r>
      <w:r w:rsidR="00D810EC">
        <w:rPr>
          <w:rFonts w:eastAsiaTheme="minorHAnsi" w:cs="Times New Roman"/>
          <w:szCs w:val="24"/>
          <w:lang w:val="lv-LV"/>
        </w:rPr>
        <w:t xml:space="preserve">ojumiem iespējams samazināt, jo </w:t>
      </w:r>
      <w:r w:rsidR="009671A8" w:rsidRPr="009671A8">
        <w:rPr>
          <w:rFonts w:eastAsiaTheme="minorHAnsi" w:cs="Times New Roman"/>
          <w:szCs w:val="24"/>
          <w:lang w:val="lv-LV"/>
        </w:rPr>
        <w:t xml:space="preserve">tiek samazināti ārvalstu komandējumu izdevumi, izdevumi par neatkarīgu profesionālās darbības veicēju sniegtajiem pakalpojumiem, krājumu, materiālu, energoresursu, preču, biroja preču un inventāra iegādes izdevumi, kā arī budžeta iestāžu nodokļu maksājumi. </w:t>
      </w:r>
      <w:r w:rsidRPr="00E85520">
        <w:rPr>
          <w:rFonts w:eastAsiaTheme="minorHAnsi" w:cs="Times New Roman"/>
          <w:szCs w:val="24"/>
          <w:lang w:val="lv-LV"/>
        </w:rPr>
        <w:t>Savukārt izdevumus atlīdzībai nepieciešams palielināt, jo saskaņā ar SM 2020. gada 30. decembra iekšējiem noteikumiem Nr. 01-02/28 „Papildu atlīdzības piešķiršanas noteikumi 2021. gadam” nodarbinātajiem piemaksas par aizvietošanu nenosaka par īslaicīgām prombūtnēm līdz piecām darba dienām, tāpat arī piemaksas par virsstundu darbu nodarbinātajiem tiek maksātas tikai ārkārtas situāciju gadījumos, kad rodas iepriekš neparedzamas situācijas. SM personāla rotācijas koeficients 2020.</w:t>
      </w:r>
      <w:r>
        <w:rPr>
          <w:rFonts w:eastAsiaTheme="minorHAnsi" w:cs="Times New Roman"/>
          <w:szCs w:val="24"/>
          <w:lang w:val="lv-LV"/>
        </w:rPr>
        <w:t xml:space="preserve"> </w:t>
      </w:r>
      <w:r w:rsidRPr="00E85520">
        <w:rPr>
          <w:rFonts w:eastAsiaTheme="minorHAnsi" w:cs="Times New Roman"/>
          <w:szCs w:val="24"/>
          <w:lang w:val="lv-LV"/>
        </w:rPr>
        <w:t xml:space="preserve">gadā bija 0,33 un personāla atjaunošanās koeficients 0,18. Personāla mainību ietekmē atalgojums, kas salīdzinot ar </w:t>
      </w:r>
      <w:r w:rsidRPr="00E85520">
        <w:rPr>
          <w:rFonts w:eastAsiaTheme="minorHAnsi" w:cs="Times New Roman"/>
          <w:szCs w:val="24"/>
          <w:lang w:val="lv-LV"/>
        </w:rPr>
        <w:lastRenderedPageBreak/>
        <w:t>ministrijas padotības iestādēm, kapitālsabiedrībām un privāto sektoru, ministrijā nav konkurētspējīgs. Tādējādi ministrijai dažkārt neizdodas ilgstoši noturēt amatos kvalificētus nozares speciālistus, kā arī konkursa rezultātā izvēlētam labākajam pretendentam nevar piedāvāt viņ</w:t>
      </w:r>
      <w:r>
        <w:rPr>
          <w:rFonts w:eastAsiaTheme="minorHAnsi" w:cs="Times New Roman"/>
          <w:szCs w:val="24"/>
          <w:lang w:val="lv-LV"/>
        </w:rPr>
        <w:t xml:space="preserve">a vēlmēm atbilstošu atalgojumu. </w:t>
      </w:r>
      <w:r w:rsidRPr="00E85520">
        <w:rPr>
          <w:rFonts w:eastAsiaTheme="minorHAnsi" w:cs="Times New Roman"/>
          <w:szCs w:val="24"/>
          <w:lang w:val="lv-LV"/>
        </w:rPr>
        <w:t>Vakances nereti veidojas arī kompetentu pretendentu trūkuma dēļ, tādējādi nākas organizēt vairākus atkārtotus konkursus uz vienu amata vietu. 2020.</w:t>
      </w:r>
      <w:r>
        <w:rPr>
          <w:rFonts w:eastAsiaTheme="minorHAnsi" w:cs="Times New Roman"/>
          <w:szCs w:val="24"/>
          <w:lang w:val="lv-LV"/>
        </w:rPr>
        <w:t xml:space="preserve"> </w:t>
      </w:r>
      <w:r w:rsidRPr="00E85520">
        <w:rPr>
          <w:rFonts w:eastAsiaTheme="minorHAnsi" w:cs="Times New Roman"/>
          <w:szCs w:val="24"/>
          <w:lang w:val="lv-LV"/>
        </w:rPr>
        <w:t xml:space="preserve">gadā 24% no </w:t>
      </w:r>
      <w:r>
        <w:rPr>
          <w:rFonts w:eastAsiaTheme="minorHAnsi" w:cs="Times New Roman"/>
          <w:szCs w:val="24"/>
          <w:lang w:val="lv-LV"/>
        </w:rPr>
        <w:t>SM</w:t>
      </w:r>
      <w:r w:rsidRPr="00E85520">
        <w:rPr>
          <w:rFonts w:eastAsiaTheme="minorHAnsi" w:cs="Times New Roman"/>
          <w:szCs w:val="24"/>
          <w:lang w:val="lv-LV"/>
        </w:rPr>
        <w:t xml:space="preserve"> izsludinātajiem konkursiem beidzās bez rezultāta, 2021.</w:t>
      </w:r>
      <w:r>
        <w:rPr>
          <w:rFonts w:eastAsiaTheme="minorHAnsi" w:cs="Times New Roman"/>
          <w:szCs w:val="24"/>
          <w:lang w:val="lv-LV"/>
        </w:rPr>
        <w:t xml:space="preserve"> </w:t>
      </w:r>
      <w:r w:rsidRPr="00E85520">
        <w:rPr>
          <w:rFonts w:eastAsiaTheme="minorHAnsi" w:cs="Times New Roman"/>
          <w:szCs w:val="24"/>
          <w:lang w:val="lv-LV"/>
        </w:rPr>
        <w:t>gadā līdz šim organizētajos amatu konkursos 41% gadījumu konkurss ir noslēdzies bez rezultāta.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9"/>
        <w:gridCol w:w="1129"/>
        <w:gridCol w:w="696"/>
        <w:gridCol w:w="1005"/>
        <w:gridCol w:w="709"/>
        <w:gridCol w:w="996"/>
      </w:tblGrid>
      <w:tr w:rsidR="00E85520" w14:paraId="5B8D2120" w14:textId="77777777" w:rsidTr="0085361E">
        <w:trPr>
          <w:trHeight w:val="337"/>
          <w:jc w:val="center"/>
        </w:trPr>
        <w:tc>
          <w:tcPr>
            <w:tcW w:w="709" w:type="dxa"/>
            <w:shd w:val="clear" w:color="auto" w:fill="92D050"/>
            <w:tcMar>
              <w:top w:w="0" w:type="dxa"/>
              <w:left w:w="108" w:type="dxa"/>
              <w:bottom w:w="0" w:type="dxa"/>
              <w:right w:w="108" w:type="dxa"/>
            </w:tcMar>
            <w:vAlign w:val="center"/>
            <w:hideMark/>
          </w:tcPr>
          <w:p w14:paraId="027584BE" w14:textId="77777777" w:rsidR="00E85520" w:rsidRDefault="00E85520" w:rsidP="0085361E">
            <w:pPr>
              <w:spacing w:after="0"/>
              <w:jc w:val="center"/>
              <w:rPr>
                <w:rFonts w:cs="Times New Roman"/>
                <w:szCs w:val="24"/>
              </w:rPr>
            </w:pPr>
            <w:r>
              <w:rPr>
                <w:rFonts w:cs="Times New Roman"/>
                <w:szCs w:val="24"/>
              </w:rPr>
              <w:t>2022</w:t>
            </w:r>
          </w:p>
        </w:tc>
        <w:tc>
          <w:tcPr>
            <w:tcW w:w="1129" w:type="dxa"/>
            <w:tcMar>
              <w:top w:w="0" w:type="dxa"/>
              <w:left w:w="108" w:type="dxa"/>
              <w:bottom w:w="0" w:type="dxa"/>
              <w:right w:w="108" w:type="dxa"/>
            </w:tcMar>
            <w:vAlign w:val="center"/>
            <w:hideMark/>
          </w:tcPr>
          <w:p w14:paraId="71721C27" w14:textId="27233FC1" w:rsidR="00E85520" w:rsidRDefault="00D810EC" w:rsidP="0085361E">
            <w:pPr>
              <w:spacing w:after="0"/>
              <w:jc w:val="center"/>
              <w:rPr>
                <w:rFonts w:cs="Times New Roman"/>
                <w:szCs w:val="24"/>
              </w:rPr>
            </w:pPr>
            <w:r w:rsidRPr="00D810EC">
              <w:rPr>
                <w:rFonts w:cs="Times New Roman"/>
                <w:szCs w:val="24"/>
              </w:rPr>
              <w:t>154 344</w:t>
            </w:r>
          </w:p>
        </w:tc>
        <w:tc>
          <w:tcPr>
            <w:tcW w:w="696" w:type="dxa"/>
            <w:shd w:val="clear" w:color="auto" w:fill="92D050"/>
            <w:tcMar>
              <w:top w:w="0" w:type="dxa"/>
              <w:left w:w="108" w:type="dxa"/>
              <w:bottom w:w="0" w:type="dxa"/>
              <w:right w:w="108" w:type="dxa"/>
            </w:tcMar>
            <w:vAlign w:val="center"/>
            <w:hideMark/>
          </w:tcPr>
          <w:p w14:paraId="41AEE7AD" w14:textId="77777777" w:rsidR="00E85520" w:rsidRDefault="00E85520" w:rsidP="0085361E">
            <w:pPr>
              <w:spacing w:after="0"/>
              <w:jc w:val="center"/>
              <w:rPr>
                <w:rFonts w:cs="Times New Roman"/>
                <w:szCs w:val="24"/>
              </w:rPr>
            </w:pPr>
            <w:r>
              <w:rPr>
                <w:rFonts w:cs="Times New Roman"/>
                <w:szCs w:val="24"/>
              </w:rPr>
              <w:t>2023</w:t>
            </w:r>
          </w:p>
        </w:tc>
        <w:tc>
          <w:tcPr>
            <w:tcW w:w="1005" w:type="dxa"/>
            <w:tcMar>
              <w:top w:w="0" w:type="dxa"/>
              <w:left w:w="108" w:type="dxa"/>
              <w:bottom w:w="0" w:type="dxa"/>
              <w:right w:w="108" w:type="dxa"/>
            </w:tcMar>
            <w:vAlign w:val="center"/>
            <w:hideMark/>
          </w:tcPr>
          <w:p w14:paraId="6DFAAACA" w14:textId="0305808B" w:rsidR="00E85520" w:rsidRDefault="00D810EC" w:rsidP="0085361E">
            <w:pPr>
              <w:spacing w:after="0"/>
              <w:jc w:val="center"/>
              <w:rPr>
                <w:rFonts w:cs="Times New Roman"/>
                <w:szCs w:val="24"/>
              </w:rPr>
            </w:pPr>
            <w:r w:rsidRPr="00D810EC">
              <w:rPr>
                <w:rFonts w:cs="Times New Roman"/>
                <w:szCs w:val="24"/>
              </w:rPr>
              <w:t>154 344</w:t>
            </w:r>
          </w:p>
        </w:tc>
        <w:tc>
          <w:tcPr>
            <w:tcW w:w="709" w:type="dxa"/>
            <w:shd w:val="clear" w:color="auto" w:fill="92D050"/>
            <w:tcMar>
              <w:top w:w="0" w:type="dxa"/>
              <w:left w:w="108" w:type="dxa"/>
              <w:bottom w:w="0" w:type="dxa"/>
              <w:right w:w="108" w:type="dxa"/>
            </w:tcMar>
            <w:vAlign w:val="center"/>
            <w:hideMark/>
          </w:tcPr>
          <w:p w14:paraId="44770A82" w14:textId="77777777" w:rsidR="00E85520" w:rsidRDefault="00E85520" w:rsidP="0085361E">
            <w:pPr>
              <w:spacing w:after="0"/>
              <w:jc w:val="center"/>
              <w:rPr>
                <w:rFonts w:cs="Times New Roman"/>
                <w:szCs w:val="24"/>
              </w:rPr>
            </w:pPr>
            <w:r>
              <w:rPr>
                <w:rFonts w:cs="Times New Roman"/>
                <w:szCs w:val="24"/>
              </w:rPr>
              <w:t>2024</w:t>
            </w:r>
          </w:p>
        </w:tc>
        <w:tc>
          <w:tcPr>
            <w:tcW w:w="996" w:type="dxa"/>
            <w:tcMar>
              <w:top w:w="0" w:type="dxa"/>
              <w:left w:w="108" w:type="dxa"/>
              <w:bottom w:w="0" w:type="dxa"/>
              <w:right w:w="108" w:type="dxa"/>
            </w:tcMar>
            <w:vAlign w:val="center"/>
            <w:hideMark/>
          </w:tcPr>
          <w:p w14:paraId="25DAF246" w14:textId="053641CE" w:rsidR="00E85520" w:rsidRDefault="00D810EC" w:rsidP="0085361E">
            <w:pPr>
              <w:spacing w:after="0"/>
              <w:jc w:val="center"/>
              <w:rPr>
                <w:rFonts w:cs="Times New Roman"/>
                <w:szCs w:val="24"/>
              </w:rPr>
            </w:pPr>
            <w:r w:rsidRPr="00D810EC">
              <w:rPr>
                <w:rFonts w:cs="Times New Roman"/>
                <w:szCs w:val="24"/>
              </w:rPr>
              <w:t>154 344</w:t>
            </w:r>
          </w:p>
        </w:tc>
      </w:tr>
    </w:tbl>
    <w:p w14:paraId="6CED5242" w14:textId="77777777" w:rsidR="00E85520" w:rsidRPr="00E85520" w:rsidRDefault="00E85520" w:rsidP="00E85520">
      <w:pPr>
        <w:spacing w:afterLines="120" w:after="288"/>
        <w:ind w:firstLine="567"/>
        <w:rPr>
          <w:rFonts w:eastAsiaTheme="minorHAnsi" w:cs="Times New Roman"/>
          <w:szCs w:val="24"/>
          <w:lang w:val="lv-LV"/>
        </w:rPr>
      </w:pPr>
    </w:p>
    <w:p w14:paraId="0A2C49EB" w14:textId="77777777" w:rsidR="00CE0303" w:rsidRPr="00CE0303" w:rsidRDefault="00CE0303" w:rsidP="00CE0303">
      <w:pPr>
        <w:ind w:firstLine="720"/>
        <w:rPr>
          <w:rFonts w:eastAsiaTheme="minorHAnsi"/>
          <w:b/>
          <w:lang w:val="lv-LV"/>
        </w:rPr>
      </w:pPr>
      <w:r w:rsidRPr="00CE0303">
        <w:rPr>
          <w:rFonts w:eastAsiaTheme="minorHAnsi"/>
          <w:b/>
          <w:lang w:val="lv-LV"/>
        </w:rPr>
        <w:t>Tieslietu ministrija</w:t>
      </w:r>
    </w:p>
    <w:p w14:paraId="3BD43F80" w14:textId="646BB2CA" w:rsidR="00CE0303" w:rsidRPr="001768BA" w:rsidRDefault="00CE0303" w:rsidP="001768BA">
      <w:pPr>
        <w:ind w:firstLine="720"/>
        <w:rPr>
          <w:rFonts w:eastAsiaTheme="minorHAnsi" w:cs="Times New Roman"/>
          <w:szCs w:val="24"/>
          <w:lang w:val="lv-LV"/>
        </w:rPr>
      </w:pPr>
      <w:r w:rsidRPr="00CE0303">
        <w:rPr>
          <w:rFonts w:eastAsiaTheme="minorHAnsi" w:cs="Times New Roman"/>
          <w:szCs w:val="24"/>
          <w:lang w:val="lv-LV"/>
        </w:rPr>
        <w:t xml:space="preserve">Veicot TM pamatbudžeta analīzi, konstatēts, ka laika periodā no 2018. līdz 2020. gadam izdevumu neizpilde vērojama apakšprogrammās 03.03.00 “Juridiskās palīdzības nodrošināšana”, 06.01.00 “Juridisko personu reģistrācija”, </w:t>
      </w:r>
      <w:r w:rsidRPr="00CE0303">
        <w:rPr>
          <w:rFonts w:cs="Times New Roman"/>
          <w:szCs w:val="24"/>
          <w:lang w:val="lv-LV"/>
        </w:rPr>
        <w:t>06.03.00 “Maksātnespējas procesa pārvaldība”</w:t>
      </w:r>
      <w:r w:rsidRPr="00CE0303">
        <w:rPr>
          <w:rFonts w:eastAsiaTheme="minorHAnsi" w:cs="Times New Roman"/>
          <w:szCs w:val="24"/>
          <w:lang w:val="lv-LV"/>
        </w:rPr>
        <w:t xml:space="preserve"> un programmā 07.00.00 “Nekustamā īpašuma tiesību politikas īstenošana”.</w:t>
      </w:r>
    </w:p>
    <w:p w14:paraId="5894DC21" w14:textId="77777777" w:rsidR="00CE0303" w:rsidRPr="00CE0303" w:rsidRDefault="00CE0303" w:rsidP="00CE0303">
      <w:pPr>
        <w:jc w:val="center"/>
        <w:rPr>
          <w:rFonts w:eastAsiaTheme="minorHAnsi" w:cs="Times New Roman"/>
          <w:b/>
          <w:bCs/>
          <w:sz w:val="22"/>
          <w:lang w:val="lv-LV"/>
        </w:rPr>
      </w:pPr>
      <w:r w:rsidRPr="00CE0303">
        <w:rPr>
          <w:rFonts w:eastAsiaTheme="minorHAnsi" w:cs="Times New Roman"/>
          <w:b/>
          <w:bCs/>
          <w:i/>
          <w:iCs/>
          <w:sz w:val="22"/>
          <w:lang w:val="lv-LV"/>
        </w:rPr>
        <w:t>2.2.22. attēls</w:t>
      </w:r>
      <w:r w:rsidRPr="00CE0303">
        <w:rPr>
          <w:rFonts w:eastAsiaTheme="minorHAnsi" w:cs="Times New Roman"/>
          <w:b/>
          <w:bCs/>
          <w:sz w:val="22"/>
          <w:lang w:val="lv-LV"/>
        </w:rPr>
        <w:t xml:space="preserve"> Apakšprogrammas 03.03.00 “Juridiskās palīdzības nodrošināšana” izdevumu analīze (milj. </w:t>
      </w:r>
      <w:r w:rsidRPr="00CE0303">
        <w:rPr>
          <w:rFonts w:eastAsiaTheme="minorHAnsi" w:cs="Times New Roman"/>
          <w:b/>
          <w:bCs/>
          <w:i/>
          <w:iCs/>
          <w:sz w:val="22"/>
          <w:lang w:val="lv-LV"/>
        </w:rPr>
        <w:t>euro</w:t>
      </w:r>
      <w:r w:rsidRPr="00CE0303">
        <w:rPr>
          <w:rFonts w:eastAsiaTheme="minorHAnsi" w:cs="Times New Roman"/>
          <w:b/>
          <w:bCs/>
          <w:sz w:val="22"/>
          <w:lang w:val="lv-LV"/>
        </w:rPr>
        <w:t>)</w:t>
      </w:r>
    </w:p>
    <w:p w14:paraId="61CDB487" w14:textId="77777777" w:rsidR="00CE0303" w:rsidRPr="00CE0303" w:rsidRDefault="00CE0303" w:rsidP="00CE0303">
      <w:pPr>
        <w:jc w:val="center"/>
        <w:rPr>
          <w:rFonts w:eastAsiaTheme="minorHAnsi" w:cs="Times New Roman"/>
          <w:b/>
          <w:bCs/>
          <w:szCs w:val="24"/>
          <w:lang w:val="lv-LV"/>
        </w:rPr>
      </w:pPr>
      <w:r w:rsidRPr="00CE0303">
        <w:rPr>
          <w:rFonts w:eastAsiaTheme="minorHAnsi" w:cs="Times New Roman"/>
          <w:b/>
          <w:bCs/>
          <w:noProof/>
          <w:szCs w:val="24"/>
          <w:lang w:val="lv-LV" w:eastAsia="lv-LV"/>
        </w:rPr>
        <w:drawing>
          <wp:inline distT="0" distB="0" distL="0" distR="0" wp14:anchorId="3E0DA2A4" wp14:editId="2C253E6D">
            <wp:extent cx="4572000" cy="2062717"/>
            <wp:effectExtent l="0" t="0" r="0" b="13970"/>
            <wp:docPr id="2262" name="Chart 2262">
              <a:extLst xmlns:a="http://schemas.openxmlformats.org/drawingml/2006/main">
                <a:ext uri="{FF2B5EF4-FFF2-40B4-BE49-F238E27FC236}">
                  <a16:creationId xmlns:a16="http://schemas.microsoft.com/office/drawing/2014/main" id="{F8554255-BBBD-424E-ACC3-8122EB387A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B939761" w14:textId="19B72034" w:rsidR="00CE0303" w:rsidRPr="00CE0303" w:rsidRDefault="00CE0303" w:rsidP="00CE0303">
      <w:pPr>
        <w:ind w:firstLine="720"/>
        <w:rPr>
          <w:rFonts w:eastAsiaTheme="minorHAnsi" w:cs="Times New Roman"/>
          <w:bCs/>
          <w:szCs w:val="24"/>
          <w:lang w:val="lv-LV"/>
        </w:rPr>
      </w:pPr>
      <w:r w:rsidRPr="00CE0303">
        <w:rPr>
          <w:rFonts w:eastAsiaTheme="minorHAnsi" w:cs="Times New Roman"/>
          <w:szCs w:val="24"/>
          <w:lang w:val="lv-LV"/>
        </w:rPr>
        <w:t xml:space="preserve">Apakšprogrammā 03.03.00 “Juridiskās palīdzības nodrošināšana” </w:t>
      </w:r>
      <w:r w:rsidRPr="00CE0303">
        <w:rPr>
          <w:rFonts w:eastAsiaTheme="minorHAnsi" w:cs="Times New Roman"/>
          <w:bCs/>
          <w:szCs w:val="24"/>
          <w:lang w:val="lv-LV"/>
        </w:rPr>
        <w:t>trīs gadu periodā veidojas izdevumu ne</w:t>
      </w:r>
      <w:r w:rsidR="006F76FD">
        <w:rPr>
          <w:rFonts w:eastAsiaTheme="minorHAnsi" w:cs="Times New Roman"/>
          <w:bCs/>
          <w:szCs w:val="24"/>
          <w:lang w:val="lv-LV"/>
        </w:rPr>
        <w:t>izpilde</w:t>
      </w:r>
      <w:r w:rsidRPr="00CE0303">
        <w:rPr>
          <w:rFonts w:eastAsiaTheme="minorHAnsi" w:cs="Times New Roman"/>
          <w:bCs/>
          <w:szCs w:val="24"/>
          <w:lang w:val="lv-LV"/>
        </w:rPr>
        <w:t xml:space="preserve"> vidēji gadā 331,5 tūkst. </w:t>
      </w:r>
      <w:r w:rsidRPr="00CE0303">
        <w:rPr>
          <w:rFonts w:eastAsiaTheme="minorHAnsi" w:cs="Times New Roman"/>
          <w:bCs/>
          <w:i/>
          <w:szCs w:val="24"/>
          <w:lang w:val="lv-LV"/>
        </w:rPr>
        <w:t>euro</w:t>
      </w:r>
      <w:r w:rsidRPr="00CE0303">
        <w:rPr>
          <w:rFonts w:eastAsiaTheme="minorHAnsi" w:cs="Times New Roman"/>
          <w:bCs/>
          <w:szCs w:val="24"/>
          <w:lang w:val="lv-LV"/>
        </w:rPr>
        <w:t xml:space="preserve"> apmērā </w:t>
      </w:r>
      <w:r w:rsidRPr="00CE0303">
        <w:rPr>
          <w:rFonts w:cs="Times New Roman"/>
          <w:bCs/>
          <w:szCs w:val="24"/>
          <w:lang w:val="lv-LV"/>
        </w:rPr>
        <w:t>(</w:t>
      </w:r>
      <w:r w:rsidRPr="00CE0303">
        <w:rPr>
          <w:rFonts w:cs="Times New Roman"/>
          <w:bCs/>
          <w:iCs/>
          <w:szCs w:val="24"/>
          <w:lang w:val="lv-LV"/>
        </w:rPr>
        <w:t>2.2.22. attēls</w:t>
      </w:r>
      <w:r w:rsidRPr="00CE0303">
        <w:rPr>
          <w:rFonts w:cs="Times New Roman"/>
          <w:bCs/>
          <w:szCs w:val="24"/>
          <w:lang w:val="lv-LV"/>
        </w:rPr>
        <w:t>).</w:t>
      </w:r>
      <w:r w:rsidRPr="00CE0303">
        <w:rPr>
          <w:rFonts w:eastAsiaTheme="minorHAnsi" w:cs="Times New Roman"/>
          <w:bCs/>
          <w:szCs w:val="24"/>
          <w:lang w:val="lv-LV"/>
        </w:rPr>
        <w:t xml:space="preserve"> </w:t>
      </w:r>
    </w:p>
    <w:p w14:paraId="58233323" w14:textId="77777777" w:rsidR="00CE0303" w:rsidRPr="00CE0303" w:rsidRDefault="00CE0303" w:rsidP="00CE0303">
      <w:pPr>
        <w:ind w:firstLine="720"/>
        <w:rPr>
          <w:rFonts w:eastAsiaTheme="minorHAnsi" w:cs="Times New Roman"/>
          <w:szCs w:val="24"/>
          <w:lang w:val="lv-LV"/>
        </w:rPr>
      </w:pPr>
      <w:r w:rsidRPr="00CE0303">
        <w:rPr>
          <w:rFonts w:eastAsiaTheme="minorHAnsi" w:cs="Times New Roman"/>
          <w:szCs w:val="24"/>
          <w:lang w:val="lv-LV"/>
        </w:rPr>
        <w:t>TM norāda, ka</w:t>
      </w:r>
      <w:r w:rsidRPr="00CE0303">
        <w:rPr>
          <w:rFonts w:eastAsiaTheme="minorHAnsi"/>
          <w:lang w:val="lv-LV"/>
        </w:rPr>
        <w:t xml:space="preserve"> </w:t>
      </w:r>
      <w:r w:rsidRPr="00CE0303">
        <w:rPr>
          <w:rFonts w:eastAsiaTheme="minorHAnsi" w:cs="Times New Roman"/>
          <w:szCs w:val="24"/>
          <w:lang w:val="lv-LV"/>
        </w:rPr>
        <w:t>izmaksas ir atkarīgas no saņemto pieteikumu skaita, kas ir mainīgs lielums un nav atkarīgs no TM, savukārt 2020. gada neizpilde pamatā tiek saistīta ar valstī noteikto ārkārtējo situāciju, kas attiecīgi negatīvi ietekmēja kriminālprocesu virzītāju darbu pirmstiesas kriminālprocesu virzībā un lietu iztiesāšanā.</w:t>
      </w:r>
    </w:p>
    <w:p w14:paraId="596DA9D1" w14:textId="77777777" w:rsidR="00CE0303" w:rsidRPr="00CE0303" w:rsidRDefault="00CE0303" w:rsidP="00CE0303">
      <w:pPr>
        <w:ind w:firstLine="720"/>
        <w:rPr>
          <w:rFonts w:eastAsiaTheme="minorHAnsi" w:cs="Times New Roman"/>
          <w:szCs w:val="24"/>
          <w:lang w:val="lv-LV"/>
        </w:rPr>
      </w:pPr>
      <w:r w:rsidRPr="00CE0303">
        <w:rPr>
          <w:rFonts w:eastAsiaTheme="minorHAnsi" w:cs="Times New Roman"/>
          <w:bCs/>
          <w:szCs w:val="24"/>
          <w:lang w:val="lv-LV"/>
        </w:rPr>
        <w:t xml:space="preserve">Ņemot vērā iepriekš minēto, konstatēts, ka </w:t>
      </w:r>
      <w:r w:rsidRPr="00CE0303">
        <w:rPr>
          <w:rFonts w:eastAsiaTheme="minorHAnsi" w:cs="Times New Roman"/>
          <w:szCs w:val="24"/>
          <w:lang w:val="lv-LV"/>
        </w:rPr>
        <w:t>apakšprogrammā</w:t>
      </w:r>
      <w:r w:rsidRPr="00CE0303">
        <w:rPr>
          <w:rFonts w:eastAsiaTheme="minorHAnsi" w:cs="Times New Roman"/>
          <w:bCs/>
          <w:szCs w:val="24"/>
          <w:lang w:val="lv-LV"/>
        </w:rPr>
        <w:t xml:space="preserve"> 03.03.00 “Juridiskās palīdzības nodrošināšana”</w:t>
      </w:r>
      <w:r w:rsidRPr="00CE0303">
        <w:rPr>
          <w:rFonts w:eastAsiaTheme="minorHAnsi" w:cs="Times New Roman"/>
          <w:szCs w:val="24"/>
          <w:lang w:val="lv-LV"/>
        </w:rPr>
        <w:t xml:space="preserve"> ir potenciālais iekšējais resurss 2022. un 2023. gadam, kas būtu novirzāms aktuālākām TM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6842C1A5" w14:textId="77777777" w:rsidTr="00CE0303">
        <w:tc>
          <w:tcPr>
            <w:tcW w:w="709" w:type="dxa"/>
            <w:shd w:val="clear" w:color="auto" w:fill="ED7D31" w:themeFill="accent2"/>
            <w:vAlign w:val="center"/>
          </w:tcPr>
          <w:p w14:paraId="5F18AA8A"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50535463" w14:textId="77777777" w:rsidR="00CE0303" w:rsidRPr="00CE0303" w:rsidRDefault="00CE0303" w:rsidP="00CE0303">
            <w:pPr>
              <w:spacing w:after="0"/>
              <w:jc w:val="center"/>
              <w:rPr>
                <w:rFonts w:eastAsiaTheme="minorHAnsi"/>
                <w:lang w:val="lv-LV"/>
              </w:rPr>
            </w:pPr>
            <w:r w:rsidRPr="00CE0303">
              <w:rPr>
                <w:rFonts w:eastAsiaTheme="minorHAnsi"/>
                <w:lang w:val="lv-LV"/>
              </w:rPr>
              <w:t>331 493</w:t>
            </w:r>
          </w:p>
        </w:tc>
        <w:tc>
          <w:tcPr>
            <w:tcW w:w="696" w:type="dxa"/>
            <w:shd w:val="clear" w:color="auto" w:fill="ED7D31" w:themeFill="accent2"/>
            <w:vAlign w:val="center"/>
          </w:tcPr>
          <w:p w14:paraId="27D9352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52D8F52E" w14:textId="77777777" w:rsidR="00CE0303" w:rsidRPr="00CE0303" w:rsidRDefault="00CE0303" w:rsidP="00CE0303">
            <w:pPr>
              <w:spacing w:after="0"/>
              <w:jc w:val="center"/>
              <w:rPr>
                <w:rFonts w:eastAsiaTheme="minorHAnsi"/>
                <w:lang w:val="lv-LV"/>
              </w:rPr>
            </w:pPr>
            <w:r w:rsidRPr="00CE0303">
              <w:rPr>
                <w:rFonts w:eastAsiaTheme="minorHAnsi"/>
                <w:lang w:val="lv-LV"/>
              </w:rPr>
              <w:t>331 493</w:t>
            </w:r>
          </w:p>
        </w:tc>
      </w:tr>
    </w:tbl>
    <w:p w14:paraId="640BD246" w14:textId="2A7C0186" w:rsidR="00CE0303" w:rsidRDefault="00CE0303" w:rsidP="00CE0303">
      <w:pPr>
        <w:ind w:firstLine="720"/>
        <w:rPr>
          <w:rFonts w:eastAsiaTheme="minorHAnsi" w:cs="Times New Roman"/>
          <w:szCs w:val="24"/>
          <w:lang w:val="lv-LV"/>
        </w:rPr>
      </w:pPr>
    </w:p>
    <w:p w14:paraId="72532860" w14:textId="5EDFF7D2" w:rsidR="006F76FD" w:rsidRDefault="006F76FD" w:rsidP="00CE0303">
      <w:pPr>
        <w:ind w:firstLine="720"/>
        <w:rPr>
          <w:rFonts w:eastAsiaTheme="minorHAnsi" w:cs="Times New Roman"/>
          <w:szCs w:val="24"/>
          <w:lang w:val="lv-LV"/>
        </w:rPr>
      </w:pPr>
    </w:p>
    <w:p w14:paraId="51332EFF" w14:textId="13A40B1F" w:rsidR="006F76FD" w:rsidRDefault="006F76FD" w:rsidP="00CE0303">
      <w:pPr>
        <w:ind w:firstLine="720"/>
        <w:rPr>
          <w:rFonts w:eastAsiaTheme="minorHAnsi" w:cs="Times New Roman"/>
          <w:szCs w:val="24"/>
          <w:lang w:val="lv-LV"/>
        </w:rPr>
      </w:pPr>
    </w:p>
    <w:p w14:paraId="174B54E5" w14:textId="77777777" w:rsidR="006F76FD" w:rsidRPr="00CE0303" w:rsidRDefault="006F76FD" w:rsidP="00CE0303">
      <w:pPr>
        <w:ind w:firstLine="720"/>
        <w:rPr>
          <w:rFonts w:eastAsiaTheme="minorHAnsi" w:cs="Times New Roman"/>
          <w:szCs w:val="24"/>
          <w:lang w:val="lv-LV"/>
        </w:rPr>
      </w:pPr>
    </w:p>
    <w:p w14:paraId="348EA085" w14:textId="77777777" w:rsidR="00CE0303" w:rsidRPr="00CE0303" w:rsidRDefault="00CE0303" w:rsidP="00CE0303">
      <w:pPr>
        <w:jc w:val="center"/>
        <w:rPr>
          <w:rFonts w:eastAsiaTheme="minorHAnsi" w:cs="Times New Roman"/>
          <w:b/>
          <w:bCs/>
          <w:sz w:val="22"/>
          <w:lang w:val="lv-LV"/>
        </w:rPr>
      </w:pPr>
      <w:r w:rsidRPr="00CE0303">
        <w:rPr>
          <w:rFonts w:eastAsiaTheme="minorHAnsi" w:cs="Times New Roman"/>
          <w:b/>
          <w:bCs/>
          <w:i/>
          <w:iCs/>
          <w:sz w:val="22"/>
          <w:lang w:val="lv-LV"/>
        </w:rPr>
        <w:lastRenderedPageBreak/>
        <w:t>2.2.23. attēls</w:t>
      </w:r>
      <w:r w:rsidRPr="00CE0303">
        <w:rPr>
          <w:rFonts w:eastAsiaTheme="minorHAnsi" w:cs="Times New Roman"/>
          <w:b/>
          <w:bCs/>
          <w:sz w:val="22"/>
          <w:lang w:val="lv-LV"/>
        </w:rPr>
        <w:t xml:space="preserve"> Apakšprogrammas 06.01.00 “Juridisko personu reģistrācija” izdevumu analīze (milj. </w:t>
      </w:r>
      <w:r w:rsidRPr="00CE0303">
        <w:rPr>
          <w:rFonts w:eastAsiaTheme="minorHAnsi" w:cs="Times New Roman"/>
          <w:b/>
          <w:bCs/>
          <w:i/>
          <w:iCs/>
          <w:sz w:val="22"/>
          <w:lang w:val="lv-LV"/>
        </w:rPr>
        <w:t>euro</w:t>
      </w:r>
      <w:r w:rsidRPr="00CE0303">
        <w:rPr>
          <w:rFonts w:eastAsiaTheme="minorHAnsi" w:cs="Times New Roman"/>
          <w:b/>
          <w:bCs/>
          <w:sz w:val="22"/>
          <w:lang w:val="lv-LV"/>
        </w:rPr>
        <w:t>)</w:t>
      </w:r>
    </w:p>
    <w:p w14:paraId="5EB0E708" w14:textId="77777777" w:rsidR="00CE0303" w:rsidRPr="00CE0303" w:rsidRDefault="00CE0303" w:rsidP="00CE0303">
      <w:pPr>
        <w:jc w:val="center"/>
        <w:rPr>
          <w:rFonts w:eastAsiaTheme="minorHAnsi" w:cs="Times New Roman"/>
          <w:b/>
          <w:bCs/>
          <w:szCs w:val="24"/>
          <w:lang w:val="lv-LV"/>
        </w:rPr>
      </w:pPr>
      <w:r w:rsidRPr="00CE0303">
        <w:rPr>
          <w:rFonts w:eastAsiaTheme="minorHAnsi" w:cs="Times New Roman"/>
          <w:b/>
          <w:bCs/>
          <w:noProof/>
          <w:szCs w:val="24"/>
          <w:lang w:val="lv-LV" w:eastAsia="lv-LV"/>
        </w:rPr>
        <w:drawing>
          <wp:inline distT="0" distB="0" distL="0" distR="0" wp14:anchorId="2BD8B510" wp14:editId="33A6FC02">
            <wp:extent cx="4635795" cy="1871330"/>
            <wp:effectExtent l="0" t="0" r="12700" b="15240"/>
            <wp:docPr id="2263" name="Chart 2263">
              <a:extLst xmlns:a="http://schemas.openxmlformats.org/drawingml/2006/main">
                <a:ext uri="{FF2B5EF4-FFF2-40B4-BE49-F238E27FC236}">
                  <a16:creationId xmlns:a16="http://schemas.microsoft.com/office/drawing/2014/main" id="{86E05366-9601-4234-8D74-10E6D8EBE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39BFA25" w14:textId="00EE16C4" w:rsidR="00CE0303" w:rsidRPr="00CE0303" w:rsidRDefault="00CE0303" w:rsidP="00CE0303">
      <w:pPr>
        <w:ind w:firstLine="720"/>
        <w:rPr>
          <w:rFonts w:eastAsiaTheme="minorHAnsi" w:cs="Times New Roman"/>
          <w:bCs/>
          <w:szCs w:val="24"/>
          <w:lang w:val="lv-LV"/>
        </w:rPr>
      </w:pPr>
      <w:r w:rsidRPr="00CE0303">
        <w:rPr>
          <w:rFonts w:eastAsiaTheme="minorHAnsi" w:cs="Times New Roman"/>
          <w:szCs w:val="24"/>
          <w:lang w:val="lv-LV"/>
        </w:rPr>
        <w:t xml:space="preserve">Apakšprogrammā 06.01.00 “Juridisko personu reģistrācija” </w:t>
      </w:r>
      <w:r w:rsidRPr="00CE0303">
        <w:rPr>
          <w:rFonts w:eastAsiaTheme="minorHAnsi" w:cs="Times New Roman"/>
          <w:bCs/>
          <w:szCs w:val="24"/>
          <w:lang w:val="lv-LV"/>
        </w:rPr>
        <w:t xml:space="preserve">trīs gadu periodā </w:t>
      </w:r>
      <w:r w:rsidRPr="00CE0303">
        <w:rPr>
          <w:rFonts w:eastAsiaTheme="minorHAnsi" w:cs="Times New Roman"/>
          <w:szCs w:val="24"/>
          <w:lang w:val="lv-LV"/>
        </w:rPr>
        <w:t>veidojas</w:t>
      </w:r>
      <w:r w:rsidRPr="00CE0303">
        <w:rPr>
          <w:rFonts w:eastAsiaTheme="minorHAnsi" w:cs="Times New Roman"/>
          <w:bCs/>
          <w:szCs w:val="24"/>
          <w:lang w:val="lv-LV"/>
        </w:rPr>
        <w:t xml:space="preserve"> izdevumu ne</w:t>
      </w:r>
      <w:r w:rsidR="006F76FD">
        <w:rPr>
          <w:rFonts w:eastAsiaTheme="minorHAnsi" w:cs="Times New Roman"/>
          <w:bCs/>
          <w:szCs w:val="24"/>
          <w:lang w:val="lv-LV"/>
        </w:rPr>
        <w:t>izpilde</w:t>
      </w:r>
      <w:r w:rsidRPr="00CE0303">
        <w:rPr>
          <w:rFonts w:eastAsiaTheme="minorHAnsi" w:cs="Times New Roman"/>
          <w:bCs/>
          <w:szCs w:val="24"/>
          <w:lang w:val="lv-LV"/>
        </w:rPr>
        <w:t xml:space="preserve"> vidēji gadā 682,5 tūkst. </w:t>
      </w:r>
      <w:r w:rsidRPr="00CE0303">
        <w:rPr>
          <w:rFonts w:eastAsiaTheme="minorHAnsi" w:cs="Times New Roman"/>
          <w:bCs/>
          <w:i/>
          <w:szCs w:val="24"/>
          <w:lang w:val="lv-LV"/>
        </w:rPr>
        <w:t>euro</w:t>
      </w:r>
      <w:r w:rsidRPr="00CE0303">
        <w:rPr>
          <w:rFonts w:eastAsiaTheme="minorHAnsi" w:cs="Times New Roman"/>
          <w:bCs/>
          <w:szCs w:val="24"/>
          <w:lang w:val="lv-LV"/>
        </w:rPr>
        <w:t xml:space="preserve"> apmērā (</w:t>
      </w:r>
      <w:r w:rsidRPr="00CE0303">
        <w:rPr>
          <w:rFonts w:cs="Times New Roman"/>
          <w:bCs/>
          <w:iCs/>
          <w:szCs w:val="24"/>
          <w:lang w:val="lv-LV"/>
        </w:rPr>
        <w:t>2.2.23. attēls</w:t>
      </w:r>
      <w:r w:rsidRPr="00CE0303">
        <w:rPr>
          <w:rFonts w:eastAsiaTheme="minorHAnsi" w:cs="Times New Roman"/>
          <w:bCs/>
          <w:szCs w:val="24"/>
          <w:lang w:val="lv-LV"/>
        </w:rPr>
        <w:t xml:space="preserve">). </w:t>
      </w:r>
    </w:p>
    <w:p w14:paraId="51D827EB" w14:textId="77777777" w:rsidR="00CE0303" w:rsidRPr="00CE0303" w:rsidRDefault="00CE0303" w:rsidP="00CE0303">
      <w:pPr>
        <w:ind w:firstLine="720"/>
        <w:rPr>
          <w:rFonts w:eastAsiaTheme="minorHAnsi" w:cs="Times New Roman"/>
          <w:szCs w:val="24"/>
          <w:lang w:val="lv-LV"/>
        </w:rPr>
      </w:pPr>
      <w:r w:rsidRPr="00CE0303">
        <w:rPr>
          <w:rFonts w:eastAsiaTheme="minorHAnsi" w:cs="Times New Roman"/>
          <w:szCs w:val="24"/>
          <w:lang w:val="lv-LV"/>
        </w:rPr>
        <w:t>TM norāda, ka neizpilde no 2018. gada pamatā ir saistīta ar Uzņēmumu reģistra informācijas sistēmas modernizācijas un attīstības darbu kavēšanos. Sākotnēji ieilga iepirkuma process un līguma slēgšana ar izpildītāju, pēc tam līgums ar šo izpildītāju tika izbeigts sakarā ar to, ka izstrādātājs laikā netika veicis aktivitātes un pielāgojumus, kas saistīti ar Uzņēmumu reģistra publisko reģistru modernizāciju. Tika meklēts jauns izstrādātājs, bet arī šobrīd sistēmas modernizācijas darbi kavējas un ir paredzams, ka arī šogad viss piešķirtais finansējums netiks apgūts.</w:t>
      </w:r>
    </w:p>
    <w:p w14:paraId="6C805156" w14:textId="77777777" w:rsidR="00CE0303" w:rsidRPr="00CE0303" w:rsidRDefault="00CE0303" w:rsidP="00CE0303">
      <w:pPr>
        <w:ind w:firstLine="720"/>
        <w:rPr>
          <w:rFonts w:eastAsiaTheme="minorHAnsi" w:cs="Times New Roman"/>
          <w:szCs w:val="24"/>
          <w:lang w:val="lv-LV"/>
        </w:rPr>
      </w:pPr>
      <w:r w:rsidRPr="00CE0303">
        <w:rPr>
          <w:rFonts w:eastAsiaTheme="minorHAnsi" w:cs="Times New Roman"/>
          <w:bCs/>
          <w:szCs w:val="24"/>
          <w:lang w:val="lv-LV"/>
        </w:rPr>
        <w:t>Apakšprogrammā 06.01.00 “Juridisko personu reģistrācija”</w:t>
      </w:r>
      <w:r w:rsidRPr="00CE0303">
        <w:rPr>
          <w:rFonts w:eastAsiaTheme="minorHAnsi" w:cs="Times New Roman"/>
          <w:szCs w:val="24"/>
          <w:lang w:val="lv-LV"/>
        </w:rPr>
        <w:t xml:space="preserve"> ir potenciālais iekšējais resurss 2022. un 2023. gadam kas būtu novirzāms aktuālākām TM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5FA50EB0" w14:textId="77777777" w:rsidTr="00CE0303">
        <w:tc>
          <w:tcPr>
            <w:tcW w:w="709" w:type="dxa"/>
            <w:shd w:val="clear" w:color="auto" w:fill="ED7D31" w:themeFill="accent2"/>
            <w:vAlign w:val="center"/>
          </w:tcPr>
          <w:p w14:paraId="11BD50D3"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26D25671" w14:textId="77777777" w:rsidR="00CE0303" w:rsidRPr="00CE0303" w:rsidRDefault="00CE0303" w:rsidP="00CE0303">
            <w:pPr>
              <w:spacing w:after="0"/>
              <w:jc w:val="center"/>
              <w:rPr>
                <w:rFonts w:eastAsiaTheme="minorHAnsi"/>
                <w:lang w:val="lv-LV"/>
              </w:rPr>
            </w:pPr>
            <w:r w:rsidRPr="00CE0303">
              <w:rPr>
                <w:rFonts w:eastAsiaTheme="minorHAnsi"/>
                <w:lang w:val="lv-LV"/>
              </w:rPr>
              <w:t>682 506</w:t>
            </w:r>
          </w:p>
        </w:tc>
        <w:tc>
          <w:tcPr>
            <w:tcW w:w="696" w:type="dxa"/>
            <w:shd w:val="clear" w:color="auto" w:fill="ED7D31" w:themeFill="accent2"/>
            <w:vAlign w:val="center"/>
          </w:tcPr>
          <w:p w14:paraId="6E4AF1D5"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4C2C6ED7" w14:textId="77777777" w:rsidR="00CE0303" w:rsidRPr="00CE0303" w:rsidRDefault="00CE0303" w:rsidP="00CE0303">
            <w:pPr>
              <w:spacing w:after="0"/>
              <w:jc w:val="center"/>
              <w:rPr>
                <w:rFonts w:eastAsiaTheme="minorHAnsi"/>
                <w:lang w:val="lv-LV"/>
              </w:rPr>
            </w:pPr>
            <w:r w:rsidRPr="00CE0303">
              <w:rPr>
                <w:rFonts w:eastAsiaTheme="minorHAnsi"/>
                <w:lang w:val="lv-LV"/>
              </w:rPr>
              <w:t>682 506</w:t>
            </w:r>
          </w:p>
        </w:tc>
      </w:tr>
    </w:tbl>
    <w:p w14:paraId="47A9A1ED" w14:textId="45EC28E0" w:rsidR="00B84B1E" w:rsidRPr="00CE0303" w:rsidRDefault="00B84B1E" w:rsidP="00CE0303">
      <w:pPr>
        <w:ind w:firstLine="720"/>
        <w:rPr>
          <w:rFonts w:eastAsiaTheme="minorHAnsi" w:cs="Times New Roman"/>
          <w:szCs w:val="24"/>
          <w:lang w:val="lv-LV"/>
        </w:rPr>
      </w:pPr>
    </w:p>
    <w:p w14:paraId="3194AE0B" w14:textId="77777777" w:rsidR="00CE0303" w:rsidRPr="00CE0303" w:rsidRDefault="00CE0303" w:rsidP="00CE0303">
      <w:pPr>
        <w:spacing w:line="240" w:lineRule="auto"/>
        <w:jc w:val="center"/>
        <w:rPr>
          <w:rFonts w:cs="Times New Roman"/>
          <w:b/>
          <w:bCs/>
          <w:sz w:val="22"/>
          <w:lang w:val="lv-LV"/>
        </w:rPr>
      </w:pPr>
      <w:bookmarkStart w:id="14" w:name="_Hlk74731835"/>
      <w:r w:rsidRPr="00CE0303">
        <w:rPr>
          <w:rFonts w:cs="Times New Roman"/>
          <w:b/>
          <w:bCs/>
          <w:i/>
          <w:iCs/>
          <w:sz w:val="22"/>
          <w:lang w:val="lv-LV"/>
        </w:rPr>
        <w:t>2.2.24. attēls</w:t>
      </w:r>
      <w:r w:rsidRPr="00CE0303">
        <w:rPr>
          <w:rFonts w:cs="Times New Roman"/>
          <w:b/>
          <w:bCs/>
          <w:sz w:val="22"/>
          <w:lang w:val="lv-LV"/>
        </w:rPr>
        <w:t xml:space="preserve"> Apakšprogrammas 06.03.00 “Maksātnespējas procesa pārvaldība” izdevumu analīze (milj. </w:t>
      </w:r>
      <w:r w:rsidRPr="00CE0303">
        <w:rPr>
          <w:rFonts w:cs="Times New Roman"/>
          <w:b/>
          <w:bCs/>
          <w:i/>
          <w:iCs/>
          <w:sz w:val="22"/>
          <w:lang w:val="lv-LV"/>
        </w:rPr>
        <w:t>euro</w:t>
      </w:r>
      <w:r w:rsidRPr="00CE0303">
        <w:rPr>
          <w:rFonts w:cs="Times New Roman"/>
          <w:b/>
          <w:bCs/>
          <w:sz w:val="22"/>
          <w:lang w:val="lv-LV"/>
        </w:rPr>
        <w:t>)</w:t>
      </w:r>
    </w:p>
    <w:p w14:paraId="2FE5A594" w14:textId="77777777" w:rsidR="00CE0303" w:rsidRPr="00CE0303" w:rsidRDefault="00CE0303" w:rsidP="00CE0303">
      <w:pPr>
        <w:spacing w:line="240" w:lineRule="auto"/>
        <w:jc w:val="center"/>
        <w:rPr>
          <w:rFonts w:cs="Times New Roman"/>
          <w:szCs w:val="24"/>
          <w:lang w:val="lv-LV"/>
        </w:rPr>
      </w:pPr>
      <w:r w:rsidRPr="00CE0303">
        <w:rPr>
          <w:noProof/>
          <w:lang w:val="lv-LV" w:eastAsia="lv-LV"/>
        </w:rPr>
        <w:drawing>
          <wp:inline distT="0" distB="0" distL="0" distR="0" wp14:anchorId="281EA05C" wp14:editId="39FAB5C6">
            <wp:extent cx="5379823" cy="2339163"/>
            <wp:effectExtent l="0" t="0" r="11430" b="4445"/>
            <wp:docPr id="2264" name="Chart 2264">
              <a:extLst xmlns:a="http://schemas.openxmlformats.org/drawingml/2006/main">
                <a:ext uri="{FF2B5EF4-FFF2-40B4-BE49-F238E27FC236}">
                  <a16:creationId xmlns:a16="http://schemas.microsoft.com/office/drawing/2014/main" id="{1083DA60-9EB8-4848-AF30-08CD619843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80DE07B" w14:textId="77777777" w:rsidR="00CE0303" w:rsidRPr="00CE0303" w:rsidRDefault="00CE0303" w:rsidP="00B84B1E">
      <w:pPr>
        <w:spacing w:before="120"/>
        <w:ind w:firstLine="720"/>
        <w:rPr>
          <w:rFonts w:cs="Times New Roman"/>
          <w:bCs/>
          <w:szCs w:val="24"/>
          <w:lang w:val="lv-LV"/>
        </w:rPr>
      </w:pPr>
      <w:r w:rsidRPr="00CE0303">
        <w:rPr>
          <w:rFonts w:cs="Times New Roman"/>
          <w:szCs w:val="24"/>
          <w:lang w:val="lv-LV"/>
        </w:rPr>
        <w:t>Apakšprogrammā 06.03.00 “Maksātnespējas procesa pārvaldība” trīs gadu periodā veidojas izdevumu neizpilde vidēji gadā</w:t>
      </w:r>
      <w:r w:rsidRPr="00CE0303">
        <w:rPr>
          <w:rFonts w:cs="Times New Roman"/>
          <w:bCs/>
          <w:szCs w:val="24"/>
          <w:lang w:val="lv-LV"/>
        </w:rPr>
        <w:t xml:space="preserve"> 36,2 tūkst. </w:t>
      </w:r>
      <w:r w:rsidRPr="00CE0303">
        <w:rPr>
          <w:rFonts w:cs="Times New Roman"/>
          <w:bCs/>
          <w:i/>
          <w:szCs w:val="24"/>
          <w:lang w:val="lv-LV"/>
        </w:rPr>
        <w:t>euro</w:t>
      </w:r>
      <w:r w:rsidRPr="00CE0303">
        <w:rPr>
          <w:rFonts w:cs="Times New Roman"/>
          <w:bCs/>
          <w:szCs w:val="24"/>
          <w:lang w:val="lv-LV"/>
        </w:rPr>
        <w:t xml:space="preserve"> apmērā (aprēķinā ņemta vērā maksas pakalpojumu neizpilde) (</w:t>
      </w:r>
      <w:r w:rsidRPr="00CE0303">
        <w:rPr>
          <w:rFonts w:cs="Times New Roman"/>
          <w:bCs/>
          <w:iCs/>
          <w:szCs w:val="24"/>
          <w:lang w:val="lv-LV"/>
        </w:rPr>
        <w:t>2.2.24. attēls</w:t>
      </w:r>
      <w:r w:rsidRPr="00CE0303">
        <w:rPr>
          <w:rFonts w:cs="Times New Roman"/>
          <w:bCs/>
          <w:szCs w:val="24"/>
          <w:lang w:val="lv-LV"/>
        </w:rPr>
        <w:t xml:space="preserve">). </w:t>
      </w:r>
    </w:p>
    <w:p w14:paraId="67698D9F" w14:textId="3223B2BA" w:rsidR="00CE0303" w:rsidRPr="00CE0303" w:rsidRDefault="00CE0303" w:rsidP="00B84B1E">
      <w:pPr>
        <w:spacing w:before="120"/>
        <w:ind w:firstLine="720"/>
        <w:rPr>
          <w:rFonts w:cs="Times New Roman"/>
          <w:szCs w:val="24"/>
          <w:lang w:val="lv-LV"/>
        </w:rPr>
      </w:pPr>
      <w:r w:rsidRPr="00CE0303">
        <w:rPr>
          <w:rFonts w:cs="Times New Roman"/>
          <w:szCs w:val="24"/>
          <w:lang w:val="lv-LV"/>
        </w:rPr>
        <w:t xml:space="preserve">TM neizpildi 2020. gadam skaidro ar to, ka maksātnespējas procesa administratoru kvalifikācijas eksāmenos kārtojošo maksātnespējas administratoru skaits bija mazāks ne kā tika plānots, kā arī izdevumi par komunālajiem pakalpojumiem, elektroenerģiju un paklāju nomu </w:t>
      </w:r>
      <w:r w:rsidRPr="00CE0303">
        <w:rPr>
          <w:rFonts w:cs="Times New Roman"/>
          <w:szCs w:val="24"/>
          <w:lang w:val="lv-LV"/>
        </w:rPr>
        <w:lastRenderedPageBreak/>
        <w:t xml:space="preserve">bija mazāki kā plānots, jo saistībā ar Covid-19 izplatību lielākā daļa nodarbināto savus amata pienākumus veica attālināti. Tāpat </w:t>
      </w:r>
      <w:r w:rsidRPr="00CE0303">
        <w:rPr>
          <w:rFonts w:eastAsiaTheme="minorHAnsi" w:cs="Times New Roman"/>
          <w:szCs w:val="24"/>
          <w:lang w:val="lv-LV"/>
        </w:rPr>
        <w:t>izdevumu neizpild</w:t>
      </w:r>
      <w:r w:rsidR="00CF64D3">
        <w:rPr>
          <w:rFonts w:eastAsiaTheme="minorHAnsi" w:cs="Times New Roman"/>
          <w:szCs w:val="24"/>
          <w:lang w:val="lv-LV"/>
        </w:rPr>
        <w:t xml:space="preserve">i </w:t>
      </w:r>
      <w:r w:rsidRPr="00CE0303">
        <w:rPr>
          <w:rFonts w:eastAsiaTheme="minorHAnsi" w:cs="Times New Roman"/>
          <w:szCs w:val="24"/>
          <w:lang w:val="lv-LV"/>
        </w:rPr>
        <w:t>daļēji veido ieņēmumu no maksas pakalpojumiem neiekasēšana.</w:t>
      </w:r>
    </w:p>
    <w:p w14:paraId="576AFCC7" w14:textId="77777777" w:rsidR="00CE0303" w:rsidRPr="00CE0303" w:rsidRDefault="00CE0303" w:rsidP="00B84B1E">
      <w:pPr>
        <w:spacing w:before="120"/>
        <w:ind w:firstLine="720"/>
        <w:rPr>
          <w:rFonts w:cs="Times New Roman"/>
          <w:szCs w:val="24"/>
          <w:lang w:val="lv-LV"/>
        </w:rPr>
      </w:pPr>
      <w:r w:rsidRPr="00CE0303">
        <w:rPr>
          <w:rFonts w:cs="Times New Roman"/>
          <w:bCs/>
          <w:szCs w:val="24"/>
          <w:lang w:val="lv-LV"/>
        </w:rPr>
        <w:t xml:space="preserve">Ņemot vērā iepriekš minēto, </w:t>
      </w:r>
      <w:r w:rsidRPr="00CE0303">
        <w:rPr>
          <w:rFonts w:cs="Times New Roman"/>
          <w:szCs w:val="24"/>
          <w:lang w:val="lv-LV"/>
        </w:rPr>
        <w:t>apakšprogrammā 06.03.00 “Maksātnespējas procesa pārvaldība” ir potenciālais iekšējais resurss 2022. un 2023. gadam, kas būtu novirzāms aktuālākām TM prioritātēm.</w:t>
      </w:r>
      <w:bookmarkEnd w:id="14"/>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5995E5E1" w14:textId="77777777" w:rsidTr="00CE0303">
        <w:tc>
          <w:tcPr>
            <w:tcW w:w="709" w:type="dxa"/>
            <w:shd w:val="clear" w:color="auto" w:fill="ED7D31" w:themeFill="accent2"/>
            <w:vAlign w:val="center"/>
          </w:tcPr>
          <w:p w14:paraId="3E704D56"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7553BD6C" w14:textId="77777777" w:rsidR="00CE0303" w:rsidRPr="00CE0303" w:rsidRDefault="00CE0303" w:rsidP="00CE0303">
            <w:pPr>
              <w:spacing w:after="0"/>
              <w:jc w:val="center"/>
              <w:rPr>
                <w:rFonts w:eastAsiaTheme="minorHAnsi"/>
                <w:lang w:val="lv-LV"/>
              </w:rPr>
            </w:pPr>
            <w:r w:rsidRPr="00CE0303">
              <w:rPr>
                <w:rFonts w:cs="Times New Roman"/>
                <w:szCs w:val="24"/>
                <w:lang w:val="lv-LV"/>
              </w:rPr>
              <w:t>36 178</w:t>
            </w:r>
          </w:p>
        </w:tc>
        <w:tc>
          <w:tcPr>
            <w:tcW w:w="696" w:type="dxa"/>
            <w:shd w:val="clear" w:color="auto" w:fill="ED7D31" w:themeFill="accent2"/>
            <w:vAlign w:val="center"/>
          </w:tcPr>
          <w:p w14:paraId="2896C8A1"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3B9B8DA6" w14:textId="77777777" w:rsidR="00CE0303" w:rsidRPr="00CE0303" w:rsidRDefault="00CE0303" w:rsidP="00CE0303">
            <w:pPr>
              <w:spacing w:after="0"/>
              <w:jc w:val="center"/>
              <w:rPr>
                <w:rFonts w:eastAsiaTheme="minorHAnsi"/>
                <w:lang w:val="lv-LV"/>
              </w:rPr>
            </w:pPr>
            <w:r w:rsidRPr="00CE0303">
              <w:rPr>
                <w:rFonts w:cs="Times New Roman"/>
                <w:szCs w:val="24"/>
                <w:lang w:val="lv-LV"/>
              </w:rPr>
              <w:t>36 178</w:t>
            </w:r>
          </w:p>
        </w:tc>
      </w:tr>
    </w:tbl>
    <w:p w14:paraId="66A0DB00" w14:textId="77777777" w:rsidR="00CE0303" w:rsidRPr="00CE0303" w:rsidRDefault="00CE0303" w:rsidP="00CE0303">
      <w:pPr>
        <w:spacing w:line="240" w:lineRule="auto"/>
        <w:ind w:firstLine="720"/>
        <w:rPr>
          <w:rFonts w:cs="Times New Roman"/>
          <w:szCs w:val="24"/>
          <w:lang w:val="lv-LV"/>
        </w:rPr>
      </w:pPr>
    </w:p>
    <w:p w14:paraId="43FE8F47" w14:textId="655949FA" w:rsidR="00CE0303" w:rsidRPr="00CE0303" w:rsidRDefault="00CE0303" w:rsidP="00CE0303">
      <w:pPr>
        <w:jc w:val="center"/>
        <w:rPr>
          <w:rFonts w:eastAsiaTheme="minorHAnsi" w:cs="Times New Roman"/>
          <w:b/>
          <w:bCs/>
          <w:sz w:val="22"/>
          <w:lang w:val="lv-LV"/>
        </w:rPr>
      </w:pPr>
      <w:r w:rsidRPr="00CE0303">
        <w:rPr>
          <w:rFonts w:eastAsiaTheme="minorHAnsi" w:cs="Times New Roman"/>
          <w:b/>
          <w:bCs/>
          <w:i/>
          <w:iCs/>
          <w:sz w:val="22"/>
          <w:lang w:val="lv-LV"/>
        </w:rPr>
        <w:t>2.2.25. attēls</w:t>
      </w:r>
      <w:r w:rsidRPr="00CE0303">
        <w:rPr>
          <w:rFonts w:eastAsiaTheme="minorHAnsi" w:cs="Times New Roman"/>
          <w:b/>
          <w:bCs/>
          <w:sz w:val="22"/>
          <w:lang w:val="lv-LV"/>
        </w:rPr>
        <w:t xml:space="preserve"> Programmas 07.00.00 “Nekustamā īpašuma tiesību politikas īstenošana” izdevumu analīze (milj. </w:t>
      </w:r>
      <w:r w:rsidRPr="00CE0303">
        <w:rPr>
          <w:rFonts w:eastAsiaTheme="minorHAnsi" w:cs="Times New Roman"/>
          <w:b/>
          <w:bCs/>
          <w:i/>
          <w:iCs/>
          <w:sz w:val="22"/>
          <w:lang w:val="lv-LV"/>
        </w:rPr>
        <w:t>euro</w:t>
      </w:r>
      <w:r w:rsidRPr="00CE0303">
        <w:rPr>
          <w:rFonts w:eastAsiaTheme="minorHAnsi" w:cs="Times New Roman"/>
          <w:b/>
          <w:bCs/>
          <w:sz w:val="22"/>
          <w:lang w:val="lv-LV"/>
        </w:rPr>
        <w:t>)</w:t>
      </w:r>
    </w:p>
    <w:p w14:paraId="17CB6F70" w14:textId="77777777" w:rsidR="00CE0303" w:rsidRPr="00CE0303" w:rsidRDefault="00CE0303" w:rsidP="00CE0303">
      <w:pPr>
        <w:jc w:val="center"/>
        <w:rPr>
          <w:rFonts w:eastAsiaTheme="minorHAnsi" w:cs="Times New Roman"/>
          <w:b/>
          <w:bCs/>
          <w:szCs w:val="24"/>
          <w:lang w:val="lv-LV"/>
        </w:rPr>
      </w:pPr>
      <w:r w:rsidRPr="00CE0303">
        <w:rPr>
          <w:rFonts w:eastAsiaTheme="minorHAnsi" w:cs="Times New Roman"/>
          <w:b/>
          <w:bCs/>
          <w:noProof/>
          <w:szCs w:val="24"/>
          <w:lang w:val="lv-LV" w:eastAsia="lv-LV"/>
        </w:rPr>
        <w:drawing>
          <wp:inline distT="0" distB="0" distL="0" distR="0" wp14:anchorId="621C4A4A" wp14:editId="725ADF28">
            <wp:extent cx="4911873" cy="1913861"/>
            <wp:effectExtent l="0" t="0" r="3175" b="10795"/>
            <wp:docPr id="2265" name="Chart 2265">
              <a:extLst xmlns:a="http://schemas.openxmlformats.org/drawingml/2006/main">
                <a:ext uri="{FF2B5EF4-FFF2-40B4-BE49-F238E27FC236}">
                  <a16:creationId xmlns:a16="http://schemas.microsoft.com/office/drawing/2014/main" id="{5617E2BC-06A1-45A2-AC5B-F9D3B51819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27ECA97" w14:textId="4B29835A" w:rsidR="00CE0303" w:rsidRPr="00CE0303" w:rsidRDefault="00CE0303" w:rsidP="00CE0303">
      <w:pPr>
        <w:ind w:firstLine="720"/>
        <w:rPr>
          <w:rFonts w:eastAsiaTheme="minorHAnsi" w:cs="Times New Roman"/>
          <w:bCs/>
          <w:szCs w:val="24"/>
          <w:lang w:val="lv-LV"/>
        </w:rPr>
      </w:pPr>
      <w:r w:rsidRPr="00CE0303">
        <w:rPr>
          <w:rFonts w:eastAsiaTheme="minorHAnsi" w:cs="Times New Roman"/>
          <w:szCs w:val="24"/>
          <w:lang w:val="lv-LV"/>
        </w:rPr>
        <w:t>Programmā 07.00.00 “Nekustamā īpašuma tiesību politikas īstenošana” t</w:t>
      </w:r>
      <w:r w:rsidRPr="00CE0303">
        <w:rPr>
          <w:rFonts w:eastAsiaTheme="minorHAnsi" w:cs="Times New Roman"/>
          <w:bCs/>
          <w:szCs w:val="24"/>
          <w:lang w:val="lv-LV"/>
        </w:rPr>
        <w:t>rīs gadu periodā veidojas izdevumu ne</w:t>
      </w:r>
      <w:r w:rsidR="006F76FD">
        <w:rPr>
          <w:rFonts w:eastAsiaTheme="minorHAnsi" w:cs="Times New Roman"/>
          <w:bCs/>
          <w:szCs w:val="24"/>
          <w:lang w:val="lv-LV"/>
        </w:rPr>
        <w:t>izpilde</w:t>
      </w:r>
      <w:r w:rsidRPr="00CE0303">
        <w:rPr>
          <w:rFonts w:eastAsiaTheme="minorHAnsi" w:cs="Times New Roman"/>
          <w:bCs/>
          <w:szCs w:val="24"/>
          <w:lang w:val="lv-LV"/>
        </w:rPr>
        <w:t xml:space="preserve"> vidēji gadā 493,4 tūkst. </w:t>
      </w:r>
      <w:r w:rsidRPr="00CE0303">
        <w:rPr>
          <w:rFonts w:eastAsiaTheme="minorHAnsi" w:cs="Times New Roman"/>
          <w:bCs/>
          <w:i/>
          <w:szCs w:val="24"/>
          <w:lang w:val="lv-LV"/>
        </w:rPr>
        <w:t>euro</w:t>
      </w:r>
      <w:r w:rsidRPr="00CE0303">
        <w:rPr>
          <w:rFonts w:eastAsiaTheme="minorHAnsi" w:cs="Times New Roman"/>
          <w:bCs/>
          <w:szCs w:val="24"/>
          <w:lang w:val="lv-LV"/>
        </w:rPr>
        <w:t xml:space="preserve"> apmērā </w:t>
      </w:r>
      <w:r w:rsidRPr="00CE0303">
        <w:rPr>
          <w:rFonts w:cs="Times New Roman"/>
          <w:bCs/>
          <w:szCs w:val="24"/>
          <w:lang w:val="lv-LV"/>
        </w:rPr>
        <w:t>(</w:t>
      </w:r>
      <w:r w:rsidRPr="00CE0303">
        <w:rPr>
          <w:rFonts w:cs="Times New Roman"/>
          <w:bCs/>
          <w:iCs/>
          <w:szCs w:val="24"/>
          <w:lang w:val="lv-LV"/>
        </w:rPr>
        <w:t>2.2.25. attēls</w:t>
      </w:r>
      <w:r w:rsidRPr="00CE0303">
        <w:rPr>
          <w:rFonts w:cs="Times New Roman"/>
          <w:bCs/>
          <w:szCs w:val="24"/>
          <w:lang w:val="lv-LV"/>
        </w:rPr>
        <w:t>)</w:t>
      </w:r>
      <w:r w:rsidRPr="00CE0303">
        <w:rPr>
          <w:rFonts w:eastAsiaTheme="minorHAnsi" w:cs="Times New Roman"/>
          <w:bCs/>
          <w:szCs w:val="24"/>
          <w:lang w:val="lv-LV"/>
        </w:rPr>
        <w:t xml:space="preserve">. </w:t>
      </w:r>
    </w:p>
    <w:p w14:paraId="052EF7D3" w14:textId="77777777" w:rsidR="00CE0303" w:rsidRPr="00CE0303" w:rsidRDefault="00CE0303" w:rsidP="00CE0303">
      <w:pPr>
        <w:tabs>
          <w:tab w:val="left" w:pos="448"/>
        </w:tabs>
        <w:rPr>
          <w:rFonts w:eastAsia="Times New Roman" w:cs="Times New Roman"/>
          <w:iCs/>
          <w:szCs w:val="24"/>
          <w:lang w:val="lv-LV" w:eastAsia="lv-LV"/>
        </w:rPr>
      </w:pPr>
      <w:r w:rsidRPr="00CE0303">
        <w:rPr>
          <w:rFonts w:eastAsiaTheme="minorHAnsi" w:cs="Times New Roman"/>
          <w:szCs w:val="24"/>
          <w:lang w:val="lv-LV"/>
        </w:rPr>
        <w:tab/>
      </w:r>
      <w:r w:rsidRPr="00CE0303">
        <w:rPr>
          <w:rFonts w:eastAsiaTheme="minorHAnsi" w:cs="Times New Roman"/>
          <w:szCs w:val="24"/>
          <w:lang w:val="lv-LV"/>
        </w:rPr>
        <w:tab/>
        <w:t>TM norāda, ka neizpilde pamatā ir saistīta ar vakantajām amata vietām un informācijas sistēmu attīstības darbu kavēšanos, iepirkuma procedūru kavēšanos, kā arī 2020. gadā ģenerāldirektora maiņas dēļ netika veikta plānotā algu palielināšana, kā arī netika noteiktas piemaksas un bija liela personāla mainība.</w:t>
      </w:r>
      <w:r w:rsidRPr="00CE0303">
        <w:rPr>
          <w:rFonts w:eastAsia="Times New Roman" w:cs="Times New Roman"/>
          <w:iCs/>
          <w:szCs w:val="24"/>
          <w:lang w:val="lv-LV" w:eastAsia="lv-LV"/>
        </w:rPr>
        <w:t xml:space="preserve"> </w:t>
      </w:r>
    </w:p>
    <w:p w14:paraId="75E5FB98" w14:textId="77777777" w:rsidR="00CE0303" w:rsidRPr="00CE0303" w:rsidRDefault="00CE0303" w:rsidP="00CE0303">
      <w:pPr>
        <w:ind w:firstLine="720"/>
        <w:rPr>
          <w:rFonts w:eastAsiaTheme="minorHAnsi" w:cs="Times New Roman"/>
          <w:szCs w:val="24"/>
          <w:lang w:val="lv-LV"/>
        </w:rPr>
      </w:pPr>
      <w:r w:rsidRPr="00CE0303">
        <w:rPr>
          <w:rFonts w:eastAsiaTheme="minorHAnsi" w:cs="Times New Roman"/>
          <w:bCs/>
          <w:szCs w:val="24"/>
          <w:lang w:val="lv-LV"/>
        </w:rPr>
        <w:t xml:space="preserve">Ņemot vērā iepriekš minēto, konstatēts, ka </w:t>
      </w:r>
      <w:r w:rsidRPr="00CE0303">
        <w:rPr>
          <w:rFonts w:eastAsiaTheme="minorHAnsi" w:cs="Times New Roman"/>
          <w:szCs w:val="24"/>
          <w:lang w:val="lv-LV"/>
        </w:rPr>
        <w:t>programmā 07.00.00 “Nekustamā īpašuma tiesību politikas īstenošana” ir potenciālais iekšējais resurss 2022. un 2023. gadam, kas būtu novirzāms aktuālākām TM prioritātēm.</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14EF3074" w14:textId="77777777" w:rsidTr="00CE0303">
        <w:tc>
          <w:tcPr>
            <w:tcW w:w="709" w:type="dxa"/>
            <w:shd w:val="clear" w:color="auto" w:fill="ED7D31" w:themeFill="accent2"/>
            <w:vAlign w:val="center"/>
          </w:tcPr>
          <w:p w14:paraId="12F1DAED"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63686E5E" w14:textId="77777777" w:rsidR="00CE0303" w:rsidRPr="00CE0303" w:rsidRDefault="00CE0303" w:rsidP="00CE0303">
            <w:pPr>
              <w:spacing w:after="0"/>
              <w:jc w:val="center"/>
              <w:rPr>
                <w:rFonts w:eastAsiaTheme="minorHAnsi"/>
                <w:lang w:val="lv-LV"/>
              </w:rPr>
            </w:pPr>
            <w:r w:rsidRPr="00CE0303">
              <w:rPr>
                <w:rFonts w:eastAsiaTheme="minorHAnsi" w:cs="Times New Roman"/>
                <w:bCs/>
                <w:szCs w:val="24"/>
                <w:lang w:val="lv-LV"/>
              </w:rPr>
              <w:t>493 369</w:t>
            </w:r>
          </w:p>
        </w:tc>
        <w:tc>
          <w:tcPr>
            <w:tcW w:w="696" w:type="dxa"/>
            <w:shd w:val="clear" w:color="auto" w:fill="ED7D31" w:themeFill="accent2"/>
            <w:vAlign w:val="center"/>
          </w:tcPr>
          <w:p w14:paraId="385EF5CC"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2E08714C" w14:textId="77777777" w:rsidR="00CE0303" w:rsidRPr="00CE0303" w:rsidRDefault="00CE0303" w:rsidP="00CE0303">
            <w:pPr>
              <w:spacing w:after="0"/>
              <w:jc w:val="center"/>
              <w:rPr>
                <w:rFonts w:eastAsiaTheme="minorHAnsi"/>
                <w:lang w:val="lv-LV"/>
              </w:rPr>
            </w:pPr>
            <w:r w:rsidRPr="00CE0303">
              <w:rPr>
                <w:rFonts w:eastAsiaTheme="minorHAnsi" w:cs="Times New Roman"/>
                <w:bCs/>
                <w:szCs w:val="24"/>
                <w:lang w:val="lv-LV"/>
              </w:rPr>
              <w:t>493 369</w:t>
            </w:r>
          </w:p>
        </w:tc>
      </w:tr>
    </w:tbl>
    <w:p w14:paraId="37227C53" w14:textId="77777777" w:rsidR="00CE0303" w:rsidRPr="00CE0303" w:rsidRDefault="00CE0303" w:rsidP="00CE0303">
      <w:pPr>
        <w:rPr>
          <w:rFonts w:eastAsiaTheme="minorHAnsi" w:cs="Times New Roman"/>
          <w:szCs w:val="24"/>
          <w:lang w:val="lv-LV"/>
        </w:rPr>
      </w:pPr>
    </w:p>
    <w:p w14:paraId="4108601B" w14:textId="502D7DAA" w:rsidR="00CE0303" w:rsidRPr="00CE0303" w:rsidRDefault="00CE0303" w:rsidP="00CE0303">
      <w:pPr>
        <w:ind w:firstLine="720"/>
        <w:rPr>
          <w:rFonts w:eastAsiaTheme="minorHAnsi"/>
          <w:lang w:val="lv-LV"/>
        </w:rPr>
      </w:pPr>
      <w:r>
        <w:rPr>
          <w:rFonts w:eastAsiaTheme="minorHAnsi"/>
          <w:lang w:val="lv-LV"/>
        </w:rPr>
        <w:t>IeVP</w:t>
      </w:r>
      <w:r w:rsidRPr="00CE0303">
        <w:rPr>
          <w:rFonts w:eastAsiaTheme="minorHAnsi"/>
          <w:lang w:val="lv-LV"/>
        </w:rPr>
        <w:t xml:space="preserve"> ar 2021. gada 1. maiju tiks veiktas strukturālas izmaiņas centrālajā aparātā un cietumos, paredzot ietaupījumu 1,3 milj. </w:t>
      </w:r>
      <w:r w:rsidRPr="00CE0303">
        <w:rPr>
          <w:rFonts w:eastAsiaTheme="minorHAnsi"/>
          <w:i/>
          <w:lang w:val="lv-LV"/>
        </w:rPr>
        <w:t>euro</w:t>
      </w:r>
      <w:r w:rsidRPr="00CE0303">
        <w:rPr>
          <w:rFonts w:eastAsiaTheme="minorHAnsi"/>
          <w:lang w:val="lv-LV"/>
        </w:rPr>
        <w:t xml:space="preserve"> (likvidētas 15 amata vietas). Ietaupījums tiks novirzīts atlīdzības palielināšanai, pārskatot darbiniekiem mēnešalgu grupas.</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046CCDDD" w14:textId="77777777" w:rsidTr="00CE0303">
        <w:trPr>
          <w:jc w:val="center"/>
        </w:trPr>
        <w:tc>
          <w:tcPr>
            <w:tcW w:w="709" w:type="dxa"/>
            <w:shd w:val="clear" w:color="auto" w:fill="92D050"/>
            <w:vAlign w:val="center"/>
          </w:tcPr>
          <w:p w14:paraId="795BD17C"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52806E8B" w14:textId="77777777" w:rsidR="00CE0303" w:rsidRPr="00CE0303" w:rsidRDefault="00CE0303" w:rsidP="00CE0303">
            <w:pPr>
              <w:spacing w:after="0"/>
              <w:jc w:val="center"/>
              <w:rPr>
                <w:rFonts w:eastAsiaTheme="minorHAnsi"/>
                <w:lang w:val="lv-LV"/>
              </w:rPr>
            </w:pPr>
            <w:r w:rsidRPr="00CE0303">
              <w:rPr>
                <w:rFonts w:eastAsiaTheme="minorHAnsi"/>
                <w:lang w:val="lv-LV"/>
              </w:rPr>
              <w:t>1 325 490 </w:t>
            </w:r>
          </w:p>
        </w:tc>
        <w:tc>
          <w:tcPr>
            <w:tcW w:w="696" w:type="dxa"/>
            <w:shd w:val="clear" w:color="auto" w:fill="92D050"/>
            <w:vAlign w:val="center"/>
          </w:tcPr>
          <w:p w14:paraId="241DA4F0"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204D47E2" w14:textId="77777777" w:rsidR="00CE0303" w:rsidRPr="00CE0303" w:rsidRDefault="00CE0303" w:rsidP="00CE0303">
            <w:pPr>
              <w:spacing w:after="0"/>
              <w:jc w:val="center"/>
              <w:rPr>
                <w:rFonts w:eastAsiaTheme="minorHAnsi"/>
                <w:lang w:val="lv-LV"/>
              </w:rPr>
            </w:pPr>
            <w:r w:rsidRPr="00CE0303">
              <w:rPr>
                <w:rFonts w:eastAsiaTheme="minorHAnsi"/>
                <w:lang w:val="lv-LV"/>
              </w:rPr>
              <w:t>1 325 490 </w:t>
            </w:r>
          </w:p>
        </w:tc>
        <w:tc>
          <w:tcPr>
            <w:tcW w:w="709" w:type="dxa"/>
            <w:shd w:val="clear" w:color="auto" w:fill="92D050"/>
            <w:vAlign w:val="center"/>
          </w:tcPr>
          <w:p w14:paraId="4FCB6186"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486922E7" w14:textId="77777777" w:rsidR="00CE0303" w:rsidRPr="00CE0303" w:rsidRDefault="00CE0303" w:rsidP="00CE0303">
            <w:pPr>
              <w:spacing w:after="0"/>
              <w:jc w:val="center"/>
              <w:rPr>
                <w:rFonts w:eastAsiaTheme="minorHAnsi"/>
                <w:lang w:val="lv-LV"/>
              </w:rPr>
            </w:pPr>
            <w:r w:rsidRPr="00CE0303">
              <w:rPr>
                <w:rFonts w:eastAsiaTheme="minorHAnsi"/>
                <w:lang w:val="lv-LV"/>
              </w:rPr>
              <w:t>1 325 490</w:t>
            </w:r>
          </w:p>
        </w:tc>
      </w:tr>
    </w:tbl>
    <w:p w14:paraId="5D2257DF" w14:textId="77777777" w:rsidR="00CE0303" w:rsidRPr="00CE0303" w:rsidRDefault="00CE0303" w:rsidP="00CE0303">
      <w:pPr>
        <w:spacing w:before="120"/>
        <w:ind w:firstLine="720"/>
        <w:rPr>
          <w:rFonts w:eastAsiaTheme="minorHAnsi"/>
          <w:lang w:val="lv-LV"/>
        </w:rPr>
      </w:pPr>
      <w:r w:rsidRPr="00CE0303">
        <w:rPr>
          <w:rFonts w:eastAsiaTheme="minorHAnsi"/>
          <w:lang w:val="lv-LV"/>
        </w:rPr>
        <w:t>Uzturlīdzekļu garantijas fonda administrācijā optimizēti telpu nomas un uzturēšanas izdevumi, pārceļoties uz jaunām, mazākām biroja telpām, samazinot nodarbināto skaitu, kas strādā birojā klātienē. Ietaupījums novirzīts izdevumiem attālinātā darba veikšanai.</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5B996598" w14:textId="77777777" w:rsidTr="00CE0303">
        <w:trPr>
          <w:jc w:val="center"/>
        </w:trPr>
        <w:tc>
          <w:tcPr>
            <w:tcW w:w="709" w:type="dxa"/>
            <w:shd w:val="clear" w:color="auto" w:fill="92D050"/>
            <w:vAlign w:val="center"/>
          </w:tcPr>
          <w:p w14:paraId="0991F5E2"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3F9299D8" w14:textId="77777777" w:rsidR="00CE0303" w:rsidRPr="00CE0303" w:rsidRDefault="00CE0303" w:rsidP="00CE0303">
            <w:pPr>
              <w:spacing w:after="0"/>
              <w:jc w:val="center"/>
              <w:rPr>
                <w:rFonts w:eastAsiaTheme="minorHAnsi"/>
                <w:lang w:val="lv-LV"/>
              </w:rPr>
            </w:pPr>
            <w:r w:rsidRPr="00CE0303">
              <w:rPr>
                <w:rFonts w:eastAsiaTheme="minorHAnsi"/>
                <w:lang w:val="lv-LV"/>
              </w:rPr>
              <w:t>10 955</w:t>
            </w:r>
          </w:p>
        </w:tc>
        <w:tc>
          <w:tcPr>
            <w:tcW w:w="696" w:type="dxa"/>
            <w:shd w:val="clear" w:color="auto" w:fill="92D050"/>
            <w:vAlign w:val="center"/>
          </w:tcPr>
          <w:p w14:paraId="7624DCE4"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7F3B0678" w14:textId="77777777" w:rsidR="00CE0303" w:rsidRPr="00CE0303" w:rsidRDefault="00CE0303" w:rsidP="00CE0303">
            <w:pPr>
              <w:spacing w:after="0"/>
              <w:jc w:val="center"/>
              <w:rPr>
                <w:rFonts w:eastAsiaTheme="minorHAnsi"/>
                <w:lang w:val="lv-LV"/>
              </w:rPr>
            </w:pPr>
            <w:r w:rsidRPr="00CE0303">
              <w:rPr>
                <w:rFonts w:eastAsiaTheme="minorHAnsi"/>
                <w:lang w:val="lv-LV"/>
              </w:rPr>
              <w:t>10 955</w:t>
            </w:r>
          </w:p>
        </w:tc>
        <w:tc>
          <w:tcPr>
            <w:tcW w:w="709" w:type="dxa"/>
            <w:shd w:val="clear" w:color="auto" w:fill="92D050"/>
            <w:vAlign w:val="center"/>
          </w:tcPr>
          <w:p w14:paraId="16741C50"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7F6EE022" w14:textId="77777777" w:rsidR="00CE0303" w:rsidRPr="00CE0303" w:rsidRDefault="00CE0303" w:rsidP="00CE0303">
            <w:pPr>
              <w:spacing w:after="0"/>
              <w:jc w:val="center"/>
              <w:rPr>
                <w:rFonts w:eastAsiaTheme="minorHAnsi"/>
                <w:lang w:val="lv-LV"/>
              </w:rPr>
            </w:pPr>
            <w:r w:rsidRPr="00CE0303">
              <w:rPr>
                <w:rFonts w:eastAsiaTheme="minorHAnsi"/>
                <w:lang w:val="lv-LV"/>
              </w:rPr>
              <w:t>10 955</w:t>
            </w:r>
          </w:p>
        </w:tc>
      </w:tr>
    </w:tbl>
    <w:p w14:paraId="26DB7221" w14:textId="77777777" w:rsidR="00CE0303" w:rsidRPr="00CE0303" w:rsidRDefault="00CE0303" w:rsidP="00CE0303">
      <w:pPr>
        <w:spacing w:before="120"/>
        <w:ind w:firstLine="720"/>
        <w:rPr>
          <w:rFonts w:eastAsiaTheme="minorHAnsi"/>
          <w:lang w:val="lv-LV"/>
        </w:rPr>
      </w:pPr>
      <w:r w:rsidRPr="00CE0303">
        <w:rPr>
          <w:rFonts w:eastAsiaTheme="minorHAnsi"/>
          <w:lang w:val="lv-LV"/>
        </w:rPr>
        <w:t>Valsts probācijas dienestā nodota grāmatvedības funkciju veikšana Tiesu administrācijai, likvidētas 2 amata vietas, ietaupījums novirzīts atlīdzības palielināšanai darbiniekiem.</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24F5A4BA" w14:textId="77777777" w:rsidTr="00CE0303">
        <w:trPr>
          <w:jc w:val="center"/>
        </w:trPr>
        <w:tc>
          <w:tcPr>
            <w:tcW w:w="709" w:type="dxa"/>
            <w:shd w:val="clear" w:color="auto" w:fill="92D050"/>
            <w:vAlign w:val="center"/>
          </w:tcPr>
          <w:p w14:paraId="4BB623C5"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258716DB" w14:textId="77777777" w:rsidR="00CE0303" w:rsidRPr="00CE0303" w:rsidRDefault="00CE0303" w:rsidP="00CE0303">
            <w:pPr>
              <w:spacing w:after="0"/>
              <w:jc w:val="center"/>
              <w:rPr>
                <w:rFonts w:eastAsiaTheme="minorHAnsi"/>
                <w:lang w:val="lv-LV"/>
              </w:rPr>
            </w:pPr>
            <w:r w:rsidRPr="00CE0303">
              <w:rPr>
                <w:rFonts w:eastAsiaTheme="minorHAnsi"/>
                <w:lang w:val="lv-LV"/>
              </w:rPr>
              <w:t>23 562</w:t>
            </w:r>
          </w:p>
        </w:tc>
        <w:tc>
          <w:tcPr>
            <w:tcW w:w="696" w:type="dxa"/>
            <w:shd w:val="clear" w:color="auto" w:fill="92D050"/>
            <w:vAlign w:val="center"/>
          </w:tcPr>
          <w:p w14:paraId="4A84A4AD"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5DAE67DF" w14:textId="77777777" w:rsidR="00CE0303" w:rsidRPr="00CE0303" w:rsidRDefault="00CE0303" w:rsidP="00CE0303">
            <w:pPr>
              <w:spacing w:after="0"/>
              <w:jc w:val="center"/>
              <w:rPr>
                <w:rFonts w:eastAsiaTheme="minorHAnsi"/>
                <w:lang w:val="lv-LV"/>
              </w:rPr>
            </w:pPr>
            <w:r w:rsidRPr="00CE0303">
              <w:rPr>
                <w:rFonts w:eastAsiaTheme="minorHAnsi"/>
                <w:lang w:val="lv-LV"/>
              </w:rPr>
              <w:t>23 562</w:t>
            </w:r>
          </w:p>
        </w:tc>
        <w:tc>
          <w:tcPr>
            <w:tcW w:w="709" w:type="dxa"/>
            <w:shd w:val="clear" w:color="auto" w:fill="92D050"/>
            <w:vAlign w:val="center"/>
          </w:tcPr>
          <w:p w14:paraId="06D3CCDA"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06667DD2" w14:textId="77777777" w:rsidR="00CE0303" w:rsidRPr="00CE0303" w:rsidRDefault="00CE0303" w:rsidP="00CE0303">
            <w:pPr>
              <w:spacing w:after="0"/>
              <w:jc w:val="center"/>
              <w:rPr>
                <w:rFonts w:eastAsiaTheme="minorHAnsi"/>
                <w:lang w:val="lv-LV"/>
              </w:rPr>
            </w:pPr>
            <w:r w:rsidRPr="00CE0303">
              <w:rPr>
                <w:rFonts w:eastAsiaTheme="minorHAnsi"/>
                <w:lang w:val="lv-LV"/>
              </w:rPr>
              <w:t>23 562</w:t>
            </w:r>
          </w:p>
        </w:tc>
      </w:tr>
    </w:tbl>
    <w:p w14:paraId="7EBD3953" w14:textId="23481C23" w:rsidR="00CE0303" w:rsidRPr="00CE0303" w:rsidRDefault="00CE0303" w:rsidP="00CE0303">
      <w:pPr>
        <w:spacing w:before="120"/>
        <w:ind w:firstLine="720"/>
        <w:rPr>
          <w:rFonts w:eastAsiaTheme="minorHAnsi"/>
          <w:lang w:val="lv-LV"/>
        </w:rPr>
      </w:pPr>
      <w:r w:rsidRPr="00CE0303">
        <w:rPr>
          <w:rFonts w:eastAsiaTheme="minorHAnsi"/>
          <w:lang w:val="lv-LV"/>
        </w:rPr>
        <w:lastRenderedPageBreak/>
        <w:t>Lai novirzītu līdzekļus atlīdzības palielināšanai, VZD ir izvērtējis</w:t>
      </w:r>
      <w:r w:rsidR="00CF64D3">
        <w:rPr>
          <w:rFonts w:eastAsiaTheme="minorHAnsi"/>
          <w:lang w:val="lv-LV"/>
        </w:rPr>
        <w:t xml:space="preserve"> </w:t>
      </w:r>
      <w:r w:rsidRPr="00CE0303">
        <w:rPr>
          <w:rFonts w:eastAsiaTheme="minorHAnsi"/>
          <w:lang w:val="lv-LV"/>
        </w:rPr>
        <w:t xml:space="preserve">iespējamās izmaiņas 2022. gada budžeta struktūrā un plāno samazināt izdevumus precēm un pakalpojumiem 2022. gadā un turpmāk 149,2 tūkst. </w:t>
      </w:r>
      <w:r w:rsidRPr="00CE0303">
        <w:rPr>
          <w:rFonts w:eastAsiaTheme="minorHAnsi"/>
          <w:i/>
          <w:lang w:val="lv-LV"/>
        </w:rPr>
        <w:t>euro</w:t>
      </w:r>
      <w:r w:rsidRPr="00CE0303">
        <w:rPr>
          <w:rFonts w:eastAsiaTheme="minorHAnsi"/>
          <w:lang w:val="lv-LV"/>
        </w:rPr>
        <w:t xml:space="preserve"> apmērā, lai veiktu atlīdzības sistēmas sakārtošanu atsakoties no akordalgām un palielinātu atlīdzību VZD darbiniekiem līdz valsts pārvaldes vidējam atlīdzības līmenim konkrētajā mēnešalgu grupā, tādējādi samazinot pieredzējušo darbinieku aizplūšanu un darbinieku mainību kopumā. Preču un pakalpojumu izdevumi tiks samazināti pārskatot automašīnu nomas, apdrošināšanas izdevumus, ar telpu uzturēšanu saistītos izdevumus, pārceļot Preiļu klientu apkalpošanas centra telpas uz lētākām, samazinot stacionāro telefonu skaitu un izmaksas par aparātu nomu, optimizējot interneta pieslēguma punktus klientu apkalpošanas centros, pārskatot un samazinot dažādu licenču lietotāju skaitu, pārskatot izdevumus par profesionālās darbības pakalpojumiem, adminis</w:t>
      </w:r>
      <w:r w:rsidR="00CF64D3">
        <w:rPr>
          <w:rFonts w:eastAsiaTheme="minorHAnsi"/>
          <w:lang w:val="lv-LV"/>
        </w:rPr>
        <w:t>tratīvos un ar iestādes darbību</w:t>
      </w:r>
      <w:r w:rsidRPr="00CE0303">
        <w:rPr>
          <w:rFonts w:eastAsiaTheme="minorHAnsi"/>
          <w:lang w:val="lv-LV"/>
        </w:rPr>
        <w:t xml:space="preserve"> saistītos un citus izdevumus.</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211D76BD" w14:textId="77777777" w:rsidTr="00CE0303">
        <w:trPr>
          <w:jc w:val="center"/>
        </w:trPr>
        <w:tc>
          <w:tcPr>
            <w:tcW w:w="709" w:type="dxa"/>
            <w:shd w:val="clear" w:color="auto" w:fill="92D050"/>
            <w:vAlign w:val="center"/>
          </w:tcPr>
          <w:p w14:paraId="3C4D297A"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773CFEC4" w14:textId="77777777" w:rsidR="00CE0303" w:rsidRPr="00CE0303" w:rsidRDefault="00CE0303" w:rsidP="00CE0303">
            <w:pPr>
              <w:spacing w:after="0"/>
              <w:jc w:val="center"/>
              <w:rPr>
                <w:rFonts w:eastAsiaTheme="minorHAnsi"/>
                <w:lang w:val="lv-LV"/>
              </w:rPr>
            </w:pPr>
            <w:r w:rsidRPr="00CE0303">
              <w:rPr>
                <w:rFonts w:eastAsiaTheme="minorHAnsi"/>
                <w:lang w:val="lv-LV"/>
              </w:rPr>
              <w:t>149 151</w:t>
            </w:r>
          </w:p>
        </w:tc>
        <w:tc>
          <w:tcPr>
            <w:tcW w:w="696" w:type="dxa"/>
            <w:shd w:val="clear" w:color="auto" w:fill="92D050"/>
            <w:vAlign w:val="center"/>
          </w:tcPr>
          <w:p w14:paraId="7A06900C"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68D11D75" w14:textId="77777777" w:rsidR="00CE0303" w:rsidRPr="00CE0303" w:rsidRDefault="00CE0303" w:rsidP="00CE0303">
            <w:pPr>
              <w:spacing w:after="0"/>
              <w:jc w:val="center"/>
              <w:rPr>
                <w:rFonts w:eastAsiaTheme="minorHAnsi"/>
                <w:lang w:val="lv-LV"/>
              </w:rPr>
            </w:pPr>
            <w:r w:rsidRPr="00CE0303">
              <w:rPr>
                <w:rFonts w:eastAsiaTheme="minorHAnsi"/>
                <w:lang w:val="lv-LV"/>
              </w:rPr>
              <w:t>149 151</w:t>
            </w:r>
          </w:p>
        </w:tc>
        <w:tc>
          <w:tcPr>
            <w:tcW w:w="709" w:type="dxa"/>
            <w:shd w:val="clear" w:color="auto" w:fill="92D050"/>
            <w:vAlign w:val="center"/>
          </w:tcPr>
          <w:p w14:paraId="39641082"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4EDA207F" w14:textId="77777777" w:rsidR="00CE0303" w:rsidRPr="00CE0303" w:rsidRDefault="00CE0303" w:rsidP="00CE0303">
            <w:pPr>
              <w:spacing w:after="0"/>
              <w:jc w:val="center"/>
              <w:rPr>
                <w:rFonts w:eastAsiaTheme="minorHAnsi"/>
                <w:lang w:val="lv-LV"/>
              </w:rPr>
            </w:pPr>
            <w:r w:rsidRPr="00CE0303">
              <w:rPr>
                <w:rFonts w:eastAsiaTheme="minorHAnsi"/>
                <w:lang w:val="lv-LV"/>
              </w:rPr>
              <w:t>149 151</w:t>
            </w:r>
          </w:p>
        </w:tc>
      </w:tr>
    </w:tbl>
    <w:p w14:paraId="0260F8E5" w14:textId="57E2C38F" w:rsidR="00CE0303" w:rsidRPr="00CE0303" w:rsidRDefault="00CE0303" w:rsidP="00CE0303">
      <w:pPr>
        <w:spacing w:before="120"/>
        <w:ind w:firstLine="720"/>
        <w:rPr>
          <w:rFonts w:eastAsiaTheme="minorHAnsi"/>
          <w:lang w:val="lv-LV"/>
        </w:rPr>
      </w:pPr>
      <w:r w:rsidRPr="00CE0303">
        <w:rPr>
          <w:rFonts w:eastAsiaTheme="minorHAnsi"/>
          <w:lang w:val="lv-LV"/>
        </w:rPr>
        <w:t>VZD likvidētas 50 amata vietas, ietaupījums</w:t>
      </w:r>
      <w:r w:rsidR="00CF64D3">
        <w:rPr>
          <w:rFonts w:eastAsiaTheme="minorHAnsi"/>
          <w:lang w:val="lv-LV"/>
        </w:rPr>
        <w:t xml:space="preserve"> </w:t>
      </w:r>
      <w:r w:rsidRPr="00CE0303">
        <w:rPr>
          <w:rFonts w:eastAsiaTheme="minorHAnsi"/>
          <w:lang w:val="lv-LV"/>
        </w:rPr>
        <w:t>novirzīts atlīdzības palielināšanai darbiniekiem.</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49A21342" w14:textId="77777777" w:rsidTr="00CE0303">
        <w:trPr>
          <w:jc w:val="center"/>
        </w:trPr>
        <w:tc>
          <w:tcPr>
            <w:tcW w:w="709" w:type="dxa"/>
            <w:shd w:val="clear" w:color="auto" w:fill="92D050"/>
            <w:vAlign w:val="center"/>
          </w:tcPr>
          <w:p w14:paraId="5D392090"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73A31711" w14:textId="77777777" w:rsidR="00CE0303" w:rsidRPr="00CE0303" w:rsidRDefault="00CE0303" w:rsidP="00CE0303">
            <w:pPr>
              <w:spacing w:after="0"/>
              <w:jc w:val="center"/>
              <w:rPr>
                <w:rFonts w:eastAsiaTheme="minorHAnsi"/>
                <w:lang w:val="lv-LV"/>
              </w:rPr>
            </w:pPr>
            <w:r w:rsidRPr="00CE0303">
              <w:rPr>
                <w:rFonts w:eastAsiaTheme="minorHAnsi"/>
                <w:lang w:val="lv-LV"/>
              </w:rPr>
              <w:t>500 816</w:t>
            </w:r>
          </w:p>
        </w:tc>
        <w:tc>
          <w:tcPr>
            <w:tcW w:w="696" w:type="dxa"/>
            <w:shd w:val="clear" w:color="auto" w:fill="92D050"/>
            <w:vAlign w:val="center"/>
          </w:tcPr>
          <w:p w14:paraId="52B8E774"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1A9425C9" w14:textId="77777777" w:rsidR="00CE0303" w:rsidRPr="00CE0303" w:rsidRDefault="00CE0303" w:rsidP="00CE0303">
            <w:pPr>
              <w:spacing w:after="0"/>
              <w:jc w:val="center"/>
              <w:rPr>
                <w:rFonts w:eastAsiaTheme="minorHAnsi"/>
                <w:lang w:val="lv-LV"/>
              </w:rPr>
            </w:pPr>
            <w:r w:rsidRPr="00CE0303">
              <w:rPr>
                <w:rFonts w:eastAsiaTheme="minorHAnsi"/>
                <w:lang w:val="lv-LV"/>
              </w:rPr>
              <w:t>500 816</w:t>
            </w:r>
          </w:p>
        </w:tc>
        <w:tc>
          <w:tcPr>
            <w:tcW w:w="709" w:type="dxa"/>
            <w:shd w:val="clear" w:color="auto" w:fill="92D050"/>
            <w:vAlign w:val="center"/>
          </w:tcPr>
          <w:p w14:paraId="407A3EED"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2CCCD8B3" w14:textId="77777777" w:rsidR="00CE0303" w:rsidRPr="00CE0303" w:rsidRDefault="00CE0303" w:rsidP="00CE0303">
            <w:pPr>
              <w:spacing w:after="0"/>
              <w:jc w:val="center"/>
              <w:rPr>
                <w:rFonts w:eastAsiaTheme="minorHAnsi"/>
                <w:lang w:val="lv-LV"/>
              </w:rPr>
            </w:pPr>
            <w:r w:rsidRPr="00CE0303">
              <w:rPr>
                <w:rFonts w:eastAsiaTheme="minorHAnsi"/>
                <w:lang w:val="lv-LV"/>
              </w:rPr>
              <w:t>500 816</w:t>
            </w:r>
          </w:p>
        </w:tc>
      </w:tr>
    </w:tbl>
    <w:p w14:paraId="69C9A8B6" w14:textId="77777777" w:rsidR="00CE0303" w:rsidRPr="00CE0303" w:rsidRDefault="00CE0303" w:rsidP="00CE0303">
      <w:pPr>
        <w:spacing w:before="120"/>
        <w:ind w:firstLine="720"/>
        <w:rPr>
          <w:rFonts w:eastAsiaTheme="minorHAnsi"/>
          <w:lang w:val="lv-LV"/>
        </w:rPr>
      </w:pPr>
      <w:r w:rsidRPr="00CE0303">
        <w:rPr>
          <w:rFonts w:eastAsiaTheme="minorHAnsi"/>
          <w:lang w:val="lv-LV"/>
        </w:rPr>
        <w:t>VZD 2021. gadā plānots, ka apsardzes pakalpojumus nodrošinās komersanti kā rezultātā tiks likvidētas 5 amata vietas.</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68A728EB" w14:textId="77777777" w:rsidTr="00CE0303">
        <w:trPr>
          <w:jc w:val="center"/>
        </w:trPr>
        <w:tc>
          <w:tcPr>
            <w:tcW w:w="709" w:type="dxa"/>
            <w:shd w:val="clear" w:color="auto" w:fill="92D050"/>
            <w:vAlign w:val="center"/>
          </w:tcPr>
          <w:p w14:paraId="785A30D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3711C449" w14:textId="77777777" w:rsidR="00CE0303" w:rsidRPr="00CE0303" w:rsidRDefault="00CE0303" w:rsidP="00CE0303">
            <w:pPr>
              <w:spacing w:after="0"/>
              <w:jc w:val="center"/>
              <w:rPr>
                <w:rFonts w:eastAsiaTheme="minorHAnsi"/>
                <w:lang w:val="lv-LV"/>
              </w:rPr>
            </w:pPr>
            <w:r w:rsidRPr="00CE0303">
              <w:rPr>
                <w:rFonts w:eastAsiaTheme="minorHAnsi"/>
                <w:lang w:val="lv-LV"/>
              </w:rPr>
              <w:t>96 348</w:t>
            </w:r>
          </w:p>
        </w:tc>
        <w:tc>
          <w:tcPr>
            <w:tcW w:w="696" w:type="dxa"/>
            <w:shd w:val="clear" w:color="auto" w:fill="92D050"/>
            <w:vAlign w:val="center"/>
          </w:tcPr>
          <w:p w14:paraId="3FA4064D"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12929363" w14:textId="77777777" w:rsidR="00CE0303" w:rsidRPr="00CE0303" w:rsidRDefault="00CE0303" w:rsidP="00CE0303">
            <w:pPr>
              <w:spacing w:after="0"/>
              <w:jc w:val="center"/>
              <w:rPr>
                <w:rFonts w:eastAsiaTheme="minorHAnsi"/>
                <w:lang w:val="lv-LV"/>
              </w:rPr>
            </w:pPr>
            <w:r w:rsidRPr="00CE0303">
              <w:rPr>
                <w:rFonts w:eastAsiaTheme="minorHAnsi"/>
                <w:lang w:val="lv-LV"/>
              </w:rPr>
              <w:t>96 348</w:t>
            </w:r>
          </w:p>
        </w:tc>
        <w:tc>
          <w:tcPr>
            <w:tcW w:w="709" w:type="dxa"/>
            <w:shd w:val="clear" w:color="auto" w:fill="92D050"/>
            <w:vAlign w:val="center"/>
          </w:tcPr>
          <w:p w14:paraId="1C2D0785"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068648E5" w14:textId="77777777" w:rsidR="00CE0303" w:rsidRPr="00CE0303" w:rsidRDefault="00CE0303" w:rsidP="00CE0303">
            <w:pPr>
              <w:spacing w:after="0"/>
              <w:jc w:val="center"/>
              <w:rPr>
                <w:rFonts w:eastAsiaTheme="minorHAnsi"/>
                <w:lang w:val="lv-LV"/>
              </w:rPr>
            </w:pPr>
            <w:r w:rsidRPr="00CE0303">
              <w:rPr>
                <w:rFonts w:eastAsiaTheme="minorHAnsi"/>
                <w:lang w:val="lv-LV"/>
              </w:rPr>
              <w:t>96 348</w:t>
            </w:r>
          </w:p>
        </w:tc>
      </w:tr>
    </w:tbl>
    <w:p w14:paraId="6FD9B442" w14:textId="3BC5B57E" w:rsidR="00CE0303" w:rsidRPr="00CE0303" w:rsidRDefault="00CE0303" w:rsidP="00CE0303">
      <w:pPr>
        <w:spacing w:before="120"/>
        <w:ind w:firstLine="720"/>
        <w:rPr>
          <w:rFonts w:eastAsiaTheme="minorHAnsi"/>
          <w:lang w:val="lv-LV"/>
        </w:rPr>
      </w:pPr>
      <w:r w:rsidRPr="00CE0303">
        <w:rPr>
          <w:rFonts w:eastAsiaTheme="minorHAnsi"/>
          <w:lang w:val="lv-LV"/>
        </w:rPr>
        <w:t>Likvidēts Brasas cietums. Ietaupījums novirzīts Atkarīgo centra</w:t>
      </w:r>
      <w:r w:rsidR="00CF64D3">
        <w:rPr>
          <w:rFonts w:eastAsiaTheme="minorHAnsi"/>
          <w:lang w:val="lv-LV"/>
        </w:rPr>
        <w:t xml:space="preserve"> </w:t>
      </w:r>
      <w:r w:rsidRPr="00CE0303">
        <w:rPr>
          <w:rFonts w:eastAsiaTheme="minorHAnsi"/>
          <w:lang w:val="lv-LV"/>
        </w:rPr>
        <w:t>uzturēšanai, darbinieku atlīdzības palielināšanai un ieslodzījuma vietu uzturēšanai un remontdarbu veikšanai.</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7DD8EEDF" w14:textId="77777777" w:rsidTr="00CE0303">
        <w:trPr>
          <w:jc w:val="center"/>
        </w:trPr>
        <w:tc>
          <w:tcPr>
            <w:tcW w:w="709" w:type="dxa"/>
            <w:shd w:val="clear" w:color="auto" w:fill="92D050"/>
            <w:vAlign w:val="center"/>
          </w:tcPr>
          <w:p w14:paraId="0DE52F9B"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2C6008E1" w14:textId="77777777" w:rsidR="00CE0303" w:rsidRPr="00CE0303" w:rsidRDefault="00CE0303" w:rsidP="00CE0303">
            <w:pPr>
              <w:spacing w:after="0"/>
              <w:jc w:val="center"/>
              <w:rPr>
                <w:rFonts w:eastAsiaTheme="minorHAnsi"/>
                <w:lang w:val="lv-LV"/>
              </w:rPr>
            </w:pPr>
            <w:r w:rsidRPr="00CE0303">
              <w:rPr>
                <w:rFonts w:eastAsiaTheme="minorHAnsi"/>
                <w:lang w:val="lv-LV"/>
              </w:rPr>
              <w:t>3 500 000</w:t>
            </w:r>
          </w:p>
        </w:tc>
        <w:tc>
          <w:tcPr>
            <w:tcW w:w="696" w:type="dxa"/>
            <w:shd w:val="clear" w:color="auto" w:fill="92D050"/>
            <w:vAlign w:val="center"/>
          </w:tcPr>
          <w:p w14:paraId="7B4162B9"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16753BE2" w14:textId="77777777" w:rsidR="00CE0303" w:rsidRPr="00CE0303" w:rsidRDefault="00CE0303" w:rsidP="00CE0303">
            <w:pPr>
              <w:spacing w:after="0"/>
              <w:jc w:val="center"/>
              <w:rPr>
                <w:rFonts w:eastAsiaTheme="minorHAnsi"/>
                <w:lang w:val="lv-LV"/>
              </w:rPr>
            </w:pPr>
            <w:r w:rsidRPr="00CE0303">
              <w:rPr>
                <w:rFonts w:eastAsiaTheme="minorHAnsi"/>
                <w:lang w:val="lv-LV"/>
              </w:rPr>
              <w:t>3 500 000</w:t>
            </w:r>
          </w:p>
        </w:tc>
        <w:tc>
          <w:tcPr>
            <w:tcW w:w="709" w:type="dxa"/>
            <w:shd w:val="clear" w:color="auto" w:fill="92D050"/>
            <w:vAlign w:val="center"/>
          </w:tcPr>
          <w:p w14:paraId="2A871D80"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1C838D85" w14:textId="77777777" w:rsidR="00CE0303" w:rsidRPr="00CE0303" w:rsidRDefault="00CE0303" w:rsidP="00CE0303">
            <w:pPr>
              <w:spacing w:after="0"/>
              <w:jc w:val="center"/>
              <w:rPr>
                <w:rFonts w:eastAsiaTheme="minorHAnsi"/>
                <w:lang w:val="lv-LV"/>
              </w:rPr>
            </w:pPr>
            <w:r w:rsidRPr="00CE0303">
              <w:rPr>
                <w:rFonts w:eastAsiaTheme="minorHAnsi"/>
                <w:lang w:val="lv-LV"/>
              </w:rPr>
              <w:t>3 500 000</w:t>
            </w:r>
          </w:p>
        </w:tc>
      </w:tr>
    </w:tbl>
    <w:p w14:paraId="0650CCC3" w14:textId="77777777" w:rsidR="00CE0303" w:rsidRPr="00CE0303" w:rsidRDefault="00CE0303" w:rsidP="00CE0303">
      <w:pPr>
        <w:spacing w:before="120"/>
        <w:ind w:firstLine="720"/>
        <w:rPr>
          <w:rFonts w:eastAsiaTheme="minorHAnsi"/>
          <w:lang w:val="lv-LV"/>
        </w:rPr>
      </w:pPr>
      <w:r w:rsidRPr="00CE0303">
        <w:rPr>
          <w:rFonts w:eastAsiaTheme="minorHAnsi"/>
          <w:lang w:val="lv-LV"/>
        </w:rPr>
        <w:t>Liepājas cietumā un Olaines cietumā (Latvijas cietumu slimnīcā) ēdināšanas pakalpojumus nodrošina komersanti, likvidētas 9 amata vietas.</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2904B85F" w14:textId="77777777" w:rsidTr="00CE0303">
        <w:trPr>
          <w:jc w:val="center"/>
        </w:trPr>
        <w:tc>
          <w:tcPr>
            <w:tcW w:w="709" w:type="dxa"/>
            <w:shd w:val="clear" w:color="auto" w:fill="92D050"/>
            <w:vAlign w:val="center"/>
          </w:tcPr>
          <w:p w14:paraId="64CC101B"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0392CFA7" w14:textId="77777777" w:rsidR="00CE0303" w:rsidRPr="00CE0303" w:rsidRDefault="00CE0303" w:rsidP="00CE0303">
            <w:pPr>
              <w:spacing w:after="0"/>
              <w:jc w:val="center"/>
              <w:rPr>
                <w:rFonts w:eastAsiaTheme="minorHAnsi"/>
                <w:lang w:val="lv-LV"/>
              </w:rPr>
            </w:pPr>
            <w:r w:rsidRPr="00CE0303">
              <w:rPr>
                <w:rFonts w:eastAsiaTheme="minorHAnsi"/>
                <w:lang w:val="lv-LV"/>
              </w:rPr>
              <w:t>194 893</w:t>
            </w:r>
          </w:p>
        </w:tc>
        <w:tc>
          <w:tcPr>
            <w:tcW w:w="696" w:type="dxa"/>
            <w:shd w:val="clear" w:color="auto" w:fill="92D050"/>
            <w:vAlign w:val="center"/>
          </w:tcPr>
          <w:p w14:paraId="3234E61A"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326C4245" w14:textId="77777777" w:rsidR="00CE0303" w:rsidRPr="00CE0303" w:rsidRDefault="00CE0303" w:rsidP="00CE0303">
            <w:pPr>
              <w:spacing w:after="0"/>
              <w:jc w:val="center"/>
              <w:rPr>
                <w:rFonts w:eastAsiaTheme="minorHAnsi"/>
                <w:lang w:val="lv-LV"/>
              </w:rPr>
            </w:pPr>
            <w:r w:rsidRPr="00CE0303">
              <w:rPr>
                <w:rFonts w:eastAsiaTheme="minorHAnsi"/>
                <w:lang w:val="lv-LV"/>
              </w:rPr>
              <w:t>194 893</w:t>
            </w:r>
          </w:p>
        </w:tc>
        <w:tc>
          <w:tcPr>
            <w:tcW w:w="709" w:type="dxa"/>
            <w:shd w:val="clear" w:color="auto" w:fill="92D050"/>
            <w:vAlign w:val="center"/>
          </w:tcPr>
          <w:p w14:paraId="7E372E33"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25F45244" w14:textId="77777777" w:rsidR="00CE0303" w:rsidRPr="00CE0303" w:rsidRDefault="00CE0303" w:rsidP="00CE0303">
            <w:pPr>
              <w:spacing w:after="0"/>
              <w:jc w:val="center"/>
              <w:rPr>
                <w:rFonts w:eastAsiaTheme="minorHAnsi"/>
                <w:lang w:val="lv-LV"/>
              </w:rPr>
            </w:pPr>
            <w:r w:rsidRPr="00CE0303">
              <w:rPr>
                <w:rFonts w:eastAsiaTheme="minorHAnsi"/>
                <w:lang w:val="lv-LV"/>
              </w:rPr>
              <w:t>194 893</w:t>
            </w:r>
          </w:p>
        </w:tc>
      </w:tr>
    </w:tbl>
    <w:p w14:paraId="3521DACC" w14:textId="02C9EF05" w:rsidR="00CE0303" w:rsidRPr="00CE0303" w:rsidRDefault="00CE0303" w:rsidP="00CE0303">
      <w:pPr>
        <w:spacing w:before="120"/>
        <w:ind w:firstLine="720"/>
        <w:rPr>
          <w:rFonts w:eastAsia="Calibri" w:cs="Times New Roman"/>
          <w:szCs w:val="24"/>
          <w:lang w:val="lv-LV"/>
        </w:rPr>
      </w:pPr>
      <w:r w:rsidRPr="00CE0303">
        <w:rPr>
          <w:rFonts w:eastAsia="Calibri" w:cs="Times New Roman"/>
          <w:szCs w:val="24"/>
          <w:lang w:val="lv-LV"/>
        </w:rPr>
        <w:t>MK 2020. gada 4. jūnija ārkārtas sēdē, izskatot informatīvo ziņojumu “Par Ministru kabineta 2019. gada 13. septembra sēdē (prot. Nr. 41 1. § 23.2. apakšpunkts) noteiktā uzdevuma izpildi”, atbalstīja jaunā Liepājas cietuma būvniecības uzsākšanu 2021. gadā, kā arī atļāva veikt izmaiņas iepriekš plānotajā valsts budžeta ilgtermiņa saistību apmērā un finansējuma sadalījumā pa gadiem (prot Nr. 39 4. § 6. punkts). Laika posmā kopš minētā valdības lēmuma pieņemšanas ir noticis aktīvs darbs pie jaunā Liepājas cietuma būvniecības procesa organizēšanas, tajā skaitā, lai nodrošinātu maksimālu saimniecisko ieguvumu efektu, tika izvērtēts iespējamais iepirkuma procedūras veids, kas nodrošinātu pēc iespējas lielāku iespēju ietaupīt valsts budžeta līdzekļus. Ņemot vērā piesaistīto ekspertu viedokļus un paredzamos ieguvumus, kā piemērotākais iepirkuma procedūras veids tika atzīta konkursa procedūra ar sarunām. Tā kā šī iepirkuma procedūra ir nedaudz garāka, tad ir nepieciešama jaunā Liepājas cietuma būvniecības laika grafika un finanšu plūsmas pārplānošana, jo 2022. gadā nebūs iespējams apgūt sākotnēji plānoto līdzekļu apjomu. Atbilstoši provizoriskajiem aprēķiniem plānotais finansējums 2022. gadā jāsamazina</w:t>
      </w:r>
      <w:r w:rsidR="00525A10">
        <w:rPr>
          <w:rFonts w:eastAsia="Calibri" w:cs="Times New Roman"/>
          <w:szCs w:val="24"/>
          <w:lang w:val="lv-LV"/>
        </w:rPr>
        <w:t xml:space="preserve"> novirzīšanai kopējām valsts prioritātēm</w:t>
      </w:r>
      <w:r w:rsidRPr="00CE0303">
        <w:rPr>
          <w:rFonts w:eastAsia="Calibri" w:cs="Times New Roman"/>
          <w:szCs w:val="24"/>
          <w:lang w:val="lv-LV"/>
        </w:rPr>
        <w:t>, bet 2024.</w:t>
      </w:r>
      <w:r w:rsidR="00FF342C">
        <w:rPr>
          <w:rFonts w:eastAsia="Calibri" w:cs="Times New Roman"/>
          <w:szCs w:val="24"/>
          <w:lang w:val="lv-LV"/>
        </w:rPr>
        <w:t xml:space="preserve"> </w:t>
      </w:r>
      <w:r w:rsidRPr="00CE0303">
        <w:rPr>
          <w:rFonts w:eastAsia="Calibri" w:cs="Times New Roman"/>
          <w:szCs w:val="24"/>
          <w:lang w:val="lv-LV"/>
        </w:rPr>
        <w:t xml:space="preserve">gadā jāpalielina </w:t>
      </w:r>
      <w:r w:rsidR="00525A10">
        <w:rPr>
          <w:rFonts w:eastAsia="Calibri" w:cs="Times New Roman"/>
          <w:szCs w:val="24"/>
          <w:lang w:val="lv-LV"/>
        </w:rPr>
        <w:t xml:space="preserve">TM izdevumi </w:t>
      </w:r>
      <w:r w:rsidRPr="00CE0303">
        <w:rPr>
          <w:rFonts w:eastAsia="Calibri" w:cs="Times New Roman"/>
          <w:szCs w:val="24"/>
          <w:lang w:val="lv-LV"/>
        </w:rPr>
        <w:t xml:space="preserve">par 38,8 milj. </w:t>
      </w:r>
      <w:r w:rsidRPr="00CE0303">
        <w:rPr>
          <w:rFonts w:eastAsia="Calibri" w:cs="Times New Roman"/>
          <w:i/>
          <w:iCs/>
          <w:szCs w:val="24"/>
          <w:lang w:val="lv-LV"/>
        </w:rPr>
        <w:t>euro</w:t>
      </w:r>
      <w:r w:rsidRPr="00CE0303">
        <w:rPr>
          <w:rFonts w:eastAsia="Calibri" w:cs="Times New Roman"/>
          <w:szCs w:val="24"/>
          <w:lang w:val="lv-LV"/>
        </w:rPr>
        <w:t>.</w:t>
      </w:r>
    </w:p>
    <w:tbl>
      <w:tblPr>
        <w:tblStyle w:val="TableGrid1"/>
        <w:tblW w:w="0" w:type="auto"/>
        <w:jc w:val="center"/>
        <w:tblLook w:val="04A0" w:firstRow="1" w:lastRow="0" w:firstColumn="1" w:lastColumn="0" w:noHBand="0" w:noVBand="1"/>
      </w:tblPr>
      <w:tblGrid>
        <w:gridCol w:w="709"/>
        <w:gridCol w:w="1413"/>
        <w:gridCol w:w="696"/>
        <w:gridCol w:w="1236"/>
        <w:gridCol w:w="709"/>
        <w:gridCol w:w="1176"/>
      </w:tblGrid>
      <w:tr w:rsidR="00CE0303" w:rsidRPr="00CE0303" w14:paraId="3E4B33DC" w14:textId="77777777" w:rsidTr="00CE0303">
        <w:trPr>
          <w:jc w:val="center"/>
        </w:trPr>
        <w:tc>
          <w:tcPr>
            <w:tcW w:w="709" w:type="dxa"/>
            <w:shd w:val="clear" w:color="auto" w:fill="92D050"/>
            <w:vAlign w:val="center"/>
          </w:tcPr>
          <w:p w14:paraId="6ED3861E"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413" w:type="dxa"/>
            <w:vAlign w:val="center"/>
          </w:tcPr>
          <w:p w14:paraId="43CD2E13" w14:textId="77777777" w:rsidR="00CE0303" w:rsidRPr="00CE0303" w:rsidRDefault="00CE0303" w:rsidP="00CE0303">
            <w:pPr>
              <w:spacing w:after="0"/>
              <w:jc w:val="center"/>
              <w:rPr>
                <w:rFonts w:eastAsiaTheme="minorHAnsi"/>
                <w:lang w:val="lv-LV"/>
              </w:rPr>
            </w:pPr>
            <w:r w:rsidRPr="00CE0303">
              <w:rPr>
                <w:rFonts w:eastAsiaTheme="minorHAnsi"/>
                <w:lang w:val="lv-LV"/>
              </w:rPr>
              <w:t>38 841 348</w:t>
            </w:r>
          </w:p>
        </w:tc>
        <w:tc>
          <w:tcPr>
            <w:tcW w:w="519" w:type="dxa"/>
            <w:shd w:val="clear" w:color="auto" w:fill="92D050"/>
            <w:vAlign w:val="center"/>
          </w:tcPr>
          <w:p w14:paraId="316D6E70"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4E3288DE" w14:textId="77777777" w:rsidR="00CE0303" w:rsidRPr="00CE0303" w:rsidRDefault="00CE0303" w:rsidP="00CE0303">
            <w:pPr>
              <w:spacing w:after="0"/>
              <w:jc w:val="center"/>
              <w:rPr>
                <w:rFonts w:eastAsiaTheme="minorHAnsi"/>
                <w:lang w:val="lv-LV"/>
              </w:rPr>
            </w:pPr>
            <w:r w:rsidRPr="00CE0303">
              <w:rPr>
                <w:rFonts w:eastAsiaTheme="minorHAnsi"/>
                <w:lang w:val="lv-LV"/>
              </w:rPr>
              <w:t>0</w:t>
            </w:r>
          </w:p>
        </w:tc>
        <w:tc>
          <w:tcPr>
            <w:tcW w:w="709" w:type="dxa"/>
            <w:shd w:val="clear" w:color="auto" w:fill="92D050"/>
            <w:vAlign w:val="center"/>
          </w:tcPr>
          <w:p w14:paraId="03B97FBF"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7E6686B8" w14:textId="77777777" w:rsidR="00CE0303" w:rsidRPr="00CE0303" w:rsidRDefault="00CE0303" w:rsidP="00CE0303">
            <w:pPr>
              <w:spacing w:after="0"/>
              <w:jc w:val="center"/>
              <w:rPr>
                <w:rFonts w:eastAsiaTheme="minorHAnsi"/>
                <w:lang w:val="lv-LV"/>
              </w:rPr>
            </w:pPr>
            <w:r w:rsidRPr="00CE0303">
              <w:rPr>
                <w:rFonts w:eastAsiaTheme="minorHAnsi"/>
                <w:lang w:val="lv-LV"/>
              </w:rPr>
              <w:t>0</w:t>
            </w:r>
          </w:p>
        </w:tc>
      </w:tr>
    </w:tbl>
    <w:p w14:paraId="661151DE" w14:textId="77777777" w:rsidR="00CE0303" w:rsidRPr="00CE0303" w:rsidRDefault="00CE0303" w:rsidP="00CE0303">
      <w:pPr>
        <w:spacing w:before="120"/>
        <w:ind w:firstLine="720"/>
        <w:rPr>
          <w:rFonts w:eastAsiaTheme="minorHAnsi"/>
          <w:lang w:val="lv-LV"/>
        </w:rPr>
      </w:pPr>
      <w:r w:rsidRPr="00CE0303">
        <w:rPr>
          <w:rFonts w:eastAsiaTheme="minorHAnsi"/>
          <w:lang w:val="lv-LV"/>
        </w:rPr>
        <w:lastRenderedPageBreak/>
        <w:t>Olaines cietuma Latvijas Cietumu slimnīcas laboratorijas un darba aizsardzības pakalpojumus nodrošina komersanti (likvidētas 15 amata vietas).</w:t>
      </w:r>
    </w:p>
    <w:tbl>
      <w:tblPr>
        <w:tblStyle w:val="TableGrid1"/>
        <w:tblW w:w="0" w:type="auto"/>
        <w:jc w:val="center"/>
        <w:tblLook w:val="04A0" w:firstRow="1" w:lastRow="0" w:firstColumn="1" w:lastColumn="0" w:noHBand="0" w:noVBand="1"/>
      </w:tblPr>
      <w:tblGrid>
        <w:gridCol w:w="709"/>
        <w:gridCol w:w="1236"/>
        <w:gridCol w:w="696"/>
        <w:gridCol w:w="1236"/>
        <w:gridCol w:w="709"/>
        <w:gridCol w:w="1176"/>
      </w:tblGrid>
      <w:tr w:rsidR="00CE0303" w:rsidRPr="00CE0303" w14:paraId="24E4E785" w14:textId="77777777" w:rsidTr="00CE0303">
        <w:trPr>
          <w:jc w:val="center"/>
        </w:trPr>
        <w:tc>
          <w:tcPr>
            <w:tcW w:w="709" w:type="dxa"/>
            <w:shd w:val="clear" w:color="auto" w:fill="92D050"/>
            <w:vAlign w:val="center"/>
          </w:tcPr>
          <w:p w14:paraId="417E8E69"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36" w:type="dxa"/>
            <w:vAlign w:val="center"/>
          </w:tcPr>
          <w:p w14:paraId="2F2A270A" w14:textId="77777777" w:rsidR="00CE0303" w:rsidRPr="00CE0303" w:rsidRDefault="00CE0303" w:rsidP="00CE0303">
            <w:pPr>
              <w:spacing w:after="0"/>
              <w:jc w:val="center"/>
              <w:rPr>
                <w:rFonts w:eastAsiaTheme="minorHAnsi"/>
                <w:lang w:val="lv-LV"/>
              </w:rPr>
            </w:pPr>
            <w:r w:rsidRPr="00CE0303">
              <w:rPr>
                <w:rFonts w:eastAsiaTheme="minorHAnsi"/>
                <w:lang w:val="lv-LV"/>
              </w:rPr>
              <w:t>123 484</w:t>
            </w:r>
          </w:p>
        </w:tc>
        <w:tc>
          <w:tcPr>
            <w:tcW w:w="696" w:type="dxa"/>
            <w:shd w:val="clear" w:color="auto" w:fill="92D050"/>
            <w:vAlign w:val="center"/>
          </w:tcPr>
          <w:p w14:paraId="7F287CC0"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36" w:type="dxa"/>
            <w:vAlign w:val="center"/>
          </w:tcPr>
          <w:p w14:paraId="4F46D4F3" w14:textId="77777777" w:rsidR="00CE0303" w:rsidRPr="00CE0303" w:rsidRDefault="00CE0303" w:rsidP="00CE0303">
            <w:pPr>
              <w:spacing w:after="0"/>
              <w:jc w:val="center"/>
              <w:rPr>
                <w:rFonts w:eastAsiaTheme="minorHAnsi"/>
                <w:lang w:val="lv-LV"/>
              </w:rPr>
            </w:pPr>
            <w:r w:rsidRPr="00CE0303">
              <w:rPr>
                <w:rFonts w:eastAsiaTheme="minorHAnsi"/>
                <w:lang w:val="lv-LV"/>
              </w:rPr>
              <w:t>123 484</w:t>
            </w:r>
          </w:p>
        </w:tc>
        <w:tc>
          <w:tcPr>
            <w:tcW w:w="709" w:type="dxa"/>
            <w:shd w:val="clear" w:color="auto" w:fill="92D050"/>
            <w:vAlign w:val="center"/>
          </w:tcPr>
          <w:p w14:paraId="6B644A36"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176" w:type="dxa"/>
            <w:vAlign w:val="center"/>
          </w:tcPr>
          <w:p w14:paraId="017FF4F4" w14:textId="77777777" w:rsidR="00CE0303" w:rsidRPr="00CE0303" w:rsidRDefault="00CE0303" w:rsidP="00CE0303">
            <w:pPr>
              <w:spacing w:after="0"/>
              <w:jc w:val="center"/>
              <w:rPr>
                <w:rFonts w:eastAsiaTheme="minorHAnsi"/>
                <w:lang w:val="lv-LV"/>
              </w:rPr>
            </w:pPr>
            <w:r w:rsidRPr="00CE0303">
              <w:rPr>
                <w:rFonts w:eastAsiaTheme="minorHAnsi"/>
                <w:lang w:val="lv-LV"/>
              </w:rPr>
              <w:t>123 484</w:t>
            </w:r>
          </w:p>
        </w:tc>
      </w:tr>
    </w:tbl>
    <w:p w14:paraId="7C92999A" w14:textId="75B96B5D"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Lai veicinātu bērnu tiesību aizsardzību tikt nodrošinātiem ar nepieciešamajiem līdzekļiem to uzturam, Uzturlīdzekļu garantiju fonda administrācija (turpmāk – fonda administrācija) pēdējo piecu gadu laikā ir veikusi būtiskus pasākumus ar mērķi sekmēt uzturlīdzekļu piedziņu no personām, kuras neveic normatīvajos aktos noteiktos pienākumus attiecībā uz bērnu uztura nodrošināšanu. Fonda administrācijas veikto parādu piedziņas pasākumu rezultātā (datu par parādnieka mantisko stāvokli un ienākumiem monitoringu, sadarbību ar zvērinātiem tiesu izpildītājiem, parādnieku datu publiskošanu, liegumu parādniekiem izmantot transportlīdzekļu vadīšanas tiesības, vienošanos noslēgšana ar parādniekiem par labprātīgu iemaksu veikšanu uzturlīdzekļu parāda dzēšanai u.tml.). Atgūto uzturlīdzekļu parādu apmērs pēdējo 5 gadu laikā ir palielinājies no 4,3 milj. </w:t>
      </w:r>
      <w:r w:rsidRPr="00CE0303">
        <w:rPr>
          <w:rFonts w:eastAsiaTheme="minorHAnsi" w:cs="Times New Roman"/>
          <w:i/>
          <w:szCs w:val="24"/>
          <w:lang w:val="lv-LV"/>
        </w:rPr>
        <w:t>euro</w:t>
      </w:r>
      <w:r w:rsidR="00CF64D3">
        <w:rPr>
          <w:rFonts w:eastAsiaTheme="minorHAnsi" w:cs="Times New Roman"/>
          <w:i/>
          <w:szCs w:val="24"/>
          <w:lang w:val="lv-LV"/>
        </w:rPr>
        <w:t xml:space="preserve"> </w:t>
      </w:r>
      <w:r w:rsidRPr="00CE0303">
        <w:rPr>
          <w:rFonts w:eastAsiaTheme="minorHAnsi" w:cs="Times New Roman"/>
          <w:szCs w:val="24"/>
          <w:lang w:val="lv-LV"/>
        </w:rPr>
        <w:t xml:space="preserve">2016. gadā līdz 12,5 milj. </w:t>
      </w:r>
      <w:r w:rsidRPr="00CE0303">
        <w:rPr>
          <w:rFonts w:eastAsiaTheme="minorHAnsi" w:cs="Times New Roman"/>
          <w:i/>
          <w:szCs w:val="24"/>
          <w:lang w:val="lv-LV"/>
        </w:rPr>
        <w:t>euro</w:t>
      </w:r>
      <w:r w:rsidRPr="00CE0303">
        <w:rPr>
          <w:rFonts w:eastAsiaTheme="minorHAnsi" w:cs="Times New Roman"/>
          <w:szCs w:val="24"/>
          <w:lang w:val="lv-LV"/>
        </w:rPr>
        <w:t xml:space="preserve"> 2020. gadā, tādējādi regresa kārtībā atgūto līdzekļu apmērs pret izmaksātajiem līdzekļiem ir pieaudzis no 11 % 2016. gadā līdz 23 % 2020.</w:t>
      </w:r>
      <w:r w:rsidR="00FF342C">
        <w:rPr>
          <w:rFonts w:eastAsiaTheme="minorHAnsi" w:cs="Times New Roman"/>
          <w:szCs w:val="24"/>
          <w:lang w:val="lv-LV"/>
        </w:rPr>
        <w:t xml:space="preserve"> </w:t>
      </w:r>
      <w:r w:rsidRPr="00CE0303">
        <w:rPr>
          <w:rFonts w:eastAsiaTheme="minorHAnsi" w:cs="Times New Roman"/>
          <w:szCs w:val="24"/>
          <w:lang w:val="lv-LV"/>
        </w:rPr>
        <w:t>gadā, ļaujot atbrīvot uzturlīdzekļu izmaksai nepieciešamo valsts budžeta dotācijas daļu un novirzot to citu, resoram aktuālu jautājumu risināšanai.</w:t>
      </w:r>
    </w:p>
    <w:p w14:paraId="1F1BAECF" w14:textId="7777777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Regresa ieņēmumu pieaugumu turpmākajos periodos veicinās arī jaunās Uzturlīdzekļu garantiju fonda likuma normas, kas stājas spēkā 2021. gadā, konkrēti par aizliegumu uzturlīdzekļu parādniekiem spēlēt azartspēles un uzturlīdzekļu parāda nodošana piedziņai ārpustiesas parāda atguvējam. Tāpat parādniekam piemēro transportlīdzekļu un kuģošanas līdzekļu vadīšanas izmantošanas aizliegumu, parādniekam aptur šaujamieroča atļaujas darbību, parādniekam var tikt piemērota kriminālatbildība par izvairīšanos no bērna uzturēšanas. TM prognozē, ka arī šo izmaiņu rezultātā, palielināsies regresa kārtībā piedzīto līdzekļu apmērs, tādējādi samazinot uzturlīdzekļu izmaksai nepieciešamo valsts budžeta dotācijas apmēru, kuru būs iespējams novirzīt aktuālu jautājumu risināšanai.</w:t>
      </w:r>
    </w:p>
    <w:tbl>
      <w:tblPr>
        <w:tblStyle w:val="TableGrid1"/>
        <w:tblW w:w="0" w:type="auto"/>
        <w:jc w:val="center"/>
        <w:tblLook w:val="04A0" w:firstRow="1" w:lastRow="0" w:firstColumn="1" w:lastColumn="0" w:noHBand="0" w:noVBand="1"/>
      </w:tblPr>
      <w:tblGrid>
        <w:gridCol w:w="709"/>
        <w:gridCol w:w="1271"/>
        <w:gridCol w:w="696"/>
        <w:gridCol w:w="1288"/>
        <w:gridCol w:w="696"/>
        <w:gridCol w:w="1289"/>
      </w:tblGrid>
      <w:tr w:rsidR="00CE0303" w:rsidRPr="00CE0303" w14:paraId="35266773" w14:textId="77777777" w:rsidTr="00CE0303">
        <w:trPr>
          <w:jc w:val="center"/>
        </w:trPr>
        <w:tc>
          <w:tcPr>
            <w:tcW w:w="709" w:type="dxa"/>
            <w:shd w:val="clear" w:color="auto" w:fill="92D050"/>
            <w:vAlign w:val="center"/>
          </w:tcPr>
          <w:p w14:paraId="040DEED4"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258FF443" w14:textId="77777777" w:rsidR="00CE0303" w:rsidRPr="00CE0303" w:rsidRDefault="00CE0303" w:rsidP="00CE0303">
            <w:pPr>
              <w:spacing w:after="0"/>
              <w:jc w:val="center"/>
              <w:rPr>
                <w:rFonts w:eastAsiaTheme="minorHAnsi"/>
                <w:lang w:val="lv-LV"/>
              </w:rPr>
            </w:pPr>
            <w:r w:rsidRPr="00CE0303">
              <w:rPr>
                <w:rFonts w:eastAsiaTheme="minorHAnsi"/>
                <w:lang w:val="lv-LV"/>
              </w:rPr>
              <w:t>1 161 400</w:t>
            </w:r>
          </w:p>
        </w:tc>
        <w:tc>
          <w:tcPr>
            <w:tcW w:w="696" w:type="dxa"/>
            <w:shd w:val="clear" w:color="auto" w:fill="92D050"/>
            <w:vAlign w:val="center"/>
          </w:tcPr>
          <w:p w14:paraId="1E9A7F7D"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2819AD63" w14:textId="77777777" w:rsidR="00CE0303" w:rsidRPr="00CE0303" w:rsidRDefault="00CE0303" w:rsidP="00CE0303">
            <w:pPr>
              <w:spacing w:after="0"/>
              <w:jc w:val="center"/>
              <w:rPr>
                <w:rFonts w:eastAsiaTheme="minorHAnsi"/>
                <w:lang w:val="lv-LV"/>
              </w:rPr>
            </w:pPr>
            <w:r w:rsidRPr="00CE0303">
              <w:rPr>
                <w:rFonts w:eastAsiaTheme="minorHAnsi"/>
                <w:lang w:val="lv-LV"/>
              </w:rPr>
              <w:t>1 161 400</w:t>
            </w:r>
          </w:p>
        </w:tc>
        <w:tc>
          <w:tcPr>
            <w:tcW w:w="696" w:type="dxa"/>
            <w:shd w:val="clear" w:color="auto" w:fill="92D050"/>
            <w:vAlign w:val="center"/>
          </w:tcPr>
          <w:p w14:paraId="7C1D73AC"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1289" w:type="dxa"/>
            <w:vAlign w:val="center"/>
          </w:tcPr>
          <w:p w14:paraId="10EB7CFB" w14:textId="77777777" w:rsidR="00CE0303" w:rsidRPr="00CE0303" w:rsidRDefault="00CE0303" w:rsidP="00CE0303">
            <w:pPr>
              <w:spacing w:after="0"/>
              <w:jc w:val="center"/>
              <w:rPr>
                <w:rFonts w:eastAsiaTheme="minorHAnsi"/>
                <w:lang w:val="lv-LV"/>
              </w:rPr>
            </w:pPr>
            <w:r w:rsidRPr="00CE0303">
              <w:rPr>
                <w:rFonts w:eastAsiaTheme="minorHAnsi"/>
                <w:lang w:val="lv-LV"/>
              </w:rPr>
              <w:t>1 161 400</w:t>
            </w:r>
          </w:p>
        </w:tc>
      </w:tr>
    </w:tbl>
    <w:p w14:paraId="1D5B7E72" w14:textId="7777777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Vienlaikus fonda administrācija ir identificējusi, ka arvien biežāk parādu piedziņas darbības ir veicamas ne tikai Latvijā, bet arī ārpus tās robežās. Uzturlīdzekļu piedziņas procesam ES ietvaros ir izveidota iSupport sistēma</w:t>
      </w:r>
      <w:r w:rsidRPr="00CE0303">
        <w:rPr>
          <w:rFonts w:eastAsiaTheme="minorHAnsi" w:cs="Times New Roman"/>
          <w:szCs w:val="24"/>
          <w:vertAlign w:val="superscript"/>
          <w:lang w:val="lv-LV"/>
        </w:rPr>
        <w:footnoteReference w:id="9"/>
      </w:r>
      <w:r w:rsidRPr="00CE0303">
        <w:rPr>
          <w:rFonts w:eastAsiaTheme="minorHAnsi" w:cs="Times New Roman"/>
          <w:szCs w:val="24"/>
          <w:lang w:val="lv-LV"/>
        </w:rPr>
        <w:t xml:space="preserve">, kuras izmantošana nākotnē no Latvijas puses dotu iespēju veicināt uzturlīdzekļu parādu piedziņu no personām ārpus Latvijas teritorijas. Lai nodrošinātu attiecīgās informācijas sistēmas sekmīgu ieviešanu Latvijas ietvaros, būtu nepieciešams veikt ne vien pieslēgšanos attiecīgajai platformai, bet arī nodrošināt izmaiņu veikšanu fonda administrācijas pārziņā esošajā valsts informācijas sistēmā “Uzturlīdzekļu garantiju fonda iesniedzēju un parādnieku reģistrs” (turpmāk - UGF IPR), kuru mērķis būtu izveidot risinājumu, kas balstītos uz iespējami automatizētas pieejas izmantošanas datu apstrādes, procesu virzības un lēmumu pieņemšanas ietvarā, tādā veidā uzlabojot visu uzturlīdzekļu pārvaldības procesu, no lēmuma pieņemšanas par uzturlīdzekļu izmaksu līdz uzkrāto parādu piedziņai visu valstu ietvaros, kuras ir pievienojušās Hāgas 2007. gada 23. novembra Konvencijai par uzturlīdzekļu bērniem un cita veida ģimenes uzturēšanas līdzekļu pārrobežu piedziņu. </w:t>
      </w:r>
    </w:p>
    <w:p w14:paraId="5A0EA2D2" w14:textId="53B7F9AD"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lastRenderedPageBreak/>
        <w:t>Pasākuma realizācijas mērķis un uzdevums saskan ar Digitālās transformācijas pamatnostādņu 2021.-2027.</w:t>
      </w:r>
      <w:r w:rsidR="00FF342C">
        <w:rPr>
          <w:rFonts w:eastAsiaTheme="minorHAnsi" w:cs="Times New Roman"/>
          <w:szCs w:val="24"/>
          <w:lang w:val="lv-LV"/>
        </w:rPr>
        <w:t xml:space="preserve"> </w:t>
      </w:r>
      <w:r w:rsidRPr="00CE0303">
        <w:rPr>
          <w:rFonts w:eastAsiaTheme="minorHAnsi" w:cs="Times New Roman"/>
          <w:szCs w:val="24"/>
          <w:lang w:val="lv-LV"/>
        </w:rPr>
        <w:t xml:space="preserve">gadam rīcības virzienu Tautsaimniecības (t.sk valsts pārvaldes) digitālā transformācija, kura uzdevums ir sekmēt publiskās pārvaldes elektronizāciju un automatizāciju. Atbilstoši fonda administrācijas veiktajiem indikatīvajiem novērtējumiem, kuri ir izdarīti atbilstoši publiskajā telpā pieejamajiem datiem par līdzīga apjoma informācijas sistēmu ieviešanu, plānotās izmaksas UGF IPR pārveidei automatizētu procesu un lēmumu pārvaldības nodrošināšanai sastādītu 1,0 milj. </w:t>
      </w:r>
      <w:r w:rsidRPr="00CE0303">
        <w:rPr>
          <w:rFonts w:eastAsiaTheme="minorHAnsi" w:cs="Times New Roman"/>
          <w:i/>
          <w:szCs w:val="24"/>
          <w:lang w:val="lv-LV"/>
        </w:rPr>
        <w:t>euro</w:t>
      </w:r>
      <w:r w:rsidRPr="00CE0303">
        <w:rPr>
          <w:rFonts w:eastAsiaTheme="minorHAnsi" w:cs="Times New Roman"/>
          <w:szCs w:val="24"/>
          <w:lang w:val="lv-LV"/>
        </w:rPr>
        <w:t xml:space="preserve">. </w:t>
      </w:r>
    </w:p>
    <w:p w14:paraId="7E893019" w14:textId="2FA22FC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Ņemot vērā prognozēto regresa kārtībā atgūto līdzekļu pieaugumu, TM piedāvā palielināt </w:t>
      </w:r>
      <w:bookmarkStart w:id="15" w:name="_Hlk73713943"/>
      <w:r w:rsidRPr="00CE0303">
        <w:rPr>
          <w:rFonts w:eastAsiaTheme="minorHAnsi" w:cs="Times New Roman"/>
          <w:szCs w:val="24"/>
          <w:lang w:val="lv-LV"/>
        </w:rPr>
        <w:t>dotāciju no vispārējiem ieņēmumiem</w:t>
      </w:r>
      <w:bookmarkEnd w:id="15"/>
      <w:r w:rsidRPr="00CE0303">
        <w:rPr>
          <w:rFonts w:eastAsiaTheme="minorHAnsi" w:cs="Times New Roman"/>
          <w:szCs w:val="24"/>
          <w:lang w:val="lv-LV"/>
        </w:rPr>
        <w:t xml:space="preserve"> un izdevumus pamatkapitāla veidošanai budžeta apakšprogrammā 03.07.00 “Uzturlīdzekļu garantiju fonda administrēšana”, vienlaikus samazinot dotāciju no vispārējiem ieņēmumiem un izdevumus sociāla rakstura maksājumiem un kompensācijām budžeta apakšprogrammā 03.08.00 “Uzturlīdzekļu garantiju fonds” 2022. gadā 50,0 tūkst </w:t>
      </w:r>
      <w:r w:rsidRPr="00CE0303">
        <w:rPr>
          <w:rFonts w:eastAsiaTheme="minorHAnsi" w:cs="Times New Roman"/>
          <w:i/>
          <w:szCs w:val="24"/>
          <w:lang w:val="lv-LV"/>
        </w:rPr>
        <w:t>euro</w:t>
      </w:r>
      <w:r w:rsidRPr="00CE0303">
        <w:rPr>
          <w:rFonts w:eastAsiaTheme="minorHAnsi" w:cs="Times New Roman"/>
          <w:szCs w:val="24"/>
          <w:lang w:val="lv-LV"/>
        </w:rPr>
        <w:t xml:space="preserve"> apmērā, 2023. gadā</w:t>
      </w:r>
      <w:r w:rsidR="00CF64D3">
        <w:rPr>
          <w:rFonts w:eastAsiaTheme="minorHAnsi" w:cs="Times New Roman"/>
          <w:szCs w:val="24"/>
          <w:lang w:val="lv-LV"/>
        </w:rPr>
        <w:t xml:space="preserve"> </w:t>
      </w:r>
      <w:r w:rsidRPr="00CE0303">
        <w:rPr>
          <w:rFonts w:eastAsiaTheme="minorHAnsi" w:cs="Times New Roman"/>
          <w:szCs w:val="24"/>
          <w:lang w:val="lv-LV"/>
        </w:rPr>
        <w:t xml:space="preserve">un 2024. gadā 475,0 tūkst. </w:t>
      </w:r>
      <w:r w:rsidRPr="00CE0303">
        <w:rPr>
          <w:rFonts w:eastAsiaTheme="minorHAnsi" w:cs="Times New Roman"/>
          <w:i/>
          <w:szCs w:val="24"/>
          <w:lang w:val="lv-LV"/>
        </w:rPr>
        <w:t>euro</w:t>
      </w:r>
      <w:r w:rsidRPr="00CE0303">
        <w:rPr>
          <w:rFonts w:eastAsiaTheme="minorHAnsi" w:cs="Times New Roman"/>
          <w:szCs w:val="24"/>
          <w:lang w:val="lv-LV"/>
        </w:rPr>
        <w:t xml:space="preserve"> apmērā ik gadu, lai veiktu Uzturlīdzekļu garantiju fonda iesniedzēju un parādnieku reģistra tehniskās platformas nomaiņu, vienlaikus saglabājot izveidotās datu apmaiņas ar citiem valsts nozīmes reģistriem, kā arī elektroniskos pakalpojumus portālā www.latvija.lv.</w:t>
      </w:r>
    </w:p>
    <w:p w14:paraId="700718CE" w14:textId="7777777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TM prognozē, ka apakšprogrammā 03.07.00 “Uzturlīdzekļu garantiju fonda administrēšana” ieguldītie finanšu līdzekļi UGF IPR pārveidei piedziņas procesa pilnveidošanai veicinās pašu ieņēmumu pieaugumu apakšprogrammā 03.08.00 “Uzturlīdzekļu garantiju fonds”. </w:t>
      </w:r>
    </w:p>
    <w:p w14:paraId="5B4F7C10" w14:textId="7777777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Lai nodrošinātu izmaksas uzturlīdzekļu saņēmējiem plānotajā apmērā, pārdalītā dotācija no vispārējiem ieņēmumiem tiek aizstāta ar pašu ieņēmumu atlikuma uz saimnieciskā gada sākumu izmantošanu. </w:t>
      </w:r>
    </w:p>
    <w:tbl>
      <w:tblPr>
        <w:tblStyle w:val="TableGrid1"/>
        <w:tblW w:w="0" w:type="auto"/>
        <w:jc w:val="center"/>
        <w:tblLook w:val="04A0" w:firstRow="1" w:lastRow="0" w:firstColumn="1" w:lastColumn="0" w:noHBand="0" w:noVBand="1"/>
      </w:tblPr>
      <w:tblGrid>
        <w:gridCol w:w="709"/>
        <w:gridCol w:w="1129"/>
        <w:gridCol w:w="696"/>
        <w:gridCol w:w="1005"/>
        <w:gridCol w:w="709"/>
        <w:gridCol w:w="996"/>
      </w:tblGrid>
      <w:tr w:rsidR="00CE0303" w:rsidRPr="00CE0303" w14:paraId="731D3B10" w14:textId="77777777" w:rsidTr="00CE0303">
        <w:trPr>
          <w:jc w:val="center"/>
        </w:trPr>
        <w:tc>
          <w:tcPr>
            <w:tcW w:w="709" w:type="dxa"/>
            <w:shd w:val="clear" w:color="auto" w:fill="92D050"/>
            <w:vAlign w:val="center"/>
          </w:tcPr>
          <w:p w14:paraId="13575AF1"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19487CF6" w14:textId="77777777" w:rsidR="00CE0303" w:rsidRPr="00CE0303" w:rsidRDefault="00CE0303" w:rsidP="00CE0303">
            <w:pPr>
              <w:spacing w:after="0"/>
              <w:jc w:val="center"/>
              <w:rPr>
                <w:rFonts w:eastAsiaTheme="minorHAnsi"/>
                <w:lang w:val="lv-LV"/>
              </w:rPr>
            </w:pPr>
            <w:r w:rsidRPr="00CE0303">
              <w:rPr>
                <w:rFonts w:eastAsiaTheme="minorHAnsi"/>
                <w:lang w:val="lv-LV"/>
              </w:rPr>
              <w:t>50 000</w:t>
            </w:r>
          </w:p>
        </w:tc>
        <w:tc>
          <w:tcPr>
            <w:tcW w:w="696" w:type="dxa"/>
            <w:shd w:val="clear" w:color="auto" w:fill="92D050"/>
            <w:vAlign w:val="center"/>
          </w:tcPr>
          <w:p w14:paraId="0CEE9FB2"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005" w:type="dxa"/>
            <w:vAlign w:val="center"/>
          </w:tcPr>
          <w:p w14:paraId="3971173A" w14:textId="77777777" w:rsidR="00CE0303" w:rsidRPr="00CE0303" w:rsidRDefault="00CE0303" w:rsidP="00CE0303">
            <w:pPr>
              <w:spacing w:after="0"/>
              <w:jc w:val="center"/>
              <w:rPr>
                <w:rFonts w:eastAsiaTheme="minorHAnsi"/>
                <w:lang w:val="lv-LV"/>
              </w:rPr>
            </w:pPr>
            <w:r w:rsidRPr="00CE0303">
              <w:rPr>
                <w:rFonts w:eastAsiaTheme="minorHAnsi"/>
                <w:lang w:val="lv-LV"/>
              </w:rPr>
              <w:t>475 000</w:t>
            </w:r>
          </w:p>
        </w:tc>
        <w:tc>
          <w:tcPr>
            <w:tcW w:w="709" w:type="dxa"/>
            <w:shd w:val="clear" w:color="auto" w:fill="92D050"/>
            <w:vAlign w:val="center"/>
          </w:tcPr>
          <w:p w14:paraId="4294E250"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996" w:type="dxa"/>
            <w:vAlign w:val="center"/>
          </w:tcPr>
          <w:p w14:paraId="64BAF386" w14:textId="77777777" w:rsidR="00CE0303" w:rsidRPr="00CE0303" w:rsidRDefault="00CE0303" w:rsidP="00CE0303">
            <w:pPr>
              <w:spacing w:after="0"/>
              <w:jc w:val="center"/>
              <w:rPr>
                <w:rFonts w:eastAsiaTheme="minorHAnsi"/>
                <w:lang w:val="lv-LV"/>
              </w:rPr>
            </w:pPr>
            <w:r w:rsidRPr="00CE0303">
              <w:rPr>
                <w:rFonts w:eastAsiaTheme="minorHAnsi"/>
                <w:lang w:val="lv-LV"/>
              </w:rPr>
              <w:t>475 000</w:t>
            </w:r>
          </w:p>
        </w:tc>
      </w:tr>
    </w:tbl>
    <w:p w14:paraId="436FB76B" w14:textId="7777777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TM ir noteikta kā atbildīgā iestāde budžeta programmas "Noziedzīgi iegūtu līdzekļu konfiskācijas fonds" (turpmāk - Fonds) administrēšanai. Trīs gadu laikā kopš Fonda programmas darbības uzsākšanas, ir secināms, ka TM patērē ievērojamu administratīvo resursu noteiktās funkcijas sekmīgai realizēšanai. TM nodrošina gan saturiskos, gan organizatoriskos jautājumus saistībā gan ar Fonda programmas, gan ar Noziedzības novēršanas padomes sēdes, kurā tiek lemts par Fonda programmas sadali, organizēšanas jautājumiem. Vienlaikus atbilstoši Noziedzības novēršanas padomes uzdotajam, MK noteikumos pēdējo divu gadu laikā ir veikti grozījumi, kas paredz TM papildu uzdevumus Fonda programmas administrēšanā. Atbilstoši 2019. gada 14. maija grozījumiem MK noteikumos, kas stājās spēkā 2019. gada 17. maijā –, ja līdzekļu pieprasītāju iesniegtie pieteikumi tikai daļēji atbilst Fonda programmas mērķim vai to kopējā summa pārsniedz Fonda programmas kontā pieejamos līdzekļus, TM nodrošina un veic darbības sanāksmes rīkošanā ar līdzekļu pieprasītājiem, kā arī nodrošina, ka ar līdzekļu pieprasītājiem tiek panākta vienošanās par atbalstāmajiem un Noziedzības novēršanas padomei izskatīšanai iesniedzamajiem pasākumiem. Kopš grozījumu spēkā stāšanās, praksē visās Fonda programmas līdzekļu sadalīšanas reizēs TM ir bijusi nepieciešamība veikt minētās darbības, lai nodrošinātu sekmīgu līdzekļu sadali līdzekļu pieprasītājiem. Vienlaikus atbilstoši 2020. gada 11. augusta grozījumiem MK noteikumos, kas stājās spēkā 2020. gada 20. augustā, TM ir uzdots izvērtēt līdzekļa pieprasītāja iesniegumu un pieņemt lēmumu par pasākuma īstenošanas termiņa pagarināšanu, ja aizkavētas piegādes vai preču vai pakalpojumu neatbilstošas kvalitātes dēļ līdzekļu saņēmējs nevar nodrošināt galīgā norēķina maksājumus pasākuma īstenošanas termiņā. </w:t>
      </w:r>
    </w:p>
    <w:p w14:paraId="2FDC5F36" w14:textId="700CCCAD"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lastRenderedPageBreak/>
        <w:t xml:space="preserve">Kopumā, izvērtējot TM veicamās darbības atbilstoši </w:t>
      </w:r>
      <w:r w:rsidR="005D7EA5">
        <w:rPr>
          <w:rFonts w:eastAsiaTheme="minorHAnsi" w:cs="Times New Roman"/>
          <w:szCs w:val="24"/>
          <w:lang w:val="lv-LV"/>
        </w:rPr>
        <w:t>MK</w:t>
      </w:r>
      <w:r w:rsidRPr="00CE0303">
        <w:rPr>
          <w:rFonts w:eastAsiaTheme="minorHAnsi" w:cs="Times New Roman"/>
          <w:szCs w:val="24"/>
          <w:lang w:val="lv-LV"/>
        </w:rPr>
        <w:t xml:space="preserve"> noteikumiem, norādāms, ka papildu darbs noteiktajiem darbiniekiem ir ne tikai konkrētā Fonda programmas līdzekļu sadales periodā, bet gan visa kalendārā gada ietvaros. </w:t>
      </w:r>
    </w:p>
    <w:p w14:paraId="343D5E34" w14:textId="6CBC3C9E"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Ņemot vērā minēto, norādāms, ka TM, lai sekmīgi veiktu Fonda programmas administrēšanu, nepieciešams finansēt vienu amata vietu – jurists. Norādāms, ka minētais jurists veiks pamatdarbības Fonda programmas administrēšanā, proti, uzaicinājumu sagatavošanu, pieteikumu apkopošanu, līdzekļu pieprasītāju iesniegto atskaišu saturisko izskatīšanu, pārskata gatavošanu par līdzekļu izlietojumu izvērtēšanu un apkopošanu, attiecīgo ziņojumu sagatavošanu, sagatavojot attiecīgos dokumentus. Tāpat minētais darbinieks veiks darbības saistībā ar Noziedzības novēršanas padomes sēžu organizēšanu gadījumos, kad tiks lemts par Fonda programmas līdzekļu izlietojumu. Vienlaikus šādu darbinieku būs iespējams piesaistīt Noziedzības novēršanas padomes rīcības plāna koordinēšanā. Pieņemot rīcības plānu un atskaitoties par tā izpildi būs jāseko līdzi kā Fonda programmas projekti sekmē rīcības plāna mērķu sasniegšanu, tāpēc būs jāveic projektu analīze arī kontekstā ar rīcības plānu. Līdz ar to būs jāiegulda papildu administratīvs resurss – detalizēti jāpārzina rīcības plāns un pasākumu saturs un jāseko līdzi tā izpildei, kā arī saturiski jāvērtē Fonda programmas atskaišu saturs, lai veiktu organizatorisku pasākumu sinhronizēšanu, lai abi procesi viens otru papildinātu, tā maksimāli efektivizējot gan Fonda programmas mērķu, gan rīcības plāna mērķu sasniegšanu. </w:t>
      </w:r>
    </w:p>
    <w:p w14:paraId="3153C496" w14:textId="7777777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Vienlaikus ņemot vērā, ka sekmīgai Fonda programmas administrēšanai visa perioda ietvaros nepieciešama arī finanšu analītiķa iesaiste, TM ir nepieciešami finanšu līdzekļi piemaksas nodrošināšanai vienam finanšu analītiķim. Finanšu analītiķis veiks Fonda programmas līdzekļu pieprasītāju pieteikumu finanšu rādītāju sadaļas izvērtēšanu, līdzekļu uzskaiti, atskaites par līdzekļu izlietojumu finanšu sadaļas izvērtēšanu, kā arī izskatīs līdzekļu pieprasītāju iesniegumus par pasākuma īstenošanas termiņa pagarinājumu, kā arī sagatavos attiecīgo informāciju Noziedzības novēršanas padomei.</w:t>
      </w:r>
    </w:p>
    <w:p w14:paraId="75A98435" w14:textId="77777777"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Tāpat norādāms, ka, ņemot vērā lielo darba apjomu konkrētā Fonda programmas līdzekļu sadales reizē, TM uz attiecīgo periodu ir nepieciešams iesaistīt vairākus darbiniekus sekmīga administrēšanas procesa nodrošināšanai. Līdz ar to papildus ir saglabājamas arī piemaksas, nosakot tās trīs personām uz attiecīgo laika periodu.</w:t>
      </w:r>
    </w:p>
    <w:p w14:paraId="0341DDAB" w14:textId="08204A08"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TM piedāvā sagatavot grozījumu </w:t>
      </w:r>
      <w:r w:rsidR="006B762E" w:rsidRPr="00CE0303">
        <w:rPr>
          <w:rFonts w:eastAsiaTheme="minorHAnsi" w:cs="Times New Roman"/>
          <w:szCs w:val="24"/>
          <w:lang w:val="lv-LV"/>
        </w:rPr>
        <w:t xml:space="preserve">MK </w:t>
      </w:r>
      <w:r w:rsidRPr="00CE0303">
        <w:rPr>
          <w:rFonts w:eastAsiaTheme="minorHAnsi" w:cs="Times New Roman"/>
          <w:szCs w:val="24"/>
          <w:lang w:val="lv-LV"/>
        </w:rPr>
        <w:t>2017. gada 19. decembra noteikumu Nr. 769 "Tieslietu ministrijas pamatbudžeta programmas "Noziedzīgi iegūtu līdzekļu konfiskācijas fonds" finanšu līdzekļu izmantošanas kārtība" 5. punktu, nosakot, ka turpmāk TM Fonda programmas administrēšanas izdevumi, kas tiek segti no Fonda programmas kontā ieskaitītajiem ieņēmumiem, nepārsniegs 2,5 procentus no Noziedzīgi iegūtas mantas konfiskācijas izpildes likuma 45. pantā noteiktā maksimālā saimnieciskajā gadā novirzāmās summas apmēra.</w:t>
      </w:r>
    </w:p>
    <w:p w14:paraId="10E198B4" w14:textId="4FF4325F" w:rsidR="00CE0303" w:rsidRPr="00CE0303" w:rsidRDefault="00CE0303" w:rsidP="000A078E">
      <w:pPr>
        <w:spacing w:before="120"/>
        <w:ind w:firstLine="720"/>
        <w:rPr>
          <w:rFonts w:eastAsiaTheme="minorHAnsi" w:cs="Times New Roman"/>
          <w:szCs w:val="24"/>
          <w:lang w:val="lv-LV"/>
        </w:rPr>
      </w:pPr>
      <w:r w:rsidRPr="00CE0303">
        <w:rPr>
          <w:rFonts w:eastAsiaTheme="minorHAnsi" w:cs="Times New Roman"/>
          <w:szCs w:val="24"/>
          <w:lang w:val="lv-LV"/>
        </w:rPr>
        <w:t xml:space="preserve">Fonda programmas izdevumi atbilstoši MK noteikumu 4. punktam un noteikumu grozījumu projektā plānotajam 5. punkta grozījumam paredzēti līdzekļu saņēmējiem ne vairāk kā 1 950 000 </w:t>
      </w:r>
      <w:r w:rsidRPr="00CE0303">
        <w:rPr>
          <w:rFonts w:eastAsiaTheme="minorHAnsi" w:cs="Times New Roman"/>
          <w:i/>
          <w:szCs w:val="24"/>
          <w:lang w:val="lv-LV"/>
        </w:rPr>
        <w:t>euro</w:t>
      </w:r>
      <w:r w:rsidRPr="00CE0303">
        <w:rPr>
          <w:rFonts w:eastAsiaTheme="minorHAnsi" w:cs="Times New Roman"/>
          <w:szCs w:val="24"/>
          <w:lang w:val="lv-LV"/>
        </w:rPr>
        <w:t xml:space="preserve"> (iepriekš 1 990 000 </w:t>
      </w:r>
      <w:r w:rsidRPr="00CE0303">
        <w:rPr>
          <w:rFonts w:eastAsiaTheme="minorHAnsi" w:cs="Times New Roman"/>
          <w:i/>
          <w:szCs w:val="24"/>
          <w:lang w:val="lv-LV"/>
        </w:rPr>
        <w:t>euro</w:t>
      </w:r>
      <w:r w:rsidRPr="00CE0303">
        <w:rPr>
          <w:rFonts w:eastAsiaTheme="minorHAnsi" w:cs="Times New Roman"/>
          <w:szCs w:val="24"/>
          <w:lang w:val="lv-LV"/>
        </w:rPr>
        <w:t>) apmērā, finanšu un ekonomisko noziegumu apkarošanas pasākumiem un atbalsta sniegšanai noziedzīgos nodarījumos cietušajiem, izņemot līdzekļu pieprasītāja un saņēmēja nodarbināto atl</w:t>
      </w:r>
      <w:r w:rsidR="005D7EA5">
        <w:rPr>
          <w:rFonts w:eastAsiaTheme="minorHAnsi" w:cs="Times New Roman"/>
          <w:szCs w:val="24"/>
          <w:lang w:val="lv-LV"/>
        </w:rPr>
        <w:t>īdzībai, un TM ne vairāk kā 0,04</w:t>
      </w:r>
      <w:r w:rsidRPr="00CE0303">
        <w:rPr>
          <w:rFonts w:eastAsiaTheme="minorHAnsi" w:cs="Times New Roman"/>
          <w:szCs w:val="24"/>
          <w:lang w:val="lv-LV"/>
        </w:rPr>
        <w:t xml:space="preserve"> tūkst. </w:t>
      </w:r>
      <w:r w:rsidRPr="00CE0303">
        <w:rPr>
          <w:rFonts w:eastAsiaTheme="minorHAnsi" w:cs="Times New Roman"/>
          <w:i/>
          <w:szCs w:val="24"/>
          <w:lang w:val="lv-LV"/>
        </w:rPr>
        <w:t>euro</w:t>
      </w:r>
      <w:r w:rsidRPr="00CE0303">
        <w:rPr>
          <w:rFonts w:eastAsiaTheme="minorHAnsi" w:cs="Times New Roman"/>
          <w:szCs w:val="24"/>
          <w:lang w:val="lv-LV"/>
        </w:rPr>
        <w:t xml:space="preserve"> apmērā Fonda programmas administrēšanas izdevumiem.</w:t>
      </w:r>
    </w:p>
    <w:tbl>
      <w:tblPr>
        <w:tblStyle w:val="TableGrid1"/>
        <w:tblW w:w="0" w:type="auto"/>
        <w:jc w:val="center"/>
        <w:tblLook w:val="04A0" w:firstRow="1" w:lastRow="0" w:firstColumn="1" w:lastColumn="0" w:noHBand="0" w:noVBand="1"/>
      </w:tblPr>
      <w:tblGrid>
        <w:gridCol w:w="709"/>
        <w:gridCol w:w="1129"/>
        <w:gridCol w:w="696"/>
        <w:gridCol w:w="1005"/>
        <w:gridCol w:w="709"/>
        <w:gridCol w:w="996"/>
      </w:tblGrid>
      <w:tr w:rsidR="00CE0303" w:rsidRPr="00CE0303" w14:paraId="402AD188" w14:textId="77777777" w:rsidTr="00CE0303">
        <w:trPr>
          <w:jc w:val="center"/>
        </w:trPr>
        <w:tc>
          <w:tcPr>
            <w:tcW w:w="709" w:type="dxa"/>
            <w:shd w:val="clear" w:color="auto" w:fill="92D050"/>
            <w:vAlign w:val="center"/>
          </w:tcPr>
          <w:p w14:paraId="39ABF1FB"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146F0AB2" w14:textId="77777777" w:rsidR="00CE0303" w:rsidRPr="00CE0303" w:rsidRDefault="00CE0303" w:rsidP="00CE0303">
            <w:pPr>
              <w:spacing w:after="0"/>
              <w:jc w:val="center"/>
              <w:rPr>
                <w:rFonts w:eastAsiaTheme="minorHAnsi"/>
                <w:lang w:val="lv-LV"/>
              </w:rPr>
            </w:pPr>
            <w:r w:rsidRPr="00CE0303">
              <w:rPr>
                <w:rFonts w:eastAsiaTheme="minorHAnsi"/>
                <w:lang w:val="lv-LV"/>
              </w:rPr>
              <w:t>40 063</w:t>
            </w:r>
          </w:p>
        </w:tc>
        <w:tc>
          <w:tcPr>
            <w:tcW w:w="696" w:type="dxa"/>
            <w:shd w:val="clear" w:color="auto" w:fill="92D050"/>
            <w:vAlign w:val="center"/>
          </w:tcPr>
          <w:p w14:paraId="02FA0058"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005" w:type="dxa"/>
            <w:vAlign w:val="center"/>
          </w:tcPr>
          <w:p w14:paraId="4BEBF3DA" w14:textId="77777777" w:rsidR="00CE0303" w:rsidRPr="00CE0303" w:rsidRDefault="00CE0303" w:rsidP="00CE0303">
            <w:pPr>
              <w:spacing w:after="0"/>
              <w:jc w:val="center"/>
              <w:rPr>
                <w:rFonts w:eastAsiaTheme="minorHAnsi"/>
                <w:lang w:val="lv-LV"/>
              </w:rPr>
            </w:pPr>
            <w:r w:rsidRPr="00CE0303">
              <w:rPr>
                <w:rFonts w:eastAsiaTheme="minorHAnsi"/>
                <w:lang w:val="lv-LV"/>
              </w:rPr>
              <w:t>40 063</w:t>
            </w:r>
          </w:p>
        </w:tc>
        <w:tc>
          <w:tcPr>
            <w:tcW w:w="709" w:type="dxa"/>
            <w:shd w:val="clear" w:color="auto" w:fill="92D050"/>
            <w:vAlign w:val="center"/>
          </w:tcPr>
          <w:p w14:paraId="35F6E1C4"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996" w:type="dxa"/>
            <w:vAlign w:val="center"/>
          </w:tcPr>
          <w:p w14:paraId="5B3FF870" w14:textId="77777777" w:rsidR="00CE0303" w:rsidRPr="00CE0303" w:rsidRDefault="00CE0303" w:rsidP="00CE0303">
            <w:pPr>
              <w:spacing w:after="0"/>
              <w:jc w:val="center"/>
              <w:rPr>
                <w:rFonts w:eastAsiaTheme="minorHAnsi"/>
                <w:lang w:val="lv-LV"/>
              </w:rPr>
            </w:pPr>
            <w:r w:rsidRPr="00CE0303">
              <w:rPr>
                <w:rFonts w:eastAsiaTheme="minorHAnsi"/>
                <w:lang w:val="lv-LV"/>
              </w:rPr>
              <w:t>40 063</w:t>
            </w:r>
          </w:p>
        </w:tc>
      </w:tr>
    </w:tbl>
    <w:p w14:paraId="45B51703" w14:textId="162214AD" w:rsidR="00CE0303" w:rsidRPr="00CE0303" w:rsidRDefault="00CE0303" w:rsidP="000A078E">
      <w:pPr>
        <w:spacing w:before="120"/>
        <w:ind w:firstLine="720"/>
        <w:rPr>
          <w:rFonts w:eastAsia="Calibri" w:cs="Times New Roman"/>
          <w:szCs w:val="24"/>
          <w:lang w:val="lv-LV"/>
        </w:rPr>
      </w:pPr>
      <w:r w:rsidRPr="00CE0303">
        <w:rPr>
          <w:rFonts w:eastAsia="Calibri" w:cs="Times New Roman"/>
          <w:szCs w:val="24"/>
          <w:lang w:val="lv-LV"/>
        </w:rPr>
        <w:lastRenderedPageBreak/>
        <w:t xml:space="preserve">Saistībā ar revīzijā Nr. 2.4.1-11/2020 </w:t>
      </w:r>
      <w:r w:rsidR="00D310F2">
        <w:rPr>
          <w:rFonts w:eastAsia="Calibri" w:cs="Times New Roman"/>
          <w:szCs w:val="24"/>
          <w:lang w:val="lv-LV"/>
        </w:rPr>
        <w:t>“</w:t>
      </w:r>
      <w:r w:rsidRPr="00CE0303">
        <w:rPr>
          <w:rFonts w:eastAsia="Calibri" w:cs="Times New Roman"/>
          <w:szCs w:val="24"/>
          <w:lang w:val="lv-LV"/>
        </w:rPr>
        <w:t>Par Tieslietu ministrijas 2020. gada pārskata sagatavošanas pareizību</w:t>
      </w:r>
      <w:r w:rsidR="00D310F2">
        <w:rPr>
          <w:rFonts w:eastAsia="Calibri" w:cs="Times New Roman"/>
          <w:szCs w:val="24"/>
          <w:lang w:val="lv-LV"/>
        </w:rPr>
        <w:t>”</w:t>
      </w:r>
      <w:r w:rsidRPr="00CE0303">
        <w:rPr>
          <w:rFonts w:eastAsia="Calibri" w:cs="Times New Roman"/>
          <w:szCs w:val="24"/>
          <w:lang w:val="lv-LV"/>
        </w:rPr>
        <w:t xml:space="preserve"> sagatavoto starpziņojumu </w:t>
      </w:r>
      <w:r w:rsidR="00D310F2">
        <w:rPr>
          <w:rFonts w:eastAsia="Calibri" w:cs="Times New Roman"/>
          <w:szCs w:val="24"/>
          <w:lang w:val="lv-LV"/>
        </w:rPr>
        <w:t>“</w:t>
      </w:r>
      <w:r w:rsidRPr="00CE0303">
        <w:rPr>
          <w:rFonts w:eastAsia="Calibri" w:cs="Times New Roman"/>
          <w:szCs w:val="24"/>
          <w:lang w:val="lv-LV"/>
        </w:rPr>
        <w:t>Tieslietu ministrijai pārskaitīšanai Latvijas Zvērinātu notāru padomei piešķirtā finansējuma izlietojums</w:t>
      </w:r>
      <w:r w:rsidR="00D310F2">
        <w:rPr>
          <w:rFonts w:eastAsia="Calibri" w:cs="Times New Roman"/>
          <w:szCs w:val="24"/>
          <w:lang w:val="lv-LV"/>
        </w:rPr>
        <w:t>”</w:t>
      </w:r>
      <w:r w:rsidRPr="00CE0303">
        <w:rPr>
          <w:rFonts w:eastAsia="Calibri" w:cs="Times New Roman"/>
          <w:szCs w:val="24"/>
          <w:lang w:val="lv-LV"/>
        </w:rPr>
        <w:t xml:space="preserve"> VKo ir izvirzījusi ieteikumu: Lai nodrošinātu valsts informācijas sistēmu darbības nepārtrauktību un valstij nozīmīgas informācijas aizsardzību, TM sadarbībā ar Latvijas Zvērinātu notāru padomi izvērtēt iespēju noteikt par Mantojuma reģistra un Publisko testamentu reģistra pārzini un turētāju valsts institūciju. </w:t>
      </w:r>
    </w:p>
    <w:p w14:paraId="4F40A84E" w14:textId="77777777" w:rsidR="00CE0303" w:rsidRPr="00CE0303" w:rsidRDefault="00CE0303" w:rsidP="000A078E">
      <w:pPr>
        <w:spacing w:before="120"/>
        <w:ind w:firstLine="720"/>
        <w:rPr>
          <w:rFonts w:eastAsia="Calibri" w:cs="Times New Roman"/>
          <w:szCs w:val="24"/>
          <w:lang w:val="lv-LV"/>
        </w:rPr>
      </w:pPr>
      <w:r w:rsidRPr="00CE0303">
        <w:rPr>
          <w:rFonts w:eastAsia="Calibri" w:cs="Times New Roman"/>
          <w:szCs w:val="24"/>
          <w:lang w:val="lv-LV"/>
        </w:rPr>
        <w:t>VKo ieskatā situācija ar kādu saskārās Latvijas Zvērinātu notāru padome ārkārtējās situācijas laikā būtiski samazinoties notariālo darbību skaitam un ieņēmumiem, tā rezultātā nespējot rast finansējumu servera iegādei, apliecina, ka nozīmīgu informācijas sistēmu uzturēšana un pārvaldība ir jāveic valsts institūcijai, lai nodrošinātu informācijas sistēmas darbības nepārtrauktību un valsts funkciju izpildei nozīmīgas informācijas pieejamību neatkarīgi no ārēju faktoru ietekmē mainīga finansējuma.</w:t>
      </w:r>
    </w:p>
    <w:p w14:paraId="7E85867C" w14:textId="77777777" w:rsidR="00CE0303" w:rsidRPr="00CE0303" w:rsidRDefault="00CE0303" w:rsidP="000A078E">
      <w:pPr>
        <w:spacing w:before="120"/>
        <w:ind w:firstLine="720"/>
        <w:rPr>
          <w:rFonts w:eastAsia="Calibri" w:cs="Times New Roman"/>
          <w:szCs w:val="24"/>
          <w:lang w:val="lv-LV"/>
        </w:rPr>
      </w:pPr>
      <w:r w:rsidRPr="00CE0303">
        <w:rPr>
          <w:rFonts w:eastAsia="Calibri" w:cs="Times New Roman"/>
          <w:szCs w:val="24"/>
          <w:lang w:val="lv-LV"/>
        </w:rPr>
        <w:t>Ņemot vērā, ka Mantojuma reģistrā un Publisko testamentu reģistrā iekļautā informācija ir ar valstisku nozīmi līdzīgi kā miršanas, dzimšanas un citi dati, revidentu ieskatā tā uzturēšana būtu jānodrošina atbilstoši Valsts informācijas sistēmu likumam (Valsts informācijas sistēmu likuma 7. pants), tajā skaitā, ievērojot, ka Valsts informācijas sistēmas pārzinis un turētājs ir valsts institūcija un, ka valsts informācijas sistēmas tiek uzturētas gadskārtējā valsts budžeta līdzekļu ietvaros.</w:t>
      </w:r>
    </w:p>
    <w:p w14:paraId="63852E31" w14:textId="77777777" w:rsidR="00CE0303" w:rsidRPr="00CE0303" w:rsidRDefault="00CE0303" w:rsidP="000A078E">
      <w:pPr>
        <w:spacing w:before="120"/>
        <w:rPr>
          <w:rFonts w:eastAsia="Calibri" w:cs="Times New Roman"/>
          <w:szCs w:val="24"/>
          <w:lang w:val="lv-LV"/>
        </w:rPr>
      </w:pPr>
      <w:r w:rsidRPr="00CE0303">
        <w:rPr>
          <w:rFonts w:eastAsia="Calibri" w:cs="Times New Roman"/>
          <w:szCs w:val="24"/>
          <w:lang w:val="lv-LV"/>
        </w:rPr>
        <w:tab/>
        <w:t>TM ieteikuma ieviešanai sadarbībā ar Latvijas Zvērinātu notāru padomi, Tiesu administrāciju, FM un VARAM izvērtēja iespēju Mantojuma reģistru un Publisko testamentu reģistru no Latvijas Zvērinātu notāru padomes, kā šo sistēmu pārziņa un turētāja, nodot Tiesu administrācijas pārziņā un turējumā. Izvērtējot risinājumu tehniskos un finansiālos aspektus, kā arī to ietekmi uz valsts budžetu, tika nolemts, saglabāt Mantojumu reģistru un Publisko testamentu reģistru Latvijas Zvērinātu notāru padomes pārziņā un turējumā, nodrošinot ikgadējus valsts budžeta līdzekļus šo valsts informācijas sistēmu uzturēšanai.</w:t>
      </w:r>
    </w:p>
    <w:p w14:paraId="074A046B" w14:textId="77777777" w:rsidR="00CE0303" w:rsidRPr="00CE0303" w:rsidRDefault="00CE0303" w:rsidP="000A078E">
      <w:pPr>
        <w:spacing w:before="120"/>
        <w:ind w:firstLine="720"/>
        <w:rPr>
          <w:rFonts w:eastAsia="Calibri" w:cs="Times New Roman"/>
          <w:szCs w:val="24"/>
          <w:lang w:val="lv-LV"/>
        </w:rPr>
      </w:pPr>
      <w:r w:rsidRPr="00CE0303">
        <w:rPr>
          <w:rFonts w:eastAsia="Calibri" w:cs="Times New Roman"/>
          <w:szCs w:val="24"/>
          <w:lang w:val="lv-LV"/>
        </w:rPr>
        <w:t>Budžeta izdevumu pārskatīšanas rezultātā tika rasta iespēja Mantojuma reģistra un Publisko testamentu reģistra uzturēšanai nepieciešamos līdzekļus pārdalīt tieslietu resora ietvaros no budžeta apakšprogrammas 03.03.00 “Juridiskās palīdzības nodrošināšana”, samazinot izdevumus valsts nodrošinātai juridiskajai palīdzībai.</w:t>
      </w:r>
    </w:p>
    <w:tbl>
      <w:tblPr>
        <w:tblStyle w:val="TableGrid1"/>
        <w:tblW w:w="0" w:type="auto"/>
        <w:jc w:val="center"/>
        <w:tblLook w:val="04A0" w:firstRow="1" w:lastRow="0" w:firstColumn="1" w:lastColumn="0" w:noHBand="0" w:noVBand="1"/>
      </w:tblPr>
      <w:tblGrid>
        <w:gridCol w:w="709"/>
        <w:gridCol w:w="1129"/>
        <w:gridCol w:w="696"/>
        <w:gridCol w:w="1005"/>
        <w:gridCol w:w="709"/>
        <w:gridCol w:w="996"/>
      </w:tblGrid>
      <w:tr w:rsidR="00CE0303" w:rsidRPr="00CE0303" w14:paraId="6EFF2C54" w14:textId="77777777" w:rsidTr="00CE0303">
        <w:trPr>
          <w:jc w:val="center"/>
        </w:trPr>
        <w:tc>
          <w:tcPr>
            <w:tcW w:w="709" w:type="dxa"/>
            <w:shd w:val="clear" w:color="auto" w:fill="92D050"/>
            <w:vAlign w:val="center"/>
          </w:tcPr>
          <w:p w14:paraId="3D981E97"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0FDA56A8" w14:textId="77777777" w:rsidR="00CE0303" w:rsidRPr="00CE0303" w:rsidRDefault="00CE0303" w:rsidP="00CE0303">
            <w:pPr>
              <w:spacing w:after="0"/>
              <w:jc w:val="center"/>
              <w:rPr>
                <w:rFonts w:eastAsiaTheme="minorHAnsi"/>
                <w:lang w:val="lv-LV"/>
              </w:rPr>
            </w:pPr>
            <w:r w:rsidRPr="00CE0303">
              <w:rPr>
                <w:rFonts w:eastAsiaTheme="minorHAnsi"/>
                <w:lang w:val="lv-LV"/>
              </w:rPr>
              <w:t>21 800</w:t>
            </w:r>
          </w:p>
        </w:tc>
        <w:tc>
          <w:tcPr>
            <w:tcW w:w="696" w:type="dxa"/>
            <w:shd w:val="clear" w:color="auto" w:fill="92D050"/>
            <w:vAlign w:val="center"/>
          </w:tcPr>
          <w:p w14:paraId="463B2FAA"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005" w:type="dxa"/>
            <w:vAlign w:val="center"/>
          </w:tcPr>
          <w:p w14:paraId="67A07548" w14:textId="77777777" w:rsidR="00CE0303" w:rsidRPr="00CE0303" w:rsidRDefault="00CE0303" w:rsidP="00CE0303">
            <w:pPr>
              <w:spacing w:after="0"/>
              <w:jc w:val="center"/>
              <w:rPr>
                <w:rFonts w:eastAsiaTheme="minorHAnsi"/>
                <w:lang w:val="lv-LV"/>
              </w:rPr>
            </w:pPr>
            <w:r w:rsidRPr="00CE0303">
              <w:rPr>
                <w:rFonts w:eastAsiaTheme="minorHAnsi"/>
                <w:lang w:val="lv-LV"/>
              </w:rPr>
              <w:t>21 800</w:t>
            </w:r>
          </w:p>
        </w:tc>
        <w:tc>
          <w:tcPr>
            <w:tcW w:w="709" w:type="dxa"/>
            <w:shd w:val="clear" w:color="auto" w:fill="92D050"/>
            <w:vAlign w:val="center"/>
          </w:tcPr>
          <w:p w14:paraId="11C033E9"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996" w:type="dxa"/>
            <w:vAlign w:val="center"/>
          </w:tcPr>
          <w:p w14:paraId="15942293" w14:textId="77777777" w:rsidR="00CE0303" w:rsidRPr="00CE0303" w:rsidRDefault="00CE0303" w:rsidP="00CE0303">
            <w:pPr>
              <w:spacing w:after="0"/>
              <w:jc w:val="center"/>
              <w:rPr>
                <w:rFonts w:eastAsiaTheme="minorHAnsi"/>
                <w:lang w:val="lv-LV"/>
              </w:rPr>
            </w:pPr>
            <w:r w:rsidRPr="00CE0303">
              <w:rPr>
                <w:rFonts w:eastAsiaTheme="minorHAnsi"/>
                <w:lang w:val="lv-LV"/>
              </w:rPr>
              <w:t>21 800</w:t>
            </w:r>
          </w:p>
        </w:tc>
      </w:tr>
    </w:tbl>
    <w:p w14:paraId="2D6F0766" w14:textId="77777777" w:rsidR="00D310F2" w:rsidRPr="00D310F2" w:rsidRDefault="00D310F2" w:rsidP="00CE0303">
      <w:pPr>
        <w:spacing w:before="120"/>
        <w:rPr>
          <w:rFonts w:eastAsiaTheme="minorHAnsi"/>
          <w:b/>
          <w:sz w:val="12"/>
          <w:szCs w:val="12"/>
          <w:lang w:val="lv-LV"/>
        </w:rPr>
      </w:pPr>
    </w:p>
    <w:p w14:paraId="4E5484EE" w14:textId="347FFF39" w:rsidR="00CE0303" w:rsidRPr="00CE0303" w:rsidRDefault="00CE0303" w:rsidP="00CE0303">
      <w:pPr>
        <w:spacing w:before="120"/>
        <w:rPr>
          <w:rFonts w:eastAsiaTheme="minorHAnsi"/>
          <w:b/>
          <w:lang w:val="lv-LV"/>
        </w:rPr>
      </w:pPr>
      <w:r w:rsidRPr="00CE0303">
        <w:rPr>
          <w:rFonts w:eastAsiaTheme="minorHAnsi"/>
          <w:b/>
          <w:lang w:val="lv-LV"/>
        </w:rPr>
        <w:t>Vides aizsardzības un reģionālās attīstības ministrija</w:t>
      </w:r>
    </w:p>
    <w:p w14:paraId="1B7C8664" w14:textId="0040BB78" w:rsidR="00CE0303" w:rsidRPr="00CE0303" w:rsidRDefault="00CE0303" w:rsidP="00CE0303">
      <w:pPr>
        <w:ind w:firstLine="720"/>
        <w:rPr>
          <w:rFonts w:eastAsiaTheme="minorHAnsi" w:cs="Times New Roman"/>
          <w:szCs w:val="24"/>
          <w:lang w:val="lv-LV"/>
        </w:rPr>
      </w:pPr>
      <w:r w:rsidRPr="00CE0303">
        <w:rPr>
          <w:rFonts w:eastAsiaTheme="minorHAnsi" w:cs="Times New Roman"/>
          <w:szCs w:val="24"/>
          <w:lang w:val="lv-LV"/>
        </w:rPr>
        <w:t>Veicot VARAM pamatbudžeta analīzi, konstatēts, ka laika periodā no 2018. līdz 2020. gadam izdevumu neizpilde vērojama apakšprogrammās 21.20.00 “Iemaksas starptautiskajās organizācijās” un 23.02.00. “Vides pārraudzības valsts birojs”.</w:t>
      </w:r>
    </w:p>
    <w:p w14:paraId="53BA577A" w14:textId="77777777" w:rsidR="002C24FA" w:rsidRDefault="002C24FA" w:rsidP="00CE0303">
      <w:pPr>
        <w:jc w:val="center"/>
        <w:rPr>
          <w:rFonts w:eastAsiaTheme="minorHAnsi" w:cs="Times New Roman"/>
          <w:b/>
          <w:bCs/>
          <w:i/>
          <w:iCs/>
          <w:lang w:val="lv-LV"/>
        </w:rPr>
      </w:pPr>
      <w:bookmarkStart w:id="16" w:name="_Hlk72848982"/>
    </w:p>
    <w:p w14:paraId="07903BAB" w14:textId="77777777" w:rsidR="002C24FA" w:rsidRDefault="002C24FA" w:rsidP="00CE0303">
      <w:pPr>
        <w:jc w:val="center"/>
        <w:rPr>
          <w:rFonts w:eastAsiaTheme="minorHAnsi" w:cs="Times New Roman"/>
          <w:b/>
          <w:bCs/>
          <w:i/>
          <w:iCs/>
          <w:lang w:val="lv-LV"/>
        </w:rPr>
      </w:pPr>
    </w:p>
    <w:p w14:paraId="774EB3B9" w14:textId="77777777" w:rsidR="002C24FA" w:rsidRDefault="002C24FA" w:rsidP="00CE0303">
      <w:pPr>
        <w:jc w:val="center"/>
        <w:rPr>
          <w:rFonts w:eastAsiaTheme="minorHAnsi" w:cs="Times New Roman"/>
          <w:b/>
          <w:bCs/>
          <w:i/>
          <w:iCs/>
          <w:lang w:val="lv-LV"/>
        </w:rPr>
      </w:pPr>
    </w:p>
    <w:p w14:paraId="2893549E" w14:textId="77777777" w:rsidR="002C24FA" w:rsidRDefault="002C24FA" w:rsidP="00CE0303">
      <w:pPr>
        <w:jc w:val="center"/>
        <w:rPr>
          <w:rFonts w:eastAsiaTheme="minorHAnsi" w:cs="Times New Roman"/>
          <w:b/>
          <w:bCs/>
          <w:i/>
          <w:iCs/>
          <w:lang w:val="lv-LV"/>
        </w:rPr>
      </w:pPr>
    </w:p>
    <w:p w14:paraId="0008EDC4" w14:textId="77777777" w:rsidR="002C24FA" w:rsidRDefault="002C24FA" w:rsidP="00CE0303">
      <w:pPr>
        <w:jc w:val="center"/>
        <w:rPr>
          <w:rFonts w:eastAsiaTheme="minorHAnsi" w:cs="Times New Roman"/>
          <w:b/>
          <w:bCs/>
          <w:i/>
          <w:iCs/>
          <w:lang w:val="lv-LV"/>
        </w:rPr>
      </w:pPr>
    </w:p>
    <w:p w14:paraId="133C5B56" w14:textId="52A0DB46" w:rsidR="00CE0303" w:rsidRPr="00CE0303" w:rsidRDefault="00CE0303" w:rsidP="00CE0303">
      <w:pPr>
        <w:jc w:val="center"/>
        <w:rPr>
          <w:rFonts w:eastAsiaTheme="minorHAnsi" w:cs="Times New Roman"/>
          <w:b/>
          <w:bCs/>
          <w:lang w:val="lv-LV"/>
        </w:rPr>
      </w:pPr>
      <w:r w:rsidRPr="00CE0303">
        <w:rPr>
          <w:rFonts w:eastAsiaTheme="minorHAnsi" w:cs="Times New Roman"/>
          <w:b/>
          <w:bCs/>
          <w:i/>
          <w:iCs/>
          <w:lang w:val="lv-LV"/>
        </w:rPr>
        <w:lastRenderedPageBreak/>
        <w:t>2.2.26. attēls</w:t>
      </w:r>
      <w:r w:rsidRPr="00CE0303">
        <w:rPr>
          <w:rFonts w:eastAsiaTheme="minorHAnsi" w:cs="Times New Roman"/>
          <w:b/>
          <w:bCs/>
          <w:lang w:val="lv-LV"/>
        </w:rPr>
        <w:t xml:space="preserve"> Apakšprogrammas </w:t>
      </w:r>
      <w:bookmarkStart w:id="17" w:name="_Hlk72754872"/>
      <w:r w:rsidRPr="00CE0303">
        <w:rPr>
          <w:rFonts w:eastAsiaTheme="minorHAnsi" w:cs="Times New Roman"/>
          <w:b/>
          <w:bCs/>
          <w:lang w:val="lv-LV"/>
        </w:rPr>
        <w:t xml:space="preserve">21.20.00 “Iemaksas starptautiskajās organizācijās” </w:t>
      </w:r>
      <w:bookmarkEnd w:id="16"/>
      <w:r w:rsidRPr="00CE0303">
        <w:rPr>
          <w:rFonts w:eastAsiaTheme="minorHAnsi" w:cs="Times New Roman"/>
          <w:b/>
          <w:bCs/>
          <w:lang w:val="lv-LV"/>
        </w:rPr>
        <w:t>izdevumu analīze</w:t>
      </w:r>
      <w:bookmarkEnd w:id="17"/>
      <w:r w:rsidRPr="00CE0303">
        <w:rPr>
          <w:rFonts w:eastAsiaTheme="minorHAnsi" w:cs="Times New Roman"/>
          <w:b/>
          <w:bCs/>
          <w:lang w:val="lv-LV"/>
        </w:rPr>
        <w:t xml:space="preserve"> (milj. </w:t>
      </w:r>
      <w:r w:rsidRPr="00CE0303">
        <w:rPr>
          <w:rFonts w:eastAsiaTheme="minorHAnsi" w:cs="Times New Roman"/>
          <w:b/>
          <w:bCs/>
          <w:i/>
          <w:iCs/>
          <w:lang w:val="lv-LV"/>
        </w:rPr>
        <w:t>euro</w:t>
      </w:r>
      <w:r w:rsidRPr="00CE0303">
        <w:rPr>
          <w:rFonts w:eastAsiaTheme="minorHAnsi" w:cs="Times New Roman"/>
          <w:b/>
          <w:bCs/>
          <w:lang w:val="lv-LV"/>
        </w:rPr>
        <w:t>)</w:t>
      </w:r>
    </w:p>
    <w:p w14:paraId="0D889DC7" w14:textId="77777777" w:rsidR="00CE0303" w:rsidRPr="00CE0303" w:rsidRDefault="00CE0303" w:rsidP="00CE0303">
      <w:pPr>
        <w:jc w:val="center"/>
        <w:rPr>
          <w:rFonts w:eastAsiaTheme="minorHAnsi" w:cs="Times New Roman"/>
          <w:szCs w:val="24"/>
          <w:lang w:val="lv-LV"/>
        </w:rPr>
      </w:pPr>
      <w:r w:rsidRPr="00CE0303">
        <w:rPr>
          <w:rFonts w:eastAsiaTheme="minorHAnsi" w:cs="Times New Roman"/>
          <w:noProof/>
          <w:color w:val="70AD47" w:themeColor="accent6"/>
          <w:szCs w:val="24"/>
          <w:lang w:val="lv-LV" w:eastAsia="lv-LV"/>
        </w:rPr>
        <w:drawing>
          <wp:inline distT="0" distB="0" distL="0" distR="0" wp14:anchorId="232FFF6A" wp14:editId="72EF7EC2">
            <wp:extent cx="5210175" cy="2028825"/>
            <wp:effectExtent l="0" t="0" r="9525" b="9525"/>
            <wp:docPr id="2266" name="Chart 2266">
              <a:extLst xmlns:a="http://schemas.openxmlformats.org/drawingml/2006/main">
                <a:ext uri="{FF2B5EF4-FFF2-40B4-BE49-F238E27FC236}">
                  <a16:creationId xmlns:a16="http://schemas.microsoft.com/office/drawing/2014/main" id="{9C1532D1-0E5D-4D15-800D-6772FC0996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D19A339" w14:textId="77777777" w:rsidR="00CE0303" w:rsidRPr="00CE0303" w:rsidRDefault="00CE0303" w:rsidP="000A078E">
      <w:pPr>
        <w:ind w:firstLine="720"/>
        <w:rPr>
          <w:rFonts w:eastAsiaTheme="minorHAnsi" w:cs="Times New Roman"/>
          <w:bCs/>
          <w:szCs w:val="24"/>
          <w:lang w:val="lv-LV"/>
        </w:rPr>
      </w:pPr>
      <w:r w:rsidRPr="00CE0303">
        <w:rPr>
          <w:rFonts w:cs="Times New Roman"/>
          <w:szCs w:val="24"/>
          <w:lang w:val="lv-LV"/>
        </w:rPr>
        <w:t xml:space="preserve">Apakšprogrammā 21.20.00 “Iemaksas starptautiskajās organizācijās” trīs gadu periodā veidojas izdevumu neizpilde </w:t>
      </w:r>
      <w:r w:rsidRPr="00CE0303">
        <w:rPr>
          <w:rFonts w:eastAsiaTheme="minorHAnsi" w:cs="Times New Roman"/>
          <w:bCs/>
          <w:szCs w:val="24"/>
          <w:lang w:val="lv-LV"/>
        </w:rPr>
        <w:t xml:space="preserve">vidēji gadā 129,2 tūkst. </w:t>
      </w:r>
      <w:r w:rsidRPr="00CE0303">
        <w:rPr>
          <w:rFonts w:eastAsiaTheme="minorHAnsi" w:cs="Times New Roman"/>
          <w:bCs/>
          <w:i/>
          <w:szCs w:val="24"/>
          <w:lang w:val="lv-LV"/>
        </w:rPr>
        <w:t>euro</w:t>
      </w:r>
      <w:r w:rsidRPr="00CE0303">
        <w:rPr>
          <w:rFonts w:eastAsiaTheme="minorHAnsi" w:cs="Times New Roman"/>
          <w:bCs/>
          <w:szCs w:val="24"/>
          <w:lang w:val="lv-LV"/>
        </w:rPr>
        <w:t xml:space="preserve"> apmērā (2.2.26. attēls).</w:t>
      </w:r>
    </w:p>
    <w:p w14:paraId="6B97A9EE" w14:textId="77777777" w:rsidR="00CE0303" w:rsidRPr="00CE0303" w:rsidRDefault="00CE0303" w:rsidP="000A078E">
      <w:pPr>
        <w:ind w:firstLine="720"/>
        <w:rPr>
          <w:rFonts w:eastAsiaTheme="minorHAnsi" w:cs="Times New Roman"/>
          <w:szCs w:val="24"/>
          <w:lang w:val="lv-LV"/>
        </w:rPr>
      </w:pPr>
      <w:r w:rsidRPr="00CE0303">
        <w:rPr>
          <w:rFonts w:eastAsiaTheme="minorHAnsi" w:cs="Times New Roman"/>
          <w:szCs w:val="24"/>
          <w:lang w:val="lv-LV"/>
        </w:rPr>
        <w:t>VARAM norāda, ka starptautisko organizāciju iemaksu apjomi atkarīgi no konvenciju vai organizāciju kopējiem ikgadējiem budžetiem, ANO skalas, valsts IKP rādītājiem, pēc kuriem attiecīgi tiek noteikti iemaksu apjomi. Vairākām iemaksām budžeta apstiprināšana nākamajām gadam vai 2 gadiem notiek tekošajā gada beigās, kad Latvijas budžets jau ir apstiprināts. VARAM maksā, saņemot faktiskos rēķinus, kā arī starpība veidojās uz valūtas kursa svārstībām.</w:t>
      </w:r>
    </w:p>
    <w:p w14:paraId="7993A79B" w14:textId="5D7CD8B5" w:rsidR="008F033F" w:rsidRPr="00CE0303" w:rsidRDefault="00CE0303" w:rsidP="008F033F">
      <w:pPr>
        <w:spacing w:before="120"/>
        <w:ind w:firstLine="720"/>
        <w:rPr>
          <w:rFonts w:eastAsiaTheme="minorHAnsi" w:cs="Times New Roman"/>
          <w:szCs w:val="24"/>
          <w:lang w:val="lv-LV"/>
        </w:rPr>
      </w:pPr>
      <w:r w:rsidRPr="00CE0303">
        <w:rPr>
          <w:rFonts w:eastAsiaTheme="minorHAnsi" w:cs="Times New Roman"/>
          <w:bCs/>
          <w:szCs w:val="24"/>
          <w:lang w:val="lv-LV"/>
        </w:rPr>
        <w:t xml:space="preserve">Ņemot vērā iepriekš minēto, konstatēts, ka apakšprogrammā </w:t>
      </w:r>
      <w:r w:rsidRPr="00CE0303">
        <w:rPr>
          <w:rFonts w:eastAsiaTheme="minorHAnsi" w:cs="Times New Roman"/>
          <w:szCs w:val="24"/>
          <w:lang w:val="lv-LV"/>
        </w:rPr>
        <w:t>21.20.00 “Iemaksas starptautiskajās organizācijās” ir potenciālais iekšējais resurss 2022. un 2023. gadam</w:t>
      </w:r>
      <w:r w:rsidR="008F033F">
        <w:rPr>
          <w:rFonts w:eastAsiaTheme="minorHAnsi" w:cs="Times New Roman"/>
          <w:szCs w:val="24"/>
          <w:lang w:val="lv-LV"/>
        </w:rPr>
        <w:t>.</w:t>
      </w:r>
    </w:p>
    <w:p w14:paraId="046CCD2D" w14:textId="77777777" w:rsidR="00052832" w:rsidRPr="00CE0303" w:rsidRDefault="00052832" w:rsidP="00052832">
      <w:pPr>
        <w:ind w:firstLine="720"/>
        <w:rPr>
          <w:rFonts w:eastAsiaTheme="minorHAnsi" w:cs="Times New Roman"/>
          <w:szCs w:val="24"/>
          <w:lang w:val="lv-LV"/>
        </w:rPr>
      </w:pPr>
      <w:r>
        <w:rPr>
          <w:rFonts w:eastAsiaTheme="minorHAnsi" w:cs="Times New Roman"/>
          <w:szCs w:val="24"/>
          <w:lang w:val="lv-LV"/>
        </w:rPr>
        <w:t>G</w:t>
      </w:r>
      <w:r w:rsidRPr="008F033F">
        <w:rPr>
          <w:rFonts w:eastAsiaTheme="minorHAnsi" w:cs="Times New Roman"/>
          <w:szCs w:val="24"/>
          <w:lang w:val="lv-LV"/>
        </w:rPr>
        <w:t>atavojot bāzes izdevumu 2022.-2024.</w:t>
      </w:r>
      <w:r>
        <w:rPr>
          <w:rFonts w:eastAsiaTheme="minorHAnsi" w:cs="Times New Roman"/>
          <w:szCs w:val="24"/>
          <w:lang w:val="lv-LV"/>
        </w:rPr>
        <w:t xml:space="preserve"> </w:t>
      </w:r>
      <w:r w:rsidRPr="008F033F">
        <w:rPr>
          <w:rFonts w:eastAsiaTheme="minorHAnsi" w:cs="Times New Roman"/>
          <w:szCs w:val="24"/>
          <w:lang w:val="lv-LV"/>
        </w:rPr>
        <w:t>gadam projektu, VARAM sniedza skaidrojumu un pamatojumu par aktuālo situāciju saistībā ar nepieciešamo finansējumu iemaksu starptautiskajās organizācijās nodrošināšanai, kā rezultātā finansējums apakšprogrammā 21.20.00 “Iemaksas starptautiskajās organizācijās” 2022.</w:t>
      </w:r>
      <w:r>
        <w:rPr>
          <w:rFonts w:eastAsiaTheme="minorHAnsi" w:cs="Times New Roman"/>
          <w:szCs w:val="24"/>
          <w:lang w:val="lv-LV"/>
        </w:rPr>
        <w:t xml:space="preserve"> </w:t>
      </w:r>
      <w:r w:rsidRPr="008F033F">
        <w:rPr>
          <w:rFonts w:eastAsiaTheme="minorHAnsi" w:cs="Times New Roman"/>
          <w:szCs w:val="24"/>
          <w:lang w:val="lv-LV"/>
        </w:rPr>
        <w:t>un 2023.</w:t>
      </w:r>
      <w:r>
        <w:rPr>
          <w:rFonts w:eastAsiaTheme="minorHAnsi" w:cs="Times New Roman"/>
          <w:szCs w:val="24"/>
          <w:lang w:val="lv-LV"/>
        </w:rPr>
        <w:t xml:space="preserve"> </w:t>
      </w:r>
      <w:r w:rsidRPr="008F033F">
        <w:rPr>
          <w:rFonts w:eastAsiaTheme="minorHAnsi" w:cs="Times New Roman"/>
          <w:szCs w:val="24"/>
          <w:lang w:val="lv-LV"/>
        </w:rPr>
        <w:t>gadam tika palielināts, attiecīgi secināms, ka konstatētais iekšējais resurss tiek saglabāts tam pašam mērķim.</w:t>
      </w:r>
    </w:p>
    <w:tbl>
      <w:tblPr>
        <w:tblStyle w:val="TableGrid1"/>
        <w:tblpPr w:leftFromText="180" w:rightFromText="180" w:vertAnchor="text" w:horzAnchor="page" w:tblpX="4387" w:tblpY="-63"/>
        <w:tblW w:w="0" w:type="auto"/>
        <w:tblLook w:val="04A0" w:firstRow="1" w:lastRow="0" w:firstColumn="1" w:lastColumn="0" w:noHBand="0" w:noVBand="1"/>
      </w:tblPr>
      <w:tblGrid>
        <w:gridCol w:w="709"/>
        <w:gridCol w:w="1271"/>
        <w:gridCol w:w="696"/>
        <w:gridCol w:w="1288"/>
      </w:tblGrid>
      <w:tr w:rsidR="00052832" w:rsidRPr="00CE0303" w14:paraId="56C18ECD" w14:textId="77777777" w:rsidTr="00052832">
        <w:tc>
          <w:tcPr>
            <w:tcW w:w="709" w:type="dxa"/>
            <w:shd w:val="clear" w:color="auto" w:fill="ED7D31" w:themeFill="accent2"/>
            <w:vAlign w:val="center"/>
          </w:tcPr>
          <w:p w14:paraId="747F160B" w14:textId="77777777" w:rsidR="00052832" w:rsidRPr="00CE0303" w:rsidRDefault="00052832" w:rsidP="00052832">
            <w:pPr>
              <w:spacing w:after="0"/>
              <w:jc w:val="center"/>
              <w:rPr>
                <w:rFonts w:eastAsiaTheme="minorHAnsi"/>
                <w:lang w:val="lv-LV"/>
              </w:rPr>
            </w:pPr>
            <w:r w:rsidRPr="00CE0303">
              <w:rPr>
                <w:rFonts w:eastAsiaTheme="minorHAnsi"/>
                <w:lang w:val="lv-LV"/>
              </w:rPr>
              <w:t>2022</w:t>
            </w:r>
          </w:p>
        </w:tc>
        <w:tc>
          <w:tcPr>
            <w:tcW w:w="1271" w:type="dxa"/>
            <w:vAlign w:val="center"/>
          </w:tcPr>
          <w:p w14:paraId="4A7D9703" w14:textId="77777777" w:rsidR="00052832" w:rsidRPr="00CE0303" w:rsidRDefault="00052832" w:rsidP="00052832">
            <w:pPr>
              <w:spacing w:after="0"/>
              <w:jc w:val="center"/>
              <w:rPr>
                <w:rFonts w:eastAsiaTheme="minorHAnsi"/>
                <w:lang w:val="lv-LV"/>
              </w:rPr>
            </w:pPr>
            <w:r w:rsidRPr="00CE0303">
              <w:rPr>
                <w:rFonts w:eastAsiaTheme="minorHAnsi" w:cs="Times New Roman"/>
                <w:szCs w:val="24"/>
                <w:lang w:val="lv-LV"/>
              </w:rPr>
              <w:t>129 195</w:t>
            </w:r>
          </w:p>
        </w:tc>
        <w:tc>
          <w:tcPr>
            <w:tcW w:w="696" w:type="dxa"/>
            <w:shd w:val="clear" w:color="auto" w:fill="ED7D31" w:themeFill="accent2"/>
            <w:vAlign w:val="center"/>
          </w:tcPr>
          <w:p w14:paraId="4F172109" w14:textId="77777777" w:rsidR="00052832" w:rsidRPr="00CE0303" w:rsidRDefault="00052832" w:rsidP="00052832">
            <w:pPr>
              <w:spacing w:after="0"/>
              <w:jc w:val="center"/>
              <w:rPr>
                <w:rFonts w:eastAsiaTheme="minorHAnsi"/>
                <w:lang w:val="lv-LV"/>
              </w:rPr>
            </w:pPr>
            <w:r w:rsidRPr="00CE0303">
              <w:rPr>
                <w:rFonts w:eastAsiaTheme="minorHAnsi"/>
                <w:lang w:val="lv-LV"/>
              </w:rPr>
              <w:t>2023</w:t>
            </w:r>
          </w:p>
        </w:tc>
        <w:tc>
          <w:tcPr>
            <w:tcW w:w="1288" w:type="dxa"/>
            <w:vAlign w:val="center"/>
          </w:tcPr>
          <w:p w14:paraId="455B3308" w14:textId="77777777" w:rsidR="00052832" w:rsidRPr="00CE0303" w:rsidRDefault="00052832" w:rsidP="00052832">
            <w:pPr>
              <w:spacing w:after="0"/>
              <w:jc w:val="center"/>
              <w:rPr>
                <w:rFonts w:eastAsiaTheme="minorHAnsi"/>
                <w:lang w:val="lv-LV"/>
              </w:rPr>
            </w:pPr>
            <w:r w:rsidRPr="00CE0303">
              <w:rPr>
                <w:rFonts w:eastAsiaTheme="minorHAnsi" w:cs="Times New Roman"/>
                <w:szCs w:val="24"/>
                <w:lang w:val="lv-LV"/>
              </w:rPr>
              <w:t>129 195</w:t>
            </w:r>
          </w:p>
        </w:tc>
      </w:tr>
    </w:tbl>
    <w:p w14:paraId="0DED1D42" w14:textId="2EBCF843" w:rsidR="00B84B1E" w:rsidRDefault="00B84B1E" w:rsidP="00CE0303">
      <w:pPr>
        <w:ind w:firstLine="720"/>
        <w:rPr>
          <w:rFonts w:eastAsiaTheme="minorHAnsi" w:cs="Times New Roman"/>
          <w:szCs w:val="24"/>
          <w:lang w:val="lv-LV"/>
        </w:rPr>
      </w:pPr>
    </w:p>
    <w:p w14:paraId="472390F7" w14:textId="77777777" w:rsidR="00CE0303" w:rsidRPr="00CE0303" w:rsidRDefault="00CE0303" w:rsidP="00CE0303">
      <w:pPr>
        <w:jc w:val="center"/>
        <w:rPr>
          <w:rFonts w:cs="Times New Roman"/>
          <w:b/>
          <w:bCs/>
          <w:sz w:val="22"/>
          <w:lang w:val="lv-LV"/>
        </w:rPr>
      </w:pPr>
      <w:r w:rsidRPr="00CE0303">
        <w:rPr>
          <w:rFonts w:cs="Times New Roman"/>
          <w:b/>
          <w:bCs/>
          <w:i/>
          <w:iCs/>
          <w:sz w:val="22"/>
          <w:lang w:val="lv-LV"/>
        </w:rPr>
        <w:t>2.2.27. attēls</w:t>
      </w:r>
      <w:r w:rsidRPr="00CE0303">
        <w:rPr>
          <w:rFonts w:cs="Times New Roman"/>
          <w:b/>
          <w:bCs/>
          <w:sz w:val="22"/>
          <w:lang w:val="lv-LV"/>
        </w:rPr>
        <w:t xml:space="preserve"> Apakšprogrammas 23.02.00. “Vides pārraudzības valsts birojs” izdevumu analīze (tūkst. </w:t>
      </w:r>
      <w:r w:rsidRPr="00CE0303">
        <w:rPr>
          <w:rFonts w:cs="Times New Roman"/>
          <w:b/>
          <w:bCs/>
          <w:i/>
          <w:iCs/>
          <w:sz w:val="22"/>
          <w:lang w:val="lv-LV"/>
        </w:rPr>
        <w:t>euro</w:t>
      </w:r>
      <w:r w:rsidRPr="00CE0303">
        <w:rPr>
          <w:rFonts w:cs="Times New Roman"/>
          <w:b/>
          <w:bCs/>
          <w:sz w:val="22"/>
          <w:lang w:val="lv-LV"/>
        </w:rPr>
        <w:t>)</w:t>
      </w:r>
    </w:p>
    <w:p w14:paraId="3A7D1D29" w14:textId="77777777" w:rsidR="00CE0303" w:rsidRPr="00CE0303" w:rsidRDefault="00CE0303" w:rsidP="00CE0303">
      <w:pPr>
        <w:rPr>
          <w:rFonts w:cs="Times New Roman"/>
          <w:szCs w:val="24"/>
          <w:lang w:val="lv-LV"/>
        </w:rPr>
      </w:pPr>
      <w:r w:rsidRPr="00CE0303">
        <w:rPr>
          <w:rFonts w:asciiTheme="minorHAnsi" w:hAnsiTheme="minorHAnsi"/>
          <w:noProof/>
          <w:sz w:val="22"/>
          <w:lang w:val="lv-LV" w:eastAsia="lv-LV"/>
        </w:rPr>
        <w:drawing>
          <wp:inline distT="0" distB="0" distL="0" distR="0" wp14:anchorId="048AE2E0" wp14:editId="5F2E6DFC">
            <wp:extent cx="5316279" cy="2264735"/>
            <wp:effectExtent l="0" t="0" r="17780" b="2540"/>
            <wp:docPr id="2267" name="Chart 2267">
              <a:extLst xmlns:a="http://schemas.openxmlformats.org/drawingml/2006/main">
                <a:ext uri="{FF2B5EF4-FFF2-40B4-BE49-F238E27FC236}">
                  <a16:creationId xmlns:a16="http://schemas.microsoft.com/office/drawing/2014/main" id="{FD009C98-4E96-4D3B-9830-7B6941F90A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CD48808" w14:textId="77777777" w:rsidR="00CE0303" w:rsidRPr="00CE0303" w:rsidRDefault="00CE0303" w:rsidP="000A078E">
      <w:pPr>
        <w:ind w:firstLine="720"/>
        <w:rPr>
          <w:rFonts w:cs="Times New Roman"/>
          <w:szCs w:val="24"/>
          <w:lang w:val="lv-LV"/>
        </w:rPr>
      </w:pPr>
      <w:r w:rsidRPr="00CE0303">
        <w:rPr>
          <w:rFonts w:cs="Times New Roman"/>
          <w:szCs w:val="24"/>
          <w:lang w:val="lv-LV"/>
        </w:rPr>
        <w:lastRenderedPageBreak/>
        <w:t xml:space="preserve">Apakšprogrammā 23.02.00. “Vides pārraudzības valsts birojs” trīs gadu periodā veidojas izdevumu neizpilde vidēji gadā 37,4 tūkst. </w:t>
      </w:r>
      <w:r w:rsidRPr="00CE0303">
        <w:rPr>
          <w:rFonts w:cs="Times New Roman"/>
          <w:i/>
          <w:szCs w:val="24"/>
          <w:lang w:val="lv-LV"/>
        </w:rPr>
        <w:t>euro</w:t>
      </w:r>
      <w:r w:rsidRPr="00CE0303">
        <w:rPr>
          <w:rFonts w:cs="Times New Roman"/>
          <w:szCs w:val="24"/>
          <w:lang w:val="lv-LV"/>
        </w:rPr>
        <w:t xml:space="preserve"> apmērā, no kuriem vidēji 20,5 tūkst. </w:t>
      </w:r>
      <w:r w:rsidRPr="00CE0303">
        <w:rPr>
          <w:rFonts w:cs="Times New Roman"/>
          <w:i/>
          <w:szCs w:val="24"/>
          <w:lang w:val="lv-LV"/>
        </w:rPr>
        <w:t>euro</w:t>
      </w:r>
      <w:r w:rsidRPr="00CE0303">
        <w:rPr>
          <w:rFonts w:cs="Times New Roman"/>
          <w:szCs w:val="24"/>
          <w:lang w:val="lv-LV"/>
        </w:rPr>
        <w:t xml:space="preserve"> saistīta ar neizpildi ieņēmumos no maksas pakalpojumiem un citi pašu ieņēmumiem, attiecīgi 16,9 tūkst. </w:t>
      </w:r>
      <w:r w:rsidRPr="00CE0303">
        <w:rPr>
          <w:rFonts w:cs="Times New Roman"/>
          <w:i/>
          <w:szCs w:val="24"/>
          <w:lang w:val="lv-LV"/>
        </w:rPr>
        <w:t>euro</w:t>
      </w:r>
      <w:r w:rsidRPr="00CE0303">
        <w:rPr>
          <w:rFonts w:cs="Times New Roman"/>
          <w:szCs w:val="24"/>
          <w:lang w:val="lv-LV"/>
        </w:rPr>
        <w:t xml:space="preserve"> saistīta ar neizpildi izdevumos, kas tiek segti no vispārējā kārtībā sadalāmās dotācijas no vispārējiem ieņēmumiem (2.2.27. attēls).</w:t>
      </w:r>
    </w:p>
    <w:p w14:paraId="30738874" w14:textId="40C39A3B" w:rsidR="00CE0303" w:rsidRPr="00CE0303" w:rsidRDefault="00CE0303" w:rsidP="000A078E">
      <w:pPr>
        <w:ind w:firstLine="720"/>
        <w:rPr>
          <w:rFonts w:cs="Times New Roman"/>
          <w:szCs w:val="24"/>
          <w:lang w:val="lv-LV"/>
        </w:rPr>
      </w:pPr>
      <w:r w:rsidRPr="00CE0303">
        <w:rPr>
          <w:rFonts w:cs="Times New Roman"/>
          <w:szCs w:val="24"/>
          <w:lang w:val="lv-LV"/>
        </w:rPr>
        <w:t>VARAM pēc FM pieprasījuma sniedza skaidrojumu, ka, piemēram, 2020. gadā pamatā minētās apakšprogrammas neizpilde saistīta atlīdzības izdevumu neizpildi, kuru veido prognozēt</w:t>
      </w:r>
      <w:r w:rsidR="00B232B5">
        <w:rPr>
          <w:rFonts w:cs="Times New Roman"/>
          <w:szCs w:val="24"/>
          <w:lang w:val="lv-LV"/>
        </w:rPr>
        <w:t xml:space="preserve">ā ietekmes uz vidi novērtējumu </w:t>
      </w:r>
      <w:r w:rsidRPr="00CE0303">
        <w:rPr>
          <w:rFonts w:cs="Times New Roman"/>
          <w:szCs w:val="24"/>
          <w:lang w:val="lv-LV"/>
        </w:rPr>
        <w:t>ekspertu atlīdzība, turklāt tā saistīta ar to, ka gada laikā nav saņemti pieteikumi veikt objektiem ietekmes uz vidi no</w:t>
      </w:r>
      <w:r w:rsidR="00B232B5">
        <w:rPr>
          <w:rFonts w:cs="Times New Roman"/>
          <w:szCs w:val="24"/>
          <w:lang w:val="lv-LV"/>
        </w:rPr>
        <w:t>vērtējumu</w:t>
      </w:r>
      <w:r w:rsidRPr="00CE0303">
        <w:rPr>
          <w:rFonts w:cs="Times New Roman"/>
          <w:szCs w:val="24"/>
          <w:lang w:val="lv-LV"/>
        </w:rPr>
        <w:t>, attiecīgi netiek saņemti maksas pakalpojumu ieņēmumu un netiek veikti saistošie izdevumi ekspertu darba apmaksai.</w:t>
      </w:r>
    </w:p>
    <w:p w14:paraId="5B469332" w14:textId="77777777" w:rsidR="00CE0303" w:rsidRPr="00CE0303" w:rsidRDefault="00CE0303" w:rsidP="000A078E">
      <w:pPr>
        <w:ind w:firstLine="720"/>
        <w:rPr>
          <w:rFonts w:cs="Times New Roman"/>
          <w:szCs w:val="24"/>
          <w:lang w:val="lv-LV"/>
        </w:rPr>
      </w:pPr>
      <w:r w:rsidRPr="00CE0303">
        <w:rPr>
          <w:rFonts w:cs="Times New Roman"/>
          <w:szCs w:val="24"/>
          <w:lang w:val="lv-LV"/>
        </w:rPr>
        <w:t xml:space="preserve">Ņemot vērā iepriekš minēto, kā arī to, ka daļa neizpildes saistīta ar neizpildi ieņēmumos no maksas pakalpojumiem un citiem pašu ieņēmumiem, kas nav uzskatāmi par iekšējiem resursiem, konstatēts, ka apakšprogrammā 23.02.00. “Vides pārraudzības valsts birojs” ir potenciālais iekšējais resurss 2022. un 2023. gadam ir 16,9 tūkst. </w:t>
      </w:r>
      <w:r w:rsidRPr="00CE0303">
        <w:rPr>
          <w:rFonts w:cs="Times New Roman"/>
          <w:i/>
          <w:szCs w:val="24"/>
          <w:lang w:val="lv-LV"/>
        </w:rPr>
        <w:t xml:space="preserve">euro </w:t>
      </w:r>
      <w:r w:rsidRPr="00CE0303">
        <w:rPr>
          <w:rFonts w:cs="Times New Roman"/>
          <w:szCs w:val="24"/>
          <w:lang w:val="lv-LV"/>
        </w:rPr>
        <w:t xml:space="preserve">apmērā katru gadu (vidējā izdevumu, kas tiek segti no vispārējā kārtībā sadalāmās dotācijas no vispārējiem ieņēmumiem, neizpilde 2018.-2020. gada periodā), kas būtu novirzāms aktuālākām VARAM prioritātēm. </w:t>
      </w:r>
    </w:p>
    <w:tbl>
      <w:tblPr>
        <w:tblStyle w:val="TableGrid1"/>
        <w:tblpPr w:leftFromText="180" w:rightFromText="180" w:vertAnchor="text" w:horzAnchor="page" w:tblpX="4501" w:tblpY="-68"/>
        <w:tblW w:w="0" w:type="auto"/>
        <w:tblLook w:val="04A0" w:firstRow="1" w:lastRow="0" w:firstColumn="1" w:lastColumn="0" w:noHBand="0" w:noVBand="1"/>
      </w:tblPr>
      <w:tblGrid>
        <w:gridCol w:w="709"/>
        <w:gridCol w:w="1271"/>
        <w:gridCol w:w="696"/>
        <w:gridCol w:w="1288"/>
      </w:tblGrid>
      <w:tr w:rsidR="00CE0303" w:rsidRPr="00CE0303" w14:paraId="144D8D56" w14:textId="77777777" w:rsidTr="00CE0303">
        <w:tc>
          <w:tcPr>
            <w:tcW w:w="709" w:type="dxa"/>
            <w:shd w:val="clear" w:color="auto" w:fill="ED7D31" w:themeFill="accent2"/>
            <w:vAlign w:val="center"/>
          </w:tcPr>
          <w:p w14:paraId="3D89C2D3"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271" w:type="dxa"/>
            <w:vAlign w:val="center"/>
          </w:tcPr>
          <w:p w14:paraId="6903F470" w14:textId="77777777" w:rsidR="00CE0303" w:rsidRPr="00CE0303" w:rsidRDefault="00CE0303" w:rsidP="00CE0303">
            <w:pPr>
              <w:spacing w:after="0"/>
              <w:jc w:val="center"/>
              <w:rPr>
                <w:rFonts w:eastAsiaTheme="minorHAnsi"/>
                <w:lang w:val="lv-LV"/>
              </w:rPr>
            </w:pPr>
            <w:r w:rsidRPr="00CE0303">
              <w:rPr>
                <w:rFonts w:cs="Times New Roman"/>
                <w:szCs w:val="24"/>
                <w:lang w:val="lv-LV"/>
              </w:rPr>
              <w:t>16 885</w:t>
            </w:r>
          </w:p>
        </w:tc>
        <w:tc>
          <w:tcPr>
            <w:tcW w:w="696" w:type="dxa"/>
            <w:shd w:val="clear" w:color="auto" w:fill="ED7D31" w:themeFill="accent2"/>
            <w:vAlign w:val="center"/>
          </w:tcPr>
          <w:p w14:paraId="57C55A15"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288" w:type="dxa"/>
            <w:vAlign w:val="center"/>
          </w:tcPr>
          <w:p w14:paraId="491DB8F6" w14:textId="77777777" w:rsidR="00CE0303" w:rsidRPr="00CE0303" w:rsidRDefault="00CE0303" w:rsidP="00CE0303">
            <w:pPr>
              <w:spacing w:after="0"/>
              <w:jc w:val="center"/>
              <w:rPr>
                <w:rFonts w:eastAsiaTheme="minorHAnsi"/>
                <w:lang w:val="lv-LV"/>
              </w:rPr>
            </w:pPr>
            <w:r w:rsidRPr="00CE0303">
              <w:rPr>
                <w:rFonts w:cs="Times New Roman"/>
                <w:szCs w:val="24"/>
                <w:lang w:val="lv-LV"/>
              </w:rPr>
              <w:t>16 885</w:t>
            </w:r>
          </w:p>
        </w:tc>
      </w:tr>
    </w:tbl>
    <w:p w14:paraId="7E33D928" w14:textId="77777777" w:rsidR="00CE0303" w:rsidRPr="00CE0303" w:rsidRDefault="00CE0303" w:rsidP="00CE0303">
      <w:pPr>
        <w:ind w:firstLine="720"/>
        <w:rPr>
          <w:rFonts w:eastAsiaTheme="minorHAnsi" w:cs="Times New Roman"/>
          <w:szCs w:val="24"/>
          <w:lang w:val="lv-LV"/>
        </w:rPr>
      </w:pPr>
    </w:p>
    <w:p w14:paraId="020E68C9" w14:textId="3F9B3E81" w:rsidR="00E55A64" w:rsidRPr="00CE0303" w:rsidRDefault="00E55A64" w:rsidP="00E55A64">
      <w:pPr>
        <w:ind w:firstLine="720"/>
        <w:rPr>
          <w:rFonts w:eastAsiaTheme="minorHAnsi"/>
          <w:b/>
          <w:lang w:val="lv-LV"/>
        </w:rPr>
      </w:pPr>
      <w:r>
        <w:rPr>
          <w:rFonts w:eastAsiaTheme="minorHAnsi"/>
          <w:b/>
          <w:lang w:val="lv-LV"/>
        </w:rPr>
        <w:t>Veselības</w:t>
      </w:r>
      <w:r w:rsidRPr="00CE0303">
        <w:rPr>
          <w:rFonts w:eastAsiaTheme="minorHAnsi"/>
          <w:b/>
          <w:lang w:val="lv-LV"/>
        </w:rPr>
        <w:t xml:space="preserve"> ministrija</w:t>
      </w:r>
    </w:p>
    <w:p w14:paraId="1F9B4AED" w14:textId="77777777" w:rsidR="008C7427" w:rsidRDefault="00E55A64" w:rsidP="0004118D">
      <w:pPr>
        <w:spacing w:before="120"/>
        <w:ind w:firstLine="720"/>
        <w:rPr>
          <w:rFonts w:eastAsiaTheme="minorHAnsi"/>
          <w:szCs w:val="24"/>
          <w:lang w:val="lv-LV"/>
        </w:rPr>
      </w:pPr>
      <w:r w:rsidRPr="00E55A64">
        <w:rPr>
          <w:rFonts w:eastAsiaTheme="minorHAnsi"/>
          <w:szCs w:val="24"/>
          <w:lang w:val="lv-LV"/>
        </w:rPr>
        <w:t xml:space="preserve">Apakšprogrammā </w:t>
      </w:r>
      <w:r w:rsidRPr="00E55A64">
        <w:rPr>
          <w:rFonts w:eastAsia="Times New Roman" w:cs="Times New Roman"/>
          <w:bCs/>
          <w:color w:val="000000"/>
          <w:szCs w:val="24"/>
          <w:lang w:val="lv-LV" w:eastAsia="lv-LV"/>
        </w:rPr>
        <w:t>39.03.00 Asins un asins komponentu nodrošināšana, saistīb</w:t>
      </w:r>
      <w:r w:rsidRPr="00E55A64">
        <w:rPr>
          <w:rFonts w:eastAsiaTheme="minorHAnsi"/>
          <w:szCs w:val="24"/>
          <w:lang w:val="lv-LV"/>
        </w:rPr>
        <w:t>ā ar COVID-19 ierobežojumu nodrošināšanu daži pasākumi 2022.-2023.g. netiks realizēti</w:t>
      </w:r>
      <w:r>
        <w:rPr>
          <w:rFonts w:eastAsiaTheme="minorHAnsi"/>
          <w:szCs w:val="24"/>
          <w:lang w:val="lv-LV"/>
        </w:rPr>
        <w:t xml:space="preserve">, kā rezultātā rodas ietaupījums – 42,9 tūkst. </w:t>
      </w:r>
      <w:r w:rsidRPr="00E55A64">
        <w:rPr>
          <w:rFonts w:eastAsiaTheme="minorHAnsi"/>
          <w:i/>
          <w:szCs w:val="24"/>
          <w:lang w:val="lv-LV"/>
        </w:rPr>
        <w:t>euro</w:t>
      </w:r>
      <w:r>
        <w:rPr>
          <w:rFonts w:eastAsiaTheme="minorHAnsi"/>
          <w:szCs w:val="24"/>
          <w:lang w:val="lv-LV"/>
        </w:rPr>
        <w:t xml:space="preserve"> apmērā, t.sk.</w:t>
      </w:r>
      <w:r w:rsidR="008C7427">
        <w:rPr>
          <w:rFonts w:eastAsiaTheme="minorHAnsi"/>
          <w:szCs w:val="24"/>
          <w:lang w:val="lv-LV"/>
        </w:rPr>
        <w:t>:</w:t>
      </w:r>
      <w:r>
        <w:rPr>
          <w:rFonts w:eastAsiaTheme="minorHAnsi"/>
          <w:szCs w:val="24"/>
          <w:lang w:val="lv-LV"/>
        </w:rPr>
        <w:t xml:space="preserve"> </w:t>
      </w:r>
    </w:p>
    <w:p w14:paraId="623771D2" w14:textId="37892A6A" w:rsidR="008C7427" w:rsidRDefault="0004118D" w:rsidP="0004118D">
      <w:pPr>
        <w:spacing w:before="120"/>
        <w:ind w:firstLine="720"/>
        <w:rPr>
          <w:rFonts w:eastAsiaTheme="minorHAnsi"/>
          <w:szCs w:val="24"/>
          <w:lang w:val="lv-LV"/>
        </w:rPr>
      </w:pPr>
      <w:r>
        <w:rPr>
          <w:rFonts w:eastAsiaTheme="minorHAnsi"/>
          <w:szCs w:val="24"/>
          <w:lang w:val="lv-LV"/>
        </w:rPr>
        <w:t>Ā</w:t>
      </w:r>
      <w:r w:rsidR="00E55A64" w:rsidRPr="00E55A64">
        <w:rPr>
          <w:rFonts w:eastAsiaTheme="minorHAnsi"/>
          <w:szCs w:val="24"/>
          <w:lang w:val="lv-LV"/>
        </w:rPr>
        <w:t>rvalstu mācību, darba un dienes</w:t>
      </w:r>
      <w:r w:rsidR="00E55A64">
        <w:rPr>
          <w:rFonts w:eastAsiaTheme="minorHAnsi"/>
          <w:szCs w:val="24"/>
          <w:lang w:val="lv-LV"/>
        </w:rPr>
        <w:t xml:space="preserve">ta komandējumi, darba braucieni (15,1 tūkst. </w:t>
      </w:r>
      <w:r w:rsidR="00E55A64" w:rsidRPr="00E55A64">
        <w:rPr>
          <w:rFonts w:eastAsiaTheme="minorHAnsi"/>
          <w:i/>
          <w:szCs w:val="24"/>
          <w:lang w:val="lv-LV"/>
        </w:rPr>
        <w:t>euro</w:t>
      </w:r>
      <w:r w:rsidR="00E55A64">
        <w:rPr>
          <w:rFonts w:eastAsiaTheme="minorHAnsi"/>
          <w:szCs w:val="24"/>
          <w:lang w:val="lv-LV"/>
        </w:rPr>
        <w:t>)</w:t>
      </w:r>
      <w:r w:rsidR="008C7427">
        <w:rPr>
          <w:rFonts w:eastAsiaTheme="minorHAnsi"/>
          <w:szCs w:val="24"/>
          <w:lang w:val="lv-LV"/>
        </w:rPr>
        <w:t xml:space="preserve">, </w:t>
      </w:r>
      <w:r w:rsidR="008C7427" w:rsidRPr="008C7427">
        <w:rPr>
          <w:rFonts w:eastAsiaTheme="minorHAnsi"/>
          <w:szCs w:val="24"/>
          <w:lang w:val="lv-LV"/>
        </w:rPr>
        <w:t xml:space="preserve">samazinājusies dalība konferencēs, kongresos, simpozijos-ISBT (Starptautiskā Asins Transfuzioloģijas Biedrība), XXIII EUROMEDLAB Starptautiskais laboratoriskās diagnostikas kongress, Dalība 63.Eiropas Kvalitātes kongresā, EBA (Eiropas Asins Aliance) konference u.c.  </w:t>
      </w:r>
    </w:p>
    <w:p w14:paraId="2590E9EA" w14:textId="77777777" w:rsidR="008C7427" w:rsidRDefault="00E55A64" w:rsidP="0004118D">
      <w:pPr>
        <w:spacing w:before="120"/>
        <w:ind w:firstLine="720"/>
        <w:rPr>
          <w:rFonts w:eastAsiaTheme="minorHAnsi"/>
          <w:szCs w:val="24"/>
          <w:lang w:val="lv-LV"/>
        </w:rPr>
      </w:pPr>
      <w:r w:rsidRPr="00E55A64">
        <w:rPr>
          <w:rFonts w:eastAsiaTheme="minorHAnsi"/>
          <w:szCs w:val="24"/>
          <w:lang w:val="lv-LV"/>
        </w:rPr>
        <w:t>Izdevumi iestādes sabiedrisko aktivitāšu īstenošanai</w:t>
      </w:r>
      <w:r>
        <w:rPr>
          <w:rFonts w:eastAsiaTheme="minorHAnsi"/>
          <w:szCs w:val="24"/>
          <w:lang w:val="lv-LV"/>
        </w:rPr>
        <w:t xml:space="preserve"> (17,7 tūkst. </w:t>
      </w:r>
      <w:r w:rsidRPr="00E55A64">
        <w:rPr>
          <w:rFonts w:eastAsiaTheme="minorHAnsi"/>
          <w:i/>
          <w:szCs w:val="24"/>
          <w:lang w:val="lv-LV"/>
        </w:rPr>
        <w:t>euro</w:t>
      </w:r>
      <w:r>
        <w:rPr>
          <w:rFonts w:eastAsiaTheme="minorHAnsi"/>
          <w:szCs w:val="24"/>
          <w:lang w:val="lv-LV"/>
        </w:rPr>
        <w:t>)</w:t>
      </w:r>
      <w:r w:rsidR="008C7427">
        <w:rPr>
          <w:rFonts w:eastAsiaTheme="minorHAnsi"/>
          <w:szCs w:val="24"/>
          <w:lang w:val="lv-LV"/>
        </w:rPr>
        <w:t xml:space="preserve"> t.sk.:</w:t>
      </w:r>
      <w:r w:rsidRPr="00E55A64">
        <w:rPr>
          <w:rFonts w:eastAsiaTheme="minorHAnsi"/>
          <w:szCs w:val="24"/>
          <w:lang w:val="lv-LV"/>
        </w:rPr>
        <w:t xml:space="preserve"> </w:t>
      </w:r>
    </w:p>
    <w:p w14:paraId="6175CD1B" w14:textId="77777777" w:rsidR="0004118D" w:rsidRPr="0004118D" w:rsidRDefault="00E55A64" w:rsidP="0004118D">
      <w:pPr>
        <w:pStyle w:val="ListParagraph"/>
        <w:numPr>
          <w:ilvl w:val="0"/>
          <w:numId w:val="55"/>
        </w:numPr>
        <w:spacing w:before="120"/>
        <w:contextualSpacing w:val="0"/>
        <w:rPr>
          <w:rFonts w:eastAsia="Times New Roman" w:cs="Times New Roman"/>
          <w:bCs/>
          <w:color w:val="000000"/>
          <w:szCs w:val="24"/>
          <w:lang w:val="lv-LV" w:eastAsia="lv-LV"/>
        </w:rPr>
      </w:pPr>
      <w:r w:rsidRPr="0004118D">
        <w:rPr>
          <w:rFonts w:eastAsiaTheme="minorHAnsi"/>
          <w:szCs w:val="24"/>
          <w:lang w:val="lv-LV"/>
        </w:rPr>
        <w:t xml:space="preserve">Pateicības koncerts donoriem (6,5 tūkst. </w:t>
      </w:r>
      <w:r w:rsidRPr="0004118D">
        <w:rPr>
          <w:rFonts w:eastAsiaTheme="minorHAnsi"/>
          <w:i/>
          <w:szCs w:val="24"/>
          <w:lang w:val="lv-LV"/>
        </w:rPr>
        <w:t>euro</w:t>
      </w:r>
      <w:r w:rsidRPr="0004118D">
        <w:rPr>
          <w:rFonts w:eastAsiaTheme="minorHAnsi"/>
          <w:szCs w:val="24"/>
          <w:lang w:val="lv-LV"/>
        </w:rPr>
        <w:t>)</w:t>
      </w:r>
      <w:r w:rsidR="008C7427" w:rsidRPr="0004118D">
        <w:rPr>
          <w:rFonts w:eastAsiaTheme="minorHAnsi"/>
          <w:szCs w:val="24"/>
          <w:lang w:val="lv-LV"/>
        </w:rPr>
        <w:t xml:space="preserve"> Lai izteiktu pateicību visiem tiem donoriem, kuri gada laikā atbalstījuši asins kustību, ziedojot asinis, kā arī veicinātu donoru kustības popularitāti sabiedrībā, katru gadu tiek organizēts Pateicības koncerts, kur iekļauta telpu nomas maksa, dežurējoša personāla pakalpojumi, muzikālo priekšnesumu apskaņošanas pakalpojumi, skatuves apgaismošanas pakalpojumi, donoru prezentācijas video izveide, montāža, scenārijs, pasākuma vadītāja pakalpojumi, pasākuma vizuālo materiālu drukas pakalpojumi. Covid-19 pandēmijas laikā organiz</w:t>
      </w:r>
      <w:r w:rsidR="0004118D">
        <w:rPr>
          <w:rFonts w:eastAsiaTheme="minorHAnsi"/>
          <w:szCs w:val="24"/>
          <w:lang w:val="lv-LV"/>
        </w:rPr>
        <w:t>ēt koncertu klātienē VADC nevar;</w:t>
      </w:r>
    </w:p>
    <w:p w14:paraId="3C51F13A" w14:textId="77777777" w:rsidR="0004118D" w:rsidRPr="0004118D" w:rsidRDefault="00E55A64" w:rsidP="0004118D">
      <w:pPr>
        <w:pStyle w:val="ListParagraph"/>
        <w:numPr>
          <w:ilvl w:val="0"/>
          <w:numId w:val="55"/>
        </w:numPr>
        <w:spacing w:before="120"/>
        <w:contextualSpacing w:val="0"/>
        <w:rPr>
          <w:rFonts w:eastAsia="Times New Roman" w:cs="Times New Roman"/>
          <w:bCs/>
          <w:color w:val="000000"/>
          <w:szCs w:val="24"/>
          <w:lang w:val="lv-LV" w:eastAsia="lv-LV"/>
        </w:rPr>
      </w:pPr>
      <w:r w:rsidRPr="0004118D">
        <w:rPr>
          <w:rFonts w:eastAsiaTheme="minorHAnsi"/>
          <w:szCs w:val="24"/>
          <w:lang w:val="lv-LV"/>
        </w:rPr>
        <w:t>Pasākumi saistībā ar Asins dienesta 80 gadu jubileju</w:t>
      </w:r>
      <w:r w:rsidR="008C7427" w:rsidRPr="0004118D">
        <w:rPr>
          <w:rFonts w:eastAsiaTheme="minorHAnsi"/>
          <w:szCs w:val="24"/>
          <w:lang w:val="lv-LV"/>
        </w:rPr>
        <w:t xml:space="preserve"> (3,0 tūkst. </w:t>
      </w:r>
      <w:r w:rsidR="008C7427" w:rsidRPr="0004118D">
        <w:rPr>
          <w:rFonts w:eastAsiaTheme="minorHAnsi"/>
          <w:i/>
          <w:szCs w:val="24"/>
          <w:lang w:val="lv-LV"/>
        </w:rPr>
        <w:t>euro</w:t>
      </w:r>
      <w:r w:rsidR="008C7427" w:rsidRPr="0004118D">
        <w:rPr>
          <w:rFonts w:eastAsiaTheme="minorHAnsi"/>
          <w:szCs w:val="24"/>
          <w:lang w:val="lv-LV"/>
        </w:rPr>
        <w:t>)</w:t>
      </w:r>
      <w:r w:rsidRPr="0004118D">
        <w:rPr>
          <w:rFonts w:eastAsiaTheme="minorHAnsi"/>
          <w:szCs w:val="24"/>
          <w:lang w:val="lv-LV"/>
        </w:rPr>
        <w:t>;</w:t>
      </w:r>
    </w:p>
    <w:p w14:paraId="4080990C" w14:textId="77777777" w:rsidR="0004118D" w:rsidRPr="0004118D" w:rsidRDefault="00E55A64" w:rsidP="0004118D">
      <w:pPr>
        <w:pStyle w:val="ListParagraph"/>
        <w:numPr>
          <w:ilvl w:val="0"/>
          <w:numId w:val="55"/>
        </w:numPr>
        <w:spacing w:before="120"/>
        <w:contextualSpacing w:val="0"/>
        <w:rPr>
          <w:rFonts w:eastAsia="Times New Roman" w:cs="Times New Roman"/>
          <w:bCs/>
          <w:color w:val="000000"/>
          <w:szCs w:val="24"/>
          <w:lang w:val="lv-LV" w:eastAsia="lv-LV"/>
        </w:rPr>
      </w:pPr>
      <w:r w:rsidRPr="0004118D">
        <w:rPr>
          <w:rFonts w:eastAsiaTheme="minorHAnsi"/>
          <w:szCs w:val="24"/>
          <w:lang w:val="lv-LV"/>
        </w:rPr>
        <w:t>Pasaules asins donoru dienai veltīta akcija</w:t>
      </w:r>
      <w:r w:rsidR="0004118D" w:rsidRPr="0004118D">
        <w:rPr>
          <w:rFonts w:eastAsiaTheme="minorHAnsi"/>
          <w:szCs w:val="24"/>
          <w:lang w:val="lv-LV"/>
        </w:rPr>
        <w:t xml:space="preserve"> (2,5 tūkst. </w:t>
      </w:r>
      <w:r w:rsidR="0004118D" w:rsidRPr="0004118D">
        <w:rPr>
          <w:rFonts w:eastAsiaTheme="minorHAnsi"/>
          <w:i/>
          <w:szCs w:val="24"/>
          <w:lang w:val="lv-LV"/>
        </w:rPr>
        <w:t>euro</w:t>
      </w:r>
      <w:r w:rsidR="0004118D" w:rsidRPr="0004118D">
        <w:rPr>
          <w:rFonts w:eastAsiaTheme="minorHAnsi"/>
          <w:szCs w:val="24"/>
          <w:lang w:val="lv-LV"/>
        </w:rPr>
        <w:t>);</w:t>
      </w:r>
    </w:p>
    <w:p w14:paraId="3417B5E2" w14:textId="77777777" w:rsidR="0004118D" w:rsidRPr="0004118D" w:rsidRDefault="00E55A64" w:rsidP="0004118D">
      <w:pPr>
        <w:pStyle w:val="ListParagraph"/>
        <w:numPr>
          <w:ilvl w:val="0"/>
          <w:numId w:val="55"/>
        </w:numPr>
        <w:spacing w:before="120"/>
        <w:contextualSpacing w:val="0"/>
        <w:rPr>
          <w:rFonts w:eastAsia="Times New Roman" w:cs="Times New Roman"/>
          <w:bCs/>
          <w:color w:val="000000"/>
          <w:szCs w:val="24"/>
          <w:lang w:val="lv-LV" w:eastAsia="lv-LV"/>
        </w:rPr>
      </w:pPr>
      <w:r w:rsidRPr="0004118D">
        <w:rPr>
          <w:rFonts w:eastAsiaTheme="minorHAnsi"/>
          <w:szCs w:val="24"/>
          <w:lang w:val="lv-LV"/>
        </w:rPr>
        <w:t>Satura izstrāde digitāli informatīvajam  un pārvietojamam stendam</w:t>
      </w:r>
      <w:r w:rsidR="0004118D" w:rsidRPr="0004118D">
        <w:rPr>
          <w:rFonts w:eastAsiaTheme="minorHAnsi"/>
          <w:szCs w:val="24"/>
          <w:lang w:val="lv-LV"/>
        </w:rPr>
        <w:t xml:space="preserve"> (2,1 tūkst. </w:t>
      </w:r>
      <w:r w:rsidR="0004118D" w:rsidRPr="0004118D">
        <w:rPr>
          <w:rFonts w:eastAsiaTheme="minorHAnsi"/>
          <w:i/>
          <w:szCs w:val="24"/>
          <w:lang w:val="lv-LV"/>
        </w:rPr>
        <w:t>euro</w:t>
      </w:r>
      <w:r w:rsidR="0004118D" w:rsidRPr="0004118D">
        <w:rPr>
          <w:rFonts w:eastAsiaTheme="minorHAnsi"/>
          <w:szCs w:val="24"/>
          <w:lang w:val="lv-LV"/>
        </w:rPr>
        <w:t>);</w:t>
      </w:r>
    </w:p>
    <w:p w14:paraId="2908D71E" w14:textId="3A218C7F" w:rsidR="00E55A64" w:rsidRPr="0004118D" w:rsidRDefault="00E55A64" w:rsidP="0004118D">
      <w:pPr>
        <w:pStyle w:val="ListParagraph"/>
        <w:numPr>
          <w:ilvl w:val="0"/>
          <w:numId w:val="55"/>
        </w:numPr>
        <w:spacing w:before="120"/>
        <w:contextualSpacing w:val="0"/>
        <w:rPr>
          <w:rFonts w:eastAsia="Times New Roman" w:cs="Times New Roman"/>
          <w:bCs/>
          <w:color w:val="000000"/>
          <w:szCs w:val="24"/>
          <w:lang w:val="lv-LV" w:eastAsia="lv-LV"/>
        </w:rPr>
      </w:pPr>
      <w:r w:rsidRPr="0004118D">
        <w:rPr>
          <w:rFonts w:eastAsiaTheme="minorHAnsi"/>
          <w:szCs w:val="24"/>
          <w:lang w:val="lv-LV"/>
        </w:rPr>
        <w:t>Kampaņa donoru kustības veicināšanai</w:t>
      </w:r>
      <w:r w:rsidR="0004118D" w:rsidRPr="0004118D">
        <w:rPr>
          <w:rFonts w:eastAsiaTheme="minorHAnsi"/>
          <w:szCs w:val="24"/>
          <w:lang w:val="lv-LV"/>
        </w:rPr>
        <w:t xml:space="preserve"> (2,9 tūkst. </w:t>
      </w:r>
      <w:r w:rsidR="0004118D" w:rsidRPr="0004118D">
        <w:rPr>
          <w:rFonts w:eastAsiaTheme="minorHAnsi"/>
          <w:i/>
          <w:szCs w:val="24"/>
          <w:lang w:val="lv-LV"/>
        </w:rPr>
        <w:t>euro</w:t>
      </w:r>
      <w:r w:rsidR="0004118D" w:rsidRPr="0004118D">
        <w:rPr>
          <w:rFonts w:eastAsiaTheme="minorHAnsi"/>
          <w:szCs w:val="24"/>
          <w:lang w:val="lv-LV"/>
        </w:rPr>
        <w:t>);</w:t>
      </w:r>
    </w:p>
    <w:p w14:paraId="0BA6380F" w14:textId="77777777" w:rsidR="0004118D" w:rsidRPr="0004118D" w:rsidRDefault="00E55A64" w:rsidP="0004118D">
      <w:pPr>
        <w:pStyle w:val="ListParagraph"/>
        <w:numPr>
          <w:ilvl w:val="0"/>
          <w:numId w:val="55"/>
        </w:numPr>
        <w:spacing w:before="120"/>
        <w:contextualSpacing w:val="0"/>
        <w:rPr>
          <w:rFonts w:eastAsia="Times New Roman" w:cs="Times New Roman"/>
          <w:bCs/>
          <w:color w:val="000000"/>
          <w:szCs w:val="24"/>
          <w:lang w:val="lv-LV" w:eastAsia="lv-LV"/>
        </w:rPr>
      </w:pPr>
      <w:r w:rsidRPr="00E55A64">
        <w:rPr>
          <w:rFonts w:eastAsiaTheme="minorHAnsi"/>
          <w:szCs w:val="24"/>
          <w:lang w:val="lv-LV"/>
        </w:rPr>
        <w:t>Jauniešu izglītošana par donoru kustību klātienē</w:t>
      </w:r>
      <w:r w:rsidR="0004118D">
        <w:rPr>
          <w:rFonts w:eastAsiaTheme="minorHAnsi"/>
          <w:szCs w:val="24"/>
          <w:lang w:val="lv-LV"/>
        </w:rPr>
        <w:t xml:space="preserve"> </w:t>
      </w:r>
      <w:r w:rsidR="0004118D" w:rsidRPr="0004118D">
        <w:rPr>
          <w:rFonts w:eastAsiaTheme="minorHAnsi"/>
          <w:szCs w:val="24"/>
          <w:lang w:val="lv-LV"/>
        </w:rPr>
        <w:t>(</w:t>
      </w:r>
      <w:r w:rsidR="0004118D">
        <w:rPr>
          <w:rFonts w:eastAsiaTheme="minorHAnsi"/>
          <w:szCs w:val="24"/>
          <w:lang w:val="lv-LV"/>
        </w:rPr>
        <w:t>500</w:t>
      </w:r>
      <w:r w:rsidR="0004118D" w:rsidRPr="0004118D">
        <w:rPr>
          <w:rFonts w:eastAsiaTheme="minorHAnsi"/>
          <w:szCs w:val="24"/>
          <w:lang w:val="lv-LV"/>
        </w:rPr>
        <w:t xml:space="preserve"> </w:t>
      </w:r>
      <w:r w:rsidR="0004118D" w:rsidRPr="0004118D">
        <w:rPr>
          <w:rFonts w:eastAsiaTheme="minorHAnsi"/>
          <w:i/>
          <w:szCs w:val="24"/>
          <w:lang w:val="lv-LV"/>
        </w:rPr>
        <w:t>euro</w:t>
      </w:r>
      <w:r w:rsidR="0004118D" w:rsidRPr="0004118D">
        <w:rPr>
          <w:rFonts w:eastAsiaTheme="minorHAnsi"/>
          <w:szCs w:val="24"/>
          <w:lang w:val="lv-LV"/>
        </w:rPr>
        <w:t>);</w:t>
      </w:r>
    </w:p>
    <w:p w14:paraId="29BF1C04" w14:textId="574BA282" w:rsidR="00E55A64" w:rsidRPr="0004118D" w:rsidRDefault="00E55A64" w:rsidP="0004118D">
      <w:pPr>
        <w:pStyle w:val="ListParagraph"/>
        <w:numPr>
          <w:ilvl w:val="0"/>
          <w:numId w:val="55"/>
        </w:numPr>
        <w:spacing w:before="120"/>
        <w:contextualSpacing w:val="0"/>
        <w:rPr>
          <w:rFonts w:eastAsia="Times New Roman" w:cs="Times New Roman"/>
          <w:bCs/>
          <w:color w:val="000000"/>
          <w:szCs w:val="24"/>
          <w:lang w:val="lv-LV" w:eastAsia="lv-LV"/>
        </w:rPr>
      </w:pPr>
      <w:r w:rsidRPr="0004118D">
        <w:rPr>
          <w:rFonts w:eastAsiaTheme="minorHAnsi"/>
          <w:szCs w:val="24"/>
          <w:lang w:val="lv-LV"/>
        </w:rPr>
        <w:lastRenderedPageBreak/>
        <w:t>Ēnu dienas organizēšana klātienē</w:t>
      </w:r>
      <w:r w:rsidR="0004118D" w:rsidRPr="0004118D">
        <w:rPr>
          <w:rFonts w:eastAsiaTheme="minorHAnsi"/>
          <w:szCs w:val="24"/>
          <w:lang w:val="lv-LV"/>
        </w:rPr>
        <w:t xml:space="preserve"> (200 </w:t>
      </w:r>
      <w:r w:rsidR="0004118D" w:rsidRPr="0004118D">
        <w:rPr>
          <w:rFonts w:eastAsiaTheme="minorHAnsi"/>
          <w:i/>
          <w:szCs w:val="24"/>
          <w:lang w:val="lv-LV"/>
        </w:rPr>
        <w:t>euro</w:t>
      </w:r>
      <w:r w:rsidR="0004118D" w:rsidRPr="0004118D">
        <w:rPr>
          <w:rFonts w:eastAsiaTheme="minorHAnsi"/>
          <w:szCs w:val="24"/>
          <w:lang w:val="lv-LV"/>
        </w:rPr>
        <w:t>);</w:t>
      </w:r>
    </w:p>
    <w:p w14:paraId="23A29960" w14:textId="70C966CE" w:rsidR="00E55A64" w:rsidRPr="00E55A64" w:rsidRDefault="00E55A64" w:rsidP="0004118D">
      <w:pPr>
        <w:spacing w:before="120"/>
        <w:ind w:firstLine="720"/>
        <w:rPr>
          <w:rFonts w:eastAsiaTheme="minorHAnsi"/>
          <w:szCs w:val="24"/>
          <w:lang w:val="lv-LV"/>
        </w:rPr>
      </w:pPr>
      <w:r w:rsidRPr="00E55A64">
        <w:rPr>
          <w:rFonts w:eastAsiaTheme="minorHAnsi"/>
          <w:szCs w:val="24"/>
          <w:lang w:val="lv-LV"/>
        </w:rPr>
        <w:t>Izdevumi par saņemtajiem mācību pakalpojumiem- samazinājās VADC ārējo apmācību plāns, jo apmācības semināri un kursi notika attālināti</w:t>
      </w:r>
      <w:r w:rsidR="0004118D">
        <w:rPr>
          <w:rFonts w:eastAsiaTheme="minorHAnsi"/>
          <w:szCs w:val="24"/>
          <w:lang w:val="lv-LV"/>
        </w:rPr>
        <w:t xml:space="preserve"> (4,6 tūkst. </w:t>
      </w:r>
      <w:r w:rsidR="0004118D" w:rsidRPr="0004118D">
        <w:rPr>
          <w:rFonts w:eastAsiaTheme="minorHAnsi"/>
          <w:i/>
          <w:szCs w:val="24"/>
          <w:lang w:val="lv-LV"/>
        </w:rPr>
        <w:t>euro</w:t>
      </w:r>
      <w:r w:rsidR="0004118D">
        <w:rPr>
          <w:rFonts w:eastAsiaTheme="minorHAnsi"/>
          <w:szCs w:val="24"/>
          <w:lang w:val="lv-LV"/>
        </w:rPr>
        <w:t>);</w:t>
      </w:r>
    </w:p>
    <w:p w14:paraId="4D407D76" w14:textId="4DFDF4E2" w:rsidR="00B232B5" w:rsidRPr="00E55A64" w:rsidRDefault="00E55A64" w:rsidP="0004118D">
      <w:pPr>
        <w:spacing w:before="120"/>
        <w:ind w:firstLine="720"/>
        <w:rPr>
          <w:rFonts w:eastAsiaTheme="minorHAnsi"/>
          <w:szCs w:val="24"/>
          <w:lang w:val="lv-LV"/>
        </w:rPr>
      </w:pPr>
      <w:r w:rsidRPr="00E55A64">
        <w:rPr>
          <w:rFonts w:eastAsiaTheme="minorHAnsi"/>
          <w:szCs w:val="24"/>
          <w:lang w:val="lv-LV"/>
        </w:rPr>
        <w:t>Pārējie iestādes administrācijas izdevumi- samazinājušies  iestādes reprezentācijas izdevumi</w:t>
      </w:r>
      <w:r w:rsidR="0004118D">
        <w:rPr>
          <w:rFonts w:eastAsiaTheme="minorHAnsi"/>
          <w:szCs w:val="24"/>
          <w:lang w:val="lv-LV"/>
        </w:rPr>
        <w:t xml:space="preserve"> (5,5 tūkst. </w:t>
      </w:r>
      <w:r w:rsidR="0004118D" w:rsidRPr="0004118D">
        <w:rPr>
          <w:rFonts w:eastAsiaTheme="minorHAnsi"/>
          <w:i/>
          <w:szCs w:val="24"/>
          <w:lang w:val="lv-LV"/>
        </w:rPr>
        <w:t>euro</w:t>
      </w:r>
      <w:r w:rsidR="0004118D" w:rsidRPr="0004118D">
        <w:rPr>
          <w:rFonts w:eastAsiaTheme="minorHAnsi"/>
          <w:szCs w:val="24"/>
          <w:lang w:val="lv-LV"/>
        </w:rPr>
        <w:t>)</w:t>
      </w:r>
      <w:r w:rsidR="0004118D">
        <w:rPr>
          <w:rFonts w:eastAsiaTheme="minorHAnsi"/>
          <w:szCs w:val="24"/>
          <w:lang w:val="lv-LV"/>
        </w:rPr>
        <w:t>.</w:t>
      </w:r>
    </w:p>
    <w:p w14:paraId="20FEC28E" w14:textId="7E96DF6A" w:rsidR="0004118D" w:rsidRPr="0004118D" w:rsidRDefault="0004118D" w:rsidP="0004118D">
      <w:pPr>
        <w:ind w:firstLine="720"/>
        <w:rPr>
          <w:rFonts w:eastAsiaTheme="minorHAnsi"/>
          <w:lang w:val="lv-LV"/>
        </w:rPr>
      </w:pPr>
      <w:r w:rsidRPr="0004118D">
        <w:rPr>
          <w:rFonts w:eastAsiaTheme="minorHAnsi"/>
          <w:lang w:val="lv-LV"/>
        </w:rPr>
        <w:t>S</w:t>
      </w:r>
      <w:r>
        <w:rPr>
          <w:rFonts w:eastAsiaTheme="minorHAnsi"/>
          <w:lang w:val="lv-LV"/>
        </w:rPr>
        <w:t>aistībā</w:t>
      </w:r>
      <w:r w:rsidRPr="0004118D">
        <w:rPr>
          <w:rFonts w:eastAsiaTheme="minorHAnsi"/>
          <w:lang w:val="lv-LV"/>
        </w:rPr>
        <w:t xml:space="preserve"> ar COVID-19 saslimstību veidojas atlīdzības deficīts,  jo nepieciešams aizvietot saslimušos darbiniekus. Papildus izdevumi 42</w:t>
      </w:r>
      <w:r>
        <w:rPr>
          <w:rFonts w:eastAsiaTheme="minorHAnsi"/>
          <w:lang w:val="lv-LV"/>
        </w:rPr>
        <w:t>,9 tūkst.</w:t>
      </w:r>
      <w:r w:rsidRPr="0004118D">
        <w:rPr>
          <w:rFonts w:eastAsiaTheme="minorHAnsi"/>
          <w:lang w:val="lv-LV"/>
        </w:rPr>
        <w:t xml:space="preserve"> </w:t>
      </w:r>
      <w:r w:rsidRPr="0004118D">
        <w:rPr>
          <w:rFonts w:eastAsiaTheme="minorHAnsi"/>
          <w:i/>
          <w:lang w:val="lv-LV"/>
        </w:rPr>
        <w:t>euro</w:t>
      </w:r>
      <w:r>
        <w:rPr>
          <w:rFonts w:eastAsiaTheme="minorHAnsi"/>
          <w:lang w:val="lv-LV"/>
        </w:rPr>
        <w:t>.</w:t>
      </w:r>
    </w:p>
    <w:p w14:paraId="3FD516DC" w14:textId="6AC6298C" w:rsidR="0004118D" w:rsidRPr="0004118D" w:rsidRDefault="00B65E28" w:rsidP="00B65E28">
      <w:pPr>
        <w:ind w:firstLine="720"/>
        <w:rPr>
          <w:rFonts w:eastAsiaTheme="minorHAnsi"/>
          <w:lang w:val="lv-LV"/>
        </w:rPr>
      </w:pPr>
      <w:r>
        <w:rPr>
          <w:rFonts w:eastAsiaTheme="minorHAnsi"/>
          <w:lang w:val="lv-LV"/>
        </w:rPr>
        <w:t>VADC</w:t>
      </w:r>
      <w:r w:rsidR="0004118D" w:rsidRPr="0004118D">
        <w:rPr>
          <w:rFonts w:eastAsiaTheme="minorHAnsi"/>
          <w:lang w:val="lv-LV"/>
        </w:rPr>
        <w:t xml:space="preserve"> nevar visiem nodrošināt piemaksas par aizvietošanu darbinieku slimības laikā un atvaļinājuma laikā, bet, lai </w:t>
      </w:r>
      <w:r>
        <w:rPr>
          <w:rFonts w:eastAsiaTheme="minorHAnsi"/>
          <w:lang w:val="lv-LV"/>
        </w:rPr>
        <w:t xml:space="preserve">VADC </w:t>
      </w:r>
      <w:r w:rsidR="0004118D" w:rsidRPr="0004118D">
        <w:rPr>
          <w:rFonts w:eastAsiaTheme="minorHAnsi"/>
          <w:lang w:val="lv-LV"/>
        </w:rPr>
        <w:t>varētu normāli strādāt, aprēķinā minētiem amatiem obligāti jānodrošina piemaksas par aizvietošanu darbinieku slimī</w:t>
      </w:r>
      <w:r>
        <w:rPr>
          <w:rFonts w:eastAsiaTheme="minorHAnsi"/>
          <w:lang w:val="lv-LV"/>
        </w:rPr>
        <w:t xml:space="preserve">bas laikā un atvaļinājuma laikā. </w:t>
      </w:r>
      <w:r w:rsidR="0004118D" w:rsidRPr="0004118D">
        <w:rPr>
          <w:rFonts w:eastAsiaTheme="minorHAnsi"/>
          <w:lang w:val="lv-LV"/>
        </w:rPr>
        <w:t xml:space="preserve">Aprēķinā piemērotais apmērs piemaksai ir 10%, vidēji katrs darbinieks 10 darba dienas gadā aizvieto citu darbinieku tā slimības laikā un 28 darba dienas  aizvieto citu darbinieku atvaļinājuma  laikā. Izdevumi atlīdzībai var sasniegt </w:t>
      </w:r>
      <w:r>
        <w:rPr>
          <w:rFonts w:eastAsiaTheme="minorHAnsi"/>
          <w:lang w:val="lv-LV"/>
        </w:rPr>
        <w:t xml:space="preserve">30,2 tūkst. </w:t>
      </w:r>
      <w:r w:rsidR="0004118D" w:rsidRPr="00B65E28">
        <w:rPr>
          <w:rFonts w:eastAsiaTheme="minorHAnsi"/>
          <w:i/>
          <w:lang w:val="lv-LV"/>
        </w:rPr>
        <w:t>euro</w:t>
      </w:r>
      <w:r>
        <w:rPr>
          <w:rFonts w:eastAsiaTheme="minorHAnsi"/>
          <w:lang w:val="lv-LV"/>
        </w:rPr>
        <w:t xml:space="preserve"> gadā.</w:t>
      </w:r>
    </w:p>
    <w:p w14:paraId="6CDAD202" w14:textId="74B3AD17" w:rsidR="0004118D" w:rsidRPr="0004118D" w:rsidRDefault="0004118D" w:rsidP="0004118D">
      <w:pPr>
        <w:ind w:firstLine="720"/>
        <w:rPr>
          <w:rFonts w:eastAsiaTheme="minorHAnsi"/>
          <w:lang w:val="lv-LV"/>
        </w:rPr>
      </w:pPr>
      <w:r w:rsidRPr="0004118D">
        <w:rPr>
          <w:rFonts w:eastAsiaTheme="minorHAnsi"/>
          <w:lang w:val="lv-LV"/>
        </w:rPr>
        <w:t>Saistībā ar vīrusa Covid-19 pandēmiju 2020.</w:t>
      </w:r>
      <w:r w:rsidR="00B65E28">
        <w:rPr>
          <w:rFonts w:eastAsiaTheme="minorHAnsi"/>
          <w:lang w:val="lv-LV"/>
        </w:rPr>
        <w:t xml:space="preserve"> </w:t>
      </w:r>
      <w:r w:rsidRPr="0004118D">
        <w:rPr>
          <w:rFonts w:eastAsiaTheme="minorHAnsi"/>
          <w:lang w:val="lv-LV"/>
        </w:rPr>
        <w:t>gadā un 2021.</w:t>
      </w:r>
      <w:r w:rsidR="00B65E28">
        <w:rPr>
          <w:rFonts w:eastAsiaTheme="minorHAnsi"/>
          <w:lang w:val="lv-LV"/>
        </w:rPr>
        <w:t xml:space="preserve"> </w:t>
      </w:r>
      <w:r w:rsidRPr="0004118D">
        <w:rPr>
          <w:rFonts w:eastAsiaTheme="minorHAnsi"/>
          <w:lang w:val="lv-LV"/>
        </w:rPr>
        <w:t xml:space="preserve">gada 7 mēnešu periodā, VADC pieauguši izdevumi darbinieku pārejošas darba nespējas A lapu apmaksai, jo pieaudzis hronisko saslimšanu saasinājumu daudzums, kas saistīts ar pandēmijas laikā ierobežotām iespējām ārstēt hroniskās saslimšanas (pamatbudžeta tāmē  šai vajadzībai plānoti </w:t>
      </w:r>
      <w:r w:rsidR="00B65E28">
        <w:rPr>
          <w:rFonts w:eastAsiaTheme="minorHAnsi"/>
          <w:lang w:val="lv-LV"/>
        </w:rPr>
        <w:t>15,2 tūkst.</w:t>
      </w:r>
      <w:r w:rsidRPr="0004118D">
        <w:rPr>
          <w:rFonts w:eastAsiaTheme="minorHAnsi"/>
          <w:lang w:val="lv-LV"/>
        </w:rPr>
        <w:t xml:space="preserve"> </w:t>
      </w:r>
      <w:r w:rsidRPr="00B65E28">
        <w:rPr>
          <w:rFonts w:eastAsiaTheme="minorHAnsi"/>
          <w:i/>
          <w:lang w:val="lv-LV"/>
        </w:rPr>
        <w:t>euro</w:t>
      </w:r>
      <w:r w:rsidRPr="0004118D">
        <w:rPr>
          <w:rFonts w:eastAsiaTheme="minorHAnsi"/>
          <w:lang w:val="lv-LV"/>
        </w:rPr>
        <w:t>).</w:t>
      </w:r>
    </w:p>
    <w:p w14:paraId="72C958E2" w14:textId="2654AC52" w:rsidR="008C7427" w:rsidRDefault="0004118D" w:rsidP="0004118D">
      <w:pPr>
        <w:ind w:firstLine="720"/>
        <w:rPr>
          <w:rFonts w:eastAsiaTheme="minorHAnsi"/>
          <w:lang w:val="lv-LV"/>
        </w:rPr>
      </w:pPr>
      <w:r w:rsidRPr="0004118D">
        <w:rPr>
          <w:rFonts w:eastAsiaTheme="minorHAnsi"/>
          <w:lang w:val="lv-LV"/>
        </w:rPr>
        <w:t>Analizējot izdevumus 2021.</w:t>
      </w:r>
      <w:r w:rsidR="00B65E28">
        <w:rPr>
          <w:rFonts w:eastAsiaTheme="minorHAnsi"/>
          <w:lang w:val="lv-LV"/>
        </w:rPr>
        <w:t xml:space="preserve"> </w:t>
      </w:r>
      <w:r w:rsidRPr="0004118D">
        <w:rPr>
          <w:rFonts w:eastAsiaTheme="minorHAnsi"/>
          <w:lang w:val="lv-LV"/>
        </w:rPr>
        <w:t xml:space="preserve">gada 7 mēnešos pārejošas darba nespējas apmaksai, kas vidēji mēnesī ir 2 314 </w:t>
      </w:r>
      <w:r w:rsidRPr="00B65E28">
        <w:rPr>
          <w:rFonts w:eastAsiaTheme="minorHAnsi"/>
          <w:i/>
          <w:lang w:val="lv-LV"/>
        </w:rPr>
        <w:t xml:space="preserve">euro </w:t>
      </w:r>
      <w:r w:rsidRPr="0004118D">
        <w:rPr>
          <w:rFonts w:eastAsiaTheme="minorHAnsi"/>
          <w:lang w:val="lv-LV"/>
        </w:rPr>
        <w:t xml:space="preserve">(16 196 </w:t>
      </w:r>
      <w:r w:rsidRPr="00B65E28">
        <w:rPr>
          <w:rFonts w:eastAsiaTheme="minorHAnsi"/>
          <w:i/>
          <w:lang w:val="lv-LV"/>
        </w:rPr>
        <w:t>euro</w:t>
      </w:r>
      <w:r w:rsidR="00B65E28">
        <w:rPr>
          <w:rFonts w:eastAsiaTheme="minorHAnsi"/>
          <w:lang w:val="lv-LV"/>
        </w:rPr>
        <w:t xml:space="preserve"> </w:t>
      </w:r>
      <w:r w:rsidRPr="0004118D">
        <w:rPr>
          <w:rFonts w:eastAsiaTheme="minorHAnsi"/>
          <w:lang w:val="lv-LV"/>
        </w:rPr>
        <w:t>=</w:t>
      </w:r>
      <w:r w:rsidR="00B65E28">
        <w:rPr>
          <w:rFonts w:eastAsiaTheme="minorHAnsi"/>
          <w:lang w:val="lv-LV"/>
        </w:rPr>
        <w:t xml:space="preserve"> </w:t>
      </w:r>
      <w:r w:rsidRPr="0004118D">
        <w:rPr>
          <w:rFonts w:eastAsiaTheme="minorHAnsi"/>
          <w:lang w:val="lv-LV"/>
        </w:rPr>
        <w:t xml:space="preserve">2 314 </w:t>
      </w:r>
      <w:r w:rsidRPr="00B65E28">
        <w:rPr>
          <w:rFonts w:eastAsiaTheme="minorHAnsi"/>
          <w:i/>
          <w:lang w:val="lv-LV"/>
        </w:rPr>
        <w:t>euro</w:t>
      </w:r>
      <w:r w:rsidRPr="0004118D">
        <w:rPr>
          <w:rFonts w:eastAsiaTheme="minorHAnsi"/>
          <w:lang w:val="lv-LV"/>
        </w:rPr>
        <w:t xml:space="preserve"> x 7 mēn.), prognozēts, ka 2021.</w:t>
      </w:r>
      <w:r w:rsidR="00B65E28">
        <w:rPr>
          <w:rFonts w:eastAsiaTheme="minorHAnsi"/>
          <w:lang w:val="lv-LV"/>
        </w:rPr>
        <w:t xml:space="preserve"> </w:t>
      </w:r>
      <w:r w:rsidRPr="0004118D">
        <w:rPr>
          <w:rFonts w:eastAsiaTheme="minorHAnsi"/>
          <w:lang w:val="lv-LV"/>
        </w:rPr>
        <w:t xml:space="preserve">gadam, saglabājoties esošai tendencei, izdevumi sasniegs 27 768 </w:t>
      </w:r>
      <w:r w:rsidRPr="00B65E28">
        <w:rPr>
          <w:rFonts w:eastAsiaTheme="minorHAnsi"/>
          <w:i/>
          <w:lang w:val="lv-LV"/>
        </w:rPr>
        <w:t>euro</w:t>
      </w:r>
      <w:r w:rsidRPr="0004118D">
        <w:rPr>
          <w:rFonts w:eastAsiaTheme="minorHAnsi"/>
          <w:lang w:val="lv-LV"/>
        </w:rPr>
        <w:t>. Prognozējam, ka 2021.</w:t>
      </w:r>
      <w:r w:rsidR="00B65E28">
        <w:rPr>
          <w:rFonts w:eastAsiaTheme="minorHAnsi"/>
          <w:lang w:val="lv-LV"/>
        </w:rPr>
        <w:t xml:space="preserve"> </w:t>
      </w:r>
      <w:r w:rsidRPr="0004118D">
        <w:rPr>
          <w:rFonts w:eastAsiaTheme="minorHAnsi"/>
          <w:lang w:val="lv-LV"/>
        </w:rPr>
        <w:t>gadā izdevumi darbinieku pārejošas darba nespējas A lapu apmaksai pieaugs par 12</w:t>
      </w:r>
      <w:r w:rsidR="00B65E28">
        <w:rPr>
          <w:rFonts w:eastAsiaTheme="minorHAnsi"/>
          <w:lang w:val="lv-LV"/>
        </w:rPr>
        <w:t xml:space="preserve">,7 tūkst. </w:t>
      </w:r>
      <w:r w:rsidRPr="00B65E28">
        <w:rPr>
          <w:rFonts w:eastAsiaTheme="minorHAnsi"/>
          <w:i/>
          <w:lang w:val="lv-LV"/>
        </w:rPr>
        <w:t xml:space="preserve">euro </w:t>
      </w:r>
      <w:r w:rsidRPr="0004118D">
        <w:rPr>
          <w:rFonts w:eastAsiaTheme="minorHAnsi"/>
          <w:lang w:val="lv-LV"/>
        </w:rPr>
        <w:t xml:space="preserve">(27 768 </w:t>
      </w:r>
      <w:r w:rsidRPr="00B65E28">
        <w:rPr>
          <w:rFonts w:eastAsiaTheme="minorHAnsi"/>
          <w:i/>
          <w:lang w:val="lv-LV"/>
        </w:rPr>
        <w:t>euro</w:t>
      </w:r>
      <w:r w:rsidRPr="0004118D">
        <w:rPr>
          <w:rFonts w:eastAsiaTheme="minorHAnsi"/>
          <w:lang w:val="lv-LV"/>
        </w:rPr>
        <w:t xml:space="preserve"> – 15 109 </w:t>
      </w:r>
      <w:r w:rsidRPr="00B65E28">
        <w:rPr>
          <w:rFonts w:eastAsiaTheme="minorHAnsi"/>
          <w:i/>
          <w:lang w:val="lv-LV"/>
        </w:rPr>
        <w:t>euro</w:t>
      </w:r>
      <w:r w:rsidRPr="0004118D">
        <w:rPr>
          <w:rFonts w:eastAsiaTheme="minorHAnsi"/>
          <w:lang w:val="lv-LV"/>
        </w:rPr>
        <w:t>).</w:t>
      </w:r>
    </w:p>
    <w:tbl>
      <w:tblPr>
        <w:tblStyle w:val="TableGrid1"/>
        <w:tblW w:w="0" w:type="auto"/>
        <w:jc w:val="center"/>
        <w:tblLook w:val="04A0" w:firstRow="1" w:lastRow="0" w:firstColumn="1" w:lastColumn="0" w:noHBand="0" w:noVBand="1"/>
      </w:tblPr>
      <w:tblGrid>
        <w:gridCol w:w="709"/>
        <w:gridCol w:w="1129"/>
        <w:gridCol w:w="696"/>
        <w:gridCol w:w="1005"/>
        <w:gridCol w:w="709"/>
        <w:gridCol w:w="1276"/>
      </w:tblGrid>
      <w:tr w:rsidR="00B65E28" w:rsidRPr="00CE0303" w14:paraId="27758EF6" w14:textId="77777777" w:rsidTr="00B65E28">
        <w:trPr>
          <w:jc w:val="center"/>
        </w:trPr>
        <w:tc>
          <w:tcPr>
            <w:tcW w:w="709" w:type="dxa"/>
            <w:shd w:val="clear" w:color="auto" w:fill="92D050"/>
            <w:vAlign w:val="center"/>
          </w:tcPr>
          <w:p w14:paraId="2BEEC171" w14:textId="77777777" w:rsidR="00B65E28" w:rsidRPr="00CE0303" w:rsidRDefault="00B65E28" w:rsidP="002C24FA">
            <w:pPr>
              <w:spacing w:after="0"/>
              <w:jc w:val="center"/>
              <w:rPr>
                <w:rFonts w:eastAsiaTheme="minorHAnsi"/>
                <w:lang w:val="lv-LV"/>
              </w:rPr>
            </w:pPr>
            <w:r w:rsidRPr="00CE0303">
              <w:rPr>
                <w:rFonts w:eastAsiaTheme="minorHAnsi"/>
                <w:lang w:val="lv-LV"/>
              </w:rPr>
              <w:t>2022</w:t>
            </w:r>
          </w:p>
        </w:tc>
        <w:tc>
          <w:tcPr>
            <w:tcW w:w="1129" w:type="dxa"/>
            <w:vAlign w:val="center"/>
          </w:tcPr>
          <w:p w14:paraId="017FDAF4" w14:textId="66AA89CE" w:rsidR="00B65E28" w:rsidRPr="00CE0303" w:rsidRDefault="00B65E28" w:rsidP="002C24FA">
            <w:pPr>
              <w:spacing w:after="0"/>
              <w:jc w:val="center"/>
              <w:rPr>
                <w:rFonts w:eastAsiaTheme="minorHAnsi"/>
                <w:lang w:val="lv-LV"/>
              </w:rPr>
            </w:pPr>
            <w:r w:rsidRPr="00B65E28">
              <w:rPr>
                <w:rFonts w:eastAsiaTheme="minorHAnsi"/>
                <w:lang w:val="lv-LV"/>
              </w:rPr>
              <w:t>42 851</w:t>
            </w:r>
          </w:p>
        </w:tc>
        <w:tc>
          <w:tcPr>
            <w:tcW w:w="696" w:type="dxa"/>
            <w:shd w:val="clear" w:color="auto" w:fill="92D050"/>
            <w:vAlign w:val="center"/>
          </w:tcPr>
          <w:p w14:paraId="20FF8062" w14:textId="77777777" w:rsidR="00B65E28" w:rsidRPr="00CE0303" w:rsidRDefault="00B65E28" w:rsidP="002C24FA">
            <w:pPr>
              <w:spacing w:after="0"/>
              <w:jc w:val="center"/>
              <w:rPr>
                <w:rFonts w:eastAsiaTheme="minorHAnsi"/>
                <w:lang w:val="lv-LV"/>
              </w:rPr>
            </w:pPr>
            <w:r w:rsidRPr="00CE0303">
              <w:rPr>
                <w:rFonts w:eastAsiaTheme="minorHAnsi"/>
                <w:lang w:val="lv-LV"/>
              </w:rPr>
              <w:t>2023</w:t>
            </w:r>
          </w:p>
        </w:tc>
        <w:tc>
          <w:tcPr>
            <w:tcW w:w="1005" w:type="dxa"/>
            <w:vAlign w:val="center"/>
          </w:tcPr>
          <w:p w14:paraId="04ECFCDC" w14:textId="734A2FB7" w:rsidR="00B65E28" w:rsidRPr="00CE0303" w:rsidRDefault="00B65E28" w:rsidP="002C24FA">
            <w:pPr>
              <w:spacing w:after="0"/>
              <w:jc w:val="center"/>
              <w:rPr>
                <w:rFonts w:eastAsiaTheme="minorHAnsi"/>
                <w:lang w:val="lv-LV"/>
              </w:rPr>
            </w:pPr>
            <w:r w:rsidRPr="00B65E28">
              <w:rPr>
                <w:rFonts w:eastAsiaTheme="minorHAnsi"/>
                <w:lang w:val="lv-LV"/>
              </w:rPr>
              <w:t>42 851</w:t>
            </w:r>
          </w:p>
        </w:tc>
        <w:tc>
          <w:tcPr>
            <w:tcW w:w="709" w:type="dxa"/>
            <w:shd w:val="clear" w:color="auto" w:fill="92D050"/>
            <w:vAlign w:val="center"/>
          </w:tcPr>
          <w:p w14:paraId="12AD26F4" w14:textId="77777777" w:rsidR="00B65E28" w:rsidRPr="00CE0303" w:rsidRDefault="00B65E28" w:rsidP="002C24FA">
            <w:pPr>
              <w:spacing w:after="0"/>
              <w:jc w:val="center"/>
              <w:rPr>
                <w:rFonts w:eastAsiaTheme="minorHAnsi"/>
                <w:lang w:val="lv-LV"/>
              </w:rPr>
            </w:pPr>
            <w:r w:rsidRPr="00CE0303">
              <w:rPr>
                <w:rFonts w:eastAsiaTheme="minorHAnsi"/>
                <w:lang w:val="lv-LV"/>
              </w:rPr>
              <w:t>2024</w:t>
            </w:r>
          </w:p>
        </w:tc>
        <w:tc>
          <w:tcPr>
            <w:tcW w:w="1276" w:type="dxa"/>
            <w:vAlign w:val="center"/>
          </w:tcPr>
          <w:p w14:paraId="17BC221E" w14:textId="2E138ECE" w:rsidR="00B65E28" w:rsidRPr="00B232B5" w:rsidRDefault="00D53BAD" w:rsidP="00B65E28">
            <w:pPr>
              <w:pStyle w:val="ListParagraph"/>
              <w:spacing w:after="0"/>
              <w:ind w:left="314"/>
              <w:jc w:val="left"/>
              <w:rPr>
                <w:rFonts w:eastAsiaTheme="minorHAnsi"/>
                <w:lang w:val="lv-LV"/>
              </w:rPr>
            </w:pPr>
            <w:r>
              <w:rPr>
                <w:rFonts w:eastAsiaTheme="minorHAnsi"/>
                <w:lang w:val="lv-LV"/>
              </w:rPr>
              <w:t>0</w:t>
            </w:r>
          </w:p>
        </w:tc>
      </w:tr>
    </w:tbl>
    <w:p w14:paraId="2DB9DAC8" w14:textId="0592AC8D" w:rsidR="00B65E28" w:rsidRPr="00B65E28" w:rsidRDefault="00B65E28" w:rsidP="00D53BAD">
      <w:pPr>
        <w:spacing w:before="120"/>
        <w:ind w:firstLine="720"/>
        <w:rPr>
          <w:rFonts w:eastAsiaTheme="minorHAnsi"/>
          <w:szCs w:val="24"/>
          <w:lang w:val="lv-LV"/>
        </w:rPr>
      </w:pPr>
      <w:r w:rsidRPr="00E55A64">
        <w:rPr>
          <w:rFonts w:eastAsiaTheme="minorHAnsi"/>
          <w:szCs w:val="24"/>
          <w:lang w:val="lv-LV"/>
        </w:rPr>
        <w:t>Apakšprogrammā</w:t>
      </w:r>
      <w:r>
        <w:rPr>
          <w:rFonts w:eastAsiaTheme="minorHAnsi"/>
          <w:szCs w:val="24"/>
          <w:lang w:val="lv-LV"/>
        </w:rPr>
        <w:t xml:space="preserve"> </w:t>
      </w:r>
      <w:r w:rsidRPr="00B65E28">
        <w:rPr>
          <w:rFonts w:eastAsiaTheme="minorHAnsi"/>
          <w:szCs w:val="24"/>
          <w:lang w:val="lv-LV"/>
        </w:rPr>
        <w:t>45.01.00 Veselības aprūpes finansējuma administrēšana un ekonomiskā novērtēšana</w:t>
      </w:r>
      <w:r>
        <w:rPr>
          <w:rFonts w:eastAsiaTheme="minorHAnsi"/>
          <w:szCs w:val="24"/>
          <w:lang w:val="lv-LV"/>
        </w:rPr>
        <w:t>. l</w:t>
      </w:r>
      <w:r w:rsidRPr="00B65E28">
        <w:rPr>
          <w:rFonts w:eastAsiaTheme="minorHAnsi"/>
          <w:szCs w:val="24"/>
          <w:lang w:val="lv-LV"/>
        </w:rPr>
        <w:t xml:space="preserve">ai  motivētu darbiniekus Covid-19 izplatības laikā </w:t>
      </w:r>
      <w:r>
        <w:rPr>
          <w:rFonts w:eastAsiaTheme="minorHAnsi"/>
          <w:szCs w:val="24"/>
          <w:lang w:val="lv-LV"/>
        </w:rPr>
        <w:t>NVD</w:t>
      </w:r>
      <w:r w:rsidRPr="00B65E28">
        <w:rPr>
          <w:rFonts w:eastAsiaTheme="minorHAnsi"/>
          <w:szCs w:val="24"/>
          <w:lang w:val="lv-LV"/>
        </w:rPr>
        <w:t xml:space="preserve"> ir aprēķinājis nepieciešamo līdzekļu apjomu darbinieku  piemaksu fonda palielināšanai 5% apmērā, kas ir 210</w:t>
      </w:r>
      <w:r>
        <w:rPr>
          <w:rFonts w:eastAsiaTheme="minorHAnsi"/>
          <w:szCs w:val="24"/>
          <w:lang w:val="lv-LV"/>
        </w:rPr>
        <w:t xml:space="preserve">,1 tūkst. </w:t>
      </w:r>
      <w:r w:rsidRPr="00B65E28">
        <w:rPr>
          <w:rFonts w:eastAsiaTheme="minorHAnsi"/>
          <w:i/>
          <w:szCs w:val="24"/>
          <w:lang w:val="lv-LV"/>
        </w:rPr>
        <w:t>euro</w:t>
      </w:r>
      <w:r w:rsidRPr="00B65E28">
        <w:rPr>
          <w:rFonts w:eastAsiaTheme="minorHAnsi"/>
          <w:szCs w:val="24"/>
          <w:lang w:val="lv-LV"/>
        </w:rPr>
        <w:t xml:space="preserve"> 2022.</w:t>
      </w:r>
      <w:r>
        <w:rPr>
          <w:rFonts w:eastAsiaTheme="minorHAnsi"/>
          <w:szCs w:val="24"/>
          <w:lang w:val="lv-LV"/>
        </w:rPr>
        <w:t xml:space="preserve"> </w:t>
      </w:r>
      <w:r w:rsidRPr="00B65E28">
        <w:rPr>
          <w:rFonts w:eastAsiaTheme="minorHAnsi"/>
          <w:szCs w:val="24"/>
          <w:lang w:val="lv-LV"/>
        </w:rPr>
        <w:t>gadā un 2023.</w:t>
      </w:r>
      <w:r>
        <w:rPr>
          <w:rFonts w:eastAsiaTheme="minorHAnsi"/>
          <w:szCs w:val="24"/>
          <w:lang w:val="lv-LV"/>
        </w:rPr>
        <w:t xml:space="preserve"> </w:t>
      </w:r>
      <w:r w:rsidRPr="00B65E28">
        <w:rPr>
          <w:rFonts w:eastAsiaTheme="minorHAnsi"/>
          <w:szCs w:val="24"/>
          <w:lang w:val="lv-LV"/>
        </w:rPr>
        <w:t>gadā, novirzot šo izdevumu segšanai plānoto līdzekļu ekonomiju</w:t>
      </w:r>
      <w:r w:rsidR="00D53BAD">
        <w:rPr>
          <w:rFonts w:eastAsiaTheme="minorHAnsi"/>
          <w:szCs w:val="24"/>
          <w:lang w:val="lv-LV"/>
        </w:rPr>
        <w:t xml:space="preserve"> no</w:t>
      </w:r>
      <w:r w:rsidRPr="00B65E28">
        <w:rPr>
          <w:rFonts w:eastAsiaTheme="minorHAnsi"/>
          <w:szCs w:val="24"/>
          <w:lang w:val="lv-LV"/>
        </w:rPr>
        <w:t xml:space="preserve"> izdevumiem prec</w:t>
      </w:r>
      <w:r>
        <w:rPr>
          <w:rFonts w:eastAsiaTheme="minorHAnsi"/>
          <w:szCs w:val="24"/>
          <w:lang w:val="lv-LV"/>
        </w:rPr>
        <w:t>ēm un pakalpojumiem EKK 2000, t.sk.:</w:t>
      </w:r>
    </w:p>
    <w:p w14:paraId="67862BE9" w14:textId="77777777" w:rsidR="00D53BAD" w:rsidRDefault="00B65E28" w:rsidP="00D53BAD">
      <w:pPr>
        <w:pStyle w:val="ListParagraph"/>
        <w:numPr>
          <w:ilvl w:val="0"/>
          <w:numId w:val="55"/>
        </w:numPr>
        <w:spacing w:before="120"/>
        <w:contextualSpacing w:val="0"/>
        <w:rPr>
          <w:rFonts w:eastAsiaTheme="minorHAnsi"/>
          <w:szCs w:val="24"/>
          <w:lang w:val="lv-LV"/>
        </w:rPr>
      </w:pPr>
      <w:r w:rsidRPr="00B65E28">
        <w:rPr>
          <w:rFonts w:eastAsiaTheme="minorHAnsi"/>
          <w:szCs w:val="24"/>
          <w:lang w:val="lv-LV"/>
        </w:rPr>
        <w:t>plānotie līdzekļi informatīvai kampaņai par valsts apmaksātiem veselības aprūpes pakalpojumiem. Saistībā ar epidemioloģiskajiem ierobežojumiem veselības aprūpes pakalpojumu sniegšanā, kampaņa netiek realizēta. Līdz ar to  līdzekļus informatīvas kampaņas veikšanai  2022.</w:t>
      </w:r>
      <w:r>
        <w:rPr>
          <w:rFonts w:eastAsiaTheme="minorHAnsi"/>
          <w:szCs w:val="24"/>
          <w:lang w:val="lv-LV"/>
        </w:rPr>
        <w:t xml:space="preserve"> </w:t>
      </w:r>
      <w:r w:rsidRPr="00B65E28">
        <w:rPr>
          <w:rFonts w:eastAsiaTheme="minorHAnsi"/>
          <w:szCs w:val="24"/>
          <w:lang w:val="lv-LV"/>
        </w:rPr>
        <w:t>gadā un 2023.</w:t>
      </w:r>
      <w:r>
        <w:rPr>
          <w:rFonts w:eastAsiaTheme="minorHAnsi"/>
          <w:szCs w:val="24"/>
          <w:lang w:val="lv-LV"/>
        </w:rPr>
        <w:t xml:space="preserve"> </w:t>
      </w:r>
      <w:r w:rsidRPr="00B65E28">
        <w:rPr>
          <w:rFonts w:eastAsiaTheme="minorHAnsi"/>
          <w:szCs w:val="24"/>
          <w:lang w:val="lv-LV"/>
        </w:rPr>
        <w:t>gadā paredzēts nov</w:t>
      </w:r>
      <w:r>
        <w:rPr>
          <w:rFonts w:eastAsiaTheme="minorHAnsi"/>
          <w:szCs w:val="24"/>
          <w:lang w:val="lv-LV"/>
        </w:rPr>
        <w:t>irzīt atlīdzības palielināšanai</w:t>
      </w:r>
      <w:r w:rsidRPr="00B65E28">
        <w:rPr>
          <w:rFonts w:eastAsiaTheme="minorHAnsi"/>
          <w:szCs w:val="24"/>
          <w:lang w:val="lv-LV"/>
        </w:rPr>
        <w:t xml:space="preserve"> </w:t>
      </w:r>
      <w:r>
        <w:rPr>
          <w:rFonts w:eastAsiaTheme="minorHAnsi"/>
          <w:szCs w:val="24"/>
          <w:lang w:val="lv-LV"/>
        </w:rPr>
        <w:t>(</w:t>
      </w:r>
      <w:r w:rsidRPr="00B65E28">
        <w:rPr>
          <w:rFonts w:eastAsiaTheme="minorHAnsi"/>
          <w:szCs w:val="24"/>
          <w:lang w:val="lv-LV"/>
        </w:rPr>
        <w:t>36</w:t>
      </w:r>
      <w:r>
        <w:rPr>
          <w:rFonts w:eastAsiaTheme="minorHAnsi"/>
          <w:szCs w:val="24"/>
          <w:lang w:val="lv-LV"/>
        </w:rPr>
        <w:t xml:space="preserve">,5 tūkst. </w:t>
      </w:r>
      <w:r w:rsidRPr="00B65E28">
        <w:rPr>
          <w:rFonts w:eastAsiaTheme="minorHAnsi"/>
          <w:i/>
          <w:szCs w:val="24"/>
          <w:lang w:val="lv-LV"/>
        </w:rPr>
        <w:t>euro</w:t>
      </w:r>
      <w:r>
        <w:rPr>
          <w:rFonts w:eastAsiaTheme="minorHAnsi"/>
          <w:szCs w:val="24"/>
          <w:lang w:val="lv-LV"/>
        </w:rPr>
        <w:t>);</w:t>
      </w:r>
      <w:r w:rsidRPr="00B65E28">
        <w:rPr>
          <w:rFonts w:eastAsiaTheme="minorHAnsi"/>
          <w:szCs w:val="24"/>
          <w:lang w:val="lv-LV"/>
        </w:rPr>
        <w:t xml:space="preserve">  </w:t>
      </w:r>
    </w:p>
    <w:p w14:paraId="5DB963C5" w14:textId="77777777" w:rsidR="00D53BAD" w:rsidRDefault="00B65E28" w:rsidP="00D53BAD">
      <w:pPr>
        <w:pStyle w:val="ListParagraph"/>
        <w:numPr>
          <w:ilvl w:val="0"/>
          <w:numId w:val="55"/>
        </w:numPr>
        <w:spacing w:before="120"/>
        <w:contextualSpacing w:val="0"/>
        <w:rPr>
          <w:rFonts w:eastAsiaTheme="minorHAnsi"/>
          <w:szCs w:val="24"/>
          <w:lang w:val="lv-LV"/>
        </w:rPr>
      </w:pPr>
      <w:r w:rsidRPr="00D53BAD">
        <w:rPr>
          <w:rFonts w:eastAsiaTheme="minorHAnsi"/>
          <w:szCs w:val="24"/>
          <w:lang w:val="lv-LV"/>
        </w:rPr>
        <w:t>Covid-19 izplatības laikā klātienes apmācības ir nomainījušas mācības attālināti ar mazākām izmaksām, kā a</w:t>
      </w:r>
      <w:r w:rsidR="00D53BAD">
        <w:rPr>
          <w:rFonts w:eastAsiaTheme="minorHAnsi"/>
          <w:szCs w:val="24"/>
          <w:lang w:val="lv-LV"/>
        </w:rPr>
        <w:t xml:space="preserve">rī piedāvātais apmācību klāsts </w:t>
      </w:r>
      <w:r w:rsidRPr="00D53BAD">
        <w:rPr>
          <w:rFonts w:eastAsiaTheme="minorHAnsi"/>
          <w:szCs w:val="24"/>
          <w:lang w:val="lv-LV"/>
        </w:rPr>
        <w:t xml:space="preserve">nav tik plašs (25,0 tūkst. </w:t>
      </w:r>
      <w:r w:rsidRPr="00D53BAD">
        <w:rPr>
          <w:rFonts w:eastAsiaTheme="minorHAnsi"/>
          <w:i/>
          <w:szCs w:val="24"/>
          <w:lang w:val="lv-LV"/>
        </w:rPr>
        <w:t>euro</w:t>
      </w:r>
      <w:r w:rsidRPr="00D53BAD">
        <w:rPr>
          <w:rFonts w:eastAsiaTheme="minorHAnsi"/>
          <w:szCs w:val="24"/>
          <w:lang w:val="lv-LV"/>
        </w:rPr>
        <w:t>);</w:t>
      </w:r>
    </w:p>
    <w:p w14:paraId="1E1C96FB" w14:textId="77777777" w:rsidR="00D53BAD" w:rsidRDefault="00B65E28" w:rsidP="00D53BAD">
      <w:pPr>
        <w:pStyle w:val="ListParagraph"/>
        <w:numPr>
          <w:ilvl w:val="0"/>
          <w:numId w:val="55"/>
        </w:numPr>
        <w:spacing w:before="120"/>
        <w:contextualSpacing w:val="0"/>
        <w:rPr>
          <w:rFonts w:eastAsiaTheme="minorHAnsi"/>
          <w:szCs w:val="24"/>
          <w:lang w:val="lv-LV"/>
        </w:rPr>
      </w:pPr>
      <w:r w:rsidRPr="00D53BAD">
        <w:rPr>
          <w:rFonts w:eastAsiaTheme="minorHAnsi"/>
          <w:szCs w:val="24"/>
          <w:lang w:val="lv-LV"/>
        </w:rPr>
        <w:t xml:space="preserve">sakarā ar e-receptes ieviešanu, samazinājies pieprasījums pēc recepšu papīra veidlapām (19,4 tūkst. </w:t>
      </w:r>
      <w:r w:rsidRPr="00D53BAD">
        <w:rPr>
          <w:rFonts w:eastAsiaTheme="minorHAnsi"/>
          <w:i/>
          <w:szCs w:val="24"/>
          <w:lang w:val="lv-LV"/>
        </w:rPr>
        <w:t>euro</w:t>
      </w:r>
      <w:r w:rsidRPr="00D53BAD">
        <w:rPr>
          <w:rFonts w:eastAsiaTheme="minorHAnsi"/>
          <w:szCs w:val="24"/>
          <w:lang w:val="lv-LV"/>
        </w:rPr>
        <w:t>);</w:t>
      </w:r>
    </w:p>
    <w:p w14:paraId="6FD6D253" w14:textId="054FA255" w:rsidR="00D53BAD" w:rsidRDefault="00D53BAD" w:rsidP="00D53BAD">
      <w:pPr>
        <w:pStyle w:val="ListParagraph"/>
        <w:numPr>
          <w:ilvl w:val="0"/>
          <w:numId w:val="55"/>
        </w:numPr>
        <w:spacing w:before="120"/>
        <w:contextualSpacing w:val="0"/>
        <w:rPr>
          <w:rFonts w:eastAsiaTheme="minorHAnsi"/>
          <w:szCs w:val="24"/>
          <w:lang w:val="lv-LV"/>
        </w:rPr>
      </w:pPr>
      <w:r>
        <w:rPr>
          <w:rFonts w:eastAsiaTheme="minorHAnsi"/>
          <w:szCs w:val="24"/>
          <w:lang w:val="lv-LV"/>
        </w:rPr>
        <w:t>EVAK karšu izgatavošanai</w:t>
      </w:r>
      <w:r w:rsidR="00B65E28" w:rsidRPr="00D53BAD">
        <w:rPr>
          <w:rFonts w:eastAsiaTheme="minorHAnsi"/>
          <w:szCs w:val="24"/>
          <w:lang w:val="lv-LV"/>
        </w:rPr>
        <w:t xml:space="preserve"> Covid-19 infekcijas izplatības ietekmē  samazinājies pieprasījums (28,8 tūkst. </w:t>
      </w:r>
      <w:r w:rsidR="00B65E28" w:rsidRPr="00D53BAD">
        <w:rPr>
          <w:rFonts w:eastAsiaTheme="minorHAnsi"/>
          <w:i/>
          <w:szCs w:val="24"/>
          <w:lang w:val="lv-LV"/>
        </w:rPr>
        <w:t>euro</w:t>
      </w:r>
      <w:r w:rsidR="00B65E28" w:rsidRPr="00D53BAD">
        <w:rPr>
          <w:rFonts w:eastAsiaTheme="minorHAnsi"/>
          <w:szCs w:val="24"/>
          <w:lang w:val="lv-LV"/>
        </w:rPr>
        <w:t xml:space="preserve">);  </w:t>
      </w:r>
    </w:p>
    <w:p w14:paraId="75033618" w14:textId="77777777" w:rsidR="00D53BAD" w:rsidRDefault="00D53BAD" w:rsidP="00D53BAD">
      <w:pPr>
        <w:pStyle w:val="ListParagraph"/>
        <w:numPr>
          <w:ilvl w:val="0"/>
          <w:numId w:val="55"/>
        </w:numPr>
        <w:spacing w:before="120"/>
        <w:contextualSpacing w:val="0"/>
        <w:rPr>
          <w:rFonts w:eastAsiaTheme="minorHAnsi"/>
          <w:szCs w:val="24"/>
          <w:lang w:val="lv-LV"/>
        </w:rPr>
      </w:pPr>
      <w:r>
        <w:rPr>
          <w:rFonts w:eastAsiaTheme="minorHAnsi"/>
          <w:szCs w:val="24"/>
          <w:lang w:val="lv-LV"/>
        </w:rPr>
        <w:lastRenderedPageBreak/>
        <w:t>komandējumu izdevumi p</w:t>
      </w:r>
      <w:r w:rsidR="00B65E28" w:rsidRPr="00D53BAD">
        <w:rPr>
          <w:rFonts w:eastAsiaTheme="minorHAnsi"/>
          <w:szCs w:val="24"/>
          <w:lang w:val="lv-LV"/>
        </w:rPr>
        <w:t>eriodā pirms Covid</w:t>
      </w:r>
      <w:r>
        <w:rPr>
          <w:rFonts w:eastAsiaTheme="minorHAnsi"/>
          <w:szCs w:val="24"/>
          <w:lang w:val="lv-LV"/>
        </w:rPr>
        <w:t>-</w:t>
      </w:r>
      <w:r w:rsidR="00B65E28" w:rsidRPr="00D53BAD">
        <w:rPr>
          <w:rFonts w:eastAsiaTheme="minorHAnsi"/>
          <w:szCs w:val="24"/>
          <w:lang w:val="lv-LV"/>
        </w:rPr>
        <w:t xml:space="preserve">19 infekcijas izplatības </w:t>
      </w:r>
      <w:r>
        <w:rPr>
          <w:rFonts w:eastAsiaTheme="minorHAnsi"/>
          <w:szCs w:val="24"/>
          <w:lang w:val="lv-LV"/>
        </w:rPr>
        <w:t>NVD</w:t>
      </w:r>
      <w:r w:rsidR="00B65E28" w:rsidRPr="00D53BAD">
        <w:rPr>
          <w:rFonts w:eastAsiaTheme="minorHAnsi"/>
          <w:szCs w:val="24"/>
          <w:lang w:val="lv-LV"/>
        </w:rPr>
        <w:t xml:space="preserve"> bija  ap </w:t>
      </w:r>
      <w:r>
        <w:rPr>
          <w:rFonts w:eastAsiaTheme="minorHAnsi"/>
          <w:szCs w:val="24"/>
          <w:lang w:val="lv-LV"/>
        </w:rPr>
        <w:t xml:space="preserve">50 tūkst. </w:t>
      </w:r>
      <w:r w:rsidRPr="00D53BAD">
        <w:rPr>
          <w:rFonts w:eastAsiaTheme="minorHAnsi"/>
          <w:i/>
          <w:szCs w:val="24"/>
          <w:lang w:val="lv-LV"/>
        </w:rPr>
        <w:t>euro</w:t>
      </w:r>
      <w:r>
        <w:rPr>
          <w:rFonts w:eastAsiaTheme="minorHAnsi"/>
          <w:szCs w:val="24"/>
          <w:lang w:val="lv-LV"/>
        </w:rPr>
        <w:t>. Covid-</w:t>
      </w:r>
      <w:r w:rsidR="00B65E28" w:rsidRPr="00D53BAD">
        <w:rPr>
          <w:rFonts w:eastAsiaTheme="minorHAnsi"/>
          <w:szCs w:val="24"/>
          <w:lang w:val="lv-LV"/>
        </w:rPr>
        <w:t>19 infekcijas izplatī</w:t>
      </w:r>
      <w:r>
        <w:rPr>
          <w:rFonts w:eastAsiaTheme="minorHAnsi"/>
          <w:szCs w:val="24"/>
          <w:lang w:val="lv-LV"/>
        </w:rPr>
        <w:t>bas laikā komandējumu vairs nav</w:t>
      </w:r>
      <w:r w:rsidR="00B65E28" w:rsidRPr="00D53BAD">
        <w:rPr>
          <w:rFonts w:eastAsiaTheme="minorHAnsi"/>
          <w:szCs w:val="24"/>
          <w:lang w:val="lv-LV"/>
        </w:rPr>
        <w:t>, jo darba sanāksmes</w:t>
      </w:r>
      <w:r>
        <w:rPr>
          <w:rFonts w:eastAsiaTheme="minorHAnsi"/>
          <w:szCs w:val="24"/>
          <w:lang w:val="lv-LV"/>
        </w:rPr>
        <w:t xml:space="preserve">, t.sk. </w:t>
      </w:r>
      <w:r w:rsidR="00B65E28" w:rsidRPr="00D53BAD">
        <w:rPr>
          <w:rFonts w:eastAsiaTheme="minorHAnsi"/>
          <w:szCs w:val="24"/>
          <w:lang w:val="lv-LV"/>
        </w:rPr>
        <w:t xml:space="preserve">starpvalstu notiek attālināti (50,0 tūkst. </w:t>
      </w:r>
      <w:r w:rsidR="00B65E28" w:rsidRPr="00D53BAD">
        <w:rPr>
          <w:rFonts w:eastAsiaTheme="minorHAnsi"/>
          <w:i/>
          <w:szCs w:val="24"/>
          <w:lang w:val="lv-LV"/>
        </w:rPr>
        <w:t>euro</w:t>
      </w:r>
      <w:r w:rsidR="00B65E28" w:rsidRPr="00D53BAD">
        <w:rPr>
          <w:rFonts w:eastAsiaTheme="minorHAnsi"/>
          <w:szCs w:val="24"/>
          <w:lang w:val="lv-LV"/>
        </w:rPr>
        <w:t xml:space="preserve">);  </w:t>
      </w:r>
    </w:p>
    <w:p w14:paraId="6DD5A7D5" w14:textId="77777777" w:rsidR="00D53BAD" w:rsidRDefault="00B65E28" w:rsidP="00D53BAD">
      <w:pPr>
        <w:pStyle w:val="ListParagraph"/>
        <w:numPr>
          <w:ilvl w:val="0"/>
          <w:numId w:val="55"/>
        </w:numPr>
        <w:spacing w:before="120"/>
        <w:contextualSpacing w:val="0"/>
        <w:rPr>
          <w:rFonts w:eastAsiaTheme="minorHAnsi"/>
          <w:szCs w:val="24"/>
          <w:lang w:val="lv-LV"/>
        </w:rPr>
      </w:pPr>
      <w:r w:rsidRPr="00D53BAD">
        <w:rPr>
          <w:rFonts w:eastAsiaTheme="minorHAnsi"/>
          <w:szCs w:val="24"/>
          <w:lang w:val="lv-LV"/>
        </w:rPr>
        <w:t xml:space="preserve">biroja inventāra iegādei, jo saistībā ar attālinātu darba režīmu samazinājusies nepieciešamība biroja inventāra iegādei (10,0 tūkst. </w:t>
      </w:r>
      <w:r w:rsidRPr="00D53BAD">
        <w:rPr>
          <w:rFonts w:eastAsiaTheme="minorHAnsi"/>
          <w:i/>
          <w:szCs w:val="24"/>
          <w:lang w:val="lv-LV"/>
        </w:rPr>
        <w:t>euro</w:t>
      </w:r>
      <w:r w:rsidRPr="00D53BAD">
        <w:rPr>
          <w:rFonts w:eastAsiaTheme="minorHAnsi"/>
          <w:szCs w:val="24"/>
          <w:lang w:val="lv-LV"/>
        </w:rPr>
        <w:t xml:space="preserve">);  </w:t>
      </w:r>
    </w:p>
    <w:p w14:paraId="3EFAC68F" w14:textId="77777777" w:rsidR="00D53BAD" w:rsidRDefault="00B65E28" w:rsidP="00D53BAD">
      <w:pPr>
        <w:pStyle w:val="ListParagraph"/>
        <w:numPr>
          <w:ilvl w:val="0"/>
          <w:numId w:val="55"/>
        </w:numPr>
        <w:spacing w:before="120"/>
        <w:contextualSpacing w:val="0"/>
        <w:rPr>
          <w:rFonts w:eastAsiaTheme="minorHAnsi"/>
          <w:szCs w:val="24"/>
          <w:lang w:val="lv-LV"/>
        </w:rPr>
      </w:pPr>
      <w:r w:rsidRPr="00D53BAD">
        <w:rPr>
          <w:rFonts w:eastAsiaTheme="minorHAnsi"/>
          <w:szCs w:val="24"/>
          <w:lang w:val="lv-LV"/>
        </w:rPr>
        <w:t xml:space="preserve">iestāžu uzturēšanas materiāliem un precēm, jo saistībā ar attālinātu darba režīmu samazinājies  to patēriņš (5,0 tūkst. </w:t>
      </w:r>
      <w:r w:rsidRPr="00D53BAD">
        <w:rPr>
          <w:rFonts w:eastAsiaTheme="minorHAnsi"/>
          <w:i/>
          <w:szCs w:val="24"/>
          <w:lang w:val="lv-LV"/>
        </w:rPr>
        <w:t>euro</w:t>
      </w:r>
      <w:r w:rsidRPr="00D53BAD">
        <w:rPr>
          <w:rFonts w:eastAsiaTheme="minorHAnsi"/>
          <w:szCs w:val="24"/>
          <w:lang w:val="lv-LV"/>
        </w:rPr>
        <w:t xml:space="preserve">);  </w:t>
      </w:r>
    </w:p>
    <w:p w14:paraId="6CC6A724" w14:textId="5486F968" w:rsidR="00B65E28" w:rsidRDefault="00B65E28" w:rsidP="00D53BAD">
      <w:pPr>
        <w:pStyle w:val="ListParagraph"/>
        <w:numPr>
          <w:ilvl w:val="0"/>
          <w:numId w:val="55"/>
        </w:numPr>
        <w:spacing w:before="120"/>
        <w:contextualSpacing w:val="0"/>
        <w:rPr>
          <w:rFonts w:eastAsiaTheme="minorHAnsi"/>
          <w:szCs w:val="24"/>
          <w:lang w:val="lv-LV"/>
        </w:rPr>
      </w:pPr>
      <w:r w:rsidRPr="00D53BAD">
        <w:rPr>
          <w:rFonts w:eastAsiaTheme="minorHAnsi"/>
          <w:szCs w:val="24"/>
          <w:lang w:val="lv-LV"/>
        </w:rPr>
        <w:t xml:space="preserve">informācijas tehnoloģiju pakalpojumiem, tajā skaitā konsultācijām datu apstrādei un analīzei Excel vidē un izmaiņu pieprasījumu realizēšanai (35,4 tūkst. </w:t>
      </w:r>
      <w:r w:rsidRPr="00D53BAD">
        <w:rPr>
          <w:rFonts w:eastAsiaTheme="minorHAnsi"/>
          <w:i/>
          <w:szCs w:val="24"/>
          <w:lang w:val="lv-LV"/>
        </w:rPr>
        <w:t>euro</w:t>
      </w:r>
      <w:r w:rsidRPr="00D53BAD">
        <w:rPr>
          <w:rFonts w:eastAsiaTheme="minorHAnsi"/>
          <w:szCs w:val="24"/>
          <w:lang w:val="lv-LV"/>
        </w:rPr>
        <w:t>)</w:t>
      </w:r>
      <w:r w:rsidR="00D53BAD">
        <w:rPr>
          <w:rFonts w:eastAsiaTheme="minorHAnsi"/>
          <w:szCs w:val="24"/>
          <w:lang w:val="lv-LV"/>
        </w:rPr>
        <w:t>.</w:t>
      </w:r>
    </w:p>
    <w:p w14:paraId="36444CDB" w14:textId="77777777" w:rsidR="00D53BAD" w:rsidRDefault="00D53BAD" w:rsidP="00D53BAD">
      <w:pPr>
        <w:spacing w:before="120"/>
        <w:ind w:firstLine="720"/>
        <w:rPr>
          <w:rFonts w:eastAsiaTheme="minorHAnsi"/>
          <w:szCs w:val="24"/>
          <w:lang w:val="lv-LV"/>
        </w:rPr>
      </w:pPr>
      <w:r w:rsidRPr="00D53BAD">
        <w:rPr>
          <w:rFonts w:eastAsiaTheme="minorHAnsi"/>
          <w:szCs w:val="24"/>
          <w:lang w:val="lv-LV"/>
        </w:rPr>
        <w:t xml:space="preserve">Praktiski visi </w:t>
      </w:r>
      <w:r>
        <w:rPr>
          <w:rFonts w:eastAsiaTheme="minorHAnsi"/>
          <w:szCs w:val="24"/>
          <w:lang w:val="lv-LV"/>
        </w:rPr>
        <w:t>NVD</w:t>
      </w:r>
      <w:r w:rsidRPr="00D53BAD">
        <w:rPr>
          <w:rFonts w:eastAsiaTheme="minorHAnsi"/>
          <w:szCs w:val="24"/>
          <w:lang w:val="lv-LV"/>
        </w:rPr>
        <w:t xml:space="preserve"> darbinieki ir iesaistīti ar Covid-19 infekcijas izplatību saistīto jautājumu risināšanā, saistībā ar to ir pieaudzis darba apjoms un intensitāte. Turpinot strādāt </w:t>
      </w:r>
      <w:r>
        <w:rPr>
          <w:rFonts w:eastAsiaTheme="minorHAnsi"/>
          <w:szCs w:val="24"/>
          <w:lang w:val="lv-LV"/>
        </w:rPr>
        <w:t>šādā režīmā veidojas darbinieku</w:t>
      </w:r>
      <w:r w:rsidRPr="00D53BAD">
        <w:rPr>
          <w:rFonts w:eastAsiaTheme="minorHAnsi"/>
          <w:szCs w:val="24"/>
          <w:lang w:val="lv-LV"/>
        </w:rPr>
        <w:t xml:space="preserve"> “izdegšana”, pieaug personāla mainība, turklāt darbu uzsaka pieredzējuši darbinieki. </w:t>
      </w:r>
      <w:r>
        <w:rPr>
          <w:rFonts w:eastAsiaTheme="minorHAnsi"/>
          <w:szCs w:val="24"/>
          <w:lang w:val="lv-LV"/>
        </w:rPr>
        <w:t>NVD</w:t>
      </w:r>
      <w:r w:rsidRPr="00D53BAD">
        <w:rPr>
          <w:rFonts w:eastAsiaTheme="minorHAnsi"/>
          <w:szCs w:val="24"/>
          <w:lang w:val="lv-LV"/>
        </w:rPr>
        <w:t xml:space="preserve"> ir spiests tērēt resursu  jaunu darbinieku atrašanai un apmācīšanai. 2020.</w:t>
      </w:r>
      <w:r>
        <w:rPr>
          <w:rFonts w:eastAsiaTheme="minorHAnsi"/>
          <w:szCs w:val="24"/>
          <w:lang w:val="lv-LV"/>
        </w:rPr>
        <w:t xml:space="preserve"> </w:t>
      </w:r>
      <w:r w:rsidRPr="00D53BAD">
        <w:rPr>
          <w:rFonts w:eastAsiaTheme="minorHAnsi"/>
          <w:szCs w:val="24"/>
          <w:lang w:val="lv-LV"/>
        </w:rPr>
        <w:t>gadā darb</w:t>
      </w:r>
      <w:r>
        <w:rPr>
          <w:rFonts w:eastAsiaTheme="minorHAnsi"/>
          <w:szCs w:val="24"/>
          <w:lang w:val="lv-LV"/>
        </w:rPr>
        <w:t xml:space="preserve">a sludinājumiem bija iztērēti 4,1 tūkst. </w:t>
      </w:r>
      <w:r w:rsidRPr="00D53BAD">
        <w:rPr>
          <w:rFonts w:eastAsiaTheme="minorHAnsi"/>
          <w:i/>
          <w:szCs w:val="24"/>
          <w:lang w:val="lv-LV"/>
        </w:rPr>
        <w:t>euro</w:t>
      </w:r>
      <w:r w:rsidRPr="00D53BAD">
        <w:rPr>
          <w:rFonts w:eastAsiaTheme="minorHAnsi"/>
          <w:szCs w:val="24"/>
          <w:lang w:val="lv-LV"/>
        </w:rPr>
        <w:t>, bet laikā līdz 2021.</w:t>
      </w:r>
      <w:r>
        <w:rPr>
          <w:rFonts w:eastAsiaTheme="minorHAnsi"/>
          <w:szCs w:val="24"/>
          <w:lang w:val="lv-LV"/>
        </w:rPr>
        <w:t xml:space="preserve"> </w:t>
      </w:r>
      <w:r w:rsidRPr="00D53BAD">
        <w:rPr>
          <w:rFonts w:eastAsiaTheme="minorHAnsi"/>
          <w:szCs w:val="24"/>
          <w:lang w:val="lv-LV"/>
        </w:rPr>
        <w:t>gada 15.</w:t>
      </w:r>
      <w:r>
        <w:rPr>
          <w:rFonts w:eastAsiaTheme="minorHAnsi"/>
          <w:szCs w:val="24"/>
          <w:lang w:val="lv-LV"/>
        </w:rPr>
        <w:t xml:space="preserve"> </w:t>
      </w:r>
      <w:r w:rsidRPr="00D53BAD">
        <w:rPr>
          <w:rFonts w:eastAsiaTheme="minorHAnsi"/>
          <w:szCs w:val="24"/>
          <w:lang w:val="lv-LV"/>
        </w:rPr>
        <w:t>augustam izdevumi par darba sludinājumiem jau sasnieguši 4</w:t>
      </w:r>
      <w:r>
        <w:rPr>
          <w:rFonts w:eastAsiaTheme="minorHAnsi"/>
          <w:szCs w:val="24"/>
          <w:lang w:val="lv-LV"/>
        </w:rPr>
        <w:t xml:space="preserve">,7 tūkst. </w:t>
      </w:r>
      <w:r w:rsidRPr="00D53BAD">
        <w:rPr>
          <w:rFonts w:eastAsiaTheme="minorHAnsi"/>
          <w:i/>
          <w:szCs w:val="24"/>
          <w:lang w:val="lv-LV"/>
        </w:rPr>
        <w:t>euro</w:t>
      </w:r>
      <w:r w:rsidRPr="00D53BAD">
        <w:rPr>
          <w:rFonts w:eastAsiaTheme="minorHAnsi"/>
          <w:szCs w:val="24"/>
          <w:lang w:val="lv-LV"/>
        </w:rPr>
        <w:t>. 2020.</w:t>
      </w:r>
      <w:r>
        <w:rPr>
          <w:rFonts w:eastAsiaTheme="minorHAnsi"/>
          <w:szCs w:val="24"/>
          <w:lang w:val="lv-LV"/>
        </w:rPr>
        <w:t xml:space="preserve"> </w:t>
      </w:r>
      <w:r w:rsidRPr="00D53BAD">
        <w:rPr>
          <w:rFonts w:eastAsiaTheme="minorHAnsi"/>
          <w:szCs w:val="24"/>
          <w:lang w:val="lv-LV"/>
        </w:rPr>
        <w:t xml:space="preserve">gadā </w:t>
      </w:r>
      <w:r>
        <w:rPr>
          <w:rFonts w:eastAsiaTheme="minorHAnsi"/>
          <w:szCs w:val="24"/>
          <w:lang w:val="lv-LV"/>
        </w:rPr>
        <w:t>NVD</w:t>
      </w:r>
      <w:r w:rsidRPr="00D53BAD">
        <w:rPr>
          <w:rFonts w:eastAsiaTheme="minorHAnsi"/>
          <w:szCs w:val="24"/>
          <w:lang w:val="lv-LV"/>
        </w:rPr>
        <w:t xml:space="preserve"> darba attiecības izbeidza 35 darbinieki, bet 2021.</w:t>
      </w:r>
      <w:r>
        <w:rPr>
          <w:rFonts w:eastAsiaTheme="minorHAnsi"/>
          <w:szCs w:val="24"/>
          <w:lang w:val="lv-LV"/>
        </w:rPr>
        <w:t xml:space="preserve"> </w:t>
      </w:r>
      <w:r w:rsidRPr="00D53BAD">
        <w:rPr>
          <w:rFonts w:eastAsiaTheme="minorHAnsi"/>
          <w:szCs w:val="24"/>
          <w:lang w:val="lv-LV"/>
        </w:rPr>
        <w:t>gadā laikā līdz 15.</w:t>
      </w:r>
      <w:r>
        <w:rPr>
          <w:rFonts w:eastAsiaTheme="minorHAnsi"/>
          <w:szCs w:val="24"/>
          <w:lang w:val="lv-LV"/>
        </w:rPr>
        <w:t xml:space="preserve"> </w:t>
      </w:r>
      <w:r w:rsidRPr="00D53BAD">
        <w:rPr>
          <w:rFonts w:eastAsiaTheme="minorHAnsi"/>
          <w:szCs w:val="24"/>
          <w:lang w:val="lv-LV"/>
        </w:rPr>
        <w:t>augustam</w:t>
      </w:r>
      <w:r>
        <w:rPr>
          <w:rFonts w:eastAsiaTheme="minorHAnsi"/>
          <w:szCs w:val="24"/>
          <w:lang w:val="lv-LV"/>
        </w:rPr>
        <w:t xml:space="preserve"> darba attiecības ir izbeiguši </w:t>
      </w:r>
      <w:r w:rsidRPr="00D53BAD">
        <w:rPr>
          <w:rFonts w:eastAsiaTheme="minorHAnsi"/>
          <w:szCs w:val="24"/>
          <w:lang w:val="lv-LV"/>
        </w:rPr>
        <w:t>33 darbinieki. Personāla mainības līmenis 2020.</w:t>
      </w:r>
      <w:r>
        <w:rPr>
          <w:rFonts w:eastAsiaTheme="minorHAnsi"/>
          <w:szCs w:val="24"/>
          <w:lang w:val="lv-LV"/>
        </w:rPr>
        <w:t xml:space="preserve"> </w:t>
      </w:r>
      <w:r w:rsidRPr="00D53BAD">
        <w:rPr>
          <w:rFonts w:eastAsiaTheme="minorHAnsi"/>
          <w:szCs w:val="24"/>
          <w:lang w:val="lv-LV"/>
        </w:rPr>
        <w:t>gadā bija 16% un 2021.</w:t>
      </w:r>
      <w:r>
        <w:rPr>
          <w:rFonts w:eastAsiaTheme="minorHAnsi"/>
          <w:szCs w:val="24"/>
          <w:lang w:val="lv-LV"/>
        </w:rPr>
        <w:t xml:space="preserve"> </w:t>
      </w:r>
      <w:r w:rsidRPr="00D53BAD">
        <w:rPr>
          <w:rFonts w:eastAsiaTheme="minorHAnsi"/>
          <w:szCs w:val="24"/>
          <w:lang w:val="lv-LV"/>
        </w:rPr>
        <w:t>gada 7 mēnešos tas ir sasniedzis 14%.</w:t>
      </w:r>
    </w:p>
    <w:p w14:paraId="591AFA46" w14:textId="3969D91F" w:rsidR="00D53BAD" w:rsidRDefault="00D53BAD" w:rsidP="00D53BAD">
      <w:pPr>
        <w:spacing w:before="120"/>
        <w:ind w:firstLine="720"/>
        <w:rPr>
          <w:rFonts w:eastAsiaTheme="minorHAnsi"/>
          <w:szCs w:val="24"/>
          <w:lang w:val="lv-LV"/>
        </w:rPr>
      </w:pPr>
      <w:r w:rsidRPr="00D53BAD">
        <w:rPr>
          <w:rFonts w:eastAsiaTheme="minorHAnsi"/>
          <w:szCs w:val="24"/>
          <w:lang w:val="lv-LV"/>
        </w:rPr>
        <w:t>Aprēķinā piemērotais apmērs piemaksai ir 5%,  ņemot vērā, ka ir pieaudzis darba apjoms un intensitāte. Izdev</w:t>
      </w:r>
      <w:r>
        <w:rPr>
          <w:rFonts w:eastAsiaTheme="minorHAnsi"/>
          <w:szCs w:val="24"/>
          <w:lang w:val="lv-LV"/>
        </w:rPr>
        <w:t xml:space="preserve">umi atlīdzībai var sasniegt 210,1 tūkst. </w:t>
      </w:r>
      <w:r w:rsidRPr="00D53BAD">
        <w:rPr>
          <w:rFonts w:eastAsiaTheme="minorHAnsi"/>
          <w:i/>
          <w:szCs w:val="24"/>
          <w:lang w:val="lv-LV"/>
        </w:rPr>
        <w:t>euro</w:t>
      </w:r>
      <w:r w:rsidRPr="00D53BAD">
        <w:rPr>
          <w:rFonts w:eastAsiaTheme="minorHAnsi"/>
          <w:szCs w:val="24"/>
          <w:lang w:val="lv-LV"/>
        </w:rPr>
        <w:t xml:space="preserve"> gadā</w:t>
      </w:r>
      <w:r>
        <w:rPr>
          <w:rFonts w:eastAsiaTheme="minorHAnsi"/>
          <w:szCs w:val="24"/>
          <w:lang w:val="lv-LV"/>
        </w:rPr>
        <w:t>.</w:t>
      </w:r>
    </w:p>
    <w:tbl>
      <w:tblPr>
        <w:tblStyle w:val="TableGrid1"/>
        <w:tblW w:w="0" w:type="auto"/>
        <w:jc w:val="center"/>
        <w:tblLook w:val="04A0" w:firstRow="1" w:lastRow="0" w:firstColumn="1" w:lastColumn="0" w:noHBand="0" w:noVBand="1"/>
      </w:tblPr>
      <w:tblGrid>
        <w:gridCol w:w="709"/>
        <w:gridCol w:w="1129"/>
        <w:gridCol w:w="696"/>
        <w:gridCol w:w="1005"/>
        <w:gridCol w:w="709"/>
        <w:gridCol w:w="1276"/>
      </w:tblGrid>
      <w:tr w:rsidR="00D53BAD" w:rsidRPr="00CE0303" w14:paraId="3BFA9634" w14:textId="77777777" w:rsidTr="002C24FA">
        <w:trPr>
          <w:jc w:val="center"/>
        </w:trPr>
        <w:tc>
          <w:tcPr>
            <w:tcW w:w="709" w:type="dxa"/>
            <w:shd w:val="clear" w:color="auto" w:fill="92D050"/>
            <w:vAlign w:val="center"/>
          </w:tcPr>
          <w:p w14:paraId="54421502" w14:textId="77777777" w:rsidR="00D53BAD" w:rsidRPr="00CE0303" w:rsidRDefault="00D53BAD" w:rsidP="002C24FA">
            <w:pPr>
              <w:spacing w:after="0"/>
              <w:jc w:val="center"/>
              <w:rPr>
                <w:rFonts w:eastAsiaTheme="minorHAnsi"/>
                <w:lang w:val="lv-LV"/>
              </w:rPr>
            </w:pPr>
            <w:r w:rsidRPr="00CE0303">
              <w:rPr>
                <w:rFonts w:eastAsiaTheme="minorHAnsi"/>
                <w:lang w:val="lv-LV"/>
              </w:rPr>
              <w:t>2022</w:t>
            </w:r>
          </w:p>
        </w:tc>
        <w:tc>
          <w:tcPr>
            <w:tcW w:w="1129" w:type="dxa"/>
            <w:vAlign w:val="center"/>
          </w:tcPr>
          <w:p w14:paraId="062CCAB7" w14:textId="7B2D3900" w:rsidR="00D53BAD" w:rsidRPr="00CE0303" w:rsidRDefault="00D53BAD" w:rsidP="002C24FA">
            <w:pPr>
              <w:spacing w:after="0"/>
              <w:jc w:val="center"/>
              <w:rPr>
                <w:rFonts w:eastAsiaTheme="minorHAnsi"/>
                <w:lang w:val="lv-LV"/>
              </w:rPr>
            </w:pPr>
            <w:r w:rsidRPr="00D53BAD">
              <w:rPr>
                <w:rFonts w:eastAsiaTheme="minorHAnsi"/>
                <w:lang w:val="lv-LV"/>
              </w:rPr>
              <w:t>210 070</w:t>
            </w:r>
          </w:p>
        </w:tc>
        <w:tc>
          <w:tcPr>
            <w:tcW w:w="696" w:type="dxa"/>
            <w:shd w:val="clear" w:color="auto" w:fill="92D050"/>
            <w:vAlign w:val="center"/>
          </w:tcPr>
          <w:p w14:paraId="7F6991EA" w14:textId="77777777" w:rsidR="00D53BAD" w:rsidRPr="00CE0303" w:rsidRDefault="00D53BAD" w:rsidP="002C24FA">
            <w:pPr>
              <w:spacing w:after="0"/>
              <w:jc w:val="center"/>
              <w:rPr>
                <w:rFonts w:eastAsiaTheme="minorHAnsi"/>
                <w:lang w:val="lv-LV"/>
              </w:rPr>
            </w:pPr>
            <w:r w:rsidRPr="00CE0303">
              <w:rPr>
                <w:rFonts w:eastAsiaTheme="minorHAnsi"/>
                <w:lang w:val="lv-LV"/>
              </w:rPr>
              <w:t>2023</w:t>
            </w:r>
          </w:p>
        </w:tc>
        <w:tc>
          <w:tcPr>
            <w:tcW w:w="1005" w:type="dxa"/>
            <w:vAlign w:val="center"/>
          </w:tcPr>
          <w:p w14:paraId="100FAA22" w14:textId="76EDF789" w:rsidR="00D53BAD" w:rsidRPr="00CE0303" w:rsidRDefault="00D53BAD" w:rsidP="002C24FA">
            <w:pPr>
              <w:spacing w:after="0"/>
              <w:jc w:val="center"/>
              <w:rPr>
                <w:rFonts w:eastAsiaTheme="minorHAnsi"/>
                <w:lang w:val="lv-LV"/>
              </w:rPr>
            </w:pPr>
            <w:r w:rsidRPr="00D53BAD">
              <w:rPr>
                <w:rFonts w:eastAsiaTheme="minorHAnsi"/>
                <w:lang w:val="lv-LV"/>
              </w:rPr>
              <w:t>210 070</w:t>
            </w:r>
          </w:p>
        </w:tc>
        <w:tc>
          <w:tcPr>
            <w:tcW w:w="709" w:type="dxa"/>
            <w:shd w:val="clear" w:color="auto" w:fill="92D050"/>
            <w:vAlign w:val="center"/>
          </w:tcPr>
          <w:p w14:paraId="43FE9206" w14:textId="77777777" w:rsidR="00D53BAD" w:rsidRPr="00CE0303" w:rsidRDefault="00D53BAD" w:rsidP="002C24FA">
            <w:pPr>
              <w:spacing w:after="0"/>
              <w:jc w:val="center"/>
              <w:rPr>
                <w:rFonts w:eastAsiaTheme="minorHAnsi"/>
                <w:lang w:val="lv-LV"/>
              </w:rPr>
            </w:pPr>
            <w:r w:rsidRPr="00CE0303">
              <w:rPr>
                <w:rFonts w:eastAsiaTheme="minorHAnsi"/>
                <w:lang w:val="lv-LV"/>
              </w:rPr>
              <w:t>2024</w:t>
            </w:r>
          </w:p>
        </w:tc>
        <w:tc>
          <w:tcPr>
            <w:tcW w:w="1276" w:type="dxa"/>
            <w:vAlign w:val="center"/>
          </w:tcPr>
          <w:p w14:paraId="1834C873" w14:textId="4A8A0201" w:rsidR="00D53BAD" w:rsidRPr="00B232B5" w:rsidRDefault="00D53BAD" w:rsidP="002C24FA">
            <w:pPr>
              <w:pStyle w:val="ListParagraph"/>
              <w:spacing w:after="0"/>
              <w:ind w:left="314"/>
              <w:jc w:val="left"/>
              <w:rPr>
                <w:rFonts w:eastAsiaTheme="minorHAnsi"/>
                <w:lang w:val="lv-LV"/>
              </w:rPr>
            </w:pPr>
            <w:r>
              <w:rPr>
                <w:rFonts w:eastAsiaTheme="minorHAnsi"/>
                <w:lang w:val="lv-LV"/>
              </w:rPr>
              <w:t>0</w:t>
            </w:r>
          </w:p>
        </w:tc>
      </w:tr>
    </w:tbl>
    <w:p w14:paraId="138FD8F8" w14:textId="77777777" w:rsidR="009D468E" w:rsidRDefault="009D468E" w:rsidP="00CE0303">
      <w:pPr>
        <w:ind w:firstLine="720"/>
        <w:rPr>
          <w:rFonts w:eastAsiaTheme="minorHAnsi"/>
          <w:b/>
          <w:lang w:val="lv-LV"/>
        </w:rPr>
      </w:pPr>
    </w:p>
    <w:p w14:paraId="05CD9A92" w14:textId="06480260" w:rsidR="00CE0303" w:rsidRPr="00CE0303" w:rsidRDefault="00CE0303" w:rsidP="00CE0303">
      <w:pPr>
        <w:ind w:firstLine="720"/>
        <w:rPr>
          <w:rFonts w:eastAsiaTheme="minorHAnsi"/>
          <w:b/>
          <w:lang w:val="lv-LV"/>
        </w:rPr>
      </w:pPr>
      <w:r w:rsidRPr="00CE0303">
        <w:rPr>
          <w:rFonts w:eastAsiaTheme="minorHAnsi"/>
          <w:b/>
          <w:lang w:val="lv-LV"/>
        </w:rPr>
        <w:t>Zemkopības ministrija</w:t>
      </w:r>
    </w:p>
    <w:p w14:paraId="5A171242" w14:textId="126CF998" w:rsidR="00B84B1E" w:rsidRPr="008C7427" w:rsidRDefault="00CE0303" w:rsidP="008C7427">
      <w:pPr>
        <w:ind w:firstLine="720"/>
        <w:rPr>
          <w:rFonts w:eastAsiaTheme="minorHAnsi" w:cs="Times New Roman"/>
          <w:bCs/>
          <w:szCs w:val="24"/>
          <w:lang w:val="lv-LV"/>
        </w:rPr>
      </w:pPr>
      <w:r w:rsidRPr="00CE0303">
        <w:rPr>
          <w:rFonts w:eastAsiaTheme="minorHAnsi" w:cs="Times New Roman"/>
          <w:szCs w:val="24"/>
          <w:lang w:val="lv-LV"/>
        </w:rPr>
        <w:t xml:space="preserve">Veicot ZM pamatbudžeta analīzi, konstatēts, ka laika periodā no 2018. līdz 2020. gadam izdevumu neizpilde vērojama apakšprogrammā 21.02.00 “Sabiedriskā finansējuma administrēšana un valsts uzraudzība lauksaimniecībā”, veidojot </w:t>
      </w:r>
      <w:r w:rsidRPr="00CE0303">
        <w:rPr>
          <w:rFonts w:eastAsiaTheme="minorHAnsi" w:cs="Times New Roman"/>
          <w:bCs/>
          <w:szCs w:val="24"/>
          <w:lang w:val="lv-LV"/>
        </w:rPr>
        <w:t>trīs gadu periodā izdevumu ne</w:t>
      </w:r>
      <w:r w:rsidR="006F76FD">
        <w:rPr>
          <w:rFonts w:eastAsiaTheme="minorHAnsi" w:cs="Times New Roman"/>
          <w:bCs/>
          <w:szCs w:val="24"/>
          <w:lang w:val="lv-LV"/>
        </w:rPr>
        <w:t xml:space="preserve">izpildi </w:t>
      </w:r>
      <w:r w:rsidRPr="00CE0303">
        <w:rPr>
          <w:rFonts w:eastAsiaTheme="minorHAnsi" w:cs="Times New Roman"/>
          <w:bCs/>
          <w:szCs w:val="24"/>
          <w:lang w:val="lv-LV"/>
        </w:rPr>
        <w:t xml:space="preserve">vidēji gadā 604,5 tūkst. </w:t>
      </w:r>
      <w:r w:rsidRPr="00CE0303">
        <w:rPr>
          <w:rFonts w:eastAsiaTheme="minorHAnsi" w:cs="Times New Roman"/>
          <w:bCs/>
          <w:i/>
          <w:szCs w:val="24"/>
          <w:lang w:val="lv-LV"/>
        </w:rPr>
        <w:t>euro</w:t>
      </w:r>
      <w:r w:rsidR="008C7427">
        <w:rPr>
          <w:rFonts w:eastAsiaTheme="minorHAnsi" w:cs="Times New Roman"/>
          <w:bCs/>
          <w:szCs w:val="24"/>
          <w:lang w:val="lv-LV"/>
        </w:rPr>
        <w:t xml:space="preserve"> apmērā.</w:t>
      </w:r>
    </w:p>
    <w:p w14:paraId="575DEC69" w14:textId="49EB11CF" w:rsidR="00CE0303" w:rsidRPr="00CE0303" w:rsidRDefault="00CE0303" w:rsidP="00CE0303">
      <w:pPr>
        <w:jc w:val="center"/>
        <w:rPr>
          <w:rFonts w:eastAsiaTheme="minorHAnsi" w:cs="Times New Roman"/>
          <w:b/>
          <w:bCs/>
          <w:lang w:val="lv-LV"/>
        </w:rPr>
      </w:pPr>
      <w:r w:rsidRPr="00CE0303">
        <w:rPr>
          <w:rFonts w:eastAsiaTheme="minorHAnsi" w:cs="Times New Roman"/>
          <w:b/>
          <w:bCs/>
          <w:i/>
          <w:iCs/>
          <w:lang w:val="lv-LV"/>
        </w:rPr>
        <w:t>2.2.28. attēls</w:t>
      </w:r>
      <w:r w:rsidRPr="00CE0303">
        <w:rPr>
          <w:rFonts w:eastAsiaTheme="minorHAnsi" w:cs="Times New Roman"/>
          <w:b/>
          <w:bCs/>
          <w:lang w:val="lv-LV"/>
        </w:rPr>
        <w:t xml:space="preserve"> Apakšprogrammas 21.02.00 “Sabiedriskā finansējuma administrēšana un valsts uzraudzība lauksaimniecībā” izdevumu analīze (milj. </w:t>
      </w:r>
      <w:r w:rsidRPr="00CE0303">
        <w:rPr>
          <w:rFonts w:eastAsiaTheme="minorHAnsi" w:cs="Times New Roman"/>
          <w:b/>
          <w:bCs/>
          <w:i/>
          <w:iCs/>
          <w:lang w:val="lv-LV"/>
        </w:rPr>
        <w:t>euro</w:t>
      </w:r>
      <w:r w:rsidRPr="00CE0303">
        <w:rPr>
          <w:rFonts w:eastAsiaTheme="minorHAnsi" w:cs="Times New Roman"/>
          <w:b/>
          <w:bCs/>
          <w:lang w:val="lv-LV"/>
        </w:rPr>
        <w:t>)</w:t>
      </w:r>
    </w:p>
    <w:p w14:paraId="4943508F" w14:textId="77777777" w:rsidR="00CE0303" w:rsidRPr="00CE0303" w:rsidRDefault="00CE0303" w:rsidP="00CE0303">
      <w:pPr>
        <w:jc w:val="center"/>
        <w:rPr>
          <w:rFonts w:eastAsiaTheme="minorHAnsi" w:cs="Times New Roman"/>
          <w:noProof/>
          <w:szCs w:val="24"/>
          <w:lang w:val="lv-LV"/>
        </w:rPr>
      </w:pPr>
      <w:r w:rsidRPr="00CE0303">
        <w:rPr>
          <w:rFonts w:eastAsiaTheme="minorHAnsi" w:cs="Times New Roman"/>
          <w:noProof/>
          <w:szCs w:val="24"/>
          <w:lang w:val="lv-LV" w:eastAsia="lv-LV"/>
        </w:rPr>
        <w:drawing>
          <wp:inline distT="0" distB="0" distL="0" distR="0" wp14:anchorId="133E48BF" wp14:editId="577985F3">
            <wp:extent cx="5007935" cy="2052084"/>
            <wp:effectExtent l="0" t="0" r="2540" b="5715"/>
            <wp:docPr id="2268" name="Chart 2268">
              <a:extLst xmlns:a="http://schemas.openxmlformats.org/drawingml/2006/main">
                <a:ext uri="{FF2B5EF4-FFF2-40B4-BE49-F238E27FC236}">
                  <a16:creationId xmlns:a16="http://schemas.microsoft.com/office/drawing/2014/main" id="{793AA1E3-31A5-4209-8B05-0ED718CB7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67664AD" w14:textId="3DA6D3BD" w:rsidR="00CE0303" w:rsidRPr="00CE0303" w:rsidRDefault="00CE0303" w:rsidP="00CE0303">
      <w:pPr>
        <w:ind w:firstLine="720"/>
        <w:rPr>
          <w:rFonts w:eastAsiaTheme="minorHAnsi" w:cs="Times New Roman"/>
          <w:szCs w:val="24"/>
          <w:lang w:val="lv-LV"/>
        </w:rPr>
      </w:pPr>
      <w:r w:rsidRPr="00CE0303">
        <w:rPr>
          <w:rFonts w:eastAsiaTheme="minorHAnsi" w:cs="Times New Roman"/>
          <w:szCs w:val="24"/>
          <w:lang w:val="lv-LV"/>
        </w:rPr>
        <w:t>ZM norāda, ka neizpilde pamatā ir izveidojusies no VTUA un LDC maksas pakalpojumu un citu pašu ieņēmumu neizpildes. Vienlaikus ZM uzsver, ka</w:t>
      </w:r>
      <w:r w:rsidR="00CF64D3">
        <w:rPr>
          <w:rFonts w:eastAsiaTheme="minorHAnsi" w:cs="Times New Roman"/>
          <w:szCs w:val="24"/>
          <w:lang w:val="lv-LV"/>
        </w:rPr>
        <w:t xml:space="preserve"> </w:t>
      </w:r>
      <w:r w:rsidRPr="00CE0303">
        <w:rPr>
          <w:rFonts w:eastAsiaTheme="minorHAnsi" w:cs="Times New Roman"/>
          <w:szCs w:val="24"/>
          <w:lang w:val="lv-LV"/>
        </w:rPr>
        <w:t xml:space="preserve">jāņem vērā, ka lauksaimniecības jomā sezonas aktivitātes pārsvarā atsākas pavasarī, tāpēc iestādēm ar šādu </w:t>
      </w:r>
      <w:r w:rsidRPr="00CE0303">
        <w:rPr>
          <w:rFonts w:eastAsiaTheme="minorHAnsi" w:cs="Times New Roman"/>
          <w:szCs w:val="24"/>
          <w:lang w:val="lv-LV"/>
        </w:rPr>
        <w:lastRenderedPageBreak/>
        <w:t>finansējuma modeli daļu no ieņēmumiem ir jāietaupa un jāparedz nākamā gada 1. ceturkšņa izdevumiem, lai nodrošinātu pilnvērtīgu iestādēm noteikto darbības funkciju izpildi gada sākumā.</w:t>
      </w:r>
    </w:p>
    <w:p w14:paraId="77011BCF" w14:textId="2C8DF97F" w:rsidR="00CE0303" w:rsidRPr="00CE0303" w:rsidRDefault="00B232B5" w:rsidP="00CE0303">
      <w:pPr>
        <w:ind w:firstLine="720"/>
        <w:rPr>
          <w:rFonts w:eastAsiaTheme="minorHAnsi" w:cs="Times New Roman"/>
          <w:szCs w:val="24"/>
          <w:lang w:val="lv-LV"/>
        </w:rPr>
      </w:pPr>
      <w:r>
        <w:rPr>
          <w:rFonts w:eastAsiaTheme="minorHAnsi" w:cs="Times New Roman"/>
          <w:szCs w:val="24"/>
          <w:lang w:val="lv-LV"/>
        </w:rPr>
        <w:t>VTUA m</w:t>
      </w:r>
      <w:r w:rsidR="00CE0303" w:rsidRPr="00CE0303">
        <w:rPr>
          <w:rFonts w:eastAsiaTheme="minorHAnsi" w:cs="Times New Roman"/>
          <w:szCs w:val="24"/>
          <w:lang w:val="lv-LV"/>
        </w:rPr>
        <w:t>ērķis ir samazināt izmaksas un ietaupītos finanšu līdzekļus novirzīt valsts informācijas sistēmas «Traktortehnikas un tās vadītāju informatīvā sistēma» uzturēšanas izdevumu segšanai (iekšējā pārdale precēs un pakalpojumos). Covid – 19 pandēmijas iet</w:t>
      </w:r>
      <w:r>
        <w:rPr>
          <w:rFonts w:eastAsiaTheme="minorHAnsi" w:cs="Times New Roman"/>
          <w:szCs w:val="24"/>
          <w:lang w:val="lv-LV"/>
        </w:rPr>
        <w:t>ekmē veikti vairāki pasākumi - p</w:t>
      </w:r>
      <w:r w:rsidR="00CE0303" w:rsidRPr="00CE0303">
        <w:rPr>
          <w:rFonts w:eastAsiaTheme="minorHAnsi" w:cs="Times New Roman"/>
          <w:szCs w:val="24"/>
          <w:lang w:val="lv-LV"/>
        </w:rPr>
        <w:t>āreja uz attālināta darba veikšanu 37.2% nodarbināto (iestādes atbalsta</w:t>
      </w:r>
      <w:r>
        <w:rPr>
          <w:rFonts w:eastAsiaTheme="minorHAnsi" w:cs="Times New Roman"/>
          <w:szCs w:val="24"/>
          <w:lang w:val="lv-LV"/>
        </w:rPr>
        <w:t xml:space="preserve"> un vadības funkciju veicēji); i</w:t>
      </w:r>
      <w:r w:rsidR="00CE0303" w:rsidRPr="00CE0303">
        <w:rPr>
          <w:rFonts w:eastAsiaTheme="minorHAnsi" w:cs="Times New Roman"/>
          <w:szCs w:val="24"/>
          <w:lang w:val="lv-LV"/>
        </w:rPr>
        <w:t xml:space="preserve">estādes sapulču, semināru un darba grupu apspriežu organizēšana un norise attālinātā režīmā, izmantojot komunikācijas platformas elektroniskā vidē </w:t>
      </w:r>
      <w:r>
        <w:rPr>
          <w:rFonts w:eastAsiaTheme="minorHAnsi" w:cs="Times New Roman"/>
          <w:szCs w:val="24"/>
          <w:lang w:val="lv-LV"/>
        </w:rPr>
        <w:t xml:space="preserve">kā Microsoft Teams, Zoom u.c.; </w:t>
      </w:r>
      <w:r w:rsidR="00CE0303" w:rsidRPr="00CE0303">
        <w:rPr>
          <w:rFonts w:eastAsiaTheme="minorHAnsi" w:cs="Times New Roman"/>
          <w:szCs w:val="24"/>
          <w:lang w:val="lv-LV"/>
        </w:rPr>
        <w:t>samazin</w:t>
      </w:r>
      <w:r>
        <w:rPr>
          <w:rFonts w:eastAsiaTheme="minorHAnsi" w:cs="Times New Roman"/>
          <w:szCs w:val="24"/>
          <w:lang w:val="lv-LV"/>
        </w:rPr>
        <w:t>āta nomāto telpu platība par 76,</w:t>
      </w:r>
      <w:r w:rsidR="00CE0303" w:rsidRPr="00CE0303">
        <w:rPr>
          <w:rFonts w:eastAsiaTheme="minorHAnsi" w:cs="Times New Roman"/>
          <w:szCs w:val="24"/>
          <w:lang w:val="lv-LV"/>
        </w:rPr>
        <w:t xml:space="preserve">8 </w:t>
      </w:r>
      <w:r>
        <w:rPr>
          <w:rFonts w:eastAsiaTheme="minorHAnsi" w:cs="Times New Roman"/>
          <w:szCs w:val="24"/>
          <w:lang w:val="lv-LV"/>
        </w:rPr>
        <w:t>kvadrātmetriem</w:t>
      </w:r>
      <w:r w:rsidR="00FA3BB1">
        <w:rPr>
          <w:rFonts w:eastAsiaTheme="minorHAnsi" w:cs="Times New Roman"/>
          <w:szCs w:val="24"/>
          <w:lang w:val="lv-LV"/>
        </w:rPr>
        <w:t>,</w:t>
      </w:r>
      <w:r w:rsidR="00CE0303" w:rsidRPr="00CE0303">
        <w:rPr>
          <w:rFonts w:eastAsiaTheme="minorHAnsi" w:cs="Times New Roman"/>
          <w:szCs w:val="24"/>
          <w:lang w:val="lv-LV"/>
        </w:rPr>
        <w:t xml:space="preserve"> </w:t>
      </w:r>
      <w:r>
        <w:rPr>
          <w:rFonts w:eastAsiaTheme="minorHAnsi" w:cs="Times New Roman"/>
          <w:szCs w:val="24"/>
          <w:lang w:val="lv-LV"/>
        </w:rPr>
        <w:t>n</w:t>
      </w:r>
      <w:r w:rsidRPr="00CE0303">
        <w:rPr>
          <w:rFonts w:eastAsiaTheme="minorHAnsi" w:cs="Times New Roman"/>
          <w:szCs w:val="24"/>
          <w:lang w:val="lv-LV"/>
        </w:rPr>
        <w:t xml:space="preserve">odrošinot attālināto darbu, </w:t>
      </w:r>
      <w:r w:rsidR="00CE0303" w:rsidRPr="00CE0303">
        <w:rPr>
          <w:rFonts w:eastAsiaTheme="minorHAnsi" w:cs="Times New Roman"/>
          <w:szCs w:val="24"/>
          <w:lang w:val="lv-LV"/>
        </w:rPr>
        <w:t xml:space="preserve">prognozētā ekonomija 8,2 tūkst. (ar PVN) </w:t>
      </w:r>
      <w:r w:rsidR="00CE0303" w:rsidRPr="00CE0303">
        <w:rPr>
          <w:rFonts w:eastAsiaTheme="minorHAnsi" w:cs="Times New Roman"/>
          <w:i/>
          <w:szCs w:val="24"/>
          <w:lang w:val="lv-LV"/>
        </w:rPr>
        <w:t>euro</w:t>
      </w:r>
      <w:r w:rsidR="00CE0303" w:rsidRPr="00CE0303">
        <w:rPr>
          <w:rFonts w:eastAsiaTheme="minorHAnsi" w:cs="Times New Roman"/>
          <w:szCs w:val="24"/>
          <w:lang w:val="lv-LV"/>
        </w:rPr>
        <w:t xml:space="preserve"> gadā.</w:t>
      </w:r>
    </w:p>
    <w:p w14:paraId="0094C1AC" w14:textId="77777777" w:rsidR="00CE0303" w:rsidRPr="00CE0303" w:rsidRDefault="00CE0303" w:rsidP="00CE0303">
      <w:pPr>
        <w:ind w:firstLine="720"/>
        <w:rPr>
          <w:rFonts w:eastAsiaTheme="minorHAnsi" w:cs="Times New Roman"/>
          <w:szCs w:val="24"/>
          <w:lang w:val="lv-LV"/>
        </w:rPr>
      </w:pPr>
      <w:r w:rsidRPr="00CE0303">
        <w:rPr>
          <w:rFonts w:eastAsiaTheme="minorHAnsi" w:cs="Times New Roman"/>
          <w:szCs w:val="24"/>
          <w:lang w:val="lv-LV"/>
        </w:rPr>
        <w:t>Ieviešot iepriekš minētajos punktos noteiktos pasākumus, samazināti elektrības, degvielas, telpu nomas un dienesta transportlīdzekļu remonta izdevumi.</w:t>
      </w:r>
    </w:p>
    <w:tbl>
      <w:tblPr>
        <w:tblStyle w:val="TableGrid1"/>
        <w:tblW w:w="0" w:type="auto"/>
        <w:jc w:val="center"/>
        <w:tblLook w:val="04A0" w:firstRow="1" w:lastRow="0" w:firstColumn="1" w:lastColumn="0" w:noHBand="0" w:noVBand="1"/>
      </w:tblPr>
      <w:tblGrid>
        <w:gridCol w:w="709"/>
        <w:gridCol w:w="1129"/>
        <w:gridCol w:w="696"/>
        <w:gridCol w:w="1005"/>
        <w:gridCol w:w="709"/>
        <w:gridCol w:w="996"/>
      </w:tblGrid>
      <w:tr w:rsidR="00CE0303" w:rsidRPr="00CE0303" w14:paraId="2A1DBB82" w14:textId="77777777" w:rsidTr="00CE0303">
        <w:trPr>
          <w:jc w:val="center"/>
        </w:trPr>
        <w:tc>
          <w:tcPr>
            <w:tcW w:w="709" w:type="dxa"/>
            <w:shd w:val="clear" w:color="auto" w:fill="92D050"/>
            <w:vAlign w:val="center"/>
          </w:tcPr>
          <w:p w14:paraId="65D6A57F" w14:textId="77777777" w:rsidR="00CE0303" w:rsidRPr="00CE0303" w:rsidRDefault="00CE0303" w:rsidP="00CE0303">
            <w:pPr>
              <w:spacing w:after="0"/>
              <w:jc w:val="center"/>
              <w:rPr>
                <w:rFonts w:eastAsiaTheme="minorHAnsi"/>
                <w:lang w:val="lv-LV"/>
              </w:rPr>
            </w:pPr>
            <w:r w:rsidRPr="00CE0303">
              <w:rPr>
                <w:rFonts w:eastAsiaTheme="minorHAnsi"/>
                <w:lang w:val="lv-LV"/>
              </w:rPr>
              <w:t>2022</w:t>
            </w:r>
          </w:p>
        </w:tc>
        <w:tc>
          <w:tcPr>
            <w:tcW w:w="1129" w:type="dxa"/>
            <w:vAlign w:val="center"/>
          </w:tcPr>
          <w:p w14:paraId="7697D3F3" w14:textId="77777777" w:rsidR="00CE0303" w:rsidRPr="00CE0303" w:rsidRDefault="00CE0303" w:rsidP="00CE0303">
            <w:pPr>
              <w:spacing w:after="0"/>
              <w:jc w:val="center"/>
              <w:rPr>
                <w:rFonts w:eastAsiaTheme="minorHAnsi"/>
                <w:lang w:val="lv-LV"/>
              </w:rPr>
            </w:pPr>
            <w:r w:rsidRPr="00CE0303">
              <w:rPr>
                <w:rFonts w:eastAsiaTheme="minorHAnsi"/>
                <w:lang w:val="lv-LV"/>
              </w:rPr>
              <w:t>8 184</w:t>
            </w:r>
          </w:p>
        </w:tc>
        <w:tc>
          <w:tcPr>
            <w:tcW w:w="696" w:type="dxa"/>
            <w:shd w:val="clear" w:color="auto" w:fill="92D050"/>
            <w:vAlign w:val="center"/>
          </w:tcPr>
          <w:p w14:paraId="39AAFC47" w14:textId="77777777" w:rsidR="00CE0303" w:rsidRPr="00CE0303" w:rsidRDefault="00CE0303" w:rsidP="00CE0303">
            <w:pPr>
              <w:spacing w:after="0"/>
              <w:jc w:val="center"/>
              <w:rPr>
                <w:rFonts w:eastAsiaTheme="minorHAnsi"/>
                <w:lang w:val="lv-LV"/>
              </w:rPr>
            </w:pPr>
            <w:r w:rsidRPr="00CE0303">
              <w:rPr>
                <w:rFonts w:eastAsiaTheme="minorHAnsi"/>
                <w:lang w:val="lv-LV"/>
              </w:rPr>
              <w:t>2023</w:t>
            </w:r>
          </w:p>
        </w:tc>
        <w:tc>
          <w:tcPr>
            <w:tcW w:w="1005" w:type="dxa"/>
            <w:vAlign w:val="center"/>
          </w:tcPr>
          <w:p w14:paraId="6F9CF1F4" w14:textId="77777777" w:rsidR="00CE0303" w:rsidRPr="00CE0303" w:rsidRDefault="00CE0303" w:rsidP="00CE0303">
            <w:pPr>
              <w:spacing w:after="0"/>
              <w:jc w:val="center"/>
              <w:rPr>
                <w:rFonts w:eastAsiaTheme="minorHAnsi"/>
                <w:lang w:val="lv-LV"/>
              </w:rPr>
            </w:pPr>
            <w:r w:rsidRPr="00CE0303">
              <w:rPr>
                <w:rFonts w:eastAsiaTheme="minorHAnsi"/>
                <w:lang w:val="lv-LV"/>
              </w:rPr>
              <w:t>8 184</w:t>
            </w:r>
          </w:p>
        </w:tc>
        <w:tc>
          <w:tcPr>
            <w:tcW w:w="709" w:type="dxa"/>
            <w:shd w:val="clear" w:color="auto" w:fill="92D050"/>
            <w:vAlign w:val="center"/>
          </w:tcPr>
          <w:p w14:paraId="72FB0663" w14:textId="77777777" w:rsidR="00CE0303" w:rsidRPr="00CE0303" w:rsidRDefault="00CE0303" w:rsidP="00CE0303">
            <w:pPr>
              <w:spacing w:after="0"/>
              <w:jc w:val="center"/>
              <w:rPr>
                <w:rFonts w:eastAsiaTheme="minorHAnsi"/>
                <w:lang w:val="lv-LV"/>
              </w:rPr>
            </w:pPr>
            <w:r w:rsidRPr="00CE0303">
              <w:rPr>
                <w:rFonts w:eastAsiaTheme="minorHAnsi"/>
                <w:lang w:val="lv-LV"/>
              </w:rPr>
              <w:t>2024</w:t>
            </w:r>
          </w:p>
        </w:tc>
        <w:tc>
          <w:tcPr>
            <w:tcW w:w="996" w:type="dxa"/>
            <w:vAlign w:val="center"/>
          </w:tcPr>
          <w:p w14:paraId="233101C6" w14:textId="38080FCC" w:rsidR="00CE0303" w:rsidRPr="00B232B5" w:rsidRDefault="00CE611F" w:rsidP="004C1C06">
            <w:pPr>
              <w:pStyle w:val="ListParagraph"/>
              <w:numPr>
                <w:ilvl w:val="0"/>
                <w:numId w:val="45"/>
              </w:numPr>
              <w:spacing w:after="0"/>
              <w:ind w:left="314" w:hanging="142"/>
              <w:jc w:val="left"/>
              <w:rPr>
                <w:rFonts w:eastAsiaTheme="minorHAnsi"/>
                <w:lang w:val="lv-LV"/>
              </w:rPr>
            </w:pPr>
            <w:r>
              <w:rPr>
                <w:rFonts w:eastAsiaTheme="minorHAnsi"/>
                <w:lang w:val="lv-LV"/>
              </w:rPr>
              <w:t xml:space="preserve"> </w:t>
            </w:r>
            <w:r w:rsidR="00CE0303" w:rsidRPr="00B232B5">
              <w:rPr>
                <w:rFonts w:eastAsiaTheme="minorHAnsi"/>
                <w:lang w:val="lv-LV"/>
              </w:rPr>
              <w:t>184</w:t>
            </w:r>
          </w:p>
        </w:tc>
      </w:tr>
    </w:tbl>
    <w:p w14:paraId="5A0FE548" w14:textId="77777777" w:rsidR="00CE0303" w:rsidRPr="00CE0303" w:rsidRDefault="00CE0303" w:rsidP="00CE0303">
      <w:pPr>
        <w:rPr>
          <w:lang w:val="lv-LV"/>
        </w:rPr>
      </w:pPr>
    </w:p>
    <w:p w14:paraId="7B21C78F" w14:textId="4F7B5649" w:rsidR="00B232B5" w:rsidRDefault="005005F9" w:rsidP="004C1C06">
      <w:pPr>
        <w:pStyle w:val="Heading2"/>
        <w:numPr>
          <w:ilvl w:val="1"/>
          <w:numId w:val="46"/>
        </w:numPr>
      </w:pPr>
      <w:bookmarkStart w:id="18" w:name="_Toc48200646"/>
      <w:bookmarkStart w:id="19" w:name="_Toc80178412"/>
      <w:r w:rsidRPr="007F4A72">
        <w:t>Kārtējā budžeta gadā un iepriekšējos gados piešķirtā finansējuma attīstības izdevumiem pārskatīšana</w:t>
      </w:r>
      <w:bookmarkEnd w:id="18"/>
      <w:bookmarkEnd w:id="19"/>
    </w:p>
    <w:p w14:paraId="2EEC677F" w14:textId="352EBD9B" w:rsidR="00FA3BB1" w:rsidRPr="00FA3BB1" w:rsidRDefault="00FA3BB1" w:rsidP="00FA3BB1">
      <w:pPr>
        <w:ind w:firstLine="720"/>
        <w:rPr>
          <w:rFonts w:eastAsiaTheme="minorHAnsi"/>
          <w:lang w:val="lv-LV"/>
        </w:rPr>
      </w:pPr>
      <w:r w:rsidRPr="00FA3BB1">
        <w:rPr>
          <w:rFonts w:eastAsiaTheme="minorHAnsi"/>
          <w:lang w:val="lv-LV"/>
        </w:rPr>
        <w:t>Lai rastu papildu līdzekļus aktuālu PP finansēšanai 2022., 2023. un 2024. gadam, veikta iepriekš piešķirtā finansējuma PP pārskatīšana. Izvērtējums tika veikts PP, kuriem finansējums piešķirts 2020. – 2022. gadam. Vērtēšanai netika pakļauti 2020. – 2022. gada PP, kuriem finansējums piešķirts tikai 2020. gadam vai 2020. un 2021. gadam. Izdevumu pārskatīšanai netika pakļauts ietvars 2021. – 2023. gadam, jo pieņemtie lēmumi attiecībā uz PP ir aktuāli</w:t>
      </w:r>
      <w:r w:rsidRPr="00FA3BB1">
        <w:rPr>
          <w:rFonts w:eastAsiaTheme="minorHAnsi"/>
          <w:strike/>
          <w:lang w:val="lv-LV"/>
        </w:rPr>
        <w:t xml:space="preserve"> </w:t>
      </w:r>
      <w:r w:rsidRPr="00FA3BB1">
        <w:rPr>
          <w:rFonts w:eastAsiaTheme="minorHAnsi"/>
          <w:lang w:val="lv-LV"/>
        </w:rPr>
        <w:t>(</w:t>
      </w:r>
      <w:r>
        <w:rPr>
          <w:rFonts w:eastAsiaTheme="minorHAnsi"/>
          <w:lang w:val="lv-LV"/>
        </w:rPr>
        <w:t>Attēls Nr. 2.3.1.</w:t>
      </w:r>
      <w:r w:rsidRPr="00FA3BB1">
        <w:rPr>
          <w:rFonts w:eastAsiaTheme="minorHAnsi"/>
          <w:lang w:val="lv-LV"/>
        </w:rPr>
        <w:t xml:space="preserve">). </w:t>
      </w:r>
    </w:p>
    <w:p w14:paraId="3E4B34ED" w14:textId="77777777" w:rsidR="00FA3BB1" w:rsidRPr="00FA3BB1" w:rsidRDefault="00FA3BB1" w:rsidP="00FA3BB1">
      <w:pPr>
        <w:rPr>
          <w:rFonts w:eastAsiaTheme="minorHAnsi"/>
          <w:lang w:val="lv-LV"/>
        </w:rPr>
      </w:pPr>
      <w:r w:rsidRPr="00FA3BB1">
        <w:rPr>
          <w:rFonts w:eastAsiaTheme="minorHAnsi"/>
          <w:lang w:val="lv-LV"/>
        </w:rPr>
        <w:t xml:space="preserve">Lai veiktu PP horizontālu pārskatīšanu, tika vērtētas šādas PP komponentes: </w:t>
      </w:r>
    </w:p>
    <w:p w14:paraId="663A2E01" w14:textId="77777777" w:rsidR="00FA3BB1" w:rsidRPr="00FA3BB1" w:rsidRDefault="00FA3BB1" w:rsidP="004C1C06">
      <w:pPr>
        <w:numPr>
          <w:ilvl w:val="0"/>
          <w:numId w:val="47"/>
        </w:numPr>
        <w:ind w:left="0" w:firstLine="720"/>
        <w:jc w:val="left"/>
        <w:rPr>
          <w:rFonts w:eastAsiaTheme="minorHAnsi"/>
        </w:rPr>
      </w:pPr>
      <w:r w:rsidRPr="00FA3BB1">
        <w:rPr>
          <w:rFonts w:eastAsiaTheme="minorHAnsi"/>
          <w:lang w:val="lv-LV"/>
        </w:rPr>
        <w:t>elastība (piešķirtā finansējuma pārdale);</w:t>
      </w:r>
    </w:p>
    <w:p w14:paraId="6103C842" w14:textId="77777777" w:rsidR="00FA3BB1" w:rsidRPr="00FA3BB1" w:rsidRDefault="00FA3BB1" w:rsidP="004C1C06">
      <w:pPr>
        <w:numPr>
          <w:ilvl w:val="0"/>
          <w:numId w:val="47"/>
        </w:numPr>
        <w:ind w:left="0" w:firstLine="720"/>
        <w:jc w:val="left"/>
        <w:rPr>
          <w:rFonts w:eastAsiaTheme="minorHAnsi"/>
        </w:rPr>
      </w:pPr>
      <w:r w:rsidRPr="00FA3BB1">
        <w:rPr>
          <w:rFonts w:eastAsiaTheme="minorHAnsi"/>
          <w:lang w:val="lv-LV"/>
        </w:rPr>
        <w:t>efektivitāte (izdevumu un rezultatīvo rādītāju izpilde);</w:t>
      </w:r>
    </w:p>
    <w:p w14:paraId="69267B65" w14:textId="77777777" w:rsidR="00FA3BB1" w:rsidRPr="00FA3BB1" w:rsidRDefault="00FA3BB1" w:rsidP="004C1C06">
      <w:pPr>
        <w:numPr>
          <w:ilvl w:val="0"/>
          <w:numId w:val="47"/>
        </w:numPr>
        <w:ind w:left="0" w:firstLine="720"/>
        <w:jc w:val="left"/>
        <w:rPr>
          <w:rFonts w:eastAsiaTheme="minorHAnsi"/>
        </w:rPr>
      </w:pPr>
      <w:r w:rsidRPr="00FA3BB1">
        <w:rPr>
          <w:rFonts w:eastAsiaTheme="minorHAnsi"/>
          <w:lang w:val="lv-LV"/>
        </w:rPr>
        <w:t>PP aktualitāte;</w:t>
      </w:r>
    </w:p>
    <w:p w14:paraId="0458AF5B" w14:textId="77777777" w:rsidR="00FA3BB1" w:rsidRPr="00FA3BB1" w:rsidRDefault="00FA3BB1" w:rsidP="004C1C06">
      <w:pPr>
        <w:numPr>
          <w:ilvl w:val="0"/>
          <w:numId w:val="47"/>
        </w:numPr>
        <w:ind w:left="0" w:firstLine="720"/>
        <w:jc w:val="left"/>
        <w:rPr>
          <w:rFonts w:eastAsiaTheme="minorHAnsi"/>
        </w:rPr>
      </w:pPr>
      <w:r w:rsidRPr="00FA3BB1">
        <w:rPr>
          <w:rFonts w:eastAsiaTheme="minorHAnsi"/>
          <w:lang w:val="lv-LV"/>
        </w:rPr>
        <w:t xml:space="preserve">sabiedrības intereses (vai PP iespējams turpināt par mazāku finansējumu);       </w:t>
      </w:r>
    </w:p>
    <w:p w14:paraId="594BEB7B" w14:textId="77777777" w:rsidR="00FA3BB1" w:rsidRPr="00FA3BB1" w:rsidRDefault="00FA3BB1" w:rsidP="004C1C06">
      <w:pPr>
        <w:numPr>
          <w:ilvl w:val="0"/>
          <w:numId w:val="47"/>
        </w:numPr>
        <w:ind w:left="0" w:firstLine="720"/>
        <w:jc w:val="left"/>
        <w:rPr>
          <w:rFonts w:eastAsiaTheme="minorHAnsi"/>
        </w:rPr>
      </w:pPr>
      <w:r w:rsidRPr="00FA3BB1">
        <w:rPr>
          <w:rFonts w:eastAsiaTheme="minorHAnsi"/>
          <w:lang w:val="lv-LV"/>
        </w:rPr>
        <w:t>valdības loma (vai ir iekļauts Valdības rīcības plānā).</w:t>
      </w:r>
    </w:p>
    <w:p w14:paraId="5095BB14" w14:textId="77777777" w:rsidR="00FA3BB1" w:rsidRPr="00FA3BB1" w:rsidRDefault="00FA3BB1" w:rsidP="00FA3BB1">
      <w:pPr>
        <w:spacing w:before="120"/>
        <w:ind w:firstLine="720"/>
        <w:rPr>
          <w:rFonts w:eastAsiaTheme="minorHAnsi"/>
          <w:lang w:val="lv-LV"/>
        </w:rPr>
      </w:pPr>
      <w:r w:rsidRPr="00FA3BB1">
        <w:rPr>
          <w:rFonts w:eastAsiaTheme="minorHAnsi"/>
          <w:lang w:val="lv-LV"/>
        </w:rPr>
        <w:t>PP piešķirtais finansējums tiek vērtēts divās daļās. Sākotnējo izvērtējumu veica FM, novērtējot PP elastību un efektivitāti, savukārt nozaru ministrijas vērtēja PP aktualitāti, sabiedrības intereses un valdības lomu.</w:t>
      </w:r>
    </w:p>
    <w:p w14:paraId="1B36CF9A" w14:textId="35B3F9AC" w:rsidR="00FA3BB1" w:rsidRDefault="00FA3BB1" w:rsidP="00FA3BB1">
      <w:pPr>
        <w:ind w:firstLine="720"/>
        <w:rPr>
          <w:rFonts w:eastAsiaTheme="minorHAnsi"/>
          <w:lang w:val="lv-LV"/>
        </w:rPr>
      </w:pPr>
      <w:r w:rsidRPr="00FA3BB1">
        <w:rPr>
          <w:rFonts w:eastAsiaTheme="minorHAnsi"/>
          <w:lang w:val="lv-LV"/>
        </w:rPr>
        <w:t xml:space="preserve">Vienlaikus izdevumu pārskatīšanai tika pakļauti arī 2018. – 2020. gada un 2019. – 2021. gada ietvaru attīstības daļas izdevumi. </w:t>
      </w:r>
    </w:p>
    <w:p w14:paraId="547E1C84" w14:textId="4B432293" w:rsidR="002C24FA" w:rsidRDefault="002C24FA" w:rsidP="00FA3BB1">
      <w:pPr>
        <w:ind w:firstLine="720"/>
        <w:rPr>
          <w:rFonts w:eastAsiaTheme="minorHAnsi"/>
          <w:lang w:val="lv-LV"/>
        </w:rPr>
      </w:pPr>
    </w:p>
    <w:p w14:paraId="699235FF" w14:textId="61790825" w:rsidR="002C24FA" w:rsidRDefault="002C24FA" w:rsidP="00FA3BB1">
      <w:pPr>
        <w:ind w:firstLine="720"/>
        <w:rPr>
          <w:rFonts w:eastAsiaTheme="minorHAnsi"/>
          <w:lang w:val="lv-LV"/>
        </w:rPr>
      </w:pPr>
    </w:p>
    <w:p w14:paraId="7B3A6302" w14:textId="768A765E" w:rsidR="002C24FA" w:rsidRDefault="002C24FA" w:rsidP="00FA3BB1">
      <w:pPr>
        <w:ind w:firstLine="720"/>
        <w:rPr>
          <w:rFonts w:eastAsiaTheme="minorHAnsi"/>
          <w:lang w:val="lv-LV"/>
        </w:rPr>
      </w:pPr>
    </w:p>
    <w:p w14:paraId="38EBF2EE" w14:textId="77777777" w:rsidR="002C24FA" w:rsidRPr="00FA3BB1" w:rsidRDefault="002C24FA" w:rsidP="00FA3BB1">
      <w:pPr>
        <w:ind w:firstLine="720"/>
        <w:rPr>
          <w:rFonts w:eastAsiaTheme="minorHAnsi"/>
          <w:lang w:val="lv-LV"/>
        </w:rPr>
      </w:pPr>
    </w:p>
    <w:p w14:paraId="20C6F88D" w14:textId="77777777" w:rsidR="00FA3BB1" w:rsidRPr="00FA3BB1" w:rsidRDefault="00FA3BB1" w:rsidP="00FA3BB1">
      <w:pPr>
        <w:spacing w:before="240" w:line="240" w:lineRule="auto"/>
        <w:jc w:val="center"/>
        <w:rPr>
          <w:rFonts w:eastAsiaTheme="minorHAnsi"/>
          <w:b/>
          <w:sz w:val="22"/>
          <w:lang w:val="lv-LV"/>
        </w:rPr>
      </w:pPr>
      <w:r w:rsidRPr="00FA3BB1">
        <w:rPr>
          <w:rFonts w:eastAsiaTheme="minorHAnsi"/>
          <w:b/>
          <w:bCs/>
          <w:i/>
          <w:iCs/>
          <w:sz w:val="22"/>
          <w:lang w:val="lv-LV"/>
        </w:rPr>
        <w:lastRenderedPageBreak/>
        <w:t>2.3.1. attēls</w:t>
      </w:r>
      <w:r w:rsidRPr="00FA3BB1">
        <w:rPr>
          <w:rFonts w:eastAsiaTheme="minorHAnsi"/>
          <w:sz w:val="22"/>
          <w:lang w:val="lv-LV"/>
        </w:rPr>
        <w:t xml:space="preserve"> </w:t>
      </w:r>
      <w:r w:rsidRPr="00FA3BB1">
        <w:rPr>
          <w:rFonts w:eastAsiaTheme="minorHAnsi"/>
          <w:b/>
          <w:sz w:val="22"/>
          <w:lang w:val="lv-LV"/>
        </w:rPr>
        <w:t>Līdzšinēji piešķirtā finansējuma prioritārajiem pasākumiem pārskatīšanas pārklājums</w:t>
      </w:r>
    </w:p>
    <w:p w14:paraId="26A49068" w14:textId="31129484" w:rsidR="00FA3BB1" w:rsidRPr="00FA3BB1" w:rsidRDefault="00FF231F" w:rsidP="00FA3BB1">
      <w:pPr>
        <w:spacing w:after="0" w:line="240" w:lineRule="auto"/>
        <w:jc w:val="left"/>
        <w:rPr>
          <w:rFonts w:eastAsiaTheme="minorHAnsi"/>
          <w:lang w:val="lv-LV"/>
        </w:rPr>
      </w:pPr>
      <w:r>
        <w:rPr>
          <w:noProof/>
          <w:lang w:val="lv-LV" w:eastAsia="lv-LV"/>
        </w:rPr>
        <w:drawing>
          <wp:inline distT="0" distB="0" distL="0" distR="0" wp14:anchorId="30D86C50" wp14:editId="78365547">
            <wp:extent cx="6091631" cy="3522518"/>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8974" cy="3526764"/>
                    </a:xfrm>
                    <a:prstGeom prst="rect">
                      <a:avLst/>
                    </a:prstGeom>
                    <a:noFill/>
                  </pic:spPr>
                </pic:pic>
              </a:graphicData>
            </a:graphic>
          </wp:inline>
        </w:drawing>
      </w:r>
    </w:p>
    <w:p w14:paraId="1244AAA5" w14:textId="05F36D1E" w:rsidR="00FA3BB1" w:rsidRPr="00FA3BB1" w:rsidRDefault="00C55241" w:rsidP="00FA3BB1">
      <w:pPr>
        <w:spacing w:before="120"/>
        <w:ind w:firstLine="720"/>
        <w:rPr>
          <w:rFonts w:eastAsiaTheme="minorHAnsi"/>
          <w:lang w:val="lv-LV"/>
        </w:rPr>
      </w:pPr>
      <w:r>
        <w:rPr>
          <w:rFonts w:eastAsiaTheme="minorHAnsi"/>
          <w:lang w:val="lv-LV"/>
        </w:rPr>
        <w:t xml:space="preserve">Kopā tika pārskatīti 89 PP, kā rezultātā, no </w:t>
      </w:r>
      <w:r w:rsidR="00FA3BB1" w:rsidRPr="00FA3BB1">
        <w:rPr>
          <w:rFonts w:eastAsiaTheme="minorHAnsi"/>
          <w:lang w:val="lv-LV"/>
        </w:rPr>
        <w:t xml:space="preserve">tiem identificēti </w:t>
      </w:r>
      <w:r>
        <w:rPr>
          <w:rFonts w:eastAsiaTheme="minorHAnsi"/>
          <w:lang w:val="lv-LV"/>
        </w:rPr>
        <w:t>8 PP, kuriem iespējama resursu pārdale par labu aktuālākām ministriju prioritātēm.</w:t>
      </w:r>
    </w:p>
    <w:p w14:paraId="67B92CFD" w14:textId="77777777" w:rsidR="00CE611F" w:rsidRPr="00CE611F" w:rsidRDefault="00CE611F" w:rsidP="00FA3BB1">
      <w:pPr>
        <w:spacing w:after="160" w:line="240" w:lineRule="auto"/>
        <w:rPr>
          <w:rFonts w:eastAsiaTheme="minorHAnsi" w:cs="Times New Roman"/>
          <w:b/>
          <w:bCs/>
          <w:sz w:val="12"/>
          <w:szCs w:val="14"/>
          <w:u w:val="single"/>
          <w:lang w:val="lv-LV"/>
        </w:rPr>
      </w:pPr>
    </w:p>
    <w:p w14:paraId="6F532CA4" w14:textId="20F81137" w:rsidR="00FA3BB1" w:rsidRPr="00FA3BB1" w:rsidRDefault="00FA3BB1" w:rsidP="00FA3BB1">
      <w:pPr>
        <w:spacing w:after="160" w:line="240" w:lineRule="auto"/>
        <w:rPr>
          <w:rFonts w:eastAsiaTheme="minorHAnsi" w:cs="Times New Roman"/>
          <w:b/>
          <w:bCs/>
          <w:szCs w:val="28"/>
          <w:u w:val="single"/>
          <w:lang w:val="lv-LV"/>
        </w:rPr>
      </w:pPr>
      <w:r w:rsidRPr="00FA3BB1">
        <w:rPr>
          <w:rFonts w:eastAsiaTheme="minorHAnsi" w:cs="Times New Roman"/>
          <w:b/>
          <w:bCs/>
          <w:szCs w:val="28"/>
          <w:u w:val="single"/>
          <w:lang w:val="lv-LV"/>
        </w:rPr>
        <w:t>Prioritārie pasākumi:</w:t>
      </w:r>
    </w:p>
    <w:p w14:paraId="64E49253" w14:textId="77777777" w:rsidR="00FA3BB1" w:rsidRPr="00CE611F" w:rsidRDefault="00FA3BB1" w:rsidP="00FA3BB1">
      <w:pPr>
        <w:spacing w:after="0" w:line="240" w:lineRule="auto"/>
        <w:rPr>
          <w:rFonts w:eastAsiaTheme="minorHAnsi"/>
          <w:sz w:val="18"/>
          <w:szCs w:val="16"/>
          <w:lang w:val="lv-LV"/>
        </w:rPr>
      </w:pPr>
    </w:p>
    <w:p w14:paraId="2FCE7902" w14:textId="77777777" w:rsidR="00FA3BB1" w:rsidRPr="00FA3BB1" w:rsidRDefault="00FA3BB1" w:rsidP="00FA3BB1">
      <w:pPr>
        <w:rPr>
          <w:rFonts w:eastAsiaTheme="minorHAnsi"/>
          <w:b/>
          <w:bCs/>
          <w:lang w:val="lv-LV"/>
        </w:rPr>
      </w:pPr>
      <w:r w:rsidRPr="00FA3BB1">
        <w:rPr>
          <w:rFonts w:eastAsiaTheme="minorHAnsi"/>
          <w:b/>
          <w:bCs/>
          <w:lang w:val="lv-LV"/>
        </w:rPr>
        <w:t>IeM - Latvijas Republikas valsts robežas uzturēšana</w:t>
      </w:r>
    </w:p>
    <w:p w14:paraId="1F050910" w14:textId="77777777" w:rsidR="00FA3BB1" w:rsidRPr="00FA3BB1" w:rsidRDefault="00FA3BB1" w:rsidP="00FA3BB1">
      <w:pPr>
        <w:spacing w:before="120"/>
        <w:ind w:firstLine="720"/>
        <w:rPr>
          <w:rFonts w:eastAsiaTheme="minorHAnsi"/>
          <w:lang w:val="lv-LV"/>
        </w:rPr>
      </w:pPr>
      <w:r w:rsidRPr="00FA3BB1">
        <w:rPr>
          <w:rFonts w:eastAsiaTheme="minorHAnsi"/>
          <w:lang w:val="lv-LV"/>
        </w:rPr>
        <w:t xml:space="preserve">IeM budžeta programmā 10.00.00 “Valsts robežsardzes darbība” 2018. – 2020. gada ietvarā piešķirts finansējums PP “Latvijas Republikas valsts robežas uzturēšana” 2018. – 2020. gadam 1 658 061 </w:t>
      </w:r>
      <w:r w:rsidRPr="00FA3BB1">
        <w:rPr>
          <w:rFonts w:eastAsiaTheme="minorHAnsi"/>
          <w:i/>
          <w:iCs/>
          <w:lang w:val="lv-LV"/>
        </w:rPr>
        <w:t>euro</w:t>
      </w:r>
      <w:r w:rsidRPr="00FA3BB1">
        <w:rPr>
          <w:rFonts w:eastAsiaTheme="minorHAnsi"/>
          <w:lang w:val="lv-LV"/>
        </w:rPr>
        <w:t xml:space="preserve"> apmērā 2018. gadam, 2 985 552 </w:t>
      </w:r>
      <w:r w:rsidRPr="00FA3BB1">
        <w:rPr>
          <w:rFonts w:eastAsiaTheme="minorHAnsi"/>
          <w:i/>
          <w:iCs/>
          <w:lang w:val="lv-LV"/>
        </w:rPr>
        <w:t>euro</w:t>
      </w:r>
      <w:r w:rsidRPr="00FA3BB1">
        <w:rPr>
          <w:rFonts w:eastAsiaTheme="minorHAnsi"/>
          <w:lang w:val="lv-LV"/>
        </w:rPr>
        <w:t xml:space="preserve"> apmērā 2019. gadam un 1 841 652 </w:t>
      </w:r>
      <w:r w:rsidRPr="00FA3BB1">
        <w:rPr>
          <w:rFonts w:eastAsiaTheme="minorHAnsi"/>
          <w:i/>
          <w:iCs/>
          <w:lang w:val="lv-LV"/>
        </w:rPr>
        <w:t>euro</w:t>
      </w:r>
      <w:r w:rsidRPr="00FA3BB1">
        <w:rPr>
          <w:rFonts w:eastAsiaTheme="minorHAnsi"/>
          <w:lang w:val="lv-LV"/>
        </w:rPr>
        <w:t xml:space="preserve"> apmērā 2020. gadam un turpmāk ik gadu. </w:t>
      </w:r>
    </w:p>
    <w:p w14:paraId="1F395B4B" w14:textId="77777777" w:rsidR="00FA3BB1" w:rsidRPr="00FA3BB1" w:rsidRDefault="00FA3BB1" w:rsidP="00FA3BB1">
      <w:pPr>
        <w:spacing w:before="120"/>
        <w:ind w:firstLine="720"/>
        <w:rPr>
          <w:rFonts w:eastAsiaTheme="minorHAnsi"/>
          <w:lang w:val="lv-LV"/>
        </w:rPr>
      </w:pPr>
      <w:r w:rsidRPr="00FA3BB1">
        <w:rPr>
          <w:rFonts w:eastAsiaTheme="minorHAnsi"/>
          <w:lang w:val="lv-LV"/>
        </w:rPr>
        <w:t>Ņemot vērā VKo revīzijā 2.4.1-11/2019 “Vai valsts budžeta līdzekļi Latvijas Republikas robežas joslas infrastruktūras būvniecībai un uzturēšanai ir izlietoti likumīgi, sasniedzot izvirzītos mērķus un rezultātus?” konstatēto un to, ka vēl nav pieņemts normatīvais regulējums par valsts  robežas uzturēšanu, daļu no PP piešķirtā finansējuma ir iespējams novirzīt citiem prioritāriem ar valsts robežas ierīkošanu saistītiem pasākumiem, kuru īstenošana ir būtiska saistībā ar valsts robežas infrastruktūras tālāku izbūvi.</w:t>
      </w:r>
    </w:p>
    <w:p w14:paraId="767013BA" w14:textId="110AB905" w:rsidR="00FA3BB1" w:rsidRDefault="00FA3BB1" w:rsidP="00FA3BB1">
      <w:pPr>
        <w:spacing w:before="120"/>
        <w:ind w:firstLine="720"/>
        <w:rPr>
          <w:rFonts w:eastAsiaTheme="minorHAnsi"/>
          <w:lang w:val="lv-LV"/>
        </w:rPr>
      </w:pPr>
      <w:r w:rsidRPr="00FA3BB1">
        <w:rPr>
          <w:rFonts w:eastAsiaTheme="minorHAnsi"/>
          <w:lang w:val="lv-LV"/>
        </w:rPr>
        <w:t>Lai nodrošinātu valstij piekritīgo un sabiedrības vajadzībām atsavināmo zemes vienību, kuras atrodas Latvijas Republikas valsts robežas joslā gar Krievijas Federāciju un Baltkrievijas Republiku, īpašuma tiesību sakārtošanu, kā arī uz tām esošo mežaudžu novērtēšanu uzņemšanai grāmatvedības uzskaitē, IeM ierosina PP piešķirto finansējumu pārdalīt budžeta apakšprogrammai 40.02.00 “Nekustamais īpašums un centralizētais iepirkums” – 2022. gadā</w:t>
      </w:r>
      <w:r w:rsidRPr="00FA3BB1">
        <w:rPr>
          <w:rFonts w:eastAsiaTheme="minorHAnsi"/>
          <w:b/>
          <w:bCs/>
          <w:lang w:val="lv-LV"/>
        </w:rPr>
        <w:t xml:space="preserve"> 329 922 </w:t>
      </w:r>
      <w:r w:rsidRPr="00FA3BB1">
        <w:rPr>
          <w:rFonts w:eastAsiaTheme="minorHAnsi"/>
          <w:b/>
          <w:bCs/>
          <w:i/>
          <w:iCs/>
          <w:lang w:val="lv-LV"/>
        </w:rPr>
        <w:t>euro</w:t>
      </w:r>
      <w:r w:rsidRPr="00FA3BB1">
        <w:rPr>
          <w:rFonts w:eastAsiaTheme="minorHAnsi"/>
          <w:b/>
          <w:bCs/>
          <w:lang w:val="lv-LV"/>
        </w:rPr>
        <w:t xml:space="preserve"> </w:t>
      </w:r>
      <w:r w:rsidRPr="00FA3BB1">
        <w:rPr>
          <w:rFonts w:eastAsiaTheme="minorHAnsi"/>
          <w:lang w:val="lv-LV"/>
        </w:rPr>
        <w:t>apmērā</w:t>
      </w:r>
      <w:r w:rsidRPr="00FA3BB1">
        <w:rPr>
          <w:rFonts w:eastAsiaTheme="minorHAnsi"/>
          <w:b/>
          <w:bCs/>
          <w:lang w:val="lv-LV"/>
        </w:rPr>
        <w:t xml:space="preserve"> </w:t>
      </w:r>
      <w:r w:rsidRPr="00FA3BB1">
        <w:rPr>
          <w:rFonts w:eastAsiaTheme="minorHAnsi"/>
          <w:lang w:val="lv-LV"/>
        </w:rPr>
        <w:t>un 2023. gadā</w:t>
      </w:r>
      <w:r w:rsidRPr="00FA3BB1">
        <w:rPr>
          <w:rFonts w:eastAsiaTheme="minorHAnsi"/>
          <w:b/>
          <w:bCs/>
          <w:lang w:val="lv-LV"/>
        </w:rPr>
        <w:t xml:space="preserve"> 423 630 </w:t>
      </w:r>
      <w:r w:rsidRPr="00FA3BB1">
        <w:rPr>
          <w:rFonts w:eastAsiaTheme="minorHAnsi"/>
          <w:b/>
          <w:bCs/>
          <w:i/>
          <w:iCs/>
          <w:lang w:val="lv-LV"/>
        </w:rPr>
        <w:t>euro</w:t>
      </w:r>
      <w:r w:rsidRPr="00FA3BB1">
        <w:rPr>
          <w:rFonts w:eastAsiaTheme="minorHAnsi"/>
          <w:lang w:val="lv-LV"/>
        </w:rPr>
        <w:t xml:space="preserve"> apmērā.</w:t>
      </w:r>
    </w:p>
    <w:p w14:paraId="6368B1BB" w14:textId="77777777" w:rsidR="002C24FA" w:rsidRPr="00FA3BB1" w:rsidRDefault="002C24FA" w:rsidP="00FA3BB1">
      <w:pPr>
        <w:spacing w:before="120"/>
        <w:ind w:firstLine="720"/>
        <w:rPr>
          <w:rFonts w:eastAsiaTheme="minorHAnsi"/>
          <w:lang w:val="lv-LV"/>
        </w:rPr>
      </w:pPr>
    </w:p>
    <w:p w14:paraId="44B1AB59" w14:textId="77777777" w:rsidR="00FA3BB1" w:rsidRPr="00FA3BB1" w:rsidRDefault="00FA3BB1" w:rsidP="00FA3BB1">
      <w:pPr>
        <w:rPr>
          <w:rFonts w:eastAsiaTheme="minorHAnsi"/>
          <w:b/>
          <w:bCs/>
          <w:lang w:val="lv-LV"/>
        </w:rPr>
      </w:pPr>
      <w:r w:rsidRPr="00FA3BB1">
        <w:rPr>
          <w:rFonts w:eastAsiaTheme="minorHAnsi"/>
          <w:b/>
          <w:bCs/>
          <w:lang w:val="lv-LV"/>
        </w:rPr>
        <w:lastRenderedPageBreak/>
        <w:t>IeM - Iekšlietu resora informācijas aprites drošības uzlabošana</w:t>
      </w:r>
    </w:p>
    <w:p w14:paraId="6F075B02" w14:textId="77777777" w:rsidR="00FA3BB1" w:rsidRPr="00FA3BB1" w:rsidRDefault="00FA3BB1" w:rsidP="00FA3BB1">
      <w:pPr>
        <w:spacing w:before="120"/>
        <w:ind w:firstLine="720"/>
        <w:rPr>
          <w:rFonts w:eastAsia="Calibri" w:cs="Times New Roman"/>
          <w:szCs w:val="24"/>
          <w:lang w:val="lv-LV"/>
        </w:rPr>
      </w:pPr>
      <w:r w:rsidRPr="00FA3BB1">
        <w:rPr>
          <w:rFonts w:eastAsia="Calibri" w:cs="Times New Roman"/>
          <w:szCs w:val="24"/>
          <w:lang w:val="lv-LV"/>
        </w:rPr>
        <w:t xml:space="preserve">IeM budžeta apakšprogrammā 02.03.00 “Vienotās sakaru un informācijas sistēmas uzturēšana un vadība” 2020. – 2022. gada ietvarā piešķirts finansējums PP “Iekšlietu resora informācijas aprites drošības uzlabošana” 2 480 122 </w:t>
      </w:r>
      <w:r w:rsidRPr="00FA3BB1">
        <w:rPr>
          <w:rFonts w:eastAsia="Calibri" w:cs="Times New Roman"/>
          <w:i/>
          <w:szCs w:val="24"/>
          <w:lang w:val="lv-LV"/>
        </w:rPr>
        <w:t>euro</w:t>
      </w:r>
      <w:r w:rsidRPr="00FA3BB1">
        <w:rPr>
          <w:rFonts w:eastAsia="Calibri" w:cs="Times New Roman"/>
          <w:szCs w:val="24"/>
          <w:lang w:val="lv-LV"/>
        </w:rPr>
        <w:t xml:space="preserve"> apmērā 2020. gadam, 2 287 743 </w:t>
      </w:r>
      <w:r w:rsidRPr="00FA3BB1">
        <w:rPr>
          <w:rFonts w:eastAsia="Calibri" w:cs="Times New Roman"/>
          <w:i/>
          <w:szCs w:val="24"/>
          <w:lang w:val="lv-LV"/>
        </w:rPr>
        <w:t xml:space="preserve">euro </w:t>
      </w:r>
      <w:r w:rsidRPr="00FA3BB1">
        <w:rPr>
          <w:rFonts w:eastAsia="Calibri" w:cs="Times New Roman"/>
          <w:szCs w:val="24"/>
          <w:lang w:val="lv-LV"/>
        </w:rPr>
        <w:t xml:space="preserve">apmērā 2021. gadam, 2 705 001 </w:t>
      </w:r>
      <w:r w:rsidRPr="00FA3BB1">
        <w:rPr>
          <w:rFonts w:eastAsia="Calibri" w:cs="Times New Roman"/>
          <w:i/>
          <w:szCs w:val="24"/>
          <w:lang w:val="lv-LV"/>
        </w:rPr>
        <w:t xml:space="preserve">euro </w:t>
      </w:r>
      <w:r w:rsidRPr="00FA3BB1">
        <w:rPr>
          <w:rFonts w:eastAsia="Calibri" w:cs="Times New Roman"/>
          <w:szCs w:val="24"/>
          <w:lang w:val="lv-LV"/>
        </w:rPr>
        <w:t xml:space="preserve">apmērā 2022. gadam. </w:t>
      </w:r>
    </w:p>
    <w:p w14:paraId="083B483A" w14:textId="537BFB62" w:rsidR="00FA3BB1" w:rsidRPr="00FA3BB1" w:rsidRDefault="00FA3BB1" w:rsidP="00FA3BB1">
      <w:pPr>
        <w:spacing w:before="120"/>
        <w:ind w:firstLine="720"/>
        <w:rPr>
          <w:rFonts w:eastAsiaTheme="minorHAnsi" w:cs="Times New Roman"/>
          <w:lang w:val="lv-LV"/>
        </w:rPr>
      </w:pPr>
      <w:r w:rsidRPr="00FA3BB1">
        <w:rPr>
          <w:rFonts w:eastAsiaTheme="minorHAnsi" w:cs="Times New Roman"/>
          <w:lang w:val="lv-LV"/>
        </w:rPr>
        <w:t xml:space="preserve">Lai nodrošinātu efektīvu, racionālu un lietderīgu finanšu resursu izmantošanu, IeM ierosina veikt izmaiņas PP “Iekšlietu resora informācijas aprites drošības uzlabošana” ietvaros, veicot finansējuma pārdali starp apakšpasākumiem un izdevumu </w:t>
      </w:r>
      <w:r>
        <w:rPr>
          <w:rFonts w:eastAsiaTheme="minorHAnsi" w:cs="Times New Roman"/>
          <w:lang w:val="lv-LV"/>
        </w:rPr>
        <w:t>EKK</w:t>
      </w:r>
      <w:r w:rsidRPr="00FA3BB1">
        <w:rPr>
          <w:rFonts w:eastAsiaTheme="minorHAnsi" w:cs="Times New Roman"/>
          <w:lang w:val="lv-LV"/>
        </w:rPr>
        <w:t xml:space="preserve"> 2022. gadā:</w:t>
      </w:r>
    </w:p>
    <w:p w14:paraId="1189A780" w14:textId="64F2A3BC" w:rsidR="00FA3BB1" w:rsidRPr="00FA3BB1" w:rsidRDefault="00FA3BB1" w:rsidP="004C1C06">
      <w:pPr>
        <w:numPr>
          <w:ilvl w:val="0"/>
          <w:numId w:val="49"/>
        </w:numPr>
        <w:spacing w:before="120"/>
        <w:ind w:left="709" w:hanging="426"/>
        <w:rPr>
          <w:rFonts w:eastAsiaTheme="minorHAnsi" w:cs="Times New Roman"/>
          <w:lang w:val="lv-LV"/>
        </w:rPr>
      </w:pPr>
      <w:r>
        <w:rPr>
          <w:rFonts w:eastAsiaTheme="minorHAnsi" w:cs="Times New Roman"/>
          <w:lang w:val="lv-LV"/>
        </w:rPr>
        <w:t xml:space="preserve">apakšpasākumā </w:t>
      </w:r>
      <w:r w:rsidRPr="00FA3BB1">
        <w:rPr>
          <w:rFonts w:eastAsiaTheme="minorHAnsi" w:cs="Times New Roman"/>
          <w:lang w:val="lv-LV"/>
        </w:rPr>
        <w:t xml:space="preserve">“Pieslēgumu punktu, tajā skaitā datu centru aprīkošana ar ugunsmūriem” samazināt finansējumu </w:t>
      </w:r>
      <w:r w:rsidRPr="00FA3BB1">
        <w:rPr>
          <w:rFonts w:eastAsiaTheme="minorHAnsi" w:cs="Times New Roman"/>
          <w:b/>
          <w:bCs/>
          <w:lang w:val="lv-LV"/>
        </w:rPr>
        <w:t>150 721</w:t>
      </w:r>
      <w:r w:rsidRPr="00FA3BB1">
        <w:rPr>
          <w:rFonts w:eastAsiaTheme="minorHAnsi" w:cs="Times New Roman"/>
          <w:b/>
          <w:bCs/>
          <w:i/>
          <w:lang w:val="lv-LV"/>
        </w:rPr>
        <w:t xml:space="preserve"> euro</w:t>
      </w:r>
      <w:r w:rsidRPr="00FA3BB1">
        <w:rPr>
          <w:rFonts w:eastAsiaTheme="minorHAnsi" w:cs="Times New Roman"/>
          <w:i/>
          <w:lang w:val="lv-LV"/>
        </w:rPr>
        <w:t xml:space="preserve"> </w:t>
      </w:r>
      <w:r w:rsidRPr="00FA3BB1">
        <w:rPr>
          <w:rFonts w:eastAsia="+mn-ea" w:cs="+mn-cs"/>
          <w:bCs/>
          <w:iCs/>
          <w:szCs w:val="24"/>
          <w:lang w:val="lv-LV" w:eastAsia="lv-LV"/>
        </w:rPr>
        <w:t>apmērā</w:t>
      </w:r>
      <w:r w:rsidRPr="00FA3BB1">
        <w:rPr>
          <w:rFonts w:eastAsiaTheme="minorHAnsi" w:cs="Times New Roman"/>
          <w:lang w:val="lv-LV"/>
        </w:rPr>
        <w:t xml:space="preserve"> (izdevumi pamatkapitāla veidošanai), pārdalot to apakšpasākuma “Datortehnikas iegāde un pārinstalēšana”  īstenošanas nodrošināšanai, lai veiktu portatīvo datoru iegādi.</w:t>
      </w:r>
      <w:r>
        <w:rPr>
          <w:rFonts w:eastAsiaTheme="minorHAnsi" w:cs="Times New Roman"/>
          <w:lang w:val="lv-LV"/>
        </w:rPr>
        <w:t xml:space="preserve"> </w:t>
      </w:r>
      <w:r w:rsidRPr="00FA3BB1">
        <w:rPr>
          <w:rFonts w:eastAsiaTheme="minorHAnsi" w:cs="Times New Roman"/>
          <w:lang w:val="lv-LV"/>
        </w:rPr>
        <w:t>Ņemot vērā, ka iepriekšējos periodos veiktas investīcijas ugunsmūru pārvaldības risinājumos, kā arī optimizēta iekārtu izmantošana, 2022. gadā plānotās investīcijas ir nepieciešamas mazākā apmērā, nekā sākotnēji plānots, līdz ar to ugunsmūru pārvaldības risinājuma iegādei ir plānots izlietot 80 000 </w:t>
      </w:r>
      <w:r w:rsidRPr="00FA3BB1">
        <w:rPr>
          <w:rFonts w:eastAsiaTheme="minorHAnsi" w:cs="Times New Roman"/>
          <w:i/>
          <w:lang w:val="lv-LV"/>
        </w:rPr>
        <w:t>euro</w:t>
      </w:r>
      <w:r w:rsidRPr="00FA3BB1">
        <w:rPr>
          <w:rFonts w:eastAsiaTheme="minorHAnsi" w:cs="Times New Roman"/>
          <w:lang w:val="lv-LV"/>
        </w:rPr>
        <w:t xml:space="preserve">. </w:t>
      </w:r>
      <w:r w:rsidRPr="00FA3BB1">
        <w:rPr>
          <w:rFonts w:eastAsiaTheme="minorHAnsi" w:cs="Times New Roman"/>
          <w:szCs w:val="24"/>
          <w:lang w:val="lv-LV"/>
        </w:rPr>
        <w:t xml:space="preserve">Savukārt finansējums apakšpasākumam “Datortehnikas iegāde un pārinstalēšana” </w:t>
      </w:r>
      <w:r>
        <w:rPr>
          <w:rFonts w:eastAsiaTheme="minorHAnsi" w:cs="Times New Roman"/>
          <w:szCs w:val="24"/>
          <w:lang w:val="lv-LV"/>
        </w:rPr>
        <w:t xml:space="preserve">palielināts par </w:t>
      </w:r>
      <w:r w:rsidRPr="00FA3BB1">
        <w:rPr>
          <w:rFonts w:eastAsiaTheme="minorHAnsi" w:cs="Times New Roman"/>
          <w:szCs w:val="24"/>
          <w:lang w:val="lv-LV"/>
        </w:rPr>
        <w:t>150 721</w:t>
      </w:r>
      <w:r>
        <w:rPr>
          <w:rFonts w:eastAsiaTheme="minorHAnsi" w:cs="Times New Roman"/>
          <w:i/>
          <w:szCs w:val="24"/>
          <w:lang w:val="lv-LV"/>
        </w:rPr>
        <w:t xml:space="preserve"> euro </w:t>
      </w:r>
      <w:r w:rsidRPr="00FA3BB1">
        <w:rPr>
          <w:rFonts w:eastAsiaTheme="minorHAnsi" w:cs="Times New Roman"/>
          <w:szCs w:val="24"/>
          <w:lang w:val="lv-LV"/>
        </w:rPr>
        <w:t>(iz</w:t>
      </w:r>
      <w:r>
        <w:rPr>
          <w:rFonts w:eastAsiaTheme="minorHAnsi" w:cs="Times New Roman"/>
          <w:szCs w:val="24"/>
          <w:lang w:val="lv-LV"/>
        </w:rPr>
        <w:t>devumi pamatkapitāla veidošanai)</w:t>
      </w:r>
      <w:r w:rsidRPr="00FA3BB1">
        <w:rPr>
          <w:rFonts w:eastAsiaTheme="minorHAnsi" w:cs="Times New Roman"/>
          <w:szCs w:val="24"/>
          <w:lang w:val="lv-LV"/>
        </w:rPr>
        <w:t>, lai veiktu portatīvo datoru iegādi.</w:t>
      </w:r>
    </w:p>
    <w:p w14:paraId="3049DBF5" w14:textId="23BA27F7" w:rsidR="00FA3BB1" w:rsidRPr="00FF231F" w:rsidRDefault="000E25B9" w:rsidP="004C1C06">
      <w:pPr>
        <w:numPr>
          <w:ilvl w:val="0"/>
          <w:numId w:val="49"/>
        </w:numPr>
        <w:spacing w:before="120"/>
        <w:ind w:left="709" w:hanging="426"/>
        <w:rPr>
          <w:rFonts w:eastAsiaTheme="minorHAnsi" w:cs="Times New Roman"/>
          <w:lang w:val="lv-LV"/>
        </w:rPr>
      </w:pPr>
      <w:r>
        <w:rPr>
          <w:rFonts w:eastAsiaTheme="minorHAnsi" w:cs="Times New Roman"/>
          <w:lang w:val="lv-LV"/>
        </w:rPr>
        <w:t>a</w:t>
      </w:r>
      <w:r w:rsidR="00FA3BB1" w:rsidRPr="00FA3BB1">
        <w:rPr>
          <w:rFonts w:eastAsiaTheme="minorHAnsi" w:cs="Times New Roman"/>
          <w:lang w:val="lv-LV"/>
        </w:rPr>
        <w:t>p</w:t>
      </w:r>
      <w:r w:rsidR="00FF231F">
        <w:rPr>
          <w:rFonts w:eastAsiaTheme="minorHAnsi" w:cs="Times New Roman"/>
          <w:lang w:val="lv-LV"/>
        </w:rPr>
        <w:t xml:space="preserve">akšpasākuma </w:t>
      </w:r>
      <w:r w:rsidR="00FA3BB1" w:rsidRPr="00FA3BB1">
        <w:rPr>
          <w:rFonts w:eastAsiaTheme="minorHAnsi" w:cs="Times New Roman"/>
          <w:lang w:val="lv-LV"/>
        </w:rPr>
        <w:t>“</w:t>
      </w:r>
      <w:r w:rsidR="00FA3BB1" w:rsidRPr="00FA3BB1">
        <w:rPr>
          <w:rFonts w:eastAsiaTheme="minorHAnsi" w:cs="Times New Roman"/>
          <w:szCs w:val="24"/>
          <w:lang w:val="lv-LV"/>
        </w:rPr>
        <w:t>Datortehnikas iegāde un pārinstalēšana</w:t>
      </w:r>
      <w:r w:rsidR="00FA3BB1" w:rsidRPr="00FA3BB1">
        <w:rPr>
          <w:rFonts w:eastAsiaTheme="minorHAnsi" w:cs="Times New Roman"/>
          <w:lang w:val="lv-LV"/>
        </w:rPr>
        <w:t xml:space="preserve">” ietvaros samazināt finansējumu </w:t>
      </w:r>
      <w:r w:rsidR="00FA3BB1" w:rsidRPr="00FA3BB1">
        <w:rPr>
          <w:rFonts w:eastAsiaTheme="minorHAnsi" w:cs="Times New Roman"/>
          <w:b/>
          <w:bCs/>
          <w:lang w:val="lv-LV"/>
        </w:rPr>
        <w:t>120 000</w:t>
      </w:r>
      <w:r w:rsidR="00FA3BB1" w:rsidRPr="00FA3BB1">
        <w:rPr>
          <w:rFonts w:eastAsiaTheme="minorHAnsi" w:cs="Times New Roman"/>
          <w:b/>
          <w:bCs/>
          <w:i/>
          <w:lang w:val="lv-LV"/>
        </w:rPr>
        <w:t> euro</w:t>
      </w:r>
      <w:r w:rsidR="00FA3BB1" w:rsidRPr="00FA3BB1">
        <w:rPr>
          <w:rFonts w:eastAsiaTheme="minorHAnsi" w:cs="Times New Roman"/>
          <w:i/>
          <w:lang w:val="lv-LV"/>
        </w:rPr>
        <w:t xml:space="preserve"> </w:t>
      </w:r>
      <w:r w:rsidR="00FA3BB1" w:rsidRPr="00FA3BB1">
        <w:rPr>
          <w:rFonts w:eastAsiaTheme="minorHAnsi" w:cs="Times New Roman"/>
          <w:lang w:val="lv-LV"/>
        </w:rPr>
        <w:t>apmērā datortehnikas pārinstalēšanai</w:t>
      </w:r>
      <w:r w:rsidR="00FA3BB1" w:rsidRPr="00FA3BB1">
        <w:rPr>
          <w:rFonts w:eastAsiaTheme="minorHAnsi" w:cs="Times New Roman"/>
          <w:i/>
          <w:lang w:val="lv-LV"/>
        </w:rPr>
        <w:t xml:space="preserve"> </w:t>
      </w:r>
      <w:r w:rsidR="00FA3BB1" w:rsidRPr="00FA3BB1">
        <w:rPr>
          <w:rFonts w:eastAsiaTheme="minorHAnsi" w:cs="Times New Roman"/>
          <w:lang w:val="lv-LV"/>
        </w:rPr>
        <w:t>(izdevumi precēm un pakalpojumiem), novirzot to portatīvo datoru iegādei.</w:t>
      </w:r>
      <w:r w:rsidR="00FF231F">
        <w:rPr>
          <w:rFonts w:eastAsiaTheme="minorHAnsi" w:cs="Times New Roman"/>
          <w:lang w:val="lv-LV"/>
        </w:rPr>
        <w:t xml:space="preserve"> </w:t>
      </w:r>
      <w:r w:rsidR="00FA3BB1" w:rsidRPr="00FF231F">
        <w:rPr>
          <w:rFonts w:eastAsia="Calibri" w:cs="Times New Roman"/>
          <w:szCs w:val="24"/>
          <w:lang w:val="lv-LV"/>
        </w:rPr>
        <w:t>Izdevumi precēm un pakalpojumiem samazināti</w:t>
      </w:r>
      <w:r w:rsidR="00FF231F">
        <w:rPr>
          <w:rFonts w:eastAsia="Calibri" w:cs="Times New Roman"/>
          <w:szCs w:val="24"/>
          <w:lang w:val="lv-LV"/>
        </w:rPr>
        <w:t xml:space="preserve"> </w:t>
      </w:r>
      <w:r w:rsidR="00FF231F" w:rsidRPr="00FF231F">
        <w:rPr>
          <w:rFonts w:eastAsia="Calibri" w:cs="Times New Roman"/>
          <w:szCs w:val="24"/>
          <w:lang w:val="lv-LV"/>
        </w:rPr>
        <w:t xml:space="preserve">120 000 </w:t>
      </w:r>
      <w:r w:rsidR="00FF231F" w:rsidRPr="00FF231F">
        <w:rPr>
          <w:rFonts w:eastAsia="Calibri" w:cs="Times New Roman"/>
          <w:i/>
          <w:szCs w:val="24"/>
          <w:lang w:val="lv-LV"/>
        </w:rPr>
        <w:t>euro</w:t>
      </w:r>
      <w:r w:rsidR="00FF231F" w:rsidRPr="00FF231F">
        <w:rPr>
          <w:rFonts w:eastAsia="Calibri" w:cs="Times New Roman"/>
          <w:szCs w:val="24"/>
          <w:lang w:val="lv-LV"/>
        </w:rPr>
        <w:t xml:space="preserve"> apmērā</w:t>
      </w:r>
      <w:r w:rsidR="00FA3BB1" w:rsidRPr="00FF231F">
        <w:rPr>
          <w:rFonts w:eastAsia="Calibri" w:cs="Times New Roman"/>
          <w:szCs w:val="24"/>
          <w:lang w:val="lv-LV"/>
        </w:rPr>
        <w:t xml:space="preserve">, jo </w:t>
      </w:r>
      <w:r w:rsidR="00FF231F" w:rsidRPr="00FF231F">
        <w:rPr>
          <w:rFonts w:eastAsia="Calibri" w:cs="Times New Roman"/>
          <w:szCs w:val="24"/>
          <w:lang w:val="lv-LV"/>
        </w:rPr>
        <w:t xml:space="preserve">IeM IC </w:t>
      </w:r>
      <w:r w:rsidR="00FA3BB1" w:rsidRPr="00FF231F">
        <w:rPr>
          <w:rFonts w:eastAsia="Calibri" w:cs="Times New Roman"/>
          <w:szCs w:val="24"/>
          <w:lang w:val="lv-LV"/>
        </w:rPr>
        <w:t xml:space="preserve">ir pilnveidojis datortehnikas instalācijas automatizācijas procesu, līdz ar to pārinstalēšanu būs iespējams veikt daudz operatīvāk, nepiesaistot ārpakalpojumu, bet izmantojot IeM IC resursus. Līdz ar to 2022. gadā datortehnikas pārinstalēšanas pakalpojumiem plānoto finansējumu iespējams novirzīt portatīvo datoru iegādei. </w:t>
      </w:r>
    </w:p>
    <w:p w14:paraId="1C881BF3" w14:textId="77777777" w:rsidR="00FA3BB1" w:rsidRPr="00FA3BB1" w:rsidRDefault="00FA3BB1" w:rsidP="00FF231F">
      <w:pPr>
        <w:spacing w:before="120"/>
        <w:ind w:firstLine="709"/>
        <w:rPr>
          <w:rFonts w:eastAsiaTheme="minorHAnsi" w:cs="Times New Roman"/>
          <w:lang w:val="lv-LV"/>
        </w:rPr>
      </w:pPr>
      <w:r w:rsidRPr="00FA3BB1">
        <w:rPr>
          <w:rFonts w:eastAsiaTheme="minorHAnsi" w:cs="Times New Roman"/>
          <w:lang w:val="lv-LV"/>
        </w:rPr>
        <w:t xml:space="preserve">Ņemot vērā, ka datora lietderīgas lietošanas termiņš ir 5 gadi, bet IeM IC pārvaldībā ir vairāk nekā 8000 darbstaciju, lai garantētu pakāpenisku datortehnikas nomaiņu, IeM IC gadā būtu jānomaina 1600 dažādu datoru – portatīvo un stacionāro. Ja iegādātos tikai lētākos stacionāros datorus – ik gadu šim pasākumam būtu nepieciešams finansējums vismaz ~ 800 </w:t>
      </w:r>
      <w:r w:rsidRPr="00FA3BB1">
        <w:rPr>
          <w:rFonts w:eastAsiaTheme="minorHAnsi" w:cs="Times New Roman"/>
          <w:i/>
          <w:szCs w:val="24"/>
          <w:lang w:val="lv-LV"/>
        </w:rPr>
        <w:t>euro</w:t>
      </w:r>
      <w:r w:rsidRPr="00FA3BB1">
        <w:rPr>
          <w:rFonts w:eastAsiaTheme="minorHAnsi" w:cs="Times New Roman"/>
          <w:lang w:val="lv-LV"/>
        </w:rPr>
        <w:t xml:space="preserve"> x 1600 gab. = 1 280 000 </w:t>
      </w:r>
      <w:r w:rsidRPr="00FA3BB1">
        <w:rPr>
          <w:rFonts w:eastAsiaTheme="minorHAnsi" w:cs="Times New Roman"/>
          <w:i/>
          <w:szCs w:val="24"/>
          <w:lang w:val="lv-LV"/>
        </w:rPr>
        <w:t>euro</w:t>
      </w:r>
      <w:r w:rsidRPr="00FA3BB1">
        <w:rPr>
          <w:rFonts w:eastAsiaTheme="minorHAnsi" w:cs="Times New Roman"/>
          <w:lang w:val="lv-LV"/>
        </w:rPr>
        <w:t xml:space="preserve">, neņemot vērā nepieciešamo monitoru un portatīvo datoru iegādes izdevumus. </w:t>
      </w:r>
    </w:p>
    <w:p w14:paraId="56B6BE2E" w14:textId="17C72C00" w:rsidR="00FF231F" w:rsidRDefault="00FA3BB1" w:rsidP="00FF231F">
      <w:pPr>
        <w:spacing w:before="120"/>
        <w:ind w:firstLine="709"/>
        <w:rPr>
          <w:rFonts w:eastAsiaTheme="minorHAnsi" w:cs="Times New Roman"/>
          <w:lang w:val="lv-LV"/>
        </w:rPr>
      </w:pPr>
      <w:r w:rsidRPr="00FA3BB1">
        <w:rPr>
          <w:rFonts w:eastAsiaTheme="minorHAnsi" w:cs="Times New Roman"/>
          <w:lang w:val="lv-LV"/>
        </w:rPr>
        <w:t xml:space="preserve">IeM IC PP ietvaros tika piešķirts finansējums 384 925 </w:t>
      </w:r>
      <w:r w:rsidRPr="00FA3BB1">
        <w:rPr>
          <w:rFonts w:eastAsiaTheme="minorHAnsi" w:cs="Times New Roman"/>
          <w:i/>
          <w:szCs w:val="24"/>
          <w:lang w:val="lv-LV"/>
        </w:rPr>
        <w:t xml:space="preserve">euro </w:t>
      </w:r>
      <w:r w:rsidRPr="00FA3BB1">
        <w:rPr>
          <w:rFonts w:eastAsiaTheme="minorHAnsi" w:cs="Times New Roman"/>
          <w:szCs w:val="24"/>
          <w:lang w:val="lv-LV"/>
        </w:rPr>
        <w:t>apmērā</w:t>
      </w:r>
      <w:r w:rsidRPr="00FA3BB1">
        <w:rPr>
          <w:rFonts w:eastAsiaTheme="minorHAnsi" w:cs="Times New Roman"/>
          <w:lang w:val="lv-LV"/>
        </w:rPr>
        <w:t>, kas ir nepietiekams, turklāt situāciju saasina C</w:t>
      </w:r>
      <w:r w:rsidR="00CE611F">
        <w:rPr>
          <w:rFonts w:eastAsiaTheme="minorHAnsi" w:cs="Times New Roman"/>
          <w:lang w:val="lv-LV"/>
        </w:rPr>
        <w:t>ovid</w:t>
      </w:r>
      <w:r w:rsidRPr="00FA3BB1">
        <w:rPr>
          <w:rFonts w:eastAsiaTheme="minorHAnsi" w:cs="Times New Roman"/>
          <w:lang w:val="lv-LV"/>
        </w:rPr>
        <w:t>-19 pandēmija, kā rezultātā pēdējā gada laikā būtiski palielinājies pieprasījums pēc portatīvajiem datoriem, kuru lietderīgās lietošanas termiņš praksē parasti nesasniedz 5 gadus un kuru iegādes cena ir augstāka nekā stacionārajiem datoriem. Ņemot vērā iepriekš minēto, ir jāveic papildu investīcijas datortehnikas nomaiņā, pārejot galvenokārt uz portatīvo datoru izmantošanu, kas vienlaicīgi ļaus darbiniekiem strādāt attālināti un ievērot arī distancēšanās prasības C</w:t>
      </w:r>
      <w:r w:rsidR="00CE611F">
        <w:rPr>
          <w:rFonts w:eastAsiaTheme="minorHAnsi" w:cs="Times New Roman"/>
          <w:lang w:val="lv-LV"/>
        </w:rPr>
        <w:t>ovid</w:t>
      </w:r>
      <w:r w:rsidRPr="00FA3BB1">
        <w:rPr>
          <w:rFonts w:eastAsiaTheme="minorHAnsi" w:cs="Times New Roman"/>
          <w:lang w:val="lv-LV"/>
        </w:rPr>
        <w:t>-19 pandēmijas laikā. Tāpēc ietaupītais</w:t>
      </w:r>
      <w:r w:rsidRPr="00FA3BB1" w:rsidDel="00964831">
        <w:rPr>
          <w:rFonts w:eastAsiaTheme="minorHAnsi" w:cs="Times New Roman"/>
          <w:lang w:val="lv-LV"/>
        </w:rPr>
        <w:t xml:space="preserve"> </w:t>
      </w:r>
      <w:r w:rsidRPr="00FA3BB1">
        <w:rPr>
          <w:rFonts w:eastAsiaTheme="minorHAnsi" w:cs="Times New Roman"/>
          <w:lang w:val="lv-LV"/>
        </w:rPr>
        <w:t xml:space="preserve">finansējums primāri būtu izmantojams portatīvo datoru iegādei. </w:t>
      </w:r>
    </w:p>
    <w:p w14:paraId="50128327" w14:textId="07DA66A1" w:rsidR="00FA3BB1" w:rsidRDefault="00FA3BB1" w:rsidP="00FF231F">
      <w:pPr>
        <w:spacing w:before="120"/>
        <w:ind w:firstLine="709"/>
        <w:rPr>
          <w:rFonts w:eastAsia="Calibri" w:cs="Times New Roman"/>
          <w:szCs w:val="24"/>
          <w:lang w:val="lv-LV"/>
        </w:rPr>
      </w:pPr>
      <w:r w:rsidRPr="00FA3BB1">
        <w:rPr>
          <w:rFonts w:eastAsia="Calibri" w:cs="Times New Roman"/>
          <w:szCs w:val="24"/>
          <w:lang w:val="lv-LV"/>
        </w:rPr>
        <w:t xml:space="preserve">Apakšpasākuma “Datortehnikas iegāde un pārinstalēšana”  ietvaros nepieciešams veikt izdevumu precizēšanu starp </w:t>
      </w:r>
      <w:r w:rsidRPr="00FA3BB1">
        <w:rPr>
          <w:rFonts w:eastAsia="Times New Roman" w:cs="Times New Roman"/>
          <w:szCs w:val="24"/>
          <w:lang w:val="lv-LV" w:eastAsia="lv-LV"/>
        </w:rPr>
        <w:t>izdevumu ekonomiskās klasifikācijas kodiem.</w:t>
      </w:r>
      <w:r w:rsidRPr="00FA3BB1">
        <w:rPr>
          <w:rFonts w:eastAsia="Calibri" w:cs="Times New Roman"/>
          <w:szCs w:val="24"/>
          <w:lang w:val="lv-LV"/>
        </w:rPr>
        <w:t xml:space="preserve"> </w:t>
      </w:r>
    </w:p>
    <w:p w14:paraId="609FE782" w14:textId="77777777" w:rsidR="002C24FA" w:rsidRDefault="002C24FA" w:rsidP="00FF231F">
      <w:pPr>
        <w:spacing w:before="120"/>
        <w:ind w:firstLine="709"/>
        <w:rPr>
          <w:rFonts w:eastAsia="Calibri" w:cs="Times New Roman"/>
          <w:szCs w:val="24"/>
          <w:lang w:val="lv-LV"/>
        </w:rPr>
      </w:pPr>
    </w:p>
    <w:p w14:paraId="1BFE4933" w14:textId="77777777" w:rsidR="007868F8" w:rsidRPr="007868F8" w:rsidRDefault="007868F8" w:rsidP="007868F8">
      <w:pPr>
        <w:rPr>
          <w:rFonts w:eastAsiaTheme="minorHAnsi"/>
          <w:b/>
          <w:bCs/>
          <w:lang w:val="lv-LV"/>
        </w:rPr>
      </w:pPr>
      <w:r w:rsidRPr="007868F8">
        <w:rPr>
          <w:rFonts w:eastAsiaTheme="minorHAnsi"/>
          <w:b/>
          <w:bCs/>
          <w:lang w:val="lv-LV"/>
        </w:rPr>
        <w:lastRenderedPageBreak/>
        <w:t>LM - Sociālās rehabilitācijas pakalpojumu klāsta pilnveidošana (papildināšana)</w:t>
      </w:r>
    </w:p>
    <w:p w14:paraId="054AF1C3" w14:textId="77777777" w:rsidR="007868F8" w:rsidRPr="007868F8" w:rsidRDefault="007868F8" w:rsidP="007868F8">
      <w:pPr>
        <w:ind w:firstLine="720"/>
        <w:rPr>
          <w:rFonts w:eastAsiaTheme="minorHAnsi"/>
          <w:lang w:val="lv-LV"/>
        </w:rPr>
      </w:pPr>
      <w:r w:rsidRPr="007868F8">
        <w:rPr>
          <w:rFonts w:eastAsiaTheme="minorHAnsi"/>
          <w:lang w:val="lv-LV"/>
        </w:rPr>
        <w:t xml:space="preserve">LM valsts budžeta apakšprogrammā 05.01.00 “Sociālās rehabilitācijas valsts programmas” 2018. - 2020. gada ietvarā piešķirts finansējums PP “Sociālās rehabilitācijas pakalpojumu klāsta pilnveidošana (papildināšana)” </w:t>
      </w:r>
      <w:r w:rsidRPr="007868F8">
        <w:rPr>
          <w:rFonts w:eastAsia="Times New Roman" w:cs="Times New Roman"/>
          <w:sz w:val="25"/>
          <w:szCs w:val="25"/>
          <w:lang w:val="lv-LV"/>
        </w:rPr>
        <w:t xml:space="preserve">apakšpasākuma “Psihosociālās rehabilitācijas pakalpojumu ieviešana atbilstoši Sociālo pakalpojumu un sociālās palīdzības likumā noteiktajam” pakalpojumam “Psihosociālās rehabilitācijas nodrošināšana personām ar prognozējamu vai pirmreizēju invaliditāti, kuras cēlonis ir onkoloģiska slimība, un viņu ģimenes locekļiem” (turpmāk – PP apakšpasākuma pakalpojums) </w:t>
      </w:r>
      <w:r w:rsidRPr="007868F8">
        <w:rPr>
          <w:rFonts w:eastAsiaTheme="minorHAnsi"/>
          <w:lang w:val="lv-LV"/>
        </w:rPr>
        <w:t xml:space="preserve">2018. gadam 240 620 </w:t>
      </w:r>
      <w:r w:rsidRPr="007868F8">
        <w:rPr>
          <w:rFonts w:eastAsiaTheme="minorHAnsi"/>
          <w:i/>
          <w:iCs/>
          <w:lang w:val="lv-LV"/>
        </w:rPr>
        <w:t>euro</w:t>
      </w:r>
      <w:r w:rsidRPr="007868F8">
        <w:rPr>
          <w:rFonts w:eastAsiaTheme="minorHAnsi"/>
          <w:lang w:val="lv-LV"/>
        </w:rPr>
        <w:t xml:space="preserve"> apmērā, 2019. gadam 275 584 </w:t>
      </w:r>
      <w:r w:rsidRPr="007868F8">
        <w:rPr>
          <w:rFonts w:eastAsiaTheme="minorHAnsi"/>
          <w:i/>
          <w:iCs/>
          <w:lang w:val="lv-LV"/>
        </w:rPr>
        <w:t>euro</w:t>
      </w:r>
      <w:r w:rsidRPr="007868F8">
        <w:rPr>
          <w:rFonts w:eastAsiaTheme="minorHAnsi"/>
          <w:lang w:val="lv-LV"/>
        </w:rPr>
        <w:t xml:space="preserve"> apmērā un 2020. gadam un turpmāk ik gadu 310 549 </w:t>
      </w:r>
      <w:r w:rsidRPr="007868F8">
        <w:rPr>
          <w:rFonts w:eastAsiaTheme="minorHAnsi"/>
          <w:i/>
          <w:iCs/>
          <w:lang w:val="lv-LV"/>
        </w:rPr>
        <w:t>euro</w:t>
      </w:r>
      <w:r w:rsidRPr="007868F8">
        <w:rPr>
          <w:rFonts w:eastAsiaTheme="minorHAnsi"/>
          <w:lang w:val="lv-LV"/>
        </w:rPr>
        <w:t xml:space="preserve"> apmērā.</w:t>
      </w:r>
    </w:p>
    <w:p w14:paraId="27297D37" w14:textId="3FA9BC14" w:rsidR="007868F8" w:rsidRPr="007868F8" w:rsidRDefault="007868F8" w:rsidP="007868F8">
      <w:pPr>
        <w:ind w:firstLine="720"/>
        <w:rPr>
          <w:rFonts w:eastAsiaTheme="minorHAnsi"/>
          <w:lang w:val="lv-LV"/>
        </w:rPr>
      </w:pPr>
      <w:r w:rsidRPr="007868F8">
        <w:rPr>
          <w:rFonts w:eastAsiaTheme="minorHAnsi" w:cs="Times New Roman"/>
          <w:szCs w:val="24"/>
          <w:lang w:val="lv-LV" w:eastAsia="lv-LV"/>
        </w:rPr>
        <w:t>Ņemot vērā zemo pakalpojumu saņēmušo personu skaitu psihosociālajai rehabilitācijai personām ar prognozējamu vai pirmreizēju invaliditāti, kuras cēlonis ir onkoloģiska slimība, un viņu ģimenes locekļiem, saskaņā ar MK 2019. gada 5. novembra rīkojumu Nr. 541 “Par apropriācijas pārdali” 2019.</w:t>
      </w:r>
      <w:r>
        <w:rPr>
          <w:rFonts w:eastAsiaTheme="minorHAnsi" w:cs="Times New Roman"/>
          <w:szCs w:val="24"/>
          <w:lang w:val="lv-LV" w:eastAsia="lv-LV"/>
        </w:rPr>
        <w:t xml:space="preserve"> </w:t>
      </w:r>
      <w:r w:rsidRPr="007868F8">
        <w:rPr>
          <w:rFonts w:eastAsiaTheme="minorHAnsi" w:cs="Times New Roman"/>
          <w:szCs w:val="24"/>
          <w:lang w:val="lv-LV" w:eastAsia="lv-LV"/>
        </w:rPr>
        <w:t xml:space="preserve">gadam PP apakšpasākumam piešķirtais finansējums tika samazināts par 100 754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(no 240 620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līdz 139 866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Ņemot vērā veiktās izmaiņas, 2019.gadā paredzētais finansējums PP apakšpasākuma pakalpojuma īstenošanai 139 866 </w:t>
      </w:r>
      <w:r w:rsidRPr="007868F8">
        <w:rPr>
          <w:rFonts w:eastAsiaTheme="minorHAnsi" w:cs="Times New Roman"/>
          <w:i/>
          <w:iCs/>
          <w:szCs w:val="24"/>
          <w:lang w:val="lv-LV" w:eastAsia="lv-LV"/>
        </w:rPr>
        <w:t xml:space="preserve">euro </w:t>
      </w:r>
      <w:r w:rsidRPr="007868F8">
        <w:rPr>
          <w:rFonts w:eastAsiaTheme="minorHAnsi" w:cs="Times New Roman"/>
          <w:szCs w:val="24"/>
          <w:lang w:val="lv-LV" w:eastAsia="lv-LV"/>
        </w:rPr>
        <w:t xml:space="preserve">apmērā tika apgūts pilnībā. 2020. gadā atbilstoši MK rīkojumiem, kas paredzēja finansējumu, kas netiek izmantots ārkārtas situācijas dēļ, pārdalīts finansējums 196 948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uz LNG (MK 2020. gada 30. jūlija rīkojums Nr. 400  un MK 2020. gada 11. decembra rīkojums Nr. 749), PP paredzētais finansējums 113 601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apmērā tika apgūts pilnībā.  </w:t>
      </w:r>
    </w:p>
    <w:p w14:paraId="7DB5635F" w14:textId="651913AF" w:rsidR="007868F8" w:rsidRPr="007868F8" w:rsidRDefault="007868F8" w:rsidP="007868F8">
      <w:pPr>
        <w:ind w:firstLine="720"/>
        <w:rPr>
          <w:rFonts w:eastAsiaTheme="minorHAnsi" w:cs="Times New Roman"/>
          <w:szCs w:val="24"/>
          <w:lang w:val="lv-LV" w:eastAsia="lv-LV"/>
        </w:rPr>
      </w:pPr>
      <w:r w:rsidRPr="007868F8">
        <w:rPr>
          <w:rFonts w:eastAsiaTheme="minorHAnsi" w:cs="Times New Roman"/>
          <w:szCs w:val="24"/>
          <w:lang w:val="lv-LV" w:eastAsia="lv-LV"/>
        </w:rPr>
        <w:t xml:space="preserve">LM izdevumu pārskatīšanas ietvaros informēja, ka pakalpojums ietver sešu dienu ilgu pusotru stundu garu secīgu nodarbību kursu grupā (līdz 24 personām) ar izmitināšanu. Pakalpojumu atbilstoši Sociālo pakalpojumu un sociālās palīdzības likumā noteiktajam nodrošina Onkoloģisko slimnieku atbalsta biedrība “Dzīvības koks”. Pakalpojuma ietvaros 2018.gadā plānots nodrošināt pakalpojumu 720 personām, 2019.gadā – 840 personām, 2020.gadā un turpmāk ik gadu - 960 personām (40 kursi, maksimālais personu skaits vienā kursā - 24) ar prognozējamu vai pirmreizēju invaliditāti, kuras cēlonis ir onkoloģiska slimība, un viņu ģimenes locekļiem. Pakalpojuma rezultatīvo rādītāju izpilde 2018. gadā bija 24 kursi, pakalpojuma saņēmēju skaits – 354, 2019. gadā 26 kursi, pakalpojuma saņēmēju skaits – 364 un 2020. gadā 20 kursi, pakalpojuma saņēmēju skaits – 285. Pakalpojuma rezultatīvo rādītāju neizpilde skaidrojama ar pakalpojuma saņēmēju noteikto ierobežojumu Sociālo pakalpojumu un sociālās palīdzības likumā, t.i. pakalpojuma saņēmējam bija jābūt noteiktai prognozējamai vai pirmreizējai invaliditātei. Personas ar onkoloģisku slimību nav aktīvas uz invaliditātes grupas saņemšanu, kā rezultātā ļoti daudzas personas, kurām pakalpojums bija nepieciešams, to nevarēja saņemt. Pamatojoties uz iepriekš minēto, LM Saeimā iesniedza grozījumus Sociālo pakalpojumu un sociālās palīdzības likumā. Minētie grozījumi paredz atteikties no mērķa grupu ierobežojošā nosacījuma - valsts finansēto pakalpojumu tiesīgas saņemt tikai personas, kurām, pamatojoties uz onkoloģisko slimību, noteikta prognozējama vai pirmreizēja invaliditāte. Grozījumi likumā stājās spēkā 2020. </w:t>
      </w:r>
      <w:r>
        <w:rPr>
          <w:rFonts w:eastAsiaTheme="minorHAnsi" w:cs="Times New Roman"/>
          <w:szCs w:val="24"/>
          <w:lang w:val="lv-LV" w:eastAsia="lv-LV"/>
        </w:rPr>
        <w:t xml:space="preserve">gada 13. janvārī. </w:t>
      </w:r>
      <w:r w:rsidRPr="007868F8">
        <w:rPr>
          <w:rFonts w:eastAsiaTheme="minorHAnsi" w:cs="Times New Roman"/>
          <w:szCs w:val="24"/>
          <w:lang w:val="lv-LV" w:eastAsia="lv-LV"/>
        </w:rPr>
        <w:t xml:space="preserve">Līdz ar šiem grozījumiem 2020. gadā pakalpojumam būtu bijis būtiski jāpieaug rezultatīvā rādītāja izpildei, bet valstī noteiktā ārkārtējā stāvokļa dēļ pakalpojuma sniegšana nebija iespējama, jo šī pakalpojuma saņēmēji atrodas īpašajā riska grupā. Neskatoties uz pieņemtajiem grozījumiem Sociālo pakalpojumu un sociālās palīdzības likumā, Onkoloģisko slimnieku atbalsta biedrība “Dzīvības koks” ir informējusi LM, ka, pat pēc Covid-19 infekcijas izplatības beigām, biedrības kapacitātes dēļ nespēs nodrošināt 40 kursus gadā, līdz ar to sarunās ar Onkoloģisko slimnieku atbalsta biedrību “Dzīvības koks” ir panākta vienošanās plānoto pakalpojuma kursu skaitu samazināt līdz 35. </w:t>
      </w:r>
      <w:r w:rsidRPr="007868F8">
        <w:rPr>
          <w:rFonts w:eastAsiaTheme="minorHAnsi" w:cs="Times New Roman"/>
          <w:szCs w:val="24"/>
          <w:lang w:val="lv-LV" w:eastAsia="lv-LV"/>
        </w:rPr>
        <w:lastRenderedPageBreak/>
        <w:t xml:space="preserve">Ņemot vērā minēto, plānots samazināt pakalpojuma rezultatīvo rādītāju no 960 personām (40 kursi) līdz 840 personām (35 kursi). Kopējais finansējums pakalpojumam gadā plānots 271 730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(4 128,96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(pakalpojuma fiksētās izmaksas par 1 kursu) x 35 kursi) + (20,34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(izmaksas par 1 klienta dienu, t.i. izmaksas, kas saistītas ar pakalpojuma organizēšanu - telpu īre, ēdināšana, komunālie maksājumi, sakaru pakalpojumi, saimniecības preces u.c. ar iestāžu uzturēšanu saistīti preču un pakalpojumu izdevumi) x 24 personas (maksimālais personu skaits 1 kursā) x 6 dienas x 35 kursi) = 247 027,20 </w:t>
      </w:r>
      <w:r w:rsidRPr="007868F8">
        <w:rPr>
          <w:rFonts w:eastAsiaTheme="minorHAnsi" w:cs="Times New Roman"/>
          <w:i/>
          <w:szCs w:val="24"/>
          <w:lang w:val="lv-LV" w:eastAsia="lv-LV"/>
        </w:rPr>
        <w:t>euro</w:t>
      </w:r>
      <w:r w:rsidRPr="007868F8">
        <w:rPr>
          <w:rFonts w:eastAsiaTheme="minorHAnsi" w:cs="Times New Roman"/>
          <w:szCs w:val="24"/>
          <w:lang w:val="lv-LV" w:eastAsia="lv-LV"/>
        </w:rPr>
        <w:t xml:space="preserve"> x 1,10 (pakalpojuma administrēšanas izdevumi).</w:t>
      </w:r>
    </w:p>
    <w:p w14:paraId="32B21CCA" w14:textId="77777777" w:rsidR="007868F8" w:rsidRPr="007868F8" w:rsidRDefault="007868F8" w:rsidP="007868F8">
      <w:pPr>
        <w:ind w:firstLine="720"/>
        <w:rPr>
          <w:rFonts w:eastAsiaTheme="minorHAnsi" w:cs="Times New Roman"/>
          <w:szCs w:val="24"/>
          <w:lang w:val="lv-LV" w:eastAsia="lv-LV"/>
        </w:rPr>
      </w:pPr>
      <w:r w:rsidRPr="007868F8">
        <w:rPr>
          <w:rFonts w:eastAsiaTheme="minorHAnsi" w:cs="Times New Roman"/>
          <w:szCs w:val="24"/>
          <w:lang w:val="lv-LV" w:eastAsia="lv-LV"/>
        </w:rPr>
        <w:t xml:space="preserve">LM ir jāveic  valsts deleģēto funkciju/ pakalpojumu kvalitātes un efektivitātes novērtēšana, kā arī nepieciešams attīstīt un pilnveidot deleģētos pakalpojumus, ko nosaka ne tikai Valsts pārvaldes iekārtas likums, bet LM ir saņēmusi arī aizrādījumus no Valsts kontroles par minētā novērtējuma neesamību. Atbilstoši normatīvajiem aktiem reizi 5 gados valsts deleģētās funkcijas izpildei ir nepieciešams kvalitātes un efektivitātes novērtējums. LM apakšprogrammas 05.01.00 “Sociālās rehabilitācijas valsts programmas” ietvaros tiek finansēti 6 pakalpojumu sniedzēji (kopumā nodrošina vairāk kā 20 dažādus pakalpojumus), kas atbilstoši Sociālo pakalpojumu un sociālās palīdzības likumam ir valsts deleģēto funkciju nodrošinātāji.  Plānots turpmāk ik gadu izsludināt iepirkumu vismaz viena pakalpojuma izvērtējumam. Kvalificētu ekspertu pētījumi nodrošinās ne tikai esošo  pakalpojuma novērtēšanu (gan par pakalpojuma saturu, gan par finansējuma izlietojuma efektivitāti),  bet plānots, ka tiks sniegti arī priekšlikumi pakalpojumu izmaiņām un attīstībai, lai valsts sniegtie pakalpojumi būtu efektīvi un atbilstoši pakalpojuma saņēmēju vajadzībām. LM prognozē, ka, lai nodrošinātu ekspertu pētījumu par vienas deleģētās funkcijas izpildītāja sniegto pakalpojumu kvalitātes un efektivitātes novērtējumu, kā arī izstrādātu pakalpojumu attīstības stratēģiju, nepieciešams vidēji 38 819 </w:t>
      </w:r>
      <w:r w:rsidRPr="007868F8">
        <w:rPr>
          <w:rFonts w:eastAsiaTheme="minorHAnsi" w:cs="Times New Roman"/>
          <w:i/>
          <w:szCs w:val="24"/>
          <w:lang w:val="lv-LV" w:eastAsia="lv-LV"/>
        </w:rPr>
        <w:t>euro</w:t>
      </w:r>
      <w:r w:rsidRPr="007868F8">
        <w:rPr>
          <w:rFonts w:eastAsiaTheme="minorHAnsi" w:cs="Times New Roman"/>
          <w:szCs w:val="24"/>
          <w:lang w:val="lv-LV" w:eastAsia="lv-LV"/>
        </w:rPr>
        <w:t>. Jāņem vērā, ka ekspertu pētījuma izmaksas veido LM dotā uzdevuma izpildes laiks, apjoms un sarežģītība (iepirkuma tehniskās specifikācijas prasības). Noteikt precīzu pētījuma izdevumu summu, pirms izstrādātas konkrētā pētījuma prasības (tehniskā specifikācija) un noslēgusies iepirkuma procedūra, nav iespējams.  Gadījumā, ja iepirkuma rezultātā pētījumam būs nepieciešams finansējums mazākā apjomā nekā plānots, LM apakšprogrammas 05.01.00 “Sociālās rehabilitācijas valsts programmas” ietvaros veiks līdzekļu pārdali sociālās rehabilitācijas pakalpojumiem rindu mazināšanai.</w:t>
      </w:r>
    </w:p>
    <w:p w14:paraId="7B2C4C32" w14:textId="14ECBC83" w:rsidR="00DB4A03" w:rsidRPr="007868F8" w:rsidRDefault="007868F8" w:rsidP="002C24FA">
      <w:pPr>
        <w:spacing w:after="160"/>
        <w:ind w:firstLine="720"/>
        <w:rPr>
          <w:rFonts w:eastAsiaTheme="minorHAnsi" w:cs="Times New Roman"/>
          <w:iCs/>
          <w:szCs w:val="24"/>
          <w:lang w:val="lv-LV"/>
        </w:rPr>
      </w:pPr>
      <w:r w:rsidRPr="007868F8">
        <w:rPr>
          <w:rFonts w:eastAsiaTheme="minorHAnsi" w:cs="Times New Roman"/>
          <w:szCs w:val="24"/>
          <w:lang w:val="lv-LV" w:eastAsia="lv-LV"/>
        </w:rPr>
        <w:t xml:space="preserve">Pamatojoties uz PP apakšpasākuma pakalpojuma izpildes rādītājiem, PP apakšpasākuma pakalpojumam piešķirto finansējumu </w:t>
      </w:r>
      <w:r w:rsidRPr="007868F8">
        <w:rPr>
          <w:rFonts w:eastAsiaTheme="minorHAnsi" w:cs="Times New Roman"/>
          <w:b/>
          <w:szCs w:val="24"/>
          <w:lang w:val="lv-LV" w:eastAsia="lv-LV"/>
        </w:rPr>
        <w:t xml:space="preserve">2022.gadam un turpmāk ik gadu 38 819 </w:t>
      </w:r>
      <w:r w:rsidRPr="007868F8">
        <w:rPr>
          <w:rFonts w:eastAsiaTheme="minorHAnsi" w:cs="Times New Roman"/>
          <w:b/>
          <w:i/>
          <w:szCs w:val="24"/>
          <w:lang w:val="lv-LV" w:eastAsia="lv-LV"/>
        </w:rPr>
        <w:t>euro</w:t>
      </w:r>
      <w:r w:rsidRPr="007868F8">
        <w:rPr>
          <w:rFonts w:eastAsiaTheme="minorHAnsi" w:cs="Times New Roman"/>
          <w:b/>
          <w:szCs w:val="24"/>
          <w:lang w:val="lv-LV" w:eastAsia="lv-LV"/>
        </w:rPr>
        <w:t xml:space="preserve"> apmērā plānots </w:t>
      </w:r>
      <w:r w:rsidRPr="007868F8">
        <w:rPr>
          <w:rFonts w:eastAsiaTheme="minorHAnsi" w:cs="Times New Roman"/>
          <w:szCs w:val="24"/>
          <w:lang w:val="lv-LV" w:eastAsia="lv-LV"/>
        </w:rPr>
        <w:t>novirzīt izdevumiem</w:t>
      </w:r>
      <w:r w:rsidRPr="007868F8">
        <w:rPr>
          <w:rFonts w:eastAsiaTheme="minorHAnsi" w:cs="Times New Roman"/>
          <w:iCs/>
          <w:szCs w:val="24"/>
          <w:lang w:val="lv-LV"/>
        </w:rPr>
        <w:t>, lai nodrošinātu  ekspertu pētījuma izstrādi par deleģēto uzdevumu - sociālās rehabilitācijas, psihosociālās rehabilitācijas un tehnisko palīglīdzekļu pakalpojumu sniegšanu u.c. valsts deleģēto uzdevumu - izpildes kvalitātes un efektivitātes novērtējumu.</w:t>
      </w:r>
    </w:p>
    <w:p w14:paraId="5CFE492E" w14:textId="77777777" w:rsidR="00DB4A03" w:rsidRPr="00FA3BB1" w:rsidRDefault="00DB4A03" w:rsidP="00DB4A03">
      <w:pPr>
        <w:spacing w:before="120"/>
        <w:rPr>
          <w:rFonts w:eastAsiaTheme="minorHAnsi"/>
          <w:b/>
          <w:bCs/>
          <w:lang w:val="lv-LV"/>
        </w:rPr>
      </w:pPr>
      <w:r w:rsidRPr="00FA3BB1">
        <w:rPr>
          <w:rFonts w:eastAsiaTheme="minorHAnsi"/>
          <w:b/>
          <w:bCs/>
          <w:lang w:val="lv-LV"/>
        </w:rPr>
        <w:t xml:space="preserve">RTV - </w:t>
      </w:r>
      <w:r w:rsidRPr="00FA3BB1">
        <w:rPr>
          <w:rFonts w:eastAsia="Times New Roman" w:cs="Times New Roman"/>
          <w:b/>
          <w:color w:val="000000"/>
          <w:szCs w:val="24"/>
          <w:lang w:val="lv-LV" w:eastAsia="lv-LV"/>
        </w:rPr>
        <w:t>Lai VSIA “Latvijas Radio” caur sabiedriskā pasūtījuma īstenošanu nodrošinātu VSIA “Latvijas Radio” darbinieku atlīdzības palielināšanu un veiktu strukturālās reformas</w:t>
      </w:r>
    </w:p>
    <w:p w14:paraId="224A4EDE" w14:textId="77777777" w:rsidR="00DB4A03" w:rsidRPr="00FA3BB1" w:rsidRDefault="00DB4A03" w:rsidP="00DB4A03">
      <w:pPr>
        <w:spacing w:before="120"/>
        <w:ind w:firstLine="720"/>
        <w:rPr>
          <w:rFonts w:eastAsia="Times New Roman" w:cs="Times New Roman"/>
          <w:color w:val="000000"/>
          <w:szCs w:val="24"/>
          <w:lang w:val="lv-LV" w:eastAsia="lv-LV"/>
        </w:rPr>
      </w:pPr>
      <w:r w:rsidRPr="00FA3BB1">
        <w:rPr>
          <w:rFonts w:eastAsia="Times New Roman" w:cs="Times New Roman"/>
          <w:color w:val="000000"/>
          <w:szCs w:val="24"/>
          <w:lang w:val="lv-LV" w:eastAsia="lv-LV"/>
        </w:rPr>
        <w:t xml:space="preserve">Izdevumu pārskatīšanas kontekstā, izvērtējot </w:t>
      </w:r>
      <w:r>
        <w:rPr>
          <w:rFonts w:eastAsia="Times New Roman" w:cs="Times New Roman"/>
          <w:color w:val="000000"/>
          <w:szCs w:val="24"/>
          <w:lang w:val="lv-LV" w:eastAsia="lv-LV"/>
        </w:rPr>
        <w:t>RTV</w:t>
      </w:r>
      <w:r w:rsidRPr="00FA3BB1">
        <w:rPr>
          <w:rFonts w:eastAsia="Times New Roman" w:cs="Times New Roman"/>
          <w:color w:val="000000"/>
          <w:szCs w:val="24"/>
          <w:lang w:val="lv-LV" w:eastAsia="lv-LV"/>
        </w:rPr>
        <w:t xml:space="preserve"> piešķirtos valsts budžeta līdzekļus PP īstenošanai 2020. - 2022. gadam, tika izvērtēta PP “Lai VSIA “Latvijas Radio” caur sabiedriskā pasūtījuma īstenošanu nodrošinātu VSIA “Latvijas Radio” darbinieku atlīdzības palielināšanu un veiktu strukturālās reformas” īstenošanas gaita.</w:t>
      </w:r>
    </w:p>
    <w:p w14:paraId="17C0565E" w14:textId="77777777" w:rsidR="00DB4A03" w:rsidRPr="00FA3BB1" w:rsidRDefault="00DB4A03" w:rsidP="00DB4A03">
      <w:pPr>
        <w:spacing w:before="120"/>
        <w:ind w:firstLine="720"/>
        <w:rPr>
          <w:rFonts w:eastAsia="Times New Roman" w:cs="Times New Roman"/>
          <w:color w:val="000000"/>
          <w:szCs w:val="24"/>
          <w:lang w:val="lv-LV" w:eastAsia="lv-LV"/>
        </w:rPr>
      </w:pPr>
      <w:r w:rsidRPr="00FA3BB1">
        <w:rPr>
          <w:rFonts w:eastAsia="Times New Roman" w:cs="Times New Roman"/>
          <w:color w:val="000000"/>
          <w:szCs w:val="24"/>
          <w:lang w:val="lv-LV" w:eastAsia="lv-LV"/>
        </w:rPr>
        <w:lastRenderedPageBreak/>
        <w:t xml:space="preserve">PP ietvaros bija plānots veikt strukturālās reformas, pilnveidojot satura veidošanas kapacitāti un kvalitāti, kā arī veicināt pētnieciskos, multimediālos un inovatīvos satura formātus. </w:t>
      </w:r>
    </w:p>
    <w:p w14:paraId="48BE2512" w14:textId="77777777" w:rsidR="00DB4A03" w:rsidRDefault="00DB4A03" w:rsidP="00DB4A03">
      <w:pPr>
        <w:spacing w:before="120"/>
        <w:ind w:firstLine="720"/>
        <w:rPr>
          <w:rFonts w:eastAsia="Times New Roman" w:cs="Times New Roman"/>
          <w:color w:val="000000"/>
          <w:szCs w:val="24"/>
          <w:lang w:val="lv-LV" w:eastAsia="lv-LV"/>
        </w:rPr>
      </w:pPr>
      <w:r w:rsidRPr="00FA3BB1">
        <w:rPr>
          <w:rFonts w:eastAsia="Times New Roman" w:cs="Times New Roman"/>
          <w:color w:val="000000"/>
          <w:szCs w:val="24"/>
          <w:lang w:val="lv-LV" w:eastAsia="lv-LV"/>
        </w:rPr>
        <w:t xml:space="preserve">VSIA “Latvijas Radio” (turpmāk – Latvijas Radio) piešķirtā finansējuma (piešķirts finansējums 750 000 </w:t>
      </w:r>
      <w:r w:rsidRPr="00FA3BB1">
        <w:rPr>
          <w:rFonts w:eastAsia="Times New Roman" w:cs="Times New Roman"/>
          <w:i/>
          <w:color w:val="000000"/>
          <w:szCs w:val="24"/>
          <w:lang w:val="lv-LV" w:eastAsia="lv-LV"/>
        </w:rPr>
        <w:t>euro</w:t>
      </w:r>
      <w:r w:rsidRPr="00FA3BB1">
        <w:rPr>
          <w:rFonts w:eastAsia="Times New Roman" w:cs="Times New Roman"/>
          <w:color w:val="000000"/>
          <w:szCs w:val="24"/>
          <w:lang w:val="lv-LV" w:eastAsia="lv-LV"/>
        </w:rPr>
        <w:t xml:space="preserve"> apmērā ik gadu) ietvaros īstenoja “VSIA “Latvijas Radio” efektivitātes un strukturālo reformu pasākumu 2020. – 2022. gadam” plānā paredzētos pasākumus. Tā ietvaros ir izstrādāta darba samaksas sistēma darbinieku atlīdzības palielināšanai atbilstoši darba tirgus tendencēm, pārskatīts un jaunā redakcijā noslēgts Latvijas Radio koplīgums, izveidota Pētnieciskās žurnālistikas daļa, stiprināta vidējā līmeņa administratīvās vadības un starpkanālu satura veidošanas un koordinācijas kapacitāte. No 2020. gada 1. jūnija ir uzsākta darba samaksas reforma, paaugstinot darbinieku atalgojumu vidēji par 9,3%. Tāpat investīcijām paredzēto līdzekļu ietvaros ir izstrādāts projekts 4. ierakstu studijas pārveidei par pilnvērtīgu multimediālu ētera studiju, uzsākti 4. ierakstu studijas rekonstrukcijas darbi un veikta nepieciešamo tehnisko resursu iegāde.</w:t>
      </w:r>
    </w:p>
    <w:p w14:paraId="41A103F9" w14:textId="77777777" w:rsidR="00DB4A03" w:rsidRDefault="00DB4A03" w:rsidP="00DB4A03">
      <w:pPr>
        <w:spacing w:before="120"/>
        <w:ind w:firstLine="720"/>
        <w:rPr>
          <w:rFonts w:eastAsia="Times New Roman" w:cs="Times New Roman"/>
          <w:color w:val="000000"/>
          <w:szCs w:val="24"/>
          <w:lang w:val="lv-LV" w:eastAsia="lv-LV"/>
        </w:rPr>
      </w:pPr>
      <w:r w:rsidRPr="00FA3BB1">
        <w:rPr>
          <w:rFonts w:eastAsia="Times New Roman" w:cs="Times New Roman"/>
          <w:color w:val="000000"/>
          <w:szCs w:val="24"/>
          <w:lang w:val="lv-LV" w:eastAsia="lv-LV"/>
        </w:rPr>
        <w:t>Vērtējot 2020. gada izpildes analīzi par 12 mēnešiem, var secināt, ka Latvijas Radio 2020. gadā nav izlietojusi visu tai pieejamo valsts budžeta finansējumu PP īstenošanai jeb izdevumi nav veikti pilnā apmērā. NEPLP ir sniegusi informāciju, ka Latvijas Radio jaunais Darbinieku novērtēšanas un motivācijas sistēmas nolikums paredz ikgadējās novērtēšanas rezultātā iepriekšējā gadā ļoti labi un izcili strādājušos darbiniekus prēmēt par sasniegtajiem rezultātiem. Tā kā jaunās motivācijas sistēmas izveide ir sarežģīta un prasa arī IT sistēmas izveidi, to neizdevās pilnībā pabeigt 2020. gadā. 2020. gadā tika vērtēta amata pienākumu izpilde, ētera produkta kvalitāte, Latvijas Radio darba plāna uzdevumu izpilde un kvalitatīvo mērķu sasniegšana, bet 2021. gadam ir noteikti un arī turpmāk tiks vērtēti kvantitatīvie mērķi (piemēram, sasniegtā auditorija vai saražotā satura a</w:t>
      </w:r>
      <w:r>
        <w:rPr>
          <w:rFonts w:eastAsia="Times New Roman" w:cs="Times New Roman"/>
          <w:color w:val="000000"/>
          <w:szCs w:val="24"/>
          <w:lang w:val="lv-LV" w:eastAsia="lv-LV"/>
        </w:rPr>
        <w:t xml:space="preserve">pjoms konkrētā apakštematikā). </w:t>
      </w:r>
    </w:p>
    <w:p w14:paraId="59223887" w14:textId="77777777" w:rsidR="00DB4A03" w:rsidRDefault="00DB4A03" w:rsidP="00DB4A03">
      <w:pPr>
        <w:spacing w:before="120"/>
        <w:ind w:firstLine="720"/>
        <w:rPr>
          <w:rFonts w:eastAsia="Times New Roman" w:cs="Times New Roman"/>
          <w:color w:val="000000"/>
          <w:szCs w:val="24"/>
          <w:lang w:val="lv-LV" w:eastAsia="lv-LV"/>
        </w:rPr>
      </w:pPr>
      <w:r w:rsidRPr="00FA3BB1">
        <w:rPr>
          <w:rFonts w:eastAsia="Times New Roman" w:cs="Times New Roman"/>
          <w:color w:val="000000"/>
          <w:szCs w:val="24"/>
          <w:lang w:val="lv-LV" w:eastAsia="lv-LV"/>
        </w:rPr>
        <w:t>Lai nodrošinātu 2020. gadā uzsākto strukturālo reformu, tai skaitā darbinieku motivācijas sistēmas izveidi un attiecīgi darbinieku novērtēšanas prēmiju par 2020. gada rezultātiem izmaksu, NEPLP 2021. gada 26. februārī iesniedza FM apropriācijas pārdales pieprasījumu no budžeta resora “74. Gadskārtējā valsts budžeta izpildes procesā pārdalāmais finansējums” budžeta programmas 01.00.00 “Apropriācijas rezerve” 47. resora “Radio un televīzija” budžeta programmai 02.00.00 “Latvijas Radio programmu veidošana un izplatīšana”, lai Latvijas Radio nodrošinātu uzsākto strukturālo reformu pabeigšanu, kā arī darbinieku novērtēšanas un motivācijas sistēmas ieviešanas pabeigšanu, kas tika iekļauts 2021. gada 19. aprīļa FM rīkojumā Nr. 230 “Par apropriācijas pārdali”. Vienlaikus saskaņā ar MK 2018. gada 17. jūlija noteikumu Nr. 421 “Kārtība, kādā veic gadskārtējā valsts budžeta likumā noteiktās apropriācijas izmaiņas” 23.</w:t>
      </w:r>
      <w:r w:rsidRPr="00FA3BB1">
        <w:rPr>
          <w:rFonts w:eastAsia="Times New Roman" w:cs="Times New Roman"/>
          <w:color w:val="000000"/>
          <w:szCs w:val="24"/>
          <w:vertAlign w:val="superscript"/>
          <w:lang w:val="lv-LV" w:eastAsia="lv-LV"/>
        </w:rPr>
        <w:t>2</w:t>
      </w:r>
      <w:r w:rsidRPr="00FA3BB1">
        <w:rPr>
          <w:rFonts w:eastAsia="Times New Roman" w:cs="Times New Roman"/>
          <w:color w:val="000000"/>
          <w:szCs w:val="24"/>
          <w:lang w:val="lv-LV" w:eastAsia="lv-LV"/>
        </w:rPr>
        <w:t xml:space="preserve"> punktu, ministrija un cita centrālā valsts iestāde no apropriācijas rezerves saņemto finansējumu attiecīgajam pasākumam izlieto līdz kārtējā gada beigām. Ja finansējums nav izlietots attiecīgajam pasākumam, turpmākajos gados tam pašam pasākumam finansējumu no apropriācijas rezerves nepieprasa</w:t>
      </w:r>
      <w:r w:rsidRPr="00FA3BB1">
        <w:rPr>
          <w:rFonts w:eastAsia="Times New Roman" w:cs="Times New Roman"/>
          <w:bCs/>
          <w:color w:val="000000"/>
          <w:szCs w:val="24"/>
          <w:lang w:val="lv-LV" w:eastAsia="lv-LV"/>
        </w:rPr>
        <w:t>.</w:t>
      </w:r>
    </w:p>
    <w:p w14:paraId="10DF816A" w14:textId="77777777" w:rsidR="00DB4A03" w:rsidRDefault="00DB4A03" w:rsidP="00DB4A03">
      <w:pPr>
        <w:spacing w:before="120"/>
        <w:ind w:firstLine="720"/>
        <w:rPr>
          <w:rFonts w:eastAsia="Times New Roman" w:cs="Times New Roman"/>
          <w:color w:val="000000"/>
          <w:szCs w:val="24"/>
          <w:lang w:val="lv-LV" w:eastAsia="lv-LV"/>
        </w:rPr>
      </w:pPr>
      <w:r w:rsidRPr="00FA3BB1">
        <w:rPr>
          <w:rFonts w:eastAsia="Times New Roman" w:cs="Times New Roman"/>
          <w:color w:val="000000"/>
          <w:szCs w:val="24"/>
          <w:lang w:val="lv-LV" w:eastAsia="lv-LV"/>
        </w:rPr>
        <w:t>Vienlaikus NEPLP ir vērsusi uzmanību, ka, ievērojot faktu, ka turpmāk pie izvērtēšanas tiks ņemti vērā arī SIA “TNS Latvia” pētījumu dati par iepriekšējo gadu, novērtēšana un prēmiju izmaksa arī turpmāk būs iespējama tikai nākamā gada pirmā ceturkšņa beigās. Tā rezultātā ir secināms, ka šī PP īstenošanai gada beigās netiks izlietots plānotais finansējums, kurš attiecīgi būs nepieciešams 2022. gada sākumā, savukārt 2022. gada beigās plānotais finansējums būs nepieciešams 2023. gada sākumā u.t.t. Šāda izdevumu plānošana, kad katru gadu vienam un tam pašam mērķim veidojas slēg</w:t>
      </w:r>
      <w:r>
        <w:rPr>
          <w:rFonts w:eastAsia="Times New Roman" w:cs="Times New Roman"/>
          <w:color w:val="000000"/>
          <w:szCs w:val="24"/>
          <w:lang w:val="lv-LV" w:eastAsia="lv-LV"/>
        </w:rPr>
        <w:t>tie asignējumi, nav pieļaujama.</w:t>
      </w:r>
    </w:p>
    <w:p w14:paraId="40D6DBE6" w14:textId="20E76A9E" w:rsidR="00DB4A03" w:rsidRPr="00DB4A03" w:rsidRDefault="00DB4A03" w:rsidP="00DB4A03">
      <w:pPr>
        <w:spacing w:before="120"/>
        <w:ind w:firstLine="720"/>
        <w:rPr>
          <w:rFonts w:eastAsia="Times New Roman" w:cs="Times New Roman"/>
          <w:color w:val="000000"/>
          <w:szCs w:val="24"/>
          <w:lang w:val="lv-LV" w:eastAsia="lv-LV"/>
        </w:rPr>
      </w:pPr>
      <w:r w:rsidRPr="00FA3BB1">
        <w:rPr>
          <w:rFonts w:eastAsia="Times New Roman" w:cs="Times New Roman"/>
          <w:color w:val="000000"/>
          <w:szCs w:val="24"/>
          <w:lang w:val="lv-LV" w:eastAsia="lv-LV"/>
        </w:rPr>
        <w:lastRenderedPageBreak/>
        <w:t xml:space="preserve">Tādējādi, lai katru gadu gada beigās neveidotos slēgtie asignējumi, kuri savukārt pēc tam katru nākamo gadu jāpiešķir no budžeta resora “74. Gadskārtējā valsts budžeta izpildes procesā pārdalāmais finansējums” budžeta programmas 01.00.00 “Apropriācijas rezerve”, nepieciešams veikt izmaiņas Latvijas Radio naudas plūsmas plānošanā, pēc NEPLP pieprasījuma virzot jautājumu par atļauju 2021. gadā plānoto finansējumu darbinieku novērtēšanas un motivācijas sistēmas nodrošināšanai </w:t>
      </w:r>
      <w:r w:rsidRPr="00FA3BB1">
        <w:rPr>
          <w:rFonts w:eastAsia="Times New Roman" w:cs="Times New Roman"/>
          <w:b/>
          <w:bCs/>
          <w:color w:val="000000"/>
          <w:szCs w:val="24"/>
          <w:lang w:val="lv-LV" w:eastAsia="lv-LV"/>
        </w:rPr>
        <w:t xml:space="preserve">114 000 </w:t>
      </w:r>
      <w:r w:rsidRPr="00FA3BB1">
        <w:rPr>
          <w:rFonts w:eastAsia="Times New Roman" w:cs="Times New Roman"/>
          <w:b/>
          <w:bCs/>
          <w:i/>
          <w:color w:val="000000"/>
          <w:szCs w:val="24"/>
          <w:lang w:val="lv-LV" w:eastAsia="lv-LV"/>
        </w:rPr>
        <w:t>euro</w:t>
      </w:r>
      <w:r w:rsidRPr="00FA3BB1">
        <w:rPr>
          <w:rFonts w:eastAsia="Times New Roman" w:cs="Times New Roman"/>
          <w:b/>
          <w:bCs/>
          <w:color w:val="000000"/>
          <w:szCs w:val="24"/>
          <w:lang w:val="lv-LV" w:eastAsia="lv-LV"/>
        </w:rPr>
        <w:t xml:space="preserve"> </w:t>
      </w:r>
      <w:r w:rsidRPr="00FA3BB1">
        <w:rPr>
          <w:rFonts w:eastAsia="Times New Roman" w:cs="Times New Roman"/>
          <w:color w:val="000000"/>
          <w:szCs w:val="24"/>
          <w:lang w:val="lv-LV" w:eastAsia="lv-LV"/>
        </w:rPr>
        <w:t>apmērā novirzīt citu Latvijas Radio aktuālo izdevumu segšanai, t.i., sabiedriskā pasūtījuma īstenošanai Latvijas Radio. Vienlaikus likuma “Par valsts budžetu 2021. gadam” 42. pants paredz, ka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2019. gadam, 2020. – 2022. gadam un 2021. – 2023. gadam piešķirtā finansējuma, ja ir pieņemts MK lēmums un Saeimas Budžeta un finanšu (nodokļu) komisija piecu darba dienu laikā no attiecīgās informācijas saņemšanas dienas nav iebildusi pret apropriācijas pārdali. Tādējādi NEPLP sadarbībā ar KM pastāv iespēja sagatavot attiecīgu pri</w:t>
      </w:r>
      <w:r>
        <w:rPr>
          <w:rFonts w:eastAsia="Times New Roman" w:cs="Times New Roman"/>
          <w:color w:val="000000"/>
          <w:szCs w:val="24"/>
          <w:lang w:val="lv-LV" w:eastAsia="lv-LV"/>
        </w:rPr>
        <w:t>ekšlikumu izskatīšanai MK sēdē.</w:t>
      </w:r>
    </w:p>
    <w:p w14:paraId="73932EB6" w14:textId="4EEFAAFB" w:rsidR="00FA3BB1" w:rsidRPr="00FA3BB1" w:rsidRDefault="00FA3BB1" w:rsidP="00FA3BB1">
      <w:pPr>
        <w:jc w:val="left"/>
        <w:rPr>
          <w:rFonts w:eastAsiaTheme="minorHAnsi"/>
          <w:b/>
          <w:bCs/>
          <w:lang w:val="lv-LV"/>
        </w:rPr>
      </w:pPr>
      <w:r w:rsidRPr="00FA3BB1">
        <w:rPr>
          <w:rFonts w:eastAsiaTheme="minorHAnsi"/>
          <w:b/>
          <w:bCs/>
          <w:lang w:val="lv-LV"/>
        </w:rPr>
        <w:t>SIF – Ģimenei draudzīga darbavieta</w:t>
      </w:r>
    </w:p>
    <w:p w14:paraId="7073FC77" w14:textId="31E68924" w:rsidR="00FA3BB1" w:rsidRPr="00FA3BB1" w:rsidRDefault="00FA3BB1" w:rsidP="00C55241">
      <w:pPr>
        <w:ind w:firstLine="720"/>
        <w:rPr>
          <w:rFonts w:eastAsiaTheme="minorHAnsi"/>
          <w:lang w:val="lv-LV"/>
        </w:rPr>
      </w:pPr>
      <w:r w:rsidRPr="00FA3BB1">
        <w:rPr>
          <w:rFonts w:eastAsiaTheme="minorHAnsi"/>
          <w:lang w:val="lv-LV"/>
        </w:rPr>
        <w:t xml:space="preserve">Likumprojekta “Par vidēja termiņa budžeta ietvaru 2020., 2021. un 2022. gadam” un likumprojekta “Par valsts budžetu 2020. gadam” sagatavošanas gaitā saskaņā ar MK 2019. gada 17. septembra sēdes protokola Nr. 42 34.§ 2. punktu no LM uz SIF tika pārdalīts finansējums 2020. – 2022. gadam 108 050 </w:t>
      </w:r>
      <w:r w:rsidRPr="00FA3BB1">
        <w:rPr>
          <w:rFonts w:eastAsiaTheme="minorHAnsi"/>
          <w:i/>
          <w:iCs/>
          <w:lang w:val="lv-LV"/>
        </w:rPr>
        <w:t>euro</w:t>
      </w:r>
      <w:r w:rsidRPr="00FA3BB1">
        <w:rPr>
          <w:rFonts w:eastAsiaTheme="minorHAnsi"/>
          <w:lang w:val="lv-LV"/>
        </w:rPr>
        <w:t xml:space="preserve"> apmērā ik gadu </w:t>
      </w:r>
      <w:r w:rsidR="00C55241">
        <w:rPr>
          <w:rFonts w:eastAsiaTheme="minorHAnsi"/>
          <w:lang w:val="lv-LV"/>
        </w:rPr>
        <w:t>PP</w:t>
      </w:r>
      <w:r w:rsidRPr="00FA3BB1">
        <w:rPr>
          <w:rFonts w:eastAsiaTheme="minorHAnsi"/>
          <w:lang w:val="lv-LV"/>
        </w:rPr>
        <w:t xml:space="preserve"> “Ģimenei dr</w:t>
      </w:r>
      <w:r w:rsidR="00C55241">
        <w:rPr>
          <w:rFonts w:eastAsiaTheme="minorHAnsi"/>
          <w:lang w:val="lv-LV"/>
        </w:rPr>
        <w:t xml:space="preserve">audzīga darbavieta” īstenošanai. PP </w:t>
      </w:r>
      <w:r w:rsidRPr="00FA3BB1">
        <w:rPr>
          <w:rFonts w:eastAsiaTheme="minorHAnsi"/>
          <w:lang w:val="lv-LV"/>
        </w:rPr>
        <w:t xml:space="preserve">ietvaros kopumā tika paredzēts finansējums 108 050 </w:t>
      </w:r>
      <w:r w:rsidRPr="00FA3BB1">
        <w:rPr>
          <w:rFonts w:eastAsiaTheme="minorHAnsi"/>
          <w:i/>
          <w:iCs/>
          <w:lang w:val="lv-LV"/>
        </w:rPr>
        <w:t>euro</w:t>
      </w:r>
      <w:r w:rsidRPr="00FA3BB1">
        <w:rPr>
          <w:rFonts w:eastAsiaTheme="minorHAnsi"/>
          <w:lang w:val="lv-LV"/>
        </w:rPr>
        <w:t xml:space="preserve"> apmērā, tajā skaitā 34 249 </w:t>
      </w:r>
      <w:r w:rsidRPr="00FA3BB1">
        <w:rPr>
          <w:rFonts w:eastAsiaTheme="minorHAnsi"/>
          <w:i/>
          <w:iCs/>
          <w:lang w:val="lv-LV"/>
        </w:rPr>
        <w:t>euro</w:t>
      </w:r>
      <w:r w:rsidRPr="00FA3BB1">
        <w:rPr>
          <w:rFonts w:eastAsiaTheme="minorHAnsi"/>
          <w:lang w:val="lv-LV"/>
        </w:rPr>
        <w:t xml:space="preserve"> darbinieka atlīdzībai, 7 992 </w:t>
      </w:r>
      <w:r w:rsidRPr="00FA3BB1">
        <w:rPr>
          <w:rFonts w:eastAsiaTheme="minorHAnsi"/>
          <w:i/>
          <w:iCs/>
          <w:lang w:val="lv-LV"/>
        </w:rPr>
        <w:t>euro</w:t>
      </w:r>
      <w:r w:rsidRPr="00FA3BB1">
        <w:rPr>
          <w:rFonts w:eastAsiaTheme="minorHAnsi"/>
          <w:lang w:val="lv-LV"/>
        </w:rPr>
        <w:t xml:space="preserve"> darba vietas uzturēšanas izdevumiem, 8 800 </w:t>
      </w:r>
      <w:r w:rsidRPr="00FA3BB1">
        <w:rPr>
          <w:rFonts w:eastAsiaTheme="minorHAnsi"/>
          <w:i/>
          <w:iCs/>
          <w:lang w:val="lv-LV"/>
        </w:rPr>
        <w:t>euro</w:t>
      </w:r>
      <w:r w:rsidRPr="00FA3BB1">
        <w:rPr>
          <w:rFonts w:eastAsiaTheme="minorHAnsi"/>
          <w:lang w:val="lv-LV"/>
        </w:rPr>
        <w:t xml:space="preserve"> apmērā sakaru un komandējumu izdevumiem un 57 009 </w:t>
      </w:r>
      <w:r w:rsidRPr="00FA3BB1">
        <w:rPr>
          <w:rFonts w:eastAsiaTheme="minorHAnsi"/>
          <w:i/>
          <w:iCs/>
          <w:lang w:val="lv-LV"/>
        </w:rPr>
        <w:t>euro</w:t>
      </w:r>
      <w:r w:rsidRPr="00FA3BB1">
        <w:rPr>
          <w:rFonts w:eastAsiaTheme="minorHAnsi"/>
          <w:lang w:val="lv-LV"/>
        </w:rPr>
        <w:t xml:space="preserve"> gadā dažādu ārpakalpojumu veikšanai (pētījumam, ekspertu piesaistei, sabiedriskajai apspriešanai, publiskai komunikācijai, materi</w:t>
      </w:r>
      <w:r w:rsidR="00C55241">
        <w:rPr>
          <w:rFonts w:eastAsiaTheme="minorHAnsi"/>
          <w:lang w:val="lv-LV"/>
        </w:rPr>
        <w:t xml:space="preserve">ālu izstrādes u.c. izdevumiem). </w:t>
      </w:r>
      <w:r w:rsidRPr="00FA3BB1">
        <w:rPr>
          <w:rFonts w:eastAsiaTheme="minorHAnsi"/>
          <w:lang w:val="lv-LV"/>
        </w:rPr>
        <w:t xml:space="preserve">Izvērtējot 2020. gadā sasniegtos rezultātus, secināms, ka izdevumi tika izlietoti 71 882 </w:t>
      </w:r>
      <w:r w:rsidRPr="00FA3BB1">
        <w:rPr>
          <w:rFonts w:eastAsiaTheme="minorHAnsi"/>
          <w:i/>
          <w:iCs/>
          <w:lang w:val="lv-LV"/>
        </w:rPr>
        <w:t>euro</w:t>
      </w:r>
      <w:r w:rsidRPr="00FA3BB1">
        <w:rPr>
          <w:rFonts w:eastAsiaTheme="minorHAnsi"/>
          <w:lang w:val="lv-LV"/>
        </w:rPr>
        <w:t xml:space="preserve"> jeb 67% apmērā no plānotā, vienlaikus programmas aktivitātēs tika iesaistīti kopumā 50 darba devēji, kaut arī sākotnēji tika plānota tikai 5 darba devēju iesaiste. Ņemot vērā izdevumu apguvi 2020. gadā, kā arī turpinoties ierobežojumiem Covid-19 situācijas dēļ, kas ietekmē aktivitāšu pilnvērtīgu norisi, </w:t>
      </w:r>
      <w:r w:rsidR="00C128A1">
        <w:rPr>
          <w:rFonts w:eastAsiaTheme="minorHAnsi"/>
          <w:lang w:val="lv-LV"/>
        </w:rPr>
        <w:t xml:space="preserve">kā arī </w:t>
      </w:r>
      <w:r w:rsidR="00C128A1" w:rsidRPr="00C128A1">
        <w:rPr>
          <w:rFonts w:eastAsiaTheme="minorHAnsi"/>
          <w:lang w:val="lv-LV"/>
        </w:rPr>
        <w:t>iestādes restrukturizācija, kas aizkavēja noteiktu aktivitāšu norisi</w:t>
      </w:r>
      <w:r w:rsidR="00C128A1">
        <w:rPr>
          <w:rFonts w:eastAsiaTheme="minorHAnsi"/>
          <w:lang w:val="lv-LV"/>
        </w:rPr>
        <w:t>,</w:t>
      </w:r>
      <w:r w:rsidR="00C128A1" w:rsidRPr="00FA3BB1">
        <w:rPr>
          <w:rFonts w:eastAsiaTheme="minorHAnsi"/>
          <w:lang w:val="lv-LV"/>
        </w:rPr>
        <w:t xml:space="preserve"> </w:t>
      </w:r>
      <w:r w:rsidRPr="00FA3BB1">
        <w:rPr>
          <w:rFonts w:eastAsiaTheme="minorHAnsi"/>
          <w:lang w:val="lv-LV"/>
        </w:rPr>
        <w:t xml:space="preserve">finansējums </w:t>
      </w:r>
      <w:r w:rsidRPr="00FA3BB1">
        <w:rPr>
          <w:rFonts w:eastAsiaTheme="minorHAnsi"/>
          <w:b/>
          <w:bCs/>
          <w:lang w:val="lv-LV"/>
        </w:rPr>
        <w:t xml:space="preserve">36 168 </w:t>
      </w:r>
      <w:r w:rsidRPr="00FA3BB1">
        <w:rPr>
          <w:rFonts w:eastAsiaTheme="minorHAnsi"/>
          <w:b/>
          <w:bCs/>
          <w:i/>
          <w:iCs/>
          <w:lang w:val="lv-LV"/>
        </w:rPr>
        <w:t>euro</w:t>
      </w:r>
      <w:r w:rsidRPr="00FA3BB1">
        <w:rPr>
          <w:rFonts w:eastAsiaTheme="minorHAnsi"/>
          <w:b/>
          <w:bCs/>
          <w:lang w:val="lv-LV"/>
        </w:rPr>
        <w:t xml:space="preserve"> </w:t>
      </w:r>
      <w:r w:rsidRPr="00FA3BB1">
        <w:rPr>
          <w:rFonts w:eastAsiaTheme="minorHAnsi"/>
          <w:lang w:val="lv-LV"/>
        </w:rPr>
        <w:t>apmērā 2022. gadam ir vērtējams kā pieejamie iekšējie resursi un novirzāms prioritārāku izdevumu segšanai.</w:t>
      </w:r>
    </w:p>
    <w:p w14:paraId="127E724E" w14:textId="77777777" w:rsidR="00FA3BB1" w:rsidRPr="00FA3BB1" w:rsidRDefault="00FA3BB1" w:rsidP="00FA3BB1">
      <w:pPr>
        <w:rPr>
          <w:rFonts w:eastAsiaTheme="minorHAnsi"/>
          <w:b/>
          <w:bCs/>
          <w:lang w:val="lv-LV"/>
        </w:rPr>
      </w:pPr>
      <w:r w:rsidRPr="00FA3BB1">
        <w:rPr>
          <w:rFonts w:eastAsiaTheme="minorHAnsi"/>
          <w:b/>
          <w:bCs/>
          <w:lang w:val="lv-LV"/>
        </w:rPr>
        <w:t>VARAM - Vides uzraudzības stiprināšana (t.sk. algas inspektoriem)</w:t>
      </w:r>
    </w:p>
    <w:p w14:paraId="17F3E6FE" w14:textId="77777777" w:rsidR="00FA3BB1" w:rsidRPr="00FA3BB1" w:rsidRDefault="00FA3BB1" w:rsidP="006D4602">
      <w:pPr>
        <w:spacing w:before="120"/>
        <w:ind w:firstLine="720"/>
        <w:rPr>
          <w:rFonts w:eastAsiaTheme="minorHAnsi" w:cs="Times New Roman"/>
          <w:szCs w:val="24"/>
          <w:lang w:val="lv-LV"/>
        </w:rPr>
      </w:pPr>
      <w:r w:rsidRPr="00FA3BB1">
        <w:rPr>
          <w:rFonts w:eastAsiaTheme="minorHAnsi" w:cs="Times New Roman"/>
          <w:szCs w:val="24"/>
          <w:lang w:val="lv-LV"/>
        </w:rPr>
        <w:t xml:space="preserve">VARAM budžeta programmā 28.00.00. “Meteoroloģija un bīstamo atkritumu pārvaldība” 2018. – 2020. gada ietvarā piešķirts finansējums PP “Vides uzraudzības stiprināšana (t.sk. algas inspektoriem)” 2018. gadam 281 166 </w:t>
      </w:r>
      <w:r w:rsidRPr="00FA3BB1">
        <w:rPr>
          <w:rFonts w:eastAsiaTheme="minorHAnsi" w:cs="Times New Roman"/>
          <w:i/>
          <w:iCs/>
          <w:szCs w:val="24"/>
          <w:lang w:val="lv-LV"/>
        </w:rPr>
        <w:t>euro</w:t>
      </w:r>
      <w:r w:rsidRPr="00FA3BB1">
        <w:rPr>
          <w:rFonts w:eastAsiaTheme="minorHAnsi" w:cs="Times New Roman"/>
          <w:szCs w:val="24"/>
          <w:lang w:val="lv-LV"/>
        </w:rPr>
        <w:t xml:space="preserve"> apmērā, 2019. gadā un turpmākajiem gadiem 161 166 </w:t>
      </w:r>
      <w:r w:rsidRPr="00FA3BB1">
        <w:rPr>
          <w:rFonts w:eastAsiaTheme="minorHAnsi" w:cs="Times New Roman"/>
          <w:i/>
          <w:iCs/>
          <w:szCs w:val="24"/>
          <w:lang w:val="lv-LV"/>
        </w:rPr>
        <w:t>euro</w:t>
      </w:r>
      <w:r w:rsidRPr="00FA3BB1">
        <w:rPr>
          <w:rFonts w:eastAsiaTheme="minorHAnsi" w:cs="Times New Roman"/>
          <w:szCs w:val="24"/>
          <w:lang w:val="lv-LV"/>
        </w:rPr>
        <w:t xml:space="preserve"> apmērā. Izdevumu pārskatīšanas ietvaros tika konstatēta finansējuma neizpilde 2020. gadā 34 084 </w:t>
      </w:r>
      <w:r w:rsidRPr="00FA3BB1">
        <w:rPr>
          <w:rFonts w:eastAsiaTheme="minorHAnsi" w:cs="Times New Roman"/>
          <w:i/>
          <w:iCs/>
          <w:szCs w:val="24"/>
          <w:lang w:val="lv-LV"/>
        </w:rPr>
        <w:t>euro</w:t>
      </w:r>
      <w:r w:rsidRPr="00FA3BB1">
        <w:rPr>
          <w:rFonts w:eastAsiaTheme="minorHAnsi" w:cs="Times New Roman"/>
          <w:szCs w:val="24"/>
          <w:lang w:val="lv-LV"/>
        </w:rPr>
        <w:t xml:space="preserve"> apmērā. Saskaņā ar VARAM sniegto informāciju, kopējā PP finansējuma izpilde programmā 28.00.00 “Meteoroloģija un bīstamo atkritumu pārvaldība” 2020. gadā ir 100% apmērā no precizētā plāna un PP plāna un izpildes starpības summa bija iekļauta 2020. gada apropriācijas pārdalē no 28.00.00 programmas 76 557 </w:t>
      </w:r>
      <w:r w:rsidRPr="00FA3BB1">
        <w:rPr>
          <w:rFonts w:eastAsiaTheme="minorHAnsi" w:cs="Times New Roman"/>
          <w:i/>
          <w:iCs/>
          <w:szCs w:val="24"/>
          <w:lang w:val="lv-LV"/>
        </w:rPr>
        <w:t>euro</w:t>
      </w:r>
      <w:r w:rsidRPr="00FA3BB1">
        <w:rPr>
          <w:rFonts w:eastAsiaTheme="minorHAnsi" w:cs="Times New Roman"/>
          <w:szCs w:val="24"/>
          <w:lang w:val="lv-LV"/>
        </w:rPr>
        <w:t xml:space="preserve"> apmērā uz LNG (MK 2020. gada 4. novembra rīkojums Nr. 649), lai gan pārdales priekšlikumā netika norādīts, ka tajā būtu iekļauts finansējums šim PP. Iemesls apropriācijas pārdalei </w:t>
      </w:r>
      <w:r w:rsidRPr="00FA3BB1">
        <w:rPr>
          <w:rFonts w:eastAsia="Times New Roman" w:cs="Times New Roman"/>
          <w:color w:val="000000"/>
          <w:szCs w:val="24"/>
          <w:lang w:val="lv-LV" w:eastAsia="lv-LV"/>
        </w:rPr>
        <w:t>–</w:t>
      </w:r>
      <w:r w:rsidRPr="00FA3BB1">
        <w:rPr>
          <w:rFonts w:eastAsiaTheme="minorHAnsi" w:cs="Times New Roman"/>
          <w:szCs w:val="24"/>
          <w:lang w:val="lv-LV"/>
        </w:rPr>
        <w:t xml:space="preserve"> Covid-19 pandēmijas dēļ atcelti pasākumi, ārvalstu komandējumi, izmaiņas iepirkumu īstenošanas grafikos. </w:t>
      </w:r>
    </w:p>
    <w:p w14:paraId="02F14AC9" w14:textId="77777777" w:rsidR="00FA3BB1" w:rsidRPr="00FA3BB1" w:rsidRDefault="00FA3BB1" w:rsidP="006D4602">
      <w:pPr>
        <w:spacing w:before="120"/>
        <w:ind w:firstLine="720"/>
        <w:rPr>
          <w:rFonts w:eastAsiaTheme="minorHAnsi" w:cs="Times New Roman"/>
          <w:szCs w:val="24"/>
          <w:lang w:val="lv-LV"/>
        </w:rPr>
      </w:pPr>
      <w:r w:rsidRPr="00FA3BB1">
        <w:rPr>
          <w:rFonts w:eastAsiaTheme="minorHAnsi" w:cs="Times New Roman"/>
          <w:szCs w:val="24"/>
          <w:lang w:val="lv-LV"/>
        </w:rPr>
        <w:lastRenderedPageBreak/>
        <w:t xml:space="preserve">VARAM katru gadu ir tendence palielināt deleģējamo uzdevumu skaitu LVĢMC, attiecīgi secināts, ka 2020. gada konstatētais neapgūtais finansējums </w:t>
      </w:r>
      <w:r w:rsidRPr="00FA3BB1">
        <w:rPr>
          <w:rFonts w:eastAsiaTheme="minorHAnsi" w:cs="Times New Roman"/>
          <w:b/>
          <w:bCs/>
          <w:szCs w:val="24"/>
          <w:lang w:val="lv-LV"/>
        </w:rPr>
        <w:t>34 084</w:t>
      </w:r>
      <w:r w:rsidRPr="00FA3BB1">
        <w:rPr>
          <w:rFonts w:eastAsiaTheme="minorHAnsi" w:cs="Times New Roman"/>
          <w:szCs w:val="24"/>
          <w:lang w:val="lv-LV"/>
        </w:rPr>
        <w:t xml:space="preserve"> </w:t>
      </w:r>
      <w:r w:rsidRPr="00FA3BB1">
        <w:rPr>
          <w:rFonts w:eastAsiaTheme="minorHAnsi" w:cs="Times New Roman"/>
          <w:i/>
          <w:iCs/>
          <w:szCs w:val="24"/>
          <w:lang w:val="lv-LV"/>
        </w:rPr>
        <w:t>euro</w:t>
      </w:r>
      <w:r w:rsidRPr="00FA3BB1">
        <w:rPr>
          <w:rFonts w:eastAsiaTheme="minorHAnsi" w:cs="Times New Roman"/>
          <w:szCs w:val="24"/>
          <w:lang w:val="lv-LV"/>
        </w:rPr>
        <w:t xml:space="preserve"> apmērā 2022. gadā ir vērtējams kā pieejamie iekšējie resursi.</w:t>
      </w:r>
    </w:p>
    <w:p w14:paraId="7DCEB072" w14:textId="77777777" w:rsidR="00FA3BB1" w:rsidRPr="00FA3BB1" w:rsidRDefault="00FA3BB1" w:rsidP="00FA3BB1">
      <w:pPr>
        <w:spacing w:before="120"/>
        <w:rPr>
          <w:rFonts w:eastAsiaTheme="minorHAnsi" w:cs="Times New Roman"/>
          <w:b/>
          <w:bCs/>
          <w:szCs w:val="24"/>
          <w:lang w:val="lv-LV"/>
        </w:rPr>
      </w:pPr>
      <w:r w:rsidRPr="00FA3BB1">
        <w:rPr>
          <w:rFonts w:eastAsiaTheme="minorHAnsi" w:cs="Times New Roman"/>
          <w:b/>
          <w:bCs/>
          <w:szCs w:val="24"/>
          <w:lang w:val="lv-LV"/>
        </w:rPr>
        <w:t>ZM - Meža resursu ilgtspējīgas saglabāšanas nodrošināšana</w:t>
      </w:r>
    </w:p>
    <w:p w14:paraId="1808A867" w14:textId="61A77888" w:rsidR="003F353E" w:rsidRPr="003F353E" w:rsidRDefault="003F353E" w:rsidP="003F353E">
      <w:pPr>
        <w:spacing w:before="120"/>
        <w:ind w:firstLine="720"/>
        <w:rPr>
          <w:rFonts w:eastAsiaTheme="minorHAnsi" w:cs="Times New Roman"/>
          <w:szCs w:val="24"/>
          <w:lang w:val="lv-LV"/>
        </w:rPr>
      </w:pPr>
      <w:r w:rsidRPr="003F353E">
        <w:rPr>
          <w:rFonts w:eastAsiaTheme="minorHAnsi" w:cs="Times New Roman"/>
          <w:szCs w:val="24"/>
          <w:lang w:val="lv-LV"/>
        </w:rPr>
        <w:t xml:space="preserve">2014. gada PP “Meža resursu ilgtspējīgas saglabāšanas nodrošināšana” (2014. gada 8. jūlija FM rīkojums Nr. 339 “Par pamatbudžeta pārdali starp programmām, apakšprogrammām un budžeta izdevumu kodiem atbilstoši ekonomiskajām kategorijām”). Pasākuma ietvaros naudas līdzekļus </w:t>
      </w:r>
      <w:r w:rsidRPr="003F353E">
        <w:rPr>
          <w:rFonts w:eastAsiaTheme="minorHAnsi" w:cs="Times New Roman"/>
          <w:b/>
          <w:bCs/>
          <w:szCs w:val="24"/>
          <w:lang w:val="lv-LV"/>
        </w:rPr>
        <w:t xml:space="preserve">57 342 </w:t>
      </w:r>
      <w:r w:rsidRPr="003F353E">
        <w:rPr>
          <w:rFonts w:eastAsiaTheme="minorHAnsi" w:cs="Times New Roman"/>
          <w:b/>
          <w:bCs/>
          <w:i/>
          <w:iCs/>
          <w:szCs w:val="24"/>
          <w:lang w:val="lv-LV"/>
        </w:rPr>
        <w:t>euro</w:t>
      </w:r>
      <w:r w:rsidRPr="003F353E">
        <w:rPr>
          <w:rFonts w:eastAsiaTheme="minorHAnsi" w:cs="Times New Roman"/>
          <w:b/>
          <w:bCs/>
          <w:szCs w:val="24"/>
          <w:lang w:val="lv-LV"/>
        </w:rPr>
        <w:t xml:space="preserve"> </w:t>
      </w:r>
      <w:r w:rsidRPr="003F353E">
        <w:rPr>
          <w:rFonts w:eastAsiaTheme="minorHAnsi" w:cs="Times New Roman"/>
          <w:szCs w:val="24"/>
          <w:lang w:val="lv-LV"/>
        </w:rPr>
        <w:t xml:space="preserve">apmērā (inventāra iegāde 14 656 </w:t>
      </w:r>
      <w:r w:rsidRPr="003F353E">
        <w:rPr>
          <w:rFonts w:eastAsiaTheme="minorHAnsi" w:cs="Times New Roman"/>
          <w:i/>
          <w:iCs/>
          <w:szCs w:val="24"/>
          <w:lang w:val="lv-LV"/>
        </w:rPr>
        <w:t>euro</w:t>
      </w:r>
      <w:r w:rsidRPr="003F353E">
        <w:rPr>
          <w:rFonts w:eastAsiaTheme="minorHAnsi" w:cs="Times New Roman"/>
          <w:szCs w:val="24"/>
          <w:lang w:val="lv-LV"/>
        </w:rPr>
        <w:t xml:space="preserve">, darba aizsardzības līdzekļi 42 686  </w:t>
      </w:r>
      <w:r w:rsidRPr="003F353E">
        <w:rPr>
          <w:rFonts w:eastAsiaTheme="minorHAnsi" w:cs="Times New Roman"/>
          <w:i/>
          <w:iCs/>
          <w:szCs w:val="24"/>
          <w:lang w:val="lv-LV"/>
        </w:rPr>
        <w:t>euro</w:t>
      </w:r>
      <w:r w:rsidRPr="003F353E">
        <w:rPr>
          <w:rFonts w:eastAsiaTheme="minorHAnsi" w:cs="Times New Roman"/>
          <w:szCs w:val="24"/>
          <w:lang w:val="lv-LV"/>
        </w:rPr>
        <w:t xml:space="preserve">) plānots novirzīt Meža valsts reģistra uzturēšanas vajadzībām. </w:t>
      </w:r>
    </w:p>
    <w:p w14:paraId="63831879" w14:textId="26B7FB1B" w:rsidR="00697BE4" w:rsidRPr="00FA3BB1" w:rsidRDefault="00FA3BB1" w:rsidP="00697BE4">
      <w:pPr>
        <w:spacing w:before="120"/>
        <w:ind w:firstLine="720"/>
        <w:rPr>
          <w:rFonts w:eastAsiaTheme="minorHAnsi" w:cs="Times New Roman"/>
          <w:szCs w:val="24"/>
          <w:lang w:val="lv-LV"/>
        </w:rPr>
      </w:pPr>
      <w:r w:rsidRPr="00FA3BB1">
        <w:rPr>
          <w:rFonts w:eastAsiaTheme="minorHAnsi" w:cs="Times New Roman"/>
          <w:szCs w:val="24"/>
          <w:lang w:val="lv-LV"/>
        </w:rPr>
        <w:t xml:space="preserve">Nodrošinot Meža valsts reģistra pārprogrammēšanas darbus un to apmaksu 2021. gadā, </w:t>
      </w:r>
      <w:r w:rsidR="006D4602">
        <w:rPr>
          <w:rFonts w:eastAsiaTheme="minorHAnsi" w:cs="Times New Roman"/>
          <w:szCs w:val="24"/>
          <w:lang w:val="lv-LV"/>
        </w:rPr>
        <w:t>VMD</w:t>
      </w:r>
      <w:r w:rsidRPr="00FA3BB1">
        <w:rPr>
          <w:rFonts w:eastAsiaTheme="minorHAnsi" w:cs="Times New Roman"/>
          <w:szCs w:val="24"/>
          <w:lang w:val="lv-LV"/>
        </w:rPr>
        <w:t xml:space="preserve"> nebūs jāpieprasa papildus valsts bud</w:t>
      </w:r>
      <w:r w:rsidR="008239CF">
        <w:rPr>
          <w:rFonts w:eastAsiaTheme="minorHAnsi" w:cs="Times New Roman"/>
          <w:szCs w:val="24"/>
          <w:lang w:val="lv-LV"/>
        </w:rPr>
        <w:t xml:space="preserve">žeta finanšu resursi 2022. gadā </w:t>
      </w:r>
      <w:r w:rsidRPr="00FA3BB1">
        <w:rPr>
          <w:rFonts w:eastAsiaTheme="minorHAnsi" w:cs="Times New Roman"/>
          <w:szCs w:val="24"/>
          <w:lang w:val="lv-LV"/>
        </w:rPr>
        <w:t>minēto darbu veikšanai.</w:t>
      </w:r>
    </w:p>
    <w:p w14:paraId="5243675F" w14:textId="77777777" w:rsidR="00FA3BB1" w:rsidRPr="00FA3BB1" w:rsidRDefault="00FA3BB1" w:rsidP="00FA3BB1">
      <w:pPr>
        <w:spacing w:before="120"/>
        <w:rPr>
          <w:rFonts w:eastAsiaTheme="minorHAnsi"/>
          <w:b/>
          <w:bCs/>
          <w:lang w:val="lv-LV"/>
        </w:rPr>
      </w:pPr>
      <w:r w:rsidRPr="00FA3BB1">
        <w:rPr>
          <w:rFonts w:eastAsiaTheme="minorHAnsi"/>
          <w:b/>
          <w:bCs/>
          <w:lang w:val="lv-LV"/>
        </w:rPr>
        <w:t>ZM - Sadarbība ar Eiropas Pārtikas nekaitīguma iestādi (EFSA), riska zinātniskā novērtēšana, pārtikas uzņēmumu darbības un eksporta veicināšana</w:t>
      </w:r>
    </w:p>
    <w:p w14:paraId="7EE19BA6" w14:textId="472A7EEC" w:rsidR="00FA3BB1" w:rsidRPr="00FA3BB1" w:rsidRDefault="00FA3BB1" w:rsidP="006D4602">
      <w:pPr>
        <w:spacing w:before="120"/>
        <w:ind w:firstLine="720"/>
        <w:rPr>
          <w:rFonts w:eastAsiaTheme="minorHAnsi"/>
          <w:lang w:val="lv-LV"/>
        </w:rPr>
      </w:pPr>
      <w:r w:rsidRPr="00FA3BB1">
        <w:rPr>
          <w:rFonts w:eastAsiaTheme="minorHAnsi"/>
          <w:lang w:val="lv-LV"/>
        </w:rPr>
        <w:t>Izskatot ZM sniegto informāciju par PP “Sadarbība ar Eiropas Pārtikas nekaitīguma iestādi (EFSA), riska zinātniskā novērtēšana, pārtikas uzņēmumu darbības un eksporta veicināšana” izpildi (informācija par PP izpildi, ko ministrijas sniedz saskaņā ar MK 2018. gada 10. aprīļa instrukciju Nr. 2 “Instrukcija par valsts budžeta izpildes analīzi”), secināts, ka tās ietvaros kopš finansējuma piešķiršana brīža (no 2018. gada) katru gada veidojas neizpilde</w:t>
      </w:r>
      <w:r w:rsidR="006D4602">
        <w:rPr>
          <w:rFonts w:eastAsiaTheme="minorHAnsi"/>
          <w:lang w:val="lv-LV"/>
        </w:rPr>
        <w:t xml:space="preserve"> (Tabula Nr. 2.3.1.)</w:t>
      </w:r>
      <w:r w:rsidRPr="00FA3BB1">
        <w:rPr>
          <w:rFonts w:eastAsiaTheme="minorHAnsi"/>
          <w:lang w:val="lv-LV"/>
        </w:rPr>
        <w:t>.</w:t>
      </w:r>
    </w:p>
    <w:p w14:paraId="301D1DFA" w14:textId="24DB616A" w:rsidR="00FA3BB1" w:rsidRPr="00FA3BB1" w:rsidRDefault="006D4602" w:rsidP="00FA3BB1">
      <w:pPr>
        <w:spacing w:before="120" w:after="0" w:line="240" w:lineRule="auto"/>
        <w:jc w:val="center"/>
        <w:rPr>
          <w:rFonts w:eastAsiaTheme="minorHAnsi"/>
          <w:b/>
          <w:bCs/>
          <w:sz w:val="22"/>
          <w:lang w:val="lv-LV"/>
        </w:rPr>
      </w:pPr>
      <w:r>
        <w:rPr>
          <w:rFonts w:eastAsiaTheme="minorHAnsi"/>
          <w:b/>
          <w:bCs/>
          <w:i/>
          <w:iCs/>
          <w:sz w:val="22"/>
          <w:lang w:val="lv-LV"/>
        </w:rPr>
        <w:t>2.3.1</w:t>
      </w:r>
      <w:r w:rsidR="00FA3BB1" w:rsidRPr="00FA3BB1">
        <w:rPr>
          <w:rFonts w:eastAsiaTheme="minorHAnsi"/>
          <w:b/>
          <w:bCs/>
          <w:i/>
          <w:iCs/>
          <w:sz w:val="22"/>
          <w:lang w:val="lv-LV"/>
        </w:rPr>
        <w:t>. tabula</w:t>
      </w:r>
      <w:r w:rsidR="00FA3BB1" w:rsidRPr="00FA3BB1">
        <w:rPr>
          <w:rFonts w:eastAsiaTheme="minorHAnsi"/>
          <w:b/>
          <w:bCs/>
          <w:sz w:val="22"/>
          <w:lang w:val="lv-LV"/>
        </w:rPr>
        <w:t xml:space="preserve"> PP “Sadarbība ar Eiropas Pārtikas nekaitīguma iestādi (EFSA), riska zinātniskā novērtēšana, pārtikas uzņēmumu darbības un eksporta veicināšana” piešķirtais finansējums, </w:t>
      </w:r>
      <w:r w:rsidR="00FA3BB1" w:rsidRPr="00FA3BB1">
        <w:rPr>
          <w:rFonts w:eastAsiaTheme="minorHAnsi"/>
          <w:b/>
          <w:bCs/>
          <w:i/>
          <w:iCs/>
          <w:sz w:val="22"/>
          <w:lang w:val="lv-LV"/>
        </w:rPr>
        <w:t>euro</w:t>
      </w:r>
    </w:p>
    <w:tbl>
      <w:tblPr>
        <w:tblW w:w="6502" w:type="dxa"/>
        <w:jc w:val="center"/>
        <w:tblLook w:val="04A0" w:firstRow="1" w:lastRow="0" w:firstColumn="1" w:lastColumn="0" w:noHBand="0" w:noVBand="1"/>
      </w:tblPr>
      <w:tblGrid>
        <w:gridCol w:w="2662"/>
        <w:gridCol w:w="1280"/>
        <w:gridCol w:w="1280"/>
        <w:gridCol w:w="1280"/>
      </w:tblGrid>
      <w:tr w:rsidR="00FA3BB1" w:rsidRPr="00FA3BB1" w14:paraId="7CC8179D" w14:textId="77777777" w:rsidTr="006D4602">
        <w:trPr>
          <w:trHeight w:val="255"/>
          <w:jc w:val="center"/>
        </w:trPr>
        <w:tc>
          <w:tcPr>
            <w:tcW w:w="26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6813BE3C" w14:textId="77777777" w:rsidR="00FA3BB1" w:rsidRPr="00FA3BB1" w:rsidRDefault="00FA3BB1" w:rsidP="00FA3BB1">
            <w:pPr>
              <w:spacing w:after="0" w:line="240" w:lineRule="auto"/>
              <w:jc w:val="left"/>
              <w:rPr>
                <w:rFonts w:eastAsia="Times New Roman"/>
                <w:b/>
                <w:bCs/>
                <w:color w:val="000000"/>
                <w:sz w:val="22"/>
                <w:lang w:val="lv-LV" w:eastAsia="lv-LV"/>
              </w:rPr>
            </w:pPr>
            <w:r w:rsidRPr="00FA3BB1">
              <w:rPr>
                <w:rFonts w:eastAsia="Times New Roman"/>
                <w:b/>
                <w:bCs/>
                <w:color w:val="000000"/>
                <w:sz w:val="22"/>
                <w:lang w:val="lv-LV" w:eastAsia="lv-LV"/>
              </w:rPr>
              <w:t> </w:t>
            </w:r>
          </w:p>
        </w:tc>
        <w:tc>
          <w:tcPr>
            <w:tcW w:w="128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5875E966" w14:textId="77777777" w:rsidR="00FA3BB1" w:rsidRPr="00FA3BB1" w:rsidRDefault="00FA3BB1" w:rsidP="00FA3BB1">
            <w:pPr>
              <w:spacing w:after="0" w:line="240" w:lineRule="auto"/>
              <w:jc w:val="center"/>
              <w:rPr>
                <w:rFonts w:eastAsia="Times New Roman"/>
                <w:b/>
                <w:bCs/>
                <w:color w:val="000000"/>
                <w:sz w:val="22"/>
                <w:lang w:val="lv-LV" w:eastAsia="lv-LV"/>
              </w:rPr>
            </w:pPr>
            <w:r w:rsidRPr="00FA3BB1">
              <w:rPr>
                <w:rFonts w:eastAsia="Times New Roman"/>
                <w:b/>
                <w:bCs/>
                <w:color w:val="000000"/>
                <w:sz w:val="22"/>
                <w:lang w:val="lv-LV" w:eastAsia="lv-LV"/>
              </w:rPr>
              <w:t>2018</w:t>
            </w:r>
          </w:p>
        </w:tc>
        <w:tc>
          <w:tcPr>
            <w:tcW w:w="128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3E87D395" w14:textId="77777777" w:rsidR="00FA3BB1" w:rsidRPr="00FA3BB1" w:rsidRDefault="00FA3BB1" w:rsidP="00FA3BB1">
            <w:pPr>
              <w:spacing w:after="0" w:line="240" w:lineRule="auto"/>
              <w:jc w:val="center"/>
              <w:rPr>
                <w:rFonts w:eastAsia="Times New Roman"/>
                <w:b/>
                <w:bCs/>
                <w:color w:val="000000"/>
                <w:sz w:val="22"/>
                <w:lang w:val="lv-LV" w:eastAsia="lv-LV"/>
              </w:rPr>
            </w:pPr>
            <w:r w:rsidRPr="00FA3BB1">
              <w:rPr>
                <w:rFonts w:eastAsia="Times New Roman"/>
                <w:b/>
                <w:bCs/>
                <w:color w:val="000000"/>
                <w:sz w:val="22"/>
                <w:lang w:val="lv-LV" w:eastAsia="lv-LV"/>
              </w:rPr>
              <w:t>2019</w:t>
            </w:r>
          </w:p>
        </w:tc>
        <w:tc>
          <w:tcPr>
            <w:tcW w:w="128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7BCCD9AF" w14:textId="77777777" w:rsidR="00FA3BB1" w:rsidRPr="00FA3BB1" w:rsidRDefault="00FA3BB1" w:rsidP="00FA3BB1">
            <w:pPr>
              <w:spacing w:after="0" w:line="240" w:lineRule="auto"/>
              <w:jc w:val="center"/>
              <w:rPr>
                <w:rFonts w:eastAsia="Times New Roman"/>
                <w:b/>
                <w:bCs/>
                <w:color w:val="000000"/>
                <w:sz w:val="22"/>
                <w:lang w:val="lv-LV" w:eastAsia="lv-LV"/>
              </w:rPr>
            </w:pPr>
            <w:r w:rsidRPr="00FA3BB1">
              <w:rPr>
                <w:rFonts w:eastAsia="Times New Roman"/>
                <w:b/>
                <w:bCs/>
                <w:color w:val="000000"/>
                <w:sz w:val="22"/>
                <w:lang w:val="lv-LV" w:eastAsia="lv-LV"/>
              </w:rPr>
              <w:t>2020</w:t>
            </w:r>
          </w:p>
        </w:tc>
      </w:tr>
      <w:tr w:rsidR="00FA3BB1" w:rsidRPr="00FA3BB1" w14:paraId="48BDC5C4" w14:textId="77777777" w:rsidTr="00FA3BB1">
        <w:trPr>
          <w:trHeight w:val="255"/>
          <w:jc w:val="center"/>
        </w:trPr>
        <w:tc>
          <w:tcPr>
            <w:tcW w:w="2662" w:type="dxa"/>
            <w:tcBorders>
              <w:top w:val="nil"/>
              <w:left w:val="single" w:sz="4" w:space="0" w:color="auto"/>
              <w:bottom w:val="single" w:sz="4" w:space="0" w:color="auto"/>
              <w:right w:val="single" w:sz="4" w:space="0" w:color="auto"/>
            </w:tcBorders>
            <w:shd w:val="clear" w:color="auto" w:fill="auto"/>
            <w:noWrap/>
            <w:vAlign w:val="bottom"/>
            <w:hideMark/>
          </w:tcPr>
          <w:p w14:paraId="233EEAC8" w14:textId="77777777" w:rsidR="00FA3BB1" w:rsidRPr="00FA3BB1" w:rsidRDefault="00FA3BB1" w:rsidP="00FA3BB1">
            <w:pPr>
              <w:spacing w:after="0" w:line="240" w:lineRule="auto"/>
              <w:jc w:val="left"/>
              <w:rPr>
                <w:rFonts w:eastAsia="Times New Roman"/>
                <w:color w:val="000000"/>
                <w:sz w:val="22"/>
                <w:lang w:val="lv-LV" w:eastAsia="lv-LV"/>
              </w:rPr>
            </w:pPr>
            <w:r w:rsidRPr="00FA3BB1">
              <w:rPr>
                <w:rFonts w:eastAsia="Times New Roman"/>
                <w:color w:val="000000"/>
                <w:sz w:val="22"/>
                <w:lang w:val="lv-LV" w:eastAsia="lv-LV"/>
              </w:rPr>
              <w:t>Plāns</w:t>
            </w:r>
          </w:p>
        </w:tc>
        <w:tc>
          <w:tcPr>
            <w:tcW w:w="1280" w:type="dxa"/>
            <w:tcBorders>
              <w:top w:val="nil"/>
              <w:left w:val="nil"/>
              <w:bottom w:val="single" w:sz="4" w:space="0" w:color="auto"/>
              <w:right w:val="single" w:sz="4" w:space="0" w:color="auto"/>
            </w:tcBorders>
            <w:shd w:val="clear" w:color="auto" w:fill="auto"/>
            <w:noWrap/>
            <w:vAlign w:val="bottom"/>
            <w:hideMark/>
          </w:tcPr>
          <w:p w14:paraId="3FC1C12A"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319 814</w:t>
            </w:r>
          </w:p>
        </w:tc>
        <w:tc>
          <w:tcPr>
            <w:tcW w:w="1280" w:type="dxa"/>
            <w:tcBorders>
              <w:top w:val="nil"/>
              <w:left w:val="nil"/>
              <w:bottom w:val="single" w:sz="4" w:space="0" w:color="auto"/>
              <w:right w:val="single" w:sz="4" w:space="0" w:color="auto"/>
            </w:tcBorders>
            <w:shd w:val="clear" w:color="auto" w:fill="auto"/>
            <w:noWrap/>
            <w:vAlign w:val="bottom"/>
            <w:hideMark/>
          </w:tcPr>
          <w:p w14:paraId="071C3F2E"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314 374</w:t>
            </w:r>
          </w:p>
        </w:tc>
        <w:tc>
          <w:tcPr>
            <w:tcW w:w="1280" w:type="dxa"/>
            <w:tcBorders>
              <w:top w:val="nil"/>
              <w:left w:val="nil"/>
              <w:bottom w:val="single" w:sz="4" w:space="0" w:color="auto"/>
              <w:right w:val="single" w:sz="4" w:space="0" w:color="auto"/>
            </w:tcBorders>
            <w:shd w:val="clear" w:color="auto" w:fill="auto"/>
            <w:noWrap/>
            <w:vAlign w:val="bottom"/>
            <w:hideMark/>
          </w:tcPr>
          <w:p w14:paraId="61B06FCC"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317 557</w:t>
            </w:r>
          </w:p>
        </w:tc>
      </w:tr>
      <w:tr w:rsidR="00FA3BB1" w:rsidRPr="00FA3BB1" w14:paraId="45C6D867" w14:textId="77777777" w:rsidTr="00FA3BB1">
        <w:trPr>
          <w:trHeight w:val="255"/>
          <w:jc w:val="center"/>
        </w:trPr>
        <w:tc>
          <w:tcPr>
            <w:tcW w:w="2662" w:type="dxa"/>
            <w:tcBorders>
              <w:top w:val="nil"/>
              <w:left w:val="single" w:sz="4" w:space="0" w:color="auto"/>
              <w:bottom w:val="single" w:sz="4" w:space="0" w:color="auto"/>
              <w:right w:val="single" w:sz="4" w:space="0" w:color="auto"/>
            </w:tcBorders>
            <w:shd w:val="clear" w:color="auto" w:fill="auto"/>
            <w:noWrap/>
            <w:vAlign w:val="bottom"/>
            <w:hideMark/>
          </w:tcPr>
          <w:p w14:paraId="3358D62E" w14:textId="77777777" w:rsidR="00FA3BB1" w:rsidRPr="00FA3BB1" w:rsidRDefault="00FA3BB1" w:rsidP="00FA3BB1">
            <w:pPr>
              <w:spacing w:after="0" w:line="240" w:lineRule="auto"/>
              <w:jc w:val="left"/>
              <w:rPr>
                <w:rFonts w:eastAsia="Times New Roman"/>
                <w:color w:val="000000"/>
                <w:sz w:val="22"/>
                <w:lang w:val="lv-LV" w:eastAsia="lv-LV"/>
              </w:rPr>
            </w:pPr>
            <w:r w:rsidRPr="00FA3BB1">
              <w:rPr>
                <w:rFonts w:eastAsia="Times New Roman"/>
                <w:color w:val="000000"/>
                <w:sz w:val="22"/>
                <w:lang w:val="lv-LV" w:eastAsia="lv-LV"/>
              </w:rPr>
              <w:t>Izpilde</w:t>
            </w:r>
          </w:p>
        </w:tc>
        <w:tc>
          <w:tcPr>
            <w:tcW w:w="1280" w:type="dxa"/>
            <w:tcBorders>
              <w:top w:val="nil"/>
              <w:left w:val="nil"/>
              <w:bottom w:val="single" w:sz="4" w:space="0" w:color="auto"/>
              <w:right w:val="single" w:sz="4" w:space="0" w:color="auto"/>
            </w:tcBorders>
            <w:shd w:val="clear" w:color="auto" w:fill="auto"/>
            <w:noWrap/>
            <w:vAlign w:val="bottom"/>
            <w:hideMark/>
          </w:tcPr>
          <w:p w14:paraId="721D84B7"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257 200</w:t>
            </w:r>
          </w:p>
        </w:tc>
        <w:tc>
          <w:tcPr>
            <w:tcW w:w="1280" w:type="dxa"/>
            <w:tcBorders>
              <w:top w:val="nil"/>
              <w:left w:val="nil"/>
              <w:bottom w:val="single" w:sz="4" w:space="0" w:color="auto"/>
              <w:right w:val="single" w:sz="4" w:space="0" w:color="auto"/>
            </w:tcBorders>
            <w:shd w:val="clear" w:color="auto" w:fill="auto"/>
            <w:noWrap/>
            <w:vAlign w:val="bottom"/>
            <w:hideMark/>
          </w:tcPr>
          <w:p w14:paraId="717950CC"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286 483</w:t>
            </w:r>
          </w:p>
        </w:tc>
        <w:tc>
          <w:tcPr>
            <w:tcW w:w="1280" w:type="dxa"/>
            <w:tcBorders>
              <w:top w:val="nil"/>
              <w:left w:val="nil"/>
              <w:bottom w:val="single" w:sz="4" w:space="0" w:color="auto"/>
              <w:right w:val="single" w:sz="4" w:space="0" w:color="auto"/>
            </w:tcBorders>
            <w:shd w:val="clear" w:color="auto" w:fill="auto"/>
            <w:noWrap/>
            <w:vAlign w:val="bottom"/>
            <w:hideMark/>
          </w:tcPr>
          <w:p w14:paraId="561D86BD"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276 069</w:t>
            </w:r>
          </w:p>
        </w:tc>
      </w:tr>
      <w:tr w:rsidR="00FA3BB1" w:rsidRPr="00FA3BB1" w14:paraId="05015605" w14:textId="77777777" w:rsidTr="00FA3BB1">
        <w:trPr>
          <w:trHeight w:val="255"/>
          <w:jc w:val="center"/>
        </w:trPr>
        <w:tc>
          <w:tcPr>
            <w:tcW w:w="2662" w:type="dxa"/>
            <w:tcBorders>
              <w:top w:val="nil"/>
              <w:left w:val="single" w:sz="4" w:space="0" w:color="auto"/>
              <w:bottom w:val="single" w:sz="4" w:space="0" w:color="auto"/>
              <w:right w:val="single" w:sz="4" w:space="0" w:color="auto"/>
            </w:tcBorders>
            <w:shd w:val="clear" w:color="auto" w:fill="auto"/>
            <w:noWrap/>
            <w:vAlign w:val="bottom"/>
            <w:hideMark/>
          </w:tcPr>
          <w:p w14:paraId="7868B5CA" w14:textId="77777777" w:rsidR="00FA3BB1" w:rsidRPr="00FA3BB1" w:rsidRDefault="00FA3BB1" w:rsidP="00FA3BB1">
            <w:pPr>
              <w:spacing w:after="0" w:line="240" w:lineRule="auto"/>
              <w:jc w:val="left"/>
              <w:rPr>
                <w:rFonts w:eastAsia="Times New Roman"/>
                <w:color w:val="000000"/>
                <w:sz w:val="22"/>
                <w:lang w:val="lv-LV" w:eastAsia="lv-LV"/>
              </w:rPr>
            </w:pPr>
            <w:r w:rsidRPr="00FA3BB1">
              <w:rPr>
                <w:rFonts w:eastAsia="Times New Roman"/>
                <w:color w:val="000000"/>
                <w:sz w:val="22"/>
                <w:lang w:val="lv-LV" w:eastAsia="lv-LV"/>
              </w:rPr>
              <w:t>Neizpilde</w:t>
            </w:r>
          </w:p>
        </w:tc>
        <w:tc>
          <w:tcPr>
            <w:tcW w:w="1280" w:type="dxa"/>
            <w:tcBorders>
              <w:top w:val="nil"/>
              <w:left w:val="nil"/>
              <w:bottom w:val="single" w:sz="4" w:space="0" w:color="auto"/>
              <w:right w:val="single" w:sz="4" w:space="0" w:color="auto"/>
            </w:tcBorders>
            <w:shd w:val="clear" w:color="auto" w:fill="auto"/>
            <w:noWrap/>
            <w:vAlign w:val="bottom"/>
            <w:hideMark/>
          </w:tcPr>
          <w:p w14:paraId="6413066F"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62 614</w:t>
            </w:r>
          </w:p>
        </w:tc>
        <w:tc>
          <w:tcPr>
            <w:tcW w:w="1280" w:type="dxa"/>
            <w:tcBorders>
              <w:top w:val="nil"/>
              <w:left w:val="nil"/>
              <w:bottom w:val="single" w:sz="4" w:space="0" w:color="auto"/>
              <w:right w:val="single" w:sz="4" w:space="0" w:color="auto"/>
            </w:tcBorders>
            <w:shd w:val="clear" w:color="auto" w:fill="auto"/>
            <w:noWrap/>
            <w:vAlign w:val="bottom"/>
            <w:hideMark/>
          </w:tcPr>
          <w:p w14:paraId="48EABA7F"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27 891</w:t>
            </w:r>
          </w:p>
        </w:tc>
        <w:tc>
          <w:tcPr>
            <w:tcW w:w="1280" w:type="dxa"/>
            <w:tcBorders>
              <w:top w:val="nil"/>
              <w:left w:val="nil"/>
              <w:bottom w:val="single" w:sz="4" w:space="0" w:color="auto"/>
              <w:right w:val="single" w:sz="4" w:space="0" w:color="auto"/>
            </w:tcBorders>
            <w:shd w:val="clear" w:color="auto" w:fill="auto"/>
            <w:noWrap/>
            <w:vAlign w:val="bottom"/>
            <w:hideMark/>
          </w:tcPr>
          <w:p w14:paraId="700182BC"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41 488</w:t>
            </w:r>
          </w:p>
        </w:tc>
      </w:tr>
      <w:tr w:rsidR="00FA3BB1" w:rsidRPr="00FA3BB1" w14:paraId="1B79B962" w14:textId="77777777" w:rsidTr="00FA3BB1">
        <w:trPr>
          <w:trHeight w:val="255"/>
          <w:jc w:val="center"/>
        </w:trPr>
        <w:tc>
          <w:tcPr>
            <w:tcW w:w="2662" w:type="dxa"/>
            <w:tcBorders>
              <w:top w:val="nil"/>
              <w:left w:val="single" w:sz="4" w:space="0" w:color="auto"/>
              <w:bottom w:val="single" w:sz="4" w:space="0" w:color="auto"/>
              <w:right w:val="single" w:sz="4" w:space="0" w:color="auto"/>
            </w:tcBorders>
            <w:shd w:val="clear" w:color="auto" w:fill="auto"/>
            <w:noWrap/>
            <w:vAlign w:val="bottom"/>
            <w:hideMark/>
          </w:tcPr>
          <w:p w14:paraId="1F4DAAB3" w14:textId="77777777" w:rsidR="00FA3BB1" w:rsidRPr="00FA3BB1" w:rsidRDefault="00FA3BB1" w:rsidP="00FA3BB1">
            <w:pPr>
              <w:spacing w:after="0" w:line="240" w:lineRule="auto"/>
              <w:jc w:val="left"/>
              <w:rPr>
                <w:rFonts w:eastAsia="Times New Roman"/>
                <w:color w:val="000000"/>
                <w:sz w:val="22"/>
                <w:lang w:val="lv-LV" w:eastAsia="lv-LV"/>
              </w:rPr>
            </w:pPr>
            <w:r w:rsidRPr="00FA3BB1">
              <w:rPr>
                <w:rFonts w:eastAsia="Times New Roman"/>
                <w:color w:val="000000"/>
                <w:sz w:val="22"/>
                <w:lang w:val="lv-LV" w:eastAsia="lv-LV"/>
              </w:rPr>
              <w:t>Vidējā neizpilde 3 gados</w:t>
            </w:r>
          </w:p>
        </w:tc>
        <w:tc>
          <w:tcPr>
            <w:tcW w:w="384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19A674E" w14:textId="77777777" w:rsidR="00FA3BB1" w:rsidRPr="00FA3BB1" w:rsidRDefault="00FA3BB1" w:rsidP="00FA3BB1">
            <w:pPr>
              <w:spacing w:after="0" w:line="240" w:lineRule="auto"/>
              <w:jc w:val="center"/>
              <w:rPr>
                <w:rFonts w:eastAsia="Times New Roman"/>
                <w:color w:val="000000"/>
                <w:sz w:val="22"/>
                <w:lang w:val="lv-LV" w:eastAsia="lv-LV"/>
              </w:rPr>
            </w:pPr>
            <w:r w:rsidRPr="00FA3BB1">
              <w:rPr>
                <w:rFonts w:eastAsia="Times New Roman"/>
                <w:color w:val="000000"/>
                <w:sz w:val="22"/>
                <w:lang w:val="lv-LV" w:eastAsia="lv-LV"/>
              </w:rPr>
              <w:t>43 998</w:t>
            </w:r>
          </w:p>
        </w:tc>
      </w:tr>
    </w:tbl>
    <w:p w14:paraId="27C9B839" w14:textId="77777777" w:rsidR="00FA3BB1" w:rsidRPr="00FA3BB1" w:rsidRDefault="00FA3BB1" w:rsidP="00FA3BB1">
      <w:pPr>
        <w:spacing w:after="0" w:line="240" w:lineRule="auto"/>
        <w:rPr>
          <w:rFonts w:eastAsiaTheme="minorHAnsi"/>
          <w:lang w:val="lv-LV"/>
        </w:rPr>
      </w:pPr>
    </w:p>
    <w:p w14:paraId="14054A9D" w14:textId="39C58803" w:rsidR="00105C87" w:rsidRPr="00FA3BB1" w:rsidRDefault="00FA3BB1" w:rsidP="002C24FA">
      <w:pPr>
        <w:ind w:firstLine="720"/>
        <w:rPr>
          <w:rFonts w:eastAsiaTheme="minorHAnsi"/>
          <w:lang w:val="lv-LV"/>
        </w:rPr>
      </w:pPr>
      <w:r w:rsidRPr="00FA3BB1">
        <w:rPr>
          <w:rFonts w:eastAsiaTheme="minorHAnsi"/>
          <w:lang w:val="lv-LV"/>
        </w:rPr>
        <w:t xml:space="preserve">Vienlaikus, vērtējot izpildi ZM budžeta apakšprogrammā 20.02.00 “Pārtikas aprites un veterinārmedicīnas valsts uzraudzības laboratoriskie izmeklējumi”, kurā PP finansējums tiek plānots, tika secināts, ka minētās apakšprogrammas neizpilde 2018. gadā bija mazāka nekā minētā PP neizpilde, savukārt 2019. un 2020. gadā minētajā apakšprogrammā izdevumu izpilde </w:t>
      </w:r>
      <w:r w:rsidR="0056192C">
        <w:rPr>
          <w:rFonts w:eastAsiaTheme="minorHAnsi"/>
          <w:lang w:val="lv-LV"/>
        </w:rPr>
        <w:t>nodrošināta 100%</w:t>
      </w:r>
      <w:r w:rsidRPr="00FA3BB1">
        <w:rPr>
          <w:rFonts w:eastAsiaTheme="minorHAnsi"/>
          <w:lang w:val="lv-LV"/>
        </w:rPr>
        <w:t xml:space="preserve"> apmērā</w:t>
      </w:r>
      <w:r w:rsidR="0056192C">
        <w:rPr>
          <w:rFonts w:eastAsiaTheme="minorHAnsi"/>
          <w:lang w:val="lv-LV"/>
        </w:rPr>
        <w:t xml:space="preserve"> (Tabula </w:t>
      </w:r>
      <w:r w:rsidR="00CE611F">
        <w:rPr>
          <w:rFonts w:eastAsiaTheme="minorHAnsi"/>
          <w:lang w:val="lv-LV"/>
        </w:rPr>
        <w:t>N</w:t>
      </w:r>
      <w:r w:rsidR="0056192C">
        <w:rPr>
          <w:rFonts w:eastAsiaTheme="minorHAnsi"/>
          <w:lang w:val="lv-LV"/>
        </w:rPr>
        <w:t>r.</w:t>
      </w:r>
      <w:r w:rsidR="00CE611F">
        <w:rPr>
          <w:rFonts w:eastAsiaTheme="minorHAnsi"/>
          <w:lang w:val="lv-LV"/>
        </w:rPr>
        <w:t> </w:t>
      </w:r>
      <w:r w:rsidR="0056192C">
        <w:rPr>
          <w:rFonts w:eastAsiaTheme="minorHAnsi"/>
          <w:lang w:val="lv-LV"/>
        </w:rPr>
        <w:t>2.3.2.)</w:t>
      </w:r>
      <w:r w:rsidRPr="00FA3BB1">
        <w:rPr>
          <w:rFonts w:eastAsiaTheme="minorHAnsi"/>
          <w:lang w:val="lv-LV"/>
        </w:rPr>
        <w:t>.</w:t>
      </w:r>
    </w:p>
    <w:p w14:paraId="110867D3" w14:textId="23017DB9" w:rsidR="00FA3BB1" w:rsidRPr="00FA3BB1" w:rsidRDefault="0056192C" w:rsidP="00FA3BB1">
      <w:pPr>
        <w:spacing w:line="240" w:lineRule="auto"/>
        <w:jc w:val="center"/>
        <w:rPr>
          <w:rFonts w:eastAsiaTheme="minorHAnsi"/>
          <w:b/>
          <w:bCs/>
          <w:sz w:val="22"/>
          <w:lang w:val="lv-LV"/>
        </w:rPr>
      </w:pPr>
      <w:r>
        <w:rPr>
          <w:rFonts w:eastAsiaTheme="minorHAnsi"/>
          <w:b/>
          <w:bCs/>
          <w:i/>
          <w:iCs/>
          <w:sz w:val="22"/>
          <w:lang w:val="lv-LV"/>
        </w:rPr>
        <w:t>2.3.2</w:t>
      </w:r>
      <w:r w:rsidR="00FA3BB1" w:rsidRPr="00FA3BB1">
        <w:rPr>
          <w:rFonts w:eastAsiaTheme="minorHAnsi"/>
          <w:b/>
          <w:bCs/>
          <w:i/>
          <w:iCs/>
          <w:sz w:val="22"/>
          <w:lang w:val="lv-LV"/>
        </w:rPr>
        <w:t>. tabula</w:t>
      </w:r>
      <w:r w:rsidR="00FA3BB1" w:rsidRPr="00FA3BB1">
        <w:rPr>
          <w:rFonts w:eastAsiaTheme="minorHAnsi"/>
          <w:b/>
          <w:bCs/>
          <w:sz w:val="22"/>
          <w:lang w:val="lv-LV"/>
        </w:rPr>
        <w:t xml:space="preserve"> ZM budžeta apakšprogrammā 20.02.00 “Pārtikas aprites un veterinārmedicīnas valsts uzraudzības laboratoriskie izmeklējumi” piešķirtais finansējums, </w:t>
      </w:r>
      <w:r w:rsidR="00FA3BB1" w:rsidRPr="00FA3BB1">
        <w:rPr>
          <w:rFonts w:eastAsiaTheme="minorHAnsi"/>
          <w:b/>
          <w:bCs/>
          <w:i/>
          <w:iCs/>
          <w:sz w:val="22"/>
          <w:lang w:val="lv-LV"/>
        </w:rPr>
        <w:t>euro</w:t>
      </w:r>
    </w:p>
    <w:tbl>
      <w:tblPr>
        <w:tblW w:w="6649" w:type="dxa"/>
        <w:jc w:val="center"/>
        <w:tblLook w:val="04A0" w:firstRow="1" w:lastRow="0" w:firstColumn="1" w:lastColumn="0" w:noHBand="0" w:noVBand="1"/>
      </w:tblPr>
      <w:tblGrid>
        <w:gridCol w:w="2809"/>
        <w:gridCol w:w="1280"/>
        <w:gridCol w:w="1280"/>
        <w:gridCol w:w="1280"/>
      </w:tblGrid>
      <w:tr w:rsidR="00FA3BB1" w:rsidRPr="00FA3BB1" w14:paraId="61DFE9F7" w14:textId="77777777" w:rsidTr="006D4602">
        <w:trPr>
          <w:trHeight w:val="255"/>
          <w:jc w:val="center"/>
        </w:trPr>
        <w:tc>
          <w:tcPr>
            <w:tcW w:w="280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bottom"/>
            <w:hideMark/>
          </w:tcPr>
          <w:p w14:paraId="0A83B933" w14:textId="77777777" w:rsidR="00FA3BB1" w:rsidRPr="00FA3BB1" w:rsidRDefault="00FA3BB1" w:rsidP="00FA3BB1">
            <w:pPr>
              <w:spacing w:after="0" w:line="240" w:lineRule="auto"/>
              <w:jc w:val="left"/>
              <w:rPr>
                <w:rFonts w:eastAsia="Times New Roman"/>
                <w:b/>
                <w:bCs/>
                <w:color w:val="000000"/>
                <w:sz w:val="22"/>
                <w:lang w:val="lv-LV" w:eastAsia="lv-LV"/>
              </w:rPr>
            </w:pPr>
            <w:r w:rsidRPr="00FA3BB1">
              <w:rPr>
                <w:rFonts w:eastAsia="Times New Roman"/>
                <w:b/>
                <w:bCs/>
                <w:color w:val="000000"/>
                <w:sz w:val="22"/>
                <w:lang w:val="lv-LV" w:eastAsia="lv-LV"/>
              </w:rPr>
              <w:t> </w:t>
            </w:r>
          </w:p>
        </w:tc>
        <w:tc>
          <w:tcPr>
            <w:tcW w:w="128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7A648EF3" w14:textId="77777777" w:rsidR="00FA3BB1" w:rsidRPr="00FA3BB1" w:rsidRDefault="00FA3BB1" w:rsidP="00FA3BB1">
            <w:pPr>
              <w:spacing w:after="0" w:line="240" w:lineRule="auto"/>
              <w:jc w:val="center"/>
              <w:rPr>
                <w:rFonts w:eastAsia="Times New Roman"/>
                <w:b/>
                <w:bCs/>
                <w:color w:val="000000"/>
                <w:sz w:val="22"/>
                <w:lang w:val="lv-LV" w:eastAsia="lv-LV"/>
              </w:rPr>
            </w:pPr>
            <w:r w:rsidRPr="00FA3BB1">
              <w:rPr>
                <w:rFonts w:eastAsia="Times New Roman"/>
                <w:b/>
                <w:bCs/>
                <w:color w:val="000000"/>
                <w:sz w:val="22"/>
                <w:lang w:val="lv-LV" w:eastAsia="lv-LV"/>
              </w:rPr>
              <w:t>2018</w:t>
            </w:r>
          </w:p>
        </w:tc>
        <w:tc>
          <w:tcPr>
            <w:tcW w:w="128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7ECCEDAB" w14:textId="77777777" w:rsidR="00FA3BB1" w:rsidRPr="00FA3BB1" w:rsidRDefault="00FA3BB1" w:rsidP="00FA3BB1">
            <w:pPr>
              <w:spacing w:after="0" w:line="240" w:lineRule="auto"/>
              <w:jc w:val="center"/>
              <w:rPr>
                <w:rFonts w:eastAsia="Times New Roman"/>
                <w:b/>
                <w:bCs/>
                <w:color w:val="000000"/>
                <w:sz w:val="22"/>
                <w:lang w:val="lv-LV" w:eastAsia="lv-LV"/>
              </w:rPr>
            </w:pPr>
            <w:r w:rsidRPr="00FA3BB1">
              <w:rPr>
                <w:rFonts w:eastAsia="Times New Roman"/>
                <w:b/>
                <w:bCs/>
                <w:color w:val="000000"/>
                <w:sz w:val="22"/>
                <w:lang w:val="lv-LV" w:eastAsia="lv-LV"/>
              </w:rPr>
              <w:t>2019</w:t>
            </w:r>
          </w:p>
        </w:tc>
        <w:tc>
          <w:tcPr>
            <w:tcW w:w="1280" w:type="dxa"/>
            <w:tcBorders>
              <w:top w:val="single" w:sz="4" w:space="0" w:color="auto"/>
              <w:left w:val="nil"/>
              <w:bottom w:val="single" w:sz="4" w:space="0" w:color="auto"/>
              <w:right w:val="single" w:sz="4" w:space="0" w:color="auto"/>
            </w:tcBorders>
            <w:shd w:val="clear" w:color="auto" w:fill="A8D08D" w:themeFill="accent6" w:themeFillTint="99"/>
            <w:noWrap/>
            <w:vAlign w:val="bottom"/>
            <w:hideMark/>
          </w:tcPr>
          <w:p w14:paraId="16C6C0D2" w14:textId="77777777" w:rsidR="00FA3BB1" w:rsidRPr="00FA3BB1" w:rsidRDefault="00FA3BB1" w:rsidP="00FA3BB1">
            <w:pPr>
              <w:spacing w:after="0" w:line="240" w:lineRule="auto"/>
              <w:jc w:val="center"/>
              <w:rPr>
                <w:rFonts w:eastAsia="Times New Roman"/>
                <w:b/>
                <w:bCs/>
                <w:color w:val="000000"/>
                <w:sz w:val="22"/>
                <w:lang w:val="lv-LV" w:eastAsia="lv-LV"/>
              </w:rPr>
            </w:pPr>
            <w:r w:rsidRPr="00FA3BB1">
              <w:rPr>
                <w:rFonts w:eastAsia="Times New Roman"/>
                <w:b/>
                <w:bCs/>
                <w:color w:val="000000"/>
                <w:sz w:val="22"/>
                <w:lang w:val="lv-LV" w:eastAsia="lv-LV"/>
              </w:rPr>
              <w:t>2020</w:t>
            </w:r>
          </w:p>
        </w:tc>
      </w:tr>
      <w:tr w:rsidR="00FA3BB1" w:rsidRPr="00FA3BB1" w14:paraId="246EE3B5" w14:textId="77777777" w:rsidTr="00FA3BB1">
        <w:trPr>
          <w:trHeight w:val="255"/>
          <w:jc w:val="center"/>
        </w:trPr>
        <w:tc>
          <w:tcPr>
            <w:tcW w:w="2809" w:type="dxa"/>
            <w:tcBorders>
              <w:top w:val="nil"/>
              <w:left w:val="single" w:sz="4" w:space="0" w:color="auto"/>
              <w:bottom w:val="single" w:sz="4" w:space="0" w:color="auto"/>
              <w:right w:val="single" w:sz="4" w:space="0" w:color="auto"/>
            </w:tcBorders>
            <w:shd w:val="clear" w:color="auto" w:fill="auto"/>
            <w:noWrap/>
            <w:vAlign w:val="bottom"/>
            <w:hideMark/>
          </w:tcPr>
          <w:p w14:paraId="661F92FA" w14:textId="77777777" w:rsidR="00FA3BB1" w:rsidRPr="00FA3BB1" w:rsidRDefault="00FA3BB1" w:rsidP="00FA3BB1">
            <w:pPr>
              <w:spacing w:after="0" w:line="240" w:lineRule="auto"/>
              <w:jc w:val="left"/>
              <w:rPr>
                <w:rFonts w:eastAsia="Times New Roman"/>
                <w:color w:val="000000"/>
                <w:sz w:val="22"/>
                <w:lang w:val="lv-LV" w:eastAsia="lv-LV"/>
              </w:rPr>
            </w:pPr>
            <w:r w:rsidRPr="00FA3BB1">
              <w:rPr>
                <w:rFonts w:eastAsia="Times New Roman"/>
                <w:color w:val="000000"/>
                <w:sz w:val="22"/>
                <w:lang w:val="lv-LV" w:eastAsia="lv-LV"/>
              </w:rPr>
              <w:t>Plāns</w:t>
            </w:r>
          </w:p>
        </w:tc>
        <w:tc>
          <w:tcPr>
            <w:tcW w:w="1280" w:type="dxa"/>
            <w:tcBorders>
              <w:top w:val="nil"/>
              <w:left w:val="nil"/>
              <w:bottom w:val="single" w:sz="4" w:space="0" w:color="auto"/>
              <w:right w:val="single" w:sz="4" w:space="0" w:color="auto"/>
            </w:tcBorders>
            <w:shd w:val="clear" w:color="auto" w:fill="auto"/>
            <w:noWrap/>
            <w:vAlign w:val="bottom"/>
            <w:hideMark/>
          </w:tcPr>
          <w:p w14:paraId="64567063"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1 215 061</w:t>
            </w:r>
          </w:p>
        </w:tc>
        <w:tc>
          <w:tcPr>
            <w:tcW w:w="1280" w:type="dxa"/>
            <w:tcBorders>
              <w:top w:val="nil"/>
              <w:left w:val="nil"/>
              <w:bottom w:val="single" w:sz="4" w:space="0" w:color="auto"/>
              <w:right w:val="single" w:sz="4" w:space="0" w:color="auto"/>
            </w:tcBorders>
            <w:shd w:val="clear" w:color="auto" w:fill="auto"/>
            <w:noWrap/>
            <w:vAlign w:val="bottom"/>
            <w:hideMark/>
          </w:tcPr>
          <w:p w14:paraId="6322718F"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1 209 621</w:t>
            </w:r>
          </w:p>
        </w:tc>
        <w:tc>
          <w:tcPr>
            <w:tcW w:w="1280" w:type="dxa"/>
            <w:tcBorders>
              <w:top w:val="nil"/>
              <w:left w:val="nil"/>
              <w:bottom w:val="single" w:sz="4" w:space="0" w:color="auto"/>
              <w:right w:val="single" w:sz="4" w:space="0" w:color="auto"/>
            </w:tcBorders>
            <w:shd w:val="clear" w:color="auto" w:fill="auto"/>
            <w:noWrap/>
            <w:vAlign w:val="bottom"/>
            <w:hideMark/>
          </w:tcPr>
          <w:p w14:paraId="3B6B74DC"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1 212 804</w:t>
            </w:r>
          </w:p>
        </w:tc>
      </w:tr>
      <w:tr w:rsidR="00FA3BB1" w:rsidRPr="00FA3BB1" w14:paraId="79D5B214" w14:textId="77777777" w:rsidTr="00FA3BB1">
        <w:trPr>
          <w:trHeight w:val="255"/>
          <w:jc w:val="center"/>
        </w:trPr>
        <w:tc>
          <w:tcPr>
            <w:tcW w:w="2809" w:type="dxa"/>
            <w:tcBorders>
              <w:top w:val="nil"/>
              <w:left w:val="single" w:sz="4" w:space="0" w:color="auto"/>
              <w:bottom w:val="single" w:sz="4" w:space="0" w:color="auto"/>
              <w:right w:val="single" w:sz="4" w:space="0" w:color="auto"/>
            </w:tcBorders>
            <w:shd w:val="clear" w:color="auto" w:fill="auto"/>
            <w:noWrap/>
            <w:vAlign w:val="bottom"/>
            <w:hideMark/>
          </w:tcPr>
          <w:p w14:paraId="4D224AAE" w14:textId="77777777" w:rsidR="00FA3BB1" w:rsidRPr="00FA3BB1" w:rsidRDefault="00FA3BB1" w:rsidP="00FA3BB1">
            <w:pPr>
              <w:spacing w:after="0" w:line="240" w:lineRule="auto"/>
              <w:jc w:val="left"/>
              <w:rPr>
                <w:rFonts w:eastAsia="Times New Roman"/>
                <w:color w:val="000000"/>
                <w:sz w:val="22"/>
                <w:lang w:val="lv-LV" w:eastAsia="lv-LV"/>
              </w:rPr>
            </w:pPr>
            <w:r w:rsidRPr="00FA3BB1">
              <w:rPr>
                <w:rFonts w:eastAsia="Times New Roman"/>
                <w:color w:val="000000"/>
                <w:sz w:val="22"/>
                <w:lang w:val="lv-LV" w:eastAsia="lv-LV"/>
              </w:rPr>
              <w:t>Izpilde</w:t>
            </w:r>
          </w:p>
        </w:tc>
        <w:tc>
          <w:tcPr>
            <w:tcW w:w="1280" w:type="dxa"/>
            <w:tcBorders>
              <w:top w:val="nil"/>
              <w:left w:val="nil"/>
              <w:bottom w:val="single" w:sz="4" w:space="0" w:color="auto"/>
              <w:right w:val="single" w:sz="4" w:space="0" w:color="auto"/>
            </w:tcBorders>
            <w:shd w:val="clear" w:color="auto" w:fill="auto"/>
            <w:noWrap/>
            <w:vAlign w:val="bottom"/>
            <w:hideMark/>
          </w:tcPr>
          <w:p w14:paraId="3797CA55"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1 161 468</w:t>
            </w:r>
          </w:p>
        </w:tc>
        <w:tc>
          <w:tcPr>
            <w:tcW w:w="1280" w:type="dxa"/>
            <w:tcBorders>
              <w:top w:val="nil"/>
              <w:left w:val="nil"/>
              <w:bottom w:val="single" w:sz="4" w:space="0" w:color="auto"/>
              <w:right w:val="single" w:sz="4" w:space="0" w:color="auto"/>
            </w:tcBorders>
            <w:shd w:val="clear" w:color="auto" w:fill="auto"/>
            <w:noWrap/>
            <w:vAlign w:val="bottom"/>
            <w:hideMark/>
          </w:tcPr>
          <w:p w14:paraId="5539DF8B"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1 209 621</w:t>
            </w:r>
          </w:p>
        </w:tc>
        <w:tc>
          <w:tcPr>
            <w:tcW w:w="1280" w:type="dxa"/>
            <w:tcBorders>
              <w:top w:val="nil"/>
              <w:left w:val="nil"/>
              <w:bottom w:val="single" w:sz="4" w:space="0" w:color="auto"/>
              <w:right w:val="single" w:sz="4" w:space="0" w:color="auto"/>
            </w:tcBorders>
            <w:shd w:val="clear" w:color="auto" w:fill="auto"/>
            <w:noWrap/>
            <w:vAlign w:val="bottom"/>
            <w:hideMark/>
          </w:tcPr>
          <w:p w14:paraId="2841A7F9"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1 212 804</w:t>
            </w:r>
          </w:p>
        </w:tc>
      </w:tr>
      <w:tr w:rsidR="00FA3BB1" w:rsidRPr="00FA3BB1" w14:paraId="0ADF6657" w14:textId="77777777" w:rsidTr="00FA3BB1">
        <w:trPr>
          <w:trHeight w:val="255"/>
          <w:jc w:val="center"/>
        </w:trPr>
        <w:tc>
          <w:tcPr>
            <w:tcW w:w="2809" w:type="dxa"/>
            <w:tcBorders>
              <w:top w:val="nil"/>
              <w:left w:val="single" w:sz="4" w:space="0" w:color="auto"/>
              <w:bottom w:val="single" w:sz="4" w:space="0" w:color="auto"/>
              <w:right w:val="single" w:sz="4" w:space="0" w:color="auto"/>
            </w:tcBorders>
            <w:shd w:val="clear" w:color="auto" w:fill="auto"/>
            <w:noWrap/>
            <w:vAlign w:val="bottom"/>
            <w:hideMark/>
          </w:tcPr>
          <w:p w14:paraId="161D9311" w14:textId="77777777" w:rsidR="00FA3BB1" w:rsidRPr="00FA3BB1" w:rsidRDefault="00FA3BB1" w:rsidP="00FA3BB1">
            <w:pPr>
              <w:spacing w:after="0" w:line="240" w:lineRule="auto"/>
              <w:jc w:val="left"/>
              <w:rPr>
                <w:rFonts w:eastAsia="Times New Roman"/>
                <w:color w:val="000000"/>
                <w:sz w:val="22"/>
                <w:lang w:val="lv-LV" w:eastAsia="lv-LV"/>
              </w:rPr>
            </w:pPr>
            <w:r w:rsidRPr="00FA3BB1">
              <w:rPr>
                <w:rFonts w:eastAsia="Times New Roman"/>
                <w:color w:val="000000"/>
                <w:sz w:val="22"/>
                <w:lang w:val="lv-LV" w:eastAsia="lv-LV"/>
              </w:rPr>
              <w:t>Neizpilde</w:t>
            </w:r>
          </w:p>
        </w:tc>
        <w:tc>
          <w:tcPr>
            <w:tcW w:w="1280" w:type="dxa"/>
            <w:tcBorders>
              <w:top w:val="nil"/>
              <w:left w:val="nil"/>
              <w:bottom w:val="single" w:sz="4" w:space="0" w:color="auto"/>
              <w:right w:val="single" w:sz="4" w:space="0" w:color="auto"/>
            </w:tcBorders>
            <w:shd w:val="clear" w:color="auto" w:fill="auto"/>
            <w:noWrap/>
            <w:vAlign w:val="bottom"/>
            <w:hideMark/>
          </w:tcPr>
          <w:p w14:paraId="079FB8F0"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53 593</w:t>
            </w:r>
          </w:p>
        </w:tc>
        <w:tc>
          <w:tcPr>
            <w:tcW w:w="1280" w:type="dxa"/>
            <w:tcBorders>
              <w:top w:val="nil"/>
              <w:left w:val="nil"/>
              <w:bottom w:val="single" w:sz="4" w:space="0" w:color="auto"/>
              <w:right w:val="single" w:sz="4" w:space="0" w:color="auto"/>
            </w:tcBorders>
            <w:shd w:val="clear" w:color="auto" w:fill="auto"/>
            <w:noWrap/>
            <w:vAlign w:val="bottom"/>
            <w:hideMark/>
          </w:tcPr>
          <w:p w14:paraId="158686CA"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0</w:t>
            </w:r>
          </w:p>
        </w:tc>
        <w:tc>
          <w:tcPr>
            <w:tcW w:w="1280" w:type="dxa"/>
            <w:tcBorders>
              <w:top w:val="nil"/>
              <w:left w:val="nil"/>
              <w:bottom w:val="single" w:sz="4" w:space="0" w:color="auto"/>
              <w:right w:val="single" w:sz="4" w:space="0" w:color="auto"/>
            </w:tcBorders>
            <w:shd w:val="clear" w:color="auto" w:fill="auto"/>
            <w:noWrap/>
            <w:vAlign w:val="bottom"/>
            <w:hideMark/>
          </w:tcPr>
          <w:p w14:paraId="64ED9E51" w14:textId="77777777" w:rsidR="00FA3BB1" w:rsidRPr="00FA3BB1" w:rsidRDefault="00FA3BB1" w:rsidP="00FA3BB1">
            <w:pPr>
              <w:spacing w:after="0" w:line="240" w:lineRule="auto"/>
              <w:jc w:val="right"/>
              <w:rPr>
                <w:rFonts w:eastAsia="Times New Roman"/>
                <w:color w:val="000000"/>
                <w:sz w:val="22"/>
                <w:lang w:val="lv-LV" w:eastAsia="lv-LV"/>
              </w:rPr>
            </w:pPr>
            <w:r w:rsidRPr="00FA3BB1">
              <w:rPr>
                <w:rFonts w:eastAsia="Times New Roman"/>
                <w:color w:val="000000"/>
                <w:sz w:val="22"/>
                <w:lang w:val="lv-LV" w:eastAsia="lv-LV"/>
              </w:rPr>
              <w:t>0</w:t>
            </w:r>
          </w:p>
        </w:tc>
      </w:tr>
    </w:tbl>
    <w:p w14:paraId="3765D413" w14:textId="77777777" w:rsidR="00FA3BB1" w:rsidRPr="00FA3BB1" w:rsidRDefault="00FA3BB1" w:rsidP="00FA3BB1">
      <w:pPr>
        <w:spacing w:after="0" w:line="240" w:lineRule="auto"/>
        <w:rPr>
          <w:rFonts w:eastAsiaTheme="minorHAnsi"/>
          <w:lang w:val="lv-LV"/>
        </w:rPr>
      </w:pPr>
    </w:p>
    <w:p w14:paraId="7A075647" w14:textId="6DB8C787" w:rsidR="008239CF" w:rsidRDefault="008239CF" w:rsidP="008239CF">
      <w:pPr>
        <w:ind w:firstLine="720"/>
        <w:rPr>
          <w:rFonts w:eastAsiaTheme="minorHAnsi"/>
          <w:lang w:val="lv-LV"/>
        </w:rPr>
      </w:pPr>
      <w:r w:rsidRPr="008239CF">
        <w:rPr>
          <w:lang w:val="lv-LV"/>
        </w:rPr>
        <w:t xml:space="preserve">Izdevumu pārskatīšanas procesa ietvaros ZM sniedza informāciju, ka PP vidējā neizpilde pa gadiem atbilst FM norādītai informācijai un neizpilde veidojās dažādās pozīcijās un dažādu iemeslu dēļ, skaidrojot pārdales starp PP uzdevumiem. Pēc papildu ZM skaidrojumiem par PP izpildes situāciju, FM secināja, ka minētā PP finansējums tiek pārskaitīts </w:t>
      </w:r>
      <w:r w:rsidRPr="008239CF">
        <w:rPr>
          <w:lang w:val="lv-LV"/>
        </w:rPr>
        <w:lastRenderedPageBreak/>
        <w:t>Pārtikas drošības, dzīvnieku veselības un vides zinātniskais institūtam “BIOR” katram gadam ieplānotajā maksimālajā apmērā, lai gan kārtējā gada ietvaros tas faktiski netiek izmantots pilnā apmērā un BIOR to uzkrā</w:t>
      </w:r>
      <w:r>
        <w:rPr>
          <w:lang w:val="lv-LV"/>
        </w:rPr>
        <w:t>j atlikumā turpmākajiem gadiem.</w:t>
      </w:r>
    </w:p>
    <w:p w14:paraId="6C384997" w14:textId="691587CB" w:rsidR="00B84B1E" w:rsidRPr="00697BE4" w:rsidRDefault="00FA3BB1" w:rsidP="00697BE4">
      <w:pPr>
        <w:ind w:firstLine="720"/>
        <w:rPr>
          <w:rFonts w:eastAsiaTheme="minorHAnsi"/>
          <w:lang w:val="lv-LV"/>
        </w:rPr>
      </w:pPr>
      <w:r w:rsidRPr="00FA3BB1">
        <w:rPr>
          <w:rFonts w:eastAsiaTheme="minorHAnsi"/>
          <w:lang w:val="lv-LV"/>
        </w:rPr>
        <w:t xml:space="preserve">Ņemot vērā minēto, PP ietvaros konstatētā vidējā neizpilde </w:t>
      </w:r>
      <w:r w:rsidRPr="00FA3BB1">
        <w:rPr>
          <w:rFonts w:eastAsiaTheme="minorHAnsi"/>
          <w:b/>
          <w:bCs/>
          <w:lang w:val="lv-LV"/>
        </w:rPr>
        <w:t xml:space="preserve">43 998 </w:t>
      </w:r>
      <w:r w:rsidRPr="00FA3BB1">
        <w:rPr>
          <w:rFonts w:eastAsiaTheme="minorHAnsi"/>
          <w:b/>
          <w:bCs/>
          <w:i/>
          <w:iCs/>
          <w:lang w:val="lv-LV"/>
        </w:rPr>
        <w:t>euro</w:t>
      </w:r>
      <w:r w:rsidRPr="00FA3BB1">
        <w:rPr>
          <w:rFonts w:eastAsiaTheme="minorHAnsi"/>
          <w:b/>
          <w:bCs/>
          <w:lang w:val="lv-LV"/>
        </w:rPr>
        <w:t xml:space="preserve"> </w:t>
      </w:r>
      <w:r w:rsidRPr="00FA3BB1">
        <w:rPr>
          <w:rFonts w:eastAsiaTheme="minorHAnsi"/>
          <w:lang w:val="lv-LV"/>
        </w:rPr>
        <w:t>apmērā uzskatāmā par ZM iekšējiem resursiem. Vienlaikus jānorāda, ka saskaņā ar ZM sniegto informāciju</w:t>
      </w:r>
      <w:r w:rsidR="0056192C">
        <w:rPr>
          <w:rFonts w:eastAsiaTheme="minorHAnsi"/>
          <w:lang w:val="lv-LV"/>
        </w:rPr>
        <w:t>,</w:t>
      </w:r>
      <w:r w:rsidRPr="00FA3BB1">
        <w:rPr>
          <w:rFonts w:eastAsiaTheme="minorHAnsi"/>
          <w:lang w:val="lv-LV"/>
        </w:rPr>
        <w:t xml:space="preserve"> saprotams, ka konstatētie iekšējie resursi saglabājami ZM budžeta apakšprogrammas 20.02.00 “Pārtikas aprites un veterinārmedicīnas valsts uzraudzības laboratoriskie izmeklējumi” ietvaros Pārtikas drošības, dzīvnieku veselības un vides zinātniskais institūtam “BIOR” deleģēto uzdevumu izpildei.</w:t>
      </w:r>
    </w:p>
    <w:p w14:paraId="49A3B7D1" w14:textId="77777777" w:rsidR="00697BE4" w:rsidRDefault="00697BE4" w:rsidP="00FA3BB1">
      <w:pPr>
        <w:jc w:val="left"/>
        <w:rPr>
          <w:rFonts w:eastAsia="Times New Roman" w:cs="Times New Roman"/>
          <w:b/>
          <w:u w:val="single"/>
          <w:lang w:val="lv-LV" w:eastAsia="lv-LV"/>
        </w:rPr>
      </w:pPr>
    </w:p>
    <w:p w14:paraId="3D7B76EF" w14:textId="6B02131A" w:rsidR="001768BA" w:rsidRPr="00697BE4" w:rsidRDefault="00FA3BB1" w:rsidP="00FA3BB1">
      <w:pPr>
        <w:jc w:val="left"/>
        <w:rPr>
          <w:rFonts w:eastAsia="Times New Roman" w:cs="Times New Roman"/>
          <w:b/>
          <w:u w:val="single"/>
          <w:lang w:val="lv-LV" w:eastAsia="lv-LV"/>
        </w:rPr>
      </w:pPr>
      <w:r w:rsidRPr="00FA3BB1">
        <w:rPr>
          <w:rFonts w:eastAsia="Times New Roman" w:cs="Times New Roman"/>
          <w:b/>
          <w:u w:val="single"/>
          <w:lang w:val="lv-LV" w:eastAsia="lv-LV"/>
        </w:rPr>
        <w:t xml:space="preserve">Citi pasākumi: </w:t>
      </w:r>
    </w:p>
    <w:p w14:paraId="34F1C038" w14:textId="77777777" w:rsidR="00FA3BB1" w:rsidRPr="00FA3BB1" w:rsidRDefault="00FA3BB1" w:rsidP="00FA3BB1">
      <w:pPr>
        <w:spacing w:line="240" w:lineRule="auto"/>
        <w:jc w:val="left"/>
        <w:rPr>
          <w:rFonts w:eastAsiaTheme="minorHAnsi" w:cs="Times New Roman"/>
          <w:b/>
          <w:bCs/>
          <w:szCs w:val="24"/>
          <w:lang w:val="lv-LV"/>
        </w:rPr>
      </w:pPr>
      <w:r w:rsidRPr="00FA3BB1">
        <w:rPr>
          <w:rFonts w:eastAsiaTheme="minorHAnsi" w:cs="Times New Roman"/>
          <w:b/>
          <w:bCs/>
          <w:szCs w:val="24"/>
          <w:lang w:val="lv-LV" w:eastAsia="lv-LV"/>
        </w:rPr>
        <w:t xml:space="preserve">ĀM – finansējums ar </w:t>
      </w:r>
      <w:r w:rsidRPr="00FA3BB1">
        <w:rPr>
          <w:rFonts w:eastAsiaTheme="minorHAnsi" w:cs="Times New Roman"/>
          <w:b/>
          <w:bCs/>
          <w:i/>
          <w:iCs/>
          <w:szCs w:val="24"/>
          <w:lang w:val="lv-LV" w:eastAsia="lv-LV"/>
        </w:rPr>
        <w:t xml:space="preserve">Brexit </w:t>
      </w:r>
      <w:r w:rsidRPr="00FA3BB1">
        <w:rPr>
          <w:rFonts w:eastAsiaTheme="minorHAnsi" w:cs="Times New Roman"/>
          <w:b/>
          <w:bCs/>
          <w:szCs w:val="24"/>
          <w:lang w:val="lv-LV" w:eastAsia="lv-LV"/>
        </w:rPr>
        <w:t>saistītiem pasākumiem</w:t>
      </w:r>
    </w:p>
    <w:p w14:paraId="3967FFD5" w14:textId="287A19E5" w:rsidR="00FA3BB1" w:rsidRPr="00FA3BB1" w:rsidRDefault="00FA3BB1" w:rsidP="0056192C">
      <w:pPr>
        <w:spacing w:before="120"/>
        <w:ind w:firstLine="720"/>
        <w:rPr>
          <w:rFonts w:eastAsiaTheme="minorHAnsi" w:cs="Times New Roman"/>
          <w:szCs w:val="24"/>
          <w:lang w:val="lv-LV"/>
        </w:rPr>
      </w:pPr>
      <w:r w:rsidRPr="00FA3BB1">
        <w:rPr>
          <w:rFonts w:eastAsiaTheme="minorHAnsi" w:cs="Times New Roman"/>
          <w:szCs w:val="24"/>
          <w:lang w:val="lv-LV"/>
        </w:rPr>
        <w:t xml:space="preserve">Pamatojoties uz MK 2019. gada 11. oktobra </w:t>
      </w:r>
      <w:r w:rsidR="006B762E" w:rsidRPr="006B762E">
        <w:rPr>
          <w:rFonts w:eastAsiaTheme="minorHAnsi" w:cs="Times New Roman"/>
          <w:szCs w:val="24"/>
          <w:lang w:val="lv-LV"/>
        </w:rPr>
        <w:t xml:space="preserve">ārkārtas </w:t>
      </w:r>
      <w:r w:rsidRPr="00FA3BB1">
        <w:rPr>
          <w:rFonts w:eastAsiaTheme="minorHAnsi" w:cs="Times New Roman"/>
          <w:szCs w:val="24"/>
          <w:lang w:val="lv-LV"/>
        </w:rPr>
        <w:t xml:space="preserve">sēdes prot. Nr. 47 7.§ </w:t>
      </w:r>
      <w:r w:rsidRPr="00FA3BB1">
        <w:rPr>
          <w:rFonts w:eastAsiaTheme="minorHAnsi"/>
          <w:lang w:val="lv-LV"/>
        </w:rPr>
        <w:t xml:space="preserve">“Informatīvais ziņojums “Par nepieciešamo papildu finansējumu </w:t>
      </w:r>
      <w:r w:rsidRPr="00FA3BB1">
        <w:rPr>
          <w:rFonts w:eastAsiaTheme="minorHAnsi"/>
          <w:i/>
          <w:iCs/>
          <w:lang w:val="lv-LV"/>
        </w:rPr>
        <w:t>Brexit</w:t>
      </w:r>
      <w:r w:rsidRPr="00FA3BB1">
        <w:rPr>
          <w:rFonts w:eastAsiaTheme="minorHAnsi"/>
          <w:lang w:val="lv-LV"/>
        </w:rPr>
        <w:t xml:space="preserve"> seku risināšanai””, </w:t>
      </w:r>
      <w:r w:rsidRPr="00FA3BB1">
        <w:rPr>
          <w:rFonts w:eastAsiaTheme="minorHAnsi" w:cs="Times New Roman"/>
          <w:szCs w:val="24"/>
          <w:lang w:val="lv-LV"/>
        </w:rPr>
        <w:t xml:space="preserve">ĀM </w:t>
      </w:r>
      <w:r w:rsidRPr="00FA3BB1">
        <w:rPr>
          <w:rFonts w:eastAsiaTheme="minorHAnsi" w:cs="Times New Roman"/>
          <w:i/>
          <w:iCs/>
          <w:szCs w:val="24"/>
          <w:lang w:val="lv-LV"/>
        </w:rPr>
        <w:t>Brexit</w:t>
      </w:r>
      <w:r w:rsidRPr="00FA3BB1">
        <w:rPr>
          <w:rFonts w:eastAsiaTheme="minorHAnsi" w:cs="Times New Roman"/>
          <w:szCs w:val="24"/>
          <w:lang w:val="lv-LV"/>
        </w:rPr>
        <w:t xml:space="preserve"> pasākumu ietvaros tika piešķirts finansējums </w:t>
      </w:r>
      <w:r w:rsidR="003A300D">
        <w:rPr>
          <w:rFonts w:eastAsiaTheme="minorHAnsi" w:cs="Times New Roman"/>
          <w:szCs w:val="24"/>
          <w:lang w:val="lv-LV"/>
        </w:rPr>
        <w:t xml:space="preserve">ĀM </w:t>
      </w:r>
      <w:r w:rsidR="003A300D" w:rsidRPr="003A300D">
        <w:rPr>
          <w:rFonts w:eastAsiaTheme="minorHAnsi" w:cs="Times New Roman"/>
          <w:szCs w:val="24"/>
          <w:lang w:val="lv-LV"/>
        </w:rPr>
        <w:t>budžeta apakšprogrammā 01.04.00 “Diplomātiskās misijas ārvalstīs”</w:t>
      </w:r>
      <w:r w:rsidR="003A300D">
        <w:rPr>
          <w:rFonts w:eastAsiaTheme="minorHAnsi" w:cs="Times New Roman"/>
          <w:szCs w:val="24"/>
          <w:lang w:val="lv-LV"/>
        </w:rPr>
        <w:t xml:space="preserve"> </w:t>
      </w:r>
      <w:r w:rsidRPr="00FA3BB1">
        <w:rPr>
          <w:rFonts w:eastAsiaTheme="minorHAnsi" w:cs="Times New Roman"/>
          <w:szCs w:val="24"/>
          <w:lang w:val="lv-LV"/>
        </w:rPr>
        <w:t xml:space="preserve">divu papildu amata vietu izveidošanai un uzturēšanai LR vēstniecībā </w:t>
      </w:r>
      <w:r w:rsidR="00CE611F">
        <w:rPr>
          <w:rFonts w:eastAsiaTheme="minorHAnsi" w:cs="Times New Roman"/>
          <w:szCs w:val="24"/>
          <w:lang w:val="lv-LV"/>
        </w:rPr>
        <w:t>Apvienotajā Karalistē (AK)</w:t>
      </w:r>
      <w:r w:rsidR="003A300D">
        <w:rPr>
          <w:rFonts w:eastAsiaTheme="minorHAnsi" w:cs="Times New Roman"/>
          <w:szCs w:val="24"/>
          <w:lang w:val="lv-LV"/>
        </w:rPr>
        <w:t xml:space="preserve"> 2020. </w:t>
      </w:r>
      <w:r w:rsidRPr="00FA3BB1">
        <w:rPr>
          <w:rFonts w:eastAsiaTheme="minorHAnsi" w:cs="Times New Roman"/>
          <w:szCs w:val="24"/>
          <w:lang w:val="lv-LV"/>
        </w:rPr>
        <w:t xml:space="preserve">gadā 259 491 </w:t>
      </w:r>
      <w:r w:rsidRPr="00FA3BB1">
        <w:rPr>
          <w:rFonts w:eastAsiaTheme="minorHAnsi" w:cs="Times New Roman"/>
          <w:i/>
          <w:iCs/>
          <w:szCs w:val="24"/>
          <w:lang w:val="lv-LV"/>
        </w:rPr>
        <w:t xml:space="preserve">euro </w:t>
      </w:r>
      <w:r w:rsidRPr="00FA3BB1">
        <w:rPr>
          <w:rFonts w:eastAsiaTheme="minorHAnsi" w:cs="Times New Roman"/>
          <w:szCs w:val="24"/>
          <w:lang w:val="lv-LV"/>
        </w:rPr>
        <w:t>apmērā</w:t>
      </w:r>
      <w:r w:rsidRPr="00FA3BB1">
        <w:rPr>
          <w:rFonts w:eastAsiaTheme="minorHAnsi" w:cs="Times New Roman"/>
          <w:i/>
          <w:iCs/>
          <w:szCs w:val="24"/>
          <w:lang w:val="lv-LV"/>
        </w:rPr>
        <w:t xml:space="preserve">, </w:t>
      </w:r>
      <w:r w:rsidR="003A300D">
        <w:rPr>
          <w:rFonts w:eastAsiaTheme="minorHAnsi" w:cs="Times New Roman"/>
          <w:szCs w:val="24"/>
          <w:lang w:val="lv-LV"/>
        </w:rPr>
        <w:t xml:space="preserve">2021. </w:t>
      </w:r>
      <w:r w:rsidRPr="00FA3BB1">
        <w:rPr>
          <w:rFonts w:eastAsiaTheme="minorHAnsi" w:cs="Times New Roman"/>
          <w:szCs w:val="24"/>
          <w:lang w:val="lv-LV"/>
        </w:rPr>
        <w:t xml:space="preserve">gadā un turpmāk 269 508 </w:t>
      </w:r>
      <w:r w:rsidRPr="00FA3BB1">
        <w:rPr>
          <w:rFonts w:eastAsiaTheme="minorHAnsi" w:cs="Times New Roman"/>
          <w:i/>
          <w:iCs/>
          <w:szCs w:val="24"/>
          <w:lang w:val="lv-LV"/>
        </w:rPr>
        <w:t>euro</w:t>
      </w:r>
      <w:r w:rsidRPr="00FA3BB1">
        <w:rPr>
          <w:rFonts w:eastAsiaTheme="minorHAnsi" w:cs="Times New Roman"/>
          <w:szCs w:val="24"/>
          <w:lang w:val="lv-LV"/>
        </w:rPr>
        <w:t xml:space="preserve"> apmērā ik gadu.</w:t>
      </w:r>
    </w:p>
    <w:p w14:paraId="65CE5FE6" w14:textId="787E1DF1" w:rsidR="00FA3BB1" w:rsidRPr="00FA3BB1" w:rsidRDefault="00FA3BB1" w:rsidP="0056192C">
      <w:pPr>
        <w:spacing w:before="120"/>
        <w:ind w:firstLine="720"/>
        <w:rPr>
          <w:rFonts w:eastAsiaTheme="minorHAnsi" w:cs="Times New Roman"/>
          <w:szCs w:val="24"/>
          <w:lang w:val="lv-LV"/>
        </w:rPr>
      </w:pPr>
      <w:r w:rsidRPr="00FA3BB1">
        <w:rPr>
          <w:rFonts w:eastAsiaTheme="minorHAnsi" w:cs="Times New Roman"/>
          <w:szCs w:val="24"/>
          <w:lang w:val="lv-LV"/>
        </w:rPr>
        <w:t xml:space="preserve">Lai gan kopumā </w:t>
      </w:r>
      <w:r w:rsidRPr="00FA3BB1">
        <w:rPr>
          <w:rFonts w:eastAsiaTheme="minorHAnsi" w:cs="Times New Roman"/>
          <w:i/>
          <w:iCs/>
          <w:szCs w:val="24"/>
          <w:lang w:val="lv-LV"/>
        </w:rPr>
        <w:t>Brexit</w:t>
      </w:r>
      <w:r w:rsidRPr="00FA3BB1">
        <w:rPr>
          <w:rFonts w:eastAsiaTheme="minorHAnsi" w:cs="Times New Roman"/>
          <w:szCs w:val="24"/>
          <w:lang w:val="lv-LV"/>
        </w:rPr>
        <w:t xml:space="preserve"> pārejas periods ir noslēdzies (joprojām ir atsevišķi noteikumi, kuru ieviešana ir atlikta)  un ES un AK attiecības regulē noslēgtie līgumi </w:t>
      </w:r>
      <w:r w:rsidR="00CE611F">
        <w:rPr>
          <w:rFonts w:eastAsiaTheme="minorHAnsi" w:cs="Times New Roman"/>
          <w:szCs w:val="24"/>
          <w:lang w:val="lv-LV"/>
        </w:rPr>
        <w:t>–</w:t>
      </w:r>
      <w:r w:rsidRPr="00FA3BB1">
        <w:rPr>
          <w:rFonts w:eastAsiaTheme="minorHAnsi" w:cs="Times New Roman"/>
          <w:szCs w:val="24"/>
          <w:lang w:val="lv-LV"/>
        </w:rPr>
        <w:t xml:space="preserve"> Izstāšanās līgums un Tirdzniecības un sadarbības līgums, tomēr ir jāturpina strādāt pie tā, lai izvērtētu, kāda veida papildus vienošanās ir nepieciešamas un iespējamas, lai nodrošinātu maksimāli efektīvu savstarpējo sadarbību, vienlaikus saglabājot ES iekšējā tirgus integritāti un nodrošinot vienlīdzīgas konkurences noteikumus attiecībās ar AK. Papildus jāņem vērā, ka AK ir viens no lielākajiem Latvijas eksporta partneriem, līdz ar to, operatīva informācijas sniegšana par jaunajiem noteikumiem un to praktiskās ieviešanas aspektiem Latvijas eksportējošiem uzņēmumiem ir vitāli svarīga. Tāpat, ņemot vērā, ka AK dzīvo lielākā Latvijas diaspora ārpus Latvijas, pēc jaunākajām aplēsēm ap 150 000 tūkstoši Latvijas valstspiederīgo, nepieciešams turpināt darbu  Latvijas valstspiederīgo tiesību aizsardzībā, tai skaitā informācijas nodrošināšanai gan par uzturēšanās nosacījumiem, gan nepieciešams sniegt atbalstu dažādu situāciju risinājumos ar AK institūcijām. </w:t>
      </w:r>
    </w:p>
    <w:p w14:paraId="3941EC5F" w14:textId="77777777" w:rsidR="00FA3BB1" w:rsidRPr="00FA3BB1" w:rsidRDefault="00FA3BB1" w:rsidP="0056192C">
      <w:pPr>
        <w:spacing w:before="120"/>
        <w:ind w:firstLine="720"/>
        <w:rPr>
          <w:rFonts w:eastAsiaTheme="minorHAnsi" w:cs="Times New Roman"/>
          <w:szCs w:val="24"/>
          <w:lang w:val="lv-LV" w:eastAsia="lv-LV"/>
        </w:rPr>
      </w:pPr>
      <w:r w:rsidRPr="00FA3BB1">
        <w:rPr>
          <w:rFonts w:eastAsiaTheme="minorHAnsi" w:cs="Times New Roman"/>
          <w:szCs w:val="24"/>
          <w:lang w:val="lv-LV" w:eastAsia="lv-LV"/>
        </w:rPr>
        <w:t xml:space="preserve">Ņemot vērā minēto, ĀM  rosina </w:t>
      </w:r>
      <w:r w:rsidRPr="00FA3BB1">
        <w:rPr>
          <w:rFonts w:eastAsiaTheme="minorHAnsi" w:cs="Times New Roman"/>
          <w:i/>
          <w:iCs/>
          <w:szCs w:val="24"/>
          <w:lang w:val="lv-LV" w:eastAsia="lv-LV"/>
        </w:rPr>
        <w:t>Brexit</w:t>
      </w:r>
      <w:r w:rsidRPr="00FA3BB1">
        <w:rPr>
          <w:rFonts w:eastAsiaTheme="minorHAnsi" w:cs="Times New Roman"/>
          <w:szCs w:val="24"/>
          <w:lang w:val="lv-LV" w:eastAsia="lv-LV"/>
        </w:rPr>
        <w:t xml:space="preserve"> pasākumu ietvaros piešķirto </w:t>
      </w:r>
      <w:r w:rsidRPr="00FA3BB1">
        <w:rPr>
          <w:rFonts w:eastAsiaTheme="minorHAnsi" w:cs="Times New Roman"/>
          <w:szCs w:val="24"/>
          <w:lang w:val="lv-LV"/>
        </w:rPr>
        <w:t xml:space="preserve">finansējumu 2022. gadam un turpmāk </w:t>
      </w:r>
      <w:r w:rsidRPr="00FA3BB1">
        <w:rPr>
          <w:rFonts w:eastAsiaTheme="minorHAnsi" w:cs="Times New Roman"/>
          <w:b/>
          <w:bCs/>
          <w:szCs w:val="24"/>
          <w:lang w:val="lv-LV"/>
        </w:rPr>
        <w:t xml:space="preserve">269 508 </w:t>
      </w:r>
      <w:r w:rsidRPr="00FA3BB1">
        <w:rPr>
          <w:rFonts w:eastAsiaTheme="minorHAnsi" w:cs="Times New Roman"/>
          <w:b/>
          <w:bCs/>
          <w:i/>
          <w:iCs/>
          <w:szCs w:val="24"/>
          <w:lang w:val="lv-LV"/>
        </w:rPr>
        <w:t>euro</w:t>
      </w:r>
      <w:r w:rsidRPr="00FA3BB1">
        <w:rPr>
          <w:rFonts w:eastAsiaTheme="minorHAnsi" w:cs="Times New Roman"/>
          <w:b/>
          <w:bCs/>
          <w:szCs w:val="24"/>
          <w:lang w:val="lv-LV"/>
        </w:rPr>
        <w:t xml:space="preserve"> </w:t>
      </w:r>
      <w:r w:rsidRPr="00FA3BB1">
        <w:rPr>
          <w:rFonts w:eastAsiaTheme="minorHAnsi" w:cs="Times New Roman"/>
          <w:szCs w:val="24"/>
          <w:lang w:val="lv-LV"/>
        </w:rPr>
        <w:t>apmērā ik gadu novirzīt Latvijas ekonomisko un valstspiederīgo interešu nodrošināšanai AK, saglabājot izveidotās divas amata vietas.</w:t>
      </w:r>
    </w:p>
    <w:p w14:paraId="3115CEFB" w14:textId="77777777" w:rsidR="00FA3BB1" w:rsidRPr="00FA3BB1" w:rsidRDefault="00FA3BB1" w:rsidP="00FA3BB1">
      <w:pPr>
        <w:jc w:val="left"/>
        <w:rPr>
          <w:rFonts w:eastAsiaTheme="minorHAnsi"/>
          <w:b/>
          <w:lang w:val="lv-LV"/>
        </w:rPr>
      </w:pPr>
      <w:r w:rsidRPr="00FA3BB1">
        <w:rPr>
          <w:rFonts w:eastAsiaTheme="minorHAnsi"/>
          <w:b/>
          <w:lang w:val="lv-LV"/>
        </w:rPr>
        <w:t>EM – finansējums ar</w:t>
      </w:r>
      <w:r w:rsidRPr="00FA3BB1">
        <w:rPr>
          <w:rFonts w:eastAsiaTheme="minorHAnsi"/>
          <w:b/>
          <w:i/>
          <w:iCs/>
          <w:lang w:val="lv-LV"/>
        </w:rPr>
        <w:t xml:space="preserve"> Brexit </w:t>
      </w:r>
      <w:r w:rsidRPr="00FA3BB1">
        <w:rPr>
          <w:rFonts w:eastAsiaTheme="minorHAnsi"/>
          <w:b/>
          <w:lang w:val="lv-LV"/>
        </w:rPr>
        <w:t>saistītiem pasākumiem</w:t>
      </w:r>
    </w:p>
    <w:p w14:paraId="2CB23E30" w14:textId="30BA3C11" w:rsidR="00FA3BB1" w:rsidRPr="00FA3BB1" w:rsidRDefault="00FA3BB1" w:rsidP="0056192C">
      <w:pPr>
        <w:spacing w:before="120"/>
        <w:ind w:firstLine="720"/>
        <w:rPr>
          <w:rFonts w:eastAsiaTheme="minorHAnsi"/>
          <w:lang w:val="lv-LV"/>
        </w:rPr>
      </w:pPr>
      <w:r w:rsidRPr="00FA3BB1">
        <w:rPr>
          <w:rFonts w:eastAsiaTheme="minorHAnsi"/>
          <w:lang w:val="lv-LV"/>
        </w:rPr>
        <w:t xml:space="preserve">Pamatojoties uz MK 2019. gada 11. oktobra </w:t>
      </w:r>
      <w:r w:rsidR="006B762E">
        <w:rPr>
          <w:rFonts w:eastAsiaTheme="minorHAnsi" w:cs="Times New Roman"/>
          <w:szCs w:val="24"/>
          <w:lang w:val="lv-LV"/>
        </w:rPr>
        <w:t xml:space="preserve">ārkārtas </w:t>
      </w:r>
      <w:r w:rsidRPr="00FA3BB1">
        <w:rPr>
          <w:rFonts w:eastAsiaTheme="minorHAnsi"/>
          <w:lang w:val="lv-LV"/>
        </w:rPr>
        <w:t xml:space="preserve">sēdes protokola Nr. 47 7.§ “Informatīvais ziņojums “Par nepieciešamo papildu finansējumu </w:t>
      </w:r>
      <w:r w:rsidRPr="00FA3BB1">
        <w:rPr>
          <w:rFonts w:eastAsiaTheme="minorHAnsi"/>
          <w:i/>
          <w:iCs/>
          <w:lang w:val="lv-LV"/>
        </w:rPr>
        <w:t>Brexit</w:t>
      </w:r>
      <w:r w:rsidRPr="00FA3BB1">
        <w:rPr>
          <w:rFonts w:eastAsiaTheme="minorHAnsi"/>
          <w:lang w:val="lv-LV"/>
        </w:rPr>
        <w:t xml:space="preserve"> seku risināšanai””, EM valsts budžeta programmā 28.00.00 “Ārējās ekonomiskās politikas ieviešana” piešķirts finansējums 2020. gadam 28 730 </w:t>
      </w:r>
      <w:r w:rsidRPr="00FA3BB1">
        <w:rPr>
          <w:rFonts w:eastAsiaTheme="minorHAnsi"/>
          <w:i/>
          <w:iCs/>
          <w:lang w:val="lv-LV"/>
        </w:rPr>
        <w:t>euro</w:t>
      </w:r>
      <w:r w:rsidRPr="00FA3BB1">
        <w:rPr>
          <w:rFonts w:eastAsiaTheme="minorHAnsi"/>
          <w:lang w:val="lv-LV"/>
        </w:rPr>
        <w:t xml:space="preserve"> apmērā un 2021. un 2022. gadam 31 342 </w:t>
      </w:r>
      <w:r w:rsidRPr="00FA3BB1">
        <w:rPr>
          <w:rFonts w:eastAsiaTheme="minorHAnsi"/>
          <w:i/>
          <w:iCs/>
          <w:lang w:val="lv-LV"/>
        </w:rPr>
        <w:t>euro</w:t>
      </w:r>
      <w:r w:rsidRPr="00FA3BB1">
        <w:rPr>
          <w:rFonts w:eastAsiaTheme="minorHAnsi"/>
          <w:lang w:val="lv-LV"/>
        </w:rPr>
        <w:t xml:space="preserve"> apmērā ik gadu, lai LIAA nodrošinātu konsultatīvo atbalstu Latvijas uzņēmējiem saistībā ar </w:t>
      </w:r>
      <w:r w:rsidRPr="00FA3BB1">
        <w:rPr>
          <w:rFonts w:eastAsiaTheme="minorHAnsi"/>
          <w:i/>
          <w:iCs/>
          <w:lang w:val="lv-LV"/>
        </w:rPr>
        <w:t>Brexit</w:t>
      </w:r>
      <w:r w:rsidRPr="00FA3BB1">
        <w:rPr>
          <w:rFonts w:eastAsiaTheme="minorHAnsi"/>
          <w:lang w:val="lv-LV"/>
        </w:rPr>
        <w:t xml:space="preserve"> procesa jautājumiem. </w:t>
      </w:r>
    </w:p>
    <w:p w14:paraId="4D088A75" w14:textId="441F6302" w:rsidR="00FA3BB1" w:rsidRPr="00FA3BB1" w:rsidRDefault="00FA3BB1" w:rsidP="0056192C">
      <w:pPr>
        <w:spacing w:before="120"/>
        <w:ind w:firstLine="720"/>
        <w:rPr>
          <w:rFonts w:eastAsiaTheme="minorHAnsi"/>
          <w:lang w:val="lv-LV"/>
        </w:rPr>
      </w:pPr>
      <w:r w:rsidRPr="00FA3BB1">
        <w:rPr>
          <w:rFonts w:eastAsiaTheme="minorHAnsi"/>
          <w:lang w:val="lv-LV"/>
        </w:rPr>
        <w:t xml:space="preserve">Ņemot vērā faktisko 2020. gada izdevumu izpildi, kas attiecīgi ir par 20 191 </w:t>
      </w:r>
      <w:r w:rsidRPr="00FA3BB1">
        <w:rPr>
          <w:rFonts w:eastAsiaTheme="minorHAnsi"/>
          <w:i/>
          <w:iCs/>
          <w:lang w:val="lv-LV"/>
        </w:rPr>
        <w:t>euro</w:t>
      </w:r>
      <w:r w:rsidRPr="00FA3BB1">
        <w:rPr>
          <w:rFonts w:eastAsiaTheme="minorHAnsi"/>
          <w:lang w:val="lv-LV"/>
        </w:rPr>
        <w:t xml:space="preserve"> mazāka nekā plānots, kā arī EM sniegto informāciju par 2022. gadā potenciāli iespējamo </w:t>
      </w:r>
      <w:r w:rsidRPr="00FA3BB1">
        <w:rPr>
          <w:rFonts w:eastAsiaTheme="minorHAnsi"/>
          <w:lang w:val="lv-LV"/>
        </w:rPr>
        <w:lastRenderedPageBreak/>
        <w:t xml:space="preserve">līdzekļu ekonomiju 3 707 </w:t>
      </w:r>
      <w:r w:rsidRPr="00FA3BB1">
        <w:rPr>
          <w:rFonts w:eastAsiaTheme="minorHAnsi"/>
          <w:i/>
          <w:iCs/>
          <w:lang w:val="lv-LV"/>
        </w:rPr>
        <w:t>euro</w:t>
      </w:r>
      <w:r w:rsidRPr="00FA3BB1">
        <w:rPr>
          <w:rFonts w:eastAsiaTheme="minorHAnsi"/>
          <w:lang w:val="lv-LV"/>
        </w:rPr>
        <w:t xml:space="preserve"> apmērā saistībā ar konsultējamo uzņēmumu skaita samazinājumu un attiecīgi darbinieku virsstundu apmaksai nepieciešamā finansējuma apmēru, finansējumu </w:t>
      </w:r>
      <w:r w:rsidRPr="00FA3BB1">
        <w:rPr>
          <w:rFonts w:eastAsiaTheme="minorHAnsi"/>
          <w:b/>
          <w:bCs/>
          <w:lang w:val="lv-LV"/>
        </w:rPr>
        <w:t xml:space="preserve">3 707 </w:t>
      </w:r>
      <w:r w:rsidRPr="00FA3BB1">
        <w:rPr>
          <w:rFonts w:eastAsiaTheme="minorHAnsi"/>
          <w:b/>
          <w:bCs/>
          <w:i/>
          <w:iCs/>
          <w:lang w:val="lv-LV"/>
        </w:rPr>
        <w:t>euro</w:t>
      </w:r>
      <w:r w:rsidRPr="00FA3BB1">
        <w:rPr>
          <w:rFonts w:eastAsiaTheme="minorHAnsi"/>
          <w:b/>
          <w:bCs/>
          <w:lang w:val="lv-LV"/>
        </w:rPr>
        <w:t xml:space="preserve"> </w:t>
      </w:r>
      <w:r w:rsidRPr="00FA3BB1">
        <w:rPr>
          <w:rFonts w:eastAsiaTheme="minorHAnsi"/>
          <w:lang w:val="lv-LV"/>
        </w:rPr>
        <w:t xml:space="preserve">apmērā 2022. gadā ir iespējams samazināt, novirzot to </w:t>
      </w:r>
      <w:r w:rsidR="00751B88">
        <w:rPr>
          <w:rFonts w:eastAsiaTheme="minorHAnsi"/>
          <w:lang w:val="lv-LV"/>
        </w:rPr>
        <w:t>c</w:t>
      </w:r>
      <w:r w:rsidR="00751B88" w:rsidRPr="00751B88">
        <w:rPr>
          <w:rFonts w:eastAsiaTheme="minorHAnsi"/>
          <w:lang w:val="lv-LV"/>
        </w:rPr>
        <w:t>itām kopējām prioritātēm</w:t>
      </w:r>
      <w:r w:rsidRPr="00FA3BB1">
        <w:rPr>
          <w:rFonts w:eastAsiaTheme="minorHAnsi"/>
          <w:lang w:val="lv-LV"/>
        </w:rPr>
        <w:t>.</w:t>
      </w:r>
    </w:p>
    <w:p w14:paraId="5BB48E3B" w14:textId="77777777" w:rsidR="00FA3BB1" w:rsidRPr="00FA3BB1" w:rsidRDefault="00FA3BB1" w:rsidP="00FA3BB1">
      <w:pPr>
        <w:spacing w:line="240" w:lineRule="auto"/>
        <w:rPr>
          <w:rFonts w:eastAsiaTheme="minorHAnsi"/>
          <w:b/>
          <w:lang w:val="lv-LV"/>
        </w:rPr>
      </w:pPr>
      <w:r w:rsidRPr="00FA3BB1">
        <w:rPr>
          <w:rFonts w:eastAsiaTheme="minorHAnsi"/>
          <w:b/>
          <w:lang w:val="lv-LV"/>
        </w:rPr>
        <w:t xml:space="preserve">FM - Latvijas simtgadei veltītās loterijas un stipendiju piešķiršanas turpināšana </w:t>
      </w:r>
    </w:p>
    <w:p w14:paraId="38C16492" w14:textId="77777777" w:rsidR="00FA3BB1" w:rsidRPr="00FA3BB1" w:rsidRDefault="00FA3BB1" w:rsidP="0056192C">
      <w:pPr>
        <w:ind w:firstLine="720"/>
        <w:rPr>
          <w:rFonts w:eastAsiaTheme="minorHAnsi"/>
          <w:lang w:val="lv-LV"/>
        </w:rPr>
      </w:pPr>
      <w:r w:rsidRPr="00FA3BB1">
        <w:rPr>
          <w:rFonts w:eastAsiaTheme="minorHAnsi"/>
          <w:lang w:val="lv-LV" w:eastAsia="lv-LV"/>
        </w:rPr>
        <w:t xml:space="preserve">Lai nodrošinātu Simtgades loterijas sabiedriski nozīmīgā mērķa īstenošanu sākot no 2021./2022.m.g. un turpmāk bez termiņa ierobežojuma līdzšinējā apjomā, t.i. gadījumā, kad katra mācību gada beigās atbalsta stipendiju 500 </w:t>
      </w:r>
      <w:r w:rsidRPr="00FA3BB1">
        <w:rPr>
          <w:rFonts w:eastAsiaTheme="minorHAnsi"/>
          <w:i/>
          <w:iCs/>
          <w:lang w:val="lv-LV" w:eastAsia="lv-LV"/>
        </w:rPr>
        <w:t>euro</w:t>
      </w:r>
      <w:r w:rsidRPr="00FA3BB1">
        <w:rPr>
          <w:rFonts w:eastAsiaTheme="minorHAnsi"/>
          <w:lang w:val="lv-LV" w:eastAsia="lv-LV"/>
        </w:rPr>
        <w:t xml:space="preserve"> apmērā piešķir vienam katras Latvijas vidējās izglītības iestādes labākajam absolventam, ik gadu ir jāparedz valsts budžeta finansējums </w:t>
      </w:r>
      <w:r w:rsidRPr="00524893">
        <w:rPr>
          <w:rFonts w:eastAsiaTheme="minorHAnsi"/>
          <w:b/>
          <w:lang w:val="lv-LV" w:eastAsia="lv-LV"/>
        </w:rPr>
        <w:t xml:space="preserve">200 000 </w:t>
      </w:r>
      <w:r w:rsidRPr="00524893">
        <w:rPr>
          <w:rFonts w:eastAsiaTheme="minorHAnsi"/>
          <w:b/>
          <w:i/>
          <w:iCs/>
          <w:lang w:val="lv-LV" w:eastAsia="lv-LV"/>
        </w:rPr>
        <w:t>euro</w:t>
      </w:r>
      <w:r w:rsidRPr="00FA3BB1">
        <w:rPr>
          <w:rFonts w:eastAsiaTheme="minorHAnsi"/>
          <w:lang w:val="lv-LV" w:eastAsia="lv-LV"/>
        </w:rPr>
        <w:t xml:space="preserve"> apmērā. </w:t>
      </w:r>
      <w:r w:rsidRPr="00FA3BB1">
        <w:rPr>
          <w:rFonts w:eastAsiaTheme="minorHAnsi"/>
          <w:lang w:val="lv-LV"/>
        </w:rPr>
        <w:t>Projekta turpināšanas nepieciešamību pamato sekojoši argumenti:</w:t>
      </w:r>
    </w:p>
    <w:p w14:paraId="6E3C0788" w14:textId="77777777" w:rsidR="00FA3BB1" w:rsidRPr="00FA3BB1" w:rsidRDefault="00FA3BB1" w:rsidP="004C1C06">
      <w:pPr>
        <w:numPr>
          <w:ilvl w:val="0"/>
          <w:numId w:val="47"/>
        </w:numPr>
        <w:jc w:val="left"/>
        <w:rPr>
          <w:rFonts w:eastAsiaTheme="minorHAnsi"/>
          <w:lang w:val="lv-LV"/>
        </w:rPr>
      </w:pPr>
      <w:r w:rsidRPr="00FA3BB1">
        <w:rPr>
          <w:rFonts w:eastAsiaTheme="minorHAnsi"/>
          <w:lang w:val="lv-LV"/>
        </w:rPr>
        <w:t>Simtgades loterijas nosaukums un sabiedriski nozīmīgais mērķis turpina būt aktuāls;</w:t>
      </w:r>
    </w:p>
    <w:p w14:paraId="0FF9EC16" w14:textId="77777777" w:rsidR="00FA3BB1" w:rsidRPr="00FA3BB1" w:rsidRDefault="00FA3BB1" w:rsidP="004C1C06">
      <w:pPr>
        <w:numPr>
          <w:ilvl w:val="0"/>
          <w:numId w:val="47"/>
        </w:numPr>
        <w:jc w:val="left"/>
        <w:rPr>
          <w:rFonts w:eastAsiaTheme="minorHAnsi"/>
          <w:lang w:val="lv-LV"/>
        </w:rPr>
      </w:pPr>
      <w:r w:rsidRPr="00FA3BB1">
        <w:rPr>
          <w:rFonts w:eastAsiaTheme="minorHAnsi"/>
          <w:lang w:val="lv-LV"/>
        </w:rPr>
        <w:t xml:space="preserve">Simtgades loterijas pārdošanas prognozes ir stabilas; </w:t>
      </w:r>
    </w:p>
    <w:p w14:paraId="01E2CF41" w14:textId="0A01ACDB" w:rsidR="00FA3BB1" w:rsidRDefault="00FA3BB1" w:rsidP="004C1C06">
      <w:pPr>
        <w:numPr>
          <w:ilvl w:val="0"/>
          <w:numId w:val="47"/>
        </w:numPr>
        <w:jc w:val="left"/>
        <w:rPr>
          <w:rFonts w:eastAsiaTheme="minorHAnsi"/>
          <w:lang w:val="lv-LV"/>
        </w:rPr>
      </w:pPr>
      <w:r w:rsidRPr="00FA3BB1">
        <w:rPr>
          <w:rFonts w:eastAsiaTheme="minorHAnsi"/>
          <w:lang w:val="lv-LV"/>
        </w:rPr>
        <w:t>Projekta turpināšanai nav tiesisku un finansiālu šķēršu, jo iedzīvotāju ienākuma nodokļa nepiemērošana laimestiem jau ir nostiprināta likumā “Par iedzīvotāju ienākuma nodokli” (136.pants).</w:t>
      </w:r>
    </w:p>
    <w:p w14:paraId="45FA7461" w14:textId="1E9D97A3" w:rsidR="00DB4A03" w:rsidRPr="002C24FA" w:rsidRDefault="00E8299F" w:rsidP="002C24FA">
      <w:pPr>
        <w:ind w:firstLine="720"/>
        <w:rPr>
          <w:lang w:val="lv-LV"/>
        </w:rPr>
      </w:pPr>
      <w:r w:rsidRPr="00E8299F">
        <w:rPr>
          <w:lang w:val="lv-LV"/>
        </w:rPr>
        <w:t xml:space="preserve">Ņemot vērā plānoto Simtgades momentloterijas turpināšanu Latvijas Simtgades pasākumu ietvaros, izlaižot jaunas loterijas sērijas, 2022. un turpmāk ik gadu stipendiju izmaksu iespējams finansēt VAS "Latvijas Loto" no gūtās papildu peļņas, paredzot 2022.un turpmāk ik gadu valsts budžetā ieskaitīt par </w:t>
      </w:r>
      <w:r w:rsidRPr="00E8299F">
        <w:rPr>
          <w:b/>
          <w:lang w:val="lv-LV"/>
        </w:rPr>
        <w:t xml:space="preserve">200 000 </w:t>
      </w:r>
      <w:r w:rsidRPr="00E8299F">
        <w:rPr>
          <w:b/>
          <w:i/>
          <w:lang w:val="lv-LV"/>
        </w:rPr>
        <w:t>euro</w:t>
      </w:r>
      <w:r w:rsidRPr="00E8299F">
        <w:rPr>
          <w:lang w:val="lv-LV"/>
        </w:rPr>
        <w:t xml:space="preserve"> lielākas dividendes. </w:t>
      </w:r>
    </w:p>
    <w:p w14:paraId="75359A1F" w14:textId="77777777" w:rsidR="00FA3BB1" w:rsidRPr="00FA3BB1" w:rsidRDefault="00FA3BB1" w:rsidP="00FA3BB1">
      <w:pPr>
        <w:spacing w:line="240" w:lineRule="auto"/>
        <w:rPr>
          <w:rFonts w:eastAsiaTheme="minorHAnsi" w:cs="Times New Roman"/>
          <w:b/>
          <w:lang w:val="lv-LV"/>
        </w:rPr>
      </w:pPr>
      <w:r w:rsidRPr="00FA3BB1">
        <w:rPr>
          <w:rFonts w:eastAsiaTheme="minorHAnsi"/>
          <w:b/>
          <w:lang w:val="lv-LV"/>
        </w:rPr>
        <w:t>FM – Grāmatvedības ārpakalpojuma sniedzēju licencēšanas nodrošināšana</w:t>
      </w:r>
    </w:p>
    <w:p w14:paraId="2466893B" w14:textId="77777777" w:rsidR="00FA3BB1" w:rsidRPr="00FA3BB1" w:rsidRDefault="00FA3BB1" w:rsidP="0056192C">
      <w:pPr>
        <w:spacing w:before="120"/>
        <w:ind w:firstLine="720"/>
        <w:rPr>
          <w:rFonts w:eastAsiaTheme="minorHAnsi"/>
          <w:lang w:val="lv-LV"/>
        </w:rPr>
      </w:pPr>
      <w:r w:rsidRPr="00FA3BB1">
        <w:rPr>
          <w:rFonts w:eastAsiaTheme="minorHAnsi"/>
          <w:lang w:val="lv-LV"/>
        </w:rPr>
        <w:t xml:space="preserve">2021. gada 9. martā stājās spēkā grozījumi likumā “Par grāmatvedību", saskaņā ar kuriem no 2021. gada 1. jūlija VID veic ārpakalpojuma grāmatveža licences izsniegšanu, termiņa pagarināšanu, apturēšanu, anulēšanu un ārpakalpojuma grāmatvežu uzraudzību. Par licences izsniegšanu vai pārreģistrāciju maksājama valsts nodeva 100 </w:t>
      </w:r>
      <w:r w:rsidRPr="00FA3BB1">
        <w:rPr>
          <w:rFonts w:eastAsiaTheme="minorHAnsi"/>
          <w:i/>
          <w:iCs/>
          <w:lang w:val="lv-LV"/>
        </w:rPr>
        <w:t>euro</w:t>
      </w:r>
      <w:r w:rsidRPr="00FA3BB1">
        <w:rPr>
          <w:rFonts w:eastAsiaTheme="minorHAnsi"/>
          <w:lang w:val="lv-LV"/>
        </w:rPr>
        <w:t xml:space="preserve"> apmērā, ko maksā pirms attiecīgo dokumentu iesniegšanas un ieskaita valsts budžetā. Grāmatvedības ārpakalpojuma sniedzēju licencēšanas nodrošināšanai nepieciešams palielināt ieņēmumu prognozi no valsts nodevas par grāmatvedības ārpakalpojuma sniedzēju licencēšanu </w:t>
      </w:r>
      <w:r w:rsidRPr="00FA3BB1">
        <w:rPr>
          <w:rFonts w:eastAsia="Times New Roman"/>
          <w:lang w:val="lv-LV"/>
        </w:rPr>
        <w:t xml:space="preserve">2022. gadā 583 200 </w:t>
      </w:r>
      <w:r w:rsidRPr="00FA3BB1">
        <w:rPr>
          <w:rFonts w:eastAsia="Times New Roman"/>
          <w:i/>
          <w:iCs/>
          <w:lang w:val="lv-LV"/>
        </w:rPr>
        <w:t>euro</w:t>
      </w:r>
      <w:r w:rsidRPr="00FA3BB1">
        <w:rPr>
          <w:rFonts w:eastAsia="Times New Roman"/>
          <w:lang w:val="lv-LV"/>
        </w:rPr>
        <w:t xml:space="preserve">, 2023. gadā 78 800 </w:t>
      </w:r>
      <w:r w:rsidRPr="00FA3BB1">
        <w:rPr>
          <w:rFonts w:eastAsia="Times New Roman"/>
          <w:i/>
          <w:iCs/>
          <w:lang w:val="lv-LV"/>
        </w:rPr>
        <w:t>euro</w:t>
      </w:r>
      <w:r w:rsidRPr="00FA3BB1">
        <w:rPr>
          <w:rFonts w:eastAsia="Times New Roman"/>
          <w:lang w:val="lv-LV"/>
        </w:rPr>
        <w:t xml:space="preserve">, 2024. un turpmākajiem gadiem par 50 000 </w:t>
      </w:r>
      <w:r w:rsidRPr="00FA3BB1">
        <w:rPr>
          <w:rFonts w:eastAsia="Times New Roman"/>
          <w:i/>
          <w:iCs/>
          <w:lang w:val="lv-LV"/>
        </w:rPr>
        <w:t>euro</w:t>
      </w:r>
      <w:r w:rsidRPr="00FA3BB1">
        <w:rPr>
          <w:rFonts w:eastAsia="Times New Roman"/>
          <w:lang w:val="lv-LV"/>
        </w:rPr>
        <w:t xml:space="preserve"> ik gadu, </w:t>
      </w:r>
      <w:r w:rsidRPr="00FA3BB1">
        <w:rPr>
          <w:rFonts w:eastAsiaTheme="minorHAnsi"/>
          <w:lang w:val="lv-LV"/>
        </w:rPr>
        <w:t xml:space="preserve">vienlaikus palielinot dotāciju no vispārējiem ieņēmumiem un izdevumus FM budžeta programmā 33.00.00 “Valsts ieņēmumu un muitas politikas nodrošināšana” </w:t>
      </w:r>
      <w:r w:rsidRPr="00FA3BB1">
        <w:rPr>
          <w:rFonts w:eastAsia="Times New Roman"/>
          <w:lang w:val="lv-LV"/>
        </w:rPr>
        <w:t xml:space="preserve">2022. gadā </w:t>
      </w:r>
      <w:r w:rsidRPr="0056192C">
        <w:rPr>
          <w:rFonts w:eastAsia="Times New Roman"/>
          <w:b/>
          <w:lang w:val="lv-LV"/>
        </w:rPr>
        <w:t xml:space="preserve">110 957 </w:t>
      </w:r>
      <w:r w:rsidRPr="0056192C">
        <w:rPr>
          <w:rFonts w:eastAsia="Times New Roman"/>
          <w:b/>
          <w:i/>
          <w:iCs/>
          <w:lang w:val="lv-LV"/>
        </w:rPr>
        <w:t>euro</w:t>
      </w:r>
      <w:r w:rsidRPr="00FA3BB1">
        <w:rPr>
          <w:rFonts w:eastAsia="Times New Roman"/>
          <w:lang w:val="lv-LV"/>
        </w:rPr>
        <w:t xml:space="preserve">  un 2023. gadā un turpmākajiem gadiem </w:t>
      </w:r>
      <w:r w:rsidRPr="0056192C">
        <w:rPr>
          <w:rFonts w:eastAsia="Times New Roman"/>
          <w:b/>
          <w:lang w:val="lv-LV"/>
        </w:rPr>
        <w:t xml:space="preserve">45 683 </w:t>
      </w:r>
      <w:r w:rsidRPr="0056192C">
        <w:rPr>
          <w:rFonts w:eastAsia="Times New Roman"/>
          <w:b/>
          <w:i/>
          <w:iCs/>
          <w:lang w:val="lv-LV"/>
        </w:rPr>
        <w:t>euro</w:t>
      </w:r>
      <w:r w:rsidRPr="00FA3BB1">
        <w:rPr>
          <w:rFonts w:eastAsia="Times New Roman"/>
          <w:lang w:val="lv-LV"/>
        </w:rPr>
        <w:t xml:space="preserve"> apmērā ik gadu</w:t>
      </w:r>
      <w:r w:rsidRPr="00FA3BB1">
        <w:rPr>
          <w:rFonts w:eastAsiaTheme="minorHAnsi"/>
          <w:lang w:val="lv-LV"/>
        </w:rPr>
        <w:t>, lai VID nodrošinātu grāmatvedības ārpakalpojuma sniedzēju licencēšanu.</w:t>
      </w:r>
    </w:p>
    <w:p w14:paraId="0CAB717B" w14:textId="77777777" w:rsidR="00FA3BB1" w:rsidRPr="00FA3BB1" w:rsidRDefault="00FA3BB1" w:rsidP="00FA3BB1">
      <w:pPr>
        <w:spacing w:line="240" w:lineRule="auto"/>
        <w:rPr>
          <w:rFonts w:eastAsiaTheme="minorHAnsi" w:cs="Times New Roman"/>
          <w:b/>
          <w:lang w:val="lv-LV"/>
        </w:rPr>
      </w:pPr>
      <w:r w:rsidRPr="00FA3BB1">
        <w:rPr>
          <w:rFonts w:eastAsiaTheme="minorHAnsi"/>
          <w:b/>
          <w:lang w:val="lv-LV"/>
        </w:rPr>
        <w:t>FM – Procesuālo izdevumu apmaksa</w:t>
      </w:r>
    </w:p>
    <w:p w14:paraId="282D3561" w14:textId="77777777" w:rsidR="00FA3BB1" w:rsidRPr="00FA3BB1" w:rsidRDefault="00FA3BB1" w:rsidP="00524893">
      <w:pPr>
        <w:ind w:firstLine="720"/>
        <w:rPr>
          <w:rFonts w:eastAsiaTheme="minorHAnsi"/>
          <w:lang w:val="lv-LV"/>
        </w:rPr>
      </w:pPr>
      <w:r w:rsidRPr="00FA3BB1">
        <w:rPr>
          <w:rFonts w:eastAsiaTheme="minorHAnsi"/>
          <w:lang w:val="lv-LV"/>
        </w:rPr>
        <w:t xml:space="preserve">2020. gada 1. jūlijā stājās spēkā Administratīvās atbildības likums, saskaņā ar kuru gan procesuālie izdevumi, gan soda nauda ir jāieskaita valsts budžetā. Līdz Administratīvā atbildības likuma stāšanās spēkā brīdim procesuālos izdevumus, kas saistījās ar VID Nodokļu un muitas policijas nosūtījumiem analīžu veikšanai narkotisko, psihotropo, toksisko un citu vielu lietošanas fakta noteikšanai, atbilstoši Valsts policijas lēmumiem sedza konkrētās pie administratīvās atbildības sauktās vainīgās personas, līdzekļus atmaksājot VID pamatdarbības kontā. Tādējādi nepieciešams palielināt valsts pamatbudžeta ieņēmumus no procesuālajiem izdevumiem administratīvajās lietās 2022. gadā un turpmāk ik gadu 17 500 </w:t>
      </w:r>
      <w:r w:rsidRPr="00FA3BB1">
        <w:rPr>
          <w:rFonts w:eastAsia="Times New Roman"/>
          <w:i/>
          <w:lang w:val="lv-LV" w:eastAsia="lv-LV"/>
        </w:rPr>
        <w:t>euro</w:t>
      </w:r>
      <w:r w:rsidRPr="00FA3BB1">
        <w:rPr>
          <w:rFonts w:eastAsiaTheme="minorHAnsi"/>
          <w:lang w:val="lv-LV"/>
        </w:rPr>
        <w:t xml:space="preserve"> apmērā, vienlaikus palielinot dotāciju no vispārējiem ieņēmumiem un izdevumus FM budžeta </w:t>
      </w:r>
      <w:r w:rsidRPr="00FA3BB1">
        <w:rPr>
          <w:rFonts w:eastAsiaTheme="minorHAnsi"/>
          <w:lang w:val="lv-LV"/>
        </w:rPr>
        <w:lastRenderedPageBreak/>
        <w:t xml:space="preserve">programmā 33.00.00 “Valsts ieņēmumu un muitas politikas nodrošināšana” 2022. gadā un turpmāk ik gadu </w:t>
      </w:r>
      <w:r w:rsidRPr="00524893">
        <w:rPr>
          <w:rFonts w:eastAsiaTheme="minorHAnsi"/>
          <w:b/>
          <w:lang w:val="lv-LV"/>
        </w:rPr>
        <w:t xml:space="preserve">17 500 </w:t>
      </w:r>
      <w:r w:rsidRPr="00524893">
        <w:rPr>
          <w:rFonts w:eastAsia="Times New Roman"/>
          <w:b/>
          <w:i/>
          <w:lang w:val="lv-LV" w:eastAsia="lv-LV"/>
        </w:rPr>
        <w:t>euro</w:t>
      </w:r>
      <w:r w:rsidRPr="00524893">
        <w:rPr>
          <w:rFonts w:eastAsiaTheme="minorHAnsi"/>
          <w:b/>
          <w:lang w:val="lv-LV"/>
        </w:rPr>
        <w:t xml:space="preserve"> </w:t>
      </w:r>
      <w:r w:rsidRPr="00FA3BB1">
        <w:rPr>
          <w:rFonts w:eastAsiaTheme="minorHAnsi"/>
          <w:lang w:val="lv-LV"/>
        </w:rPr>
        <w:t>apmērā, lai VID nodrošinātu procesuālo izdevumu apmaksu nosūtījumiem analīžu veikšanai narkotisko, psihotropo, toksisko un citu vielu lietošanas fakta noteikšanai.</w:t>
      </w:r>
    </w:p>
    <w:p w14:paraId="69659ED5" w14:textId="77777777" w:rsidR="00FA3BB1" w:rsidRPr="00FA3BB1" w:rsidRDefault="00FA3BB1" w:rsidP="00FA3BB1">
      <w:pPr>
        <w:rPr>
          <w:rFonts w:eastAsiaTheme="minorHAnsi"/>
          <w:b/>
          <w:bCs/>
          <w:lang w:val="lv-LV"/>
        </w:rPr>
      </w:pPr>
      <w:r w:rsidRPr="00FA3BB1">
        <w:rPr>
          <w:rFonts w:eastAsiaTheme="minorHAnsi"/>
          <w:b/>
          <w:bCs/>
          <w:lang w:val="lv-LV"/>
        </w:rPr>
        <w:t>IeM – finansējums VP transportlīdzekļu izpirkšanai</w:t>
      </w:r>
    </w:p>
    <w:p w14:paraId="18E5DC57" w14:textId="4D9C65DF" w:rsidR="00DB4A03" w:rsidRPr="00FA3BB1" w:rsidRDefault="00FA3BB1" w:rsidP="00105C87">
      <w:pPr>
        <w:spacing w:before="120"/>
        <w:ind w:firstLine="720"/>
        <w:rPr>
          <w:rFonts w:eastAsia="Calibri" w:cs="Times New Roman"/>
          <w:szCs w:val="24"/>
          <w:lang w:val="lv-LV"/>
        </w:rPr>
      </w:pPr>
      <w:r w:rsidRPr="00FA3BB1">
        <w:rPr>
          <w:rFonts w:eastAsiaTheme="minorHAnsi"/>
          <w:szCs w:val="24"/>
          <w:lang w:val="lv-LV"/>
        </w:rPr>
        <w:t xml:space="preserve">Normatīvajos aktos noteikto uzdevumu un funkciju kvalitatīvai izpildei un ātrai VP reaģētspējai nepieciešami moderni un speciāli pielāgoti transportlīdzekļi, to tehniskais aprīkojums un atbilstošs transportlīdzekļu skaits. Lai risinātu jautājumu par VP nodrošināšanu ar transportlīdzekļiem, VP ne tikai nomā transportlīdzekļus, bet arī veic transportlīdzekļu, kuriem beidzas nomas termiņš, izpirkšanu. 2022. gadā ir iespējams izpirkt 272 transportlīdzekļus, kuriem nomas termiņš beigsies saskaņā ar noslēgtajiem līgumiem  atbilstoši </w:t>
      </w:r>
      <w:r w:rsidR="006B762E" w:rsidRPr="00FA3BB1">
        <w:rPr>
          <w:rFonts w:eastAsiaTheme="minorHAnsi"/>
          <w:szCs w:val="24"/>
          <w:lang w:val="lv-LV"/>
        </w:rPr>
        <w:t xml:space="preserve">MK </w:t>
      </w:r>
      <w:r w:rsidRPr="00FA3BB1">
        <w:rPr>
          <w:rFonts w:eastAsiaTheme="minorHAnsi"/>
          <w:szCs w:val="24"/>
          <w:lang w:val="lv-LV"/>
        </w:rPr>
        <w:t xml:space="preserve">2015. gada 4. marta rīkojumam Nr. 109 „Par ilgtermiņa saistībām Iekšlietu ministrijai Valsts policijas funkciju nodrošināšanai nepieciešamo transportlīdzekļu nomas izdevumu segšanai”. Neizpērkot transportlīdzekļus, kuriem nomas termiņš beidzas 2022. gadā, būtiski tiks ietekmēta VP darba ikdiena, jo jau šobrīd transportlīdzekļu noslodze struktūrvienībās ir liela un rodas situācijas, kad struktūrvienībām papildus nepieciešami speciāli aprīkoti transportlīdzekļi. Izpērkot transportlīdzekļus pēc nomas beigām, tiks atjaunots VP autoparks, būs iespējams norakstīt vecos transportlīdzekļus, kuru uzturēšana šobrīd prasa arvien lielākus finanšu resursus. Attiecīgi 272 transportlīdzekļu izpirkšanai ir nepieciešami 216 577 </w:t>
      </w:r>
      <w:r w:rsidRPr="00FA3BB1">
        <w:rPr>
          <w:rFonts w:eastAsiaTheme="minorHAnsi"/>
          <w:i/>
          <w:iCs/>
          <w:szCs w:val="24"/>
          <w:lang w:val="lv-LV"/>
        </w:rPr>
        <w:t>euro</w:t>
      </w:r>
      <w:r w:rsidRPr="00FA3BB1">
        <w:rPr>
          <w:rFonts w:eastAsiaTheme="minorHAnsi"/>
          <w:szCs w:val="24"/>
          <w:lang w:val="lv-LV"/>
        </w:rPr>
        <w:t xml:space="preserve"> budžeta apakšprogrammā 06.01.00 “Valsts policija” 2022. gadā</w:t>
      </w:r>
      <w:r w:rsidR="00524893">
        <w:rPr>
          <w:rFonts w:eastAsiaTheme="minorHAnsi"/>
          <w:szCs w:val="24"/>
          <w:lang w:val="lv-LV"/>
        </w:rPr>
        <w:t xml:space="preserve"> (Tabula Nr. 2.3.3.)</w:t>
      </w:r>
      <w:r w:rsidRPr="00FA3BB1">
        <w:rPr>
          <w:rFonts w:eastAsia="Calibri" w:cs="Times New Roman"/>
          <w:szCs w:val="24"/>
          <w:lang w:val="lv-LV"/>
        </w:rPr>
        <w:t xml:space="preserve">. </w:t>
      </w:r>
    </w:p>
    <w:p w14:paraId="12F721E0" w14:textId="34916B15" w:rsidR="00FA3BB1" w:rsidRPr="00CE611F" w:rsidRDefault="00524893" w:rsidP="00CE611F">
      <w:pPr>
        <w:spacing w:after="60"/>
        <w:jc w:val="center"/>
        <w:rPr>
          <w:rFonts w:eastAsia="Calibri" w:cs="Times New Roman"/>
          <w:b/>
          <w:bCs/>
          <w:sz w:val="22"/>
          <w:lang w:val="lv-LV"/>
        </w:rPr>
      </w:pPr>
      <w:r>
        <w:rPr>
          <w:rFonts w:eastAsia="Calibri" w:cs="Times New Roman"/>
          <w:b/>
          <w:bCs/>
          <w:i/>
          <w:iCs/>
          <w:sz w:val="22"/>
          <w:lang w:val="lv-LV"/>
        </w:rPr>
        <w:t>2.3.3</w:t>
      </w:r>
      <w:r w:rsidR="00FA3BB1" w:rsidRPr="00FA3BB1">
        <w:rPr>
          <w:rFonts w:eastAsia="Calibri" w:cs="Times New Roman"/>
          <w:b/>
          <w:bCs/>
          <w:i/>
          <w:iCs/>
          <w:sz w:val="22"/>
          <w:lang w:val="lv-LV"/>
        </w:rPr>
        <w:t>. tabula</w:t>
      </w:r>
      <w:r w:rsidR="00FA3BB1" w:rsidRPr="00FA3BB1">
        <w:rPr>
          <w:rFonts w:eastAsia="Calibri" w:cs="Times New Roman"/>
          <w:b/>
          <w:bCs/>
          <w:sz w:val="22"/>
          <w:lang w:val="lv-LV"/>
        </w:rPr>
        <w:t xml:space="preserve"> Papildu nepieciešamā finansējuma aprēķins transportlīdzekļu izpirkšanai 2022.</w:t>
      </w:r>
      <w:r w:rsidR="00CE611F">
        <w:rPr>
          <w:rFonts w:eastAsia="Calibri" w:cs="Times New Roman"/>
          <w:b/>
          <w:bCs/>
          <w:sz w:val="22"/>
          <w:lang w:val="lv-LV"/>
        </w:rPr>
        <w:t> </w:t>
      </w:r>
      <w:r w:rsidR="00FA3BB1" w:rsidRPr="00FA3BB1">
        <w:rPr>
          <w:rFonts w:eastAsia="Calibri" w:cs="Times New Roman"/>
          <w:b/>
          <w:bCs/>
          <w:sz w:val="22"/>
          <w:lang w:val="lv-LV"/>
        </w:rPr>
        <w:t>gadā</w:t>
      </w:r>
    </w:p>
    <w:tbl>
      <w:tblPr>
        <w:tblStyle w:val="TableGrid2"/>
        <w:tblW w:w="5000" w:type="pct"/>
        <w:tblLook w:val="04A0" w:firstRow="1" w:lastRow="0" w:firstColumn="1" w:lastColumn="0" w:noHBand="0" w:noVBand="1"/>
      </w:tblPr>
      <w:tblGrid>
        <w:gridCol w:w="883"/>
        <w:gridCol w:w="1369"/>
        <w:gridCol w:w="1705"/>
        <w:gridCol w:w="1694"/>
        <w:gridCol w:w="1705"/>
        <w:gridCol w:w="1705"/>
      </w:tblGrid>
      <w:tr w:rsidR="00FA3BB1" w:rsidRPr="00D57D2C" w14:paraId="5CF7E988" w14:textId="77777777" w:rsidTr="00CE611F">
        <w:tc>
          <w:tcPr>
            <w:tcW w:w="487" w:type="pct"/>
            <w:shd w:val="clear" w:color="auto" w:fill="A8D08D" w:themeFill="accent6" w:themeFillTint="99"/>
            <w:vAlign w:val="center"/>
          </w:tcPr>
          <w:p w14:paraId="2DDB4B11"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Līguma Nr.</w:t>
            </w:r>
          </w:p>
        </w:tc>
        <w:tc>
          <w:tcPr>
            <w:tcW w:w="918" w:type="pct"/>
            <w:shd w:val="clear" w:color="auto" w:fill="A8D08D" w:themeFill="accent6" w:themeFillTint="99"/>
            <w:vAlign w:val="center"/>
          </w:tcPr>
          <w:p w14:paraId="50DBA9F6"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Līzinga kompānijas nosaukums</w:t>
            </w:r>
          </w:p>
        </w:tc>
        <w:tc>
          <w:tcPr>
            <w:tcW w:w="778" w:type="pct"/>
            <w:shd w:val="clear" w:color="auto" w:fill="A8D08D" w:themeFill="accent6" w:themeFillTint="99"/>
            <w:vAlign w:val="center"/>
          </w:tcPr>
          <w:p w14:paraId="16141398"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Izpērkamo transportlīdzekļu skaits</w:t>
            </w:r>
          </w:p>
        </w:tc>
        <w:tc>
          <w:tcPr>
            <w:tcW w:w="935" w:type="pct"/>
            <w:shd w:val="clear" w:color="auto" w:fill="A8D08D" w:themeFill="accent6" w:themeFillTint="99"/>
            <w:vAlign w:val="center"/>
          </w:tcPr>
          <w:p w14:paraId="1B405DCD"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1 transportlīdzekļa atlikusī vērtība (bez PVN)</w:t>
            </w:r>
          </w:p>
        </w:tc>
        <w:tc>
          <w:tcPr>
            <w:tcW w:w="941" w:type="pct"/>
            <w:shd w:val="clear" w:color="auto" w:fill="A8D08D" w:themeFill="accent6" w:themeFillTint="99"/>
            <w:vAlign w:val="center"/>
          </w:tcPr>
          <w:p w14:paraId="0F5B4210"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Visu transportlīdzekļu atlikusī vērtība (bez PVN)</w:t>
            </w:r>
          </w:p>
        </w:tc>
        <w:tc>
          <w:tcPr>
            <w:tcW w:w="941" w:type="pct"/>
            <w:shd w:val="clear" w:color="auto" w:fill="A8D08D" w:themeFill="accent6" w:themeFillTint="99"/>
            <w:vAlign w:val="center"/>
          </w:tcPr>
          <w:p w14:paraId="3B022951"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Izpirkšanai nepieciešamai finansējums uz visu transportlīdzekļu skaitu (ar PVN)</w:t>
            </w:r>
          </w:p>
        </w:tc>
      </w:tr>
      <w:tr w:rsidR="00FA3BB1" w:rsidRPr="00FA3BB1" w14:paraId="43EB87A9" w14:textId="77777777" w:rsidTr="00CE611F">
        <w:tc>
          <w:tcPr>
            <w:tcW w:w="5000" w:type="pct"/>
            <w:gridSpan w:val="6"/>
            <w:shd w:val="clear" w:color="auto" w:fill="E2EFD9" w:themeFill="accent6" w:themeFillTint="33"/>
          </w:tcPr>
          <w:p w14:paraId="2DC6EFD5"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2022. gadā</w:t>
            </w:r>
          </w:p>
        </w:tc>
      </w:tr>
      <w:tr w:rsidR="00FA3BB1" w:rsidRPr="00FA3BB1" w14:paraId="44417DED" w14:textId="77777777" w:rsidTr="00CE611F">
        <w:tc>
          <w:tcPr>
            <w:tcW w:w="487" w:type="pct"/>
            <w:vMerge w:val="restart"/>
            <w:vAlign w:val="center"/>
          </w:tcPr>
          <w:p w14:paraId="3DC02A99"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425</w:t>
            </w:r>
          </w:p>
        </w:tc>
        <w:tc>
          <w:tcPr>
            <w:tcW w:w="918" w:type="pct"/>
            <w:vMerge w:val="restart"/>
            <w:vAlign w:val="center"/>
          </w:tcPr>
          <w:p w14:paraId="102EFF02"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Pilnsabiedrība “A26”</w:t>
            </w:r>
          </w:p>
        </w:tc>
        <w:tc>
          <w:tcPr>
            <w:tcW w:w="778" w:type="pct"/>
            <w:vAlign w:val="center"/>
          </w:tcPr>
          <w:p w14:paraId="75F9B7E1"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44</w:t>
            </w:r>
          </w:p>
        </w:tc>
        <w:tc>
          <w:tcPr>
            <w:tcW w:w="935" w:type="pct"/>
            <w:vAlign w:val="center"/>
          </w:tcPr>
          <w:p w14:paraId="08102FDF"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10,00</w:t>
            </w:r>
          </w:p>
        </w:tc>
        <w:tc>
          <w:tcPr>
            <w:tcW w:w="941" w:type="pct"/>
            <w:vAlign w:val="center"/>
          </w:tcPr>
          <w:p w14:paraId="70093EAC"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440,00</w:t>
            </w:r>
          </w:p>
        </w:tc>
        <w:tc>
          <w:tcPr>
            <w:tcW w:w="941" w:type="pct"/>
            <w:vAlign w:val="center"/>
          </w:tcPr>
          <w:p w14:paraId="2DB64352"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532,40</w:t>
            </w:r>
          </w:p>
        </w:tc>
      </w:tr>
      <w:tr w:rsidR="00FA3BB1" w:rsidRPr="00FA3BB1" w14:paraId="2BCB1C87" w14:textId="77777777" w:rsidTr="00CE611F">
        <w:tc>
          <w:tcPr>
            <w:tcW w:w="487" w:type="pct"/>
            <w:vMerge/>
            <w:vAlign w:val="center"/>
          </w:tcPr>
          <w:p w14:paraId="1F88BE79" w14:textId="77777777" w:rsidR="00FA3BB1" w:rsidRPr="00FA3BB1" w:rsidRDefault="00FA3BB1" w:rsidP="00FA3BB1">
            <w:pPr>
              <w:spacing w:after="0"/>
              <w:contextualSpacing/>
              <w:jc w:val="center"/>
              <w:rPr>
                <w:rFonts w:eastAsia="Calibri" w:cs="Times New Roman"/>
                <w:sz w:val="20"/>
                <w:szCs w:val="20"/>
                <w:lang w:val="lv-LV"/>
              </w:rPr>
            </w:pPr>
          </w:p>
        </w:tc>
        <w:tc>
          <w:tcPr>
            <w:tcW w:w="918" w:type="pct"/>
            <w:vMerge/>
            <w:vAlign w:val="center"/>
          </w:tcPr>
          <w:p w14:paraId="5BFFE579" w14:textId="77777777" w:rsidR="00FA3BB1" w:rsidRPr="00FA3BB1" w:rsidRDefault="00FA3BB1" w:rsidP="00FA3BB1">
            <w:pPr>
              <w:spacing w:after="0"/>
              <w:contextualSpacing/>
              <w:jc w:val="center"/>
              <w:rPr>
                <w:rFonts w:eastAsia="Calibri" w:cs="Times New Roman"/>
                <w:sz w:val="20"/>
                <w:szCs w:val="20"/>
                <w:lang w:val="lv-LV"/>
              </w:rPr>
            </w:pPr>
          </w:p>
        </w:tc>
        <w:tc>
          <w:tcPr>
            <w:tcW w:w="778" w:type="pct"/>
            <w:vAlign w:val="center"/>
          </w:tcPr>
          <w:p w14:paraId="031331AC"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34</w:t>
            </w:r>
          </w:p>
        </w:tc>
        <w:tc>
          <w:tcPr>
            <w:tcW w:w="935" w:type="pct"/>
            <w:vAlign w:val="center"/>
          </w:tcPr>
          <w:p w14:paraId="12653761"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10,00</w:t>
            </w:r>
          </w:p>
        </w:tc>
        <w:tc>
          <w:tcPr>
            <w:tcW w:w="941" w:type="pct"/>
            <w:vAlign w:val="center"/>
          </w:tcPr>
          <w:p w14:paraId="500A37F1"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340,00</w:t>
            </w:r>
          </w:p>
        </w:tc>
        <w:tc>
          <w:tcPr>
            <w:tcW w:w="941" w:type="pct"/>
            <w:vAlign w:val="center"/>
          </w:tcPr>
          <w:p w14:paraId="3310EFC5"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411,40</w:t>
            </w:r>
          </w:p>
        </w:tc>
      </w:tr>
      <w:tr w:rsidR="00FA3BB1" w:rsidRPr="00FA3BB1" w14:paraId="64482A64" w14:textId="77777777" w:rsidTr="00CE611F">
        <w:tc>
          <w:tcPr>
            <w:tcW w:w="487" w:type="pct"/>
            <w:vMerge w:val="restart"/>
            <w:vAlign w:val="center"/>
          </w:tcPr>
          <w:p w14:paraId="2A123738"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486</w:t>
            </w:r>
          </w:p>
        </w:tc>
        <w:tc>
          <w:tcPr>
            <w:tcW w:w="918" w:type="pct"/>
            <w:vMerge w:val="restart"/>
            <w:vAlign w:val="center"/>
          </w:tcPr>
          <w:p w14:paraId="17DD2076"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SIA “Pilna servisa Līzings”, SIA “KARLO MOTORS”</w:t>
            </w:r>
          </w:p>
        </w:tc>
        <w:tc>
          <w:tcPr>
            <w:tcW w:w="778" w:type="pct"/>
            <w:vAlign w:val="center"/>
          </w:tcPr>
          <w:p w14:paraId="1932FC6D"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15</w:t>
            </w:r>
          </w:p>
        </w:tc>
        <w:tc>
          <w:tcPr>
            <w:tcW w:w="935" w:type="pct"/>
            <w:vAlign w:val="center"/>
          </w:tcPr>
          <w:p w14:paraId="540AA5DB"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1 657,90</w:t>
            </w:r>
          </w:p>
        </w:tc>
        <w:tc>
          <w:tcPr>
            <w:tcW w:w="941" w:type="pct"/>
            <w:vAlign w:val="center"/>
          </w:tcPr>
          <w:p w14:paraId="3789AE9B"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24 868,50</w:t>
            </w:r>
          </w:p>
        </w:tc>
        <w:tc>
          <w:tcPr>
            <w:tcW w:w="941" w:type="pct"/>
            <w:vAlign w:val="center"/>
          </w:tcPr>
          <w:p w14:paraId="37FC474D"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30 090,89</w:t>
            </w:r>
          </w:p>
        </w:tc>
      </w:tr>
      <w:tr w:rsidR="00FA3BB1" w:rsidRPr="00FA3BB1" w14:paraId="48FDAA35" w14:textId="77777777" w:rsidTr="00CE611F">
        <w:tc>
          <w:tcPr>
            <w:tcW w:w="487" w:type="pct"/>
            <w:vMerge/>
            <w:vAlign w:val="center"/>
          </w:tcPr>
          <w:p w14:paraId="3F8F1ADD" w14:textId="77777777" w:rsidR="00FA3BB1" w:rsidRPr="00FA3BB1" w:rsidRDefault="00FA3BB1" w:rsidP="00FA3BB1">
            <w:pPr>
              <w:spacing w:after="0"/>
              <w:contextualSpacing/>
              <w:jc w:val="center"/>
              <w:rPr>
                <w:rFonts w:eastAsia="Calibri" w:cs="Times New Roman"/>
                <w:sz w:val="20"/>
                <w:szCs w:val="20"/>
                <w:lang w:val="lv-LV"/>
              </w:rPr>
            </w:pPr>
          </w:p>
        </w:tc>
        <w:tc>
          <w:tcPr>
            <w:tcW w:w="918" w:type="pct"/>
            <w:vMerge/>
          </w:tcPr>
          <w:p w14:paraId="700676A2" w14:textId="77777777" w:rsidR="00FA3BB1" w:rsidRPr="00FA3BB1" w:rsidRDefault="00FA3BB1" w:rsidP="00FA3BB1">
            <w:pPr>
              <w:spacing w:after="0"/>
              <w:contextualSpacing/>
              <w:jc w:val="center"/>
              <w:rPr>
                <w:rFonts w:eastAsia="Calibri" w:cs="Times New Roman"/>
                <w:sz w:val="20"/>
                <w:szCs w:val="20"/>
                <w:lang w:val="lv-LV"/>
              </w:rPr>
            </w:pPr>
          </w:p>
        </w:tc>
        <w:tc>
          <w:tcPr>
            <w:tcW w:w="778" w:type="pct"/>
            <w:vAlign w:val="center"/>
          </w:tcPr>
          <w:p w14:paraId="430229B3"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44</w:t>
            </w:r>
          </w:p>
        </w:tc>
        <w:tc>
          <w:tcPr>
            <w:tcW w:w="935" w:type="pct"/>
            <w:vAlign w:val="center"/>
          </w:tcPr>
          <w:p w14:paraId="450693D1"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1 119,63</w:t>
            </w:r>
          </w:p>
        </w:tc>
        <w:tc>
          <w:tcPr>
            <w:tcW w:w="941" w:type="pct"/>
            <w:vAlign w:val="center"/>
          </w:tcPr>
          <w:p w14:paraId="28617FF6"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49 263,72</w:t>
            </w:r>
          </w:p>
        </w:tc>
        <w:tc>
          <w:tcPr>
            <w:tcW w:w="941" w:type="pct"/>
            <w:vAlign w:val="center"/>
          </w:tcPr>
          <w:p w14:paraId="3F76BB56"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59 609,10</w:t>
            </w:r>
          </w:p>
        </w:tc>
      </w:tr>
      <w:tr w:rsidR="00FA3BB1" w:rsidRPr="00FA3BB1" w14:paraId="23649D4C" w14:textId="77777777" w:rsidTr="00CE611F">
        <w:tc>
          <w:tcPr>
            <w:tcW w:w="487" w:type="pct"/>
            <w:vMerge w:val="restart"/>
            <w:vAlign w:val="center"/>
          </w:tcPr>
          <w:p w14:paraId="46779689"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381</w:t>
            </w:r>
          </w:p>
        </w:tc>
        <w:tc>
          <w:tcPr>
            <w:tcW w:w="918" w:type="pct"/>
            <w:vMerge w:val="restart"/>
            <w:vAlign w:val="center"/>
          </w:tcPr>
          <w:p w14:paraId="74D6D318"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SIA “SEB līzings”</w:t>
            </w:r>
          </w:p>
        </w:tc>
        <w:tc>
          <w:tcPr>
            <w:tcW w:w="778" w:type="pct"/>
            <w:vAlign w:val="center"/>
          </w:tcPr>
          <w:p w14:paraId="706D2AF0"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6</w:t>
            </w:r>
          </w:p>
        </w:tc>
        <w:tc>
          <w:tcPr>
            <w:tcW w:w="935" w:type="pct"/>
            <w:vAlign w:val="center"/>
          </w:tcPr>
          <w:p w14:paraId="271536B2"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745,70</w:t>
            </w:r>
          </w:p>
        </w:tc>
        <w:tc>
          <w:tcPr>
            <w:tcW w:w="941" w:type="pct"/>
            <w:vAlign w:val="center"/>
          </w:tcPr>
          <w:p w14:paraId="73E007BA"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4 474,20</w:t>
            </w:r>
          </w:p>
        </w:tc>
        <w:tc>
          <w:tcPr>
            <w:tcW w:w="941" w:type="pct"/>
            <w:vAlign w:val="center"/>
          </w:tcPr>
          <w:p w14:paraId="74956C32"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5 413,78</w:t>
            </w:r>
          </w:p>
        </w:tc>
      </w:tr>
      <w:tr w:rsidR="00FA3BB1" w:rsidRPr="00FA3BB1" w14:paraId="4B092342" w14:textId="77777777" w:rsidTr="00CE611F">
        <w:tc>
          <w:tcPr>
            <w:tcW w:w="487" w:type="pct"/>
            <w:vMerge/>
            <w:vAlign w:val="center"/>
          </w:tcPr>
          <w:p w14:paraId="65F32C12" w14:textId="77777777" w:rsidR="00FA3BB1" w:rsidRPr="00FA3BB1" w:rsidRDefault="00FA3BB1" w:rsidP="00FA3BB1">
            <w:pPr>
              <w:spacing w:after="0"/>
              <w:contextualSpacing/>
              <w:jc w:val="center"/>
              <w:rPr>
                <w:rFonts w:eastAsia="Calibri" w:cs="Times New Roman"/>
                <w:sz w:val="20"/>
                <w:szCs w:val="20"/>
                <w:lang w:val="lv-LV"/>
              </w:rPr>
            </w:pPr>
          </w:p>
        </w:tc>
        <w:tc>
          <w:tcPr>
            <w:tcW w:w="918" w:type="pct"/>
            <w:vMerge/>
          </w:tcPr>
          <w:p w14:paraId="3CEEA8F9" w14:textId="77777777" w:rsidR="00FA3BB1" w:rsidRPr="00FA3BB1" w:rsidRDefault="00FA3BB1" w:rsidP="00FA3BB1">
            <w:pPr>
              <w:spacing w:after="0"/>
              <w:contextualSpacing/>
              <w:jc w:val="center"/>
              <w:rPr>
                <w:rFonts w:eastAsia="Calibri" w:cs="Times New Roman"/>
                <w:sz w:val="20"/>
                <w:szCs w:val="20"/>
                <w:lang w:val="lv-LV"/>
              </w:rPr>
            </w:pPr>
          </w:p>
        </w:tc>
        <w:tc>
          <w:tcPr>
            <w:tcW w:w="778" w:type="pct"/>
            <w:vAlign w:val="center"/>
          </w:tcPr>
          <w:p w14:paraId="2AD52AA8"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35</w:t>
            </w:r>
          </w:p>
        </w:tc>
        <w:tc>
          <w:tcPr>
            <w:tcW w:w="935" w:type="pct"/>
            <w:vAlign w:val="center"/>
          </w:tcPr>
          <w:p w14:paraId="4ED22C79"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702,50</w:t>
            </w:r>
          </w:p>
        </w:tc>
        <w:tc>
          <w:tcPr>
            <w:tcW w:w="941" w:type="pct"/>
            <w:vAlign w:val="center"/>
          </w:tcPr>
          <w:p w14:paraId="7000F5B2"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24 587,50</w:t>
            </w:r>
          </w:p>
        </w:tc>
        <w:tc>
          <w:tcPr>
            <w:tcW w:w="941" w:type="pct"/>
            <w:vAlign w:val="center"/>
          </w:tcPr>
          <w:p w14:paraId="6FDEA266"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29 750,88</w:t>
            </w:r>
          </w:p>
        </w:tc>
      </w:tr>
      <w:tr w:rsidR="00FA3BB1" w:rsidRPr="00FA3BB1" w14:paraId="01A62FFA" w14:textId="77777777" w:rsidTr="00CE611F">
        <w:tc>
          <w:tcPr>
            <w:tcW w:w="487" w:type="pct"/>
            <w:vMerge/>
            <w:vAlign w:val="center"/>
          </w:tcPr>
          <w:p w14:paraId="389A6CB9" w14:textId="77777777" w:rsidR="00FA3BB1" w:rsidRPr="00FA3BB1" w:rsidRDefault="00FA3BB1" w:rsidP="00FA3BB1">
            <w:pPr>
              <w:spacing w:after="0"/>
              <w:contextualSpacing/>
              <w:jc w:val="center"/>
              <w:rPr>
                <w:rFonts w:eastAsia="Calibri" w:cs="Times New Roman"/>
                <w:sz w:val="20"/>
                <w:szCs w:val="20"/>
                <w:lang w:val="lv-LV"/>
              </w:rPr>
            </w:pPr>
          </w:p>
        </w:tc>
        <w:tc>
          <w:tcPr>
            <w:tcW w:w="918" w:type="pct"/>
            <w:vMerge/>
          </w:tcPr>
          <w:p w14:paraId="1749D591" w14:textId="77777777" w:rsidR="00FA3BB1" w:rsidRPr="00FA3BB1" w:rsidRDefault="00FA3BB1" w:rsidP="00FA3BB1">
            <w:pPr>
              <w:spacing w:after="0"/>
              <w:contextualSpacing/>
              <w:jc w:val="center"/>
              <w:rPr>
                <w:rFonts w:eastAsia="Calibri" w:cs="Times New Roman"/>
                <w:sz w:val="20"/>
                <w:szCs w:val="20"/>
                <w:lang w:val="lv-LV"/>
              </w:rPr>
            </w:pPr>
          </w:p>
        </w:tc>
        <w:tc>
          <w:tcPr>
            <w:tcW w:w="778" w:type="pct"/>
            <w:vAlign w:val="center"/>
          </w:tcPr>
          <w:p w14:paraId="0692E5C9"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28</w:t>
            </w:r>
          </w:p>
        </w:tc>
        <w:tc>
          <w:tcPr>
            <w:tcW w:w="935" w:type="pct"/>
            <w:vAlign w:val="center"/>
          </w:tcPr>
          <w:p w14:paraId="4C85F5C8"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842,50</w:t>
            </w:r>
          </w:p>
        </w:tc>
        <w:tc>
          <w:tcPr>
            <w:tcW w:w="941" w:type="pct"/>
            <w:vAlign w:val="center"/>
          </w:tcPr>
          <w:p w14:paraId="4A32E87A"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23 590,00</w:t>
            </w:r>
          </w:p>
        </w:tc>
        <w:tc>
          <w:tcPr>
            <w:tcW w:w="941" w:type="pct"/>
            <w:vAlign w:val="center"/>
          </w:tcPr>
          <w:p w14:paraId="1E0D5C9A"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28 543,90</w:t>
            </w:r>
          </w:p>
        </w:tc>
      </w:tr>
      <w:tr w:rsidR="00FA3BB1" w:rsidRPr="00FA3BB1" w14:paraId="45126E34" w14:textId="77777777" w:rsidTr="00CE611F">
        <w:tc>
          <w:tcPr>
            <w:tcW w:w="487" w:type="pct"/>
            <w:vMerge/>
            <w:vAlign w:val="center"/>
          </w:tcPr>
          <w:p w14:paraId="5F8B4DDB" w14:textId="77777777" w:rsidR="00FA3BB1" w:rsidRPr="00FA3BB1" w:rsidRDefault="00FA3BB1" w:rsidP="00FA3BB1">
            <w:pPr>
              <w:spacing w:after="0"/>
              <w:contextualSpacing/>
              <w:jc w:val="center"/>
              <w:rPr>
                <w:rFonts w:eastAsia="Calibri" w:cs="Times New Roman"/>
                <w:sz w:val="20"/>
                <w:szCs w:val="20"/>
                <w:lang w:val="lv-LV"/>
              </w:rPr>
            </w:pPr>
          </w:p>
        </w:tc>
        <w:tc>
          <w:tcPr>
            <w:tcW w:w="918" w:type="pct"/>
            <w:vMerge/>
          </w:tcPr>
          <w:p w14:paraId="7E36A1B3" w14:textId="77777777" w:rsidR="00FA3BB1" w:rsidRPr="00FA3BB1" w:rsidRDefault="00FA3BB1" w:rsidP="00FA3BB1">
            <w:pPr>
              <w:spacing w:after="0"/>
              <w:contextualSpacing/>
              <w:jc w:val="center"/>
              <w:rPr>
                <w:rFonts w:eastAsia="Calibri" w:cs="Times New Roman"/>
                <w:sz w:val="20"/>
                <w:szCs w:val="20"/>
                <w:lang w:val="lv-LV"/>
              </w:rPr>
            </w:pPr>
          </w:p>
        </w:tc>
        <w:tc>
          <w:tcPr>
            <w:tcW w:w="778" w:type="pct"/>
            <w:vAlign w:val="center"/>
          </w:tcPr>
          <w:p w14:paraId="10E63ED9"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36</w:t>
            </w:r>
          </w:p>
        </w:tc>
        <w:tc>
          <w:tcPr>
            <w:tcW w:w="935" w:type="pct"/>
            <w:vAlign w:val="center"/>
          </w:tcPr>
          <w:p w14:paraId="6C05D72E"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576,78</w:t>
            </w:r>
          </w:p>
        </w:tc>
        <w:tc>
          <w:tcPr>
            <w:tcW w:w="941" w:type="pct"/>
            <w:vAlign w:val="center"/>
          </w:tcPr>
          <w:p w14:paraId="371D0370"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20 764,08</w:t>
            </w:r>
          </w:p>
        </w:tc>
        <w:tc>
          <w:tcPr>
            <w:tcW w:w="941" w:type="pct"/>
            <w:vAlign w:val="center"/>
          </w:tcPr>
          <w:p w14:paraId="6F199FC0"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25 124,54</w:t>
            </w:r>
          </w:p>
        </w:tc>
      </w:tr>
      <w:tr w:rsidR="00FA3BB1" w:rsidRPr="00FA3BB1" w14:paraId="2147BEEC" w14:textId="77777777" w:rsidTr="00CE611F">
        <w:tc>
          <w:tcPr>
            <w:tcW w:w="487" w:type="pct"/>
            <w:vAlign w:val="center"/>
          </w:tcPr>
          <w:p w14:paraId="6F1A98A1"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2001</w:t>
            </w:r>
          </w:p>
        </w:tc>
        <w:tc>
          <w:tcPr>
            <w:tcW w:w="918" w:type="pct"/>
          </w:tcPr>
          <w:p w14:paraId="6A5E4D39"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SIA “SEB līzings”</w:t>
            </w:r>
          </w:p>
        </w:tc>
        <w:tc>
          <w:tcPr>
            <w:tcW w:w="778" w:type="pct"/>
            <w:vAlign w:val="center"/>
          </w:tcPr>
          <w:p w14:paraId="3EC583E9"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5</w:t>
            </w:r>
          </w:p>
        </w:tc>
        <w:tc>
          <w:tcPr>
            <w:tcW w:w="935" w:type="pct"/>
            <w:vAlign w:val="center"/>
          </w:tcPr>
          <w:p w14:paraId="3A625351"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1 449,83</w:t>
            </w:r>
          </w:p>
        </w:tc>
        <w:tc>
          <w:tcPr>
            <w:tcW w:w="941" w:type="pct"/>
            <w:vAlign w:val="center"/>
          </w:tcPr>
          <w:p w14:paraId="692323D0"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7 249,15</w:t>
            </w:r>
          </w:p>
        </w:tc>
        <w:tc>
          <w:tcPr>
            <w:tcW w:w="941" w:type="pct"/>
            <w:vAlign w:val="center"/>
          </w:tcPr>
          <w:p w14:paraId="0421D728"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8 771,47</w:t>
            </w:r>
          </w:p>
        </w:tc>
      </w:tr>
      <w:tr w:rsidR="00FA3BB1" w:rsidRPr="00FA3BB1" w14:paraId="70949F06" w14:textId="77777777" w:rsidTr="00CE611F">
        <w:tc>
          <w:tcPr>
            <w:tcW w:w="487" w:type="pct"/>
            <w:vMerge w:val="restart"/>
            <w:vAlign w:val="center"/>
          </w:tcPr>
          <w:p w14:paraId="58742FB6"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1924</w:t>
            </w:r>
          </w:p>
        </w:tc>
        <w:tc>
          <w:tcPr>
            <w:tcW w:w="918" w:type="pct"/>
            <w:vMerge w:val="restart"/>
            <w:vAlign w:val="center"/>
          </w:tcPr>
          <w:p w14:paraId="7C5739FF"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SIA “SEB līzings”</w:t>
            </w:r>
          </w:p>
        </w:tc>
        <w:tc>
          <w:tcPr>
            <w:tcW w:w="778" w:type="pct"/>
            <w:vAlign w:val="center"/>
          </w:tcPr>
          <w:p w14:paraId="3958E685"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10</w:t>
            </w:r>
          </w:p>
        </w:tc>
        <w:tc>
          <w:tcPr>
            <w:tcW w:w="935" w:type="pct"/>
            <w:vAlign w:val="center"/>
          </w:tcPr>
          <w:p w14:paraId="229051F6"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952,25</w:t>
            </w:r>
          </w:p>
        </w:tc>
        <w:tc>
          <w:tcPr>
            <w:tcW w:w="941" w:type="pct"/>
            <w:vAlign w:val="center"/>
          </w:tcPr>
          <w:p w14:paraId="15A51573"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9 522,50</w:t>
            </w:r>
          </w:p>
        </w:tc>
        <w:tc>
          <w:tcPr>
            <w:tcW w:w="941" w:type="pct"/>
            <w:vAlign w:val="center"/>
          </w:tcPr>
          <w:p w14:paraId="79349066"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11 522,23</w:t>
            </w:r>
          </w:p>
        </w:tc>
      </w:tr>
      <w:tr w:rsidR="00FA3BB1" w:rsidRPr="00FA3BB1" w14:paraId="008963E2" w14:textId="77777777" w:rsidTr="00CE611F">
        <w:tc>
          <w:tcPr>
            <w:tcW w:w="487" w:type="pct"/>
            <w:vMerge/>
            <w:vAlign w:val="center"/>
          </w:tcPr>
          <w:p w14:paraId="10A5A0B2" w14:textId="77777777" w:rsidR="00FA3BB1" w:rsidRPr="00FA3BB1" w:rsidRDefault="00FA3BB1" w:rsidP="00FA3BB1">
            <w:pPr>
              <w:spacing w:after="0"/>
              <w:contextualSpacing/>
              <w:jc w:val="center"/>
              <w:rPr>
                <w:rFonts w:eastAsia="Calibri" w:cs="Times New Roman"/>
                <w:sz w:val="20"/>
                <w:szCs w:val="20"/>
                <w:lang w:val="lv-LV"/>
              </w:rPr>
            </w:pPr>
          </w:p>
        </w:tc>
        <w:tc>
          <w:tcPr>
            <w:tcW w:w="918" w:type="pct"/>
            <w:vMerge/>
          </w:tcPr>
          <w:p w14:paraId="3D12755A" w14:textId="77777777" w:rsidR="00FA3BB1" w:rsidRPr="00FA3BB1" w:rsidRDefault="00FA3BB1" w:rsidP="00FA3BB1">
            <w:pPr>
              <w:spacing w:after="0"/>
              <w:contextualSpacing/>
              <w:jc w:val="center"/>
              <w:rPr>
                <w:rFonts w:eastAsia="Calibri" w:cs="Times New Roman"/>
                <w:sz w:val="20"/>
                <w:szCs w:val="20"/>
                <w:lang w:val="lv-LV"/>
              </w:rPr>
            </w:pPr>
          </w:p>
        </w:tc>
        <w:tc>
          <w:tcPr>
            <w:tcW w:w="778" w:type="pct"/>
            <w:vAlign w:val="center"/>
          </w:tcPr>
          <w:p w14:paraId="082CC960"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15</w:t>
            </w:r>
          </w:p>
        </w:tc>
        <w:tc>
          <w:tcPr>
            <w:tcW w:w="935" w:type="pct"/>
            <w:vAlign w:val="center"/>
          </w:tcPr>
          <w:p w14:paraId="39362CE2"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925,93</w:t>
            </w:r>
          </w:p>
        </w:tc>
        <w:tc>
          <w:tcPr>
            <w:tcW w:w="941" w:type="pct"/>
            <w:vAlign w:val="center"/>
          </w:tcPr>
          <w:p w14:paraId="6E64BF1A"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13 888,95</w:t>
            </w:r>
          </w:p>
        </w:tc>
        <w:tc>
          <w:tcPr>
            <w:tcW w:w="941" w:type="pct"/>
            <w:vAlign w:val="center"/>
          </w:tcPr>
          <w:p w14:paraId="2A0442F4"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16 805,63</w:t>
            </w:r>
          </w:p>
        </w:tc>
      </w:tr>
      <w:tr w:rsidR="00FA3BB1" w:rsidRPr="00FA3BB1" w14:paraId="7464DE2E" w14:textId="77777777" w:rsidTr="00CE611F">
        <w:tc>
          <w:tcPr>
            <w:tcW w:w="1405" w:type="pct"/>
            <w:gridSpan w:val="2"/>
            <w:shd w:val="clear" w:color="auto" w:fill="A8D08D" w:themeFill="accent6" w:themeFillTint="99"/>
          </w:tcPr>
          <w:p w14:paraId="31C99564"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kopā 2022. gadā papildu nepieciešams:</w:t>
            </w:r>
          </w:p>
        </w:tc>
        <w:tc>
          <w:tcPr>
            <w:tcW w:w="778" w:type="pct"/>
            <w:shd w:val="clear" w:color="auto" w:fill="A8D08D" w:themeFill="accent6" w:themeFillTint="99"/>
            <w:vAlign w:val="center"/>
          </w:tcPr>
          <w:p w14:paraId="1D74F154"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272</w:t>
            </w:r>
          </w:p>
        </w:tc>
        <w:tc>
          <w:tcPr>
            <w:tcW w:w="935" w:type="pct"/>
            <w:shd w:val="clear" w:color="auto" w:fill="A8D08D" w:themeFill="accent6" w:themeFillTint="99"/>
            <w:vAlign w:val="center"/>
          </w:tcPr>
          <w:p w14:paraId="2A5AD3E2"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8 993,02</w:t>
            </w:r>
          </w:p>
        </w:tc>
        <w:tc>
          <w:tcPr>
            <w:tcW w:w="941" w:type="pct"/>
            <w:shd w:val="clear" w:color="auto" w:fill="A8D08D" w:themeFill="accent6" w:themeFillTint="99"/>
            <w:vAlign w:val="center"/>
          </w:tcPr>
          <w:p w14:paraId="797F554F" w14:textId="77777777" w:rsidR="00FA3BB1" w:rsidRPr="00FA3BB1" w:rsidRDefault="00FA3BB1" w:rsidP="00FA3BB1">
            <w:pPr>
              <w:spacing w:after="0"/>
              <w:contextualSpacing/>
              <w:jc w:val="center"/>
              <w:rPr>
                <w:rFonts w:eastAsia="Calibri" w:cs="Times New Roman"/>
                <w:sz w:val="20"/>
                <w:szCs w:val="20"/>
                <w:lang w:val="lv-LV"/>
              </w:rPr>
            </w:pPr>
            <w:r w:rsidRPr="00FA3BB1">
              <w:rPr>
                <w:rFonts w:eastAsia="Calibri" w:cs="Times New Roman"/>
                <w:sz w:val="20"/>
                <w:szCs w:val="20"/>
                <w:lang w:val="lv-LV"/>
              </w:rPr>
              <w:t>178 988,60</w:t>
            </w:r>
          </w:p>
        </w:tc>
        <w:tc>
          <w:tcPr>
            <w:tcW w:w="941" w:type="pct"/>
            <w:shd w:val="clear" w:color="auto" w:fill="A8D08D" w:themeFill="accent6" w:themeFillTint="99"/>
            <w:vAlign w:val="center"/>
          </w:tcPr>
          <w:p w14:paraId="24F8B5D8" w14:textId="77777777" w:rsidR="00FA3BB1" w:rsidRPr="00FA3BB1" w:rsidRDefault="00FA3BB1" w:rsidP="00FA3BB1">
            <w:pPr>
              <w:spacing w:after="0"/>
              <w:contextualSpacing/>
              <w:jc w:val="center"/>
              <w:rPr>
                <w:rFonts w:eastAsia="Calibri" w:cs="Times New Roman"/>
                <w:b/>
                <w:bCs/>
                <w:sz w:val="20"/>
                <w:szCs w:val="20"/>
                <w:lang w:val="lv-LV"/>
              </w:rPr>
            </w:pPr>
            <w:r w:rsidRPr="00FA3BB1">
              <w:rPr>
                <w:rFonts w:eastAsia="Calibri" w:cs="Times New Roman"/>
                <w:b/>
                <w:bCs/>
                <w:sz w:val="20"/>
                <w:szCs w:val="20"/>
                <w:lang w:val="lv-LV"/>
              </w:rPr>
              <w:t>216 577</w:t>
            </w:r>
          </w:p>
        </w:tc>
      </w:tr>
    </w:tbl>
    <w:p w14:paraId="628AE27B" w14:textId="0A2CDE24" w:rsidR="00FA3BB1" w:rsidRDefault="00FA3BB1" w:rsidP="00B84B1E">
      <w:pPr>
        <w:spacing w:before="120"/>
        <w:ind w:firstLine="720"/>
        <w:rPr>
          <w:rFonts w:eastAsiaTheme="minorHAnsi"/>
          <w:szCs w:val="24"/>
          <w:lang w:val="lv-LV"/>
        </w:rPr>
      </w:pPr>
      <w:r w:rsidRPr="00FA3BB1">
        <w:rPr>
          <w:rFonts w:eastAsiaTheme="minorHAnsi"/>
          <w:szCs w:val="24"/>
          <w:lang w:val="lv-LV"/>
        </w:rPr>
        <w:t xml:space="preserve">Saistībā ar Administratīvās atbildības likuma no 2020. gada 1. jūlija spēkā stāšanos būtiski samazinājies naudas sodu samaksas termiņš un atbilstoši grozījumiem Ceļu satiksmes likuma 62. pantā (pieņemts 2019. gada 12. decembrī, spēkā no 2020. gada 13. janvāra) palielinājies naudas soda apmērs par transportlīdzekļa vadīšanu vai mācīšanu vadīt </w:t>
      </w:r>
      <w:r w:rsidRPr="00FA3BB1">
        <w:rPr>
          <w:rFonts w:eastAsiaTheme="minorHAnsi"/>
          <w:szCs w:val="24"/>
          <w:lang w:val="lv-LV"/>
        </w:rPr>
        <w:lastRenderedPageBreak/>
        <w:t xml:space="preserve">transportlīdzekli, atrodoties alkohola, narkotisko, psihotropo, toksisko vai citu apreibinošu vielu ietekmē, kā arī atteikšanos no medicīniskās pārbaudes, līdz ar ko tiek plānots ieņēmumu palielinājums no naudas sodiem, ko uzliek VP par pārkāpumiem ceļu satiksmē. Arī 2021. gada 6 mēnešu ieņēmumu no pārējiem naudas sodiem, ko uzliek VP par pārkāpumiem ceļu satiksmē izpilde (63% no gada plāna) liecina par šo ieņēmumu palielinājumu. 2022. gadā plānots ieņēmumu no pārējiem naudas sodiem, ko uzliek VP par pārkāpumiem ceļu satiksmē palielinājums </w:t>
      </w:r>
      <w:r w:rsidRPr="00524893">
        <w:rPr>
          <w:rFonts w:eastAsiaTheme="minorHAnsi"/>
          <w:b/>
          <w:szCs w:val="24"/>
          <w:lang w:val="lv-LV"/>
        </w:rPr>
        <w:t xml:space="preserve">216 577 </w:t>
      </w:r>
      <w:r w:rsidRPr="00524893">
        <w:rPr>
          <w:rFonts w:eastAsiaTheme="minorHAnsi"/>
          <w:b/>
          <w:i/>
          <w:iCs/>
          <w:szCs w:val="24"/>
          <w:lang w:val="lv-LV"/>
        </w:rPr>
        <w:t>euro</w:t>
      </w:r>
      <w:r w:rsidRPr="00FA3BB1">
        <w:rPr>
          <w:rFonts w:eastAsiaTheme="minorHAnsi"/>
          <w:szCs w:val="24"/>
          <w:lang w:val="lv-LV"/>
        </w:rPr>
        <w:t xml:space="preserve"> apmērā, to novirzot kā finansējuma avotu 272 transportlīdzekļu izpirkšanai pēc transportlīdzekļu nomas termiņa beigām, lai nodrošinātu VP noteikto uzdevumu un funkciju kvalitatīvu izpildi un ātru reaģētspēju. </w:t>
      </w:r>
    </w:p>
    <w:p w14:paraId="35DECD12" w14:textId="232C1536" w:rsidR="001E47BA" w:rsidRPr="00E63856" w:rsidRDefault="001E47BA" w:rsidP="001E47BA">
      <w:pPr>
        <w:spacing w:line="257" w:lineRule="auto"/>
        <w:rPr>
          <w:rFonts w:eastAsia="Times New Roman" w:cs="Times New Roman"/>
          <w:b/>
          <w:bCs/>
          <w:color w:val="000000" w:themeColor="text1"/>
          <w:szCs w:val="24"/>
          <w:lang w:val="lv-LV"/>
        </w:rPr>
      </w:pPr>
      <w:r>
        <w:rPr>
          <w:rFonts w:eastAsia="Times New Roman" w:cs="Times New Roman"/>
          <w:b/>
          <w:bCs/>
          <w:color w:val="000000" w:themeColor="text1"/>
          <w:szCs w:val="24"/>
          <w:lang w:val="lv-LV"/>
        </w:rPr>
        <w:t>KM - l</w:t>
      </w:r>
      <w:r w:rsidRPr="00E63856">
        <w:rPr>
          <w:rFonts w:eastAsia="Times New Roman" w:cs="Times New Roman"/>
          <w:b/>
          <w:bCs/>
          <w:color w:val="000000" w:themeColor="text1"/>
          <w:szCs w:val="24"/>
          <w:lang w:val="lv-LV"/>
        </w:rPr>
        <w:t>īdzfinansējums ārvalstu filmu uzņemšanai</w:t>
      </w:r>
    </w:p>
    <w:p w14:paraId="3F6DF053" w14:textId="347F311D" w:rsidR="001E47BA" w:rsidRPr="00AB5BB5" w:rsidRDefault="001E47BA" w:rsidP="00AB5BB5">
      <w:pPr>
        <w:spacing w:before="120"/>
        <w:ind w:firstLine="720"/>
        <w:rPr>
          <w:rFonts w:eastAsia="Times New Roman" w:cs="Times New Roman"/>
          <w:color w:val="000000" w:themeColor="text1"/>
          <w:szCs w:val="24"/>
          <w:lang w:val="lv-LV"/>
        </w:rPr>
      </w:pPr>
      <w:r w:rsidRPr="00AB5BB5">
        <w:rPr>
          <w:rFonts w:eastAsia="Times New Roman" w:cs="Times New Roman"/>
          <w:color w:val="000000" w:themeColor="text1"/>
          <w:szCs w:val="24"/>
          <w:lang w:val="lv-LV"/>
        </w:rPr>
        <w:t>No 2013. gada l</w:t>
      </w:r>
      <w:r w:rsidR="00252758" w:rsidRPr="00AB5BB5">
        <w:rPr>
          <w:rFonts w:eastAsia="Times New Roman" w:cs="Times New Roman"/>
          <w:color w:val="000000" w:themeColor="text1"/>
          <w:szCs w:val="24"/>
          <w:lang w:val="lv-LV"/>
        </w:rPr>
        <w:t>īdzfinansējumu</w:t>
      </w:r>
      <w:r w:rsidRPr="00AB5BB5">
        <w:rPr>
          <w:rFonts w:eastAsia="Times New Roman" w:cs="Times New Roman"/>
          <w:color w:val="000000" w:themeColor="text1"/>
          <w:szCs w:val="24"/>
          <w:lang w:val="lv-LV"/>
        </w:rPr>
        <w:t xml:space="preserve"> ārvalstu filmu uzņemšanai nodrošina </w:t>
      </w:r>
      <w:r w:rsidR="00252758" w:rsidRPr="00AB5BB5">
        <w:rPr>
          <w:rFonts w:eastAsia="Times New Roman" w:cs="Times New Roman"/>
          <w:color w:val="000000" w:themeColor="text1"/>
          <w:szCs w:val="24"/>
          <w:lang w:val="lv-LV"/>
        </w:rPr>
        <w:t>KM</w:t>
      </w:r>
      <w:r w:rsidRPr="00AB5BB5">
        <w:rPr>
          <w:rFonts w:eastAsia="Times New Roman" w:cs="Times New Roman"/>
          <w:color w:val="000000" w:themeColor="text1"/>
          <w:szCs w:val="24"/>
          <w:lang w:val="lv-LV"/>
        </w:rPr>
        <w:t xml:space="preserve"> tiešās pakļautības iestāde </w:t>
      </w:r>
      <w:r w:rsidR="00252758" w:rsidRPr="00AB5BB5">
        <w:rPr>
          <w:rFonts w:eastAsia="Times New Roman" w:cs="Times New Roman"/>
          <w:color w:val="000000" w:themeColor="text1"/>
          <w:szCs w:val="24"/>
          <w:lang w:val="lv-LV"/>
        </w:rPr>
        <w:t>NKC</w:t>
      </w:r>
      <w:r w:rsidRPr="00AB5BB5">
        <w:rPr>
          <w:rFonts w:eastAsia="Times New Roman" w:cs="Times New Roman"/>
          <w:color w:val="000000" w:themeColor="text1"/>
          <w:szCs w:val="24"/>
          <w:lang w:val="lv-LV"/>
        </w:rPr>
        <w:t>. Kopš 2020.</w:t>
      </w:r>
      <w:r w:rsidR="00252758" w:rsidRPr="00AB5BB5">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gada iezīmējusies nozīmīga ārvalstu investoru - ārvalstu filmēšanu grupu interese par filmēšanas iespējām Latvijā un iespēju atgūt daļu no līdzekļiem, kas izlietoti Latvijas teritorijā filmēšanas vajadzībām, izmantojot budžeta programmas “</w:t>
      </w:r>
      <w:r w:rsidRPr="00AB5BB5">
        <w:rPr>
          <w:rFonts w:eastAsia="Times New Roman" w:cs="Times New Roman"/>
          <w:i/>
          <w:iCs/>
          <w:color w:val="000000" w:themeColor="text1"/>
          <w:szCs w:val="24"/>
          <w:lang w:val="lv-LV"/>
        </w:rPr>
        <w:t xml:space="preserve">Līdzfinansējums Latvijas ārvalstu filmu uzņemšanai Latvijā” </w:t>
      </w:r>
      <w:r w:rsidRPr="00AB5BB5">
        <w:rPr>
          <w:rFonts w:eastAsia="Times New Roman" w:cs="Times New Roman"/>
          <w:color w:val="000000" w:themeColor="text1"/>
          <w:szCs w:val="24"/>
          <w:lang w:val="lv-LV"/>
        </w:rPr>
        <w:t xml:space="preserve">līdzekļus. Starptautiskajā praksē šis investīciju piesaistes instruments pazīstams kā </w:t>
      </w:r>
      <w:r w:rsidRPr="00AB5BB5">
        <w:rPr>
          <w:rFonts w:eastAsia="Times New Roman" w:cs="Times New Roman"/>
          <w:i/>
          <w:iCs/>
          <w:color w:val="000000" w:themeColor="text1"/>
          <w:szCs w:val="24"/>
          <w:lang w:val="lv-LV"/>
        </w:rPr>
        <w:t>cash rebate.</w:t>
      </w:r>
      <w:r w:rsidRPr="00AB5BB5">
        <w:rPr>
          <w:rFonts w:eastAsia="Times New Roman" w:cs="Times New Roman"/>
          <w:color w:val="000000" w:themeColor="text1"/>
          <w:szCs w:val="24"/>
          <w:lang w:val="lv-LV"/>
        </w:rPr>
        <w:t xml:space="preserve"> To izmanto vairums Eiropas valstis, vienlaikus nodrošinot gan kinoprofesionāļu pakalpojumu eksportu, gan arī citu nozaru, kuru pakalpojumi nepieciešami filmu uzņemšanā (ēdināšana, viesnīcu, transports u.c.) attīstību.</w:t>
      </w:r>
    </w:p>
    <w:p w14:paraId="77A9703F" w14:textId="6FB657BF" w:rsidR="001E47BA" w:rsidRPr="00AB5BB5" w:rsidRDefault="001E47BA" w:rsidP="00AB5BB5">
      <w:pPr>
        <w:spacing w:before="120"/>
        <w:ind w:firstLine="720"/>
        <w:rPr>
          <w:rFonts w:eastAsia="Times New Roman" w:cs="Times New Roman"/>
          <w:szCs w:val="24"/>
          <w:lang w:val="lv-LV"/>
        </w:rPr>
      </w:pPr>
      <w:r w:rsidRPr="00AB5BB5">
        <w:rPr>
          <w:rFonts w:eastAsia="Times New Roman" w:cs="Times New Roman"/>
          <w:szCs w:val="24"/>
          <w:lang w:val="lv-LV"/>
        </w:rPr>
        <w:t xml:space="preserve">To, ka programmai ir ievērojams pienesums ārvalstu finansējuma jeb investīciju piesaistē Latvijai apliecina programmas rezultāti - piemēram, laika periodā no 2016. gada līdz 2020. gadam </w:t>
      </w:r>
      <w:r w:rsidR="00D10C89" w:rsidRPr="00AB5BB5">
        <w:rPr>
          <w:rFonts w:eastAsia="Times New Roman" w:cs="Times New Roman"/>
          <w:szCs w:val="24"/>
          <w:lang w:val="lv-LV"/>
        </w:rPr>
        <w:t>NKC</w:t>
      </w:r>
      <w:r w:rsidRPr="00AB5BB5">
        <w:rPr>
          <w:rFonts w:eastAsia="Times New Roman" w:cs="Times New Roman"/>
          <w:szCs w:val="24"/>
          <w:lang w:val="lv-LV"/>
        </w:rPr>
        <w:t xml:space="preserve"> ir līdzfinansējis 25 ārvalstu filmu projektu veidošanu Latvijā. Šo filmu veidotāji Latvijā ieguldīja 16 557 031 </w:t>
      </w:r>
      <w:r w:rsidRPr="00AB5BB5">
        <w:rPr>
          <w:rFonts w:eastAsia="Times New Roman" w:cs="Times New Roman"/>
          <w:i/>
          <w:iCs/>
          <w:szCs w:val="24"/>
          <w:lang w:val="lv-LV"/>
        </w:rPr>
        <w:t>euro</w:t>
      </w:r>
      <w:r w:rsidRPr="00AB5BB5">
        <w:rPr>
          <w:rFonts w:eastAsia="Times New Roman" w:cs="Times New Roman"/>
          <w:szCs w:val="24"/>
          <w:lang w:val="lv-LV"/>
        </w:rPr>
        <w:t xml:space="preserve">. Šiem projektiem izmaksāts līdzfinansējums 3 008 719 </w:t>
      </w:r>
      <w:r w:rsidRPr="00AB5BB5">
        <w:rPr>
          <w:rFonts w:eastAsia="Times New Roman" w:cs="Times New Roman"/>
          <w:i/>
          <w:iCs/>
          <w:szCs w:val="24"/>
          <w:lang w:val="lv-LV"/>
        </w:rPr>
        <w:t>euro</w:t>
      </w:r>
      <w:r w:rsidRPr="00AB5BB5">
        <w:rPr>
          <w:rFonts w:eastAsia="Times New Roman" w:cs="Times New Roman"/>
          <w:szCs w:val="24"/>
          <w:lang w:val="lv-LV"/>
        </w:rPr>
        <w:t xml:space="preserve"> apmērā (18% no piesaistītās investīciju summas). </w:t>
      </w:r>
    </w:p>
    <w:p w14:paraId="63B61584" w14:textId="0EE63D20" w:rsidR="001E47BA" w:rsidRPr="00AB5BB5" w:rsidRDefault="00AB5BB5" w:rsidP="00AB5BB5">
      <w:pPr>
        <w:spacing w:before="120"/>
        <w:ind w:firstLine="720"/>
        <w:rPr>
          <w:rFonts w:eastAsia="Times New Roman" w:cs="Times New Roman"/>
          <w:color w:val="0563C1" w:themeColor="hyperlink"/>
          <w:szCs w:val="24"/>
          <w:u w:val="single"/>
          <w:lang w:val="lv-LV"/>
        </w:rPr>
      </w:pPr>
      <w:r>
        <w:rPr>
          <w:rFonts w:eastAsia="Times New Roman" w:cs="Times New Roman"/>
          <w:szCs w:val="24"/>
          <w:lang w:val="lv-LV"/>
        </w:rPr>
        <w:t>Attiecībā uz p</w:t>
      </w:r>
      <w:r w:rsidR="001E47BA" w:rsidRPr="00AB5BB5">
        <w:rPr>
          <w:rFonts w:eastAsia="Times New Roman" w:cs="Times New Roman"/>
          <w:szCs w:val="24"/>
          <w:lang w:val="lv-LV"/>
        </w:rPr>
        <w:t>rogrammas ekonomisko ietekmi var izšķirt tiešās un netiešās ietekmes faktorus. Padziļināts pētījums</w:t>
      </w:r>
      <w:r w:rsidR="00D10C89" w:rsidRPr="00AB5BB5">
        <w:rPr>
          <w:rStyle w:val="FootnoteReference"/>
          <w:rFonts w:eastAsia="Times New Roman" w:cs="Times New Roman"/>
          <w:szCs w:val="24"/>
          <w:lang w:val="lv-LV"/>
        </w:rPr>
        <w:footnoteReference w:id="10"/>
      </w:r>
      <w:r>
        <w:rPr>
          <w:rFonts w:eastAsia="Times New Roman" w:cs="Times New Roman"/>
          <w:szCs w:val="24"/>
          <w:lang w:val="lv-LV"/>
        </w:rPr>
        <w:t xml:space="preserve"> par p</w:t>
      </w:r>
      <w:r w:rsidR="001E47BA" w:rsidRPr="00AB5BB5">
        <w:rPr>
          <w:rFonts w:eastAsia="Times New Roman" w:cs="Times New Roman"/>
          <w:szCs w:val="24"/>
          <w:lang w:val="lv-LV"/>
        </w:rPr>
        <w:t>rogrammas tiešo un netiešo ietekmi tika veikts 2018.</w:t>
      </w:r>
      <w:r w:rsidR="00D10C89" w:rsidRPr="00AB5BB5">
        <w:rPr>
          <w:rFonts w:eastAsia="Times New Roman" w:cs="Times New Roman"/>
          <w:szCs w:val="24"/>
          <w:lang w:val="lv-LV"/>
        </w:rPr>
        <w:t xml:space="preserve"> </w:t>
      </w:r>
      <w:r w:rsidR="001E47BA" w:rsidRPr="00AB5BB5">
        <w:rPr>
          <w:rFonts w:eastAsia="Times New Roman" w:cs="Times New Roman"/>
          <w:szCs w:val="24"/>
          <w:lang w:val="lv-LV"/>
        </w:rPr>
        <w:t>gadā</w:t>
      </w:r>
      <w:r>
        <w:rPr>
          <w:rFonts w:eastAsia="Times New Roman" w:cs="Times New Roman"/>
          <w:szCs w:val="24"/>
          <w:lang w:val="lv-LV"/>
        </w:rPr>
        <w:t>. Pētījumā secināts, ka p</w:t>
      </w:r>
      <w:r w:rsidR="001E47BA" w:rsidRPr="00AB5BB5">
        <w:rPr>
          <w:rFonts w:eastAsia="Times New Roman" w:cs="Times New Roman"/>
          <w:szCs w:val="24"/>
          <w:lang w:val="lv-LV"/>
        </w:rPr>
        <w:t>rogrammas tiešā ietekme galvenokārt ir saistīta ar Latvijā veiktajām filmas uzņemšanas nodrošināšanas izmaksām, vizuālajiem, muzikālajiem u.c. filmas apstrādes pakalpojumiem, kā arī aktieru honorāriem. Latvijas ekonomikā ieplūdušais ārvalstu filmu veidotāju finansējums ir ievērojams ienākumu avots virknei Latvijas uzņēmumu un privātpersonu.</w:t>
      </w:r>
    </w:p>
    <w:p w14:paraId="5B645333" w14:textId="32F60ED0" w:rsidR="001E47BA" w:rsidRPr="00AB5BB5" w:rsidRDefault="001E47BA" w:rsidP="00AB5BB5">
      <w:pPr>
        <w:spacing w:before="120"/>
        <w:ind w:firstLine="567"/>
        <w:rPr>
          <w:rFonts w:eastAsia="Times New Roman" w:cs="Times New Roman"/>
          <w:color w:val="000000" w:themeColor="text1"/>
          <w:szCs w:val="24"/>
          <w:lang w:val="lv-LV"/>
        </w:rPr>
      </w:pPr>
      <w:r w:rsidRPr="00AB5BB5">
        <w:rPr>
          <w:rFonts w:eastAsia="Times New Roman" w:cs="Times New Roman"/>
          <w:szCs w:val="24"/>
          <w:lang w:val="lv-LV"/>
        </w:rPr>
        <w:t>Ņemot vērā 2018. gada datus, var secināt, ka kopējie nodokļu ieņēmumi sastāda ap 17% (darba spēka nodokļu un pievienotās vērtības nodokļa (PVN) ieņēmumi) no 2018.</w:t>
      </w:r>
      <w:r w:rsidR="00D10C89" w:rsidRPr="00AB5BB5">
        <w:rPr>
          <w:rFonts w:eastAsia="Times New Roman" w:cs="Times New Roman"/>
          <w:szCs w:val="24"/>
          <w:lang w:val="lv-LV"/>
        </w:rPr>
        <w:t xml:space="preserve"> </w:t>
      </w:r>
      <w:r w:rsidRPr="00AB5BB5">
        <w:rPr>
          <w:rFonts w:eastAsia="Times New Roman" w:cs="Times New Roman"/>
          <w:szCs w:val="24"/>
          <w:lang w:val="lv-LV"/>
        </w:rPr>
        <w:t xml:space="preserve">gadā ārvalstu producentu investētā 3 243 000 </w:t>
      </w:r>
      <w:r w:rsidRPr="00AB5BB5">
        <w:rPr>
          <w:rFonts w:eastAsia="Times New Roman" w:cs="Times New Roman"/>
          <w:i/>
          <w:iCs/>
          <w:szCs w:val="24"/>
          <w:lang w:val="lv-LV"/>
        </w:rPr>
        <w:t>euro</w:t>
      </w:r>
      <w:r w:rsidRPr="00AB5BB5">
        <w:rPr>
          <w:rFonts w:eastAsia="Times New Roman" w:cs="Times New Roman"/>
          <w:szCs w:val="24"/>
          <w:lang w:val="lv-LV"/>
        </w:rPr>
        <w:t xml:space="preserve"> finansējuma, kas korelē ar </w:t>
      </w:r>
      <w:r w:rsidR="00D10C89" w:rsidRPr="00AB5BB5">
        <w:rPr>
          <w:rFonts w:eastAsia="Times New Roman" w:cs="Times New Roman"/>
          <w:szCs w:val="24"/>
          <w:lang w:val="lv-LV"/>
        </w:rPr>
        <w:t>NKC</w:t>
      </w:r>
      <w:r w:rsidRPr="00AB5BB5">
        <w:rPr>
          <w:rFonts w:eastAsia="Times New Roman" w:cs="Times New Roman"/>
          <w:szCs w:val="24"/>
          <w:lang w:val="lv-LV"/>
        </w:rPr>
        <w:t xml:space="preserve"> izmaksāto līdzfinansējuma apmēru, kas arī veido ap 17% no kopējā piesaistītā un Latvijas ekonomikā ieplūdušā finansējuma ārvalstu filmu uzņemšanai.</w:t>
      </w:r>
      <w:r w:rsidRPr="00D57D2C">
        <w:rPr>
          <w:lang w:val="lv-LV"/>
        </w:rPr>
        <w:tab/>
      </w:r>
      <w:r w:rsidRPr="00AB5BB5">
        <w:rPr>
          <w:rFonts w:eastAsia="Times New Roman" w:cs="Times New Roman"/>
          <w:color w:val="000000" w:themeColor="text1"/>
          <w:szCs w:val="24"/>
          <w:lang w:val="lv-LV"/>
        </w:rPr>
        <w:t xml:space="preserve"> </w:t>
      </w:r>
    </w:p>
    <w:p w14:paraId="4085D5CD" w14:textId="77777777" w:rsidR="00DF60DB" w:rsidRDefault="001E47BA" w:rsidP="00AB5BB5">
      <w:pPr>
        <w:spacing w:before="120"/>
        <w:ind w:firstLine="567"/>
        <w:rPr>
          <w:rFonts w:eastAsia="Times New Roman" w:cs="Times New Roman"/>
          <w:szCs w:val="24"/>
          <w:lang w:val="lv-LV"/>
        </w:rPr>
      </w:pPr>
      <w:r w:rsidRPr="00AB5BB5">
        <w:rPr>
          <w:rFonts w:eastAsia="Times New Roman" w:cs="Times New Roman"/>
          <w:color w:val="000000" w:themeColor="text1"/>
          <w:szCs w:val="24"/>
          <w:lang w:val="lv-LV"/>
        </w:rPr>
        <w:t xml:space="preserve">Intereses pieaugums par iespēju filmēt Latvijā ir saistīts ar aktīvu nozares – Servisa producentu asociācijas, Producentu asociācijas, kā arī valsts institūciju – </w:t>
      </w:r>
      <w:r w:rsidR="00D10C89" w:rsidRPr="00AB5BB5">
        <w:rPr>
          <w:rFonts w:eastAsia="Times New Roman" w:cs="Times New Roman"/>
          <w:color w:val="000000" w:themeColor="text1"/>
          <w:szCs w:val="24"/>
          <w:lang w:val="lv-LV"/>
        </w:rPr>
        <w:t>NKC</w:t>
      </w:r>
      <w:r w:rsidRPr="00AB5BB5">
        <w:rPr>
          <w:rFonts w:eastAsia="Times New Roman" w:cs="Times New Roman"/>
          <w:color w:val="000000" w:themeColor="text1"/>
          <w:szCs w:val="24"/>
          <w:lang w:val="lv-LV"/>
        </w:rPr>
        <w:t>, kā arī LIAA darbību, popularizējot Latviju kā filmēšanas vietu ārvalstu partneriem. Jau 2021.</w:t>
      </w:r>
      <w:r w:rsidR="00D10C89" w:rsidRPr="00AB5BB5">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 xml:space="preserve">gadā </w:t>
      </w:r>
      <w:r w:rsidR="00D10C89" w:rsidRPr="00AB5BB5">
        <w:rPr>
          <w:rFonts w:eastAsia="Times New Roman" w:cs="Times New Roman"/>
          <w:color w:val="000000" w:themeColor="text1"/>
          <w:szCs w:val="24"/>
          <w:lang w:val="lv-LV"/>
        </w:rPr>
        <w:t>KM</w:t>
      </w:r>
      <w:r w:rsidRPr="00AB5BB5">
        <w:rPr>
          <w:rFonts w:eastAsia="Times New Roman" w:cs="Times New Roman"/>
          <w:color w:val="000000" w:themeColor="text1"/>
          <w:szCs w:val="24"/>
          <w:lang w:val="lv-LV"/>
        </w:rPr>
        <w:t xml:space="preserve"> (</w:t>
      </w:r>
      <w:r w:rsidR="00D10C89" w:rsidRPr="00AB5BB5">
        <w:rPr>
          <w:rFonts w:eastAsia="Times New Roman" w:cs="Times New Roman"/>
          <w:color w:val="000000" w:themeColor="text1"/>
          <w:szCs w:val="24"/>
          <w:lang w:val="lv-LV"/>
        </w:rPr>
        <w:t>NKC</w:t>
      </w:r>
      <w:r w:rsidRPr="00AB5BB5">
        <w:rPr>
          <w:rFonts w:eastAsia="Times New Roman" w:cs="Times New Roman"/>
          <w:color w:val="000000" w:themeColor="text1"/>
          <w:szCs w:val="24"/>
          <w:lang w:val="lv-LV"/>
        </w:rPr>
        <w:t>) pamatojoties uz likumā “Par valsts budžetu 2021.</w:t>
      </w:r>
      <w:r w:rsidR="00D10C89" w:rsidRPr="00AB5BB5">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gadam” 49.</w:t>
      </w:r>
      <w:r w:rsidR="00D10C89" w:rsidRPr="00AB5BB5">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pantā noteikto, kas paredz, ja</w:t>
      </w:r>
      <w:r w:rsidRPr="00AB5BB5">
        <w:rPr>
          <w:rFonts w:eastAsia="Times New Roman" w:cs="Times New Roman"/>
          <w:color w:val="414142"/>
          <w:szCs w:val="24"/>
          <w:lang w:val="lv-LV"/>
        </w:rPr>
        <w:t xml:space="preserve"> </w:t>
      </w:r>
      <w:r w:rsidRPr="00AB5BB5">
        <w:rPr>
          <w:rFonts w:eastAsia="Times New Roman" w:cs="Times New Roman"/>
          <w:szCs w:val="24"/>
          <w:lang w:val="lv-LV"/>
        </w:rPr>
        <w:t xml:space="preserve">2021. gada sešu un deviņu mēnešu laikā ārvalstu filmu uzņemšanas rezultātā ir palielinājušies nodokļu ieņēmumi vai tiek prognozēts nodokļu ieņēmumu palielinājums, </w:t>
      </w:r>
      <w:r w:rsidR="00D10C89" w:rsidRPr="00AB5BB5">
        <w:rPr>
          <w:rFonts w:eastAsia="Times New Roman" w:cs="Times New Roman"/>
          <w:szCs w:val="24"/>
          <w:lang w:val="lv-LV"/>
        </w:rPr>
        <w:t>MK</w:t>
      </w:r>
      <w:r w:rsidRPr="00AB5BB5">
        <w:rPr>
          <w:rFonts w:eastAsia="Times New Roman" w:cs="Times New Roman"/>
          <w:szCs w:val="24"/>
          <w:lang w:val="lv-LV"/>
        </w:rPr>
        <w:t xml:space="preserve"> pieņem lēmumu par apropriācijas palielinājuma apjomu līdzfinansējumam ārvalstu filmu </w:t>
      </w:r>
      <w:r w:rsidRPr="00AB5BB5">
        <w:rPr>
          <w:rFonts w:eastAsia="Times New Roman" w:cs="Times New Roman"/>
          <w:szCs w:val="24"/>
          <w:lang w:val="lv-LV"/>
        </w:rPr>
        <w:lastRenderedPageBreak/>
        <w:t>uzņemšanai Latvijā. Finanšu ministram ir tiesības palielināt apropriāciju izdevumiem līdzfinansējumam ārvalstu filmu uzņemšanai Latvijā, ja Saeimas Budžeta un finanšu (nodokļu) komisija piecu darba dienu laikā no attiecīgās informācijas saņemšanas dienas ir to izskatījusi un nav iebildusi pret apropriācijas palielinājumu</w:t>
      </w:r>
      <w:r w:rsidRPr="00AB5BB5">
        <w:rPr>
          <w:rFonts w:ascii="Arial" w:eastAsia="Arial" w:hAnsi="Arial" w:cs="Arial"/>
          <w:sz w:val="19"/>
          <w:szCs w:val="19"/>
          <w:lang w:val="lv-LV"/>
        </w:rPr>
        <w:t xml:space="preserve"> </w:t>
      </w:r>
      <w:r w:rsidRPr="00AB5BB5">
        <w:rPr>
          <w:rFonts w:eastAsia="Times New Roman" w:cs="Times New Roman"/>
          <w:szCs w:val="24"/>
          <w:lang w:val="lv-LV"/>
        </w:rPr>
        <w:t>lūdza apropriācijas kārtībā palielināt ārvalstu filmu ražo</w:t>
      </w:r>
      <w:r w:rsidR="00AB5BB5">
        <w:rPr>
          <w:rFonts w:eastAsia="Times New Roman" w:cs="Times New Roman"/>
          <w:szCs w:val="24"/>
          <w:lang w:val="lv-LV"/>
        </w:rPr>
        <w:t>šanai nepieciešamos līdzekļus. KM</w:t>
      </w:r>
      <w:r w:rsidRPr="00AB5BB5">
        <w:rPr>
          <w:rFonts w:eastAsia="Times New Roman" w:cs="Times New Roman"/>
          <w:color w:val="333333"/>
          <w:szCs w:val="24"/>
          <w:lang w:val="lv-LV"/>
        </w:rPr>
        <w:t xml:space="preserve"> sagatavoja infor</w:t>
      </w:r>
      <w:r w:rsidRPr="00AB5BB5">
        <w:rPr>
          <w:rFonts w:eastAsia="Times New Roman" w:cs="Times New Roman"/>
          <w:color w:val="000000" w:themeColor="text1"/>
          <w:szCs w:val="24"/>
          <w:lang w:val="lv-LV"/>
        </w:rPr>
        <w:t xml:space="preserve">matīvo </w:t>
      </w:r>
      <w:r w:rsidR="00AB5BB5">
        <w:rPr>
          <w:rFonts w:eastAsia="Times New Roman" w:cs="Times New Roman"/>
          <w:color w:val="000000" w:themeColor="text1"/>
          <w:szCs w:val="24"/>
          <w:lang w:val="lv-LV"/>
        </w:rPr>
        <w:t>ziņojumu</w:t>
      </w:r>
      <w:r w:rsidRPr="00AB5BB5">
        <w:rPr>
          <w:rFonts w:eastAsia="Times New Roman" w:cs="Times New Roman"/>
          <w:color w:val="000000" w:themeColor="text1"/>
          <w:szCs w:val="24"/>
          <w:lang w:val="lv-LV"/>
        </w:rPr>
        <w:t xml:space="preserve"> “Par 2021.</w:t>
      </w:r>
      <w:r w:rsidR="00AB5BB5">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gadā papildus nepieciešamo valsts budžeta līdzfinansējumu ārvalstu filmu uzņemšanai Latvijā”, kurā tika sniegts pamatojums</w:t>
      </w:r>
      <w:r w:rsidRPr="00AB5BB5">
        <w:rPr>
          <w:rFonts w:eastAsia="Times New Roman" w:cs="Times New Roman"/>
          <w:i/>
          <w:iCs/>
          <w:color w:val="000000" w:themeColor="text1"/>
          <w:szCs w:val="24"/>
          <w:lang w:val="lv-LV"/>
        </w:rPr>
        <w:t xml:space="preserve"> </w:t>
      </w:r>
      <w:r w:rsidRPr="00AB5BB5">
        <w:rPr>
          <w:rFonts w:eastAsia="Times New Roman" w:cs="Times New Roman"/>
          <w:color w:val="000000" w:themeColor="text1"/>
          <w:szCs w:val="24"/>
          <w:lang w:val="lv-LV"/>
        </w:rPr>
        <w:t xml:space="preserve"> par 2021.</w:t>
      </w:r>
      <w:r w:rsidR="00AB5BB5">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 xml:space="preserve">gada apropriācijas palielināšanu 481 089 </w:t>
      </w:r>
      <w:r w:rsidRPr="00AB5BB5">
        <w:rPr>
          <w:rFonts w:eastAsia="Times New Roman" w:cs="Times New Roman"/>
          <w:i/>
          <w:iCs/>
          <w:color w:val="000000" w:themeColor="text1"/>
          <w:szCs w:val="24"/>
          <w:lang w:val="lv-LV"/>
        </w:rPr>
        <w:t xml:space="preserve">euro </w:t>
      </w:r>
      <w:r w:rsidRPr="00AB5BB5">
        <w:rPr>
          <w:rFonts w:eastAsia="Times New Roman" w:cs="Times New Roman"/>
          <w:color w:val="000000" w:themeColor="text1"/>
          <w:szCs w:val="24"/>
          <w:lang w:val="lv-LV"/>
        </w:rPr>
        <w:t xml:space="preserve">apmērā valsts budžeta līdzfinansējumam ārvalstu filmu uzņemšanai. </w:t>
      </w:r>
      <w:r w:rsidR="00AB5BB5">
        <w:rPr>
          <w:rFonts w:eastAsia="Times New Roman" w:cs="Times New Roman"/>
          <w:szCs w:val="24"/>
          <w:lang w:val="lv-LV"/>
        </w:rPr>
        <w:t>KM</w:t>
      </w:r>
      <w:r w:rsidRPr="00AB5BB5">
        <w:rPr>
          <w:rFonts w:eastAsia="Times New Roman" w:cs="Times New Roman"/>
          <w:szCs w:val="24"/>
          <w:lang w:val="lv-LV"/>
        </w:rPr>
        <w:t xml:space="preserve"> sa</w:t>
      </w:r>
      <w:r w:rsidR="00DF60DB">
        <w:rPr>
          <w:rFonts w:eastAsia="Times New Roman" w:cs="Times New Roman"/>
          <w:szCs w:val="24"/>
          <w:lang w:val="lv-LV"/>
        </w:rPr>
        <w:t xml:space="preserve">skaņošanas procesā ir saņēmusi </w:t>
      </w:r>
      <w:r w:rsidR="00AB5BB5">
        <w:rPr>
          <w:rFonts w:eastAsia="Times New Roman" w:cs="Times New Roman"/>
          <w:szCs w:val="24"/>
          <w:lang w:val="lv-LV"/>
        </w:rPr>
        <w:t>FM</w:t>
      </w:r>
      <w:r w:rsidRPr="00AB5BB5">
        <w:rPr>
          <w:rFonts w:eastAsia="Times New Roman" w:cs="Times New Roman"/>
          <w:szCs w:val="24"/>
          <w:lang w:val="lv-LV"/>
        </w:rPr>
        <w:t xml:space="preserve"> vēstuli (18.06.2021 Nr, 12/A-2/3535), kurā cita starpā tika norādīts par nepieciešamību pilnveidot normatīvos aktus un finansējuma piešķiršanas </w:t>
      </w:r>
      <w:r w:rsidR="00AB5BB5">
        <w:rPr>
          <w:rFonts w:eastAsia="Times New Roman" w:cs="Times New Roman"/>
          <w:szCs w:val="24"/>
          <w:lang w:val="lv-LV"/>
        </w:rPr>
        <w:t xml:space="preserve">kārtību, lai nodrošinātu </w:t>
      </w:r>
      <w:r w:rsidRPr="00AB5BB5">
        <w:rPr>
          <w:rFonts w:eastAsia="Times New Roman" w:cs="Times New Roman"/>
          <w:szCs w:val="24"/>
          <w:lang w:val="lv-LV"/>
        </w:rPr>
        <w:t>prognozējamību un fiskālo neitralitāti attiecībā pret valsts budžetu, pie</w:t>
      </w:r>
      <w:r w:rsidR="00AB5BB5">
        <w:rPr>
          <w:rFonts w:eastAsia="Times New Roman" w:cs="Times New Roman"/>
          <w:szCs w:val="24"/>
          <w:lang w:val="lv-LV"/>
        </w:rPr>
        <w:t>prasot līdzekļus ārvalstu filmu uzņemšanai Latvijā.</w:t>
      </w:r>
    </w:p>
    <w:p w14:paraId="1829F353" w14:textId="77777777" w:rsidR="00DF60DB" w:rsidRPr="00D57D2C" w:rsidRDefault="00DF60DB" w:rsidP="00AB5BB5">
      <w:pPr>
        <w:spacing w:before="120"/>
        <w:ind w:firstLine="567"/>
        <w:rPr>
          <w:lang w:val="lv-LV"/>
        </w:rPr>
      </w:pPr>
      <w:r>
        <w:rPr>
          <w:rFonts w:eastAsia="Times New Roman" w:cs="Times New Roman"/>
          <w:szCs w:val="24"/>
          <w:lang w:val="lv-LV"/>
        </w:rPr>
        <w:t>KM</w:t>
      </w:r>
      <w:r w:rsidR="001E47BA" w:rsidRPr="00AB5BB5">
        <w:rPr>
          <w:rFonts w:eastAsia="Times New Roman" w:cs="Times New Roman"/>
          <w:color w:val="000000" w:themeColor="text1"/>
          <w:szCs w:val="24"/>
          <w:lang w:val="lv-LV"/>
        </w:rPr>
        <w:t xml:space="preserve"> un </w:t>
      </w:r>
      <w:r>
        <w:rPr>
          <w:rFonts w:eastAsia="Times New Roman" w:cs="Times New Roman"/>
          <w:color w:val="000000" w:themeColor="text1"/>
          <w:szCs w:val="24"/>
          <w:lang w:val="lv-LV"/>
        </w:rPr>
        <w:t>NKC</w:t>
      </w:r>
      <w:r w:rsidR="001E47BA" w:rsidRPr="00AB5BB5">
        <w:rPr>
          <w:rFonts w:eastAsia="Times New Roman" w:cs="Times New Roman"/>
          <w:color w:val="000000" w:themeColor="text1"/>
          <w:szCs w:val="24"/>
          <w:lang w:val="lv-LV"/>
        </w:rPr>
        <w:t xml:space="preserve"> ir saņēmuši Producentu asociācijas apkopoto informāciju par plānotajiem projektiem, kas 2022.</w:t>
      </w:r>
      <w:r>
        <w:rPr>
          <w:rFonts w:eastAsia="Times New Roman" w:cs="Times New Roman"/>
          <w:color w:val="000000" w:themeColor="text1"/>
          <w:szCs w:val="24"/>
          <w:lang w:val="lv-LV"/>
        </w:rPr>
        <w:t xml:space="preserve"> </w:t>
      </w:r>
      <w:r w:rsidR="001E47BA" w:rsidRPr="00AB5BB5">
        <w:rPr>
          <w:rFonts w:eastAsia="Times New Roman" w:cs="Times New Roman"/>
          <w:color w:val="000000" w:themeColor="text1"/>
          <w:szCs w:val="24"/>
          <w:lang w:val="lv-LV"/>
        </w:rPr>
        <w:t xml:space="preserve">gadā varētu tikt filmēti Latvijā. Nozare plāno Latvijā filmēt 29 ārvalstu filmas. Kopējais Latvijā izlietoto līdzekļu apjoms tiek plānots – 64 580 335,93 </w:t>
      </w:r>
      <w:r w:rsidR="001E47BA" w:rsidRPr="00AB5BB5">
        <w:rPr>
          <w:rFonts w:eastAsia="Times New Roman" w:cs="Times New Roman"/>
          <w:i/>
          <w:iCs/>
          <w:color w:val="000000" w:themeColor="text1"/>
          <w:szCs w:val="24"/>
          <w:lang w:val="lv-LV"/>
        </w:rPr>
        <w:t>euro</w:t>
      </w:r>
      <w:r w:rsidR="001E47BA" w:rsidRPr="00AB5BB5">
        <w:rPr>
          <w:rFonts w:eastAsia="Times New Roman" w:cs="Times New Roman"/>
          <w:color w:val="000000" w:themeColor="text1"/>
          <w:szCs w:val="24"/>
          <w:lang w:val="lv-LV"/>
        </w:rPr>
        <w:t xml:space="preserve">. Prognozētie nodokļu ieņēmumi Latvijas ekonomikai ienestu 16 584 160 </w:t>
      </w:r>
      <w:r w:rsidR="001E47BA" w:rsidRPr="00AB5BB5">
        <w:rPr>
          <w:rFonts w:eastAsia="Times New Roman" w:cs="Times New Roman"/>
          <w:i/>
          <w:iCs/>
          <w:color w:val="000000" w:themeColor="text1"/>
          <w:szCs w:val="24"/>
          <w:lang w:val="lv-LV"/>
        </w:rPr>
        <w:t>euro</w:t>
      </w:r>
      <w:r w:rsidR="001E47BA" w:rsidRPr="00AB5BB5">
        <w:rPr>
          <w:rFonts w:eastAsia="Times New Roman" w:cs="Times New Roman"/>
          <w:color w:val="000000" w:themeColor="text1"/>
          <w:szCs w:val="24"/>
          <w:lang w:val="lv-LV"/>
        </w:rPr>
        <w:t>, kas ir 25,68% no Latvijā plānotajām izmaksām (programmas līdzfinansējums lielākoties ir 20%, kas ir mazāk, nekā plānotie nodokļu ieņēmumi).</w:t>
      </w:r>
      <w:r>
        <w:rPr>
          <w:rFonts w:eastAsia="Times New Roman" w:cs="Times New Roman"/>
          <w:color w:val="000000" w:themeColor="text1"/>
          <w:szCs w:val="24"/>
          <w:lang w:val="lv-LV"/>
        </w:rPr>
        <w:t xml:space="preserve"> </w:t>
      </w:r>
      <w:r w:rsidR="001E47BA" w:rsidRPr="00AB5BB5">
        <w:rPr>
          <w:rFonts w:eastAsia="Times New Roman" w:cs="Times New Roman"/>
          <w:color w:val="000000" w:themeColor="text1"/>
          <w:szCs w:val="24"/>
          <w:lang w:val="lv-LV"/>
        </w:rPr>
        <w:t xml:space="preserve">Diemžēl </w:t>
      </w:r>
      <w:r>
        <w:rPr>
          <w:rFonts w:eastAsia="Times New Roman" w:cs="Times New Roman"/>
          <w:color w:val="000000" w:themeColor="text1"/>
          <w:szCs w:val="24"/>
          <w:lang w:val="lv-LV"/>
        </w:rPr>
        <w:t>KM</w:t>
      </w:r>
      <w:r w:rsidR="001E47BA" w:rsidRPr="00AB5BB5">
        <w:rPr>
          <w:rFonts w:eastAsia="Times New Roman" w:cs="Times New Roman"/>
          <w:color w:val="000000" w:themeColor="text1"/>
          <w:szCs w:val="24"/>
          <w:lang w:val="lv-LV"/>
        </w:rPr>
        <w:t xml:space="preserve"> budžetā šai programmai ir plānots ikgadējs finansējums 858 013 </w:t>
      </w:r>
      <w:r w:rsidR="001E47BA" w:rsidRPr="00AB5BB5">
        <w:rPr>
          <w:rFonts w:eastAsia="Times New Roman" w:cs="Times New Roman"/>
          <w:i/>
          <w:iCs/>
          <w:color w:val="000000" w:themeColor="text1"/>
          <w:szCs w:val="24"/>
          <w:lang w:val="lv-LV"/>
        </w:rPr>
        <w:t>euro</w:t>
      </w:r>
      <w:r w:rsidR="001E47BA" w:rsidRPr="00AB5BB5">
        <w:rPr>
          <w:rFonts w:eastAsia="Times New Roman" w:cs="Times New Roman"/>
          <w:color w:val="000000" w:themeColor="text1"/>
          <w:szCs w:val="24"/>
          <w:lang w:val="lv-LV"/>
        </w:rPr>
        <w:t xml:space="preserve">, kas nespēj apmierināt nozares pieprasījumu. Kā arī normatīvajos aktos nav dota iespēja, ka </w:t>
      </w:r>
      <w:r>
        <w:rPr>
          <w:rFonts w:eastAsia="Times New Roman" w:cs="Times New Roman"/>
          <w:color w:val="000000" w:themeColor="text1"/>
          <w:szCs w:val="24"/>
          <w:lang w:val="lv-LV"/>
        </w:rPr>
        <w:t>NKC</w:t>
      </w:r>
      <w:r w:rsidR="001E47BA" w:rsidRPr="00AB5BB5">
        <w:rPr>
          <w:rFonts w:eastAsia="Times New Roman" w:cs="Times New Roman"/>
          <w:color w:val="000000" w:themeColor="text1"/>
          <w:szCs w:val="24"/>
          <w:lang w:val="lv-LV"/>
        </w:rPr>
        <w:t xml:space="preserve">, kamēr nav apstiprināts ikgadējais likums par valsts budžetu, nevar ārvalstu filmu producentiem, kas vēlas filmēt Latvijā dod apliecinājumu, ka tiks nodrošināts </w:t>
      </w:r>
      <w:r w:rsidRPr="00AB5BB5">
        <w:rPr>
          <w:rFonts w:eastAsia="Times New Roman" w:cs="Times New Roman"/>
          <w:color w:val="000000" w:themeColor="text1"/>
          <w:szCs w:val="24"/>
          <w:lang w:val="lv-LV"/>
        </w:rPr>
        <w:t>pietiekamā</w:t>
      </w:r>
      <w:r w:rsidR="001E47BA" w:rsidRPr="00AB5BB5">
        <w:rPr>
          <w:rFonts w:eastAsia="Times New Roman" w:cs="Times New Roman"/>
          <w:color w:val="000000" w:themeColor="text1"/>
          <w:szCs w:val="24"/>
          <w:lang w:val="lv-LV"/>
        </w:rPr>
        <w:t xml:space="preserve"> apmērā </w:t>
      </w:r>
      <w:r w:rsidR="00AB5BB5">
        <w:rPr>
          <w:rFonts w:eastAsia="Times New Roman" w:cs="Times New Roman"/>
          <w:color w:val="000000" w:themeColor="text1"/>
          <w:szCs w:val="24"/>
          <w:lang w:val="lv-LV"/>
        </w:rPr>
        <w:t>valsts budžeta līdzfinansējums.</w:t>
      </w:r>
    </w:p>
    <w:p w14:paraId="32D8BB19" w14:textId="163C5D40" w:rsidR="001E47BA" w:rsidRPr="00AB5BB5" w:rsidRDefault="001E47BA" w:rsidP="00AB5BB5">
      <w:pPr>
        <w:spacing w:before="120"/>
        <w:ind w:firstLine="567"/>
        <w:rPr>
          <w:rFonts w:eastAsia="Times New Roman" w:cs="Times New Roman"/>
          <w:color w:val="000000" w:themeColor="text1"/>
          <w:szCs w:val="24"/>
          <w:lang w:val="lv-LV"/>
        </w:rPr>
      </w:pPr>
      <w:r w:rsidRPr="00AB5BB5">
        <w:rPr>
          <w:rFonts w:eastAsia="Times New Roman" w:cs="Times New Roman"/>
          <w:color w:val="000000" w:themeColor="text1"/>
          <w:szCs w:val="24"/>
          <w:lang w:val="lv-LV"/>
        </w:rPr>
        <w:t xml:space="preserve">Ņemot vērām ka ārvalstu filmu uzņemšana Latvijā ir kā ekonomikas veicināšanas instruments un lai nodrošinātu efektīvāku līdzekļu piesaisti, kā arī pozicionētu ārvalstu filmu uzņemšanu kā ekonomikas instrumentu investīciju piesaistei, šo darbības jomu – atbalstu ārvalstu filmu uzņemšanai Latvijā - lietderīgi būtu pārņemt </w:t>
      </w:r>
      <w:r w:rsidR="00DF60DB">
        <w:rPr>
          <w:rFonts w:eastAsia="Times New Roman" w:cs="Times New Roman"/>
          <w:color w:val="000000" w:themeColor="text1"/>
          <w:szCs w:val="24"/>
          <w:lang w:val="lv-LV"/>
        </w:rPr>
        <w:t>EM</w:t>
      </w:r>
      <w:r w:rsidRPr="00AB5BB5">
        <w:rPr>
          <w:rFonts w:eastAsia="Times New Roman" w:cs="Times New Roman"/>
          <w:color w:val="000000" w:themeColor="text1"/>
          <w:szCs w:val="24"/>
          <w:lang w:val="lv-LV"/>
        </w:rPr>
        <w:t xml:space="preserve"> padotības iestādei </w:t>
      </w:r>
      <w:r w:rsidR="00DF60DB">
        <w:rPr>
          <w:rFonts w:eastAsia="Times New Roman" w:cs="Times New Roman"/>
          <w:color w:val="000000" w:themeColor="text1"/>
          <w:szCs w:val="24"/>
          <w:lang w:val="lv-LV"/>
        </w:rPr>
        <w:t>LIAA</w:t>
      </w:r>
      <w:r w:rsidRPr="00AB5BB5">
        <w:rPr>
          <w:rFonts w:eastAsia="Times New Roman" w:cs="Times New Roman"/>
          <w:color w:val="000000" w:themeColor="text1"/>
          <w:szCs w:val="24"/>
          <w:lang w:val="lv-LV"/>
        </w:rPr>
        <w:t>, kuras ietvaros ir gan administratīvais gan finansiālais resurss šādas ekonomikai pienesošas programmas administrēšanai. Arī Somijā šo ekonomisko instrumentu nodrošina Latvijas investīciju un attīstības aģentūrai radniecīga institūcija “</w:t>
      </w:r>
      <w:r w:rsidRPr="00AB5BB5">
        <w:rPr>
          <w:rFonts w:eastAsia="Times New Roman" w:cs="Times New Roman"/>
          <w:i/>
          <w:iCs/>
          <w:color w:val="000000" w:themeColor="text1"/>
          <w:szCs w:val="24"/>
          <w:lang w:val="lv-LV"/>
        </w:rPr>
        <w:t>Business</w:t>
      </w:r>
      <w:r w:rsidRPr="00AB5BB5">
        <w:rPr>
          <w:rFonts w:eastAsia="Times New Roman" w:cs="Times New Roman"/>
          <w:color w:val="000000" w:themeColor="text1"/>
          <w:szCs w:val="24"/>
          <w:lang w:val="lv-LV"/>
        </w:rPr>
        <w:t xml:space="preserve"> </w:t>
      </w:r>
      <w:r w:rsidRPr="00AB5BB5">
        <w:rPr>
          <w:rFonts w:eastAsia="Times New Roman" w:cs="Times New Roman"/>
          <w:i/>
          <w:iCs/>
          <w:color w:val="000000" w:themeColor="text1"/>
          <w:szCs w:val="24"/>
          <w:lang w:val="lv-LV"/>
        </w:rPr>
        <w:t>Finland</w:t>
      </w:r>
      <w:r w:rsidRPr="00AB5BB5">
        <w:rPr>
          <w:rFonts w:eastAsia="Times New Roman" w:cs="Times New Roman"/>
          <w:color w:val="000000" w:themeColor="text1"/>
          <w:szCs w:val="24"/>
          <w:lang w:val="lv-LV"/>
        </w:rPr>
        <w:t>”.</w:t>
      </w:r>
      <w:r w:rsidRPr="00D57D2C">
        <w:rPr>
          <w:lang w:val="lv-LV"/>
        </w:rPr>
        <w:br/>
      </w:r>
      <w:r w:rsidRPr="00AB5BB5">
        <w:rPr>
          <w:rFonts w:eastAsia="Times New Roman" w:cs="Times New Roman"/>
          <w:color w:val="000000" w:themeColor="text1"/>
          <w:szCs w:val="24"/>
          <w:lang w:val="lv-LV"/>
        </w:rPr>
        <w:t xml:space="preserve"> </w:t>
      </w:r>
      <w:r w:rsidRPr="00D57D2C">
        <w:rPr>
          <w:lang w:val="lv-LV"/>
        </w:rPr>
        <w:tab/>
      </w:r>
      <w:r w:rsidRPr="00AB5BB5">
        <w:rPr>
          <w:rFonts w:eastAsia="Times New Roman" w:cs="Times New Roman"/>
          <w:color w:val="000000" w:themeColor="text1"/>
          <w:szCs w:val="24"/>
          <w:lang w:val="lv-LV"/>
        </w:rPr>
        <w:t xml:space="preserve"> Līdz ar to ņemot vērā augstāk minēto, lai nodrošinātu ārvalstu filmu līdzfinansējuma programmas un administrētāja maiņu ir nepieciešams veikt izmaiņas Filmu likumā un 2013.</w:t>
      </w:r>
      <w:r w:rsidR="00DF60DB">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gada 26.</w:t>
      </w:r>
      <w:r w:rsidR="00DF60DB">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 xml:space="preserve">marta </w:t>
      </w:r>
      <w:r w:rsidR="00DF60DB">
        <w:rPr>
          <w:rFonts w:eastAsia="Times New Roman" w:cs="Times New Roman"/>
          <w:color w:val="000000" w:themeColor="text1"/>
          <w:szCs w:val="24"/>
          <w:lang w:val="lv-LV"/>
        </w:rPr>
        <w:t>MK</w:t>
      </w:r>
      <w:r w:rsidRPr="00AB5BB5">
        <w:rPr>
          <w:rFonts w:eastAsia="Times New Roman" w:cs="Times New Roman"/>
          <w:color w:val="000000" w:themeColor="text1"/>
          <w:szCs w:val="24"/>
          <w:lang w:val="lv-LV"/>
        </w:rPr>
        <w:t xml:space="preserve"> noteikumos Nr.</w:t>
      </w:r>
      <w:r w:rsidR="00DF60DB">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 xml:space="preserve">163 </w:t>
      </w:r>
      <w:r w:rsidRPr="00AB5BB5">
        <w:rPr>
          <w:rFonts w:eastAsia="Times New Roman" w:cs="Times New Roman"/>
          <w:szCs w:val="24"/>
          <w:lang w:val="lv-LV"/>
        </w:rPr>
        <w:t xml:space="preserve">“Valsts budžeta līdzfinansējuma piešķiršanas kārtība ārvalstu filmu uzņemšanai Latvijā”. Kā arī veikt apropriācijas pārdali ārvalstu filmu </w:t>
      </w:r>
      <w:r w:rsidRPr="007F4D1A">
        <w:rPr>
          <w:rFonts w:eastAsia="Times New Roman" w:cs="Times New Roman"/>
          <w:b/>
          <w:szCs w:val="24"/>
          <w:lang w:val="lv-LV"/>
        </w:rPr>
        <w:t xml:space="preserve">līdzfinansējuma nodrošināšanai 858 013 </w:t>
      </w:r>
      <w:r w:rsidRPr="007F4D1A">
        <w:rPr>
          <w:rFonts w:eastAsia="Times New Roman" w:cs="Times New Roman"/>
          <w:b/>
          <w:i/>
          <w:szCs w:val="24"/>
          <w:lang w:val="lv-LV"/>
        </w:rPr>
        <w:t>euro</w:t>
      </w:r>
      <w:r w:rsidRPr="007F4D1A">
        <w:rPr>
          <w:rFonts w:eastAsia="Times New Roman" w:cs="Times New Roman"/>
          <w:b/>
          <w:szCs w:val="24"/>
          <w:lang w:val="lv-LV"/>
        </w:rPr>
        <w:t xml:space="preserve"> apmērā no</w:t>
      </w:r>
      <w:r w:rsidRPr="007F4D1A">
        <w:rPr>
          <w:rFonts w:eastAsia="Times New Roman" w:cs="Times New Roman"/>
          <w:b/>
          <w:color w:val="000000" w:themeColor="text1"/>
          <w:szCs w:val="24"/>
          <w:lang w:val="lv-LV"/>
        </w:rPr>
        <w:t xml:space="preserve"> </w:t>
      </w:r>
      <w:r w:rsidR="00534237" w:rsidRPr="007F4D1A">
        <w:rPr>
          <w:rFonts w:eastAsia="Times New Roman" w:cs="Times New Roman"/>
          <w:b/>
          <w:color w:val="000000" w:themeColor="text1"/>
          <w:szCs w:val="24"/>
          <w:lang w:val="lv-LV"/>
        </w:rPr>
        <w:t>NKC</w:t>
      </w:r>
      <w:r w:rsidRPr="007F4D1A">
        <w:rPr>
          <w:rFonts w:eastAsia="Times New Roman" w:cs="Times New Roman"/>
          <w:b/>
          <w:color w:val="000000" w:themeColor="text1"/>
          <w:szCs w:val="24"/>
          <w:lang w:val="lv-LV"/>
        </w:rPr>
        <w:t xml:space="preserve"> uz </w:t>
      </w:r>
      <w:r w:rsidR="00534237" w:rsidRPr="007F4D1A">
        <w:rPr>
          <w:rFonts w:eastAsia="Times New Roman" w:cs="Times New Roman"/>
          <w:b/>
          <w:color w:val="000000" w:themeColor="text1"/>
          <w:szCs w:val="24"/>
          <w:lang w:val="lv-LV"/>
        </w:rPr>
        <w:t>LIAA</w:t>
      </w:r>
      <w:r w:rsidR="00534237">
        <w:rPr>
          <w:rFonts w:eastAsia="Times New Roman" w:cs="Times New Roman"/>
          <w:color w:val="000000" w:themeColor="text1"/>
          <w:szCs w:val="24"/>
          <w:lang w:val="lv-LV"/>
        </w:rPr>
        <w:t xml:space="preserve">. </w:t>
      </w:r>
      <w:r w:rsidRPr="00AB5BB5">
        <w:rPr>
          <w:rFonts w:eastAsia="Times New Roman" w:cs="Times New Roman"/>
          <w:color w:val="000000" w:themeColor="text1"/>
          <w:szCs w:val="24"/>
          <w:lang w:val="lv-LV"/>
        </w:rPr>
        <w:t xml:space="preserve">Vienlaicīgi </w:t>
      </w:r>
      <w:r w:rsidR="00534237" w:rsidRPr="00AB5BB5">
        <w:rPr>
          <w:rFonts w:eastAsia="Times New Roman" w:cs="Times New Roman"/>
          <w:color w:val="000000" w:themeColor="text1"/>
          <w:szCs w:val="24"/>
          <w:lang w:val="lv-LV"/>
        </w:rPr>
        <w:t>ļaujot</w:t>
      </w:r>
      <w:r w:rsidRPr="00AB5BB5">
        <w:rPr>
          <w:rFonts w:eastAsia="Times New Roman" w:cs="Times New Roman"/>
          <w:color w:val="000000" w:themeColor="text1"/>
          <w:szCs w:val="24"/>
          <w:lang w:val="lv-LV"/>
        </w:rPr>
        <w:t xml:space="preserve"> </w:t>
      </w:r>
      <w:r w:rsidR="00534237">
        <w:rPr>
          <w:rFonts w:eastAsia="Times New Roman" w:cs="Times New Roman"/>
          <w:color w:val="000000" w:themeColor="text1"/>
          <w:szCs w:val="24"/>
          <w:lang w:val="lv-LV"/>
        </w:rPr>
        <w:t>LIAA</w:t>
      </w:r>
      <w:r w:rsidRPr="00AB5BB5">
        <w:rPr>
          <w:rFonts w:eastAsia="Times New Roman" w:cs="Times New Roman"/>
          <w:color w:val="000000" w:themeColor="text1"/>
          <w:szCs w:val="24"/>
          <w:lang w:val="lv-LV"/>
        </w:rPr>
        <w:t xml:space="preserve"> no ārvalstu filmu līdzfinansējuma programmas attiecināt tiešās administrēšanas izmaksas, kas rodas piesaistot nozares ekspertus.</w:t>
      </w:r>
    </w:p>
    <w:p w14:paraId="226DA445" w14:textId="2407A41F" w:rsidR="00534237" w:rsidRDefault="001E47BA" w:rsidP="00534237">
      <w:pPr>
        <w:spacing w:before="120"/>
        <w:ind w:firstLine="567"/>
        <w:rPr>
          <w:lang w:val="lv-LV"/>
        </w:rPr>
      </w:pPr>
      <w:r w:rsidRPr="00AB5BB5">
        <w:rPr>
          <w:lang w:val="lv-LV"/>
        </w:rPr>
        <w:t xml:space="preserve">Savukārt, lai rastu ilgtermiņa risinājumu par garantiju sniegšanu ārvalstu filmu producentiem par </w:t>
      </w:r>
      <w:r w:rsidR="00534237">
        <w:rPr>
          <w:lang w:val="lv-LV"/>
        </w:rPr>
        <w:t>līdzfinansējuma</w:t>
      </w:r>
      <w:r w:rsidRPr="00AB5BB5">
        <w:rPr>
          <w:lang w:val="lv-LV"/>
        </w:rPr>
        <w:t xml:space="preserve"> nodrošināšanu </w:t>
      </w:r>
      <w:r w:rsidR="00534237">
        <w:rPr>
          <w:lang w:val="lv-LV"/>
        </w:rPr>
        <w:t>KM</w:t>
      </w:r>
      <w:r w:rsidRPr="00AB5BB5">
        <w:rPr>
          <w:lang w:val="lv-LV"/>
        </w:rPr>
        <w:t xml:space="preserve"> ir jāsagatavo un 2022.</w:t>
      </w:r>
      <w:r w:rsidR="00534237">
        <w:rPr>
          <w:lang w:val="lv-LV"/>
        </w:rPr>
        <w:t xml:space="preserve"> </w:t>
      </w:r>
      <w:r w:rsidRPr="00AB5BB5">
        <w:rPr>
          <w:lang w:val="lv-LV"/>
        </w:rPr>
        <w:t xml:space="preserve">gada valsts budžeta likumprojektu paketē jāiesniedz grozījumi Filmu likumā, kas paredz, ka </w:t>
      </w:r>
      <w:r w:rsidR="00534237">
        <w:rPr>
          <w:lang w:val="lv-LV"/>
        </w:rPr>
        <w:t>LIAA</w:t>
      </w:r>
      <w:r w:rsidRPr="00AB5BB5">
        <w:rPr>
          <w:lang w:val="lv-LV"/>
        </w:rPr>
        <w:t xml:space="preserve"> var izsniegt garantijas vēstuli par līdz</w:t>
      </w:r>
      <w:r w:rsidR="00534237">
        <w:rPr>
          <w:lang w:val="lv-LV"/>
        </w:rPr>
        <w:t>f</w:t>
      </w:r>
      <w:r w:rsidRPr="00AB5BB5">
        <w:rPr>
          <w:lang w:val="lv-LV"/>
        </w:rPr>
        <w:t xml:space="preserve">inansējuma nodrošināšanu un pēc filmas </w:t>
      </w:r>
      <w:r w:rsidR="00534237">
        <w:rPr>
          <w:lang w:val="lv-LV"/>
        </w:rPr>
        <w:t>faktisko izmaksu veikšanas sagatavot</w:t>
      </w:r>
      <w:r w:rsidRPr="00AB5BB5">
        <w:rPr>
          <w:lang w:val="lv-LV"/>
        </w:rPr>
        <w:t xml:space="preserve"> pieprasījumu par apropriācijas aplielināšanu šim mērķim, ja ikgadējais finansējums š</w:t>
      </w:r>
      <w:r w:rsidR="00534237">
        <w:rPr>
          <w:lang w:val="lv-LV"/>
        </w:rPr>
        <w:t>i</w:t>
      </w:r>
      <w:r w:rsidRPr="00AB5BB5">
        <w:rPr>
          <w:lang w:val="lv-LV"/>
        </w:rPr>
        <w:t xml:space="preserve">m mērķim ir </w:t>
      </w:r>
      <w:r w:rsidR="00534237">
        <w:rPr>
          <w:lang w:val="lv-LV"/>
        </w:rPr>
        <w:t>nepietiekošs vai jau izlietots.</w:t>
      </w:r>
    </w:p>
    <w:p w14:paraId="051F68BF" w14:textId="0FE275B2" w:rsidR="00FA3BB1" w:rsidRPr="00FA3BB1" w:rsidRDefault="00FA3BB1" w:rsidP="00FA3BB1">
      <w:pPr>
        <w:jc w:val="left"/>
        <w:rPr>
          <w:rFonts w:eastAsiaTheme="minorHAnsi"/>
          <w:b/>
          <w:bCs/>
          <w:lang w:val="lv-LV"/>
        </w:rPr>
      </w:pPr>
      <w:r w:rsidRPr="00FA3BB1">
        <w:rPr>
          <w:rFonts w:eastAsiaTheme="minorHAnsi"/>
          <w:b/>
          <w:bCs/>
          <w:lang w:val="lv-LV"/>
        </w:rPr>
        <w:t>SM – Autoceļu lietošanas nodeva</w:t>
      </w:r>
    </w:p>
    <w:p w14:paraId="7FF9B9FF" w14:textId="7CA3C8EF" w:rsidR="00B84B1E" w:rsidRDefault="00FA3BB1" w:rsidP="000522EF">
      <w:pPr>
        <w:ind w:firstLine="720"/>
        <w:rPr>
          <w:rFonts w:eastAsiaTheme="minorHAnsi" w:cs="Times New Roman"/>
          <w:szCs w:val="24"/>
          <w:lang w:val="lv-LV"/>
        </w:rPr>
      </w:pPr>
      <w:r w:rsidRPr="00FA3BB1">
        <w:rPr>
          <w:rFonts w:eastAsiaTheme="minorHAnsi" w:cs="Times New Roman"/>
          <w:szCs w:val="24"/>
          <w:lang w:val="lv-LV"/>
        </w:rPr>
        <w:t xml:space="preserve">FM atkārtoti </w:t>
      </w:r>
      <w:r w:rsidR="00524893">
        <w:rPr>
          <w:rFonts w:eastAsiaTheme="minorHAnsi" w:cs="Times New Roman"/>
          <w:szCs w:val="24"/>
          <w:lang w:val="lv-LV"/>
        </w:rPr>
        <w:t>ir veikusi ALN ieņēmumu izpildes analīzi un secin</w:t>
      </w:r>
      <w:r w:rsidRPr="00FA3BB1">
        <w:rPr>
          <w:rFonts w:eastAsiaTheme="minorHAnsi" w:cs="Times New Roman"/>
          <w:szCs w:val="24"/>
          <w:lang w:val="lv-LV"/>
        </w:rPr>
        <w:t>a, ka to faktiskā izpilde joprojām neatbilst plānam</w:t>
      </w:r>
      <w:r w:rsidR="00524893">
        <w:rPr>
          <w:rFonts w:eastAsiaTheme="minorHAnsi" w:cs="Times New Roman"/>
          <w:szCs w:val="24"/>
          <w:lang w:val="lv-LV"/>
        </w:rPr>
        <w:t xml:space="preserve"> (Attēls Nr.2.3.2.)</w:t>
      </w:r>
      <w:r w:rsidRPr="00FA3BB1">
        <w:rPr>
          <w:rFonts w:eastAsiaTheme="minorHAnsi" w:cs="Times New Roman"/>
          <w:szCs w:val="24"/>
          <w:lang w:val="lv-LV"/>
        </w:rPr>
        <w:t>.</w:t>
      </w:r>
    </w:p>
    <w:p w14:paraId="02F2D90D" w14:textId="6499EBD8" w:rsidR="00FA3BB1" w:rsidRPr="00FA3BB1" w:rsidRDefault="00524893" w:rsidP="00FA3BB1">
      <w:pPr>
        <w:spacing w:line="240" w:lineRule="auto"/>
        <w:jc w:val="center"/>
        <w:rPr>
          <w:rFonts w:eastAsiaTheme="minorHAnsi" w:cs="Times New Roman"/>
          <w:b/>
          <w:bCs/>
          <w:sz w:val="22"/>
          <w:lang w:val="lv-LV"/>
        </w:rPr>
      </w:pPr>
      <w:r>
        <w:rPr>
          <w:rFonts w:eastAsiaTheme="minorHAnsi" w:cs="Times New Roman"/>
          <w:b/>
          <w:bCs/>
          <w:i/>
          <w:iCs/>
          <w:sz w:val="22"/>
          <w:lang w:val="lv-LV"/>
        </w:rPr>
        <w:lastRenderedPageBreak/>
        <w:t>2.3.2</w:t>
      </w:r>
      <w:r w:rsidR="00FA3BB1" w:rsidRPr="00FA3BB1">
        <w:rPr>
          <w:rFonts w:eastAsiaTheme="minorHAnsi" w:cs="Times New Roman"/>
          <w:b/>
          <w:bCs/>
          <w:i/>
          <w:iCs/>
          <w:sz w:val="22"/>
          <w:lang w:val="lv-LV"/>
        </w:rPr>
        <w:t>. attēls</w:t>
      </w:r>
      <w:r w:rsidR="00FA3BB1" w:rsidRPr="00FA3BB1">
        <w:rPr>
          <w:rFonts w:eastAsiaTheme="minorHAnsi" w:cs="Times New Roman"/>
          <w:b/>
          <w:bCs/>
          <w:sz w:val="22"/>
          <w:lang w:val="lv-LV"/>
        </w:rPr>
        <w:t xml:space="preserve"> Autoceļu lietošanas nodevas iekasēšanas plāns un izpilde, milj. </w:t>
      </w:r>
      <w:r w:rsidR="00FA3BB1" w:rsidRPr="00FA3BB1">
        <w:rPr>
          <w:rFonts w:eastAsiaTheme="minorHAnsi" w:cs="Times New Roman"/>
          <w:b/>
          <w:bCs/>
          <w:i/>
          <w:sz w:val="22"/>
          <w:lang w:val="lv-LV"/>
        </w:rPr>
        <w:t>euro</w:t>
      </w:r>
    </w:p>
    <w:p w14:paraId="1E00444C" w14:textId="1DDA9BA1" w:rsidR="00FA3BB1" w:rsidRPr="00FA3BB1" w:rsidRDefault="00FA3BB1" w:rsidP="00CE611F">
      <w:pPr>
        <w:spacing w:after="0" w:line="240" w:lineRule="auto"/>
        <w:jc w:val="center"/>
        <w:rPr>
          <w:rFonts w:eastAsiaTheme="minorHAnsi" w:cs="Times New Roman"/>
          <w:szCs w:val="24"/>
          <w:lang w:val="lv-LV"/>
        </w:rPr>
      </w:pPr>
      <w:r w:rsidRPr="00FA3BB1">
        <w:rPr>
          <w:rFonts w:eastAsiaTheme="minorHAnsi"/>
          <w:noProof/>
          <w:lang w:val="lv-LV" w:eastAsia="lv-LV"/>
        </w:rPr>
        <w:drawing>
          <wp:inline distT="0" distB="0" distL="0" distR="0" wp14:anchorId="7FA35D5B" wp14:editId="52729EC1">
            <wp:extent cx="5436535" cy="2352676"/>
            <wp:effectExtent l="0" t="0" r="12065" b="9525"/>
            <wp:docPr id="2273" name="Chart 2273">
              <a:extLst xmlns:a="http://schemas.openxmlformats.org/drawingml/2006/main">
                <a:ext uri="{FF2B5EF4-FFF2-40B4-BE49-F238E27FC236}">
                  <a16:creationId xmlns:a16="http://schemas.microsoft.com/office/drawing/2014/main" id="{7A096C3B-5DAB-43A5-A510-88C407E126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B48EB28" w14:textId="77777777"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 xml:space="preserve">SM 2021. gada budžeta sagatavošanas procesā pārskatīja ALN ieņēmumu prognozes un samazināja to plānu 2021., 2022. un 2023. gadam, ņemot vērā, ka pēc ārkārtējās situācijas ieviešanas ALN ieņēmumu iekasēšana strauji kritās un, veicot ALN ieņēmumu analīzi, bija redzams, ka 2020. gada piecos mēnešos faktiski iekasēto ALN ieņēmumu pieaugums pret iepriekšējo gadu bija 0% apmērā. Attiecīgi SM secināja, ka 2020. gada ieņēmumi būs 2019. gada līmenī, bet turpmākajos 3 gados gaidāms mērens ikgadējs ieņēmumu pieaugums, tāpēc likumā “Par vidēja termiņa budžeta ietvaru 2021., 2022. un 2023. gadam” ALN ieņēmumi tika plānoti 2021. gadam – 31 370 000 </w:t>
      </w:r>
      <w:r w:rsidRPr="00FA3BB1">
        <w:rPr>
          <w:rFonts w:eastAsiaTheme="minorHAnsi" w:cs="Times New Roman"/>
          <w:i/>
          <w:szCs w:val="24"/>
          <w:lang w:val="lv-LV"/>
        </w:rPr>
        <w:t>euro</w:t>
      </w:r>
      <w:r w:rsidRPr="00FA3BB1">
        <w:rPr>
          <w:rFonts w:eastAsiaTheme="minorHAnsi" w:cs="Times New Roman"/>
          <w:szCs w:val="24"/>
          <w:lang w:val="lv-LV"/>
        </w:rPr>
        <w:t xml:space="preserve">, 2022.gadam – 32 630 000 </w:t>
      </w:r>
      <w:r w:rsidRPr="00FA3BB1">
        <w:rPr>
          <w:rFonts w:eastAsiaTheme="minorHAnsi" w:cs="Times New Roman"/>
          <w:i/>
          <w:szCs w:val="24"/>
          <w:lang w:val="lv-LV"/>
        </w:rPr>
        <w:t>euro</w:t>
      </w:r>
      <w:r w:rsidRPr="00FA3BB1">
        <w:rPr>
          <w:rFonts w:eastAsiaTheme="minorHAnsi" w:cs="Times New Roman"/>
          <w:szCs w:val="24"/>
          <w:lang w:val="lv-LV"/>
        </w:rPr>
        <w:t xml:space="preserve">, 2023. gadam – 33 930 000 </w:t>
      </w:r>
      <w:r w:rsidRPr="00FA3BB1">
        <w:rPr>
          <w:rFonts w:eastAsiaTheme="minorHAnsi" w:cs="Times New Roman"/>
          <w:i/>
          <w:szCs w:val="24"/>
          <w:lang w:val="lv-LV"/>
        </w:rPr>
        <w:t>euro</w:t>
      </w:r>
      <w:r w:rsidRPr="00FA3BB1">
        <w:rPr>
          <w:rFonts w:eastAsiaTheme="minorHAnsi" w:cs="Times New Roman"/>
          <w:szCs w:val="24"/>
          <w:lang w:val="lv-LV"/>
        </w:rPr>
        <w:t>.</w:t>
      </w:r>
    </w:p>
    <w:p w14:paraId="07722551" w14:textId="55CD4FF2"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 xml:space="preserve">Attiecībā uz ALN ieņēmumu faktiskās izpildes nodrošināšanu SM ir sniegusi informāciju, ka ir plānota vidēja ātruma kontroles sistēmu ieviešana 5-8 posmos un šajās vietās paredzēts veikt arī ALN samaksas kontroli (plānots, ka 2021. gadā </w:t>
      </w:r>
      <w:r w:rsidR="00524893">
        <w:rPr>
          <w:rFonts w:eastAsiaTheme="minorHAnsi" w:cs="Times New Roman"/>
          <w:szCs w:val="24"/>
          <w:lang w:val="lv-LV"/>
        </w:rPr>
        <w:t>LVC</w:t>
      </w:r>
      <w:r w:rsidRPr="00FA3BB1">
        <w:rPr>
          <w:rFonts w:eastAsiaTheme="minorHAnsi" w:cs="Times New Roman"/>
          <w:szCs w:val="24"/>
          <w:lang w:val="lv-LV"/>
        </w:rPr>
        <w:t xml:space="preserve"> ieviesīs aptuveni 4 vidējā ātruma kontroles posmus). Sistēmu ieviešanai piešķirti 700 000 </w:t>
      </w:r>
      <w:r w:rsidRPr="00FA3BB1">
        <w:rPr>
          <w:rFonts w:eastAsiaTheme="minorHAnsi" w:cs="Times New Roman"/>
          <w:i/>
          <w:szCs w:val="24"/>
          <w:lang w:val="lv-LV"/>
        </w:rPr>
        <w:t>euro</w:t>
      </w:r>
      <w:r w:rsidRPr="00FA3BB1">
        <w:rPr>
          <w:rFonts w:eastAsiaTheme="minorHAnsi" w:cs="Times New Roman"/>
          <w:szCs w:val="24"/>
          <w:lang w:val="lv-LV"/>
        </w:rPr>
        <w:t xml:space="preserve"> no Latvijas Transportlīdzekļu apdrošinātāju biroja fonda līdzekļiem, sistēmas uzturēšana tiks finansēta no SM valsts budžeta programmas 23.00.00 “Valsts autoceļu fonds” līdzekļiem.</w:t>
      </w:r>
    </w:p>
    <w:p w14:paraId="410E485A" w14:textId="77777777"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 xml:space="preserve">Papildus LVC sadarbībā ar IeM strādās pie “ViedX” projekta, kur, izmantojot ceļu meteoroloģiskās stacijas, tiks veidots  videonovērošanas kameru tīkls, caur kuru būs iespējams jau 2021. gadā vismaz 3 vietās nodrošināt ALN samaksas kontroli. Šim mērķim nepieciešami 50 000 </w:t>
      </w:r>
      <w:r w:rsidRPr="00FA3BB1">
        <w:rPr>
          <w:rFonts w:eastAsiaTheme="minorHAnsi" w:cs="Times New Roman"/>
          <w:i/>
          <w:szCs w:val="24"/>
          <w:lang w:val="lv-LV"/>
        </w:rPr>
        <w:t>euro</w:t>
      </w:r>
      <w:r w:rsidRPr="00FA3BB1">
        <w:rPr>
          <w:rFonts w:eastAsiaTheme="minorHAnsi" w:cs="Times New Roman"/>
          <w:szCs w:val="24"/>
          <w:lang w:val="lv-LV"/>
        </w:rPr>
        <w:t>, kas tiks finansēti  no SM valsts budžeta programmas 23.00.00 “Valsts autoceļu fonds” līdzekļiem.</w:t>
      </w:r>
    </w:p>
    <w:p w14:paraId="5BFA79D0" w14:textId="77777777"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SM arī norāda, ka, pārņemot Eiropas parlamenta un Padomes 2019. gada 19. marta Direktīvas 2019/520 par ceļu lietotāju nodevu elektroniskās iekasēšanas sistēmu savstarpēju izmantojamību un informācijas par ceļu lietošanas maksu nesamaksāšanu pārrobežu apmaiņas veicināšanu ES prasības, uzlabosies informācijas par nodevas nemaksātājiem apmaiņa par ārzemēs reģistrētu transportlīdzekļu nodevas maksāšanas pārkāpumiem, un šī informācija uzlabos kontrolējošo institūciju, tajā skaitā VP iespējas piemērot un iekasēt sodus, tādā veidā palielinot ALN ieņēmumus. Ar Direktīvas pārņemšanu saistītie nodevas likuma grozījumi stāsies spēkā 2021. gada 19. oktobrī.</w:t>
      </w:r>
    </w:p>
    <w:p w14:paraId="33200797" w14:textId="77777777"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 xml:space="preserve">SM ir izteikusi arī ierosinājumu VID (muitai) izveidot automātisku ALN kontroles sistēmu. Pēc LVC provizoriskajiem aprēķiniem, šādas sistēmas aptuvenās izmaksas varētu būt  </w:t>
      </w:r>
      <w:r w:rsidRPr="00FA3BB1">
        <w:rPr>
          <w:rFonts w:eastAsiaTheme="minorHAnsi" w:cs="Times New Roman"/>
          <w:szCs w:val="24"/>
          <w:lang w:val="lv-LV"/>
        </w:rPr>
        <w:lastRenderedPageBreak/>
        <w:t xml:space="preserve">40 000 </w:t>
      </w:r>
      <w:r w:rsidRPr="00FA3BB1">
        <w:rPr>
          <w:rFonts w:eastAsiaTheme="minorHAnsi" w:cs="Times New Roman"/>
          <w:i/>
          <w:szCs w:val="24"/>
          <w:lang w:val="lv-LV"/>
        </w:rPr>
        <w:t>euro</w:t>
      </w:r>
      <w:r w:rsidRPr="00FA3BB1">
        <w:rPr>
          <w:rFonts w:eastAsiaTheme="minorHAnsi" w:cs="Times New Roman"/>
          <w:szCs w:val="24"/>
          <w:lang w:val="lv-LV"/>
        </w:rPr>
        <w:t xml:space="preserve">, bet šobrīd nav panākta vienošanās par šī jautājuma izpildi un finansējumu tā nodrošināšanai. </w:t>
      </w:r>
    </w:p>
    <w:p w14:paraId="6ECFFC53" w14:textId="77777777"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 xml:space="preserve">SM norāda, ka iepriekš minēto priekšlikumu ieviešana veicinās ALN ieņēmumu plāna izpildi. </w:t>
      </w:r>
    </w:p>
    <w:p w14:paraId="3C0FFF81" w14:textId="77FB7974"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 xml:space="preserve">Vienlaikus jānorāda, ka SM ar 2021. gada 2. jūlija vēstuli Nr. 15-01/2688 ir iesniegusi aktualizētās ALN ieņēmumu prognozes 2021. </w:t>
      </w:r>
      <w:r w:rsidRPr="00FA3BB1">
        <w:rPr>
          <w:rFonts w:eastAsiaTheme="minorHAnsi" w:cs="Times New Roman"/>
          <w:szCs w:val="24"/>
          <w:lang w:val="lv-LV"/>
        </w:rPr>
        <w:noBreakHyphen/>
        <w:t xml:space="preserve"> 2024. gadam, paredzot 2021. - 2023. gadam ALN ieņēmumu samazinājumu 1</w:t>
      </w:r>
      <w:r w:rsidR="00524893">
        <w:rPr>
          <w:rFonts w:eastAsiaTheme="minorHAnsi" w:cs="Times New Roman"/>
          <w:szCs w:val="24"/>
          <w:lang w:val="lv-LV"/>
        </w:rPr>
        <w:t>,0</w:t>
      </w:r>
      <w:r w:rsidRPr="00FA3BB1">
        <w:rPr>
          <w:rFonts w:eastAsiaTheme="minorHAnsi" w:cs="Times New Roman"/>
          <w:szCs w:val="24"/>
          <w:lang w:val="lv-LV"/>
        </w:rPr>
        <w:t xml:space="preserve"> milj. </w:t>
      </w:r>
      <w:r w:rsidRPr="00FA3BB1">
        <w:rPr>
          <w:rFonts w:eastAsiaTheme="minorHAnsi" w:cs="Times New Roman"/>
          <w:i/>
          <w:szCs w:val="24"/>
          <w:lang w:val="lv-LV"/>
        </w:rPr>
        <w:t>euro</w:t>
      </w:r>
      <w:r w:rsidRPr="00FA3BB1">
        <w:rPr>
          <w:rFonts w:eastAsiaTheme="minorHAnsi" w:cs="Times New Roman"/>
          <w:szCs w:val="24"/>
          <w:lang w:val="lv-LV"/>
        </w:rPr>
        <w:t xml:space="preserve"> apmērā ik gadu pret to ALN ieņēmumu plānu, kas paredzēts likumā “Par vidēja termiņa budžeta ietvaru 2021., 2022. un 2023. gadam”</w:t>
      </w:r>
      <w:r w:rsidR="00524893">
        <w:rPr>
          <w:rFonts w:eastAsiaTheme="minorHAnsi" w:cs="Times New Roman"/>
          <w:szCs w:val="24"/>
          <w:lang w:val="lv-LV"/>
        </w:rPr>
        <w:t xml:space="preserve"> (Tabula Nr. 2.3.4.)</w:t>
      </w:r>
      <w:r w:rsidRPr="00FA3BB1">
        <w:rPr>
          <w:rFonts w:eastAsiaTheme="minorHAnsi" w:cs="Times New Roman"/>
          <w:szCs w:val="24"/>
          <w:lang w:val="lv-LV"/>
        </w:rPr>
        <w:t>.</w:t>
      </w:r>
    </w:p>
    <w:p w14:paraId="4CC9BB60" w14:textId="62076BF9" w:rsidR="00FA3BB1" w:rsidRPr="00FA3BB1" w:rsidRDefault="00524893" w:rsidP="00FA3BB1">
      <w:pPr>
        <w:spacing w:line="240" w:lineRule="auto"/>
        <w:jc w:val="center"/>
        <w:rPr>
          <w:rFonts w:eastAsiaTheme="minorHAnsi" w:cs="Times New Roman"/>
          <w:b/>
          <w:bCs/>
          <w:sz w:val="22"/>
          <w:lang w:val="lv-LV"/>
        </w:rPr>
      </w:pPr>
      <w:r>
        <w:rPr>
          <w:rFonts w:eastAsiaTheme="minorHAnsi" w:cs="Times New Roman"/>
          <w:b/>
          <w:bCs/>
          <w:i/>
          <w:iCs/>
          <w:sz w:val="22"/>
          <w:lang w:val="lv-LV"/>
        </w:rPr>
        <w:t>2.3.4</w:t>
      </w:r>
      <w:r w:rsidR="00FA3BB1" w:rsidRPr="00FA3BB1">
        <w:rPr>
          <w:rFonts w:eastAsiaTheme="minorHAnsi" w:cs="Times New Roman"/>
          <w:b/>
          <w:bCs/>
          <w:i/>
          <w:iCs/>
          <w:sz w:val="22"/>
          <w:lang w:val="lv-LV"/>
        </w:rPr>
        <w:t>. tabula</w:t>
      </w:r>
      <w:r w:rsidR="00FA3BB1" w:rsidRPr="00FA3BB1">
        <w:rPr>
          <w:rFonts w:eastAsiaTheme="minorHAnsi" w:cs="Times New Roman"/>
          <w:b/>
          <w:bCs/>
          <w:sz w:val="22"/>
          <w:lang w:val="lv-LV"/>
        </w:rPr>
        <w:t xml:space="preserve"> ALN ieņēmumu plāns 2021. – 2024. gadam, </w:t>
      </w:r>
      <w:r w:rsidR="00FA3BB1" w:rsidRPr="00FA3BB1">
        <w:rPr>
          <w:rFonts w:eastAsiaTheme="minorHAnsi" w:cs="Times New Roman"/>
          <w:b/>
          <w:bCs/>
          <w:i/>
          <w:iCs/>
          <w:sz w:val="22"/>
          <w:lang w:val="lv-LV"/>
        </w:rPr>
        <w:t>euro</w:t>
      </w:r>
    </w:p>
    <w:tbl>
      <w:tblPr>
        <w:tblW w:w="9077" w:type="dxa"/>
        <w:jc w:val="center"/>
        <w:tblLook w:val="04A0" w:firstRow="1" w:lastRow="0" w:firstColumn="1" w:lastColumn="0" w:noHBand="0" w:noVBand="1"/>
      </w:tblPr>
      <w:tblGrid>
        <w:gridCol w:w="3957"/>
        <w:gridCol w:w="1280"/>
        <w:gridCol w:w="1280"/>
        <w:gridCol w:w="1280"/>
        <w:gridCol w:w="1280"/>
      </w:tblGrid>
      <w:tr w:rsidR="00FA3BB1" w:rsidRPr="00FA3BB1" w14:paraId="459924BD" w14:textId="77777777" w:rsidTr="00524893">
        <w:trPr>
          <w:trHeight w:val="290"/>
          <w:jc w:val="center"/>
        </w:trPr>
        <w:tc>
          <w:tcPr>
            <w:tcW w:w="395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72261E99" w14:textId="77777777" w:rsidR="00FA3BB1" w:rsidRPr="00FA3BB1" w:rsidRDefault="00FA3BB1" w:rsidP="00FA3BB1">
            <w:pPr>
              <w:spacing w:after="0" w:line="240" w:lineRule="auto"/>
              <w:jc w:val="center"/>
              <w:rPr>
                <w:rFonts w:eastAsia="Times New Roman" w:cs="Times New Roman"/>
                <w:b/>
                <w:bCs/>
                <w:color w:val="000000"/>
                <w:sz w:val="20"/>
                <w:szCs w:val="20"/>
                <w:lang w:val="lv-LV" w:eastAsia="lv-LV"/>
              </w:rPr>
            </w:pPr>
            <w:r w:rsidRPr="00FA3BB1">
              <w:rPr>
                <w:rFonts w:eastAsia="Times New Roman" w:cs="Times New Roman"/>
                <w:b/>
                <w:bCs/>
                <w:color w:val="000000"/>
                <w:sz w:val="20"/>
                <w:szCs w:val="20"/>
                <w:lang w:val="lv-LV" w:eastAsia="lv-LV"/>
              </w:rPr>
              <w:t>ALN ieņēmumu plāns</w:t>
            </w:r>
          </w:p>
        </w:tc>
        <w:tc>
          <w:tcPr>
            <w:tcW w:w="128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3B70D3C9" w14:textId="77777777" w:rsidR="00FA3BB1" w:rsidRPr="00FA3BB1" w:rsidRDefault="00FA3BB1" w:rsidP="00FA3BB1">
            <w:pPr>
              <w:spacing w:after="0" w:line="240" w:lineRule="auto"/>
              <w:jc w:val="center"/>
              <w:rPr>
                <w:rFonts w:eastAsia="Times New Roman" w:cs="Times New Roman"/>
                <w:b/>
                <w:bCs/>
                <w:color w:val="000000"/>
                <w:sz w:val="20"/>
                <w:szCs w:val="20"/>
                <w:lang w:val="lv-LV" w:eastAsia="lv-LV"/>
              </w:rPr>
            </w:pPr>
            <w:r w:rsidRPr="00FA3BB1">
              <w:rPr>
                <w:rFonts w:eastAsia="Times New Roman" w:cs="Times New Roman"/>
                <w:b/>
                <w:bCs/>
                <w:color w:val="000000"/>
                <w:sz w:val="20"/>
                <w:szCs w:val="20"/>
                <w:lang w:val="lv-LV" w:eastAsia="lv-LV"/>
              </w:rPr>
              <w:t>2021</w:t>
            </w:r>
          </w:p>
        </w:tc>
        <w:tc>
          <w:tcPr>
            <w:tcW w:w="128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727997C3" w14:textId="77777777" w:rsidR="00FA3BB1" w:rsidRPr="00FA3BB1" w:rsidRDefault="00FA3BB1" w:rsidP="00FA3BB1">
            <w:pPr>
              <w:spacing w:after="0" w:line="240" w:lineRule="auto"/>
              <w:jc w:val="center"/>
              <w:rPr>
                <w:rFonts w:eastAsia="Times New Roman" w:cs="Times New Roman"/>
                <w:b/>
                <w:bCs/>
                <w:color w:val="000000"/>
                <w:sz w:val="20"/>
                <w:szCs w:val="20"/>
                <w:lang w:val="lv-LV" w:eastAsia="lv-LV"/>
              </w:rPr>
            </w:pPr>
            <w:r w:rsidRPr="00FA3BB1">
              <w:rPr>
                <w:rFonts w:eastAsia="Times New Roman" w:cs="Times New Roman"/>
                <w:b/>
                <w:bCs/>
                <w:color w:val="000000"/>
                <w:sz w:val="20"/>
                <w:szCs w:val="20"/>
                <w:lang w:val="lv-LV" w:eastAsia="lv-LV"/>
              </w:rPr>
              <w:t>2022</w:t>
            </w:r>
          </w:p>
        </w:tc>
        <w:tc>
          <w:tcPr>
            <w:tcW w:w="128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3DC01A90" w14:textId="77777777" w:rsidR="00FA3BB1" w:rsidRPr="00FA3BB1" w:rsidRDefault="00FA3BB1" w:rsidP="00FA3BB1">
            <w:pPr>
              <w:spacing w:after="0" w:line="240" w:lineRule="auto"/>
              <w:jc w:val="center"/>
              <w:rPr>
                <w:rFonts w:eastAsia="Times New Roman" w:cs="Times New Roman"/>
                <w:b/>
                <w:bCs/>
                <w:color w:val="000000"/>
                <w:sz w:val="20"/>
                <w:szCs w:val="20"/>
                <w:lang w:val="lv-LV" w:eastAsia="lv-LV"/>
              </w:rPr>
            </w:pPr>
            <w:r w:rsidRPr="00FA3BB1">
              <w:rPr>
                <w:rFonts w:eastAsia="Times New Roman" w:cs="Times New Roman"/>
                <w:b/>
                <w:bCs/>
                <w:color w:val="000000"/>
                <w:sz w:val="20"/>
                <w:szCs w:val="20"/>
                <w:lang w:val="lv-LV" w:eastAsia="lv-LV"/>
              </w:rPr>
              <w:t>2023</w:t>
            </w:r>
          </w:p>
        </w:tc>
        <w:tc>
          <w:tcPr>
            <w:tcW w:w="128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0DC7D092" w14:textId="77777777" w:rsidR="00FA3BB1" w:rsidRPr="00FA3BB1" w:rsidRDefault="00FA3BB1" w:rsidP="00FA3BB1">
            <w:pPr>
              <w:spacing w:after="0" w:line="240" w:lineRule="auto"/>
              <w:jc w:val="center"/>
              <w:rPr>
                <w:rFonts w:eastAsia="Times New Roman" w:cs="Times New Roman"/>
                <w:b/>
                <w:bCs/>
                <w:color w:val="000000"/>
                <w:sz w:val="20"/>
                <w:szCs w:val="20"/>
                <w:lang w:val="lv-LV" w:eastAsia="lv-LV"/>
              </w:rPr>
            </w:pPr>
            <w:r w:rsidRPr="00FA3BB1">
              <w:rPr>
                <w:rFonts w:eastAsia="Times New Roman" w:cs="Times New Roman"/>
                <w:b/>
                <w:bCs/>
                <w:color w:val="000000"/>
                <w:sz w:val="20"/>
                <w:szCs w:val="20"/>
                <w:lang w:val="lv-LV" w:eastAsia="lv-LV"/>
              </w:rPr>
              <w:t>2024</w:t>
            </w:r>
          </w:p>
        </w:tc>
      </w:tr>
      <w:tr w:rsidR="00FA3BB1" w:rsidRPr="00FA3BB1" w14:paraId="7F451999" w14:textId="77777777" w:rsidTr="00FA3BB1">
        <w:trPr>
          <w:trHeight w:val="60"/>
          <w:jc w:val="center"/>
        </w:trPr>
        <w:tc>
          <w:tcPr>
            <w:tcW w:w="3957" w:type="dxa"/>
            <w:tcBorders>
              <w:top w:val="nil"/>
              <w:left w:val="single" w:sz="4" w:space="0" w:color="auto"/>
              <w:bottom w:val="single" w:sz="4" w:space="0" w:color="auto"/>
              <w:right w:val="single" w:sz="4" w:space="0" w:color="auto"/>
            </w:tcBorders>
            <w:shd w:val="clear" w:color="auto" w:fill="auto"/>
            <w:vAlign w:val="bottom"/>
            <w:hideMark/>
          </w:tcPr>
          <w:p w14:paraId="1F234D3D" w14:textId="77777777" w:rsidR="00FA3BB1" w:rsidRPr="00FA3BB1" w:rsidRDefault="00FA3BB1" w:rsidP="00FA3BB1">
            <w:pPr>
              <w:spacing w:after="0" w:line="240" w:lineRule="auto"/>
              <w:jc w:val="lef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Likumā “Par vidēja termiņa budžeta ietvaru 2021., 2022. un 2023. gadam”</w:t>
            </w:r>
          </w:p>
        </w:tc>
        <w:tc>
          <w:tcPr>
            <w:tcW w:w="1280" w:type="dxa"/>
            <w:tcBorders>
              <w:top w:val="nil"/>
              <w:left w:val="nil"/>
              <w:bottom w:val="single" w:sz="4" w:space="0" w:color="auto"/>
              <w:right w:val="single" w:sz="4" w:space="0" w:color="auto"/>
            </w:tcBorders>
            <w:shd w:val="clear" w:color="auto" w:fill="auto"/>
            <w:noWrap/>
            <w:vAlign w:val="center"/>
            <w:hideMark/>
          </w:tcPr>
          <w:p w14:paraId="2856EA30"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31 370 000</w:t>
            </w:r>
          </w:p>
        </w:tc>
        <w:tc>
          <w:tcPr>
            <w:tcW w:w="1280" w:type="dxa"/>
            <w:tcBorders>
              <w:top w:val="nil"/>
              <w:left w:val="nil"/>
              <w:bottom w:val="single" w:sz="4" w:space="0" w:color="auto"/>
              <w:right w:val="single" w:sz="4" w:space="0" w:color="auto"/>
            </w:tcBorders>
            <w:shd w:val="clear" w:color="auto" w:fill="auto"/>
            <w:noWrap/>
            <w:vAlign w:val="center"/>
            <w:hideMark/>
          </w:tcPr>
          <w:p w14:paraId="296302CA"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32 630 000</w:t>
            </w:r>
          </w:p>
        </w:tc>
        <w:tc>
          <w:tcPr>
            <w:tcW w:w="1280" w:type="dxa"/>
            <w:tcBorders>
              <w:top w:val="nil"/>
              <w:left w:val="nil"/>
              <w:bottom w:val="single" w:sz="4" w:space="0" w:color="auto"/>
              <w:right w:val="single" w:sz="4" w:space="0" w:color="auto"/>
            </w:tcBorders>
            <w:shd w:val="clear" w:color="auto" w:fill="auto"/>
            <w:noWrap/>
            <w:vAlign w:val="center"/>
            <w:hideMark/>
          </w:tcPr>
          <w:p w14:paraId="566EC092"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33 930 000</w:t>
            </w:r>
          </w:p>
        </w:tc>
        <w:tc>
          <w:tcPr>
            <w:tcW w:w="1280" w:type="dxa"/>
            <w:tcBorders>
              <w:top w:val="nil"/>
              <w:left w:val="nil"/>
              <w:bottom w:val="single" w:sz="4" w:space="0" w:color="auto"/>
              <w:right w:val="single" w:sz="4" w:space="0" w:color="auto"/>
            </w:tcBorders>
            <w:shd w:val="clear" w:color="auto" w:fill="auto"/>
            <w:noWrap/>
            <w:vAlign w:val="center"/>
            <w:hideMark/>
          </w:tcPr>
          <w:p w14:paraId="71DE7BED"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 </w:t>
            </w:r>
          </w:p>
        </w:tc>
      </w:tr>
      <w:tr w:rsidR="00FA3BB1" w:rsidRPr="00FA3BB1" w14:paraId="7417FD27" w14:textId="77777777" w:rsidTr="00CE611F">
        <w:trPr>
          <w:trHeight w:val="73"/>
          <w:jc w:val="center"/>
        </w:trPr>
        <w:tc>
          <w:tcPr>
            <w:tcW w:w="3957" w:type="dxa"/>
            <w:tcBorders>
              <w:top w:val="nil"/>
              <w:left w:val="single" w:sz="4" w:space="0" w:color="auto"/>
              <w:bottom w:val="single" w:sz="4" w:space="0" w:color="auto"/>
              <w:right w:val="single" w:sz="4" w:space="0" w:color="auto"/>
            </w:tcBorders>
            <w:shd w:val="clear" w:color="auto" w:fill="auto"/>
            <w:vAlign w:val="bottom"/>
            <w:hideMark/>
          </w:tcPr>
          <w:p w14:paraId="18F3EF02" w14:textId="77777777" w:rsidR="00FA3BB1" w:rsidRPr="00FA3BB1" w:rsidRDefault="00FA3BB1" w:rsidP="00FA3BB1">
            <w:pPr>
              <w:spacing w:after="0" w:line="240" w:lineRule="auto"/>
              <w:jc w:val="lef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SM aktualizētās prognozes</w:t>
            </w:r>
          </w:p>
        </w:tc>
        <w:tc>
          <w:tcPr>
            <w:tcW w:w="1280" w:type="dxa"/>
            <w:tcBorders>
              <w:top w:val="nil"/>
              <w:left w:val="nil"/>
              <w:bottom w:val="single" w:sz="4" w:space="0" w:color="auto"/>
              <w:right w:val="single" w:sz="4" w:space="0" w:color="auto"/>
            </w:tcBorders>
            <w:shd w:val="clear" w:color="auto" w:fill="auto"/>
            <w:noWrap/>
            <w:vAlign w:val="center"/>
            <w:hideMark/>
          </w:tcPr>
          <w:p w14:paraId="6124CCE8"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30 370 000</w:t>
            </w:r>
          </w:p>
        </w:tc>
        <w:tc>
          <w:tcPr>
            <w:tcW w:w="1280" w:type="dxa"/>
            <w:tcBorders>
              <w:top w:val="nil"/>
              <w:left w:val="nil"/>
              <w:bottom w:val="single" w:sz="4" w:space="0" w:color="auto"/>
              <w:right w:val="single" w:sz="4" w:space="0" w:color="auto"/>
            </w:tcBorders>
            <w:shd w:val="clear" w:color="auto" w:fill="auto"/>
            <w:noWrap/>
            <w:vAlign w:val="center"/>
            <w:hideMark/>
          </w:tcPr>
          <w:p w14:paraId="5BD5CE6D"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31 580 000</w:t>
            </w:r>
          </w:p>
        </w:tc>
        <w:tc>
          <w:tcPr>
            <w:tcW w:w="1280" w:type="dxa"/>
            <w:tcBorders>
              <w:top w:val="nil"/>
              <w:left w:val="nil"/>
              <w:bottom w:val="single" w:sz="4" w:space="0" w:color="auto"/>
              <w:right w:val="single" w:sz="4" w:space="0" w:color="auto"/>
            </w:tcBorders>
            <w:shd w:val="clear" w:color="auto" w:fill="auto"/>
            <w:noWrap/>
            <w:vAlign w:val="center"/>
            <w:hideMark/>
          </w:tcPr>
          <w:p w14:paraId="345D05E3"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32 850 000</w:t>
            </w:r>
          </w:p>
        </w:tc>
        <w:tc>
          <w:tcPr>
            <w:tcW w:w="1280" w:type="dxa"/>
            <w:tcBorders>
              <w:top w:val="nil"/>
              <w:left w:val="nil"/>
              <w:bottom w:val="single" w:sz="4" w:space="0" w:color="auto"/>
              <w:right w:val="single" w:sz="4" w:space="0" w:color="auto"/>
            </w:tcBorders>
            <w:shd w:val="clear" w:color="auto" w:fill="auto"/>
            <w:noWrap/>
            <w:vAlign w:val="center"/>
            <w:hideMark/>
          </w:tcPr>
          <w:p w14:paraId="6FB7AA95" w14:textId="77777777" w:rsidR="00FA3BB1" w:rsidRPr="00FA3BB1" w:rsidRDefault="00FA3BB1" w:rsidP="00FA3BB1">
            <w:pPr>
              <w:spacing w:after="0" w:line="240" w:lineRule="auto"/>
              <w:jc w:val="right"/>
              <w:rPr>
                <w:rFonts w:eastAsia="Times New Roman" w:cs="Times New Roman"/>
                <w:color w:val="000000"/>
                <w:sz w:val="20"/>
                <w:szCs w:val="20"/>
                <w:lang w:val="lv-LV" w:eastAsia="lv-LV"/>
              </w:rPr>
            </w:pPr>
            <w:r w:rsidRPr="00FA3BB1">
              <w:rPr>
                <w:rFonts w:eastAsia="Times New Roman" w:cs="Times New Roman"/>
                <w:color w:val="000000"/>
                <w:sz w:val="20"/>
                <w:szCs w:val="20"/>
                <w:lang w:val="lv-LV" w:eastAsia="lv-LV"/>
              </w:rPr>
              <w:t>34 160 000</w:t>
            </w:r>
          </w:p>
        </w:tc>
      </w:tr>
      <w:tr w:rsidR="00FA3BB1" w:rsidRPr="00FA3BB1" w14:paraId="2E462CED" w14:textId="77777777" w:rsidTr="00CE611F">
        <w:trPr>
          <w:trHeight w:val="119"/>
          <w:jc w:val="center"/>
        </w:trPr>
        <w:tc>
          <w:tcPr>
            <w:tcW w:w="3957" w:type="dxa"/>
            <w:tcBorders>
              <w:top w:val="nil"/>
              <w:left w:val="single" w:sz="4" w:space="0" w:color="auto"/>
              <w:bottom w:val="single" w:sz="4" w:space="0" w:color="auto"/>
              <w:right w:val="single" w:sz="4" w:space="0" w:color="auto"/>
            </w:tcBorders>
            <w:shd w:val="clear" w:color="auto" w:fill="auto"/>
            <w:vAlign w:val="bottom"/>
            <w:hideMark/>
          </w:tcPr>
          <w:p w14:paraId="5757B814" w14:textId="77777777" w:rsidR="00FA3BB1" w:rsidRPr="00FA3BB1" w:rsidRDefault="00FA3BB1" w:rsidP="00FA3BB1">
            <w:pPr>
              <w:spacing w:after="0" w:line="240" w:lineRule="auto"/>
              <w:jc w:val="right"/>
              <w:rPr>
                <w:rFonts w:eastAsia="Times New Roman" w:cs="Times New Roman"/>
                <w:i/>
                <w:iCs/>
                <w:color w:val="000000"/>
                <w:sz w:val="20"/>
                <w:szCs w:val="20"/>
                <w:lang w:val="lv-LV" w:eastAsia="lv-LV"/>
              </w:rPr>
            </w:pPr>
            <w:r w:rsidRPr="00FA3BB1">
              <w:rPr>
                <w:rFonts w:eastAsia="Times New Roman" w:cs="Times New Roman"/>
                <w:i/>
                <w:iCs/>
                <w:color w:val="000000"/>
                <w:sz w:val="20"/>
                <w:szCs w:val="20"/>
                <w:lang w:val="lv-LV" w:eastAsia="lv-LV"/>
              </w:rPr>
              <w:t>Izmaiņas</w:t>
            </w:r>
          </w:p>
        </w:tc>
        <w:tc>
          <w:tcPr>
            <w:tcW w:w="1280" w:type="dxa"/>
            <w:tcBorders>
              <w:top w:val="nil"/>
              <w:left w:val="nil"/>
              <w:bottom w:val="single" w:sz="4" w:space="0" w:color="auto"/>
              <w:right w:val="single" w:sz="4" w:space="0" w:color="auto"/>
            </w:tcBorders>
            <w:shd w:val="clear" w:color="auto" w:fill="auto"/>
            <w:noWrap/>
            <w:vAlign w:val="center"/>
            <w:hideMark/>
          </w:tcPr>
          <w:p w14:paraId="5B3DBB4B" w14:textId="77777777" w:rsidR="00FA3BB1" w:rsidRPr="00FA3BB1" w:rsidRDefault="00FA3BB1" w:rsidP="00FA3BB1">
            <w:pPr>
              <w:spacing w:after="0" w:line="240" w:lineRule="auto"/>
              <w:jc w:val="right"/>
              <w:rPr>
                <w:rFonts w:eastAsia="Times New Roman" w:cs="Times New Roman"/>
                <w:i/>
                <w:iCs/>
                <w:color w:val="000000"/>
                <w:sz w:val="20"/>
                <w:szCs w:val="20"/>
                <w:lang w:val="lv-LV" w:eastAsia="lv-LV"/>
              </w:rPr>
            </w:pPr>
            <w:r w:rsidRPr="00FA3BB1">
              <w:rPr>
                <w:rFonts w:eastAsia="Times New Roman" w:cs="Times New Roman"/>
                <w:i/>
                <w:iCs/>
                <w:color w:val="000000"/>
                <w:sz w:val="20"/>
                <w:szCs w:val="20"/>
                <w:lang w:val="lv-LV" w:eastAsia="lv-LV"/>
              </w:rPr>
              <w:t>-1 000 000</w:t>
            </w:r>
          </w:p>
        </w:tc>
        <w:tc>
          <w:tcPr>
            <w:tcW w:w="1280" w:type="dxa"/>
            <w:tcBorders>
              <w:top w:val="nil"/>
              <w:left w:val="nil"/>
              <w:bottom w:val="single" w:sz="4" w:space="0" w:color="auto"/>
              <w:right w:val="single" w:sz="4" w:space="0" w:color="auto"/>
            </w:tcBorders>
            <w:shd w:val="clear" w:color="auto" w:fill="auto"/>
            <w:noWrap/>
            <w:vAlign w:val="center"/>
            <w:hideMark/>
          </w:tcPr>
          <w:p w14:paraId="6A4718E4" w14:textId="77777777" w:rsidR="00FA3BB1" w:rsidRPr="00FA3BB1" w:rsidRDefault="00FA3BB1" w:rsidP="00FA3BB1">
            <w:pPr>
              <w:spacing w:after="0" w:line="240" w:lineRule="auto"/>
              <w:jc w:val="right"/>
              <w:rPr>
                <w:rFonts w:eastAsia="Times New Roman" w:cs="Times New Roman"/>
                <w:i/>
                <w:iCs/>
                <w:color w:val="000000"/>
                <w:sz w:val="20"/>
                <w:szCs w:val="20"/>
                <w:lang w:val="lv-LV" w:eastAsia="lv-LV"/>
              </w:rPr>
            </w:pPr>
            <w:r w:rsidRPr="00FA3BB1">
              <w:rPr>
                <w:rFonts w:eastAsia="Times New Roman" w:cs="Times New Roman"/>
                <w:i/>
                <w:iCs/>
                <w:color w:val="000000"/>
                <w:sz w:val="20"/>
                <w:szCs w:val="20"/>
                <w:lang w:val="lv-LV" w:eastAsia="lv-LV"/>
              </w:rPr>
              <w:t>-1 050 000</w:t>
            </w:r>
          </w:p>
        </w:tc>
        <w:tc>
          <w:tcPr>
            <w:tcW w:w="1280" w:type="dxa"/>
            <w:tcBorders>
              <w:top w:val="nil"/>
              <w:left w:val="nil"/>
              <w:bottom w:val="single" w:sz="4" w:space="0" w:color="auto"/>
              <w:right w:val="single" w:sz="4" w:space="0" w:color="auto"/>
            </w:tcBorders>
            <w:shd w:val="clear" w:color="auto" w:fill="auto"/>
            <w:noWrap/>
            <w:vAlign w:val="center"/>
            <w:hideMark/>
          </w:tcPr>
          <w:p w14:paraId="4492CB34" w14:textId="77777777" w:rsidR="00FA3BB1" w:rsidRPr="00FA3BB1" w:rsidRDefault="00FA3BB1" w:rsidP="00FA3BB1">
            <w:pPr>
              <w:spacing w:after="0" w:line="240" w:lineRule="auto"/>
              <w:jc w:val="right"/>
              <w:rPr>
                <w:rFonts w:eastAsia="Times New Roman" w:cs="Times New Roman"/>
                <w:i/>
                <w:iCs/>
                <w:color w:val="000000"/>
                <w:sz w:val="20"/>
                <w:szCs w:val="20"/>
                <w:lang w:val="lv-LV" w:eastAsia="lv-LV"/>
              </w:rPr>
            </w:pPr>
            <w:r w:rsidRPr="00FA3BB1">
              <w:rPr>
                <w:rFonts w:eastAsia="Times New Roman" w:cs="Times New Roman"/>
                <w:i/>
                <w:iCs/>
                <w:color w:val="000000"/>
                <w:sz w:val="20"/>
                <w:szCs w:val="20"/>
                <w:lang w:val="lv-LV" w:eastAsia="lv-LV"/>
              </w:rPr>
              <w:t>-1 080 000</w:t>
            </w:r>
          </w:p>
        </w:tc>
        <w:tc>
          <w:tcPr>
            <w:tcW w:w="1280" w:type="dxa"/>
            <w:tcBorders>
              <w:top w:val="nil"/>
              <w:left w:val="nil"/>
              <w:bottom w:val="single" w:sz="4" w:space="0" w:color="auto"/>
              <w:right w:val="single" w:sz="4" w:space="0" w:color="auto"/>
            </w:tcBorders>
            <w:shd w:val="clear" w:color="auto" w:fill="auto"/>
            <w:noWrap/>
            <w:vAlign w:val="center"/>
            <w:hideMark/>
          </w:tcPr>
          <w:p w14:paraId="4E8A64B4" w14:textId="77777777" w:rsidR="00FA3BB1" w:rsidRPr="00FA3BB1" w:rsidRDefault="00FA3BB1" w:rsidP="00FA3BB1">
            <w:pPr>
              <w:spacing w:after="0" w:line="240" w:lineRule="auto"/>
              <w:jc w:val="right"/>
              <w:rPr>
                <w:rFonts w:eastAsia="Times New Roman" w:cs="Times New Roman"/>
                <w:i/>
                <w:iCs/>
                <w:color w:val="000000"/>
                <w:sz w:val="20"/>
                <w:szCs w:val="20"/>
                <w:lang w:val="lv-LV" w:eastAsia="lv-LV"/>
              </w:rPr>
            </w:pPr>
            <w:r w:rsidRPr="00FA3BB1">
              <w:rPr>
                <w:rFonts w:eastAsia="Times New Roman" w:cs="Times New Roman"/>
                <w:i/>
                <w:iCs/>
                <w:color w:val="000000"/>
                <w:sz w:val="20"/>
                <w:szCs w:val="20"/>
                <w:lang w:val="lv-LV" w:eastAsia="lv-LV"/>
              </w:rPr>
              <w:t> </w:t>
            </w:r>
          </w:p>
        </w:tc>
      </w:tr>
    </w:tbl>
    <w:p w14:paraId="14F53CB9" w14:textId="1BDEC445" w:rsidR="00DB4A03" w:rsidRPr="00CE611F" w:rsidRDefault="00DB4A03" w:rsidP="00FA3BB1">
      <w:pPr>
        <w:spacing w:before="120"/>
        <w:rPr>
          <w:rFonts w:eastAsiaTheme="minorHAnsi"/>
          <w:b/>
          <w:bCs/>
          <w:sz w:val="8"/>
          <w:szCs w:val="6"/>
          <w:lang w:val="lv-LV"/>
        </w:rPr>
      </w:pPr>
    </w:p>
    <w:p w14:paraId="1ECC58E4" w14:textId="77777777" w:rsidR="00FA3BB1" w:rsidRPr="00FA3BB1" w:rsidRDefault="00FA3BB1" w:rsidP="00FA3BB1">
      <w:pPr>
        <w:spacing w:before="120"/>
        <w:rPr>
          <w:rFonts w:eastAsiaTheme="minorHAnsi"/>
          <w:b/>
          <w:bCs/>
          <w:lang w:val="lv-LV"/>
        </w:rPr>
      </w:pPr>
      <w:r w:rsidRPr="00FA3BB1">
        <w:rPr>
          <w:rFonts w:eastAsiaTheme="minorHAnsi"/>
          <w:b/>
          <w:bCs/>
          <w:lang w:val="lv-LV"/>
        </w:rPr>
        <w:t>SM - Par izmaiņām Valsts elektronisko sakaru pakalpojumu centra pakalpojumu finansēšanas kārtībā</w:t>
      </w:r>
    </w:p>
    <w:p w14:paraId="207AE72A" w14:textId="77777777" w:rsidR="00FA3BB1" w:rsidRPr="00FA3BB1" w:rsidRDefault="00FA3BB1" w:rsidP="00524893">
      <w:pPr>
        <w:spacing w:before="120"/>
        <w:ind w:firstLine="720"/>
        <w:rPr>
          <w:rFonts w:eastAsiaTheme="minorHAnsi" w:cs="Times New Roman"/>
          <w:szCs w:val="24"/>
          <w:lang w:val="lv-LV"/>
        </w:rPr>
      </w:pPr>
      <w:r w:rsidRPr="00FA3BB1">
        <w:rPr>
          <w:rFonts w:eastAsiaTheme="minorHAnsi" w:cs="Times New Roman"/>
          <w:szCs w:val="24"/>
          <w:lang w:val="lv-LV"/>
        </w:rPr>
        <w:t>Attiecībā uz valsts informācijas sistēmu izvietošanu un uzturēšanu Valsts elektronisko sakaru pakalpojumu centrā saskaņā ar MK 2018. gada 6. februāra instrukcijas Nr. 1 “Valsts elektronisko sakaru pakalpojumu centra nodrošināšanas kārtība” 11.1. apakšpunktu ir paredzēts, ka situācijā, ja centra lietotājs ir valsts budžeta iestāde, centra pakalpojumu izmaksas sedz no SM budžeta līdzekļiem, kas normatīvajos aktos noteiktajā kārtībā pārdalīti no attiecīgās valsts budžeta iestādes. Ņemot vērā minēto, līdzekļi šī punkta izpildei no attiecīgajām ministrijām tiek novirzīti SM vai nu ar savstarpējo valsts budžeta transfertu saskaņojumiem vai arī līdzekļu pārdalēm budžeta sagatavošanas procesā, kas ir administratīvi laikietilpīgs process.</w:t>
      </w:r>
    </w:p>
    <w:p w14:paraId="774722FD" w14:textId="16303349" w:rsidR="00105C87" w:rsidRPr="00B84B1E" w:rsidRDefault="00FA3BB1" w:rsidP="002C24FA">
      <w:pPr>
        <w:spacing w:before="120"/>
        <w:ind w:firstLine="720"/>
        <w:rPr>
          <w:rFonts w:eastAsiaTheme="minorHAnsi" w:cs="Times New Roman"/>
          <w:szCs w:val="24"/>
          <w:lang w:val="lv-LV"/>
        </w:rPr>
      </w:pPr>
      <w:r w:rsidRPr="00FA3BB1">
        <w:rPr>
          <w:rFonts w:eastAsiaTheme="minorHAnsi" w:cs="Times New Roman"/>
          <w:szCs w:val="24"/>
          <w:lang w:val="lv-LV"/>
        </w:rPr>
        <w:t>SM ir izteikusi priekšlikumu, ka administratīvā sloga mazināšanai nepieciešams noteikt, ka situācijā, ja centra lietotājs ir valsts budžeta iestāde, centra pakalpojumu izmaksas sedz no attiecīgās budžeta iestādes līdzekļiem, nei</w:t>
      </w:r>
      <w:r w:rsidR="00B84B1E">
        <w:rPr>
          <w:rFonts w:eastAsiaTheme="minorHAnsi" w:cs="Times New Roman"/>
          <w:szCs w:val="24"/>
          <w:lang w:val="lv-LV"/>
        </w:rPr>
        <w:t>esaistot finansējuma apritē SM.</w:t>
      </w:r>
    </w:p>
    <w:p w14:paraId="5C937784" w14:textId="30B4D0BC" w:rsidR="00FA3BB1" w:rsidRPr="00FA3BB1" w:rsidRDefault="00FB6188" w:rsidP="00FA3BB1">
      <w:pPr>
        <w:spacing w:line="240" w:lineRule="auto"/>
        <w:jc w:val="center"/>
        <w:rPr>
          <w:rFonts w:eastAsiaTheme="minorHAnsi" w:cs="Times New Roman"/>
          <w:b/>
          <w:bCs/>
          <w:sz w:val="22"/>
          <w:lang w:val="lv-LV"/>
        </w:rPr>
      </w:pPr>
      <w:r>
        <w:rPr>
          <w:rFonts w:eastAsiaTheme="minorHAnsi" w:cs="Times New Roman"/>
          <w:b/>
          <w:bCs/>
          <w:i/>
          <w:iCs/>
          <w:sz w:val="22"/>
          <w:lang w:val="lv-LV"/>
        </w:rPr>
        <w:t>2.3.3</w:t>
      </w:r>
      <w:r w:rsidR="00FA3BB1" w:rsidRPr="00FA3BB1">
        <w:rPr>
          <w:rFonts w:eastAsiaTheme="minorHAnsi" w:cs="Times New Roman"/>
          <w:b/>
          <w:bCs/>
          <w:i/>
          <w:iCs/>
          <w:sz w:val="22"/>
          <w:lang w:val="lv-LV"/>
        </w:rPr>
        <w:t>. attēls</w:t>
      </w:r>
      <w:r w:rsidR="00FA3BB1" w:rsidRPr="00FA3BB1">
        <w:rPr>
          <w:rFonts w:eastAsiaTheme="minorHAnsi" w:cs="Times New Roman"/>
          <w:b/>
          <w:bCs/>
          <w:sz w:val="22"/>
          <w:lang w:val="lv-LV"/>
        </w:rPr>
        <w:t xml:space="preserve"> SM priekšlikums VESPC pakalpojuma apmaksas izmaiņām</w:t>
      </w:r>
    </w:p>
    <w:p w14:paraId="205CD8C0" w14:textId="77777777" w:rsidR="00FA3BB1" w:rsidRPr="00FA3BB1" w:rsidRDefault="00FA3BB1" w:rsidP="00FA3BB1">
      <w:pPr>
        <w:spacing w:after="0" w:line="240" w:lineRule="auto"/>
        <w:rPr>
          <w:rFonts w:eastAsiaTheme="minorHAnsi" w:cs="Times New Roman"/>
          <w:szCs w:val="24"/>
          <w:lang w:val="lv-LV"/>
        </w:rPr>
      </w:pPr>
      <w:r w:rsidRPr="00FA3BB1">
        <w:rPr>
          <w:rFonts w:eastAsiaTheme="minorHAnsi"/>
          <w:noProof/>
          <w:lang w:val="lv-LV" w:eastAsia="lv-LV"/>
        </w:rPr>
        <w:drawing>
          <wp:inline distT="0" distB="0" distL="0" distR="0" wp14:anchorId="1CAF85DA" wp14:editId="14AEC22E">
            <wp:extent cx="5760085" cy="2375535"/>
            <wp:effectExtent l="0" t="0" r="31115" b="24765"/>
            <wp:docPr id="2274" name="Diagram 2274">
              <a:extLst xmlns:a="http://schemas.openxmlformats.org/drawingml/2006/main">
                <a:ext uri="{FF2B5EF4-FFF2-40B4-BE49-F238E27FC236}">
                  <a16:creationId xmlns:a16="http://schemas.microsoft.com/office/drawing/2014/main" id="{F9937786-89D1-48A1-B14C-6B7F3575C60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4F3F067" w14:textId="77777777" w:rsidR="00FA3BB1" w:rsidRPr="00FA3BB1" w:rsidRDefault="00FA3BB1" w:rsidP="00FA3BB1">
      <w:pPr>
        <w:spacing w:after="0" w:line="240" w:lineRule="auto"/>
        <w:rPr>
          <w:rFonts w:eastAsiaTheme="minorHAnsi" w:cs="Times New Roman"/>
          <w:szCs w:val="24"/>
          <w:lang w:val="lv-LV"/>
        </w:rPr>
      </w:pPr>
    </w:p>
    <w:p w14:paraId="3D5A712A" w14:textId="49F41D9C" w:rsidR="00FA3BB1" w:rsidRPr="00FA3BB1" w:rsidRDefault="00FA3BB1" w:rsidP="00FB6188">
      <w:pPr>
        <w:spacing w:before="120"/>
        <w:ind w:firstLine="720"/>
        <w:rPr>
          <w:rFonts w:eastAsiaTheme="minorHAnsi" w:cs="Times New Roman"/>
          <w:szCs w:val="24"/>
          <w:lang w:val="lv-LV"/>
        </w:rPr>
      </w:pPr>
      <w:r w:rsidRPr="00FA3BB1">
        <w:rPr>
          <w:rFonts w:eastAsiaTheme="minorHAnsi" w:cs="Times New Roman"/>
          <w:szCs w:val="24"/>
          <w:lang w:val="lv-LV"/>
        </w:rPr>
        <w:lastRenderedPageBreak/>
        <w:t xml:space="preserve">Kā norādīts </w:t>
      </w:r>
      <w:r w:rsidR="00FB6188">
        <w:rPr>
          <w:rFonts w:eastAsiaTheme="minorHAnsi" w:cs="Times New Roman"/>
          <w:szCs w:val="24"/>
          <w:lang w:val="lv-LV"/>
        </w:rPr>
        <w:t>Attēlā Nr. 2.3.3.</w:t>
      </w:r>
      <w:r w:rsidRPr="00FA3BB1">
        <w:rPr>
          <w:rFonts w:eastAsiaTheme="minorHAnsi" w:cs="Times New Roman"/>
          <w:szCs w:val="24"/>
          <w:lang w:val="lv-LV"/>
        </w:rPr>
        <w:t>, minētā izpildei nepieciešams veikt grozījumus MK 2018. gada 6. februāra instrukcijā Nr. 1 “Valsts elektronisko sakaru pakalpojumu centra nodrošināšanas kārtība”.</w:t>
      </w:r>
    </w:p>
    <w:p w14:paraId="51B4389D" w14:textId="64761460" w:rsidR="00FA3BB1" w:rsidRPr="00FA3BB1" w:rsidRDefault="00FA3BB1" w:rsidP="00FB6188">
      <w:pPr>
        <w:spacing w:before="120"/>
        <w:ind w:firstLine="720"/>
        <w:rPr>
          <w:rFonts w:eastAsiaTheme="minorHAnsi" w:cs="Times New Roman"/>
          <w:szCs w:val="24"/>
          <w:lang w:val="lv-LV"/>
        </w:rPr>
      </w:pPr>
      <w:r w:rsidRPr="00FA3BB1">
        <w:rPr>
          <w:rFonts w:eastAsiaTheme="minorHAnsi" w:cs="Times New Roman"/>
          <w:szCs w:val="24"/>
          <w:lang w:val="lv-LV"/>
        </w:rPr>
        <w:t xml:space="preserve">SM sniedz informāciju, ka, lai turpinātu nodrošināt deleģēšanas līguma, kas 2019. gada 12. augustā noslēgts starp SM un </w:t>
      </w:r>
      <w:r w:rsidR="00FB6188">
        <w:rPr>
          <w:rFonts w:eastAsiaTheme="minorHAnsi" w:cs="Times New Roman"/>
          <w:szCs w:val="24"/>
          <w:lang w:val="lv-LV"/>
        </w:rPr>
        <w:t>LVRTC</w:t>
      </w:r>
      <w:r w:rsidRPr="00FA3BB1">
        <w:rPr>
          <w:rFonts w:eastAsiaTheme="minorHAnsi" w:cs="Times New Roman"/>
          <w:szCs w:val="24"/>
          <w:lang w:val="lv-LV"/>
        </w:rPr>
        <w:t xml:space="preserve"> nosacījumu atbilstību Valsts pārvaldes iekārtas likumam un nodrošinātu SM pilnīgu informāciju par valsts elektronisko sakaru pakalpojumu centra ietvaros sniegtajiem pakalpojumiem, to saņēmējiem un sniegto pakalpojumu apmaksu, tiks turpināta deleģēšanas līgumā noteikto pārskatu un regulāro atskaišu, kā arī visu noslēgto pakalpojumu līgumu iesniegšana SM. Papildus SM arī norāda, ka turpmāko finansējuma aprites organizēšanu </w:t>
      </w:r>
      <w:r w:rsidR="00FB6188">
        <w:rPr>
          <w:rFonts w:eastAsiaTheme="minorHAnsi" w:cs="Times New Roman"/>
          <w:szCs w:val="24"/>
          <w:lang w:val="lv-LV"/>
        </w:rPr>
        <w:t>LVRTC</w:t>
      </w:r>
      <w:r w:rsidRPr="00FA3BB1">
        <w:rPr>
          <w:rFonts w:eastAsiaTheme="minorHAnsi" w:cs="Times New Roman"/>
          <w:szCs w:val="24"/>
          <w:lang w:val="lv-LV"/>
        </w:rPr>
        <w:t xml:space="preserve"> nodrošinās savu administratīvo resursu ietvaros.</w:t>
      </w:r>
    </w:p>
    <w:p w14:paraId="09ECCF82" w14:textId="77777777" w:rsidR="00FA3BB1" w:rsidRPr="00FA3BB1" w:rsidRDefault="00FA3BB1" w:rsidP="00FA3BB1">
      <w:pPr>
        <w:spacing w:before="120"/>
        <w:jc w:val="left"/>
        <w:rPr>
          <w:rFonts w:eastAsiaTheme="minorHAnsi"/>
          <w:b/>
          <w:bCs/>
          <w:lang w:val="lv-LV"/>
        </w:rPr>
      </w:pPr>
      <w:r w:rsidRPr="00FA3BB1">
        <w:rPr>
          <w:rFonts w:eastAsiaTheme="minorHAnsi"/>
          <w:b/>
          <w:bCs/>
          <w:lang w:val="lv-LV"/>
        </w:rPr>
        <w:t>VARAM – VVD administrējamās valsts nodevas</w:t>
      </w:r>
    </w:p>
    <w:p w14:paraId="5CE153FD" w14:textId="77777777" w:rsidR="00FA3BB1" w:rsidRPr="00FA3BB1" w:rsidRDefault="00FA3BB1" w:rsidP="00FB6188">
      <w:pPr>
        <w:ind w:firstLine="720"/>
        <w:rPr>
          <w:rFonts w:eastAsiaTheme="minorHAnsi" w:cs="Times New Roman"/>
          <w:szCs w:val="24"/>
          <w:lang w:val="lv-LV"/>
        </w:rPr>
      </w:pPr>
      <w:r w:rsidRPr="00FA3BB1">
        <w:rPr>
          <w:rFonts w:eastAsiaTheme="minorHAnsi" w:cs="Times New Roman"/>
          <w:szCs w:val="24"/>
          <w:lang w:val="lv-LV"/>
        </w:rPr>
        <w:t>VARAM sadarbībā ar VVD plāno veikt grozījumus normatīvajos aktos, kas noteic VVD administrējamo valsts nodevu apmēru un maksāšanas kārtību. Darbs pie grozījumu izstrādes uzsākts 2021. gada aprīlī un tiek plānots, ka grozījumi stāsies spēkā 2022. gada 1. janvārī.</w:t>
      </w:r>
    </w:p>
    <w:p w14:paraId="3CE27536" w14:textId="6D0C344D" w:rsidR="00FA3BB1" w:rsidRPr="00FA3BB1" w:rsidRDefault="00FA3BB1" w:rsidP="00FB6188">
      <w:pPr>
        <w:ind w:firstLine="720"/>
        <w:rPr>
          <w:rFonts w:eastAsiaTheme="minorHAnsi" w:cs="Times New Roman"/>
          <w:szCs w:val="24"/>
          <w:lang w:val="lv-LV"/>
        </w:rPr>
      </w:pPr>
      <w:r w:rsidRPr="00FA3BB1">
        <w:rPr>
          <w:rFonts w:eastAsiaTheme="minorHAnsi" w:cs="Times New Roman"/>
          <w:szCs w:val="24"/>
          <w:lang w:val="lv-LV"/>
        </w:rPr>
        <w:t>VARAM nodevu pārskatīšanu pamato ar to, ka tā nav veikta no 2010./2011. gada, ir pieaugušas uzraudzības un kontroles izmaksas, būtiski pieaugušas VVD darbinieku algas, kā arī esošie nodevu apmēri kopumā nav samērojami ar šī brīža dokumentācijas sagatavošanas un uzraudzības izmaksām.</w:t>
      </w:r>
      <w:r w:rsidR="00FB6188">
        <w:rPr>
          <w:rFonts w:eastAsiaTheme="minorHAnsi" w:cs="Times New Roman"/>
          <w:szCs w:val="24"/>
          <w:lang w:val="lv-LV"/>
        </w:rPr>
        <w:t xml:space="preserve"> </w:t>
      </w:r>
      <w:r w:rsidRPr="00FA3BB1">
        <w:rPr>
          <w:rFonts w:eastAsiaTheme="minorHAnsi" w:cs="Times New Roman"/>
          <w:szCs w:val="24"/>
          <w:lang w:val="lv-LV"/>
        </w:rPr>
        <w:t>Vienlaikus VARAM informē, ka nodevu maksāšanas kartības precizēšana nepieciešama, jo:</w:t>
      </w:r>
    </w:p>
    <w:p w14:paraId="56B76F02" w14:textId="77777777" w:rsidR="00FA3BB1" w:rsidRPr="00FA3BB1" w:rsidRDefault="00FA3BB1" w:rsidP="004C1C06">
      <w:pPr>
        <w:numPr>
          <w:ilvl w:val="0"/>
          <w:numId w:val="48"/>
        </w:numPr>
        <w:ind w:left="709" w:hanging="425"/>
        <w:rPr>
          <w:rFonts w:eastAsiaTheme="minorHAnsi" w:cs="Times New Roman"/>
          <w:szCs w:val="24"/>
          <w:lang w:val="lv-LV"/>
        </w:rPr>
      </w:pPr>
      <w:r w:rsidRPr="00FA3BB1">
        <w:rPr>
          <w:rFonts w:eastAsiaTheme="minorHAnsi" w:cs="Times New Roman"/>
          <w:szCs w:val="24"/>
          <w:lang w:val="lv-LV"/>
        </w:rPr>
        <w:t>ir paredzēta iespēja veikt maksājumus ar pārskaitījumu vai ar maksājuma karti VVD, bet nav paredzēta iespēja nodevu apmaksai izmantot tiešsaistes maksājuma pakalpojumu VVD E-pakalpojumu portālā;</w:t>
      </w:r>
    </w:p>
    <w:p w14:paraId="562A8A20" w14:textId="77777777" w:rsidR="00FA3BB1" w:rsidRPr="00FA3BB1" w:rsidRDefault="00FA3BB1" w:rsidP="004C1C06">
      <w:pPr>
        <w:numPr>
          <w:ilvl w:val="0"/>
          <w:numId w:val="48"/>
        </w:numPr>
        <w:ind w:left="709" w:hanging="425"/>
        <w:rPr>
          <w:rFonts w:eastAsiaTheme="minorHAnsi" w:cs="Times New Roman"/>
          <w:szCs w:val="24"/>
          <w:lang w:val="lv-LV"/>
        </w:rPr>
      </w:pPr>
      <w:r w:rsidRPr="00FA3BB1">
        <w:rPr>
          <w:rFonts w:eastAsiaTheme="minorHAnsi" w:cs="Times New Roman"/>
          <w:szCs w:val="24"/>
          <w:lang w:val="lv-LV"/>
        </w:rPr>
        <w:t>ir noteikts, ka nodeva maksājama pirms pakalpojuma dokumenta (licences, atļaujas) saņemšanas, kas ir neviennozīmīgi interpretējams. Šādā redakcijā norma var tikt tulkota gan kā prasība nodevas maksājumu veikt pirms tiek uzsākta pakalpojuma sniegšana, gan tad, kad pakalpojuma dokuments ir sagatavots. Tomēr, ja nodevas apmaksa netiek veikta vienlaikus ar iesnieguma iesniegšanu vai pirms tam, VVD nevar precīzi uzskaitīt pakalpojumu izpildes termiņu, jo tā izpildi nevar noslēgt gadījumos, kad pakalpojumu saņēmēji kavējas ar nodevas apmaksu. Jānosaka, ka apmaksa veicama pirms iesnieguma iesniegšanas;</w:t>
      </w:r>
    </w:p>
    <w:p w14:paraId="3901C4C4" w14:textId="77777777" w:rsidR="00FA3BB1" w:rsidRPr="00FA3BB1" w:rsidRDefault="00FA3BB1" w:rsidP="004C1C06">
      <w:pPr>
        <w:numPr>
          <w:ilvl w:val="0"/>
          <w:numId w:val="48"/>
        </w:numPr>
        <w:ind w:left="709" w:hanging="426"/>
        <w:rPr>
          <w:rFonts w:eastAsiaTheme="minorHAnsi" w:cs="Times New Roman"/>
          <w:szCs w:val="24"/>
          <w:lang w:val="lv-LV"/>
        </w:rPr>
      </w:pPr>
      <w:r w:rsidRPr="00FA3BB1">
        <w:rPr>
          <w:rFonts w:eastAsiaTheme="minorHAnsi" w:cs="Times New Roman"/>
          <w:szCs w:val="24"/>
          <w:lang w:val="lv-LV"/>
        </w:rPr>
        <w:t>šobrīd klientiem ir zudusi nepieciešamība apmeklēt VVD klātienē, jo ERAF projekta “Valsts vides dienesta informācijas sistēmas “TULPE” pilnveide” ietvaros ir izveidoti e</w:t>
      </w:r>
      <w:r w:rsidRPr="00FA3BB1">
        <w:rPr>
          <w:rFonts w:eastAsiaTheme="minorHAnsi" w:cs="Times New Roman"/>
          <w:szCs w:val="24"/>
          <w:lang w:val="lv-LV"/>
        </w:rPr>
        <w:noBreakHyphen/>
        <w:t>pakalpojumu risinājumi, kas nodrošina, ka gandrīz visi pakalpojumi ir pieejami, kā e</w:t>
      </w:r>
      <w:r w:rsidRPr="00FA3BB1">
        <w:rPr>
          <w:rFonts w:eastAsiaTheme="minorHAnsi" w:cs="Times New Roman"/>
          <w:szCs w:val="24"/>
          <w:lang w:val="lv-LV"/>
        </w:rPr>
        <w:noBreakHyphen/>
        <w:t>pakalpojumi un pakalpojumu izpildes rezultātā dokumenti tiek izsniegti elektroniska dokumenta formā. Jānosaka, ka iesniegumu var iesniegt elektroniskā formā.</w:t>
      </w:r>
    </w:p>
    <w:p w14:paraId="13E67690" w14:textId="77777777" w:rsidR="00FA3BB1" w:rsidRPr="00FA3BB1" w:rsidRDefault="00FA3BB1" w:rsidP="00FB6188">
      <w:pPr>
        <w:ind w:firstLine="720"/>
        <w:rPr>
          <w:rFonts w:eastAsiaTheme="minorHAnsi" w:cs="Times New Roman"/>
          <w:szCs w:val="24"/>
          <w:lang w:val="lv-LV"/>
        </w:rPr>
      </w:pPr>
      <w:r w:rsidRPr="00FA3BB1">
        <w:rPr>
          <w:rFonts w:eastAsiaTheme="minorHAnsi" w:cs="Times New Roman"/>
          <w:szCs w:val="24"/>
          <w:lang w:val="lv-LV"/>
        </w:rPr>
        <w:t>Plānotie grozījumi, pēc VARAM ieskatiem, optimizēs VVD materiālo un cilvēku resursu izmantošanu, akcentējot elektronisko pakalpojumu izmantošanu.</w:t>
      </w:r>
    </w:p>
    <w:p w14:paraId="0B5F203F" w14:textId="48CC9FF3" w:rsidR="00FA3BB1" w:rsidRPr="00FA3BB1" w:rsidRDefault="00FB6188" w:rsidP="00FA3BB1">
      <w:pPr>
        <w:jc w:val="center"/>
        <w:rPr>
          <w:rFonts w:eastAsiaTheme="minorHAnsi" w:cs="Times New Roman"/>
          <w:b/>
          <w:bCs/>
          <w:sz w:val="22"/>
          <w:lang w:val="lv-LV"/>
        </w:rPr>
      </w:pPr>
      <w:r>
        <w:rPr>
          <w:rFonts w:eastAsiaTheme="minorHAnsi" w:cs="Times New Roman"/>
          <w:b/>
          <w:bCs/>
          <w:i/>
          <w:iCs/>
          <w:sz w:val="22"/>
          <w:lang w:val="lv-LV"/>
        </w:rPr>
        <w:t>2.3.5</w:t>
      </w:r>
      <w:r w:rsidR="00FA3BB1" w:rsidRPr="00FA3BB1">
        <w:rPr>
          <w:rFonts w:eastAsiaTheme="minorHAnsi" w:cs="Times New Roman"/>
          <w:b/>
          <w:bCs/>
          <w:i/>
          <w:iCs/>
          <w:sz w:val="22"/>
          <w:lang w:val="lv-LV"/>
        </w:rPr>
        <w:t>. tabula</w:t>
      </w:r>
      <w:r w:rsidR="00FA3BB1" w:rsidRPr="00FA3BB1">
        <w:rPr>
          <w:rFonts w:eastAsiaTheme="minorHAnsi" w:cs="Times New Roman"/>
          <w:b/>
          <w:bCs/>
          <w:sz w:val="22"/>
          <w:lang w:val="lv-LV"/>
        </w:rPr>
        <w:t xml:space="preserve"> VARAM identificētais resurss VVD administrējamo valsts nodevu grozījumu rezultātā, </w:t>
      </w:r>
      <w:r w:rsidR="00FA3BB1" w:rsidRPr="00FA3BB1">
        <w:rPr>
          <w:rFonts w:eastAsiaTheme="minorHAnsi" w:cs="Times New Roman"/>
          <w:b/>
          <w:bCs/>
          <w:i/>
          <w:iCs/>
          <w:sz w:val="22"/>
          <w:lang w:val="lv-LV"/>
        </w:rPr>
        <w:t>euro</w:t>
      </w: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960"/>
        <w:gridCol w:w="960"/>
        <w:gridCol w:w="960"/>
        <w:gridCol w:w="960"/>
      </w:tblGrid>
      <w:tr w:rsidR="00FA3BB1" w:rsidRPr="00FA3BB1" w14:paraId="1CC44D8B" w14:textId="77777777" w:rsidTr="00FB6188">
        <w:trPr>
          <w:trHeight w:val="300"/>
          <w:tblHeader/>
          <w:jc w:val="center"/>
        </w:trPr>
        <w:tc>
          <w:tcPr>
            <w:tcW w:w="4580" w:type="dxa"/>
            <w:shd w:val="clear" w:color="auto" w:fill="C5E0B3" w:themeFill="accent6" w:themeFillTint="66"/>
            <w:noWrap/>
            <w:vAlign w:val="bottom"/>
            <w:hideMark/>
          </w:tcPr>
          <w:p w14:paraId="5B64D1A0" w14:textId="77777777" w:rsidR="00FA3BB1" w:rsidRPr="00FA3BB1" w:rsidRDefault="00FA3BB1" w:rsidP="00FA3BB1">
            <w:pPr>
              <w:spacing w:after="0" w:line="240" w:lineRule="auto"/>
              <w:jc w:val="center"/>
              <w:rPr>
                <w:rFonts w:eastAsia="Times New Roman" w:cs="Times New Roman"/>
                <w:b/>
                <w:bCs/>
                <w:color w:val="000000"/>
                <w:sz w:val="22"/>
                <w:lang w:val="lv-LV" w:eastAsia="lv-LV"/>
              </w:rPr>
            </w:pPr>
            <w:r w:rsidRPr="00FA3BB1">
              <w:rPr>
                <w:rFonts w:eastAsia="Times New Roman" w:cs="Times New Roman"/>
                <w:b/>
                <w:bCs/>
                <w:color w:val="000000"/>
                <w:sz w:val="22"/>
                <w:lang w:val="lv-LV" w:eastAsia="lv-LV"/>
              </w:rPr>
              <w:t>Pasākums</w:t>
            </w:r>
          </w:p>
        </w:tc>
        <w:tc>
          <w:tcPr>
            <w:tcW w:w="960" w:type="dxa"/>
            <w:shd w:val="clear" w:color="auto" w:fill="C5E0B3" w:themeFill="accent6" w:themeFillTint="66"/>
            <w:noWrap/>
            <w:vAlign w:val="bottom"/>
            <w:hideMark/>
          </w:tcPr>
          <w:p w14:paraId="45CABE91" w14:textId="77777777" w:rsidR="00FA3BB1" w:rsidRPr="00FA3BB1" w:rsidRDefault="00FA3BB1" w:rsidP="00FA3BB1">
            <w:pPr>
              <w:spacing w:after="0" w:line="240" w:lineRule="auto"/>
              <w:jc w:val="center"/>
              <w:rPr>
                <w:rFonts w:eastAsia="Times New Roman" w:cs="Times New Roman"/>
                <w:b/>
                <w:bCs/>
                <w:color w:val="000000"/>
                <w:sz w:val="22"/>
                <w:lang w:val="lv-LV" w:eastAsia="lv-LV"/>
              </w:rPr>
            </w:pPr>
            <w:r w:rsidRPr="00FA3BB1">
              <w:rPr>
                <w:rFonts w:eastAsia="Times New Roman" w:cs="Times New Roman"/>
                <w:b/>
                <w:bCs/>
                <w:color w:val="000000"/>
                <w:sz w:val="22"/>
                <w:lang w:val="lv-LV" w:eastAsia="lv-LV"/>
              </w:rPr>
              <w:t>2021</w:t>
            </w:r>
          </w:p>
        </w:tc>
        <w:tc>
          <w:tcPr>
            <w:tcW w:w="960" w:type="dxa"/>
            <w:shd w:val="clear" w:color="auto" w:fill="C5E0B3" w:themeFill="accent6" w:themeFillTint="66"/>
            <w:noWrap/>
            <w:vAlign w:val="bottom"/>
            <w:hideMark/>
          </w:tcPr>
          <w:p w14:paraId="0DFD998B" w14:textId="77777777" w:rsidR="00FA3BB1" w:rsidRPr="00FA3BB1" w:rsidRDefault="00FA3BB1" w:rsidP="00FA3BB1">
            <w:pPr>
              <w:spacing w:after="0" w:line="240" w:lineRule="auto"/>
              <w:jc w:val="center"/>
              <w:rPr>
                <w:rFonts w:eastAsia="Times New Roman" w:cs="Times New Roman"/>
                <w:b/>
                <w:bCs/>
                <w:color w:val="000000"/>
                <w:sz w:val="22"/>
                <w:lang w:val="lv-LV" w:eastAsia="lv-LV"/>
              </w:rPr>
            </w:pPr>
            <w:r w:rsidRPr="00FA3BB1">
              <w:rPr>
                <w:rFonts w:eastAsia="Times New Roman" w:cs="Times New Roman"/>
                <w:b/>
                <w:bCs/>
                <w:color w:val="000000"/>
                <w:sz w:val="22"/>
                <w:lang w:val="lv-LV" w:eastAsia="lv-LV"/>
              </w:rPr>
              <w:t>2022</w:t>
            </w:r>
          </w:p>
        </w:tc>
        <w:tc>
          <w:tcPr>
            <w:tcW w:w="960" w:type="dxa"/>
            <w:shd w:val="clear" w:color="auto" w:fill="C5E0B3" w:themeFill="accent6" w:themeFillTint="66"/>
            <w:noWrap/>
            <w:vAlign w:val="bottom"/>
            <w:hideMark/>
          </w:tcPr>
          <w:p w14:paraId="54F82D4E" w14:textId="77777777" w:rsidR="00FA3BB1" w:rsidRPr="00FA3BB1" w:rsidRDefault="00FA3BB1" w:rsidP="00FA3BB1">
            <w:pPr>
              <w:spacing w:after="0" w:line="240" w:lineRule="auto"/>
              <w:jc w:val="center"/>
              <w:rPr>
                <w:rFonts w:eastAsia="Times New Roman" w:cs="Times New Roman"/>
                <w:b/>
                <w:bCs/>
                <w:color w:val="000000"/>
                <w:sz w:val="22"/>
                <w:lang w:val="lv-LV" w:eastAsia="lv-LV"/>
              </w:rPr>
            </w:pPr>
            <w:r w:rsidRPr="00FA3BB1">
              <w:rPr>
                <w:rFonts w:eastAsia="Times New Roman" w:cs="Times New Roman"/>
                <w:b/>
                <w:bCs/>
                <w:color w:val="000000"/>
                <w:sz w:val="22"/>
                <w:lang w:val="lv-LV" w:eastAsia="lv-LV"/>
              </w:rPr>
              <w:t>2023</w:t>
            </w:r>
          </w:p>
        </w:tc>
        <w:tc>
          <w:tcPr>
            <w:tcW w:w="960" w:type="dxa"/>
            <w:shd w:val="clear" w:color="auto" w:fill="C5E0B3" w:themeFill="accent6" w:themeFillTint="66"/>
            <w:noWrap/>
            <w:vAlign w:val="bottom"/>
            <w:hideMark/>
          </w:tcPr>
          <w:p w14:paraId="4FEEF1EF" w14:textId="77777777" w:rsidR="00FA3BB1" w:rsidRPr="00FA3BB1" w:rsidRDefault="00FA3BB1" w:rsidP="00FA3BB1">
            <w:pPr>
              <w:spacing w:after="0" w:line="240" w:lineRule="auto"/>
              <w:jc w:val="center"/>
              <w:rPr>
                <w:rFonts w:eastAsia="Times New Roman" w:cs="Times New Roman"/>
                <w:b/>
                <w:bCs/>
                <w:color w:val="000000"/>
                <w:sz w:val="22"/>
                <w:lang w:val="lv-LV" w:eastAsia="lv-LV"/>
              </w:rPr>
            </w:pPr>
            <w:r w:rsidRPr="00FA3BB1">
              <w:rPr>
                <w:rFonts w:eastAsia="Times New Roman" w:cs="Times New Roman"/>
                <w:b/>
                <w:bCs/>
                <w:color w:val="000000"/>
                <w:sz w:val="22"/>
                <w:lang w:val="lv-LV" w:eastAsia="lv-LV"/>
              </w:rPr>
              <w:t>2024</w:t>
            </w:r>
          </w:p>
        </w:tc>
      </w:tr>
      <w:tr w:rsidR="00FA3BB1" w:rsidRPr="00FA3BB1" w14:paraId="2F33C4F3" w14:textId="77777777" w:rsidTr="00FA3BB1">
        <w:trPr>
          <w:trHeight w:val="300"/>
          <w:jc w:val="center"/>
        </w:trPr>
        <w:tc>
          <w:tcPr>
            <w:tcW w:w="4580" w:type="dxa"/>
            <w:shd w:val="clear" w:color="auto" w:fill="FFFFFF" w:themeFill="background1"/>
            <w:vAlign w:val="center"/>
            <w:hideMark/>
          </w:tcPr>
          <w:p w14:paraId="31DFA0AB" w14:textId="77777777" w:rsidR="00FA3BB1" w:rsidRPr="00FA3BB1" w:rsidRDefault="00FA3BB1" w:rsidP="00FA3BB1">
            <w:pPr>
              <w:spacing w:after="0" w:line="240" w:lineRule="auto"/>
              <w:jc w:val="left"/>
              <w:rPr>
                <w:rFonts w:eastAsia="Times New Roman" w:cs="Times New Roman"/>
                <w:color w:val="000000"/>
                <w:sz w:val="22"/>
                <w:lang w:val="lv-LV" w:eastAsia="lv-LV"/>
              </w:rPr>
            </w:pPr>
            <w:r w:rsidRPr="00FA3BB1">
              <w:rPr>
                <w:rFonts w:eastAsia="Times New Roman" w:cs="Times New Roman"/>
                <w:color w:val="000000"/>
                <w:sz w:val="22"/>
                <w:lang w:val="lv-LV" w:eastAsia="lv-LV"/>
              </w:rPr>
              <w:t>VVD administrējamas valsts nodevas:</w:t>
            </w:r>
          </w:p>
        </w:tc>
        <w:tc>
          <w:tcPr>
            <w:tcW w:w="960" w:type="dxa"/>
            <w:shd w:val="clear" w:color="auto" w:fill="FFFFFF" w:themeFill="background1"/>
            <w:noWrap/>
            <w:vAlign w:val="bottom"/>
            <w:hideMark/>
          </w:tcPr>
          <w:p w14:paraId="6B238B6C" w14:textId="77777777" w:rsidR="00FA3BB1" w:rsidRPr="00FA3BB1" w:rsidRDefault="00FA3BB1" w:rsidP="00FA3BB1">
            <w:pPr>
              <w:spacing w:after="0" w:line="240" w:lineRule="auto"/>
              <w:jc w:val="left"/>
              <w:rPr>
                <w:rFonts w:eastAsia="Times New Roman" w:cs="Times New Roman"/>
                <w:color w:val="000000"/>
                <w:sz w:val="22"/>
                <w:lang w:val="lv-LV" w:eastAsia="lv-LV"/>
              </w:rPr>
            </w:pPr>
            <w:r w:rsidRPr="00FA3BB1">
              <w:rPr>
                <w:rFonts w:eastAsia="Times New Roman" w:cs="Times New Roman"/>
                <w:color w:val="000000"/>
                <w:sz w:val="22"/>
                <w:lang w:val="lv-LV" w:eastAsia="lv-LV"/>
              </w:rPr>
              <w:t> </w:t>
            </w:r>
          </w:p>
        </w:tc>
        <w:tc>
          <w:tcPr>
            <w:tcW w:w="960" w:type="dxa"/>
            <w:shd w:val="clear" w:color="auto" w:fill="FFFFFF" w:themeFill="background1"/>
            <w:noWrap/>
            <w:vAlign w:val="bottom"/>
            <w:hideMark/>
          </w:tcPr>
          <w:p w14:paraId="4DA89D21"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405 153</w:t>
            </w:r>
          </w:p>
        </w:tc>
        <w:tc>
          <w:tcPr>
            <w:tcW w:w="960" w:type="dxa"/>
            <w:shd w:val="clear" w:color="auto" w:fill="FFFFFF" w:themeFill="background1"/>
            <w:noWrap/>
            <w:vAlign w:val="bottom"/>
            <w:hideMark/>
          </w:tcPr>
          <w:p w14:paraId="58A0CE3C"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405 153</w:t>
            </w:r>
          </w:p>
        </w:tc>
        <w:tc>
          <w:tcPr>
            <w:tcW w:w="960" w:type="dxa"/>
            <w:shd w:val="clear" w:color="auto" w:fill="FFFFFF" w:themeFill="background1"/>
            <w:noWrap/>
            <w:vAlign w:val="bottom"/>
            <w:hideMark/>
          </w:tcPr>
          <w:p w14:paraId="2C14A612"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405 153</w:t>
            </w:r>
          </w:p>
        </w:tc>
      </w:tr>
      <w:tr w:rsidR="00FA3BB1" w:rsidRPr="00FA3BB1" w14:paraId="2BD4CFBF" w14:textId="77777777" w:rsidTr="00FA3BB1">
        <w:trPr>
          <w:trHeight w:val="300"/>
          <w:jc w:val="center"/>
        </w:trPr>
        <w:tc>
          <w:tcPr>
            <w:tcW w:w="4580" w:type="dxa"/>
            <w:shd w:val="clear" w:color="000000" w:fill="FFFFFF"/>
            <w:noWrap/>
            <w:vAlign w:val="bottom"/>
            <w:hideMark/>
          </w:tcPr>
          <w:p w14:paraId="701771E5"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 xml:space="preserve">-A kategorijas, B kategorijas atļaujām, </w:t>
            </w:r>
          </w:p>
        </w:tc>
        <w:tc>
          <w:tcPr>
            <w:tcW w:w="960" w:type="dxa"/>
            <w:shd w:val="clear" w:color="000000" w:fill="FFFFFF"/>
            <w:noWrap/>
            <w:vAlign w:val="bottom"/>
            <w:hideMark/>
          </w:tcPr>
          <w:p w14:paraId="4E79534E"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93 363</w:t>
            </w:r>
          </w:p>
        </w:tc>
        <w:tc>
          <w:tcPr>
            <w:tcW w:w="960" w:type="dxa"/>
            <w:shd w:val="clear" w:color="000000" w:fill="FFFFFF"/>
            <w:noWrap/>
            <w:vAlign w:val="bottom"/>
            <w:hideMark/>
          </w:tcPr>
          <w:p w14:paraId="1F7DAD95"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129 260</w:t>
            </w:r>
          </w:p>
        </w:tc>
        <w:tc>
          <w:tcPr>
            <w:tcW w:w="960" w:type="dxa"/>
            <w:shd w:val="clear" w:color="000000" w:fill="FFFFFF"/>
            <w:noWrap/>
            <w:vAlign w:val="bottom"/>
            <w:hideMark/>
          </w:tcPr>
          <w:p w14:paraId="3378E33A"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129 260</w:t>
            </w:r>
          </w:p>
        </w:tc>
        <w:tc>
          <w:tcPr>
            <w:tcW w:w="960" w:type="dxa"/>
            <w:shd w:val="clear" w:color="000000" w:fill="FFFFFF"/>
            <w:noWrap/>
            <w:vAlign w:val="bottom"/>
            <w:hideMark/>
          </w:tcPr>
          <w:p w14:paraId="3FB20774"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129 260</w:t>
            </w:r>
          </w:p>
        </w:tc>
      </w:tr>
      <w:tr w:rsidR="00FA3BB1" w:rsidRPr="00FA3BB1" w14:paraId="7A2938E7" w14:textId="77777777" w:rsidTr="00FA3BB1">
        <w:trPr>
          <w:trHeight w:val="300"/>
          <w:jc w:val="center"/>
        </w:trPr>
        <w:tc>
          <w:tcPr>
            <w:tcW w:w="4580" w:type="dxa"/>
            <w:shd w:val="clear" w:color="000000" w:fill="FFFFFF"/>
            <w:noWrap/>
            <w:vAlign w:val="bottom"/>
            <w:hideMark/>
          </w:tcPr>
          <w:p w14:paraId="1E32ADBA"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lastRenderedPageBreak/>
              <w:t>-tehniskajiem noteikumiem,</w:t>
            </w:r>
          </w:p>
        </w:tc>
        <w:tc>
          <w:tcPr>
            <w:tcW w:w="960" w:type="dxa"/>
            <w:shd w:val="clear" w:color="000000" w:fill="FFFFFF"/>
            <w:noWrap/>
            <w:vAlign w:val="bottom"/>
            <w:hideMark/>
          </w:tcPr>
          <w:p w14:paraId="193F7C29"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65 000</w:t>
            </w:r>
          </w:p>
        </w:tc>
        <w:tc>
          <w:tcPr>
            <w:tcW w:w="960" w:type="dxa"/>
            <w:shd w:val="clear" w:color="000000" w:fill="FFFFFF"/>
            <w:noWrap/>
            <w:vAlign w:val="bottom"/>
            <w:hideMark/>
          </w:tcPr>
          <w:p w14:paraId="338ADE3A"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157 528</w:t>
            </w:r>
          </w:p>
        </w:tc>
        <w:tc>
          <w:tcPr>
            <w:tcW w:w="960" w:type="dxa"/>
            <w:shd w:val="clear" w:color="000000" w:fill="FFFFFF"/>
            <w:noWrap/>
            <w:vAlign w:val="bottom"/>
            <w:hideMark/>
          </w:tcPr>
          <w:p w14:paraId="717C2CC9"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157 528</w:t>
            </w:r>
          </w:p>
        </w:tc>
        <w:tc>
          <w:tcPr>
            <w:tcW w:w="960" w:type="dxa"/>
            <w:shd w:val="clear" w:color="000000" w:fill="FFFFFF"/>
            <w:noWrap/>
            <w:vAlign w:val="bottom"/>
            <w:hideMark/>
          </w:tcPr>
          <w:p w14:paraId="43CF136E"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157 528</w:t>
            </w:r>
          </w:p>
        </w:tc>
      </w:tr>
      <w:tr w:rsidR="00FA3BB1" w:rsidRPr="00FA3BB1" w14:paraId="1ACF0ED8" w14:textId="77777777" w:rsidTr="00FA3BB1">
        <w:trPr>
          <w:trHeight w:val="300"/>
          <w:jc w:val="center"/>
        </w:trPr>
        <w:tc>
          <w:tcPr>
            <w:tcW w:w="4580" w:type="dxa"/>
            <w:shd w:val="clear" w:color="000000" w:fill="FFFFFF"/>
            <w:noWrap/>
            <w:vAlign w:val="bottom"/>
            <w:hideMark/>
          </w:tcPr>
          <w:p w14:paraId="1A78DCDF"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 xml:space="preserve">-sākotnējam ietekmes uz vidi novērtējumam, </w:t>
            </w:r>
          </w:p>
        </w:tc>
        <w:tc>
          <w:tcPr>
            <w:tcW w:w="960" w:type="dxa"/>
            <w:shd w:val="clear" w:color="000000" w:fill="FFFFFF"/>
            <w:noWrap/>
            <w:vAlign w:val="bottom"/>
            <w:hideMark/>
          </w:tcPr>
          <w:p w14:paraId="29BE20AB"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70 432</w:t>
            </w:r>
          </w:p>
        </w:tc>
        <w:tc>
          <w:tcPr>
            <w:tcW w:w="960" w:type="dxa"/>
            <w:shd w:val="clear" w:color="000000" w:fill="FFFFFF"/>
            <w:noWrap/>
            <w:vAlign w:val="bottom"/>
            <w:hideMark/>
          </w:tcPr>
          <w:p w14:paraId="7DF808CC"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113 168</w:t>
            </w:r>
          </w:p>
        </w:tc>
        <w:tc>
          <w:tcPr>
            <w:tcW w:w="960" w:type="dxa"/>
            <w:shd w:val="clear" w:color="000000" w:fill="FFFFFF"/>
            <w:noWrap/>
            <w:vAlign w:val="bottom"/>
            <w:hideMark/>
          </w:tcPr>
          <w:p w14:paraId="2F7681A8"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113 168</w:t>
            </w:r>
          </w:p>
        </w:tc>
        <w:tc>
          <w:tcPr>
            <w:tcW w:w="960" w:type="dxa"/>
            <w:shd w:val="clear" w:color="000000" w:fill="FFFFFF"/>
            <w:noWrap/>
            <w:vAlign w:val="bottom"/>
            <w:hideMark/>
          </w:tcPr>
          <w:p w14:paraId="7058D422"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113 168</w:t>
            </w:r>
          </w:p>
        </w:tc>
      </w:tr>
      <w:tr w:rsidR="00FA3BB1" w:rsidRPr="00FA3BB1" w14:paraId="1330E3B6" w14:textId="77777777" w:rsidTr="00FA3BB1">
        <w:trPr>
          <w:trHeight w:val="300"/>
          <w:jc w:val="center"/>
        </w:trPr>
        <w:tc>
          <w:tcPr>
            <w:tcW w:w="4580" w:type="dxa"/>
            <w:shd w:val="clear" w:color="000000" w:fill="FFFFFF"/>
            <w:noWrap/>
            <w:vAlign w:val="bottom"/>
            <w:hideMark/>
          </w:tcPr>
          <w:p w14:paraId="14793CED"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 xml:space="preserve">-ūdens resursu lietošanas atļaujai, </w:t>
            </w:r>
          </w:p>
        </w:tc>
        <w:tc>
          <w:tcPr>
            <w:tcW w:w="960" w:type="dxa"/>
            <w:shd w:val="clear" w:color="000000" w:fill="FFFFFF"/>
            <w:noWrap/>
            <w:vAlign w:val="bottom"/>
            <w:hideMark/>
          </w:tcPr>
          <w:p w14:paraId="0A231C61"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10 671</w:t>
            </w:r>
          </w:p>
        </w:tc>
        <w:tc>
          <w:tcPr>
            <w:tcW w:w="960" w:type="dxa"/>
            <w:shd w:val="clear" w:color="000000" w:fill="FFFFFF"/>
            <w:noWrap/>
            <w:vAlign w:val="bottom"/>
            <w:hideMark/>
          </w:tcPr>
          <w:p w14:paraId="00046546"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-570</w:t>
            </w:r>
          </w:p>
        </w:tc>
        <w:tc>
          <w:tcPr>
            <w:tcW w:w="960" w:type="dxa"/>
            <w:shd w:val="clear" w:color="000000" w:fill="FFFFFF"/>
            <w:noWrap/>
            <w:vAlign w:val="bottom"/>
            <w:hideMark/>
          </w:tcPr>
          <w:p w14:paraId="43ADCC1A"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-570</w:t>
            </w:r>
          </w:p>
        </w:tc>
        <w:tc>
          <w:tcPr>
            <w:tcW w:w="960" w:type="dxa"/>
            <w:shd w:val="clear" w:color="000000" w:fill="FFFFFF"/>
            <w:noWrap/>
            <w:vAlign w:val="bottom"/>
            <w:hideMark/>
          </w:tcPr>
          <w:p w14:paraId="7D7BD896"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-570</w:t>
            </w:r>
          </w:p>
        </w:tc>
      </w:tr>
      <w:tr w:rsidR="00FA3BB1" w:rsidRPr="00FA3BB1" w14:paraId="4DBBE989" w14:textId="77777777" w:rsidTr="00FA3BB1">
        <w:trPr>
          <w:trHeight w:val="300"/>
          <w:jc w:val="center"/>
        </w:trPr>
        <w:tc>
          <w:tcPr>
            <w:tcW w:w="4580" w:type="dxa"/>
            <w:shd w:val="clear" w:color="000000" w:fill="FFFFFF"/>
            <w:noWrap/>
            <w:vAlign w:val="bottom"/>
            <w:hideMark/>
          </w:tcPr>
          <w:p w14:paraId="559C8246"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 xml:space="preserve">-atkritumu apsaimniekošanas atļaujām, </w:t>
            </w:r>
          </w:p>
        </w:tc>
        <w:tc>
          <w:tcPr>
            <w:tcW w:w="960" w:type="dxa"/>
            <w:shd w:val="clear" w:color="000000" w:fill="FFFFFF"/>
            <w:noWrap/>
            <w:vAlign w:val="bottom"/>
            <w:hideMark/>
          </w:tcPr>
          <w:p w14:paraId="703EAA5E"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16 000</w:t>
            </w:r>
          </w:p>
        </w:tc>
        <w:tc>
          <w:tcPr>
            <w:tcW w:w="960" w:type="dxa"/>
            <w:shd w:val="clear" w:color="000000" w:fill="FFFFFF"/>
            <w:noWrap/>
            <w:vAlign w:val="bottom"/>
            <w:hideMark/>
          </w:tcPr>
          <w:p w14:paraId="2F1ACA6A"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11 786</w:t>
            </w:r>
          </w:p>
        </w:tc>
        <w:tc>
          <w:tcPr>
            <w:tcW w:w="960" w:type="dxa"/>
            <w:shd w:val="clear" w:color="000000" w:fill="FFFFFF"/>
            <w:noWrap/>
            <w:vAlign w:val="bottom"/>
            <w:hideMark/>
          </w:tcPr>
          <w:p w14:paraId="31D41E7F"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11 786</w:t>
            </w:r>
          </w:p>
        </w:tc>
        <w:tc>
          <w:tcPr>
            <w:tcW w:w="960" w:type="dxa"/>
            <w:shd w:val="clear" w:color="000000" w:fill="FFFFFF"/>
            <w:noWrap/>
            <w:vAlign w:val="bottom"/>
            <w:hideMark/>
          </w:tcPr>
          <w:p w14:paraId="31A2CDBF"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11 786</w:t>
            </w:r>
          </w:p>
        </w:tc>
      </w:tr>
      <w:tr w:rsidR="00FA3BB1" w:rsidRPr="00FA3BB1" w14:paraId="42B7BDFE" w14:textId="77777777" w:rsidTr="00FA3BB1">
        <w:trPr>
          <w:trHeight w:val="300"/>
          <w:jc w:val="center"/>
        </w:trPr>
        <w:tc>
          <w:tcPr>
            <w:tcW w:w="4580" w:type="dxa"/>
            <w:shd w:val="clear" w:color="000000" w:fill="FFFFFF"/>
            <w:noWrap/>
            <w:vAlign w:val="bottom"/>
            <w:hideMark/>
          </w:tcPr>
          <w:p w14:paraId="3CFAFBBF"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-zemes dzīļu izmantošanas dokumentiem</w:t>
            </w:r>
          </w:p>
        </w:tc>
        <w:tc>
          <w:tcPr>
            <w:tcW w:w="960" w:type="dxa"/>
            <w:shd w:val="clear" w:color="000000" w:fill="FFFFFF"/>
            <w:noWrap/>
            <w:vAlign w:val="bottom"/>
            <w:hideMark/>
          </w:tcPr>
          <w:p w14:paraId="0398931A"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86 690</w:t>
            </w:r>
          </w:p>
        </w:tc>
        <w:tc>
          <w:tcPr>
            <w:tcW w:w="960" w:type="dxa"/>
            <w:shd w:val="clear" w:color="000000" w:fill="FFFFFF"/>
            <w:noWrap/>
            <w:vAlign w:val="bottom"/>
            <w:hideMark/>
          </w:tcPr>
          <w:p w14:paraId="0F4FEF37"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-1 019</w:t>
            </w:r>
          </w:p>
        </w:tc>
        <w:tc>
          <w:tcPr>
            <w:tcW w:w="960" w:type="dxa"/>
            <w:shd w:val="clear" w:color="000000" w:fill="FFFFFF"/>
            <w:noWrap/>
            <w:vAlign w:val="bottom"/>
            <w:hideMark/>
          </w:tcPr>
          <w:p w14:paraId="0898CF40"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-1 019</w:t>
            </w:r>
          </w:p>
        </w:tc>
        <w:tc>
          <w:tcPr>
            <w:tcW w:w="960" w:type="dxa"/>
            <w:shd w:val="clear" w:color="000000" w:fill="FFFFFF"/>
            <w:noWrap/>
            <w:vAlign w:val="bottom"/>
            <w:hideMark/>
          </w:tcPr>
          <w:p w14:paraId="69537B8D"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-1 019</w:t>
            </w:r>
          </w:p>
        </w:tc>
      </w:tr>
      <w:tr w:rsidR="00FA3BB1" w:rsidRPr="00FA3BB1" w14:paraId="67D22CC3" w14:textId="77777777" w:rsidTr="00FA3BB1">
        <w:trPr>
          <w:trHeight w:val="300"/>
          <w:jc w:val="center"/>
        </w:trPr>
        <w:tc>
          <w:tcPr>
            <w:tcW w:w="4580" w:type="dxa"/>
            <w:shd w:val="clear" w:color="000000" w:fill="FFFFFF"/>
            <w:noWrap/>
            <w:vAlign w:val="bottom"/>
            <w:hideMark/>
          </w:tcPr>
          <w:p w14:paraId="1E009716"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Kopā:</w:t>
            </w:r>
          </w:p>
        </w:tc>
        <w:tc>
          <w:tcPr>
            <w:tcW w:w="960" w:type="dxa"/>
            <w:shd w:val="clear" w:color="000000" w:fill="FFFFFF"/>
            <w:noWrap/>
            <w:vAlign w:val="bottom"/>
            <w:hideMark/>
          </w:tcPr>
          <w:p w14:paraId="17B0EA5B"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342 156</w:t>
            </w:r>
          </w:p>
        </w:tc>
        <w:tc>
          <w:tcPr>
            <w:tcW w:w="960" w:type="dxa"/>
            <w:shd w:val="clear" w:color="000000" w:fill="FFFFFF"/>
            <w:noWrap/>
            <w:vAlign w:val="bottom"/>
            <w:hideMark/>
          </w:tcPr>
          <w:p w14:paraId="791B63D8"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410 153</w:t>
            </w:r>
          </w:p>
        </w:tc>
        <w:tc>
          <w:tcPr>
            <w:tcW w:w="960" w:type="dxa"/>
            <w:shd w:val="clear" w:color="000000" w:fill="FFFFFF"/>
            <w:noWrap/>
            <w:vAlign w:val="bottom"/>
            <w:hideMark/>
          </w:tcPr>
          <w:p w14:paraId="2AD25DEA"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410 153</w:t>
            </w:r>
          </w:p>
        </w:tc>
        <w:tc>
          <w:tcPr>
            <w:tcW w:w="960" w:type="dxa"/>
            <w:shd w:val="clear" w:color="000000" w:fill="FFFFFF"/>
            <w:noWrap/>
            <w:vAlign w:val="bottom"/>
            <w:hideMark/>
          </w:tcPr>
          <w:p w14:paraId="6369AB01"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410 153</w:t>
            </w:r>
          </w:p>
        </w:tc>
      </w:tr>
      <w:tr w:rsidR="00FA3BB1" w:rsidRPr="00FA3BB1" w14:paraId="34624749" w14:textId="77777777" w:rsidTr="00FA3BB1">
        <w:trPr>
          <w:trHeight w:val="300"/>
          <w:jc w:val="center"/>
        </w:trPr>
        <w:tc>
          <w:tcPr>
            <w:tcW w:w="4580" w:type="dxa"/>
            <w:shd w:val="clear" w:color="000000" w:fill="FFFFFF"/>
            <w:noWrap/>
            <w:vAlign w:val="bottom"/>
            <w:hideMark/>
          </w:tcPr>
          <w:p w14:paraId="050C2829" w14:textId="77777777" w:rsidR="00FA3BB1" w:rsidRPr="00FA3BB1" w:rsidRDefault="00FA3BB1" w:rsidP="00FA3BB1">
            <w:pPr>
              <w:spacing w:after="0" w:line="240" w:lineRule="auto"/>
              <w:jc w:val="left"/>
              <w:rPr>
                <w:rFonts w:eastAsia="Times New Roman" w:cs="Times New Roman"/>
                <w:color w:val="000000"/>
                <w:sz w:val="22"/>
                <w:lang w:val="lv-LV" w:eastAsia="lv-LV"/>
              </w:rPr>
            </w:pPr>
            <w:r w:rsidRPr="00FA3BB1">
              <w:rPr>
                <w:rFonts w:eastAsia="Times New Roman" w:cs="Times New Roman"/>
                <w:color w:val="000000"/>
                <w:sz w:val="22"/>
                <w:lang w:val="lv-LV" w:eastAsia="lv-LV"/>
              </w:rPr>
              <w:t xml:space="preserve">*plānots atteikties no metāllūžņu licencēm </w:t>
            </w:r>
          </w:p>
        </w:tc>
        <w:tc>
          <w:tcPr>
            <w:tcW w:w="960" w:type="dxa"/>
            <w:shd w:val="clear" w:color="000000" w:fill="FFFFFF"/>
            <w:noWrap/>
            <w:vAlign w:val="bottom"/>
            <w:hideMark/>
          </w:tcPr>
          <w:p w14:paraId="3E6D4EEA" w14:textId="77777777" w:rsidR="00FA3BB1" w:rsidRPr="00FA3BB1" w:rsidRDefault="00FA3BB1" w:rsidP="00FA3BB1">
            <w:pPr>
              <w:spacing w:after="0" w:line="240" w:lineRule="auto"/>
              <w:jc w:val="left"/>
              <w:rPr>
                <w:rFonts w:eastAsia="Times New Roman" w:cs="Times New Roman"/>
                <w:color w:val="000000"/>
                <w:sz w:val="22"/>
                <w:lang w:val="lv-LV" w:eastAsia="lv-LV"/>
              </w:rPr>
            </w:pPr>
            <w:r w:rsidRPr="00FA3BB1">
              <w:rPr>
                <w:rFonts w:eastAsia="Times New Roman" w:cs="Times New Roman"/>
                <w:color w:val="000000"/>
                <w:sz w:val="22"/>
                <w:lang w:val="lv-LV" w:eastAsia="lv-LV"/>
              </w:rPr>
              <w:t> </w:t>
            </w:r>
          </w:p>
        </w:tc>
        <w:tc>
          <w:tcPr>
            <w:tcW w:w="960" w:type="dxa"/>
            <w:shd w:val="clear" w:color="000000" w:fill="FFFFFF"/>
            <w:noWrap/>
            <w:vAlign w:val="bottom"/>
            <w:hideMark/>
          </w:tcPr>
          <w:p w14:paraId="02792C52"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-5 000</w:t>
            </w:r>
          </w:p>
        </w:tc>
        <w:tc>
          <w:tcPr>
            <w:tcW w:w="960" w:type="dxa"/>
            <w:shd w:val="clear" w:color="000000" w:fill="FFFFFF"/>
            <w:noWrap/>
            <w:vAlign w:val="bottom"/>
            <w:hideMark/>
          </w:tcPr>
          <w:p w14:paraId="7DA5F9F0"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-5 000</w:t>
            </w:r>
          </w:p>
        </w:tc>
        <w:tc>
          <w:tcPr>
            <w:tcW w:w="960" w:type="dxa"/>
            <w:shd w:val="clear" w:color="000000" w:fill="FFFFFF"/>
            <w:noWrap/>
            <w:vAlign w:val="bottom"/>
            <w:hideMark/>
          </w:tcPr>
          <w:p w14:paraId="63725636" w14:textId="77777777" w:rsidR="00FA3BB1" w:rsidRPr="00FA3BB1" w:rsidRDefault="00FA3BB1" w:rsidP="00FA3BB1">
            <w:pPr>
              <w:spacing w:after="0" w:line="240" w:lineRule="auto"/>
              <w:jc w:val="right"/>
              <w:rPr>
                <w:rFonts w:eastAsia="Times New Roman" w:cs="Times New Roman"/>
                <w:color w:val="000000"/>
                <w:sz w:val="22"/>
                <w:lang w:val="lv-LV" w:eastAsia="lv-LV"/>
              </w:rPr>
            </w:pPr>
            <w:r w:rsidRPr="00FA3BB1">
              <w:rPr>
                <w:rFonts w:eastAsia="Times New Roman" w:cs="Times New Roman"/>
                <w:color w:val="000000"/>
                <w:sz w:val="22"/>
                <w:lang w:val="lv-LV" w:eastAsia="lv-LV"/>
              </w:rPr>
              <w:t>-5 000</w:t>
            </w:r>
          </w:p>
        </w:tc>
      </w:tr>
      <w:tr w:rsidR="00FA3BB1" w:rsidRPr="00FA3BB1" w14:paraId="57886BCA" w14:textId="77777777" w:rsidTr="00FA3BB1">
        <w:trPr>
          <w:trHeight w:val="300"/>
          <w:jc w:val="center"/>
        </w:trPr>
        <w:tc>
          <w:tcPr>
            <w:tcW w:w="4580" w:type="dxa"/>
            <w:shd w:val="clear" w:color="auto" w:fill="E7E6E6" w:themeFill="background2"/>
            <w:noWrap/>
            <w:vAlign w:val="bottom"/>
            <w:hideMark/>
          </w:tcPr>
          <w:p w14:paraId="3955840D" w14:textId="77777777" w:rsidR="00FA3BB1" w:rsidRPr="00FA3BB1" w:rsidRDefault="00FA3BB1" w:rsidP="00FA3BB1">
            <w:pPr>
              <w:spacing w:after="0" w:line="240" w:lineRule="auto"/>
              <w:jc w:val="right"/>
              <w:rPr>
                <w:rFonts w:eastAsia="Times New Roman" w:cs="Times New Roman"/>
                <w:b/>
                <w:bCs/>
                <w:sz w:val="22"/>
                <w:lang w:val="lv-LV" w:eastAsia="lv-LV"/>
              </w:rPr>
            </w:pPr>
            <w:r w:rsidRPr="00FA3BB1">
              <w:rPr>
                <w:rFonts w:eastAsia="Times New Roman" w:cs="Times New Roman"/>
                <w:b/>
                <w:bCs/>
                <w:sz w:val="22"/>
                <w:lang w:val="lv-LV" w:eastAsia="lv-LV"/>
              </w:rPr>
              <w:t>Pavisam palielinājums:</w:t>
            </w:r>
          </w:p>
        </w:tc>
        <w:tc>
          <w:tcPr>
            <w:tcW w:w="960" w:type="dxa"/>
            <w:shd w:val="clear" w:color="auto" w:fill="E7E6E6" w:themeFill="background2"/>
            <w:noWrap/>
            <w:vAlign w:val="bottom"/>
            <w:hideMark/>
          </w:tcPr>
          <w:p w14:paraId="20B7B9F8" w14:textId="77777777" w:rsidR="00FA3BB1" w:rsidRPr="00FA3BB1" w:rsidRDefault="00FA3BB1" w:rsidP="00FA3BB1">
            <w:pPr>
              <w:spacing w:after="0" w:line="240" w:lineRule="auto"/>
              <w:jc w:val="left"/>
              <w:rPr>
                <w:rFonts w:eastAsia="Times New Roman" w:cs="Times New Roman"/>
                <w:b/>
                <w:bCs/>
                <w:sz w:val="22"/>
                <w:lang w:val="lv-LV" w:eastAsia="lv-LV"/>
              </w:rPr>
            </w:pPr>
            <w:r w:rsidRPr="00FA3BB1">
              <w:rPr>
                <w:rFonts w:eastAsia="Times New Roman" w:cs="Times New Roman"/>
                <w:b/>
                <w:bCs/>
                <w:sz w:val="22"/>
                <w:lang w:val="lv-LV" w:eastAsia="lv-LV"/>
              </w:rPr>
              <w:t> </w:t>
            </w:r>
          </w:p>
        </w:tc>
        <w:tc>
          <w:tcPr>
            <w:tcW w:w="960" w:type="dxa"/>
            <w:shd w:val="clear" w:color="auto" w:fill="E7E6E6" w:themeFill="background2"/>
            <w:noWrap/>
            <w:vAlign w:val="bottom"/>
            <w:hideMark/>
          </w:tcPr>
          <w:p w14:paraId="4366315D" w14:textId="77777777" w:rsidR="00FA3BB1" w:rsidRPr="00FA3BB1" w:rsidRDefault="00FA3BB1" w:rsidP="00FA3BB1">
            <w:pPr>
              <w:spacing w:after="0" w:line="240" w:lineRule="auto"/>
              <w:jc w:val="right"/>
              <w:rPr>
                <w:rFonts w:eastAsia="Times New Roman" w:cs="Times New Roman"/>
                <w:b/>
                <w:bCs/>
                <w:sz w:val="22"/>
                <w:lang w:val="lv-LV" w:eastAsia="lv-LV"/>
              </w:rPr>
            </w:pPr>
            <w:r w:rsidRPr="00FA3BB1">
              <w:rPr>
                <w:rFonts w:eastAsia="Times New Roman" w:cs="Times New Roman"/>
                <w:b/>
                <w:bCs/>
                <w:sz w:val="22"/>
                <w:lang w:val="lv-LV" w:eastAsia="lv-LV"/>
              </w:rPr>
              <w:t>405 153</w:t>
            </w:r>
          </w:p>
        </w:tc>
        <w:tc>
          <w:tcPr>
            <w:tcW w:w="960" w:type="dxa"/>
            <w:shd w:val="clear" w:color="auto" w:fill="E7E6E6" w:themeFill="background2"/>
            <w:noWrap/>
            <w:vAlign w:val="bottom"/>
            <w:hideMark/>
          </w:tcPr>
          <w:p w14:paraId="4280A78F" w14:textId="77777777" w:rsidR="00FA3BB1" w:rsidRPr="00FA3BB1" w:rsidRDefault="00FA3BB1" w:rsidP="00FA3BB1">
            <w:pPr>
              <w:spacing w:after="0" w:line="240" w:lineRule="auto"/>
              <w:jc w:val="right"/>
              <w:rPr>
                <w:rFonts w:eastAsia="Times New Roman" w:cs="Times New Roman"/>
                <w:b/>
                <w:bCs/>
                <w:sz w:val="22"/>
                <w:lang w:val="lv-LV" w:eastAsia="lv-LV"/>
              </w:rPr>
            </w:pPr>
            <w:r w:rsidRPr="00FA3BB1">
              <w:rPr>
                <w:rFonts w:eastAsia="Times New Roman" w:cs="Times New Roman"/>
                <w:b/>
                <w:bCs/>
                <w:sz w:val="22"/>
                <w:lang w:val="lv-LV" w:eastAsia="lv-LV"/>
              </w:rPr>
              <w:t>405 153</w:t>
            </w:r>
          </w:p>
        </w:tc>
        <w:tc>
          <w:tcPr>
            <w:tcW w:w="960" w:type="dxa"/>
            <w:shd w:val="clear" w:color="auto" w:fill="E7E6E6" w:themeFill="background2"/>
            <w:noWrap/>
            <w:vAlign w:val="bottom"/>
            <w:hideMark/>
          </w:tcPr>
          <w:p w14:paraId="5CA8EC91" w14:textId="77777777" w:rsidR="00FA3BB1" w:rsidRPr="00FA3BB1" w:rsidRDefault="00FA3BB1" w:rsidP="00FA3BB1">
            <w:pPr>
              <w:spacing w:after="0" w:line="240" w:lineRule="auto"/>
              <w:jc w:val="right"/>
              <w:rPr>
                <w:rFonts w:eastAsia="Times New Roman" w:cs="Times New Roman"/>
                <w:b/>
                <w:bCs/>
                <w:sz w:val="22"/>
                <w:lang w:val="lv-LV" w:eastAsia="lv-LV"/>
              </w:rPr>
            </w:pPr>
            <w:r w:rsidRPr="00FA3BB1">
              <w:rPr>
                <w:rFonts w:eastAsia="Times New Roman" w:cs="Times New Roman"/>
                <w:b/>
                <w:bCs/>
                <w:sz w:val="22"/>
                <w:lang w:val="lv-LV" w:eastAsia="lv-LV"/>
              </w:rPr>
              <w:t>405 153</w:t>
            </w:r>
          </w:p>
        </w:tc>
      </w:tr>
    </w:tbl>
    <w:p w14:paraId="50A154AA" w14:textId="77777777" w:rsidR="00CC4D0C" w:rsidRPr="00CC4D0C" w:rsidRDefault="00FA3BB1" w:rsidP="00CC4D0C">
      <w:pPr>
        <w:spacing w:before="120"/>
        <w:ind w:firstLine="720"/>
        <w:rPr>
          <w:rFonts w:eastAsiaTheme="minorHAnsi" w:cs="Times New Roman"/>
          <w:szCs w:val="24"/>
          <w:lang w:val="lv-LV"/>
        </w:rPr>
      </w:pPr>
      <w:r w:rsidRPr="00FA3BB1">
        <w:rPr>
          <w:rFonts w:eastAsiaTheme="minorHAnsi" w:cs="Times New Roman"/>
          <w:szCs w:val="24"/>
          <w:lang w:val="lv-LV"/>
        </w:rPr>
        <w:t xml:space="preserve">Pēc VARAM prognozēm, ieņēmumu apmēru no VVD administrējamām valsts nodevām plānots palielināt 2022. gadā un turpmāk katru gadu par </w:t>
      </w:r>
      <w:r w:rsidRPr="00FA3BB1">
        <w:rPr>
          <w:rFonts w:eastAsiaTheme="minorHAnsi" w:cs="Times New Roman"/>
          <w:b/>
          <w:bCs/>
          <w:szCs w:val="24"/>
          <w:lang w:val="lv-LV"/>
        </w:rPr>
        <w:t xml:space="preserve">405 153 </w:t>
      </w:r>
      <w:r w:rsidRPr="00FA3BB1">
        <w:rPr>
          <w:rFonts w:eastAsiaTheme="minorHAnsi" w:cs="Times New Roman"/>
          <w:b/>
          <w:bCs/>
          <w:i/>
          <w:iCs/>
          <w:szCs w:val="24"/>
          <w:lang w:val="lv-LV"/>
        </w:rPr>
        <w:t>euro</w:t>
      </w:r>
      <w:r w:rsidRPr="00FA3BB1">
        <w:rPr>
          <w:rFonts w:eastAsiaTheme="minorHAnsi" w:cs="Times New Roman"/>
          <w:szCs w:val="24"/>
          <w:lang w:val="lv-LV"/>
        </w:rPr>
        <w:t>, kas identificējami kā iekšējie resursi citām resora prioritātēm. Ieņēmumu palielinājumu plānots novirzīt VVD izdevumiem – VVD riepu reģistra izveidei, gaisa piesārņojuma samazināšanas rīcības plāna 2020. – 2030. gadam pasākumiem kā arī Radiācijas drošības centra izdevumu segšanai.</w:t>
      </w:r>
      <w:r w:rsidR="00CC4D0C">
        <w:rPr>
          <w:rFonts w:eastAsiaTheme="minorHAnsi" w:cs="Times New Roman"/>
          <w:szCs w:val="24"/>
          <w:lang w:val="lv-LV"/>
        </w:rPr>
        <w:t xml:space="preserve"> </w:t>
      </w:r>
      <w:r w:rsidR="00CC4D0C" w:rsidRPr="00CC4D0C">
        <w:rPr>
          <w:rFonts w:eastAsiaTheme="minorHAnsi" w:cs="Times New Roman"/>
          <w:szCs w:val="24"/>
          <w:lang w:val="lv-LV"/>
        </w:rPr>
        <w:t xml:space="preserve">Vienlaikus jāņem vērā, ka uz šī ziņojuma sagatavošanas brīdi grozījumi attiecīgajos normatīvajos aktos par izmaiņām VVD administrējamo valsts nodevu apmēros un maksāšanas kārtībā vēl nav sūtīti saskaņošanai FM, attiecīgi arī vidēja termiņa budžeta ietvara 2022. 2024.gada sagatavošanas procesā VARAM iesniegtās nodevu prognozes atšķiras no izdevumu pārskatīšanas procesa ietvaros VARAM sniegtās informācijas par VVD administrējamo nodevu ieņēmumu palielinājumu. Turklāt arī VARAM sniegtā informācija par izdevumu pasākumiem, kam papildu nodevu ieņēmumi būtu novirzāmi, ir ļoti vispārīga. </w:t>
      </w:r>
    </w:p>
    <w:p w14:paraId="1F0C1A1D" w14:textId="50849B3B" w:rsidR="00105C87" w:rsidRPr="00FA3BB1" w:rsidRDefault="00CC4D0C" w:rsidP="002C24FA">
      <w:pPr>
        <w:spacing w:before="120"/>
        <w:ind w:firstLine="720"/>
        <w:rPr>
          <w:rFonts w:eastAsiaTheme="minorHAnsi" w:cs="Times New Roman"/>
          <w:szCs w:val="24"/>
          <w:lang w:val="lv-LV"/>
        </w:rPr>
      </w:pPr>
      <w:r w:rsidRPr="00CC4D0C">
        <w:rPr>
          <w:rFonts w:eastAsiaTheme="minorHAnsi" w:cs="Times New Roman"/>
          <w:szCs w:val="24"/>
          <w:lang w:val="lv-LV"/>
        </w:rPr>
        <w:t>Ņemot vērā minēto, VARAM sniegtā informācija tiek pieņemta zināšanai, savukārt ieņēmumu palielinājuma nodrošināšanai paredzēts uzdevums VARAM iesniegt grozījumus attiecīgajos normatīvajos aktos, kā arī nepieciešamības gadījumā, ja tiek plānots nodevu ieņēmumu palielinājumu novirzīt izdevumu pasākumiem, VARAM sagatavot un budžeta sagatavošanas procesā iesniegt FM fiskāli neitrāli priekšlikumu, ja grozījumi attiecīgajos normatīvajos aktos ir apstiprināti Ministru kabinetā vai vismaz ir saskaņoti ar FM un tiek virzīti izskatīšanai Ministru kabinetā vienlaikus ar jautājumu par fiskāli neitrālā priekšlikuma atbalstīšanu.</w:t>
      </w:r>
    </w:p>
    <w:p w14:paraId="25E7C8B8" w14:textId="4CBDB5D9" w:rsidR="00FA3BB1" w:rsidRPr="00FA3BB1" w:rsidRDefault="00FA3BB1" w:rsidP="00FA3BB1">
      <w:pPr>
        <w:rPr>
          <w:rFonts w:eastAsiaTheme="minorHAnsi" w:cs="Times New Roman"/>
          <w:b/>
          <w:bCs/>
          <w:szCs w:val="24"/>
          <w:lang w:val="lv-LV"/>
        </w:rPr>
      </w:pPr>
      <w:r w:rsidRPr="00FA3BB1">
        <w:rPr>
          <w:rFonts w:eastAsiaTheme="minorHAnsi" w:cs="Times New Roman"/>
          <w:b/>
          <w:bCs/>
          <w:szCs w:val="24"/>
          <w:lang w:val="lv-LV"/>
        </w:rPr>
        <w:t xml:space="preserve">ZM – </w:t>
      </w:r>
      <w:r w:rsidR="008239CF">
        <w:rPr>
          <w:rFonts w:eastAsiaTheme="minorHAnsi" w:cs="Times New Roman"/>
          <w:b/>
          <w:bCs/>
          <w:szCs w:val="24"/>
          <w:lang w:val="lv-LV"/>
        </w:rPr>
        <w:t xml:space="preserve">palielināt </w:t>
      </w:r>
      <w:r w:rsidRPr="00FA3BB1">
        <w:rPr>
          <w:rFonts w:eastAsiaTheme="minorHAnsi" w:cs="Times New Roman"/>
          <w:b/>
          <w:bCs/>
          <w:szCs w:val="24"/>
          <w:lang w:val="lv-LV"/>
        </w:rPr>
        <w:t>AS “Latvijas Valsts meži” dividendēs izmaksājamo peļņas daļu par 2021. gadu</w:t>
      </w:r>
    </w:p>
    <w:p w14:paraId="49429F4B" w14:textId="77777777" w:rsidR="008239CF" w:rsidRPr="008239CF" w:rsidRDefault="008239CF" w:rsidP="008239CF">
      <w:pPr>
        <w:spacing w:before="120"/>
        <w:ind w:firstLine="720"/>
        <w:rPr>
          <w:rFonts w:eastAsiaTheme="minorHAnsi" w:cs="Times New Roman"/>
          <w:szCs w:val="24"/>
          <w:lang w:val="lv-LV"/>
        </w:rPr>
      </w:pPr>
      <w:r w:rsidRPr="008239CF">
        <w:rPr>
          <w:rFonts w:eastAsiaTheme="minorHAnsi" w:cs="Times New Roman"/>
          <w:szCs w:val="24"/>
          <w:lang w:val="lv-LV"/>
        </w:rPr>
        <w:t xml:space="preserve">Sagatavojot likumu “Par  valsts budžetu 2021. gadam”, AS “Latvijas Valsts meži” dividendēs izmaksājamā peļņas daļa par 2020. gadu tika prognozēta 37 867 000 </w:t>
      </w:r>
      <w:r w:rsidRPr="008239CF">
        <w:rPr>
          <w:rFonts w:eastAsiaTheme="minorHAnsi" w:cs="Times New Roman"/>
          <w:i/>
          <w:iCs/>
          <w:szCs w:val="24"/>
          <w:lang w:val="lv-LV"/>
        </w:rPr>
        <w:t>euro</w:t>
      </w:r>
      <w:r w:rsidRPr="008239CF">
        <w:rPr>
          <w:rFonts w:eastAsiaTheme="minorHAnsi" w:cs="Times New Roman"/>
          <w:szCs w:val="24"/>
          <w:lang w:val="lv-LV"/>
        </w:rPr>
        <w:t xml:space="preserve">. 2021. gada AS “Latvijas valsts meži” pirmā pusgada rezultāti, pateicoties iepriekšējo gadu iestrādnēm, ļauj prognozēt lielāku 2021. gada peļņu un dividendēs izmaksājamo daļu nekā tas noteikts likumā “Par vidēja termiņa budžeta ietvaru 2021., 2022. un 2023. gadam”. Saskaņā ar ZM sniegto informāciju tīrā peļņas prognoze 2021. gadam ir 69 867 000 </w:t>
      </w:r>
      <w:r w:rsidRPr="008239CF">
        <w:rPr>
          <w:rFonts w:eastAsiaTheme="minorHAnsi" w:cs="Times New Roman"/>
          <w:i/>
          <w:iCs/>
          <w:szCs w:val="24"/>
          <w:lang w:val="lv-LV"/>
        </w:rPr>
        <w:t>euro</w:t>
      </w:r>
      <w:r w:rsidRPr="008239CF">
        <w:rPr>
          <w:rFonts w:eastAsiaTheme="minorHAnsi" w:cs="Times New Roman"/>
          <w:szCs w:val="24"/>
          <w:lang w:val="lv-LV"/>
        </w:rPr>
        <w:t xml:space="preserve">. Līdz ar to, ZM prognozē, ka AS “Latvijas Valsts meži” dividendēs izmaksājamo peļņas daļu var palielināt par </w:t>
      </w:r>
      <w:r w:rsidRPr="007B5231">
        <w:rPr>
          <w:rFonts w:eastAsiaTheme="minorHAnsi" w:cs="Times New Roman"/>
          <w:b/>
          <w:szCs w:val="24"/>
          <w:lang w:val="lv-LV"/>
        </w:rPr>
        <w:t xml:space="preserve">32 000 000 </w:t>
      </w:r>
      <w:r w:rsidRPr="007B5231">
        <w:rPr>
          <w:rFonts w:eastAsiaTheme="minorHAnsi" w:cs="Times New Roman"/>
          <w:b/>
          <w:i/>
          <w:iCs/>
          <w:szCs w:val="24"/>
          <w:lang w:val="lv-LV"/>
        </w:rPr>
        <w:t>euro</w:t>
      </w:r>
      <w:r w:rsidRPr="008239CF">
        <w:rPr>
          <w:rFonts w:eastAsiaTheme="minorHAnsi" w:cs="Times New Roman"/>
          <w:szCs w:val="24"/>
          <w:lang w:val="lv-LV"/>
        </w:rPr>
        <w:t xml:space="preserve"> attiecībā pret likuma “Par vidēja termiņa budžeta ietvaru 2021., 2022. un 2023. gadam” noteikto.</w:t>
      </w:r>
    </w:p>
    <w:p w14:paraId="1BE5CDB9" w14:textId="06C121BE" w:rsidR="008239CF" w:rsidRDefault="008239CF" w:rsidP="008239CF">
      <w:pPr>
        <w:tabs>
          <w:tab w:val="left" w:pos="426"/>
        </w:tabs>
        <w:ind w:firstLine="709"/>
        <w:rPr>
          <w:rFonts w:cs="Times New Roman"/>
          <w:szCs w:val="24"/>
          <w:lang w:val="lv-LV"/>
        </w:rPr>
      </w:pPr>
      <w:r w:rsidRPr="008239CF">
        <w:rPr>
          <w:rFonts w:cs="Times New Roman"/>
          <w:szCs w:val="24"/>
          <w:lang w:val="lv-LV"/>
        </w:rPr>
        <w:tab/>
      </w:r>
      <w:r>
        <w:rPr>
          <w:rFonts w:cs="Times New Roman"/>
          <w:szCs w:val="24"/>
          <w:lang w:val="lv-LV"/>
        </w:rPr>
        <w:t>ZM</w:t>
      </w:r>
      <w:r w:rsidRPr="008239CF">
        <w:rPr>
          <w:rFonts w:cs="Times New Roman"/>
          <w:szCs w:val="24"/>
          <w:lang w:val="lv-LV"/>
        </w:rPr>
        <w:t xml:space="preserve"> izsaka priekšlikumu akciju sabiedrības "Latvijas valsts meži" dividendēs izmaksājamo peļņas daļu par 2021. gadu 30 000 000 </w:t>
      </w:r>
      <w:r w:rsidRPr="008239CF">
        <w:rPr>
          <w:rFonts w:cs="Times New Roman"/>
          <w:i/>
          <w:iCs/>
          <w:szCs w:val="24"/>
          <w:lang w:val="lv-LV"/>
        </w:rPr>
        <w:t>euro</w:t>
      </w:r>
      <w:r w:rsidRPr="008239CF">
        <w:rPr>
          <w:rFonts w:cs="Times New Roman"/>
          <w:szCs w:val="24"/>
          <w:lang w:val="lv-LV"/>
        </w:rPr>
        <w:t xml:space="preserve"> (tajā skaitā maksājums par valsts kapitāla izmantošanu 24 000 000 </w:t>
      </w:r>
      <w:r w:rsidRPr="008239CF">
        <w:rPr>
          <w:rFonts w:cs="Times New Roman"/>
          <w:i/>
          <w:iCs/>
          <w:szCs w:val="24"/>
          <w:lang w:val="lv-LV"/>
        </w:rPr>
        <w:t>euro</w:t>
      </w:r>
      <w:r w:rsidRPr="008239CF">
        <w:rPr>
          <w:rFonts w:cs="Times New Roman"/>
          <w:szCs w:val="24"/>
          <w:lang w:val="lv-LV"/>
        </w:rPr>
        <w:t xml:space="preserve"> un 6 000 000</w:t>
      </w:r>
      <w:r w:rsidRPr="008239CF">
        <w:rPr>
          <w:rFonts w:cs="Times New Roman"/>
          <w:i/>
          <w:iCs/>
          <w:szCs w:val="24"/>
          <w:lang w:val="lv-LV"/>
        </w:rPr>
        <w:t xml:space="preserve"> euro</w:t>
      </w:r>
      <w:r w:rsidRPr="008239CF">
        <w:rPr>
          <w:rFonts w:cs="Times New Roman"/>
          <w:szCs w:val="24"/>
          <w:lang w:val="lv-LV"/>
        </w:rPr>
        <w:t xml:space="preserve"> uzņēmumu ienākuma nodoklis) apmērā 2022.</w:t>
      </w:r>
      <w:r>
        <w:rPr>
          <w:rFonts w:cs="Times New Roman"/>
          <w:szCs w:val="24"/>
          <w:lang w:val="lv-LV"/>
        </w:rPr>
        <w:t xml:space="preserve"> </w:t>
      </w:r>
      <w:r w:rsidRPr="008239CF">
        <w:rPr>
          <w:rFonts w:cs="Times New Roman"/>
          <w:szCs w:val="24"/>
          <w:lang w:val="lv-LV"/>
        </w:rPr>
        <w:t xml:space="preserve">gadā novirzīt budžeta apakšprogrammai </w:t>
      </w:r>
      <w:bookmarkStart w:id="20" w:name="_Hlk47694311"/>
      <w:r w:rsidRPr="008239CF">
        <w:rPr>
          <w:rFonts w:cs="Times New Roman"/>
          <w:szCs w:val="24"/>
          <w:lang w:val="lv-LV"/>
        </w:rPr>
        <w:t>21.01.00 "Valsts atbalsts lauksaimniecības un lauku attīstībai"</w:t>
      </w:r>
      <w:bookmarkEnd w:id="20"/>
      <w:r w:rsidRPr="008239CF">
        <w:rPr>
          <w:rFonts w:cs="Times New Roman"/>
          <w:szCs w:val="24"/>
          <w:lang w:val="lv-LV"/>
        </w:rPr>
        <w:t xml:space="preserve">, lai nodrošinātu Eiropas Komisijas Kopējās </w:t>
      </w:r>
      <w:r w:rsidRPr="008239CF">
        <w:rPr>
          <w:rFonts w:cs="Times New Roman"/>
          <w:szCs w:val="24"/>
          <w:lang w:val="lv-LV"/>
        </w:rPr>
        <w:lastRenderedPageBreak/>
        <w:t xml:space="preserve">lauksaimniecības politikas stratēģiskā plāna regulas priekšlikumu par dalībvalstu iespēju nodrošināt papildu finansējumu vienlīdzīgāku konkurences apstākļu nodrošināšanai ar citām </w:t>
      </w:r>
      <w:r>
        <w:rPr>
          <w:rFonts w:cs="Times New Roman"/>
          <w:szCs w:val="24"/>
          <w:lang w:val="lv-LV"/>
        </w:rPr>
        <w:t>ES</w:t>
      </w:r>
      <w:r w:rsidRPr="008239CF">
        <w:rPr>
          <w:rFonts w:cs="Times New Roman"/>
          <w:szCs w:val="24"/>
          <w:lang w:val="lv-LV"/>
        </w:rPr>
        <w:t xml:space="preserve"> dalībvalstīm.</w:t>
      </w:r>
    </w:p>
    <w:p w14:paraId="5FC4A7FD" w14:textId="049A567C" w:rsidR="008239CF" w:rsidRPr="008239CF" w:rsidRDefault="008239CF" w:rsidP="008239CF">
      <w:pPr>
        <w:tabs>
          <w:tab w:val="left" w:pos="426"/>
        </w:tabs>
        <w:spacing w:before="120"/>
        <w:jc w:val="center"/>
        <w:rPr>
          <w:rFonts w:cs="Times New Roman"/>
          <w:b/>
          <w:i/>
          <w:szCs w:val="24"/>
          <w:lang w:val="lv-LV"/>
        </w:rPr>
      </w:pPr>
      <w:r>
        <w:rPr>
          <w:rFonts w:eastAsiaTheme="minorHAnsi" w:cs="Times New Roman"/>
          <w:b/>
          <w:bCs/>
          <w:i/>
          <w:iCs/>
          <w:sz w:val="22"/>
          <w:lang w:val="lv-LV"/>
        </w:rPr>
        <w:t>2.3.6</w:t>
      </w:r>
      <w:r w:rsidRPr="00FA3BB1">
        <w:rPr>
          <w:rFonts w:eastAsiaTheme="minorHAnsi" w:cs="Times New Roman"/>
          <w:b/>
          <w:bCs/>
          <w:i/>
          <w:iCs/>
          <w:sz w:val="22"/>
          <w:lang w:val="lv-LV"/>
        </w:rPr>
        <w:t>. tabula</w:t>
      </w:r>
      <w:r w:rsidRPr="00FA3BB1">
        <w:rPr>
          <w:rFonts w:eastAsiaTheme="minorHAnsi" w:cs="Times New Roman"/>
          <w:b/>
          <w:bCs/>
          <w:sz w:val="22"/>
          <w:lang w:val="lv-LV"/>
        </w:rPr>
        <w:t xml:space="preserve"> </w:t>
      </w:r>
      <w:r w:rsidRPr="008239CF">
        <w:rPr>
          <w:rFonts w:cs="Times New Roman"/>
          <w:b/>
          <w:bCs/>
          <w:sz w:val="22"/>
          <w:szCs w:val="24"/>
          <w:lang w:val="lv-LV"/>
        </w:rPr>
        <w:t>Papildu finansējuma sadalījums</w:t>
      </w:r>
      <w:r w:rsidRPr="008239CF">
        <w:rPr>
          <w:rFonts w:cs="Times New Roman"/>
          <w:b/>
          <w:sz w:val="22"/>
          <w:szCs w:val="24"/>
          <w:lang w:val="lv-LV"/>
        </w:rPr>
        <w:t xml:space="preserve"> valsts atbalsta lauksaimniecībai pasākumos 2022.</w:t>
      </w:r>
      <w:r>
        <w:rPr>
          <w:rFonts w:cs="Times New Roman"/>
          <w:b/>
          <w:sz w:val="22"/>
          <w:szCs w:val="24"/>
          <w:lang w:val="lv-LV"/>
        </w:rPr>
        <w:t xml:space="preserve"> </w:t>
      </w:r>
      <w:r w:rsidRPr="008239CF">
        <w:rPr>
          <w:rFonts w:cs="Times New Roman"/>
          <w:b/>
          <w:sz w:val="22"/>
          <w:szCs w:val="24"/>
          <w:lang w:val="lv-LV"/>
        </w:rPr>
        <w:t xml:space="preserve">gadam, </w:t>
      </w:r>
      <w:r w:rsidRPr="008239CF">
        <w:rPr>
          <w:rFonts w:cs="Times New Roman"/>
          <w:b/>
          <w:i/>
          <w:sz w:val="22"/>
          <w:szCs w:val="24"/>
          <w:lang w:val="lv-LV"/>
        </w:rPr>
        <w:t>euro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32"/>
        <w:gridCol w:w="1529"/>
      </w:tblGrid>
      <w:tr w:rsidR="008239CF" w:rsidRPr="008239CF" w14:paraId="6C846487" w14:textId="77777777" w:rsidTr="008239CF">
        <w:trPr>
          <w:trHeight w:val="131"/>
          <w:tblHeader/>
          <w:jc w:val="center"/>
        </w:trPr>
        <w:tc>
          <w:tcPr>
            <w:tcW w:w="7797" w:type="dxa"/>
            <w:shd w:val="clear" w:color="auto" w:fill="D9D9D9" w:themeFill="background1" w:themeFillShade="D9"/>
            <w:tcMar>
              <w:top w:w="0" w:type="dxa"/>
              <w:left w:w="108" w:type="dxa"/>
              <w:bottom w:w="0" w:type="dxa"/>
              <w:right w:w="108" w:type="dxa"/>
            </w:tcMar>
            <w:vAlign w:val="center"/>
            <w:hideMark/>
          </w:tcPr>
          <w:p w14:paraId="166D6F80" w14:textId="4857AB9B" w:rsidR="008239CF" w:rsidRPr="008239CF" w:rsidRDefault="000256E7" w:rsidP="00AB5BB5">
            <w:pPr>
              <w:spacing w:before="120"/>
              <w:jc w:val="center"/>
              <w:rPr>
                <w:rFonts w:cs="Times New Roman"/>
                <w:szCs w:val="24"/>
                <w:lang w:val="lv-LV"/>
              </w:rPr>
            </w:pPr>
            <w:r>
              <w:rPr>
                <w:rFonts w:cs="Times New Roman"/>
                <w:szCs w:val="24"/>
                <w:lang w:val="lv-LV"/>
              </w:rPr>
              <w:t>Pasākumi</w:t>
            </w:r>
          </w:p>
        </w:tc>
        <w:tc>
          <w:tcPr>
            <w:tcW w:w="1559" w:type="dxa"/>
            <w:shd w:val="clear" w:color="auto" w:fill="D9D9D9" w:themeFill="background1" w:themeFillShade="D9"/>
            <w:tcMar>
              <w:top w:w="0" w:type="dxa"/>
              <w:left w:w="108" w:type="dxa"/>
              <w:bottom w:w="0" w:type="dxa"/>
              <w:right w:w="108" w:type="dxa"/>
            </w:tcMar>
            <w:vAlign w:val="center"/>
            <w:hideMark/>
          </w:tcPr>
          <w:p w14:paraId="7F5B4C20" w14:textId="5A7938AA" w:rsidR="008239CF" w:rsidRPr="008239CF" w:rsidRDefault="008239CF" w:rsidP="00AB5BB5">
            <w:pPr>
              <w:spacing w:before="120"/>
              <w:jc w:val="center"/>
              <w:rPr>
                <w:rFonts w:cs="Times New Roman"/>
                <w:szCs w:val="24"/>
                <w:lang w:val="lv-LV"/>
              </w:rPr>
            </w:pPr>
            <w:r>
              <w:rPr>
                <w:rFonts w:cs="Times New Roman"/>
                <w:bCs/>
                <w:color w:val="000000"/>
                <w:szCs w:val="24"/>
                <w:lang w:val="lv-LV"/>
              </w:rPr>
              <w:t>2022</w:t>
            </w:r>
          </w:p>
        </w:tc>
      </w:tr>
      <w:tr w:rsidR="008239CF" w:rsidRPr="008239CF" w14:paraId="46C86395" w14:textId="77777777" w:rsidTr="008239CF">
        <w:trPr>
          <w:jc w:val="center"/>
        </w:trPr>
        <w:tc>
          <w:tcPr>
            <w:tcW w:w="7797" w:type="dxa"/>
            <w:tcMar>
              <w:top w:w="0" w:type="dxa"/>
              <w:left w:w="108" w:type="dxa"/>
              <w:bottom w:w="0" w:type="dxa"/>
              <w:right w:w="108" w:type="dxa"/>
            </w:tcMar>
            <w:vAlign w:val="center"/>
            <w:hideMark/>
          </w:tcPr>
          <w:p w14:paraId="2E118774" w14:textId="77777777" w:rsidR="008239CF" w:rsidRPr="008239CF" w:rsidRDefault="008239CF" w:rsidP="00DB4A03">
            <w:pPr>
              <w:spacing w:after="0"/>
              <w:rPr>
                <w:rFonts w:cs="Times New Roman"/>
                <w:color w:val="000000"/>
                <w:szCs w:val="24"/>
                <w:lang w:val="lv-LV"/>
              </w:rPr>
            </w:pPr>
            <w:r w:rsidRPr="008239CF">
              <w:rPr>
                <w:rFonts w:cs="Times New Roman"/>
                <w:iCs/>
                <w:color w:val="000000"/>
                <w:szCs w:val="24"/>
                <w:lang w:val="lv-LV"/>
              </w:rPr>
              <w:t xml:space="preserve">Valsts atbalstam vaislas lauksaimniecības dzīvnieku ierakstīšanai ciltsgrāmatā, kā arī to ģenētiskās kvalitātes noteikšanai un produktivitātes datu izvērtēšanai </w:t>
            </w:r>
          </w:p>
        </w:tc>
        <w:tc>
          <w:tcPr>
            <w:tcW w:w="1559" w:type="dxa"/>
            <w:tcMar>
              <w:top w:w="0" w:type="dxa"/>
              <w:left w:w="108" w:type="dxa"/>
              <w:bottom w:w="0" w:type="dxa"/>
              <w:right w:w="108" w:type="dxa"/>
            </w:tcMar>
            <w:vAlign w:val="center"/>
            <w:hideMark/>
          </w:tcPr>
          <w:p w14:paraId="71864315" w14:textId="77777777" w:rsidR="008239CF" w:rsidRPr="008239CF" w:rsidRDefault="008239CF" w:rsidP="00DB4A03">
            <w:pPr>
              <w:spacing w:after="0"/>
              <w:jc w:val="right"/>
              <w:rPr>
                <w:rFonts w:cs="Times New Roman"/>
                <w:color w:val="000000"/>
                <w:szCs w:val="24"/>
                <w:lang w:val="lv-LV"/>
              </w:rPr>
            </w:pPr>
            <w:r w:rsidRPr="008239CF">
              <w:rPr>
                <w:rFonts w:cs="Times New Roman"/>
                <w:iCs/>
                <w:color w:val="000000"/>
                <w:szCs w:val="24"/>
                <w:lang w:val="lv-LV"/>
              </w:rPr>
              <w:t>24 000 000</w:t>
            </w:r>
          </w:p>
        </w:tc>
      </w:tr>
      <w:tr w:rsidR="008239CF" w:rsidRPr="008239CF" w14:paraId="3E445336" w14:textId="77777777" w:rsidTr="008239CF">
        <w:trPr>
          <w:jc w:val="center"/>
        </w:trPr>
        <w:tc>
          <w:tcPr>
            <w:tcW w:w="7797" w:type="dxa"/>
            <w:tcMar>
              <w:top w:w="0" w:type="dxa"/>
              <w:left w:w="108" w:type="dxa"/>
              <w:bottom w:w="0" w:type="dxa"/>
              <w:right w:w="108" w:type="dxa"/>
            </w:tcMar>
            <w:vAlign w:val="center"/>
            <w:hideMark/>
          </w:tcPr>
          <w:p w14:paraId="10A114C9" w14:textId="77777777" w:rsidR="008239CF" w:rsidRPr="008239CF" w:rsidRDefault="008239CF" w:rsidP="00DB4A03">
            <w:pPr>
              <w:spacing w:after="0"/>
              <w:rPr>
                <w:rFonts w:cs="Times New Roman"/>
                <w:color w:val="000000"/>
                <w:szCs w:val="24"/>
                <w:lang w:val="lv-LV"/>
              </w:rPr>
            </w:pPr>
            <w:r w:rsidRPr="008239CF">
              <w:rPr>
                <w:rFonts w:cs="Times New Roman"/>
                <w:iCs/>
                <w:color w:val="000000"/>
                <w:szCs w:val="24"/>
                <w:lang w:val="lv-LV"/>
              </w:rPr>
              <w:t xml:space="preserve">Lauksaimniecībā izmantojamiem zinātnes pētījumiem un lauksaimniecības zinātnisko institūciju materiāli tehniskās bāzes pilnveidošanai </w:t>
            </w:r>
          </w:p>
        </w:tc>
        <w:tc>
          <w:tcPr>
            <w:tcW w:w="1559" w:type="dxa"/>
            <w:tcMar>
              <w:top w:w="0" w:type="dxa"/>
              <w:left w:w="108" w:type="dxa"/>
              <w:bottom w:w="0" w:type="dxa"/>
              <w:right w:w="108" w:type="dxa"/>
            </w:tcMar>
            <w:vAlign w:val="center"/>
            <w:hideMark/>
          </w:tcPr>
          <w:p w14:paraId="0EA72BB4" w14:textId="77777777" w:rsidR="008239CF" w:rsidRPr="008239CF" w:rsidRDefault="008239CF" w:rsidP="00DB4A03">
            <w:pPr>
              <w:spacing w:after="0"/>
              <w:jc w:val="right"/>
              <w:rPr>
                <w:rFonts w:cs="Times New Roman"/>
                <w:color w:val="000000"/>
                <w:szCs w:val="24"/>
                <w:lang w:val="lv-LV"/>
              </w:rPr>
            </w:pPr>
            <w:r w:rsidRPr="008239CF">
              <w:rPr>
                <w:rFonts w:cs="Times New Roman"/>
                <w:iCs/>
                <w:color w:val="000000"/>
                <w:szCs w:val="24"/>
                <w:lang w:val="lv-LV"/>
              </w:rPr>
              <w:t>3 000 000</w:t>
            </w:r>
          </w:p>
        </w:tc>
      </w:tr>
      <w:tr w:rsidR="008239CF" w:rsidRPr="008239CF" w14:paraId="1BF8DACF" w14:textId="77777777" w:rsidTr="008239CF">
        <w:trPr>
          <w:jc w:val="center"/>
        </w:trPr>
        <w:tc>
          <w:tcPr>
            <w:tcW w:w="7797" w:type="dxa"/>
            <w:tcMar>
              <w:top w:w="0" w:type="dxa"/>
              <w:left w:w="108" w:type="dxa"/>
              <w:bottom w:w="0" w:type="dxa"/>
              <w:right w:w="108" w:type="dxa"/>
            </w:tcMar>
            <w:vAlign w:val="center"/>
          </w:tcPr>
          <w:p w14:paraId="5E3908A5" w14:textId="77777777" w:rsidR="008239CF" w:rsidRPr="008239CF" w:rsidRDefault="008239CF" w:rsidP="00DB4A03">
            <w:pPr>
              <w:spacing w:after="0"/>
              <w:rPr>
                <w:rFonts w:cs="Times New Roman"/>
                <w:color w:val="000000"/>
                <w:szCs w:val="24"/>
                <w:lang w:val="lv-LV"/>
              </w:rPr>
            </w:pPr>
            <w:r w:rsidRPr="008239CF">
              <w:rPr>
                <w:rFonts w:cs="Times New Roman"/>
                <w:iCs/>
                <w:color w:val="000000"/>
                <w:szCs w:val="24"/>
                <w:lang w:val="lv-LV"/>
              </w:rPr>
              <w:t xml:space="preserve">Mazo lauksaimniecības ražotāju ienākumu valsts atbalstam </w:t>
            </w:r>
          </w:p>
        </w:tc>
        <w:tc>
          <w:tcPr>
            <w:tcW w:w="1559" w:type="dxa"/>
            <w:tcMar>
              <w:top w:w="0" w:type="dxa"/>
              <w:left w:w="108" w:type="dxa"/>
              <w:bottom w:w="0" w:type="dxa"/>
              <w:right w:w="108" w:type="dxa"/>
            </w:tcMar>
            <w:vAlign w:val="center"/>
          </w:tcPr>
          <w:p w14:paraId="4D0D8D77" w14:textId="77777777" w:rsidR="008239CF" w:rsidRPr="008239CF" w:rsidRDefault="008239CF" w:rsidP="00DB4A03">
            <w:pPr>
              <w:spacing w:after="0"/>
              <w:jc w:val="right"/>
              <w:rPr>
                <w:rFonts w:cs="Times New Roman"/>
                <w:color w:val="000000"/>
                <w:szCs w:val="24"/>
                <w:lang w:val="lv-LV"/>
              </w:rPr>
            </w:pPr>
            <w:r w:rsidRPr="008239CF">
              <w:rPr>
                <w:rFonts w:cs="Times New Roman"/>
                <w:iCs/>
                <w:color w:val="000000"/>
                <w:szCs w:val="24"/>
                <w:lang w:val="lv-LV"/>
              </w:rPr>
              <w:t>3 000 000</w:t>
            </w:r>
          </w:p>
        </w:tc>
      </w:tr>
      <w:tr w:rsidR="008239CF" w:rsidRPr="008239CF" w14:paraId="2E6A6010" w14:textId="77777777" w:rsidTr="008239CF">
        <w:trPr>
          <w:jc w:val="center"/>
        </w:trPr>
        <w:tc>
          <w:tcPr>
            <w:tcW w:w="7797" w:type="dxa"/>
            <w:tcMar>
              <w:top w:w="0" w:type="dxa"/>
              <w:left w:w="108" w:type="dxa"/>
              <w:bottom w:w="0" w:type="dxa"/>
              <w:right w:w="108" w:type="dxa"/>
            </w:tcMar>
            <w:vAlign w:val="center"/>
          </w:tcPr>
          <w:p w14:paraId="34EF031A" w14:textId="77777777" w:rsidR="008239CF" w:rsidRPr="008239CF" w:rsidRDefault="008239CF" w:rsidP="00DB4A03">
            <w:pPr>
              <w:spacing w:after="0"/>
              <w:jc w:val="right"/>
              <w:rPr>
                <w:rFonts w:cs="Times New Roman"/>
                <w:b/>
                <w:bCs/>
                <w:color w:val="000000"/>
                <w:szCs w:val="24"/>
                <w:lang w:val="lv-LV"/>
              </w:rPr>
            </w:pPr>
            <w:r w:rsidRPr="008239CF">
              <w:rPr>
                <w:rFonts w:cs="Times New Roman"/>
                <w:b/>
                <w:bCs/>
                <w:iCs/>
                <w:color w:val="000000"/>
                <w:szCs w:val="24"/>
                <w:lang w:val="lv-LV"/>
              </w:rPr>
              <w:t>Kopā</w:t>
            </w:r>
          </w:p>
        </w:tc>
        <w:tc>
          <w:tcPr>
            <w:tcW w:w="1559" w:type="dxa"/>
            <w:tcMar>
              <w:top w:w="0" w:type="dxa"/>
              <w:left w:w="108" w:type="dxa"/>
              <w:bottom w:w="0" w:type="dxa"/>
              <w:right w:w="108" w:type="dxa"/>
            </w:tcMar>
            <w:vAlign w:val="center"/>
          </w:tcPr>
          <w:p w14:paraId="5056D65C" w14:textId="77777777" w:rsidR="008239CF" w:rsidRPr="008239CF" w:rsidRDefault="008239CF" w:rsidP="00DB4A03">
            <w:pPr>
              <w:spacing w:after="0"/>
              <w:jc w:val="right"/>
              <w:rPr>
                <w:rFonts w:cs="Times New Roman"/>
                <w:b/>
                <w:bCs/>
                <w:color w:val="000000"/>
                <w:szCs w:val="24"/>
                <w:lang w:val="lv-LV"/>
              </w:rPr>
            </w:pPr>
            <w:r w:rsidRPr="008239CF">
              <w:rPr>
                <w:rFonts w:cs="Times New Roman"/>
                <w:b/>
                <w:bCs/>
                <w:iCs/>
                <w:color w:val="000000"/>
                <w:szCs w:val="24"/>
                <w:lang w:val="lv-LV"/>
              </w:rPr>
              <w:t xml:space="preserve">30 000 000 </w:t>
            </w:r>
          </w:p>
        </w:tc>
      </w:tr>
    </w:tbl>
    <w:p w14:paraId="3A3822D5" w14:textId="77777777" w:rsidR="008239CF" w:rsidRPr="008239CF" w:rsidRDefault="008239CF" w:rsidP="008239CF">
      <w:pPr>
        <w:tabs>
          <w:tab w:val="left" w:pos="426"/>
        </w:tabs>
        <w:ind w:firstLine="709"/>
        <w:rPr>
          <w:rFonts w:cs="Times New Roman"/>
          <w:szCs w:val="24"/>
          <w:lang w:val="lv-LV"/>
        </w:rPr>
      </w:pPr>
    </w:p>
    <w:p w14:paraId="6407A056" w14:textId="6FACAC99" w:rsidR="00105C87" w:rsidRPr="000256E7" w:rsidRDefault="000256E7" w:rsidP="002C24FA">
      <w:pPr>
        <w:spacing w:before="120"/>
        <w:ind w:firstLine="720"/>
        <w:rPr>
          <w:rFonts w:cs="Times New Roman"/>
          <w:szCs w:val="24"/>
          <w:lang w:val="lv-LV"/>
        </w:rPr>
      </w:pPr>
      <w:r w:rsidRPr="000256E7">
        <w:rPr>
          <w:rFonts w:cs="Times New Roman"/>
          <w:szCs w:val="24"/>
          <w:lang w:val="lv-LV"/>
        </w:rPr>
        <w:t xml:space="preserve">Pēdējos gados ir vērojamas lielas iepirkuma cenu svārstības pienam, cūkgaļai, liellopu gaļai un citām dzīvnieku izcelsmes izejvielām. Lai mazinātu lauksaimnieku finanšu plūsmas nekontrolējamas svārstības un nodrošinātu to konkurētspēju starp Baltijas valstīm, ir nepieciešamas saglabāt valsts atbalstu lopkopības sektorā un kopējā nepieciešamā summa būtu 24 083 810 </w:t>
      </w:r>
      <w:r w:rsidRPr="000256E7">
        <w:rPr>
          <w:rFonts w:cs="Times New Roman"/>
          <w:i/>
          <w:szCs w:val="24"/>
          <w:lang w:val="lv-LV"/>
        </w:rPr>
        <w:t>euro</w:t>
      </w:r>
      <w:r w:rsidRPr="000256E7">
        <w:rPr>
          <w:rFonts w:cs="Times New Roman"/>
          <w:szCs w:val="24"/>
          <w:lang w:val="lv-LV"/>
        </w:rPr>
        <w:t xml:space="preserve">. Papildu valsts finansējums lopkopības attīstībai 2022. gadam ir plānots 24 000 000 </w:t>
      </w:r>
      <w:r w:rsidRPr="000256E7">
        <w:rPr>
          <w:rFonts w:cs="Times New Roman"/>
          <w:i/>
          <w:szCs w:val="24"/>
          <w:lang w:val="lv-LV"/>
        </w:rPr>
        <w:t>euro</w:t>
      </w:r>
      <w:r w:rsidRPr="000256E7">
        <w:rPr>
          <w:rFonts w:cs="Times New Roman"/>
          <w:szCs w:val="24"/>
          <w:lang w:val="lv-LV"/>
        </w:rPr>
        <w:t xml:space="preserve">, lai izlīdzinātu </w:t>
      </w:r>
      <w:r>
        <w:rPr>
          <w:rFonts w:cs="Times New Roman"/>
          <w:szCs w:val="24"/>
          <w:lang w:val="lv-LV"/>
        </w:rPr>
        <w:t>kopējās lauksaimniecības politikas</w:t>
      </w:r>
      <w:r w:rsidRPr="000256E7">
        <w:rPr>
          <w:rFonts w:cs="Times New Roman"/>
          <w:szCs w:val="24"/>
          <w:lang w:val="lv-LV"/>
        </w:rPr>
        <w:t xml:space="preserve"> finansējuma līmeni starp Latvijā, Lietuvā un Igaunijā </w:t>
      </w:r>
      <w:r>
        <w:rPr>
          <w:rFonts w:cs="Times New Roman"/>
          <w:szCs w:val="24"/>
          <w:lang w:val="lv-LV"/>
        </w:rPr>
        <w:t xml:space="preserve">izmaksājamo kopējo finansējumu. </w:t>
      </w:r>
      <w:r w:rsidRPr="000256E7">
        <w:rPr>
          <w:rFonts w:cs="Times New Roman"/>
          <w:szCs w:val="24"/>
          <w:lang w:val="lv-LV"/>
        </w:rPr>
        <w:t>Minētais finansējums nodrošinās valsts atbalsta turpināšanu lopkopības nozarei ciltsdarba maksājumu veidā.</w:t>
      </w:r>
    </w:p>
    <w:p w14:paraId="46CB7EEC" w14:textId="6582771D" w:rsidR="00B232B5" w:rsidRDefault="000256E7" w:rsidP="000256E7">
      <w:pPr>
        <w:jc w:val="center"/>
        <w:rPr>
          <w:b/>
          <w:sz w:val="22"/>
          <w:lang w:val="lv-LV"/>
        </w:rPr>
      </w:pPr>
      <w:r>
        <w:rPr>
          <w:rFonts w:eastAsiaTheme="minorHAnsi" w:cs="Times New Roman"/>
          <w:b/>
          <w:bCs/>
          <w:i/>
          <w:iCs/>
          <w:sz w:val="22"/>
          <w:lang w:val="lv-LV"/>
        </w:rPr>
        <w:t>2.3.7</w:t>
      </w:r>
      <w:r w:rsidRPr="00FA3BB1">
        <w:rPr>
          <w:rFonts w:eastAsiaTheme="minorHAnsi" w:cs="Times New Roman"/>
          <w:b/>
          <w:bCs/>
          <w:i/>
          <w:iCs/>
          <w:sz w:val="22"/>
          <w:lang w:val="lv-LV"/>
        </w:rPr>
        <w:t>. tabula</w:t>
      </w:r>
      <w:r w:rsidRPr="00FA3BB1">
        <w:rPr>
          <w:rFonts w:eastAsiaTheme="minorHAnsi" w:cs="Times New Roman"/>
          <w:b/>
          <w:bCs/>
          <w:sz w:val="22"/>
          <w:lang w:val="lv-LV"/>
        </w:rPr>
        <w:t xml:space="preserve"> </w:t>
      </w:r>
      <w:r w:rsidRPr="000256E7">
        <w:rPr>
          <w:b/>
          <w:sz w:val="22"/>
          <w:lang w:val="lv-LV"/>
        </w:rPr>
        <w:t>Finansējums valsts atbalstam vaislas lauksaimniecības dzīvnieku ierakstīšanai ciltsgrāmatā, kā arī to ģenētiskās kvalitātes noteikšanai un produktivitātes datu izvērtēšanai 2022. gadam</w:t>
      </w:r>
    </w:p>
    <w:tbl>
      <w:tblPr>
        <w:tblW w:w="8788" w:type="dxa"/>
        <w:tblInd w:w="274" w:type="dxa"/>
        <w:tblLook w:val="04A0" w:firstRow="1" w:lastRow="0" w:firstColumn="1" w:lastColumn="0" w:noHBand="0" w:noVBand="1"/>
      </w:tblPr>
      <w:tblGrid>
        <w:gridCol w:w="1789"/>
        <w:gridCol w:w="2180"/>
        <w:gridCol w:w="2693"/>
        <w:gridCol w:w="2126"/>
      </w:tblGrid>
      <w:tr w:rsidR="000256E7" w:rsidRPr="000256E7" w14:paraId="1D1F96C6" w14:textId="77777777" w:rsidTr="000256E7">
        <w:trPr>
          <w:trHeight w:val="1309"/>
        </w:trPr>
        <w:tc>
          <w:tcPr>
            <w:tcW w:w="17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7EFB69" w14:textId="77777777" w:rsidR="000256E7" w:rsidRPr="000256E7" w:rsidRDefault="000256E7" w:rsidP="00DB4A03">
            <w:pPr>
              <w:spacing w:after="0" w:line="240" w:lineRule="auto"/>
              <w:rPr>
                <w:rFonts w:eastAsia="Times New Roman" w:cs="Times New Roman"/>
                <w:color w:val="000000"/>
                <w:szCs w:val="24"/>
                <w:lang w:val="lv-LV" w:eastAsia="lv-LV"/>
              </w:rPr>
            </w:pPr>
            <w:r w:rsidRPr="000256E7">
              <w:rPr>
                <w:rFonts w:eastAsia="Times New Roman" w:cs="Times New Roman"/>
                <w:bCs/>
                <w:color w:val="000000"/>
                <w:szCs w:val="24"/>
                <w:lang w:val="lv-LV" w:eastAsia="lv-LV"/>
              </w:rPr>
              <w:t>Nozare</w:t>
            </w:r>
          </w:p>
        </w:tc>
        <w:tc>
          <w:tcPr>
            <w:tcW w:w="2180" w:type="dxa"/>
            <w:tcBorders>
              <w:top w:val="single" w:sz="8" w:space="0" w:color="auto"/>
              <w:left w:val="nil"/>
              <w:bottom w:val="single" w:sz="8" w:space="0" w:color="auto"/>
              <w:right w:val="single" w:sz="8" w:space="0" w:color="auto"/>
            </w:tcBorders>
            <w:shd w:val="clear" w:color="auto" w:fill="auto"/>
            <w:vAlign w:val="center"/>
            <w:hideMark/>
          </w:tcPr>
          <w:p w14:paraId="5C7F8D89"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Prognozētais vaislas dzīvnieku skaits</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2465A8ED"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Ciltsdarba pakalpojuma groza izcenojums 70 % apmērā</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14:paraId="6B0E42A5"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 xml:space="preserve">Plānotais finansējums, </w:t>
            </w:r>
            <w:r w:rsidRPr="000256E7">
              <w:rPr>
                <w:rFonts w:eastAsia="Times New Roman" w:cs="Times New Roman"/>
                <w:b/>
                <w:bCs/>
                <w:i/>
                <w:iCs/>
                <w:color w:val="000000"/>
                <w:szCs w:val="24"/>
                <w:lang w:val="lv-LV" w:eastAsia="lv-LV"/>
              </w:rPr>
              <w:t>euro*</w:t>
            </w:r>
          </w:p>
        </w:tc>
      </w:tr>
      <w:tr w:rsidR="000256E7" w:rsidRPr="000256E7" w14:paraId="1C314B4E" w14:textId="77777777" w:rsidTr="000256E7">
        <w:trPr>
          <w:trHeight w:val="330"/>
        </w:trPr>
        <w:tc>
          <w:tcPr>
            <w:tcW w:w="1789" w:type="dxa"/>
            <w:tcBorders>
              <w:top w:val="nil"/>
              <w:left w:val="single" w:sz="8" w:space="0" w:color="auto"/>
              <w:bottom w:val="single" w:sz="8" w:space="0" w:color="auto"/>
              <w:right w:val="single" w:sz="8" w:space="0" w:color="auto"/>
            </w:tcBorders>
            <w:shd w:val="clear" w:color="auto" w:fill="auto"/>
            <w:noWrap/>
            <w:vAlign w:val="center"/>
            <w:hideMark/>
          </w:tcPr>
          <w:p w14:paraId="5FE7F3E2" w14:textId="77777777" w:rsidR="000256E7" w:rsidRPr="000256E7" w:rsidRDefault="000256E7" w:rsidP="00DB4A03">
            <w:pPr>
              <w:spacing w:after="0" w:line="240" w:lineRule="auto"/>
              <w:rPr>
                <w:rFonts w:eastAsia="Times New Roman" w:cs="Times New Roman"/>
                <w:color w:val="000000"/>
                <w:szCs w:val="24"/>
                <w:lang w:val="lv-LV" w:eastAsia="lv-LV"/>
              </w:rPr>
            </w:pPr>
            <w:r w:rsidRPr="000256E7">
              <w:rPr>
                <w:rFonts w:eastAsia="Times New Roman" w:cs="Times New Roman"/>
                <w:bCs/>
                <w:color w:val="000000"/>
                <w:szCs w:val="24"/>
                <w:lang w:val="lv-LV" w:eastAsia="lv-LV"/>
              </w:rPr>
              <w:t>Cūkkopība</w:t>
            </w:r>
          </w:p>
        </w:tc>
        <w:tc>
          <w:tcPr>
            <w:tcW w:w="2180" w:type="dxa"/>
            <w:tcBorders>
              <w:top w:val="nil"/>
              <w:left w:val="nil"/>
              <w:bottom w:val="single" w:sz="8" w:space="0" w:color="auto"/>
              <w:right w:val="single" w:sz="8" w:space="0" w:color="auto"/>
            </w:tcBorders>
            <w:shd w:val="clear" w:color="auto" w:fill="auto"/>
            <w:vAlign w:val="center"/>
            <w:hideMark/>
          </w:tcPr>
          <w:p w14:paraId="608409A7"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29 110</w:t>
            </w:r>
          </w:p>
        </w:tc>
        <w:tc>
          <w:tcPr>
            <w:tcW w:w="2693" w:type="dxa"/>
            <w:tcBorders>
              <w:top w:val="nil"/>
              <w:left w:val="nil"/>
              <w:bottom w:val="single" w:sz="8" w:space="0" w:color="auto"/>
              <w:right w:val="single" w:sz="8" w:space="0" w:color="auto"/>
            </w:tcBorders>
            <w:shd w:val="clear" w:color="auto" w:fill="auto"/>
            <w:vAlign w:val="center"/>
            <w:hideMark/>
          </w:tcPr>
          <w:p w14:paraId="447342BB"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239,92</w:t>
            </w:r>
          </w:p>
        </w:tc>
        <w:tc>
          <w:tcPr>
            <w:tcW w:w="2126" w:type="dxa"/>
            <w:tcBorders>
              <w:top w:val="nil"/>
              <w:left w:val="nil"/>
              <w:bottom w:val="single" w:sz="8" w:space="0" w:color="auto"/>
              <w:right w:val="single" w:sz="8" w:space="0" w:color="auto"/>
            </w:tcBorders>
            <w:shd w:val="clear" w:color="auto" w:fill="auto"/>
            <w:noWrap/>
            <w:vAlign w:val="center"/>
            <w:hideMark/>
          </w:tcPr>
          <w:p w14:paraId="14D3CB77"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6 984 071</w:t>
            </w:r>
          </w:p>
        </w:tc>
      </w:tr>
      <w:tr w:rsidR="000256E7" w:rsidRPr="000256E7" w14:paraId="6CD6CF14" w14:textId="77777777" w:rsidTr="000256E7">
        <w:trPr>
          <w:trHeight w:val="330"/>
        </w:trPr>
        <w:tc>
          <w:tcPr>
            <w:tcW w:w="1789" w:type="dxa"/>
            <w:tcBorders>
              <w:top w:val="nil"/>
              <w:left w:val="single" w:sz="8" w:space="0" w:color="auto"/>
              <w:bottom w:val="single" w:sz="8" w:space="0" w:color="auto"/>
              <w:right w:val="single" w:sz="8" w:space="0" w:color="auto"/>
            </w:tcBorders>
            <w:shd w:val="clear" w:color="auto" w:fill="auto"/>
            <w:noWrap/>
            <w:vAlign w:val="center"/>
            <w:hideMark/>
          </w:tcPr>
          <w:p w14:paraId="2A22B638" w14:textId="77777777" w:rsidR="000256E7" w:rsidRPr="000256E7" w:rsidRDefault="000256E7" w:rsidP="00DB4A03">
            <w:pPr>
              <w:spacing w:after="0" w:line="240" w:lineRule="auto"/>
              <w:rPr>
                <w:rFonts w:eastAsia="Times New Roman" w:cs="Times New Roman"/>
                <w:color w:val="000000"/>
                <w:szCs w:val="24"/>
                <w:lang w:val="lv-LV" w:eastAsia="lv-LV"/>
              </w:rPr>
            </w:pPr>
            <w:r w:rsidRPr="000256E7">
              <w:rPr>
                <w:rFonts w:eastAsia="Times New Roman" w:cs="Times New Roman"/>
                <w:bCs/>
                <w:color w:val="000000"/>
                <w:szCs w:val="24"/>
                <w:lang w:val="lv-LV" w:eastAsia="lv-LV"/>
              </w:rPr>
              <w:t>Piensaimniecība</w:t>
            </w:r>
          </w:p>
        </w:tc>
        <w:tc>
          <w:tcPr>
            <w:tcW w:w="2180" w:type="dxa"/>
            <w:tcBorders>
              <w:top w:val="nil"/>
              <w:left w:val="nil"/>
              <w:bottom w:val="single" w:sz="8" w:space="0" w:color="auto"/>
              <w:right w:val="single" w:sz="8" w:space="0" w:color="auto"/>
            </w:tcBorders>
            <w:shd w:val="clear" w:color="auto" w:fill="auto"/>
            <w:vAlign w:val="center"/>
            <w:hideMark/>
          </w:tcPr>
          <w:p w14:paraId="10B555BE"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117 300</w:t>
            </w:r>
          </w:p>
        </w:tc>
        <w:tc>
          <w:tcPr>
            <w:tcW w:w="2693" w:type="dxa"/>
            <w:tcBorders>
              <w:top w:val="nil"/>
              <w:left w:val="nil"/>
              <w:bottom w:val="single" w:sz="8" w:space="0" w:color="auto"/>
              <w:right w:val="single" w:sz="8" w:space="0" w:color="auto"/>
            </w:tcBorders>
            <w:shd w:val="clear" w:color="auto" w:fill="auto"/>
            <w:vAlign w:val="center"/>
            <w:hideMark/>
          </w:tcPr>
          <w:p w14:paraId="17A713DF"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99,98</w:t>
            </w:r>
          </w:p>
        </w:tc>
        <w:tc>
          <w:tcPr>
            <w:tcW w:w="2126" w:type="dxa"/>
            <w:tcBorders>
              <w:top w:val="nil"/>
              <w:left w:val="nil"/>
              <w:bottom w:val="single" w:sz="8" w:space="0" w:color="auto"/>
              <w:right w:val="single" w:sz="8" w:space="0" w:color="auto"/>
            </w:tcBorders>
            <w:shd w:val="clear" w:color="auto" w:fill="auto"/>
            <w:noWrap/>
            <w:vAlign w:val="center"/>
            <w:hideMark/>
          </w:tcPr>
          <w:p w14:paraId="7FB20E2D"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11 727 654</w:t>
            </w:r>
          </w:p>
        </w:tc>
      </w:tr>
      <w:tr w:rsidR="000256E7" w:rsidRPr="000256E7" w14:paraId="14913250" w14:textId="77777777" w:rsidTr="000256E7">
        <w:trPr>
          <w:trHeight w:val="330"/>
        </w:trPr>
        <w:tc>
          <w:tcPr>
            <w:tcW w:w="1789" w:type="dxa"/>
            <w:tcBorders>
              <w:top w:val="nil"/>
              <w:left w:val="single" w:sz="8" w:space="0" w:color="auto"/>
              <w:bottom w:val="single" w:sz="8" w:space="0" w:color="auto"/>
              <w:right w:val="single" w:sz="8" w:space="0" w:color="auto"/>
            </w:tcBorders>
            <w:shd w:val="clear" w:color="auto" w:fill="auto"/>
            <w:noWrap/>
            <w:vAlign w:val="center"/>
            <w:hideMark/>
          </w:tcPr>
          <w:p w14:paraId="07D3207D" w14:textId="77777777" w:rsidR="000256E7" w:rsidRPr="000256E7" w:rsidRDefault="000256E7" w:rsidP="00DB4A03">
            <w:pPr>
              <w:spacing w:after="0" w:line="240" w:lineRule="auto"/>
              <w:rPr>
                <w:rFonts w:eastAsia="Times New Roman" w:cs="Times New Roman"/>
                <w:color w:val="000000"/>
                <w:szCs w:val="24"/>
                <w:lang w:val="lv-LV" w:eastAsia="lv-LV"/>
              </w:rPr>
            </w:pPr>
            <w:r w:rsidRPr="000256E7">
              <w:rPr>
                <w:rFonts w:eastAsia="Times New Roman" w:cs="Times New Roman"/>
                <w:bCs/>
                <w:color w:val="000000"/>
                <w:szCs w:val="24"/>
                <w:lang w:val="lv-LV" w:eastAsia="lv-LV"/>
              </w:rPr>
              <w:t>Zīdītājgovis</w:t>
            </w:r>
          </w:p>
        </w:tc>
        <w:tc>
          <w:tcPr>
            <w:tcW w:w="2180" w:type="dxa"/>
            <w:tcBorders>
              <w:top w:val="nil"/>
              <w:left w:val="nil"/>
              <w:bottom w:val="single" w:sz="8" w:space="0" w:color="auto"/>
              <w:right w:val="single" w:sz="8" w:space="0" w:color="auto"/>
            </w:tcBorders>
            <w:shd w:val="clear" w:color="auto" w:fill="auto"/>
            <w:vAlign w:val="center"/>
            <w:hideMark/>
          </w:tcPr>
          <w:p w14:paraId="49921661"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48 147</w:t>
            </w:r>
          </w:p>
        </w:tc>
        <w:tc>
          <w:tcPr>
            <w:tcW w:w="2693" w:type="dxa"/>
            <w:tcBorders>
              <w:top w:val="nil"/>
              <w:left w:val="nil"/>
              <w:bottom w:val="single" w:sz="8" w:space="0" w:color="auto"/>
              <w:right w:val="single" w:sz="8" w:space="0" w:color="auto"/>
            </w:tcBorders>
            <w:shd w:val="clear" w:color="auto" w:fill="auto"/>
            <w:vAlign w:val="center"/>
            <w:hideMark/>
          </w:tcPr>
          <w:p w14:paraId="04715F35"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95,99</w:t>
            </w:r>
          </w:p>
        </w:tc>
        <w:tc>
          <w:tcPr>
            <w:tcW w:w="2126" w:type="dxa"/>
            <w:tcBorders>
              <w:top w:val="nil"/>
              <w:left w:val="nil"/>
              <w:bottom w:val="single" w:sz="8" w:space="0" w:color="auto"/>
              <w:right w:val="single" w:sz="8" w:space="0" w:color="auto"/>
            </w:tcBorders>
            <w:shd w:val="clear" w:color="auto" w:fill="auto"/>
            <w:noWrap/>
            <w:vAlign w:val="center"/>
            <w:hideMark/>
          </w:tcPr>
          <w:p w14:paraId="0C5E312D"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4 621 631</w:t>
            </w:r>
          </w:p>
        </w:tc>
      </w:tr>
      <w:tr w:rsidR="000256E7" w:rsidRPr="000256E7" w14:paraId="1DAA6CF9" w14:textId="77777777" w:rsidTr="000256E7">
        <w:trPr>
          <w:trHeight w:val="330"/>
        </w:trPr>
        <w:tc>
          <w:tcPr>
            <w:tcW w:w="1789" w:type="dxa"/>
            <w:tcBorders>
              <w:top w:val="nil"/>
              <w:left w:val="single" w:sz="8" w:space="0" w:color="auto"/>
              <w:bottom w:val="single" w:sz="8" w:space="0" w:color="auto"/>
              <w:right w:val="single" w:sz="8" w:space="0" w:color="auto"/>
            </w:tcBorders>
            <w:shd w:val="clear" w:color="auto" w:fill="auto"/>
            <w:noWrap/>
            <w:vAlign w:val="center"/>
            <w:hideMark/>
          </w:tcPr>
          <w:p w14:paraId="2143EBEC" w14:textId="77777777" w:rsidR="000256E7" w:rsidRPr="000256E7" w:rsidRDefault="000256E7" w:rsidP="00DB4A03">
            <w:pPr>
              <w:spacing w:after="0" w:line="240" w:lineRule="auto"/>
              <w:rPr>
                <w:rFonts w:eastAsia="Times New Roman" w:cs="Times New Roman"/>
                <w:color w:val="000000"/>
                <w:szCs w:val="24"/>
                <w:lang w:val="lv-LV" w:eastAsia="lv-LV"/>
              </w:rPr>
            </w:pPr>
            <w:r w:rsidRPr="000256E7">
              <w:rPr>
                <w:rFonts w:eastAsia="Times New Roman" w:cs="Times New Roman"/>
                <w:bCs/>
                <w:color w:val="000000"/>
                <w:szCs w:val="24"/>
                <w:lang w:val="lv-LV" w:eastAsia="lv-LV"/>
              </w:rPr>
              <w:t>Aitkopība</w:t>
            </w:r>
          </w:p>
        </w:tc>
        <w:tc>
          <w:tcPr>
            <w:tcW w:w="2180" w:type="dxa"/>
            <w:tcBorders>
              <w:top w:val="nil"/>
              <w:left w:val="nil"/>
              <w:bottom w:val="single" w:sz="8" w:space="0" w:color="auto"/>
              <w:right w:val="single" w:sz="8" w:space="0" w:color="auto"/>
            </w:tcBorders>
            <w:shd w:val="clear" w:color="auto" w:fill="auto"/>
            <w:vAlign w:val="center"/>
            <w:hideMark/>
          </w:tcPr>
          <w:p w14:paraId="45BE93CD"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16 000</w:t>
            </w:r>
          </w:p>
        </w:tc>
        <w:tc>
          <w:tcPr>
            <w:tcW w:w="2693" w:type="dxa"/>
            <w:tcBorders>
              <w:top w:val="nil"/>
              <w:left w:val="nil"/>
              <w:bottom w:val="single" w:sz="8" w:space="0" w:color="auto"/>
              <w:right w:val="single" w:sz="8" w:space="0" w:color="auto"/>
            </w:tcBorders>
            <w:shd w:val="clear" w:color="auto" w:fill="auto"/>
            <w:vAlign w:val="center"/>
            <w:hideMark/>
          </w:tcPr>
          <w:p w14:paraId="3B38FBDC"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36,01</w:t>
            </w:r>
          </w:p>
        </w:tc>
        <w:tc>
          <w:tcPr>
            <w:tcW w:w="2126" w:type="dxa"/>
            <w:tcBorders>
              <w:top w:val="nil"/>
              <w:left w:val="nil"/>
              <w:bottom w:val="single" w:sz="8" w:space="0" w:color="auto"/>
              <w:right w:val="single" w:sz="8" w:space="0" w:color="auto"/>
            </w:tcBorders>
            <w:shd w:val="clear" w:color="auto" w:fill="auto"/>
            <w:noWrap/>
            <w:vAlign w:val="center"/>
            <w:hideMark/>
          </w:tcPr>
          <w:p w14:paraId="1422FF57"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576 160</w:t>
            </w:r>
          </w:p>
        </w:tc>
      </w:tr>
      <w:tr w:rsidR="000256E7" w:rsidRPr="000256E7" w14:paraId="3AA1485B" w14:textId="77777777" w:rsidTr="000256E7">
        <w:trPr>
          <w:trHeight w:val="330"/>
        </w:trPr>
        <w:tc>
          <w:tcPr>
            <w:tcW w:w="1789" w:type="dxa"/>
            <w:tcBorders>
              <w:top w:val="nil"/>
              <w:left w:val="single" w:sz="8" w:space="0" w:color="auto"/>
              <w:bottom w:val="single" w:sz="8" w:space="0" w:color="auto"/>
              <w:right w:val="single" w:sz="8" w:space="0" w:color="auto"/>
            </w:tcBorders>
            <w:shd w:val="clear" w:color="auto" w:fill="auto"/>
            <w:noWrap/>
            <w:vAlign w:val="center"/>
            <w:hideMark/>
          </w:tcPr>
          <w:p w14:paraId="2E23410F" w14:textId="77777777" w:rsidR="000256E7" w:rsidRPr="000256E7" w:rsidRDefault="000256E7" w:rsidP="00DB4A03">
            <w:pPr>
              <w:spacing w:after="0" w:line="240" w:lineRule="auto"/>
              <w:rPr>
                <w:rFonts w:eastAsia="Times New Roman" w:cs="Times New Roman"/>
                <w:color w:val="000000"/>
                <w:szCs w:val="24"/>
                <w:lang w:val="lv-LV" w:eastAsia="lv-LV"/>
              </w:rPr>
            </w:pPr>
            <w:r w:rsidRPr="000256E7">
              <w:rPr>
                <w:rFonts w:eastAsia="Times New Roman" w:cs="Times New Roman"/>
                <w:bCs/>
                <w:color w:val="000000"/>
                <w:szCs w:val="24"/>
                <w:lang w:val="lv-LV" w:eastAsia="lv-LV"/>
              </w:rPr>
              <w:t>Kazkopība</w:t>
            </w:r>
          </w:p>
        </w:tc>
        <w:tc>
          <w:tcPr>
            <w:tcW w:w="2180" w:type="dxa"/>
            <w:tcBorders>
              <w:top w:val="nil"/>
              <w:left w:val="nil"/>
              <w:bottom w:val="single" w:sz="8" w:space="0" w:color="auto"/>
              <w:right w:val="single" w:sz="8" w:space="0" w:color="auto"/>
            </w:tcBorders>
            <w:shd w:val="clear" w:color="auto" w:fill="auto"/>
            <w:vAlign w:val="center"/>
            <w:hideMark/>
          </w:tcPr>
          <w:p w14:paraId="1983A38F"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1 776</w:t>
            </w:r>
          </w:p>
        </w:tc>
        <w:tc>
          <w:tcPr>
            <w:tcW w:w="2693" w:type="dxa"/>
            <w:tcBorders>
              <w:top w:val="nil"/>
              <w:left w:val="nil"/>
              <w:bottom w:val="single" w:sz="8" w:space="0" w:color="auto"/>
              <w:right w:val="single" w:sz="8" w:space="0" w:color="auto"/>
            </w:tcBorders>
            <w:shd w:val="clear" w:color="auto" w:fill="auto"/>
            <w:vAlign w:val="center"/>
            <w:hideMark/>
          </w:tcPr>
          <w:p w14:paraId="6A2666E2"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36,35</w:t>
            </w:r>
          </w:p>
        </w:tc>
        <w:tc>
          <w:tcPr>
            <w:tcW w:w="2126" w:type="dxa"/>
            <w:tcBorders>
              <w:top w:val="nil"/>
              <w:left w:val="nil"/>
              <w:bottom w:val="single" w:sz="8" w:space="0" w:color="auto"/>
              <w:right w:val="single" w:sz="8" w:space="0" w:color="auto"/>
            </w:tcBorders>
            <w:shd w:val="clear" w:color="auto" w:fill="auto"/>
            <w:noWrap/>
            <w:vAlign w:val="center"/>
            <w:hideMark/>
          </w:tcPr>
          <w:p w14:paraId="5E45E64F"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64 558</w:t>
            </w:r>
          </w:p>
        </w:tc>
      </w:tr>
      <w:tr w:rsidR="000256E7" w:rsidRPr="000256E7" w14:paraId="26B06F82" w14:textId="77777777" w:rsidTr="000256E7">
        <w:trPr>
          <w:trHeight w:val="330"/>
        </w:trPr>
        <w:tc>
          <w:tcPr>
            <w:tcW w:w="1789" w:type="dxa"/>
            <w:tcBorders>
              <w:top w:val="nil"/>
              <w:left w:val="single" w:sz="8" w:space="0" w:color="auto"/>
              <w:bottom w:val="single" w:sz="8" w:space="0" w:color="auto"/>
              <w:right w:val="single" w:sz="8" w:space="0" w:color="auto"/>
            </w:tcBorders>
            <w:shd w:val="clear" w:color="auto" w:fill="auto"/>
            <w:noWrap/>
            <w:vAlign w:val="center"/>
            <w:hideMark/>
          </w:tcPr>
          <w:p w14:paraId="586194DD" w14:textId="77777777" w:rsidR="000256E7" w:rsidRPr="000256E7" w:rsidRDefault="000256E7" w:rsidP="00DB4A03">
            <w:pPr>
              <w:spacing w:after="0" w:line="240" w:lineRule="auto"/>
              <w:rPr>
                <w:rFonts w:eastAsia="Times New Roman" w:cs="Times New Roman"/>
                <w:color w:val="000000"/>
                <w:szCs w:val="24"/>
                <w:lang w:val="lv-LV" w:eastAsia="lv-LV"/>
              </w:rPr>
            </w:pPr>
            <w:r w:rsidRPr="000256E7">
              <w:rPr>
                <w:rFonts w:eastAsia="Times New Roman" w:cs="Times New Roman"/>
                <w:bCs/>
                <w:color w:val="000000"/>
                <w:szCs w:val="24"/>
                <w:lang w:val="lv-LV" w:eastAsia="lv-LV"/>
              </w:rPr>
              <w:t>Zirgkopība</w:t>
            </w:r>
          </w:p>
        </w:tc>
        <w:tc>
          <w:tcPr>
            <w:tcW w:w="2180" w:type="dxa"/>
            <w:tcBorders>
              <w:top w:val="nil"/>
              <w:left w:val="nil"/>
              <w:bottom w:val="single" w:sz="8" w:space="0" w:color="auto"/>
              <w:right w:val="single" w:sz="8" w:space="0" w:color="auto"/>
            </w:tcBorders>
            <w:shd w:val="clear" w:color="auto" w:fill="auto"/>
            <w:vAlign w:val="center"/>
            <w:hideMark/>
          </w:tcPr>
          <w:p w14:paraId="3298B8E7"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450</w:t>
            </w:r>
          </w:p>
        </w:tc>
        <w:tc>
          <w:tcPr>
            <w:tcW w:w="2693" w:type="dxa"/>
            <w:tcBorders>
              <w:top w:val="nil"/>
              <w:left w:val="nil"/>
              <w:bottom w:val="single" w:sz="8" w:space="0" w:color="auto"/>
              <w:right w:val="single" w:sz="8" w:space="0" w:color="auto"/>
            </w:tcBorders>
            <w:shd w:val="clear" w:color="auto" w:fill="auto"/>
            <w:vAlign w:val="center"/>
            <w:hideMark/>
          </w:tcPr>
          <w:p w14:paraId="27FA4EDC" w14:textId="77777777" w:rsidR="000256E7" w:rsidRPr="000256E7" w:rsidRDefault="000256E7" w:rsidP="00DB4A03">
            <w:pPr>
              <w:spacing w:after="0" w:line="240" w:lineRule="auto"/>
              <w:jc w:val="center"/>
              <w:rPr>
                <w:rFonts w:eastAsia="Times New Roman" w:cs="Times New Roman"/>
                <w:color w:val="000000"/>
                <w:szCs w:val="24"/>
                <w:lang w:val="lv-LV" w:eastAsia="lv-LV"/>
              </w:rPr>
            </w:pPr>
            <w:r w:rsidRPr="000256E7">
              <w:rPr>
                <w:rFonts w:eastAsia="Times New Roman" w:cs="Times New Roman"/>
                <w:bCs/>
                <w:color w:val="000000"/>
                <w:szCs w:val="24"/>
                <w:lang w:val="lv-LV" w:eastAsia="lv-LV"/>
              </w:rPr>
              <w:t>243,86</w:t>
            </w:r>
          </w:p>
        </w:tc>
        <w:tc>
          <w:tcPr>
            <w:tcW w:w="2126" w:type="dxa"/>
            <w:tcBorders>
              <w:top w:val="nil"/>
              <w:left w:val="nil"/>
              <w:bottom w:val="single" w:sz="8" w:space="0" w:color="auto"/>
              <w:right w:val="single" w:sz="8" w:space="0" w:color="auto"/>
            </w:tcBorders>
            <w:shd w:val="clear" w:color="auto" w:fill="auto"/>
            <w:noWrap/>
            <w:vAlign w:val="center"/>
            <w:hideMark/>
          </w:tcPr>
          <w:p w14:paraId="48B018B3"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109 737</w:t>
            </w:r>
          </w:p>
        </w:tc>
      </w:tr>
      <w:tr w:rsidR="000256E7" w:rsidRPr="000256E7" w14:paraId="45BB20BB" w14:textId="77777777" w:rsidTr="000256E7">
        <w:trPr>
          <w:trHeight w:val="330"/>
        </w:trPr>
        <w:tc>
          <w:tcPr>
            <w:tcW w:w="666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9B297F4"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Kopā</w:t>
            </w:r>
          </w:p>
        </w:tc>
        <w:tc>
          <w:tcPr>
            <w:tcW w:w="2126" w:type="dxa"/>
            <w:tcBorders>
              <w:top w:val="nil"/>
              <w:left w:val="nil"/>
              <w:bottom w:val="single" w:sz="8" w:space="0" w:color="auto"/>
              <w:right w:val="single" w:sz="8" w:space="0" w:color="auto"/>
            </w:tcBorders>
            <w:shd w:val="clear" w:color="auto" w:fill="auto"/>
            <w:noWrap/>
            <w:vAlign w:val="center"/>
            <w:hideMark/>
          </w:tcPr>
          <w:p w14:paraId="337C61A7" w14:textId="77777777" w:rsidR="000256E7" w:rsidRPr="000256E7" w:rsidRDefault="000256E7" w:rsidP="00DB4A03">
            <w:pPr>
              <w:spacing w:after="0" w:line="240" w:lineRule="auto"/>
              <w:jc w:val="center"/>
              <w:rPr>
                <w:rFonts w:eastAsia="Times New Roman" w:cs="Times New Roman"/>
                <w:b/>
                <w:bCs/>
                <w:color w:val="000000"/>
                <w:szCs w:val="24"/>
                <w:lang w:val="lv-LV" w:eastAsia="lv-LV"/>
              </w:rPr>
            </w:pPr>
            <w:r w:rsidRPr="000256E7">
              <w:rPr>
                <w:rFonts w:eastAsia="Times New Roman" w:cs="Times New Roman"/>
                <w:b/>
                <w:bCs/>
                <w:color w:val="000000"/>
                <w:szCs w:val="24"/>
                <w:lang w:val="lv-LV" w:eastAsia="lv-LV"/>
              </w:rPr>
              <w:t>24 083 810</w:t>
            </w:r>
          </w:p>
        </w:tc>
      </w:tr>
    </w:tbl>
    <w:p w14:paraId="59208281" w14:textId="6B03798C" w:rsidR="000256E7" w:rsidRPr="000256E7" w:rsidRDefault="000256E7" w:rsidP="000256E7">
      <w:pPr>
        <w:jc w:val="center"/>
        <w:rPr>
          <w:sz w:val="22"/>
          <w:lang w:val="lv-LV"/>
        </w:rPr>
      </w:pPr>
      <w:r w:rsidRPr="000256E7">
        <w:rPr>
          <w:sz w:val="22"/>
          <w:lang w:val="lv-LV"/>
        </w:rPr>
        <w:t xml:space="preserve">* - </w:t>
      </w:r>
      <w:r w:rsidRPr="00F23B5F">
        <w:rPr>
          <w:i/>
          <w:sz w:val="22"/>
          <w:lang w:val="lv-LV"/>
        </w:rPr>
        <w:t>summas noteiktas preventīvi un tās var mainīties pa sugām atkarībā no faktiskā dzīvnieku skaita</w:t>
      </w:r>
    </w:p>
    <w:p w14:paraId="77525DB4" w14:textId="013D21EA" w:rsidR="00F23B5F" w:rsidRPr="00F23B5F" w:rsidRDefault="00F23B5F" w:rsidP="00F23B5F">
      <w:pPr>
        <w:spacing w:before="120"/>
        <w:ind w:firstLine="720"/>
        <w:rPr>
          <w:rFonts w:cs="Times New Roman"/>
          <w:szCs w:val="24"/>
          <w:lang w:val="lv-LV"/>
        </w:rPr>
      </w:pPr>
      <w:r w:rsidRPr="00F23B5F">
        <w:rPr>
          <w:rFonts w:cs="Times New Roman"/>
          <w:szCs w:val="24"/>
          <w:lang w:val="lv-LV"/>
        </w:rPr>
        <w:t>Ir ļoti svarīgi lauksaimniecībā izmantojamiem zinātnes pētījumu un lauksaimniecības zinātnisko institūciju materiāli tehniskās bāzes pilnveidošana, tāpēc 2022.</w:t>
      </w:r>
      <w:r>
        <w:rPr>
          <w:rFonts w:cs="Times New Roman"/>
          <w:szCs w:val="24"/>
          <w:lang w:val="lv-LV"/>
        </w:rPr>
        <w:t xml:space="preserve"> </w:t>
      </w:r>
      <w:r w:rsidRPr="00F23B5F">
        <w:rPr>
          <w:rFonts w:cs="Times New Roman"/>
          <w:szCs w:val="24"/>
          <w:lang w:val="lv-LV"/>
        </w:rPr>
        <w:t xml:space="preserve">gadam </w:t>
      </w:r>
      <w:r>
        <w:rPr>
          <w:rFonts w:cs="Times New Roman"/>
          <w:szCs w:val="24"/>
          <w:lang w:val="lv-LV"/>
        </w:rPr>
        <w:t xml:space="preserve">ZM plāno izlietot 3,0 milj. </w:t>
      </w:r>
      <w:r>
        <w:rPr>
          <w:rFonts w:cs="Times New Roman"/>
          <w:i/>
          <w:szCs w:val="24"/>
          <w:lang w:val="lv-LV"/>
        </w:rPr>
        <w:t>e</w:t>
      </w:r>
      <w:r w:rsidRPr="00F23B5F">
        <w:rPr>
          <w:rFonts w:cs="Times New Roman"/>
          <w:i/>
          <w:szCs w:val="24"/>
          <w:lang w:val="lv-LV"/>
        </w:rPr>
        <w:t>u</w:t>
      </w:r>
      <w:r>
        <w:rPr>
          <w:rFonts w:cs="Times New Roman"/>
          <w:i/>
          <w:szCs w:val="24"/>
          <w:lang w:val="lv-LV"/>
        </w:rPr>
        <w:t>r</w:t>
      </w:r>
      <w:r w:rsidRPr="00F23B5F">
        <w:rPr>
          <w:rFonts w:cs="Times New Roman"/>
          <w:i/>
          <w:szCs w:val="24"/>
          <w:lang w:val="lv-LV"/>
        </w:rPr>
        <w:t>o</w:t>
      </w:r>
      <w:r w:rsidRPr="00F23B5F">
        <w:rPr>
          <w:rFonts w:cs="Times New Roman"/>
          <w:szCs w:val="24"/>
          <w:lang w:val="lv-LV"/>
        </w:rPr>
        <w:t xml:space="preserve">. </w:t>
      </w:r>
    </w:p>
    <w:p w14:paraId="2DE1B76E" w14:textId="211013A3" w:rsidR="00F23B5F" w:rsidRPr="00F23B5F" w:rsidRDefault="00F23B5F" w:rsidP="00F23B5F">
      <w:pPr>
        <w:spacing w:before="120"/>
        <w:ind w:firstLine="720"/>
        <w:rPr>
          <w:rFonts w:cs="Times New Roman"/>
          <w:szCs w:val="24"/>
          <w:lang w:val="lv-LV"/>
        </w:rPr>
      </w:pPr>
      <w:r>
        <w:rPr>
          <w:rFonts w:cs="Times New Roman"/>
          <w:szCs w:val="24"/>
          <w:lang w:val="lv-LV"/>
        </w:rPr>
        <w:t>ZM</w:t>
      </w:r>
      <w:r w:rsidRPr="00F23B5F">
        <w:rPr>
          <w:rFonts w:cs="Times New Roman"/>
          <w:szCs w:val="24"/>
          <w:lang w:val="lv-LV"/>
        </w:rPr>
        <w:t>, izstrādājot Kopējās lauksaimniecības politikas stratēģisko plānu 2023. – 2027.</w:t>
      </w:r>
      <w:r>
        <w:rPr>
          <w:rFonts w:cs="Times New Roman"/>
          <w:szCs w:val="24"/>
          <w:lang w:val="lv-LV"/>
        </w:rPr>
        <w:t xml:space="preserve"> </w:t>
      </w:r>
      <w:r w:rsidRPr="00F23B5F">
        <w:rPr>
          <w:rFonts w:cs="Times New Roman"/>
          <w:szCs w:val="24"/>
          <w:lang w:val="lv-LV"/>
        </w:rPr>
        <w:t>gadam ir paredzējusi pēc iespējas vairāk izmantot finanšu instrumentus</w:t>
      </w:r>
      <w:r>
        <w:rPr>
          <w:rFonts w:cs="Times New Roman"/>
          <w:szCs w:val="24"/>
          <w:lang w:val="lv-LV"/>
        </w:rPr>
        <w:t xml:space="preserve"> un pievērst lielu vērību </w:t>
      </w:r>
      <w:r>
        <w:rPr>
          <w:rFonts w:cs="Times New Roman"/>
          <w:szCs w:val="24"/>
          <w:lang w:val="lv-LV"/>
        </w:rPr>
        <w:lastRenderedPageBreak/>
        <w:t xml:space="preserve">vides </w:t>
      </w:r>
      <w:r w:rsidRPr="00F23B5F">
        <w:rPr>
          <w:rFonts w:cs="Times New Roman"/>
          <w:szCs w:val="24"/>
          <w:lang w:val="lv-LV"/>
        </w:rPr>
        <w:t xml:space="preserve">un klimata pārmaiņu jautājumiem, kā arī iespējami plaši ieviest risku pārvaldības instrumentus. Lai īstenotu iecerēto atbalsta reformu lauksaimniecības, mežsaimniecības un lauksaimniecības produktu pārstrādes jomās, </w:t>
      </w:r>
      <w:r>
        <w:rPr>
          <w:rFonts w:cs="Times New Roman"/>
          <w:szCs w:val="24"/>
          <w:lang w:val="lv-LV"/>
        </w:rPr>
        <w:t>ZM</w:t>
      </w:r>
      <w:r w:rsidRPr="00F23B5F">
        <w:rPr>
          <w:rFonts w:cs="Times New Roman"/>
          <w:szCs w:val="24"/>
          <w:lang w:val="lv-LV"/>
        </w:rPr>
        <w:t xml:space="preserve"> būs nepieciešama zinātniski pamatota argumentācija ieplānoto izmaiņu ieviešanai. </w:t>
      </w:r>
    </w:p>
    <w:p w14:paraId="4746C64F" w14:textId="1198213E" w:rsidR="00F23B5F" w:rsidRPr="00F23B5F" w:rsidRDefault="00F23B5F" w:rsidP="00F23B5F">
      <w:pPr>
        <w:spacing w:before="120"/>
        <w:ind w:firstLine="720"/>
        <w:rPr>
          <w:rFonts w:cs="Times New Roman"/>
          <w:szCs w:val="24"/>
          <w:lang w:val="lv-LV"/>
        </w:rPr>
      </w:pPr>
      <w:r>
        <w:rPr>
          <w:rFonts w:cs="Times New Roman"/>
          <w:szCs w:val="24"/>
          <w:lang w:val="lv-LV"/>
        </w:rPr>
        <w:t>ZM</w:t>
      </w:r>
      <w:r w:rsidRPr="00F23B5F">
        <w:rPr>
          <w:rFonts w:cs="Times New Roman"/>
          <w:szCs w:val="24"/>
          <w:lang w:val="lv-LV"/>
        </w:rPr>
        <w:t xml:space="preserve"> vērtējumā pieprasītais finansējums noteikts, vērtējot iepriekšējo gadu tendences par vidējo finansējuma nepieciešamību šajās jomās, bet ņemts vērā arī piesardzības princips par atbalstāmajiem iesniegumiem.     </w:t>
      </w:r>
    </w:p>
    <w:p w14:paraId="0132AC41" w14:textId="3CB43BA6" w:rsidR="00F23B5F" w:rsidRPr="00F23B5F" w:rsidRDefault="00F23B5F" w:rsidP="00F23B5F">
      <w:pPr>
        <w:spacing w:before="120"/>
        <w:ind w:firstLine="720"/>
        <w:rPr>
          <w:rFonts w:cs="Times New Roman"/>
          <w:szCs w:val="24"/>
          <w:lang w:val="lv-LV"/>
        </w:rPr>
      </w:pPr>
      <w:r w:rsidRPr="00F23B5F">
        <w:rPr>
          <w:rFonts w:cs="Times New Roman"/>
          <w:szCs w:val="24"/>
          <w:lang w:val="lv-LV"/>
        </w:rPr>
        <w:t xml:space="preserve">Minētais finansējums nodrošinās, šajā plānošanas periodā uzsākto atbalsta pasākumu turpināšanos nozaru konkurētspējas stiprināšanai, investīciju veicināšanai lauksaimniecībā un investīcijas materiālās bāzes pilnveidošanai, kā arī </w:t>
      </w:r>
      <w:r>
        <w:rPr>
          <w:rFonts w:cs="Times New Roman"/>
          <w:szCs w:val="24"/>
          <w:lang w:val="lv-LV"/>
        </w:rPr>
        <w:t>ZM</w:t>
      </w:r>
      <w:r w:rsidRPr="00F23B5F">
        <w:rPr>
          <w:rFonts w:cs="Times New Roman"/>
          <w:szCs w:val="24"/>
          <w:lang w:val="lv-LV"/>
        </w:rPr>
        <w:t xml:space="preserve"> pasūtītos pētījumus valsts vajadzībām, kuru mērķis ir ar zinātniskās pētniecības palīdzību veicināt nozares attīstību un konkrētu problēmu risināšanu attiecīgās valsts pārvaldes institūcijas kompetences jomā. </w:t>
      </w:r>
      <w:r>
        <w:rPr>
          <w:rFonts w:cs="Times New Roman"/>
          <w:szCs w:val="24"/>
          <w:lang w:val="lv-LV"/>
        </w:rPr>
        <w:t>ZM</w:t>
      </w:r>
      <w:r w:rsidRPr="00F23B5F">
        <w:rPr>
          <w:rFonts w:cs="Times New Roman"/>
          <w:szCs w:val="24"/>
          <w:lang w:val="lv-LV"/>
        </w:rPr>
        <w:t xml:space="preserve"> šādus pētījumus pasūta konkursa kārtībā sava  budžeta ietvaros.</w:t>
      </w:r>
    </w:p>
    <w:p w14:paraId="061B6216" w14:textId="2EDB4F6F" w:rsidR="00F23B5F" w:rsidRPr="00F23B5F" w:rsidRDefault="00F23B5F" w:rsidP="00F23B5F">
      <w:pPr>
        <w:tabs>
          <w:tab w:val="num" w:pos="720"/>
        </w:tabs>
        <w:spacing w:line="240" w:lineRule="auto"/>
        <w:ind w:firstLine="709"/>
        <w:rPr>
          <w:rFonts w:cs="Times New Roman"/>
          <w:szCs w:val="24"/>
          <w:lang w:val="lv-LV"/>
        </w:rPr>
      </w:pPr>
      <w:r>
        <w:rPr>
          <w:rFonts w:cs="Times New Roman"/>
          <w:szCs w:val="24"/>
          <w:lang w:val="lv-LV"/>
        </w:rPr>
        <w:t>ZM</w:t>
      </w:r>
      <w:r w:rsidRPr="00F23B5F">
        <w:rPr>
          <w:rFonts w:cs="Times New Roman"/>
          <w:szCs w:val="24"/>
          <w:lang w:val="lv-LV"/>
        </w:rPr>
        <w:t xml:space="preserve"> uzskata, ka ir nepieciešams turpināt valsts atbalstu mazo lauksaimniecības ražotāju ienākumu stabilizēš</w:t>
      </w:r>
      <w:r w:rsidR="007B3F40">
        <w:rPr>
          <w:rFonts w:cs="Times New Roman"/>
          <w:szCs w:val="24"/>
          <w:lang w:val="lv-LV"/>
        </w:rPr>
        <w:t xml:space="preserve">anai, paredzot tam finansējumu 3,0 milj. </w:t>
      </w:r>
      <w:r w:rsidR="007B3F40" w:rsidRPr="007B3F40">
        <w:rPr>
          <w:rFonts w:cs="Times New Roman"/>
          <w:i/>
          <w:szCs w:val="24"/>
          <w:lang w:val="lv-LV"/>
        </w:rPr>
        <w:t>euro</w:t>
      </w:r>
      <w:r w:rsidR="007B3F40">
        <w:rPr>
          <w:rFonts w:cs="Times New Roman"/>
          <w:szCs w:val="24"/>
          <w:lang w:val="lv-LV"/>
        </w:rPr>
        <w:t xml:space="preserve"> </w:t>
      </w:r>
      <w:r w:rsidRPr="00F23B5F">
        <w:rPr>
          <w:rFonts w:cs="Times New Roman"/>
          <w:iCs/>
          <w:szCs w:val="24"/>
          <w:lang w:val="lv-LV"/>
        </w:rPr>
        <w:t>apmērā</w:t>
      </w:r>
      <w:r w:rsidRPr="00F23B5F">
        <w:rPr>
          <w:rFonts w:cs="Times New Roman"/>
          <w:szCs w:val="24"/>
          <w:lang w:val="lv-LV"/>
        </w:rPr>
        <w:t xml:space="preserve">. Mazo lauksaimniecības ražotāju ienākumu stabilizēšanas valsts atbalsts nodrošinās aptuveni trīspadsmit tūkstošs saimniecībām ienākumu atbalstu līdz 1000 </w:t>
      </w:r>
      <w:r w:rsidR="007B3F40" w:rsidRPr="007B3F40">
        <w:rPr>
          <w:rFonts w:cs="Times New Roman"/>
          <w:i/>
          <w:szCs w:val="24"/>
          <w:lang w:val="lv-LV"/>
        </w:rPr>
        <w:t>euro</w:t>
      </w:r>
      <w:r w:rsidRPr="00F23B5F">
        <w:rPr>
          <w:rFonts w:cs="Times New Roman"/>
          <w:szCs w:val="24"/>
          <w:lang w:val="lv-LV"/>
        </w:rPr>
        <w:t xml:space="preserve"> uz saimniecību, ko kopumā veidotu ES tiešie maksājumi un papildu valsts atbalsts mazajiem ražojošiem lauksaimniekiem. A</w:t>
      </w:r>
      <w:r w:rsidRPr="00F23B5F">
        <w:rPr>
          <w:rFonts w:cs="Times New Roman"/>
          <w:bCs/>
          <w:szCs w:val="24"/>
          <w:lang w:val="lv-LV"/>
        </w:rPr>
        <w:t>tbalsts</w:t>
      </w:r>
      <w:r w:rsidRPr="00F23B5F">
        <w:rPr>
          <w:rFonts w:cs="Times New Roman"/>
          <w:szCs w:val="24"/>
          <w:lang w:val="lv-LV"/>
        </w:rPr>
        <w:t xml:space="preserve"> nodro</w:t>
      </w:r>
      <w:r w:rsidR="007B3F40">
        <w:rPr>
          <w:rFonts w:cs="Times New Roman"/>
          <w:szCs w:val="24"/>
          <w:lang w:val="lv-LV"/>
        </w:rPr>
        <w:t>šinās papildu ienākumus līdz 50</w:t>
      </w:r>
      <w:r w:rsidRPr="00F23B5F">
        <w:rPr>
          <w:rFonts w:cs="Times New Roman"/>
          <w:szCs w:val="24"/>
          <w:lang w:val="lv-LV"/>
        </w:rPr>
        <w:t>% apmērā no ES tiešajiem maksājumiem par 2021.</w:t>
      </w:r>
      <w:r w:rsidR="007B3F40">
        <w:rPr>
          <w:rFonts w:cs="Times New Roman"/>
          <w:szCs w:val="24"/>
          <w:lang w:val="lv-LV"/>
        </w:rPr>
        <w:t xml:space="preserve"> </w:t>
      </w:r>
      <w:r w:rsidRPr="00F23B5F">
        <w:rPr>
          <w:rFonts w:cs="Times New Roman"/>
          <w:szCs w:val="24"/>
          <w:lang w:val="lv-LV"/>
        </w:rPr>
        <w:t xml:space="preserve">gadu, kas veido no 50 </w:t>
      </w:r>
      <w:r w:rsidR="007B5231" w:rsidRPr="007B3F40">
        <w:rPr>
          <w:rFonts w:cs="Times New Roman"/>
          <w:i/>
          <w:szCs w:val="24"/>
          <w:lang w:val="lv-LV"/>
        </w:rPr>
        <w:t>euro</w:t>
      </w:r>
      <w:r w:rsidR="007B5231">
        <w:rPr>
          <w:rFonts w:cs="Times New Roman"/>
          <w:szCs w:val="24"/>
          <w:lang w:val="lv-LV"/>
        </w:rPr>
        <w:t xml:space="preserve"> līdz 333,3</w:t>
      </w:r>
      <w:r w:rsidRPr="00F23B5F">
        <w:rPr>
          <w:rFonts w:cs="Times New Roman"/>
          <w:szCs w:val="24"/>
          <w:lang w:val="lv-LV"/>
        </w:rPr>
        <w:t xml:space="preserve"> </w:t>
      </w:r>
      <w:r w:rsidR="007B5231" w:rsidRPr="007B3F40">
        <w:rPr>
          <w:rFonts w:cs="Times New Roman"/>
          <w:i/>
          <w:szCs w:val="24"/>
          <w:lang w:val="lv-LV"/>
        </w:rPr>
        <w:t>euro</w:t>
      </w:r>
      <w:r w:rsidRPr="00F23B5F">
        <w:rPr>
          <w:rFonts w:cs="Times New Roman"/>
          <w:szCs w:val="24"/>
          <w:lang w:val="lv-LV"/>
        </w:rPr>
        <w:t xml:space="preserve"> saimniecībai, bet nepārsniegs summu, ko veido starpība starp saņemto ES tiešo maksājumu summu par 2021.</w:t>
      </w:r>
      <w:r w:rsidR="007B5231">
        <w:rPr>
          <w:rFonts w:cs="Times New Roman"/>
          <w:szCs w:val="24"/>
          <w:lang w:val="lv-LV"/>
        </w:rPr>
        <w:t xml:space="preserve"> </w:t>
      </w:r>
      <w:r w:rsidRPr="00F23B5F">
        <w:rPr>
          <w:rFonts w:cs="Times New Roman"/>
          <w:szCs w:val="24"/>
          <w:lang w:val="lv-LV"/>
        </w:rPr>
        <w:t xml:space="preserve">gadu un 1 000 </w:t>
      </w:r>
      <w:r w:rsidR="007B5231" w:rsidRPr="007B3F40">
        <w:rPr>
          <w:rFonts w:cs="Times New Roman"/>
          <w:i/>
          <w:szCs w:val="24"/>
          <w:lang w:val="lv-LV"/>
        </w:rPr>
        <w:t>euro</w:t>
      </w:r>
      <w:r w:rsidRPr="00F23B5F">
        <w:rPr>
          <w:rFonts w:cs="Times New Roman"/>
          <w:szCs w:val="24"/>
          <w:lang w:val="lv-LV"/>
        </w:rPr>
        <w:t xml:space="preserve">. </w:t>
      </w:r>
    </w:p>
    <w:p w14:paraId="638EA814" w14:textId="6D00C1B3" w:rsidR="00F23B5F" w:rsidRPr="00F23B5F" w:rsidRDefault="00F23B5F" w:rsidP="00F23B5F">
      <w:pPr>
        <w:tabs>
          <w:tab w:val="num" w:pos="720"/>
        </w:tabs>
        <w:spacing w:line="240" w:lineRule="auto"/>
        <w:ind w:firstLine="709"/>
        <w:rPr>
          <w:rFonts w:cs="Times New Roman"/>
          <w:szCs w:val="24"/>
          <w:lang w:val="lv-LV"/>
        </w:rPr>
      </w:pPr>
      <w:r w:rsidRPr="00F23B5F">
        <w:rPr>
          <w:rFonts w:cs="Times New Roman"/>
          <w:szCs w:val="24"/>
          <w:lang w:val="lv-LV"/>
        </w:rPr>
        <w:t xml:space="preserve"> </w:t>
      </w:r>
      <w:r w:rsidR="007B5231">
        <w:rPr>
          <w:rFonts w:cs="Times New Roman"/>
          <w:szCs w:val="24"/>
          <w:lang w:val="lv-LV"/>
        </w:rPr>
        <w:t>ZM</w:t>
      </w:r>
      <w:r w:rsidRPr="00F23B5F">
        <w:rPr>
          <w:rFonts w:cs="Times New Roman"/>
          <w:szCs w:val="24"/>
          <w:lang w:val="lv-LV"/>
        </w:rPr>
        <w:t xml:space="preserve"> ieskatā ir svarīgi sniegt šādu ienākumu valsts atbalstu mazajiem lauksaimniecības ražotājiem papildu ES tiešmaksājumiem, lai veicinātu šo ražotāju konkurētspēju un stimulētu to integrēšanos tirgū, kā arī sekmētu to dzīvotspēju un lauku teritoriju attīstību kopumā.</w:t>
      </w:r>
    </w:p>
    <w:p w14:paraId="72D2E90B" w14:textId="7448C9F5" w:rsidR="00F23B5F" w:rsidRPr="00F23B5F" w:rsidRDefault="00F23B5F" w:rsidP="00F23B5F">
      <w:pPr>
        <w:spacing w:line="240" w:lineRule="auto"/>
        <w:rPr>
          <w:rFonts w:cs="Times New Roman"/>
          <w:szCs w:val="24"/>
          <w:lang w:val="lv-LV"/>
        </w:rPr>
      </w:pPr>
      <w:r w:rsidRPr="00F23B5F">
        <w:rPr>
          <w:rFonts w:cs="Times New Roman"/>
          <w:szCs w:val="24"/>
          <w:lang w:val="lv-LV"/>
        </w:rPr>
        <w:tab/>
        <w:t>Valsts atbalsts ir maksājums, lai nodrošinātu garantētu atbalstu lauksaimniekiem augkopības un lopkopības jomā, nodrošinot vienlīdzīgu konkurenci ar citām ES dalībvalstīm un nepieļautu būtisku atbalsta samazinājumu lauksaimniecības nozarē. Lai nodrošinātu lauksaimniekiem valsts atbalstu iepriekšējo gadu līmenī līdz šī plānošanas perioda beigām, 2022.  gadā ir nepi</w:t>
      </w:r>
      <w:r w:rsidR="007B5231">
        <w:rPr>
          <w:rFonts w:cs="Times New Roman"/>
          <w:szCs w:val="24"/>
          <w:lang w:val="lv-LV"/>
        </w:rPr>
        <w:t xml:space="preserve">eciešams papildu finansējums 30,0 milj. </w:t>
      </w:r>
      <w:r w:rsidR="007B5231" w:rsidRPr="007B5231">
        <w:rPr>
          <w:rFonts w:cs="Times New Roman"/>
          <w:i/>
          <w:szCs w:val="24"/>
          <w:lang w:val="lv-LV"/>
        </w:rPr>
        <w:t>euro</w:t>
      </w:r>
      <w:r w:rsidRPr="00F23B5F">
        <w:rPr>
          <w:rFonts w:cs="Times New Roman"/>
          <w:szCs w:val="24"/>
          <w:lang w:val="lv-LV"/>
        </w:rPr>
        <w:t xml:space="preserve">. Valsts atbalsts ciltsdarba maksājumiem, lauksaimniecībā izmantojamiem zinātnes pētījumiem un lauksaimniecības zinātnisko institūciju materiāli tehniskās bāzes pilnveidošanai ir saskaņots ar EK, un tas ir saderīgs ar iekšējo </w:t>
      </w:r>
      <w:r w:rsidR="007B5231">
        <w:rPr>
          <w:rFonts w:cs="Times New Roman"/>
          <w:szCs w:val="24"/>
          <w:lang w:val="lv-LV"/>
        </w:rPr>
        <w:t>ES</w:t>
      </w:r>
      <w:r w:rsidRPr="00F23B5F">
        <w:rPr>
          <w:rFonts w:cs="Times New Roman"/>
          <w:szCs w:val="24"/>
          <w:lang w:val="lv-LV"/>
        </w:rPr>
        <w:t xml:space="preserve"> tirgu.</w:t>
      </w:r>
    </w:p>
    <w:p w14:paraId="62A54288" w14:textId="536A7AB3" w:rsidR="000256E7" w:rsidRPr="00B232B5" w:rsidRDefault="000256E7" w:rsidP="00B232B5">
      <w:pPr>
        <w:rPr>
          <w:lang w:val="lv-LV"/>
        </w:rPr>
      </w:pPr>
    </w:p>
    <w:p w14:paraId="29D3316E" w14:textId="65532A63" w:rsidR="00D01CB6" w:rsidRDefault="00D01CB6" w:rsidP="004C1C06">
      <w:pPr>
        <w:pStyle w:val="Heading2"/>
        <w:numPr>
          <w:ilvl w:val="1"/>
          <w:numId w:val="46"/>
        </w:numPr>
        <w:ind w:left="0" w:firstLine="0"/>
      </w:pPr>
      <w:bookmarkStart w:id="21" w:name="_Toc80178413"/>
      <w:r w:rsidRPr="004F5F3A">
        <w:t>Valsts b</w:t>
      </w:r>
      <w:r w:rsidR="00F2777C">
        <w:t>udžeta paskaidrojumos ietverto p</w:t>
      </w:r>
      <w:r w:rsidRPr="004F5F3A">
        <w:t xml:space="preserve">olitikas rezultatīvo rādītāju </w:t>
      </w:r>
      <w:r w:rsidR="00A32506" w:rsidRPr="00A32506">
        <w:t xml:space="preserve">izpildes un </w:t>
      </w:r>
      <w:r w:rsidRPr="004F5F3A">
        <w:t>sasaistes ar finansējumu analīze</w:t>
      </w:r>
      <w:bookmarkEnd w:id="21"/>
    </w:p>
    <w:p w14:paraId="71E77030" w14:textId="77777777" w:rsidR="001617E7" w:rsidRPr="001617E7" w:rsidRDefault="001617E7" w:rsidP="001617E7">
      <w:pPr>
        <w:ind w:firstLine="720"/>
        <w:rPr>
          <w:rFonts w:cs="Times New Roman"/>
          <w:szCs w:val="24"/>
          <w:lang w:val="lv-LV"/>
        </w:rPr>
      </w:pPr>
      <w:r w:rsidRPr="001617E7">
        <w:rPr>
          <w:rFonts w:cs="Times New Roman"/>
          <w:szCs w:val="24"/>
          <w:lang w:val="lv-LV"/>
        </w:rPr>
        <w:t>No 2017. gada ir pilnveidoti budžeta paskaidrojumi un tajos tiek ietverta informācija par valsts budžetu kā politikas realizācijas instrumentu, tostarp sniedzot priekšstatu par sagaidāmajiem ieguvumiem publisko finanšu līdzekļu sadales rezultātā. Būtiska loma paskaidrojumos ietvertajās politikas un resursu vadības kartēs ir politikas rezultatīvajiem rādītājiem, ar kuru palīdzību iespējams izvērtēt ieguldīto resursu (finanšu un cilvēkresursu) izlietojumu atbilstoši politikas mērķim. Politikas rezultatīvajiem rādītājiem, pamatojoties uz attīstības plānošanas dokumentiem un piešķirto finansējumu, par jomu atbildīgā iestāde nosaka sasniedzamās plānotās vērtības, kā arī ikgadēji atskaitās par politikas rezultatīvo rādītāju izpildi.</w:t>
      </w:r>
    </w:p>
    <w:p w14:paraId="66C949A8" w14:textId="703392EB" w:rsidR="00DB4A03" w:rsidRPr="001617E7" w:rsidRDefault="001617E7" w:rsidP="00105C87">
      <w:pPr>
        <w:ind w:firstLine="720"/>
        <w:rPr>
          <w:rFonts w:cs="Times New Roman"/>
          <w:szCs w:val="24"/>
          <w:lang w:val="lv-LV"/>
        </w:rPr>
      </w:pPr>
      <w:r w:rsidRPr="001617E7">
        <w:rPr>
          <w:rFonts w:cs="Times New Roman"/>
          <w:szCs w:val="24"/>
          <w:lang w:val="lv-LV"/>
        </w:rPr>
        <w:lastRenderedPageBreak/>
        <w:t>Ņemot vērā, ka 2020. gadā noslēdzās plānošanas periods 2014. – 2020. gadam, būtiski ir aplūkot, vai tika sasniegtas 2020. gadam noteiktās politikas rezultatīvo rādītāju plānotās vērtības, kā arī kāda ir bijusi politikas rezultatīvo rādītāju sasaiste ar konkrētajai politikas jomai piešķirto finansējumu. Izdevumu pārskatīšanas ietvaros tika analizēti 2020. gada budžeta paskaidrojumos iekļautie 235 politikas rezultatīvie rādītāji. Svarīgi atzīmēt, ka atsevišķos gadījumos, kad nav pieejama plāna/izpildes vērtība 2020. gadam, aprēķinos tika izmantota iepriekšē</w:t>
      </w:r>
      <w:r w:rsidR="009B1A4B">
        <w:rPr>
          <w:rFonts w:cs="Times New Roman"/>
          <w:szCs w:val="24"/>
          <w:lang w:val="lv-LV"/>
        </w:rPr>
        <w:t>jā gada plāna/izpildes vērtība.</w:t>
      </w:r>
    </w:p>
    <w:p w14:paraId="4DA3FB5A"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2.4.1. attēls</w:t>
      </w:r>
      <w:r w:rsidRPr="001617E7">
        <w:rPr>
          <w:rFonts w:cs="Times New Roman"/>
          <w:b/>
          <w:bCs/>
          <w:sz w:val="22"/>
          <w:lang w:val="lv-LV"/>
        </w:rPr>
        <w:t xml:space="preserve"> 2020. gada politikas un resursu vadības kartēs iekļauto politikas rezultatīvo rādītāju plāna izpildes līmenis (%)</w:t>
      </w:r>
    </w:p>
    <w:p w14:paraId="26EE77E6" w14:textId="77777777" w:rsidR="001617E7" w:rsidRPr="001617E7" w:rsidRDefault="001617E7" w:rsidP="001617E7">
      <w:pPr>
        <w:jc w:val="center"/>
        <w:rPr>
          <w:rFonts w:cs="Times New Roman"/>
          <w:b/>
          <w:bCs/>
          <w:sz w:val="22"/>
          <w:lang w:val="lv-LV"/>
        </w:rPr>
      </w:pPr>
      <w:r w:rsidRPr="001617E7">
        <w:rPr>
          <w:rFonts w:asciiTheme="minorHAnsi" w:hAnsiTheme="minorHAnsi"/>
          <w:noProof/>
          <w:sz w:val="22"/>
          <w:lang w:val="lv-LV" w:eastAsia="lv-LV"/>
        </w:rPr>
        <w:drawing>
          <wp:inline distT="0" distB="0" distL="0" distR="0" wp14:anchorId="06A095B5" wp14:editId="44628396">
            <wp:extent cx="5247409" cy="2566555"/>
            <wp:effectExtent l="0" t="0" r="10795" b="5715"/>
            <wp:docPr id="40" name="Chart 40">
              <a:extLst xmlns:a="http://schemas.openxmlformats.org/drawingml/2006/main">
                <a:ext uri="{FF2B5EF4-FFF2-40B4-BE49-F238E27FC236}">
                  <a16:creationId xmlns:a16="http://schemas.microsoft.com/office/drawing/2014/main" id="{18539B10-8DEA-431B-8445-6F019D591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FE3696D" w14:textId="48C2061C" w:rsidR="002C24FA" w:rsidRPr="002C24FA" w:rsidRDefault="001617E7" w:rsidP="002C24FA">
      <w:pPr>
        <w:ind w:firstLine="720"/>
        <w:rPr>
          <w:rFonts w:cs="Times New Roman"/>
          <w:szCs w:val="24"/>
          <w:lang w:val="lv-LV"/>
        </w:rPr>
      </w:pPr>
      <w:r w:rsidRPr="001617E7">
        <w:rPr>
          <w:rFonts w:cs="Times New Roman"/>
          <w:szCs w:val="24"/>
          <w:lang w:val="lv-LV"/>
        </w:rPr>
        <w:t>Kā redzams attēlā Nr. 2.4.1., veiktās analīzes rezultāti liecina, ka politikas rezultatīvo rādītāju plāna līmenis 100% apmērā 2020. gadā ir sasniegts 51% no visiem politikas rezultatīvajiem rādītājiem un 99 līdz 90% apmērā – 18% no visiem politikas rezultatīvajiem rādītājiem. Savukārt 89 līdz 70% apmērā plāna izpildes līmenis 2020. gadā ir sasniegts 11%</w:t>
      </w:r>
      <w:r w:rsidR="00CF64D3">
        <w:rPr>
          <w:rFonts w:cs="Times New Roman"/>
          <w:szCs w:val="24"/>
          <w:lang w:val="lv-LV"/>
        </w:rPr>
        <w:t xml:space="preserve"> </w:t>
      </w:r>
      <w:r w:rsidRPr="001617E7">
        <w:rPr>
          <w:rFonts w:cs="Times New Roman"/>
          <w:szCs w:val="24"/>
          <w:lang w:val="lv-LV"/>
        </w:rPr>
        <w:t>no visiem politikas rezultatīvajiem rādītājiem. Salīdzinoši zemāka izpilde – līdz 70% no plāna 2020. gadā ir konstatēta 17% no visiem politikas rezultatīvajiem rādītājiem. Četriem jeb 2% no politikas rezultatīvajiem rādītājiem saistībā ar atbilstošu datu neesamību nav iespējams aprēķināt plāna izpildes līmeni.</w:t>
      </w:r>
    </w:p>
    <w:p w14:paraId="67D94256" w14:textId="2BF98EAE" w:rsidR="001617E7" w:rsidRPr="001617E7" w:rsidRDefault="001617E7" w:rsidP="001617E7">
      <w:pPr>
        <w:jc w:val="center"/>
        <w:rPr>
          <w:rFonts w:cs="Times New Roman"/>
          <w:b/>
          <w:bCs/>
          <w:sz w:val="22"/>
          <w:lang w:val="lv-LV"/>
        </w:rPr>
      </w:pPr>
      <w:r w:rsidRPr="001617E7">
        <w:rPr>
          <w:rFonts w:cs="Times New Roman"/>
          <w:b/>
          <w:bCs/>
          <w:i/>
          <w:iCs/>
          <w:sz w:val="22"/>
          <w:lang w:val="lv-LV"/>
        </w:rPr>
        <w:t>2.4.2. attēls</w:t>
      </w:r>
      <w:r w:rsidRPr="001617E7">
        <w:rPr>
          <w:rFonts w:cs="Times New Roman"/>
          <w:b/>
          <w:bCs/>
          <w:sz w:val="22"/>
          <w:lang w:val="lv-LV"/>
        </w:rPr>
        <w:t xml:space="preserve"> 2020. gada politikas un resursu vadības kartēs iekļauto politikas rezultatīvo rādītāju plāna izpildes līmenis sadalījumā pa resoriem (%)</w:t>
      </w:r>
    </w:p>
    <w:p w14:paraId="14D2DA60" w14:textId="77777777" w:rsidR="001617E7" w:rsidRPr="001617E7" w:rsidRDefault="001617E7" w:rsidP="001617E7">
      <w:pPr>
        <w:jc w:val="center"/>
        <w:rPr>
          <w:rFonts w:cs="Times New Roman"/>
          <w:b/>
          <w:bCs/>
          <w:sz w:val="22"/>
          <w:lang w:val="lv-LV"/>
        </w:rPr>
      </w:pPr>
      <w:r w:rsidRPr="001617E7">
        <w:rPr>
          <w:rFonts w:asciiTheme="minorHAnsi" w:hAnsiTheme="minorHAnsi"/>
          <w:noProof/>
          <w:sz w:val="22"/>
          <w:lang w:val="lv-LV" w:eastAsia="lv-LV"/>
        </w:rPr>
        <w:drawing>
          <wp:inline distT="0" distB="0" distL="0" distR="0" wp14:anchorId="4F14EBAF" wp14:editId="1BA7A5D6">
            <wp:extent cx="5724525" cy="2453833"/>
            <wp:effectExtent l="0" t="0" r="9525" b="3810"/>
            <wp:docPr id="49" name="Chart 49">
              <a:extLst xmlns:a="http://schemas.openxmlformats.org/drawingml/2006/main">
                <a:ext uri="{FF2B5EF4-FFF2-40B4-BE49-F238E27FC236}">
                  <a16:creationId xmlns:a16="http://schemas.microsoft.com/office/drawing/2014/main" id="{F449ACF6-D016-4218-85E3-F00E9936F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8105563" w14:textId="40BBB26D" w:rsidR="001617E7" w:rsidRPr="001617E7" w:rsidRDefault="001617E7" w:rsidP="001617E7">
      <w:pPr>
        <w:ind w:firstLine="720"/>
        <w:rPr>
          <w:rFonts w:cs="Times New Roman"/>
          <w:szCs w:val="24"/>
          <w:lang w:val="lv-LV"/>
        </w:rPr>
      </w:pPr>
      <w:r w:rsidRPr="001617E7">
        <w:rPr>
          <w:rFonts w:cs="Times New Roman"/>
          <w:szCs w:val="24"/>
          <w:lang w:val="lv-LV"/>
        </w:rPr>
        <w:lastRenderedPageBreak/>
        <w:t>Aplūkojot attēlu Nr.</w:t>
      </w:r>
      <w:r w:rsidR="004354AF">
        <w:rPr>
          <w:rFonts w:cs="Times New Roman"/>
          <w:szCs w:val="24"/>
          <w:lang w:val="lv-LV"/>
        </w:rPr>
        <w:t> </w:t>
      </w:r>
      <w:r w:rsidRPr="001617E7">
        <w:rPr>
          <w:rFonts w:cs="Times New Roman"/>
          <w:szCs w:val="24"/>
          <w:lang w:val="lv-LV"/>
        </w:rPr>
        <w:t>2.4.2., secināms, ka 2020. gada politikas rezultatīvo rādītāju plāna izpildes līmenis 100% apmērā ir MK, TB, VK, RTV un 64. resoram, savukārt zemākais 2020. gada politikas rezultatīvo rādītāju plāna izpildes līmenis konstatēts EM – 73,4% apmērā un SM – 77,0% apmērā. Apkopojums par visu budžeta resoru 2020. gada politikas rezultatīvo rādītāju plāna izpildes līmeni (%) sadalījumā pa politikas un resursu vadības kartēm ietverts pielikumā Nr.</w:t>
      </w:r>
      <w:r w:rsidR="004354AF">
        <w:rPr>
          <w:rFonts w:cs="Times New Roman"/>
          <w:szCs w:val="24"/>
          <w:lang w:val="lv-LV"/>
        </w:rPr>
        <w:t> </w:t>
      </w:r>
      <w:r w:rsidRPr="001617E7">
        <w:rPr>
          <w:rFonts w:cs="Times New Roman"/>
          <w:szCs w:val="24"/>
          <w:lang w:val="lv-LV"/>
        </w:rPr>
        <w:t>2.</w:t>
      </w:r>
    </w:p>
    <w:p w14:paraId="5109C683" w14:textId="659ED596" w:rsidR="001617E7" w:rsidRDefault="001617E7" w:rsidP="007C3F9C">
      <w:pPr>
        <w:ind w:firstLine="720"/>
        <w:rPr>
          <w:rFonts w:cs="Times New Roman"/>
          <w:szCs w:val="24"/>
          <w:lang w:val="lv-LV"/>
        </w:rPr>
      </w:pPr>
      <w:r w:rsidRPr="001617E7">
        <w:rPr>
          <w:rFonts w:cs="Times New Roman"/>
          <w:lang w:val="lv-LV"/>
        </w:rPr>
        <w:t xml:space="preserve">Kopējā </w:t>
      </w:r>
      <w:r w:rsidRPr="001617E7">
        <w:rPr>
          <w:rFonts w:cs="Times New Roman"/>
          <w:szCs w:val="24"/>
          <w:lang w:val="lv-LV"/>
        </w:rPr>
        <w:t>analīze tika veikta par visiem budžeta resoriem, bet detalizēti saistībā ar politikas un resursu vadības kartēs ietverto finansējumu tika aplūkoti tikai ministriju budžeta paskaidrojumos iekļautie politikas rezultatīvie rādītāji. Svarīgi atzīmēt, ka izdevumiem politikas un resursu vadības kartēs 2020. gadam un turpmākajiem gadiem norādītas plāna vērtības, kā arī ka visbiežāk izdevumu samazinājums politikas un resursu vadības kartēs 2021. gadam un turpmākajiem gadiem saistāms ar to, ka ES fondu finansējums vēl nav sadalīts pa ministrijām un šobrīd plānots 74. resora ”Gadskārtējā valsts budžeta izpildes procesā pārdalāmais finansējums programmā 80.00.00 “Nesadalītais finansējums Eiropas Savienības politiku instrumentu un pārējās ārvalstu finanšu palīdzības līdzfinansēto projektu un pasākumu īstenošanai”, kuru ministrijas var piepra</w:t>
      </w:r>
      <w:r w:rsidR="007C3F9C">
        <w:rPr>
          <w:rFonts w:cs="Times New Roman"/>
          <w:szCs w:val="24"/>
          <w:lang w:val="lv-LV"/>
        </w:rPr>
        <w:t>sīt atbilstoši nepieciešamībai.</w:t>
      </w:r>
    </w:p>
    <w:p w14:paraId="669B80F5" w14:textId="77777777" w:rsidR="004354AF" w:rsidRPr="004354AF" w:rsidRDefault="004354AF" w:rsidP="001617E7">
      <w:pPr>
        <w:rPr>
          <w:rFonts w:cs="Times New Roman"/>
          <w:sz w:val="10"/>
          <w:szCs w:val="10"/>
          <w:lang w:val="lv-LV"/>
        </w:rPr>
      </w:pPr>
      <w:bookmarkStart w:id="22" w:name="_Hlk73616364"/>
    </w:p>
    <w:p w14:paraId="5C4DF861" w14:textId="136A0DAE" w:rsidR="001617E7" w:rsidRPr="001617E7" w:rsidRDefault="001617E7" w:rsidP="001617E7">
      <w:pPr>
        <w:rPr>
          <w:rFonts w:cs="Times New Roman"/>
          <w:b/>
          <w:bCs/>
          <w:szCs w:val="24"/>
          <w:lang w:val="lv-LV"/>
        </w:rPr>
      </w:pPr>
      <w:r w:rsidRPr="001617E7">
        <w:rPr>
          <w:rFonts w:cs="Times New Roman"/>
          <w:b/>
          <w:bCs/>
          <w:szCs w:val="24"/>
          <w:lang w:val="lv-LV"/>
        </w:rPr>
        <w:t>Aizsardzības ministrija</w:t>
      </w:r>
    </w:p>
    <w:p w14:paraId="412D4404" w14:textId="5DB2F910" w:rsidR="000522EF" w:rsidRPr="003A1469" w:rsidRDefault="001617E7" w:rsidP="00DB4A03">
      <w:pPr>
        <w:ind w:firstLine="720"/>
        <w:rPr>
          <w:rFonts w:cs="Times New Roman"/>
          <w:szCs w:val="24"/>
          <w:lang w:val="lv-LV"/>
        </w:rPr>
      </w:pPr>
      <w:r w:rsidRPr="001617E7">
        <w:rPr>
          <w:rFonts w:cs="Times New Roman"/>
          <w:szCs w:val="24"/>
          <w:lang w:val="lv-LV"/>
        </w:rPr>
        <w:t>2020. gada budžeta paskaidrojumos AiM ir trīs politikas un resursu vadības kartes, kurās kopumā iekļauti seši politikas rezultatīvie rādītāji. Vidējais visu AiM politikas rezultatīvo rādītāju plāna izpildes līmenis 2020. gadā ir 98,8%.</w:t>
      </w:r>
    </w:p>
    <w:p w14:paraId="486AEAB6" w14:textId="10F50A43" w:rsidR="001617E7" w:rsidRPr="001617E7" w:rsidRDefault="001617E7" w:rsidP="001617E7">
      <w:pPr>
        <w:jc w:val="center"/>
        <w:rPr>
          <w:rFonts w:cs="Times New Roman"/>
          <w:b/>
          <w:bCs/>
          <w:sz w:val="22"/>
          <w:lang w:val="lv-LV"/>
        </w:rPr>
      </w:pPr>
      <w:r w:rsidRPr="001617E7">
        <w:rPr>
          <w:rFonts w:cs="Times New Roman"/>
          <w:b/>
          <w:bCs/>
          <w:i/>
          <w:iCs/>
          <w:sz w:val="22"/>
          <w:lang w:val="lv-LV"/>
        </w:rPr>
        <w:t>2.4.3. attēls</w:t>
      </w:r>
      <w:r w:rsidRPr="001617E7">
        <w:rPr>
          <w:rFonts w:cs="Times New Roman"/>
          <w:b/>
          <w:bCs/>
          <w:sz w:val="22"/>
          <w:lang w:val="lv-LV"/>
        </w:rPr>
        <w:t xml:space="preserve"> 2020. gada AiM politikas un resursu vadības kartēs iekļauto politikas rezultatīvo rādītāju plāna izpildes līmenis (%)</w:t>
      </w:r>
    </w:p>
    <w:p w14:paraId="48BB27BA"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21EF8AFC" wp14:editId="7DB3B0FF">
            <wp:extent cx="5760085" cy="2076450"/>
            <wp:effectExtent l="0" t="0" r="12065" b="0"/>
            <wp:docPr id="41" name="Chart 41">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EEFDBB8" w14:textId="77777777" w:rsidR="001617E7" w:rsidRPr="001617E7" w:rsidRDefault="001617E7" w:rsidP="001617E7">
      <w:pPr>
        <w:rPr>
          <w:rFonts w:cs="Times New Roman"/>
          <w:szCs w:val="24"/>
          <w:lang w:val="lv-LV"/>
        </w:rPr>
      </w:pPr>
      <w:r w:rsidRPr="001617E7">
        <w:rPr>
          <w:rFonts w:cs="Times New Roman"/>
          <w:szCs w:val="24"/>
          <w:lang w:val="lv-LV"/>
        </w:rPr>
        <w:tab/>
        <w:t xml:space="preserve">Kā redzams attēlā Nr. 2.4.3., divās AiM politikas un resursu vadības kartēs – Nr. 1 “Valsts aizsardzība” un Nr. 2. “Jaunatnes izglītošana valsts aizsardzības jomā” iekļauto politikas rezultatīvo rādītāju 2020. gada vidējais plāna izpildes līmenis ir 100%, savukārt politikas un resursu vadības kartē – Nr. 3 “Valsts politikas īstenošana ģeodēzijas, kartogrāfijas un ģeotelpiskās informācijas jomā” vidējais plāna izpildes līmenis ir 96,5%. </w:t>
      </w:r>
    </w:p>
    <w:p w14:paraId="707DE729" w14:textId="235FCF6E" w:rsidR="00DB4A03" w:rsidRDefault="001617E7" w:rsidP="00105C87">
      <w:pPr>
        <w:ind w:firstLine="720"/>
        <w:rPr>
          <w:rFonts w:cs="Times New Roman"/>
          <w:szCs w:val="24"/>
          <w:lang w:val="lv-LV"/>
        </w:rPr>
      </w:pPr>
      <w:r w:rsidRPr="001617E7">
        <w:rPr>
          <w:rFonts w:cs="Times New Roman"/>
          <w:szCs w:val="24"/>
          <w:lang w:val="lv-LV"/>
        </w:rPr>
        <w:t>Ņemot vērā, ka politikas un resursu vadības kartei – Nr.</w:t>
      </w:r>
      <w:r w:rsidR="004354AF">
        <w:rPr>
          <w:rFonts w:cs="Times New Roman"/>
          <w:szCs w:val="24"/>
          <w:lang w:val="lv-LV"/>
        </w:rPr>
        <w:t> </w:t>
      </w:r>
      <w:r w:rsidRPr="001617E7">
        <w:rPr>
          <w:rFonts w:cs="Times New Roman"/>
          <w:szCs w:val="24"/>
          <w:lang w:val="lv-LV"/>
        </w:rPr>
        <w:t xml:space="preserve">3 “Valsts politikas īstenošana ģeodēzijas, kartogrāfijas un ģeotelpiskās informācijas jomā” ir zemākā plāna izpilde, tad detalizēti tika analizēta šajā politikas un resursu vadības kartē iekļauto politikas rezultatīvo rādītāju izpildes dinamika, kā arī to sasaiste ar piešķirto finansējumu. Konstatēts, ka šajā politikas un resursu vadības kartē 2020. gadā viszemākā plāna izpilde – 89,5% apmērā ir </w:t>
      </w:r>
      <w:r w:rsidRPr="001617E7">
        <w:rPr>
          <w:rFonts w:cs="Times New Roman"/>
          <w:szCs w:val="24"/>
          <w:lang w:val="lv-LV"/>
        </w:rPr>
        <w:lastRenderedPageBreak/>
        <w:t>politikas rezultatīvajam rādītājam “Ģeotelpisko produktu sagatavošana NBS uzdevumu izpildei militārām un sabiedrības vajadzībām (produktu skaits)”.</w:t>
      </w:r>
    </w:p>
    <w:p w14:paraId="7B456220" w14:textId="77777777" w:rsidR="001617E7" w:rsidRPr="001617E7" w:rsidRDefault="001617E7" w:rsidP="001617E7">
      <w:pPr>
        <w:jc w:val="center"/>
        <w:rPr>
          <w:rFonts w:cs="Times New Roman"/>
          <w:b/>
          <w:bCs/>
          <w:szCs w:val="24"/>
          <w:lang w:val="lv-LV"/>
        </w:rPr>
      </w:pPr>
      <w:r w:rsidRPr="001617E7">
        <w:rPr>
          <w:rFonts w:cs="Times New Roman"/>
          <w:b/>
          <w:bCs/>
          <w:i/>
          <w:iCs/>
          <w:sz w:val="22"/>
          <w:lang w:val="lv-LV"/>
        </w:rPr>
        <w:t>2.4.4. attēls</w:t>
      </w:r>
      <w:r w:rsidRPr="001617E7">
        <w:rPr>
          <w:rFonts w:cs="Times New Roman"/>
          <w:b/>
          <w:bCs/>
          <w:sz w:val="22"/>
          <w:lang w:val="lv-LV"/>
        </w:rPr>
        <w:t xml:space="preserve"> Politikas rezultatīvā rādītāja “Ģeotelpisko produktu sagatavošana NBS uzdevumu izpildei militārām un sabiedrības vajadzībām (produktu skaits)” izpildes un plānotās vērtības, un politikas un resursu vadības kartes Nr. 3 “Valsts politikas īstenošana ģeodēzijas, kartogrāfijas un ģeotelpiskās informācijas jomā” izdevumu dinamika (milj. </w:t>
      </w:r>
      <w:r w:rsidRPr="001617E7">
        <w:rPr>
          <w:rFonts w:cs="Times New Roman"/>
          <w:b/>
          <w:bCs/>
          <w:i/>
          <w:iCs/>
          <w:sz w:val="22"/>
          <w:lang w:val="lv-LV"/>
        </w:rPr>
        <w:t>euro</w:t>
      </w:r>
      <w:r w:rsidRPr="001617E7">
        <w:rPr>
          <w:rFonts w:cs="Times New Roman"/>
          <w:b/>
          <w:bCs/>
          <w:sz w:val="22"/>
          <w:lang w:val="lv-LV"/>
        </w:rPr>
        <w:t>)</w:t>
      </w:r>
    </w:p>
    <w:p w14:paraId="2FD2709E"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719A2377" wp14:editId="414F7DBF">
            <wp:extent cx="5760085" cy="2943225"/>
            <wp:effectExtent l="0" t="0" r="12065" b="9525"/>
            <wp:docPr id="42" name="Chart 42">
              <a:extLst xmlns:a="http://schemas.openxmlformats.org/drawingml/2006/main">
                <a:ext uri="{FF2B5EF4-FFF2-40B4-BE49-F238E27FC236}">
                  <a16:creationId xmlns:a16="http://schemas.microsoft.com/office/drawing/2014/main" id="{9B26D790-557A-4E51-BA70-F4B76D2433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7373524" w14:textId="77777777" w:rsidR="001617E7" w:rsidRPr="001617E7" w:rsidRDefault="001617E7" w:rsidP="001617E7">
      <w:pPr>
        <w:rPr>
          <w:rFonts w:cs="Times New Roman"/>
          <w:szCs w:val="24"/>
          <w:lang w:val="lv-LV"/>
        </w:rPr>
      </w:pPr>
      <w:r w:rsidRPr="001617E7">
        <w:rPr>
          <w:rFonts w:cs="Times New Roman"/>
          <w:szCs w:val="24"/>
          <w:lang w:val="lv-LV"/>
        </w:rPr>
        <w:tab/>
        <w:t xml:space="preserve">Aplūkojot attēlu Nr. 2.4.4., var secināt, ka politikas rezultatīvā rādītāja “Ģeotelpisko produktu sagatavošana NBS uzdevumu izpildei militārām un sabiedrības vajadzībām (produktu skaits)” plānotā vērtība nav sasniegta tikai 2020. gadā, savukārt izdevumi politikas un resursu vadības kartē Nr. 3 “Valsts politikas īstenošana ģeodēzijas, kartogrāfijas un ģeotelpiskās informācijas jomā” 2020. gadā, salīdzinot ar iepriekšējiem gadiem, ir būtiski pieauguši. </w:t>
      </w:r>
    </w:p>
    <w:p w14:paraId="5BFE7474" w14:textId="77777777" w:rsidR="001617E7" w:rsidRPr="001617E7" w:rsidRDefault="001617E7" w:rsidP="001617E7">
      <w:pPr>
        <w:rPr>
          <w:rFonts w:cs="Times New Roman"/>
          <w:szCs w:val="24"/>
          <w:lang w:val="lv-LV"/>
        </w:rPr>
      </w:pPr>
      <w:r w:rsidRPr="001617E7">
        <w:rPr>
          <w:rFonts w:cs="Times New Roman"/>
          <w:szCs w:val="24"/>
          <w:lang w:val="lv-LV"/>
        </w:rPr>
        <w:tab/>
        <w:t>AiM politikas rezultatīvā rādītāja neizpildi skaidro ar to, ka NBS 2020. gadā ir pasūtījis mazāk produktu nekā sākotnēji plānots. Vienlaikus norāda, ka politikas rezultatīvā rādītāja plānotajām un izpildes vērtībām nav tiešas ietekmes uz budžeta apjoma izmaiņām.</w:t>
      </w:r>
    </w:p>
    <w:p w14:paraId="4BC65FD4" w14:textId="77777777" w:rsidR="001617E7" w:rsidRPr="001617E7" w:rsidRDefault="001617E7" w:rsidP="001617E7">
      <w:pPr>
        <w:rPr>
          <w:rFonts w:cs="Times New Roman"/>
          <w:szCs w:val="24"/>
          <w:lang w:val="lv-LV"/>
        </w:rPr>
      </w:pPr>
    </w:p>
    <w:bookmarkEnd w:id="22"/>
    <w:p w14:paraId="702A642A" w14:textId="7610E0D1" w:rsidR="001617E7" w:rsidRPr="001617E7" w:rsidRDefault="001617E7" w:rsidP="001617E7">
      <w:pPr>
        <w:rPr>
          <w:rFonts w:cs="Times New Roman"/>
          <w:b/>
          <w:bCs/>
          <w:szCs w:val="24"/>
          <w:lang w:val="lv-LV"/>
        </w:rPr>
      </w:pPr>
      <w:r w:rsidRPr="001617E7">
        <w:rPr>
          <w:rFonts w:cs="Times New Roman"/>
          <w:b/>
          <w:bCs/>
          <w:szCs w:val="24"/>
          <w:lang w:val="lv-LV"/>
        </w:rPr>
        <w:t>Ārlietu ministrija</w:t>
      </w:r>
    </w:p>
    <w:p w14:paraId="06DDAFCC" w14:textId="7771BE4A" w:rsidR="00DB4A03" w:rsidRDefault="001617E7" w:rsidP="00105C87">
      <w:pPr>
        <w:ind w:firstLine="720"/>
        <w:rPr>
          <w:rFonts w:cs="Times New Roman"/>
          <w:szCs w:val="24"/>
          <w:lang w:val="lv-LV"/>
        </w:rPr>
      </w:pPr>
      <w:r w:rsidRPr="001617E7">
        <w:rPr>
          <w:rFonts w:cs="Times New Roman"/>
          <w:szCs w:val="24"/>
          <w:lang w:val="lv-LV"/>
        </w:rPr>
        <w:t>2020. gada budžeta paskaidrojumos ĀM ir viena politikas un resursu vadības karte, kurā iekļauti trīs politikas rezultatīvie rādītāji. Vidējais visu ĀM politikas rezultatīvo rādītāju plāna izpildes līmenis 2020. gadā ir 90,2%.</w:t>
      </w:r>
    </w:p>
    <w:p w14:paraId="619E15F7" w14:textId="605D7EB8" w:rsidR="002C24FA" w:rsidRDefault="002C24FA" w:rsidP="00105C87">
      <w:pPr>
        <w:ind w:firstLine="720"/>
        <w:rPr>
          <w:rFonts w:cs="Times New Roman"/>
          <w:szCs w:val="24"/>
          <w:lang w:val="lv-LV"/>
        </w:rPr>
      </w:pPr>
    </w:p>
    <w:p w14:paraId="7DD32FD5" w14:textId="1313ABB0" w:rsidR="002C24FA" w:rsidRDefault="002C24FA" w:rsidP="00105C87">
      <w:pPr>
        <w:ind w:firstLine="720"/>
        <w:rPr>
          <w:rFonts w:cs="Times New Roman"/>
          <w:szCs w:val="24"/>
          <w:lang w:val="lv-LV"/>
        </w:rPr>
      </w:pPr>
    </w:p>
    <w:p w14:paraId="74AE302A" w14:textId="10F2C26A" w:rsidR="002C24FA" w:rsidRDefault="002C24FA" w:rsidP="00105C87">
      <w:pPr>
        <w:ind w:firstLine="720"/>
        <w:rPr>
          <w:rFonts w:cs="Times New Roman"/>
          <w:szCs w:val="24"/>
          <w:lang w:val="lv-LV"/>
        </w:rPr>
      </w:pPr>
    </w:p>
    <w:p w14:paraId="4C191228" w14:textId="3F41D6CA" w:rsidR="002C24FA" w:rsidRDefault="002C24FA" w:rsidP="00105C87">
      <w:pPr>
        <w:ind w:firstLine="720"/>
        <w:rPr>
          <w:rFonts w:cs="Times New Roman"/>
          <w:szCs w:val="24"/>
          <w:lang w:val="lv-LV"/>
        </w:rPr>
      </w:pPr>
    </w:p>
    <w:p w14:paraId="5BD9D73A" w14:textId="692FD81B" w:rsidR="002C24FA" w:rsidRDefault="002C24FA" w:rsidP="00105C87">
      <w:pPr>
        <w:ind w:firstLine="720"/>
        <w:rPr>
          <w:rFonts w:cs="Times New Roman"/>
          <w:szCs w:val="24"/>
          <w:lang w:val="lv-LV"/>
        </w:rPr>
      </w:pPr>
    </w:p>
    <w:p w14:paraId="6B82722D" w14:textId="77777777" w:rsidR="002C24FA" w:rsidRDefault="002C24FA" w:rsidP="00105C87">
      <w:pPr>
        <w:ind w:firstLine="720"/>
        <w:rPr>
          <w:rFonts w:cs="Times New Roman"/>
          <w:szCs w:val="24"/>
          <w:lang w:val="lv-LV"/>
        </w:rPr>
      </w:pPr>
    </w:p>
    <w:p w14:paraId="19525E4F" w14:textId="72348F9A"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2.4.5. attēls</w:t>
      </w:r>
      <w:r w:rsidRPr="001617E7">
        <w:rPr>
          <w:rFonts w:cs="Times New Roman"/>
          <w:b/>
          <w:bCs/>
          <w:sz w:val="22"/>
          <w:lang w:val="lv-LV"/>
        </w:rPr>
        <w:t xml:space="preserve"> 2020. gada ĀM politikas un resursu vadības kartē iekļauto politikas rezultatīvo rādītāju plāna izpildes līmenis (%)</w:t>
      </w:r>
    </w:p>
    <w:p w14:paraId="07F8AB3C"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2197E96C" wp14:editId="5BE29053">
            <wp:extent cx="5760085" cy="2762250"/>
            <wp:effectExtent l="0" t="0" r="12065" b="0"/>
            <wp:docPr id="19" name="Chart 19">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4A9DE5F" w14:textId="544CD6DA" w:rsidR="00105C87" w:rsidRPr="00DB4A03" w:rsidRDefault="001617E7" w:rsidP="002C24FA">
      <w:pPr>
        <w:ind w:firstLine="720"/>
        <w:rPr>
          <w:rFonts w:cs="Times New Roman"/>
          <w:szCs w:val="24"/>
          <w:lang w:val="lv-LV"/>
        </w:rPr>
      </w:pPr>
      <w:r w:rsidRPr="001617E7">
        <w:rPr>
          <w:rFonts w:cs="Times New Roman"/>
          <w:szCs w:val="24"/>
          <w:lang w:val="lv-LV"/>
        </w:rPr>
        <w:t>Kā redzams attēlā Nr. 2.4.5., diviem politikas rezultatīvie rādītājiem “Ārlietu ministrijas atbalstītie diasporas projekti (skaits)” un “Finansējums, kas izlietots publiskās pārvaldes attīstībai un spēju stiprināšanai, t.sk. pretkorupcijai (% no ĀM pārvaldītās divpusējās oficiālās attīstības palīdzības)” 2020. gada plāna izpildes līmenis ir 100%, savukārt politikas rezultatīvajam rādītājam “Oficiālās attīstības palīdzības apjoms no nacionālā kopienākuma (NKI), tiecoties līdz 2030. gadam sasniegt finansējuma apjomu līdz 0,33% no NKI (%)” vidējais plāna izpildes līmenis ir 70,6%. Ņemot vērā, ka šim politikas rezultatīvajam rādītājam ir zemākā plāna izpilde, tad tas detalizēti tika aplūkots dinamikā pa gadiem, kā arī sasaistē ar politikas un resursu vadības kartē ietverto finansējumu.</w:t>
      </w:r>
    </w:p>
    <w:p w14:paraId="3F162719" w14:textId="320DB022" w:rsidR="001617E7" w:rsidRPr="001617E7" w:rsidRDefault="001617E7" w:rsidP="001617E7">
      <w:pPr>
        <w:jc w:val="center"/>
        <w:rPr>
          <w:rFonts w:cs="Times New Roman"/>
          <w:b/>
          <w:bCs/>
          <w:szCs w:val="24"/>
          <w:lang w:val="lv-LV"/>
        </w:rPr>
      </w:pPr>
      <w:r w:rsidRPr="001617E7">
        <w:rPr>
          <w:rFonts w:cs="Times New Roman"/>
          <w:b/>
          <w:bCs/>
          <w:i/>
          <w:iCs/>
          <w:sz w:val="22"/>
          <w:lang w:val="lv-LV"/>
        </w:rPr>
        <w:t>2.4.6. attēls</w:t>
      </w:r>
      <w:r w:rsidRPr="001617E7">
        <w:rPr>
          <w:rFonts w:cs="Times New Roman"/>
          <w:b/>
          <w:bCs/>
          <w:sz w:val="22"/>
          <w:lang w:val="lv-LV"/>
        </w:rPr>
        <w:t xml:space="preserve"> Politikas rezultatīvā rādītāja “Oficiālās attīstības palīdzības apjoms no nacionālā kopienākuma (%)” izpildes un plānotās vērtības, un politikas un resursu vadības kartes </w:t>
      </w:r>
      <w:bookmarkStart w:id="23" w:name="_Hlk75249354"/>
      <w:r w:rsidRPr="001617E7">
        <w:rPr>
          <w:rFonts w:cs="Times New Roman"/>
          <w:b/>
          <w:bCs/>
          <w:sz w:val="22"/>
          <w:lang w:val="lv-LV"/>
        </w:rPr>
        <w:t>Nr. 1 “Latvijas ārpolitikas plānošana un īstenošana”</w:t>
      </w:r>
      <w:bookmarkEnd w:id="23"/>
      <w:r w:rsidRPr="001617E7">
        <w:rPr>
          <w:rFonts w:cs="Times New Roman"/>
          <w:b/>
          <w:bCs/>
          <w:sz w:val="22"/>
          <w:lang w:val="lv-LV"/>
        </w:rPr>
        <w:t xml:space="preserve"> izdevumu dinamika (milj. </w:t>
      </w:r>
      <w:r w:rsidRPr="001617E7">
        <w:rPr>
          <w:rFonts w:cs="Times New Roman"/>
          <w:b/>
          <w:bCs/>
          <w:i/>
          <w:iCs/>
          <w:sz w:val="22"/>
          <w:lang w:val="lv-LV"/>
        </w:rPr>
        <w:t>euro</w:t>
      </w:r>
      <w:r w:rsidRPr="001617E7">
        <w:rPr>
          <w:rFonts w:cs="Times New Roman"/>
          <w:b/>
          <w:bCs/>
          <w:sz w:val="22"/>
          <w:lang w:val="lv-LV"/>
        </w:rPr>
        <w:t>)</w:t>
      </w:r>
    </w:p>
    <w:p w14:paraId="4FE6B815"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1DC7B3EB" wp14:editId="114E0A34">
            <wp:extent cx="5760085" cy="3057525"/>
            <wp:effectExtent l="0" t="0" r="12065" b="9525"/>
            <wp:docPr id="18" name="Chart 18">
              <a:extLst xmlns:a="http://schemas.openxmlformats.org/drawingml/2006/main">
                <a:ext uri="{FF2B5EF4-FFF2-40B4-BE49-F238E27FC236}">
                  <a16:creationId xmlns:a16="http://schemas.microsoft.com/office/drawing/2014/main" id="{22779B33-5079-4761-A646-18031EEDB4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130DAD7" w14:textId="77777777" w:rsidR="001617E7" w:rsidRPr="001617E7" w:rsidRDefault="001617E7" w:rsidP="001617E7">
      <w:pPr>
        <w:ind w:firstLine="720"/>
        <w:rPr>
          <w:rFonts w:cs="Times New Roman"/>
          <w:szCs w:val="24"/>
          <w:lang w:val="lv-LV"/>
        </w:rPr>
      </w:pPr>
      <w:r w:rsidRPr="001617E7">
        <w:rPr>
          <w:rFonts w:cs="Times New Roman"/>
          <w:szCs w:val="24"/>
          <w:lang w:val="lv-LV"/>
        </w:rPr>
        <w:lastRenderedPageBreak/>
        <w:t xml:space="preserve">Aplūkojot attēlu Nr. 2.4.6., secināms, ka politikas rezultatīvā rādītāja “Oficiālās attīstības palīdzības apjoms no nacionālā kopienākuma, tiecoties līdz 2030. gadam sasniegt finansējuma apjomu līdz 0,33% no nacionālā kopienākuma (%)” izpildes vērtība 2020. gadā atpaliek no plānotās vērtības, savukārt izdevumi politikas un resursu vadības kartē Nr. 3 “Latvijas ārpolitikas plānošana un īstenošana” laika posmā no 2018. līdz 2023. gadam būtiski nav mainījušies. Svarīgi atzīmēt, ka politikas rezultatīvā rādītāja plānotā vērtība 2021. gadam tiek samazināta uz 0,11% no nacionālā kopienākuma. </w:t>
      </w:r>
    </w:p>
    <w:p w14:paraId="2A484273" w14:textId="77777777" w:rsidR="001617E7" w:rsidRPr="001617E7" w:rsidRDefault="001617E7" w:rsidP="001617E7">
      <w:pPr>
        <w:rPr>
          <w:rFonts w:cs="Times New Roman"/>
          <w:szCs w:val="24"/>
          <w:lang w:val="lv-LV"/>
        </w:rPr>
      </w:pPr>
      <w:r w:rsidRPr="001617E7">
        <w:rPr>
          <w:rFonts w:cs="Times New Roman"/>
          <w:szCs w:val="24"/>
          <w:lang w:val="lv-LV"/>
        </w:rPr>
        <w:tab/>
        <w:t xml:space="preserve">ĀM politikas rezultatīvā rādītāja neizpildi skaidro ar nepietiekamo finansējumu attīstības sadarbības projektu īstenošanai. Vienlaikus norāda, ka 2020. gada izpilde ir nedaudz labāka nekā iepriekšējos gados, jo finansējuma pārdales rezultātā tika reaģēts uz situācijas attīstību Baltkrievijā, piešķirot mērķdotāciju 10 000 </w:t>
      </w:r>
      <w:r w:rsidRPr="001617E7">
        <w:rPr>
          <w:rFonts w:cs="Times New Roman"/>
          <w:i/>
          <w:iCs/>
          <w:szCs w:val="24"/>
          <w:lang w:val="lv-LV"/>
        </w:rPr>
        <w:t>euro</w:t>
      </w:r>
      <w:r w:rsidRPr="001617E7">
        <w:rPr>
          <w:rFonts w:cs="Times New Roman"/>
          <w:szCs w:val="24"/>
          <w:lang w:val="lv-LV"/>
        </w:rPr>
        <w:t xml:space="preserve"> nevalstisko organizāciju platformai cilvēktiesību pārkāpumu Baltkrievijā dokumentēšanai.</w:t>
      </w:r>
    </w:p>
    <w:p w14:paraId="3129EF2C" w14:textId="77777777" w:rsidR="001617E7" w:rsidRPr="001617E7" w:rsidRDefault="001617E7" w:rsidP="001617E7">
      <w:pPr>
        <w:rPr>
          <w:rFonts w:cs="Times New Roman"/>
          <w:b/>
          <w:bCs/>
          <w:szCs w:val="24"/>
          <w:lang w:val="lv-LV"/>
        </w:rPr>
      </w:pPr>
    </w:p>
    <w:p w14:paraId="352B5B46" w14:textId="6EA60D32" w:rsidR="001617E7" w:rsidRPr="001617E7" w:rsidRDefault="001617E7" w:rsidP="001617E7">
      <w:pPr>
        <w:rPr>
          <w:rFonts w:cs="Times New Roman"/>
          <w:b/>
          <w:bCs/>
          <w:szCs w:val="24"/>
          <w:lang w:val="lv-LV"/>
        </w:rPr>
      </w:pPr>
      <w:r w:rsidRPr="001617E7">
        <w:rPr>
          <w:rFonts w:cs="Times New Roman"/>
          <w:b/>
          <w:bCs/>
          <w:szCs w:val="24"/>
          <w:lang w:val="lv-LV"/>
        </w:rPr>
        <w:t>Ekonomikas ministrija</w:t>
      </w:r>
    </w:p>
    <w:p w14:paraId="5F5E9B6C" w14:textId="150C606E" w:rsidR="00105C87" w:rsidRPr="00DB4A03" w:rsidRDefault="001617E7" w:rsidP="002C24FA">
      <w:pPr>
        <w:ind w:firstLine="720"/>
        <w:rPr>
          <w:rFonts w:cs="Times New Roman"/>
          <w:szCs w:val="24"/>
          <w:lang w:val="lv-LV"/>
        </w:rPr>
      </w:pPr>
      <w:r w:rsidRPr="001617E7">
        <w:rPr>
          <w:rFonts w:cs="Times New Roman"/>
          <w:szCs w:val="24"/>
          <w:lang w:val="lv-LV"/>
        </w:rPr>
        <w:t>2020. gada budžeta paskaidrojumos EM ir sešas politikas un resursu vadības kartes, kurās kopumā iekļauti 16 politikas rezultatīvie rādītāji. Vidējais visu EM politikas rezultatīvo rādītāju plāna izpildes līmenis 2020. gadā ir 73,4%.</w:t>
      </w:r>
    </w:p>
    <w:p w14:paraId="1275CAD8" w14:textId="571F9DC5" w:rsidR="001617E7" w:rsidRPr="001617E7" w:rsidRDefault="001617E7" w:rsidP="001617E7">
      <w:pPr>
        <w:jc w:val="center"/>
        <w:rPr>
          <w:rFonts w:cs="Times New Roman"/>
          <w:b/>
          <w:bCs/>
          <w:sz w:val="22"/>
          <w:lang w:val="lv-LV"/>
        </w:rPr>
      </w:pPr>
      <w:r w:rsidRPr="001617E7">
        <w:rPr>
          <w:rFonts w:cs="Times New Roman"/>
          <w:b/>
          <w:bCs/>
          <w:i/>
          <w:iCs/>
          <w:sz w:val="22"/>
          <w:lang w:val="lv-LV"/>
        </w:rPr>
        <w:t>2.4.7. attēls</w:t>
      </w:r>
      <w:r w:rsidRPr="001617E7">
        <w:rPr>
          <w:rFonts w:cs="Times New Roman"/>
          <w:b/>
          <w:bCs/>
          <w:sz w:val="22"/>
          <w:lang w:val="lv-LV"/>
        </w:rPr>
        <w:t xml:space="preserve"> 2020. gada EM politikas un resursu vadības kartēs iekļauto politikas rezultatīvo rādītāju plāna izpildes līmenis (%)</w:t>
      </w:r>
    </w:p>
    <w:p w14:paraId="4BF38ADF"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79EA1978" wp14:editId="24E013B8">
            <wp:extent cx="5760085" cy="2295525"/>
            <wp:effectExtent l="0" t="0" r="12065" b="9525"/>
            <wp:docPr id="20" name="Chart 20">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9237503" w14:textId="77777777" w:rsidR="001617E7" w:rsidRPr="001617E7" w:rsidRDefault="001617E7" w:rsidP="001617E7">
      <w:pPr>
        <w:ind w:firstLine="720"/>
        <w:rPr>
          <w:rFonts w:cs="Times New Roman"/>
          <w:szCs w:val="24"/>
          <w:lang w:val="lv-LV"/>
        </w:rPr>
      </w:pPr>
      <w:r w:rsidRPr="001617E7">
        <w:rPr>
          <w:rFonts w:cs="Times New Roman"/>
          <w:szCs w:val="24"/>
          <w:lang w:val="lv-LV"/>
        </w:rPr>
        <w:t>Kā redzams attēlā Nr. 2.4.7., politikas rezultatīvo rādītāju 2020. gada vidējais plāna izpildes līmenis 100% apmērā ir EM politikas un resursu vadības kartei Nr. 5 “Iekšējā tirgus uzraudzība”, tāpat salīdzinoši augsts politikas rezultatīvo rādītāju 2020. gada vidējais plāna izpildes līmenis ir arī politikas un resursu vadības kartei Nr. 3 “Enerģētikas politikas īstenošana” 97,9% un Nr. 1 “Nozaru vadība un politikas plānošana” 76,9%. Savukārt pārējās politikas un resursu vadības kartēs politikas rezultatīvo rādītāju plāna izpildes līmenis ir zem 65%, līdz ar to detalizēti tika analizēta šajās politikas un resursu vadības kartēs iekļauto politikas rezultatīvo rādītāju izpildes dinamika, kā arī to sasaiste ar piešķirto finansējumu.</w:t>
      </w:r>
    </w:p>
    <w:p w14:paraId="5E316D5F" w14:textId="15BFE3B7" w:rsidR="001617E7" w:rsidRPr="001617E7" w:rsidRDefault="001617E7" w:rsidP="009B1A4B">
      <w:pPr>
        <w:ind w:firstLine="720"/>
        <w:rPr>
          <w:rFonts w:cs="Times New Roman"/>
          <w:szCs w:val="24"/>
          <w:lang w:val="lv-LV"/>
        </w:rPr>
      </w:pPr>
      <w:r w:rsidRPr="001617E7">
        <w:rPr>
          <w:rFonts w:cs="Times New Roman"/>
          <w:szCs w:val="24"/>
          <w:lang w:val="lv-LV"/>
        </w:rPr>
        <w:t xml:space="preserve">No visām EM politikas un resursu vadības kartēm viszemākais politikas rezultatīvo rādītāju izpildes līmenis 46,9% apmērā ir konstatēts politikas un resursu vadības kartei Nr. 6 “Oficiālās statistikas nodrošināšana”. Šajā politikas un resursu vadības kartē ir iekļauts tikai viens politikas rezultatīvais rādītājs – “Latvijas </w:t>
      </w:r>
      <w:r w:rsidR="009B1A4B">
        <w:rPr>
          <w:rFonts w:cs="Times New Roman"/>
          <w:szCs w:val="24"/>
          <w:lang w:val="lv-LV"/>
        </w:rPr>
        <w:t>vērtējums e-pārvaldes indeksā”.</w:t>
      </w:r>
    </w:p>
    <w:p w14:paraId="293DC42F"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2.4.8. attēls</w:t>
      </w:r>
      <w:r w:rsidRPr="001617E7">
        <w:rPr>
          <w:rFonts w:cs="Times New Roman"/>
          <w:b/>
          <w:bCs/>
          <w:sz w:val="22"/>
          <w:lang w:val="lv-LV"/>
        </w:rPr>
        <w:t xml:space="preserve"> Politikas rezultatīvā rādītāja “Latvijas vērtējums e-pārvaldes indeksā” izpildes un plānotās vērtības, un politikas un resursu vadības kartes Nr. 6 “Oficiālās statistikas nodrošināšana” izdevumu dinamika (milj. </w:t>
      </w:r>
      <w:r w:rsidRPr="001617E7">
        <w:rPr>
          <w:rFonts w:cs="Times New Roman"/>
          <w:b/>
          <w:bCs/>
          <w:i/>
          <w:iCs/>
          <w:sz w:val="22"/>
          <w:lang w:val="lv-LV"/>
        </w:rPr>
        <w:t>euro</w:t>
      </w:r>
      <w:r w:rsidRPr="001617E7">
        <w:rPr>
          <w:rFonts w:cs="Times New Roman"/>
          <w:b/>
          <w:bCs/>
          <w:sz w:val="22"/>
          <w:lang w:val="lv-LV"/>
        </w:rPr>
        <w:t>)</w:t>
      </w:r>
    </w:p>
    <w:p w14:paraId="419BFD6A"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43614EE3" wp14:editId="071C3A87">
            <wp:extent cx="5760085" cy="2943225"/>
            <wp:effectExtent l="0" t="0" r="12065" b="9525"/>
            <wp:docPr id="24" name="Chart 24">
              <a:extLst xmlns:a="http://schemas.openxmlformats.org/drawingml/2006/main">
                <a:ext uri="{FF2B5EF4-FFF2-40B4-BE49-F238E27FC236}">
                  <a16:creationId xmlns:a16="http://schemas.microsoft.com/office/drawing/2014/main" id="{2D69F0BB-4DDE-45B0-995D-B8BCC77746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855AA25"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2.4.8., secināms, ka politikas rezultatīvā rādītāja “Latvijas vērtējums e-pārvaldes indeksā” izpildes vērtība 2020. gadā par 26 vietām atpaliek no plānotās vērtības, savukārt izdevumi politikas un resursu vadības kartē Nr. 6 “Oficiālās statistikas nodrošināšana” laika posmā no 2015. līdz 2022. gadam pakāpeniski pieaug. Svarīgi atzīmēt, ka E-pārvaldes indeksā 2020. gadā Igaunijai ir 3. vieta un Lietuvai 40. vieta.</w:t>
      </w:r>
    </w:p>
    <w:p w14:paraId="296D10BB" w14:textId="32312C74" w:rsidR="001617E7" w:rsidRPr="001617E7" w:rsidRDefault="001617E7" w:rsidP="001617E7">
      <w:pPr>
        <w:rPr>
          <w:rFonts w:cs="Times New Roman"/>
          <w:szCs w:val="24"/>
          <w:lang w:val="lv-LV"/>
        </w:rPr>
      </w:pPr>
      <w:r w:rsidRPr="001617E7">
        <w:rPr>
          <w:rFonts w:cs="Times New Roman"/>
          <w:szCs w:val="24"/>
          <w:lang w:val="lv-LV"/>
        </w:rPr>
        <w:tab/>
        <w:t>EM norāda, ka politikas rezultatīvā rādītāja izpilde saistībā ar izmaiņām valsts pārvaldē kopumā vērtējama pozitīvi, jo, sākot no 2018.</w:t>
      </w:r>
      <w:r w:rsidR="00FF342C">
        <w:rPr>
          <w:rFonts w:cs="Times New Roman"/>
          <w:szCs w:val="24"/>
          <w:lang w:val="lv-LV"/>
        </w:rPr>
        <w:t xml:space="preserve"> </w:t>
      </w:r>
      <w:r w:rsidRPr="001617E7">
        <w:rPr>
          <w:rFonts w:cs="Times New Roman"/>
          <w:szCs w:val="24"/>
          <w:lang w:val="lv-LV"/>
        </w:rPr>
        <w:t xml:space="preserve">gada, divu gadu laikā Latvija no 57. vietas nonāca līdz 49. vietai, uzlabojot savu starptautisko reitingu par 8 punktiem. Vienlaikus norāda, ka politikas rezultatīvā rādītāja izpilde nav attiecināma tikai uz CSP darbību, jo metodoloģiski iekļauj darbības saistībā ar </w:t>
      </w:r>
      <w:r w:rsidR="004354AF">
        <w:rPr>
          <w:rFonts w:cs="Times New Roman"/>
          <w:szCs w:val="24"/>
          <w:lang w:val="lv-LV"/>
        </w:rPr>
        <w:t>tiešsaistē</w:t>
      </w:r>
      <w:r w:rsidRPr="001617E7">
        <w:rPr>
          <w:rFonts w:cs="Times New Roman"/>
          <w:szCs w:val="24"/>
          <w:lang w:val="lv-LV"/>
        </w:rPr>
        <w:t xml:space="preserve"> sniedzamajiem pakalpojumiem, telekomunikācijas infrastruktūru un cilvēkkapitāla indeksa vērtību, līdz ar to 2021. gada EM budžeta paskaidrojumos minētais politikas rezultatīvais rādītājs aizstāts ar oficiālās statistikas nodrošināšanas jomu raksturojošāku politikas rezultatīvo rādītāju (“Atvērto datu indeksu (vieta reitingā”).</w:t>
      </w:r>
    </w:p>
    <w:p w14:paraId="0FAFC0CA" w14:textId="4984FAC1" w:rsidR="00B66244" w:rsidRDefault="001617E7" w:rsidP="00105C87">
      <w:pPr>
        <w:ind w:firstLine="720"/>
        <w:rPr>
          <w:rFonts w:cs="Times New Roman"/>
          <w:szCs w:val="24"/>
          <w:lang w:val="lv-LV"/>
        </w:rPr>
      </w:pPr>
      <w:r w:rsidRPr="001617E7">
        <w:rPr>
          <w:rFonts w:cs="Times New Roman"/>
          <w:szCs w:val="24"/>
          <w:lang w:val="lv-LV"/>
        </w:rPr>
        <w:t>Zems politikas rezultatīvo rādītāju izpildes līmenis 54,4% apmērā ir konstatēts politikas un resursu vadības kartei Nr. 2 “Uzņēmējdarbības konkurētspējas atbalsts”. Šajā politikas un resursu vadības kartē ir iekļauti divi politikas rezultatīvie rādītāji, kuriem abiem ir zems plāna izpildes līmenis – “Privātā sektora ieguldījumi pētniecībai un attīstībai (P&amp;A) (% no kopējiem ieguldījumiem)” 50,6% un “Ārvalstu tiešo investīciju snieguma indekss (% no IKP)” 58,3%.</w:t>
      </w:r>
    </w:p>
    <w:p w14:paraId="0D949BDA" w14:textId="1F34106D" w:rsidR="002C24FA" w:rsidRDefault="002C24FA" w:rsidP="00105C87">
      <w:pPr>
        <w:ind w:firstLine="720"/>
        <w:rPr>
          <w:rFonts w:cs="Times New Roman"/>
          <w:szCs w:val="24"/>
          <w:lang w:val="lv-LV"/>
        </w:rPr>
      </w:pPr>
    </w:p>
    <w:p w14:paraId="2B66F0C1" w14:textId="62364CAA" w:rsidR="002C24FA" w:rsidRDefault="002C24FA" w:rsidP="00105C87">
      <w:pPr>
        <w:ind w:firstLine="720"/>
        <w:rPr>
          <w:rFonts w:cs="Times New Roman"/>
          <w:szCs w:val="24"/>
          <w:lang w:val="lv-LV"/>
        </w:rPr>
      </w:pPr>
    </w:p>
    <w:p w14:paraId="5827F97C" w14:textId="4470FE89" w:rsidR="002C24FA" w:rsidRDefault="002C24FA" w:rsidP="00105C87">
      <w:pPr>
        <w:ind w:firstLine="720"/>
        <w:rPr>
          <w:rFonts w:cs="Times New Roman"/>
          <w:szCs w:val="24"/>
          <w:lang w:val="lv-LV"/>
        </w:rPr>
      </w:pPr>
    </w:p>
    <w:p w14:paraId="3DE1AF67" w14:textId="77777777" w:rsidR="002C24FA" w:rsidRPr="004354AF" w:rsidRDefault="002C24FA" w:rsidP="00105C87">
      <w:pPr>
        <w:ind w:firstLine="720"/>
        <w:rPr>
          <w:rFonts w:cs="Times New Roman"/>
          <w:szCs w:val="24"/>
          <w:lang w:val="lv-LV"/>
        </w:rPr>
      </w:pPr>
    </w:p>
    <w:p w14:paraId="4B9CF2F9" w14:textId="7B06D7AB"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2.4.9. attēls</w:t>
      </w:r>
      <w:r w:rsidRPr="001617E7">
        <w:rPr>
          <w:rFonts w:cs="Times New Roman"/>
          <w:b/>
          <w:bCs/>
          <w:sz w:val="22"/>
          <w:lang w:val="lv-LV"/>
        </w:rPr>
        <w:t xml:space="preserve"> Politikas un resursu vadības kartē Nr. 2 “Uzņēmējdarbības konkurētspējas atbalsts” iekļauto politikas rezultatīvo rādītāju izpildes un plānotās vērtības, un izdevumu dinamika (milj. </w:t>
      </w:r>
      <w:r w:rsidRPr="001617E7">
        <w:rPr>
          <w:rFonts w:cs="Times New Roman"/>
          <w:b/>
          <w:bCs/>
          <w:i/>
          <w:iCs/>
          <w:sz w:val="22"/>
          <w:lang w:val="lv-LV"/>
        </w:rPr>
        <w:t>euro</w:t>
      </w:r>
      <w:r w:rsidRPr="001617E7">
        <w:rPr>
          <w:rFonts w:cs="Times New Roman"/>
          <w:b/>
          <w:bCs/>
          <w:sz w:val="22"/>
          <w:lang w:val="lv-LV"/>
        </w:rPr>
        <w:t>)</w:t>
      </w:r>
    </w:p>
    <w:p w14:paraId="5F221E69"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60FDFB46" wp14:editId="0A9D890B">
            <wp:extent cx="5760085" cy="2533650"/>
            <wp:effectExtent l="0" t="0" r="12065" b="0"/>
            <wp:docPr id="50" name="Chart 50">
              <a:extLst xmlns:a="http://schemas.openxmlformats.org/drawingml/2006/main">
                <a:ext uri="{FF2B5EF4-FFF2-40B4-BE49-F238E27FC236}">
                  <a16:creationId xmlns:a16="http://schemas.microsoft.com/office/drawing/2014/main" id="{B039E6C7-7FC3-486B-A626-2A4E467EB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AF59349" w14:textId="0D223A5B" w:rsidR="001617E7" w:rsidRPr="001617E7" w:rsidRDefault="001617E7" w:rsidP="001617E7">
      <w:pPr>
        <w:ind w:firstLine="720"/>
        <w:rPr>
          <w:rFonts w:cs="Times New Roman"/>
          <w:szCs w:val="24"/>
          <w:lang w:val="lv-LV"/>
        </w:rPr>
      </w:pPr>
      <w:r w:rsidRPr="001617E7">
        <w:rPr>
          <w:rFonts w:cs="Times New Roman"/>
          <w:szCs w:val="24"/>
          <w:lang w:val="lv-LV"/>
        </w:rPr>
        <w:t>Aplūkojot attēlu Nr. 2.4.9., var secināt, ka politikas rezultatīvā rādītāja “Privātā sektora ieguldījumi pētniecībai un attīstībai (P&amp;A) (% no kopējiem ieguldījumiem)” izpildes vērtības laika posmā no 2017. līdz 2020. gadam būtiski nav mainījušās, vienlaikus nesasniedzot 2020. gadā plānoto vērtību par 23,7 procentpunktiem, savukārt politikas rezultatīvā rādītāja “Ārvalstu tiešo investīciju snieguma indekss (% no IKP)” izpildes vērtības laika posmā no 2015. līdz 2020. gadam ir pakāpeniski samazinājušās, nesasniedzot 2020. gadā plānoto vērtību par 0,5 procentpunktiem. Izdevumi politikas un resursu vadības kartē Nr. 2 “Uzņēmējdarbības konkurētspējas atbalsts”, sākot no 2017.</w:t>
      </w:r>
      <w:r w:rsidR="00FF342C">
        <w:rPr>
          <w:rFonts w:cs="Times New Roman"/>
          <w:szCs w:val="24"/>
          <w:lang w:val="lv-LV"/>
        </w:rPr>
        <w:t xml:space="preserve"> </w:t>
      </w:r>
      <w:r w:rsidRPr="001617E7">
        <w:rPr>
          <w:rFonts w:cs="Times New Roman"/>
          <w:szCs w:val="24"/>
          <w:lang w:val="lv-LV"/>
        </w:rPr>
        <w:t>gada, ir būtiski samazinājušies, kas skaidrojams ar ES fonda (ERAF) finansējuma samazinājumu.</w:t>
      </w:r>
    </w:p>
    <w:p w14:paraId="7A203BFF"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EM politikas rezultatīvā rādītāja “Privātā sektora ieguldījumi pētniecībai un attīstībai (P&amp;A) (% no kopējiem ieguldījumiem)” neizpildi skaidro ar to, ka uzņēmumu struktūru galvenokārt veido mikro, mazie un vidējie uzņēmumi, kuriem nav kapacitātes investēt pētniecībai un attīstībai, ir neliels augsto tehnoloģiju uzņēmumu skaits, kā arī vāja uzņēmumu izpratne un zināšanas par inovāciju, tostarp jaunu produktu un tehnoloģiju attīstības iespējām un potenciālu. </w:t>
      </w:r>
    </w:p>
    <w:p w14:paraId="41AA95BB" w14:textId="77777777" w:rsidR="001617E7" w:rsidRPr="001617E7" w:rsidRDefault="001617E7" w:rsidP="001617E7">
      <w:pPr>
        <w:ind w:firstLine="720"/>
        <w:rPr>
          <w:rFonts w:cs="Times New Roman"/>
          <w:szCs w:val="24"/>
          <w:lang w:val="lv-LV"/>
        </w:rPr>
      </w:pPr>
      <w:r w:rsidRPr="001617E7">
        <w:rPr>
          <w:rFonts w:cs="Times New Roman"/>
          <w:szCs w:val="24"/>
          <w:lang w:val="lv-LV"/>
        </w:rPr>
        <w:t>Savukārt attiecībā uz politikas rezultatīvo rādītāju “Ārvalstu tiešo investīciju snieguma indekss (% no IKP)” norāda, ka 2020. gadā ārvalstu tiešo investīciju plūsmu intensitāte Latvijā bija mērena, ko lielā mērā noteica investoru nogaidošā pozīcija pasaules ekonomikas augstās nenoteiktības apstākļos. Ārvalstu tiešo investīciju indekss atspoguļo Latvijas salīdzinošo pievilcību ārvalstu investoriem, tāpēc tā lielumu ietekmē ne tikai Latvijā ienākošo ārvalstu tiešo investīciju apjoms, bet arī ārvalstu tiešo investīciju plūsmas Baltijas kaimiņvalstīs. Indeksa aprēķināto zemu vērtību pēdējos trīs gados (2018-2020) galvenokārt noteica ārvalstu tiešo investīciju būtisks pieaugums Igaunijā, kas veidoja vairāk nekā pusi no piesaistītām ārvalstu tiešajām investīcijām Baltijas valstīs pēdējos trīs gados. Vienlaikus norāda, ka EM ārvalstu tiešo investīciju projektu piesaistes veicināšanai īstenoja virkni pasākumu, lai kopā ar LIAA īstenotajiem darbības rezultātiem sekmētu investīciju piesaisti.</w:t>
      </w:r>
    </w:p>
    <w:p w14:paraId="32868F31" w14:textId="52C62ED9" w:rsidR="001617E7" w:rsidRPr="001617E7" w:rsidRDefault="001617E7" w:rsidP="001617E7">
      <w:pPr>
        <w:ind w:firstLine="720"/>
        <w:rPr>
          <w:rFonts w:cs="Times New Roman"/>
          <w:szCs w:val="24"/>
          <w:lang w:val="lv-LV"/>
        </w:rPr>
      </w:pPr>
      <w:r w:rsidRPr="001617E7">
        <w:rPr>
          <w:rFonts w:cs="Times New Roman"/>
          <w:szCs w:val="24"/>
          <w:lang w:val="lv-LV"/>
        </w:rPr>
        <w:t xml:space="preserve">Tāpat zems politikas rezultatīvo rādītāju izpildes līmenis 64,4% apmērā ir konstatēts politikas un resursu vadības kartei Nr. 4 “Būvniecības un mājokļu politikas īstenošana”. Šajā politikas un resursu vadības kartē ir iekļauti trīs politikas rezultatīvie rādītāji, no kuriem </w:t>
      </w:r>
      <w:r w:rsidRPr="001617E7">
        <w:rPr>
          <w:rFonts w:cs="Times New Roman"/>
          <w:szCs w:val="24"/>
          <w:lang w:val="lv-LV"/>
        </w:rPr>
        <w:lastRenderedPageBreak/>
        <w:t>viszemākā izpilde 37,5% apmērā ir politikas rezultatīvajam rādītājam – “Dokumentu saskaņošana no būvniecības ieceres līdz objekta nodošanai ekspluatācijā, dienu skaits”.</w:t>
      </w:r>
    </w:p>
    <w:p w14:paraId="6F301534"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2.4.10. attēls</w:t>
      </w:r>
      <w:r w:rsidRPr="001617E7">
        <w:rPr>
          <w:rFonts w:cs="Times New Roman"/>
          <w:b/>
          <w:bCs/>
          <w:sz w:val="22"/>
          <w:lang w:val="lv-LV"/>
        </w:rPr>
        <w:t xml:space="preserve"> Politikas rezultatīvā rādītāja “Dokumentu saskaņošana no būvniecības ieceres līdz objekta nodošanai ekspluatācijā, dienu skaits” izpildes un plānotās vērtības, un politikas un resursu vadības kartes Nr. 4 “Būvniecības un mājokļu politikas īstenošana” izdevumu dinamika (milj. </w:t>
      </w:r>
      <w:r w:rsidRPr="001617E7">
        <w:rPr>
          <w:rFonts w:cs="Times New Roman"/>
          <w:b/>
          <w:bCs/>
          <w:i/>
          <w:iCs/>
          <w:sz w:val="22"/>
          <w:lang w:val="lv-LV"/>
        </w:rPr>
        <w:t>euro</w:t>
      </w:r>
      <w:r w:rsidRPr="001617E7">
        <w:rPr>
          <w:rFonts w:cs="Times New Roman"/>
          <w:b/>
          <w:bCs/>
          <w:sz w:val="22"/>
          <w:lang w:val="lv-LV"/>
        </w:rPr>
        <w:t>)</w:t>
      </w:r>
    </w:p>
    <w:p w14:paraId="22AA53E5"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589F31F4" wp14:editId="6E4C3800">
            <wp:extent cx="5760085" cy="2581275"/>
            <wp:effectExtent l="0" t="0" r="12065" b="9525"/>
            <wp:docPr id="23" name="Chart 23">
              <a:extLst xmlns:a="http://schemas.openxmlformats.org/drawingml/2006/main">
                <a:ext uri="{FF2B5EF4-FFF2-40B4-BE49-F238E27FC236}">
                  <a16:creationId xmlns:a16="http://schemas.microsoft.com/office/drawing/2014/main" id="{B039E6C7-7FC3-486B-A626-2A4E467EB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B613029"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Aplūkojot attēlu Nr. 2.4.10., secināms, ka politikas rezultatīvā rādītāja “Dokumentu saskaņošana no būvniecības ieceres līdz objekta nodošanai ekspluatācijā, dienu skaits” izpildes vērtība 2020. gadā par 120 dienām atpaliek no plānotās vērtības, kā arī, sākot no 2017. gada, izpildes vērtības ir bijušas nemainīgas. Savukārt izdevumi politikas un resursu vadības kartē Nr. 4 “Būvniecības un mājokļu politikas īstenošana” laika posmā no 2015. līdz 2019. gadam, pakāpeniski pieaug. Izdevumu kritums 2020. gadā skaidrojams ar izdevumu samazinājumu mājokļu jomai valsts galvojumu nodrošināšanai bankas aizdevumiem mājokļu iegādei. </w:t>
      </w:r>
    </w:p>
    <w:p w14:paraId="5A818908"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EM norāda, ka jau vairākus gadus cenšas pārliecināt </w:t>
      </w:r>
      <w:r w:rsidRPr="001617E7">
        <w:rPr>
          <w:rFonts w:cs="Times New Roman"/>
          <w:i/>
          <w:iCs/>
          <w:szCs w:val="24"/>
          <w:lang w:val="lv-LV"/>
        </w:rPr>
        <w:t>Doing business</w:t>
      </w:r>
      <w:r w:rsidRPr="001617E7">
        <w:rPr>
          <w:rFonts w:cs="Times New Roman"/>
          <w:szCs w:val="24"/>
          <w:lang w:val="lv-LV"/>
        </w:rPr>
        <w:t xml:space="preserve"> pētījuma veicējus, ka atsevišķas </w:t>
      </w:r>
      <w:r w:rsidRPr="001617E7">
        <w:rPr>
          <w:rFonts w:cs="Times New Roman"/>
          <w:i/>
          <w:iCs/>
          <w:szCs w:val="24"/>
          <w:lang w:val="lv-LV"/>
        </w:rPr>
        <w:t>Doing business</w:t>
      </w:r>
      <w:r w:rsidRPr="001617E7">
        <w:rPr>
          <w:rFonts w:cs="Times New Roman"/>
          <w:szCs w:val="24"/>
          <w:lang w:val="lv-LV"/>
        </w:rPr>
        <w:t xml:space="preserve"> vērtējumā iekļautas procedūras normatīvajos aktos ir izslēgtas, kā rezultātā minētās prasības netiek vairs pieprasītas. EM arī iesniegusi pētniekiem oficiālo viedokli un apliecinošus datus no Būvniecības informācijas sistēmas, bet diemžēl normatīvo aktu grozījumi nav pietiekams pierādījums, lai </w:t>
      </w:r>
      <w:r w:rsidRPr="001617E7">
        <w:rPr>
          <w:rFonts w:cs="Times New Roman"/>
          <w:i/>
          <w:iCs/>
          <w:szCs w:val="24"/>
          <w:lang w:val="lv-LV"/>
        </w:rPr>
        <w:t>Doing business</w:t>
      </w:r>
      <w:r w:rsidRPr="001617E7">
        <w:rPr>
          <w:rFonts w:cs="Times New Roman"/>
          <w:szCs w:val="24"/>
          <w:lang w:val="lv-LV"/>
        </w:rPr>
        <w:t xml:space="preserve"> tos ņemtu vērā, jo atbilstoši metodoloģijai ir nepieciešams pārliecināties, kā normatīvais regulējums tiek piemērots praksē, pamatojoties uz privātpersonu viedokli, kas tiek izteikts aptaujas laikā. Vienlaikus EM norāda, ka, lai turpmāk nebūtu pārpratumi, EM piedāvā palikt pie šī rādītāja, bet ņemt nevis </w:t>
      </w:r>
      <w:r w:rsidRPr="001617E7">
        <w:rPr>
          <w:rFonts w:cs="Times New Roman"/>
          <w:i/>
          <w:iCs/>
          <w:szCs w:val="24"/>
          <w:lang w:val="lv-LV"/>
        </w:rPr>
        <w:t>Doing business</w:t>
      </w:r>
      <w:r w:rsidRPr="001617E7">
        <w:rPr>
          <w:rFonts w:cs="Times New Roman"/>
          <w:szCs w:val="24"/>
          <w:lang w:val="lv-LV"/>
        </w:rPr>
        <w:t xml:space="preserve"> novērtējumu, bet Būvniecības informācijas sistēmas oficiālo statistiku, pamatojoties uz faktu, ka elektronisks process ir obligāts, dati ir objektīvi un aktuāli.</w:t>
      </w:r>
    </w:p>
    <w:p w14:paraId="3672E6BA" w14:textId="77777777" w:rsidR="001617E7" w:rsidRPr="001617E7" w:rsidRDefault="001617E7" w:rsidP="001617E7">
      <w:pPr>
        <w:rPr>
          <w:rFonts w:cs="Times New Roman"/>
          <w:szCs w:val="24"/>
          <w:lang w:val="lv-LV"/>
        </w:rPr>
      </w:pPr>
    </w:p>
    <w:p w14:paraId="305A103A" w14:textId="579E6B37" w:rsidR="001617E7" w:rsidRPr="001617E7" w:rsidRDefault="001617E7" w:rsidP="001617E7">
      <w:pPr>
        <w:rPr>
          <w:rFonts w:cs="Times New Roman"/>
          <w:b/>
          <w:bCs/>
          <w:szCs w:val="24"/>
          <w:lang w:val="lv-LV"/>
        </w:rPr>
      </w:pPr>
      <w:r w:rsidRPr="001617E7">
        <w:rPr>
          <w:rFonts w:cs="Times New Roman"/>
          <w:b/>
          <w:bCs/>
          <w:szCs w:val="24"/>
          <w:lang w:val="lv-LV"/>
        </w:rPr>
        <w:t>Iekšlietu ministrija</w:t>
      </w:r>
    </w:p>
    <w:p w14:paraId="05C3D3D3" w14:textId="28250D86"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IeM ir 9</w:t>
      </w:r>
      <w:r w:rsidRPr="001617E7">
        <w:rPr>
          <w:rFonts w:cs="Times New Roman"/>
          <w:szCs w:val="24"/>
          <w:vertAlign w:val="superscript"/>
          <w:lang w:val="lv-LV"/>
        </w:rPr>
        <w:footnoteReference w:id="11"/>
      </w:r>
      <w:r w:rsidRPr="001617E7">
        <w:rPr>
          <w:rFonts w:cs="Times New Roman"/>
          <w:szCs w:val="24"/>
          <w:lang w:val="lv-LV"/>
        </w:rPr>
        <w:t xml:space="preserve"> politikas un resursu vadības kartes, kurās kopumā iekļauts 21 politikas rezultatīvie rādītājs. Vidējais visu IeM politikas rezultatīvo rādītāju plāna izpildes līmenis 2020. gadā ir 78,1%.</w:t>
      </w:r>
    </w:p>
    <w:p w14:paraId="44A1FE86"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2.4.11. attēls</w:t>
      </w:r>
      <w:r w:rsidRPr="001617E7">
        <w:rPr>
          <w:rFonts w:cs="Times New Roman"/>
          <w:b/>
          <w:bCs/>
          <w:sz w:val="22"/>
          <w:lang w:val="lv-LV"/>
        </w:rPr>
        <w:t xml:space="preserve"> 2020. gada IeM politikas un resursu vadības kartēs iekļauto politikas rezultatīvo rādītāju plāna izpildes līmenis (%)</w:t>
      </w:r>
    </w:p>
    <w:p w14:paraId="15AE2F5A"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7D0D5A72" wp14:editId="0453D0C3">
            <wp:extent cx="5760085" cy="2676525"/>
            <wp:effectExtent l="0" t="0" r="12065" b="9525"/>
            <wp:docPr id="35" name="Chart 35">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65B4CE9" w14:textId="77777777" w:rsidR="001617E7" w:rsidRPr="001617E7" w:rsidRDefault="001617E7" w:rsidP="001617E7">
      <w:pPr>
        <w:ind w:firstLine="720"/>
        <w:rPr>
          <w:rFonts w:cs="Times New Roman"/>
          <w:szCs w:val="24"/>
          <w:lang w:val="lv-LV"/>
        </w:rPr>
      </w:pPr>
      <w:r w:rsidRPr="001617E7">
        <w:rPr>
          <w:rFonts w:cs="Times New Roman"/>
          <w:szCs w:val="24"/>
          <w:lang w:val="lv-LV"/>
        </w:rPr>
        <w:t>Kā redzams attēlā Nr. 2.4.11., politikas rezultatīvo rādītāju 2020. gada vidējais plāna izpildes līmenis 100% apmērā ir trīs IeM politikas un resursu vadības kartēm – Nr. 5 “Vienotās sakaru un informācijas sistēmas nodrošināšana”, Nr. 6 “Personāla fiziskā sagatavotība, veselības un sociālā aprūpe” un Nr. 9 “Nozaru vadība un iekšlietu politikas plānošana”. Tāpat augsts politikas rezultatīvo rādītāju 2020. gada vidējais plāna izpildes līmenis ir arī politikas un resursu vadības kartei Nr. 1 “Sabiedriskā kārtība un drošība, noziedzības novēršana un apkarošana” 83,6% un Nr. 3 “Civilā aizsardzība, ugunsdrošība, ugunsdzēsība un glābšana” 82,2%. Savukārt pārējās politikas un resursu vadības kartēs politikas rezultatīvo rādītāju plāna izpildes līmenis ir salīdzinoši zems, līdz ar to detalizēti tika analizēta šajās politikas un resursu vadības kartēs iekļauto politikas rezultatīvo rādītāju izpildes dinamika, kā arī to sasaiste ar piešķirto finansējumu.</w:t>
      </w:r>
    </w:p>
    <w:p w14:paraId="724F29A9" w14:textId="741701C9" w:rsidR="00B66244" w:rsidRDefault="001617E7" w:rsidP="00105C87">
      <w:pPr>
        <w:ind w:firstLine="720"/>
        <w:rPr>
          <w:rFonts w:cs="Times New Roman"/>
          <w:szCs w:val="24"/>
          <w:lang w:val="lv-LV"/>
        </w:rPr>
      </w:pPr>
      <w:r w:rsidRPr="001617E7">
        <w:rPr>
          <w:rFonts w:cs="Times New Roman"/>
          <w:szCs w:val="24"/>
          <w:lang w:val="lv-LV"/>
        </w:rPr>
        <w:t>No visām IeM politikas un resursu vadības kartēm viszemākais politikas rezultatīvo rādītāju izpildes līmenis 31,2% apmērā ir konstatēts politikas un resursu vadības kartei Nr. 7 “Nodrošinājums iestāžu funkciju īstenošanā, atbalsts lietisko pierādījumu, arestētās un izņemtās mantas glabāšanā”. Šajā politikas un resursu vadības kartē ir iekļauti divi politikas rezultatīvie rādītāji, kuriem abiem ir zems plāna izpildes līmenis – “Lēmumu (ceļu satiksmē izņemtie transportlīdzekļi) izpildes izmaiņas (%) attiecībā pret iepriekšējo gadu” 9,1% un “Ieguldījuma izmaiņas iekšlietu infrastruktūrā (%) attiecībā pret iepri</w:t>
      </w:r>
      <w:r w:rsidR="00105C87">
        <w:rPr>
          <w:rFonts w:cs="Times New Roman"/>
          <w:szCs w:val="24"/>
          <w:lang w:val="lv-LV"/>
        </w:rPr>
        <w:t>ekšējo gadu” 53,3%.</w:t>
      </w:r>
    </w:p>
    <w:p w14:paraId="31AC848A" w14:textId="66E44FB9" w:rsidR="002C24FA" w:rsidRDefault="002C24FA" w:rsidP="00105C87">
      <w:pPr>
        <w:ind w:firstLine="720"/>
        <w:rPr>
          <w:rFonts w:cs="Times New Roman"/>
          <w:szCs w:val="24"/>
          <w:lang w:val="lv-LV"/>
        </w:rPr>
      </w:pPr>
    </w:p>
    <w:p w14:paraId="5FD36391" w14:textId="6102C417" w:rsidR="002C24FA" w:rsidRDefault="002C24FA" w:rsidP="00105C87">
      <w:pPr>
        <w:ind w:firstLine="720"/>
        <w:rPr>
          <w:rFonts w:cs="Times New Roman"/>
          <w:szCs w:val="24"/>
          <w:lang w:val="lv-LV"/>
        </w:rPr>
      </w:pPr>
    </w:p>
    <w:p w14:paraId="71B1B97D" w14:textId="6C49E5A6" w:rsidR="002C24FA" w:rsidRDefault="002C24FA" w:rsidP="00105C87">
      <w:pPr>
        <w:ind w:firstLine="720"/>
        <w:rPr>
          <w:rFonts w:cs="Times New Roman"/>
          <w:szCs w:val="24"/>
          <w:lang w:val="lv-LV"/>
        </w:rPr>
      </w:pPr>
    </w:p>
    <w:p w14:paraId="69FBF2B6" w14:textId="77777777" w:rsidR="002C24FA" w:rsidRPr="004354AF" w:rsidRDefault="002C24FA" w:rsidP="00105C87">
      <w:pPr>
        <w:ind w:firstLine="720"/>
        <w:rPr>
          <w:rFonts w:cs="Times New Roman"/>
          <w:szCs w:val="24"/>
          <w:lang w:val="lv-LV"/>
        </w:rPr>
      </w:pPr>
    </w:p>
    <w:p w14:paraId="6C74A5D1" w14:textId="4C07D89D"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2.4.12. attēls</w:t>
      </w:r>
      <w:r w:rsidRPr="001617E7">
        <w:rPr>
          <w:rFonts w:cs="Times New Roman"/>
          <w:b/>
          <w:bCs/>
          <w:sz w:val="22"/>
          <w:lang w:val="lv-LV"/>
        </w:rPr>
        <w:t xml:space="preserve"> Politikas un resursu vadības kartē Nr. 7 “Nodrošinājums iestāžu funkciju īstenošanā, atbalsts lietisko pierādījumu, arestētās un izņemtās mantas glabāšanā” iekļauto politikas rezultatīvo rādītāju izpildes un plānotās vērtības</w:t>
      </w:r>
      <w:r w:rsidRPr="001617E7">
        <w:rPr>
          <w:rFonts w:cs="Times New Roman"/>
          <w:b/>
          <w:bCs/>
          <w:sz w:val="22"/>
          <w:vertAlign w:val="superscript"/>
          <w:lang w:val="lv-LV"/>
        </w:rPr>
        <w:footnoteReference w:id="12"/>
      </w:r>
      <w:r w:rsidRPr="001617E7">
        <w:rPr>
          <w:rFonts w:cs="Times New Roman"/>
          <w:b/>
          <w:bCs/>
          <w:sz w:val="22"/>
          <w:lang w:val="lv-LV"/>
        </w:rPr>
        <w:t xml:space="preserve">, un izdevumu dinamika (milj. </w:t>
      </w:r>
      <w:r w:rsidRPr="001617E7">
        <w:rPr>
          <w:rFonts w:cs="Times New Roman"/>
          <w:b/>
          <w:bCs/>
          <w:i/>
          <w:iCs/>
          <w:sz w:val="22"/>
          <w:lang w:val="lv-LV"/>
        </w:rPr>
        <w:t>euro</w:t>
      </w:r>
      <w:r w:rsidRPr="001617E7">
        <w:rPr>
          <w:rFonts w:cs="Times New Roman"/>
          <w:b/>
          <w:bCs/>
          <w:sz w:val="22"/>
          <w:lang w:val="lv-LV"/>
        </w:rPr>
        <w:t>)</w:t>
      </w:r>
    </w:p>
    <w:p w14:paraId="520A37BD" w14:textId="77777777" w:rsidR="001617E7" w:rsidRPr="001617E7" w:rsidRDefault="001617E7" w:rsidP="001617E7">
      <w:pPr>
        <w:rPr>
          <w:rFonts w:cs="Times New Roman"/>
          <w:b/>
          <w:bCs/>
          <w:szCs w:val="24"/>
          <w:lang w:val="lv-LV"/>
        </w:rPr>
      </w:pPr>
      <w:r w:rsidRPr="001617E7">
        <w:rPr>
          <w:rFonts w:cs="Times New Roman"/>
          <w:b/>
          <w:bCs/>
          <w:noProof/>
          <w:szCs w:val="24"/>
          <w:shd w:val="clear" w:color="auto" w:fill="1F4E79" w:themeFill="accent1" w:themeFillShade="80"/>
          <w:lang w:val="lv-LV" w:eastAsia="lv-LV"/>
        </w:rPr>
        <w:drawing>
          <wp:inline distT="0" distB="0" distL="0" distR="0" wp14:anchorId="1E7C7A5F" wp14:editId="286F4476">
            <wp:extent cx="5760085" cy="2562225"/>
            <wp:effectExtent l="0" t="0" r="12065" b="9525"/>
            <wp:docPr id="52" name="Chart 52">
              <a:extLst xmlns:a="http://schemas.openxmlformats.org/drawingml/2006/main">
                <a:ext uri="{FF2B5EF4-FFF2-40B4-BE49-F238E27FC236}">
                  <a16:creationId xmlns:a16="http://schemas.microsoft.com/office/drawing/2014/main" id="{C2EE107D-E8F5-4092-9C52-B7D93A70E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D092E64"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2.4.12., var secināt, ka politikas rezultatīvā rādītāja “Lēmumu (ceļu satiksmē izņemtie transportlīdzekļi) izpildes izmaiņas (%) attiecībā pret iepriekšējo gadu” izpilde 2020. gadā no plānotās vērtības atpaliek par 6 procentpunktiem, savukārt politikas rezultatīvā rādītāja “Ieguldījuma izmaiņas iekšlietu infrastruktūrā (%) attiecībā pret iepriekšējo gadu” izpilde 2020. gadā no plānotās vērtības atpaliek par 4,6 procentpunktiem. Izdevumi politikas un resursu vadības kartē Nr.7 “Nodrošinājums iestāžu funkciju īstenošanā, atbalsts lietisko pierādījumu, arestētās un izņemtās mantas glabāšanā”, sākot no 2017. gada, ir samazinājušies.</w:t>
      </w:r>
    </w:p>
    <w:p w14:paraId="14459F47" w14:textId="4E6ED155" w:rsidR="001617E7" w:rsidRPr="001617E7" w:rsidRDefault="001617E7" w:rsidP="001617E7">
      <w:pPr>
        <w:ind w:firstLine="720"/>
        <w:rPr>
          <w:rFonts w:cs="Times New Roman"/>
          <w:szCs w:val="24"/>
          <w:lang w:val="lv-LV"/>
        </w:rPr>
      </w:pPr>
      <w:r w:rsidRPr="001617E7">
        <w:rPr>
          <w:rFonts w:cs="Times New Roman"/>
          <w:szCs w:val="24"/>
          <w:lang w:val="lv-LV"/>
        </w:rPr>
        <w:t>IeM politikas rezultatīvā rādītāja “Ieguldījuma izmaiņas iekšlietu infrastruktūrā (%) attiecībā pret iepriekšējo gadu” neizpildi skaidro ar to, ka</w:t>
      </w:r>
      <w:r w:rsidRPr="001617E7">
        <w:rPr>
          <w:rFonts w:asciiTheme="minorHAnsi" w:hAnsiTheme="minorHAnsi"/>
          <w:sz w:val="22"/>
          <w:lang w:val="lv-LV"/>
        </w:rPr>
        <w:t xml:space="preserve"> </w:t>
      </w:r>
      <w:r w:rsidRPr="001617E7">
        <w:rPr>
          <w:rFonts w:cs="Times New Roman"/>
          <w:szCs w:val="24"/>
          <w:lang w:val="lv-LV"/>
        </w:rPr>
        <w:t>gada ietvaros darbība tika vērsta, lai nodrošinātu finansējuma apguvi pilnā apmērā, bet, ņemot vērā situāciju valstī sakarā ar C</w:t>
      </w:r>
      <w:r w:rsidR="004354AF">
        <w:rPr>
          <w:rFonts w:cs="Times New Roman"/>
          <w:szCs w:val="24"/>
          <w:lang w:val="lv-LV"/>
        </w:rPr>
        <w:t>ovid</w:t>
      </w:r>
      <w:r w:rsidRPr="001617E7">
        <w:rPr>
          <w:rFonts w:cs="Times New Roman"/>
          <w:szCs w:val="24"/>
          <w:lang w:val="lv-LV"/>
        </w:rPr>
        <w:noBreakHyphen/>
        <w:t>19 izplatību, kavējās plānotie remontdarbi. Vienlaikus IeM norāda, ka, uzlabojoties epidemioloģiskai situācijai, plānots sasniegt politikas rezultatīvā rādītāja plānotās vērtības.</w:t>
      </w:r>
    </w:p>
    <w:p w14:paraId="4DFC1E77" w14:textId="77777777" w:rsidR="001617E7" w:rsidRPr="001617E7" w:rsidRDefault="001617E7" w:rsidP="001617E7">
      <w:pPr>
        <w:ind w:firstLine="720"/>
        <w:rPr>
          <w:rFonts w:cs="Times New Roman"/>
          <w:szCs w:val="24"/>
          <w:lang w:val="lv-LV"/>
        </w:rPr>
      </w:pPr>
      <w:r w:rsidRPr="001617E7">
        <w:rPr>
          <w:rFonts w:cs="Times New Roman"/>
          <w:szCs w:val="24"/>
          <w:lang w:val="lv-LV"/>
        </w:rPr>
        <w:t>Savukārt attiecībā uz politikas rezultatīvo rādītāju “Lēmumu (ceļu satiksmē izņemtie transportlīdzekļi) izpildes izmaiņas (%) attiecībā pret iepriekšējo gadu” IeM norāda, ka sakarā ar izmaiņām normatīvajā regulējumā kopš 2020. gada otrā pusgada būtiski samazinājās ceļu satiksmē izņemto transportlīdzekļu nodošana glabāšanā Nodrošinājuma valsts aģentūrai. Vienlaikus norāda, ka bija plānots samazināt arī diennakšu skaitu, kurās transportlīdzekļi glabājas Nodrošinājuma valsts aģentūrā, bet tas nenotika, jo glabāšanā ilgstoši atrodas transportlīdzekļi ar dažādiem apgrūtinājumiem (komercķīla, mantojuma lietas, bezīpašnieka manta), ko Nodrošinājuma valsts aģentūra nevar tieši ietekmēt. Līdz ar to tiks izvērtēta iespējamība veikt nepieciešamos grozījumus normatīvajā regulējumā, lai būtu iespēja ātrāk pieņemt lēmumu par turpmāko rīcību ar izņemto transportlīdzekli.</w:t>
      </w:r>
    </w:p>
    <w:p w14:paraId="420C47ED" w14:textId="620CDC53" w:rsidR="001617E7" w:rsidRPr="001617E7" w:rsidRDefault="001617E7" w:rsidP="001617E7">
      <w:pPr>
        <w:ind w:firstLine="720"/>
        <w:rPr>
          <w:rFonts w:cs="Times New Roman"/>
          <w:szCs w:val="24"/>
          <w:lang w:val="lv-LV"/>
        </w:rPr>
      </w:pPr>
      <w:r w:rsidRPr="001617E7">
        <w:rPr>
          <w:rFonts w:cs="Times New Roman"/>
          <w:szCs w:val="24"/>
          <w:lang w:val="lv-LV"/>
        </w:rPr>
        <w:t xml:space="preserve">Tāpat zems politikas rezultatīvo rādītāju izpildes līmenis 61,9% apmērā ir konstatēts politikas un resursu vadības kartei Nr. 2 “Valsts robežas drošība”. Šajā politikas un resursu vadības kartē ir iekļauti trīs politikas rezultatīvie rādītāji, kuriem visiem ir salīdzinoši zema izpilde. Politikas rezultatīvā rādītāja “Nodrošināta solidāra Eiropas Savienības ārējās robežas </w:t>
      </w:r>
      <w:r w:rsidRPr="001617E7">
        <w:rPr>
          <w:rFonts w:cs="Times New Roman"/>
          <w:szCs w:val="24"/>
          <w:lang w:val="lv-LV"/>
        </w:rPr>
        <w:lastRenderedPageBreak/>
        <w:t>apsardzība un nodrošināta Latvijas Republikas starptautiskajos līgumos noteikto saistību izpilde (amatpersonu skaits)” 2020. gada plāna izpildi būtiski ir ietekmējis COVID-19. Savukārt abiem pārējiem savstarpēji saistītajiem rezultatīvajiem rādītājiem plāna izpildes līmenis ir 35,7%</w:t>
      </w:r>
      <w:r w:rsidR="00CF64D3">
        <w:rPr>
          <w:rFonts w:cs="Times New Roman"/>
          <w:szCs w:val="24"/>
          <w:lang w:val="lv-LV"/>
        </w:rPr>
        <w:t xml:space="preserve"> </w:t>
      </w:r>
      <w:r w:rsidRPr="001617E7">
        <w:rPr>
          <w:rFonts w:cs="Times New Roman"/>
          <w:szCs w:val="24"/>
          <w:lang w:val="lv-LV"/>
        </w:rPr>
        <w:t xml:space="preserve">– “Valsts robežas joslas ierīkošana gar Latvijas – Baltkrievijas robežu no kopējā robežas garuma (%)” un 81,0% – “Valsts robežas joslas ierīkošana gar Latvijas – Krievijas robežu no kopējā robežas garuma (%)”. </w:t>
      </w:r>
    </w:p>
    <w:p w14:paraId="6C30324D"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2.4.13. attēls</w:t>
      </w:r>
      <w:r w:rsidRPr="001617E7">
        <w:rPr>
          <w:rFonts w:cs="Times New Roman"/>
          <w:b/>
          <w:bCs/>
          <w:sz w:val="22"/>
          <w:lang w:val="lv-LV"/>
        </w:rPr>
        <w:t xml:space="preserve"> Politikas un resursu vadības kartē Nr. 2 “Valsts robežas drošība” iekļauto politikas rezultatīvo rādītāju izpildes un plānotās vērtības</w:t>
      </w:r>
      <w:r w:rsidRPr="001617E7">
        <w:rPr>
          <w:rFonts w:cs="Times New Roman"/>
          <w:b/>
          <w:bCs/>
          <w:sz w:val="22"/>
          <w:vertAlign w:val="superscript"/>
          <w:lang w:val="lv-LV"/>
        </w:rPr>
        <w:footnoteReference w:id="13"/>
      </w:r>
      <w:r w:rsidRPr="001617E7">
        <w:rPr>
          <w:rFonts w:cs="Times New Roman"/>
          <w:b/>
          <w:bCs/>
          <w:sz w:val="22"/>
          <w:lang w:val="lv-LV"/>
        </w:rPr>
        <w:t xml:space="preserve">, un izdevumu dinamika (milj. </w:t>
      </w:r>
      <w:r w:rsidRPr="001617E7">
        <w:rPr>
          <w:rFonts w:cs="Times New Roman"/>
          <w:b/>
          <w:bCs/>
          <w:i/>
          <w:iCs/>
          <w:sz w:val="22"/>
          <w:lang w:val="lv-LV"/>
        </w:rPr>
        <w:t>euro</w:t>
      </w:r>
      <w:r w:rsidRPr="001617E7">
        <w:rPr>
          <w:rFonts w:cs="Times New Roman"/>
          <w:b/>
          <w:bCs/>
          <w:sz w:val="22"/>
          <w:lang w:val="lv-LV"/>
        </w:rPr>
        <w:t>)</w:t>
      </w:r>
    </w:p>
    <w:p w14:paraId="1006A0B2"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4FA23450" wp14:editId="1CBDCBEA">
            <wp:extent cx="5760085" cy="2990850"/>
            <wp:effectExtent l="0" t="0" r="12065" b="0"/>
            <wp:docPr id="37" name="Chart 37">
              <a:extLst xmlns:a="http://schemas.openxmlformats.org/drawingml/2006/main">
                <a:ext uri="{FF2B5EF4-FFF2-40B4-BE49-F238E27FC236}">
                  <a16:creationId xmlns:a16="http://schemas.microsoft.com/office/drawing/2014/main" id="{0DE935C3-A6FF-40A9-9501-D5A5F42FCA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94F95B8"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2.4.13., var secināt, ka politikas rezultatīvā rādītāja “Valsts robežas joslas ierīkošana gar Latvijas – Baltkrievijas robežu no kopējā robežas garuma (%)” izpilde 2020. gadā nesasniedz plānoto vērtību par 18 procentpunktiem, savukārt politikas rezultatīvā rādītāja “Valsts robežas joslas ierīkošana gar Latvijas – Krievijas robežu no kopējā robežas garuma (%)” par 19 procentpunktiem. Izdevumi politikas un resursu vadības kartē Nr.</w:t>
      </w:r>
      <w:r w:rsidRPr="001617E7">
        <w:rPr>
          <w:rFonts w:asciiTheme="minorHAnsi" w:hAnsiTheme="minorHAnsi"/>
          <w:sz w:val="22"/>
          <w:lang w:val="lv-LV"/>
        </w:rPr>
        <w:t xml:space="preserve"> </w:t>
      </w:r>
      <w:r w:rsidRPr="001617E7">
        <w:rPr>
          <w:rFonts w:cs="Times New Roman"/>
          <w:szCs w:val="24"/>
          <w:lang w:val="lv-LV"/>
        </w:rPr>
        <w:t>2 “Valsts robežas drošība” laika posmā no 2015. līdz 2020. gadam ir pakāpeniski pieauguši.</w:t>
      </w:r>
    </w:p>
    <w:p w14:paraId="2D2F9181" w14:textId="77777777" w:rsidR="001617E7" w:rsidRPr="001617E7" w:rsidRDefault="001617E7" w:rsidP="001617E7">
      <w:pPr>
        <w:rPr>
          <w:rFonts w:cs="Times New Roman"/>
          <w:szCs w:val="24"/>
          <w:lang w:val="lv-LV"/>
        </w:rPr>
      </w:pPr>
      <w:r w:rsidRPr="001617E7">
        <w:rPr>
          <w:rFonts w:cs="Times New Roman"/>
          <w:szCs w:val="24"/>
          <w:lang w:val="lv-LV"/>
        </w:rPr>
        <w:tab/>
        <w:t xml:space="preserve">IeM politikas rezultatīvo rādītāju neizpildi skaidro ar apturētajiem būvdarbiem, kuru atsākšana ir atkarīga no valsts ārējas robežas infrastruktūras izbūves uzraudzības komitejas pozitīva lēmuma. Vienlaikus norāda, ka IeM ir ieinteresēta, lai pēc iespējas drīzāk būtu iespējama valsts robežas joslas infrastruktūras izbūves pabeigšana. </w:t>
      </w:r>
    </w:p>
    <w:p w14:paraId="4B746E3F" w14:textId="3331E2D8" w:rsidR="00B66244" w:rsidRDefault="001617E7" w:rsidP="004354AF">
      <w:pPr>
        <w:rPr>
          <w:rFonts w:cs="Times New Roman"/>
          <w:szCs w:val="24"/>
          <w:lang w:val="lv-LV"/>
        </w:rPr>
      </w:pPr>
      <w:r w:rsidRPr="001617E7">
        <w:rPr>
          <w:rFonts w:cs="Times New Roman"/>
          <w:szCs w:val="24"/>
          <w:lang w:val="lv-LV"/>
        </w:rPr>
        <w:tab/>
        <w:t>Salīdzinoši zems politikas rezultatīvo rādītāju izpildes līmenis 65,9% apmērā ir konstatēts politikas un resursu vadības kartei Nr. 4 “Pilsonība, migrācija, personu apliecinoši dokumenti un iedzīvotāju uzskaite”. Šajā politikas un resursu vadības kartē ir iekļauti divi politikas rezultatīvie rādītāji, no kuriem zema plāna izpilde 31,7% apmērā ir politikas rezultatīvajam rādītājam</w:t>
      </w:r>
      <w:r w:rsidR="00CF64D3">
        <w:rPr>
          <w:rFonts w:cs="Times New Roman"/>
          <w:szCs w:val="24"/>
          <w:lang w:val="lv-LV"/>
        </w:rPr>
        <w:t xml:space="preserve"> </w:t>
      </w:r>
      <w:r w:rsidRPr="001617E7">
        <w:rPr>
          <w:rFonts w:cs="Times New Roman"/>
          <w:szCs w:val="24"/>
          <w:lang w:val="lv-LV"/>
        </w:rPr>
        <w:t>– “Migrācijas saldo, primāri veicinot reemigrāciju un samazinot emigr</w:t>
      </w:r>
      <w:r w:rsidR="009B1A4B">
        <w:rPr>
          <w:rFonts w:cs="Times New Roman"/>
          <w:szCs w:val="24"/>
          <w:lang w:val="lv-LV"/>
        </w:rPr>
        <w:t>āciju”.</w:t>
      </w:r>
    </w:p>
    <w:p w14:paraId="1BD83A8F" w14:textId="6992B04C" w:rsidR="002C24FA" w:rsidRDefault="002C24FA" w:rsidP="004354AF">
      <w:pPr>
        <w:rPr>
          <w:rFonts w:cs="Times New Roman"/>
          <w:szCs w:val="24"/>
          <w:lang w:val="lv-LV"/>
        </w:rPr>
      </w:pPr>
    </w:p>
    <w:p w14:paraId="3B8235EA" w14:textId="77777777" w:rsidR="002C24FA" w:rsidRPr="004354AF" w:rsidRDefault="002C24FA" w:rsidP="004354AF">
      <w:pPr>
        <w:rPr>
          <w:rFonts w:cs="Times New Roman"/>
          <w:szCs w:val="24"/>
          <w:lang w:val="lv-LV"/>
        </w:rPr>
      </w:pPr>
    </w:p>
    <w:p w14:paraId="023CB25D" w14:textId="61514E0B"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2.4.14. attēls</w:t>
      </w:r>
      <w:r w:rsidRPr="001617E7">
        <w:rPr>
          <w:rFonts w:cs="Times New Roman"/>
          <w:b/>
          <w:bCs/>
          <w:sz w:val="22"/>
          <w:lang w:val="lv-LV"/>
        </w:rPr>
        <w:t xml:space="preserve"> Politikas rezultatīvā rādītāja “Migrācijas saldo, primāri veicinot reemigrāciju un samazinot emigrāciju” izpildes un plānotās vērtības, un politikas un resursu vadības kartes Nr. 4 “Pilsonība, migrācija, personu apliecinoši dokumenti un iedzīvotāju uzskaite” izdevumu dinamika (milj. </w:t>
      </w:r>
      <w:r w:rsidRPr="001617E7">
        <w:rPr>
          <w:rFonts w:cs="Times New Roman"/>
          <w:b/>
          <w:bCs/>
          <w:i/>
          <w:iCs/>
          <w:sz w:val="22"/>
          <w:lang w:val="lv-LV"/>
        </w:rPr>
        <w:t>euro</w:t>
      </w:r>
      <w:r w:rsidRPr="001617E7">
        <w:rPr>
          <w:rFonts w:cs="Times New Roman"/>
          <w:b/>
          <w:bCs/>
          <w:sz w:val="22"/>
          <w:lang w:val="lv-LV"/>
        </w:rPr>
        <w:t>)</w:t>
      </w:r>
    </w:p>
    <w:p w14:paraId="6D934B63"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3844843C" wp14:editId="3791BC6D">
            <wp:extent cx="5760085" cy="2962275"/>
            <wp:effectExtent l="0" t="0" r="12065" b="9525"/>
            <wp:docPr id="38" name="Chart 38">
              <a:extLst xmlns:a="http://schemas.openxmlformats.org/drawingml/2006/main">
                <a:ext uri="{FF2B5EF4-FFF2-40B4-BE49-F238E27FC236}">
                  <a16:creationId xmlns:a16="http://schemas.microsoft.com/office/drawing/2014/main" id="{EE326B9E-318E-458D-B066-3C537E4DD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489559E" w14:textId="19965D93" w:rsidR="001617E7" w:rsidRDefault="001617E7" w:rsidP="001617E7">
      <w:pPr>
        <w:ind w:firstLine="720"/>
        <w:rPr>
          <w:rFonts w:cs="Times New Roman"/>
          <w:szCs w:val="24"/>
          <w:lang w:val="lv-LV"/>
        </w:rPr>
      </w:pPr>
      <w:r w:rsidRPr="001617E7">
        <w:rPr>
          <w:rFonts w:cs="Times New Roman"/>
          <w:szCs w:val="24"/>
          <w:lang w:val="lv-LV"/>
        </w:rPr>
        <w:t>Aplūkojot attēlu Nr. 2.4.14., var secināt, ka politikas rezultatīvā rādītāja “Migrācijas saldo, primāri veicinot reemigrāciju un samazinot emigrāciju” izpilde laika posmā no 2016. līdz 2020. gadam pakāpeniski uzlabojas, tomēr izpilde 2020. gadā būtiski atpaliek no plānotās vērtības. Savukārt politikas un resursu vadības kartē Nr. 4 “Pilsonība, migrācija, personu apliecinoši dokumenti un iedzīvotāju uzskaite” iekļauto izdevumu lielums pa gadiem ir mainīgs. IeM norāda, ka politikas rezultatīvā rādītāja izpildi 2020. gadā ietekmējuši Covid-19 izplatības rezultātā ieviestie ierobežojumi un ar to saistītie ceļošanas ierobežojumi.</w:t>
      </w:r>
    </w:p>
    <w:p w14:paraId="38909F3A" w14:textId="77777777" w:rsidR="001617E7" w:rsidRPr="001617E7" w:rsidRDefault="001617E7" w:rsidP="001617E7">
      <w:pPr>
        <w:ind w:firstLine="720"/>
        <w:rPr>
          <w:rFonts w:cs="Times New Roman"/>
          <w:szCs w:val="24"/>
          <w:lang w:val="lv-LV"/>
        </w:rPr>
      </w:pPr>
    </w:p>
    <w:p w14:paraId="26778A1B" w14:textId="74ED2FA0" w:rsidR="001617E7" w:rsidRPr="001617E7" w:rsidRDefault="001617E7" w:rsidP="001617E7">
      <w:pPr>
        <w:rPr>
          <w:rFonts w:cs="Times New Roman"/>
          <w:b/>
          <w:bCs/>
          <w:szCs w:val="24"/>
          <w:lang w:val="lv-LV"/>
        </w:rPr>
      </w:pPr>
      <w:r w:rsidRPr="001617E7">
        <w:rPr>
          <w:rFonts w:cs="Times New Roman"/>
          <w:b/>
          <w:bCs/>
          <w:szCs w:val="24"/>
          <w:lang w:val="lv-LV"/>
        </w:rPr>
        <w:t>Izglītības un zinātnes ministrija</w:t>
      </w:r>
    </w:p>
    <w:p w14:paraId="38A65464" w14:textId="72502988" w:rsidR="00105C87" w:rsidRDefault="001617E7" w:rsidP="002C24FA">
      <w:pPr>
        <w:ind w:firstLine="720"/>
        <w:rPr>
          <w:rFonts w:cs="Times New Roman"/>
          <w:szCs w:val="24"/>
          <w:lang w:val="lv-LV"/>
        </w:rPr>
      </w:pPr>
      <w:r w:rsidRPr="001617E7">
        <w:rPr>
          <w:rFonts w:cs="Times New Roman"/>
          <w:szCs w:val="24"/>
          <w:lang w:val="lv-LV"/>
        </w:rPr>
        <w:t>2020. gada budžeta paskaidrojumos IZM ir deviņas politikas un resursu vadības kartes, kurās kopumā iekļauti 34 politikas rezultatīvie rādītāji. Vidējais visu IZM politikas rezultatīvo rādītāju plāna izpildes līmenis 2020. gadā ir 88,0%.</w:t>
      </w:r>
    </w:p>
    <w:p w14:paraId="08564A49" w14:textId="391A9BBC" w:rsidR="002C24FA" w:rsidRDefault="002C24FA" w:rsidP="002C24FA">
      <w:pPr>
        <w:ind w:firstLine="720"/>
        <w:rPr>
          <w:rFonts w:cs="Times New Roman"/>
          <w:szCs w:val="24"/>
          <w:lang w:val="lv-LV"/>
        </w:rPr>
      </w:pPr>
    </w:p>
    <w:p w14:paraId="4CD55B5B" w14:textId="1AD2F1D2" w:rsidR="002C24FA" w:rsidRDefault="002C24FA" w:rsidP="002C24FA">
      <w:pPr>
        <w:ind w:firstLine="720"/>
        <w:rPr>
          <w:rFonts w:cs="Times New Roman"/>
          <w:szCs w:val="24"/>
          <w:lang w:val="lv-LV"/>
        </w:rPr>
      </w:pPr>
    </w:p>
    <w:p w14:paraId="2993D670" w14:textId="0B671B15" w:rsidR="002C24FA" w:rsidRDefault="002C24FA" w:rsidP="002C24FA">
      <w:pPr>
        <w:ind w:firstLine="720"/>
        <w:rPr>
          <w:rFonts w:cs="Times New Roman"/>
          <w:szCs w:val="24"/>
          <w:lang w:val="lv-LV"/>
        </w:rPr>
      </w:pPr>
    </w:p>
    <w:p w14:paraId="0D86B6B8" w14:textId="114FE480" w:rsidR="002C24FA" w:rsidRDefault="002C24FA" w:rsidP="002C24FA">
      <w:pPr>
        <w:ind w:firstLine="720"/>
        <w:rPr>
          <w:rFonts w:cs="Times New Roman"/>
          <w:szCs w:val="24"/>
          <w:lang w:val="lv-LV"/>
        </w:rPr>
      </w:pPr>
    </w:p>
    <w:p w14:paraId="40FDB9E0" w14:textId="68D5772B" w:rsidR="002C24FA" w:rsidRDefault="002C24FA" w:rsidP="002C24FA">
      <w:pPr>
        <w:ind w:firstLine="720"/>
        <w:rPr>
          <w:rFonts w:cs="Times New Roman"/>
          <w:szCs w:val="24"/>
          <w:lang w:val="lv-LV"/>
        </w:rPr>
      </w:pPr>
    </w:p>
    <w:p w14:paraId="6049A3C1" w14:textId="3667BC05" w:rsidR="002C24FA" w:rsidRDefault="002C24FA" w:rsidP="002C24FA">
      <w:pPr>
        <w:ind w:firstLine="720"/>
        <w:rPr>
          <w:rFonts w:cs="Times New Roman"/>
          <w:szCs w:val="24"/>
          <w:lang w:val="lv-LV"/>
        </w:rPr>
      </w:pPr>
    </w:p>
    <w:p w14:paraId="44A4DF96" w14:textId="10B50B59" w:rsidR="002C24FA" w:rsidRDefault="002C24FA" w:rsidP="002C24FA">
      <w:pPr>
        <w:ind w:firstLine="720"/>
        <w:rPr>
          <w:rFonts w:cs="Times New Roman"/>
          <w:szCs w:val="24"/>
          <w:lang w:val="lv-LV"/>
        </w:rPr>
      </w:pPr>
    </w:p>
    <w:p w14:paraId="0C811FBD" w14:textId="797A79DA" w:rsidR="002C24FA" w:rsidRDefault="002C24FA" w:rsidP="002C24FA">
      <w:pPr>
        <w:ind w:firstLine="720"/>
        <w:rPr>
          <w:rFonts w:cs="Times New Roman"/>
          <w:szCs w:val="24"/>
          <w:lang w:val="lv-LV"/>
        </w:rPr>
      </w:pPr>
    </w:p>
    <w:p w14:paraId="6AA1A4BE" w14:textId="77777777" w:rsidR="002C24FA" w:rsidRPr="001617E7" w:rsidRDefault="002C24FA" w:rsidP="002C24FA">
      <w:pPr>
        <w:ind w:firstLine="720"/>
        <w:rPr>
          <w:rFonts w:cs="Times New Roman"/>
          <w:szCs w:val="24"/>
          <w:lang w:val="lv-LV"/>
        </w:rPr>
      </w:pPr>
    </w:p>
    <w:p w14:paraId="48907719"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2.4.15. attēls</w:t>
      </w:r>
      <w:r w:rsidRPr="001617E7">
        <w:rPr>
          <w:rFonts w:cs="Times New Roman"/>
          <w:b/>
          <w:bCs/>
          <w:sz w:val="22"/>
          <w:lang w:val="lv-LV"/>
        </w:rPr>
        <w:t xml:space="preserve"> 2020. gada IZM politikas un resursu vadības kartēs iekļauto politikas rezultatīvo rādītāju plāna izpildes līmenis (%)</w:t>
      </w:r>
    </w:p>
    <w:p w14:paraId="6935CC0D"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6CF67823" wp14:editId="786350DE">
            <wp:extent cx="5760085" cy="2924175"/>
            <wp:effectExtent l="0" t="0" r="12065" b="9525"/>
            <wp:docPr id="31" name="Chart 31">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FE203FC" w14:textId="77777777" w:rsidR="001617E7" w:rsidRPr="001617E7" w:rsidRDefault="001617E7" w:rsidP="001617E7">
      <w:pPr>
        <w:ind w:firstLine="720"/>
        <w:rPr>
          <w:rFonts w:cs="Times New Roman"/>
          <w:szCs w:val="24"/>
          <w:lang w:val="lv-LV"/>
        </w:rPr>
      </w:pPr>
      <w:r w:rsidRPr="001617E7">
        <w:rPr>
          <w:rFonts w:cs="Times New Roman"/>
          <w:szCs w:val="24"/>
          <w:lang w:val="lv-LV"/>
        </w:rPr>
        <w:t>Kā redzams attēlā Nr. 2.4.15., politikas rezultatīvo rādītāju 2020. gada vidējais plāna izpildes līmenis 100% apmērā ir trīs IZM politikas un resursu vadības kartēm – Nr. 1 “Vispārējā izglītība”, Nr. 4 “Valsts valodas politikas īstenošana” un Nr. 5 “Zinātne”. Tāpat augsts politikas rezultatīvo rādītāju 2020. gada vidējais plāna izpildes līmenis ir arī politikas un resursu vadības kartei Nr. 8 “ES fondu un citu ES politiku instrumentu un ārvalstu finansējuma projektu un pasākumu īstenošana” 90,0%, Nr. 9 “Nozaru vadība un politikas plānošana” 88,1%, Nr. 3 “Augstākā izglītība” 86,0% un Nr. 6 “Sports” 81,4%. Savukārt pārējās politikas un resursu vadības kartēs politikas rezultatīvo rādītāju plāna izpildes līmenis ir salīdzinoši zems, līdz ar to detalizēti tika analizēta šajās politikas un resursu vadības kartēs iekļauto politikas rezultatīvo rādītāju izpildes dinamika, kā arī to sasaiste ar piešķirto finansējumu.</w:t>
      </w:r>
    </w:p>
    <w:p w14:paraId="2CBFBEA7" w14:textId="77777777" w:rsidR="001617E7" w:rsidRPr="001617E7" w:rsidRDefault="001617E7" w:rsidP="001617E7">
      <w:pPr>
        <w:ind w:firstLine="720"/>
        <w:rPr>
          <w:rFonts w:cs="Times New Roman"/>
          <w:szCs w:val="24"/>
          <w:lang w:val="lv-LV"/>
        </w:rPr>
      </w:pPr>
      <w:r w:rsidRPr="001617E7">
        <w:rPr>
          <w:rFonts w:cs="Times New Roman"/>
          <w:szCs w:val="24"/>
          <w:lang w:val="lv-LV"/>
        </w:rPr>
        <w:t>No visām IZM politikas un resursu vadības kartēm viszemākais politikas rezultatīvo rādītāju izpildes līmenis 68,9% apmērā ir konstatēts politikas un resursu vadības kartei Nr. 7 “Jaunatnes politikas īstenošana”. Šajā politikas un resursu vadības kartē ir iekļauti trīs politikas rezultatīvie rādītāji, no kuriem diviem ir zems plāna izpildes līmenis – “Pašvaldību īpatsvars, kurās vienlaikus darbojas jauniešu centrs, jauniešu dome un jaunatnes konsultatīvā komisija (%)” 32,0% un “Pašvaldību skaits, kurās ir jaunatnes lietu speciālists vai persona, kura veic darbu ar jaunatni” 74,8%.</w:t>
      </w:r>
    </w:p>
    <w:p w14:paraId="5301D9EB" w14:textId="77777777" w:rsidR="001617E7" w:rsidRPr="001617E7" w:rsidRDefault="001617E7" w:rsidP="001617E7">
      <w:pPr>
        <w:ind w:firstLine="720"/>
        <w:rPr>
          <w:rFonts w:cs="Times New Roman"/>
          <w:szCs w:val="24"/>
          <w:lang w:val="lv-LV"/>
        </w:rPr>
      </w:pPr>
    </w:p>
    <w:p w14:paraId="0911F0A1" w14:textId="3C072193" w:rsidR="001617E7" w:rsidRDefault="001617E7" w:rsidP="001617E7">
      <w:pPr>
        <w:ind w:firstLine="720"/>
        <w:rPr>
          <w:rFonts w:cs="Times New Roman"/>
          <w:szCs w:val="24"/>
          <w:lang w:val="lv-LV"/>
        </w:rPr>
      </w:pPr>
    </w:p>
    <w:p w14:paraId="789FD65F" w14:textId="26EFEFC7" w:rsidR="001617E7" w:rsidRDefault="001617E7" w:rsidP="001617E7">
      <w:pPr>
        <w:ind w:firstLine="720"/>
        <w:rPr>
          <w:rFonts w:cs="Times New Roman"/>
          <w:szCs w:val="24"/>
          <w:lang w:val="lv-LV"/>
        </w:rPr>
      </w:pPr>
    </w:p>
    <w:p w14:paraId="5DCE631B" w14:textId="51BCFD64" w:rsidR="001617E7" w:rsidRDefault="001617E7" w:rsidP="001617E7">
      <w:pPr>
        <w:ind w:firstLine="720"/>
        <w:rPr>
          <w:rFonts w:cs="Times New Roman"/>
          <w:szCs w:val="24"/>
          <w:lang w:val="lv-LV"/>
        </w:rPr>
      </w:pPr>
    </w:p>
    <w:p w14:paraId="5A51C576" w14:textId="0E111B6F" w:rsidR="001617E7" w:rsidRDefault="001617E7" w:rsidP="001617E7">
      <w:pPr>
        <w:ind w:firstLine="720"/>
        <w:rPr>
          <w:rFonts w:cs="Times New Roman"/>
          <w:szCs w:val="24"/>
          <w:lang w:val="lv-LV"/>
        </w:rPr>
      </w:pPr>
    </w:p>
    <w:p w14:paraId="41562374" w14:textId="209AE079" w:rsidR="001617E7" w:rsidRDefault="001617E7" w:rsidP="001617E7">
      <w:pPr>
        <w:ind w:firstLine="720"/>
        <w:rPr>
          <w:rFonts w:cs="Times New Roman"/>
          <w:szCs w:val="24"/>
          <w:lang w:val="lv-LV"/>
        </w:rPr>
      </w:pPr>
    </w:p>
    <w:p w14:paraId="70A258CC" w14:textId="1F3577F5" w:rsidR="001617E7" w:rsidRDefault="001617E7" w:rsidP="001617E7">
      <w:pPr>
        <w:ind w:firstLine="720"/>
        <w:rPr>
          <w:rFonts w:cs="Times New Roman"/>
          <w:szCs w:val="24"/>
          <w:lang w:val="lv-LV"/>
        </w:rPr>
      </w:pPr>
    </w:p>
    <w:p w14:paraId="6147B091" w14:textId="77777777" w:rsidR="001617E7" w:rsidRPr="001617E7" w:rsidRDefault="001617E7" w:rsidP="001617E7">
      <w:pPr>
        <w:ind w:firstLine="720"/>
        <w:rPr>
          <w:rFonts w:cs="Times New Roman"/>
          <w:szCs w:val="24"/>
          <w:lang w:val="lv-LV"/>
        </w:rPr>
      </w:pPr>
    </w:p>
    <w:p w14:paraId="10490551"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2.4.16. attēls</w:t>
      </w:r>
      <w:r w:rsidRPr="001617E7">
        <w:rPr>
          <w:rFonts w:cs="Times New Roman"/>
          <w:b/>
          <w:bCs/>
          <w:sz w:val="22"/>
          <w:lang w:val="lv-LV"/>
        </w:rPr>
        <w:t xml:space="preserve"> Politikas un resursu vadības kartē </w:t>
      </w:r>
      <w:bookmarkStart w:id="24" w:name="_Hlk74899744"/>
      <w:r w:rsidRPr="001617E7">
        <w:rPr>
          <w:rFonts w:cs="Times New Roman"/>
          <w:b/>
          <w:bCs/>
          <w:sz w:val="22"/>
          <w:lang w:val="lv-LV"/>
        </w:rPr>
        <w:t xml:space="preserve">Nr. 7 “Jaunatnes politikas īstenošana” </w:t>
      </w:r>
      <w:bookmarkEnd w:id="24"/>
      <w:r w:rsidRPr="001617E7">
        <w:rPr>
          <w:rFonts w:cs="Times New Roman"/>
          <w:b/>
          <w:bCs/>
          <w:sz w:val="22"/>
          <w:lang w:val="lv-LV"/>
        </w:rPr>
        <w:t xml:space="preserve">iekļauto politikas rezultatīvo rādītāju izpildes un plānotās vērtības, un izdevumu dinamika (milj. </w:t>
      </w:r>
      <w:r w:rsidRPr="001617E7">
        <w:rPr>
          <w:rFonts w:cs="Times New Roman"/>
          <w:b/>
          <w:bCs/>
          <w:i/>
          <w:iCs/>
          <w:sz w:val="22"/>
          <w:lang w:val="lv-LV"/>
        </w:rPr>
        <w:t>euro</w:t>
      </w:r>
      <w:r w:rsidRPr="001617E7">
        <w:rPr>
          <w:rFonts w:cs="Times New Roman"/>
          <w:b/>
          <w:bCs/>
          <w:sz w:val="22"/>
          <w:lang w:val="lv-LV"/>
        </w:rPr>
        <w:t>)</w:t>
      </w:r>
    </w:p>
    <w:p w14:paraId="5C5DAA13"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30F2F4C6" wp14:editId="1927252C">
            <wp:extent cx="5760085" cy="3038475"/>
            <wp:effectExtent l="0" t="0" r="12065" b="9525"/>
            <wp:docPr id="34" name="Chart 34">
              <a:extLst xmlns:a="http://schemas.openxmlformats.org/drawingml/2006/main">
                <a:ext uri="{FF2B5EF4-FFF2-40B4-BE49-F238E27FC236}">
                  <a16:creationId xmlns:a16="http://schemas.microsoft.com/office/drawing/2014/main" id="{585D0A0E-7357-4E04-B67F-29C0648FC1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05276D8" w14:textId="77777777" w:rsidR="001617E7" w:rsidRPr="001617E7" w:rsidRDefault="001617E7" w:rsidP="001617E7">
      <w:pPr>
        <w:spacing w:before="240"/>
        <w:ind w:firstLine="720"/>
        <w:rPr>
          <w:rFonts w:cs="Times New Roman"/>
          <w:szCs w:val="24"/>
          <w:lang w:val="lv-LV"/>
        </w:rPr>
      </w:pPr>
      <w:r w:rsidRPr="001617E7">
        <w:rPr>
          <w:rFonts w:cs="Times New Roman"/>
          <w:szCs w:val="24"/>
          <w:lang w:val="lv-LV"/>
        </w:rPr>
        <w:t>Aplūkojot attēlu Nr. 2.4.16., var secināt, ka politikas rezultatīvā rādītāja “Pašvaldību īpatsvars, kurās vienlaikus darbojas jauniešu centrs, jauniešu dome un jaunatnes konsultatīvā komisija (%)” izpildes vērtība 2020. gadā nesasniedz plānoto vērtību, atpaliekot no tās par 27,2 procentpunktiem. Savukārt politikas rezultatīvā rādītāja “Pašvaldību skaits, kurās ir jaunatnes lietu speciālists vai persona, kura veic darbu ar jaunatni” izpilde 2020. gadā, salīdzinot ar iepriekšējiem gadiem, ir samazinājusies, būtiski nesasniedzot plānoto vērtību. Izdevumi politikas un resursu vadības kartē Nr. 7 “Jaunatnes politikas īstenošana” laika posmā no 2015. līdz 2020. gadam ir pakāpeniski pieauguši, savukārt no 2021. gada vērojams krass plānoto izdevumu samazinājums.</w:t>
      </w:r>
    </w:p>
    <w:p w14:paraId="46A5EB13"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IZM norāda, ka jaunajā Pašvaldību likumā paredzēts noteikt darbu ar jaunatni kā pašvaldību autonomo funkciju. Vienlaikus norāda, ka politikas un resursu vadības kartē Nr. 7 “Jaunatnes politikas īstenošana” iekļautie politikas rezultatīvie rādītāji tiks pārskatīti un izvērtēti, gatavojot budžeta pieprasījumu 2022. – 2024. gadam atbilstoši jaunām Jaunatnes politikas pamatnostādnēm 2021. – 2027. gadam. </w:t>
      </w:r>
    </w:p>
    <w:p w14:paraId="663810FD" w14:textId="77777777" w:rsidR="001617E7" w:rsidRPr="001617E7" w:rsidRDefault="001617E7" w:rsidP="001617E7">
      <w:pPr>
        <w:ind w:firstLine="720"/>
        <w:rPr>
          <w:rFonts w:cs="Times New Roman"/>
          <w:szCs w:val="24"/>
          <w:lang w:val="lv-LV"/>
        </w:rPr>
      </w:pPr>
      <w:r w:rsidRPr="001617E7">
        <w:rPr>
          <w:rFonts w:cs="Times New Roman"/>
          <w:szCs w:val="24"/>
          <w:lang w:val="lv-LV"/>
        </w:rPr>
        <w:t>Tāpat zems politikas rezultatīvo rādītāju izpildes līmenis 77,3% apmērā ir konstatēts politikas un resursu vadības kartei Nr. 2 “Profesionālā izglītība”. Šajā politikas un resursu vadības kartē ir iekļauti divi politikas rezultatīvie rādītāji, kuriem abiem ir zems plāna izpildes līmenis – “Izglītojamo īpatsvars, kas piedalās darba vidē balstītās mācībās un praksēs pie darba devējiem (%)” 76,0% un “Izglītojamo īpatsvars profesionālās izglītības programmās (%)” 78,6%.</w:t>
      </w:r>
    </w:p>
    <w:p w14:paraId="0FF0B8FE" w14:textId="77777777" w:rsidR="001617E7" w:rsidRPr="001617E7" w:rsidRDefault="001617E7" w:rsidP="001617E7">
      <w:pPr>
        <w:jc w:val="center"/>
        <w:rPr>
          <w:rFonts w:cs="Times New Roman"/>
          <w:b/>
          <w:bCs/>
          <w:i/>
          <w:iCs/>
          <w:sz w:val="22"/>
          <w:lang w:val="lv-LV"/>
        </w:rPr>
      </w:pPr>
    </w:p>
    <w:p w14:paraId="20F59E26" w14:textId="77777777" w:rsidR="001617E7" w:rsidRPr="001617E7" w:rsidRDefault="001617E7" w:rsidP="001617E7">
      <w:pPr>
        <w:jc w:val="center"/>
        <w:rPr>
          <w:rFonts w:cs="Times New Roman"/>
          <w:b/>
          <w:bCs/>
          <w:i/>
          <w:iCs/>
          <w:sz w:val="22"/>
          <w:lang w:val="lv-LV"/>
        </w:rPr>
      </w:pPr>
    </w:p>
    <w:p w14:paraId="09C0E249" w14:textId="77777777" w:rsidR="001617E7" w:rsidRPr="001617E7" w:rsidRDefault="001617E7" w:rsidP="001617E7">
      <w:pPr>
        <w:jc w:val="center"/>
        <w:rPr>
          <w:rFonts w:cs="Times New Roman"/>
          <w:b/>
          <w:bCs/>
          <w:i/>
          <w:iCs/>
          <w:sz w:val="22"/>
          <w:lang w:val="lv-LV"/>
        </w:rPr>
      </w:pPr>
    </w:p>
    <w:p w14:paraId="47B5D320" w14:textId="77777777" w:rsidR="001617E7" w:rsidRPr="001617E7" w:rsidRDefault="001617E7" w:rsidP="001617E7">
      <w:pPr>
        <w:jc w:val="center"/>
        <w:rPr>
          <w:rFonts w:cs="Times New Roman"/>
          <w:b/>
          <w:bCs/>
          <w:i/>
          <w:iCs/>
          <w:sz w:val="22"/>
          <w:lang w:val="lv-LV"/>
        </w:rPr>
      </w:pPr>
    </w:p>
    <w:p w14:paraId="25714CD7" w14:textId="77777777" w:rsidR="001617E7" w:rsidRPr="001617E7" w:rsidRDefault="001617E7" w:rsidP="001617E7">
      <w:pPr>
        <w:jc w:val="center"/>
        <w:rPr>
          <w:rFonts w:cs="Times New Roman"/>
          <w:szCs w:val="24"/>
          <w:lang w:val="lv-LV"/>
        </w:rPr>
      </w:pPr>
      <w:r w:rsidRPr="001617E7">
        <w:rPr>
          <w:rFonts w:cs="Times New Roman"/>
          <w:b/>
          <w:bCs/>
          <w:i/>
          <w:iCs/>
          <w:sz w:val="22"/>
          <w:lang w:val="lv-LV"/>
        </w:rPr>
        <w:lastRenderedPageBreak/>
        <w:t>2.4.17. attēls</w:t>
      </w:r>
      <w:r w:rsidRPr="001617E7">
        <w:rPr>
          <w:rFonts w:cs="Times New Roman"/>
          <w:b/>
          <w:bCs/>
          <w:sz w:val="22"/>
          <w:lang w:val="lv-LV"/>
        </w:rPr>
        <w:t xml:space="preserve"> Politikas un resursu vadības kartē Nr. 2 “Profesionālā izglītība” iekļauto politikas rezultatīvo rādītāju izpildes un plānotās vērtības</w:t>
      </w:r>
      <w:r w:rsidRPr="001617E7">
        <w:rPr>
          <w:rFonts w:cs="Times New Roman"/>
          <w:b/>
          <w:bCs/>
          <w:sz w:val="22"/>
          <w:vertAlign w:val="superscript"/>
          <w:lang w:val="lv-LV"/>
        </w:rPr>
        <w:footnoteReference w:id="14"/>
      </w:r>
      <w:r w:rsidRPr="001617E7">
        <w:rPr>
          <w:rFonts w:cs="Times New Roman"/>
          <w:b/>
          <w:bCs/>
          <w:sz w:val="22"/>
          <w:lang w:val="lv-LV"/>
        </w:rPr>
        <w:t xml:space="preserve">, un izdevumu dinamika (milj. </w:t>
      </w:r>
      <w:r w:rsidRPr="001617E7">
        <w:rPr>
          <w:rFonts w:cs="Times New Roman"/>
          <w:b/>
          <w:bCs/>
          <w:i/>
          <w:iCs/>
          <w:sz w:val="22"/>
          <w:lang w:val="lv-LV"/>
        </w:rPr>
        <w:t>euro</w:t>
      </w:r>
      <w:r w:rsidRPr="001617E7">
        <w:rPr>
          <w:rFonts w:cs="Times New Roman"/>
          <w:b/>
          <w:bCs/>
          <w:sz w:val="22"/>
          <w:lang w:val="lv-LV"/>
        </w:rPr>
        <w:t>)</w:t>
      </w:r>
    </w:p>
    <w:p w14:paraId="069DA242"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2020F4AF" wp14:editId="2B579C4A">
            <wp:extent cx="5760085" cy="3048000"/>
            <wp:effectExtent l="0" t="0" r="12065" b="0"/>
            <wp:docPr id="46" name="Chart 46">
              <a:extLst xmlns:a="http://schemas.openxmlformats.org/drawingml/2006/main">
                <a:ext uri="{FF2B5EF4-FFF2-40B4-BE49-F238E27FC236}">
                  <a16:creationId xmlns:a16="http://schemas.microsoft.com/office/drawing/2014/main" id="{4DD6A2F1-50F5-4FC1-88B8-9CF5354C4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86682C2"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2.4.17., var secināt, ka politikas rezultatīvā rādītāja “Izglītojamo īpatsvars profesionālās izglītības programmās (%)” izpildes vērtības laika posmā no 2017. līdz 2020. gadam ir nemainīgas – izglītojamo īpatsvars profesionālajās izglītības iestādēs nepieaug, 2020. gadā atpaliekot no plānotās vērtības par 11 procentpunktiem. Savukārt politikas rezultatīvā rādītāja “Izglītojamo īpatsvars, kas piedalās darba vidē balstītās mācībās un praksēs pie darba devējiem (%)” izpilde 2020. gadā, salīdzinot ar iepriekšējo gadu, ir strauji pieaugusi, tomēr nesasniedzot plānoto vērtību par 12 procentpunktiem. Izdevumi politikas un resursu vadības kartē Nr. 2 “Profesionālā izglītība” laika posmā no 2015. līdz 2023. gadam ir ievērojami pieauguši.</w:t>
      </w:r>
    </w:p>
    <w:p w14:paraId="3FB342F0" w14:textId="77777777" w:rsidR="001617E7" w:rsidRPr="001617E7" w:rsidRDefault="001617E7" w:rsidP="001617E7">
      <w:pPr>
        <w:ind w:firstLine="720"/>
        <w:rPr>
          <w:rFonts w:cs="Times New Roman"/>
          <w:szCs w:val="24"/>
          <w:lang w:val="lv-LV"/>
        </w:rPr>
      </w:pPr>
      <w:r w:rsidRPr="001617E7">
        <w:rPr>
          <w:rFonts w:cs="Times New Roman"/>
          <w:szCs w:val="24"/>
          <w:lang w:val="lv-LV"/>
        </w:rPr>
        <w:t>Attiecībā uz politikas rezultatīvo rādītāju “Izglītojamo īpatsvars profesionālās izglītības programmās (%)” IZM norāda, ka izglītojamo īpatsvars profesionālās izglītības programmās lielā mērā saistīts ar profesionālās izglītības prestiža jautājumu, ko IZM kopā ar izglītības iestādēm, sociālajiem partneriem un nozaru pārstāvjiem risina dažādu sadarbības platformu un informatīvu pasākumu ietvaros profesionālās izglītības popularizēšanai. Uzsver, ka IZM šobrīd strādā pie konceptuālā ziņojuma “Par profesionālās izglītības programmu finansēšanu”, kurā tiks sniegti priekšlikumi profesionālās izglītības programmu finansēšanas pilnveidei. Vienlaikus norāda, ka izglītojamo skaita īpatsvaru profesionālās izglītības programmās varētu ietekmēt arī vispārējās izglītības jaunā kompetenču pieejā balstītā satura ieviešana, tāpat arī administratīvi teritoriālās reformas īstenošana, kā rezultātā tiks sakārtots vispārējās izglītības iestāžu tīkls, tādējādi paverot lielākas iespējas profesionālās izglītības pakalpojuma sniedzējiem.</w:t>
      </w:r>
    </w:p>
    <w:p w14:paraId="5B1BD1B2" w14:textId="77777777" w:rsidR="001617E7" w:rsidRPr="001617E7" w:rsidRDefault="001617E7" w:rsidP="001617E7">
      <w:pPr>
        <w:ind w:firstLine="709"/>
        <w:rPr>
          <w:rFonts w:cs="Times New Roman"/>
          <w:szCs w:val="24"/>
          <w:lang w:val="lv-LV"/>
        </w:rPr>
      </w:pPr>
      <w:r w:rsidRPr="001617E7">
        <w:rPr>
          <w:rFonts w:cs="Times New Roman"/>
          <w:szCs w:val="24"/>
          <w:lang w:val="lv-LV"/>
        </w:rPr>
        <w:t xml:space="preserve">Savukārt politikas rezultatīvā rādītāja “Izglītojamo īpatsvars, kas piedalās darba vidē balstītās mācībās un praksēs pie darba devējiem (%)” neizpildi IZM skaidro ar to, ka ir mainījusies pieeja šī rādītāja izpildei, sākotnējā metodoloģija iekļāva datus tikai par darba vidē balstītās mācībās iesaistītajiem, pamatojoties uz 8.5.1.SAM projekta “Palielināt kvalificētu profesionālās izglītības iestāžu audzēkņu skaitu pēc to dalības darba vidē balstītās mācībās vai </w:t>
      </w:r>
      <w:r w:rsidRPr="001617E7">
        <w:rPr>
          <w:rFonts w:cs="Times New Roman"/>
          <w:szCs w:val="24"/>
          <w:lang w:val="lv-LV"/>
        </w:rPr>
        <w:lastRenderedPageBreak/>
        <w:t xml:space="preserve">mācību praksē uzņēmumā” datiem. Tāpat uzsver, ka jāņem vērā, ka jau šobrīd mācību prakses, tai skaitā kvalifikācijas prakses tiek īstenotas daudz plašākā apmērā – prakse ir obligāts priekšnoteikums ikvienam izglītojamam profesionālās kvalifikācijas ieguvē. Vienlaikus norāda, ka notiek darbs pie darba vidē balstītās mācību īstenošanas koncepta pilnveides, paredzot gan darba vidē balstīto mācību satura, gan noteikto vadlīniju pārskatīšanu. </w:t>
      </w:r>
    </w:p>
    <w:p w14:paraId="554871B4" w14:textId="77777777" w:rsidR="001617E7" w:rsidRPr="001617E7" w:rsidRDefault="001617E7" w:rsidP="001617E7">
      <w:pPr>
        <w:rPr>
          <w:rFonts w:cs="Times New Roman"/>
          <w:szCs w:val="24"/>
          <w:lang w:val="lv-LV"/>
        </w:rPr>
      </w:pPr>
    </w:p>
    <w:p w14:paraId="24A28CC9" w14:textId="3ABB8144" w:rsidR="001617E7" w:rsidRPr="001617E7" w:rsidRDefault="001617E7" w:rsidP="001617E7">
      <w:pPr>
        <w:rPr>
          <w:rFonts w:cs="Times New Roman"/>
          <w:b/>
          <w:bCs/>
          <w:szCs w:val="24"/>
          <w:lang w:val="lv-LV"/>
        </w:rPr>
      </w:pPr>
      <w:r w:rsidRPr="001617E7">
        <w:rPr>
          <w:rFonts w:cs="Times New Roman"/>
          <w:b/>
          <w:bCs/>
          <w:szCs w:val="24"/>
          <w:lang w:val="lv-LV"/>
        </w:rPr>
        <w:t>Finanšu ministrija</w:t>
      </w:r>
    </w:p>
    <w:p w14:paraId="107F5129" w14:textId="294367BB"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FM ir trīs politikas un resursu vadības kartes, kurās kopumā iekļauti septiņi politikas rezultatīvie rādītāji. Vidējais visu FM politikas rezultatīvo rādītāju plāna izpildes līmenis 2020. gadā ir 93,8%.</w:t>
      </w:r>
    </w:p>
    <w:p w14:paraId="7F5959AC"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2.4.18. attēls</w:t>
      </w:r>
      <w:r w:rsidRPr="001617E7">
        <w:rPr>
          <w:rFonts w:cs="Times New Roman"/>
          <w:b/>
          <w:bCs/>
          <w:sz w:val="22"/>
          <w:lang w:val="lv-LV"/>
        </w:rPr>
        <w:t xml:space="preserve"> 2020. gada FM politikas un resursu vadības kartēs iekļauto politikas rezultatīvo rādītāju plāna izpildes līmenis (%)</w:t>
      </w:r>
    </w:p>
    <w:p w14:paraId="21D21C23"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5B139DFF" wp14:editId="1AA114AF">
            <wp:extent cx="5760085" cy="2524125"/>
            <wp:effectExtent l="0" t="0" r="12065" b="9525"/>
            <wp:docPr id="15" name="Chart 15">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48E3FE9"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Kā redzams attēlā Nr. 2.4.18., politikas rezultatīvo rādītāju 2020. gada vidējais plāna izpildes līmenis 100% apmērā ir divām FM politikas un resursu vadības kartēm – Nr. 2 “Valsts ieņēmumu un muitas politikas vadība” un Nr. 3 “Eiropas Savienības fondu vadība”, savukārt politikas un resursu vadības kartei Nr. 1 “Publisko izdevumu un valsts parāda vadība” vidējais plāna izpildes līmenis ir 81,4%. </w:t>
      </w:r>
    </w:p>
    <w:p w14:paraId="30369547" w14:textId="77777777" w:rsidR="001617E7" w:rsidRPr="001617E7" w:rsidRDefault="001617E7" w:rsidP="001617E7">
      <w:pPr>
        <w:ind w:firstLine="720"/>
        <w:rPr>
          <w:rFonts w:cs="Times New Roman"/>
          <w:szCs w:val="24"/>
          <w:lang w:val="lv-LV"/>
        </w:rPr>
      </w:pPr>
      <w:r w:rsidRPr="001617E7">
        <w:rPr>
          <w:rFonts w:cs="Times New Roman"/>
          <w:szCs w:val="24"/>
          <w:lang w:val="lv-LV"/>
        </w:rPr>
        <w:t>Ņemot vērā, ka politikas un resursu vadības kartei Nr. 1 “Publisko izdevumu un valsts parāda vadība” ir zemākā plāna izpilde, tad detalizēti tika analizēti šajā politikas un resursu vadības kartē iekļauto politikas rezultatīvo rādītāju izpildes dinamika, kā arī to sasaiste ar piešķirto finansējumu. Šajā politikas un resursu vadības kartē 2020. gadā ir iekļauti četri politikas rezultatīvie rādītāji, no kuriem viszemākā plāna izpilde – 35,7% apmērā ir politikas rezultatīvajam rādītājam “Faktisko valsts budžeta izdevumu novirze no gadskārtējā valsts budžeta likumā plānotajiem izdevumiem (%)”.</w:t>
      </w:r>
    </w:p>
    <w:p w14:paraId="39099125" w14:textId="77777777" w:rsidR="001617E7" w:rsidRPr="001617E7" w:rsidRDefault="001617E7" w:rsidP="001617E7">
      <w:pPr>
        <w:ind w:firstLine="720"/>
        <w:rPr>
          <w:rFonts w:cs="Times New Roman"/>
          <w:szCs w:val="24"/>
          <w:lang w:val="lv-LV"/>
        </w:rPr>
      </w:pPr>
    </w:p>
    <w:p w14:paraId="3F1215CD" w14:textId="77777777" w:rsidR="001617E7" w:rsidRPr="001617E7" w:rsidRDefault="001617E7" w:rsidP="001617E7">
      <w:pPr>
        <w:ind w:firstLine="720"/>
        <w:rPr>
          <w:rFonts w:cs="Times New Roman"/>
          <w:szCs w:val="24"/>
          <w:lang w:val="lv-LV"/>
        </w:rPr>
      </w:pPr>
    </w:p>
    <w:p w14:paraId="33DB3FC0" w14:textId="19EF2A08" w:rsidR="001617E7" w:rsidRDefault="001617E7" w:rsidP="001617E7">
      <w:pPr>
        <w:ind w:firstLine="720"/>
        <w:rPr>
          <w:rFonts w:cs="Times New Roman"/>
          <w:szCs w:val="24"/>
          <w:lang w:val="lv-LV"/>
        </w:rPr>
      </w:pPr>
    </w:p>
    <w:p w14:paraId="072C381F" w14:textId="4671AE1D" w:rsidR="001617E7" w:rsidRDefault="001617E7" w:rsidP="001617E7">
      <w:pPr>
        <w:ind w:firstLine="720"/>
        <w:rPr>
          <w:rFonts w:cs="Times New Roman"/>
          <w:szCs w:val="24"/>
          <w:lang w:val="lv-LV"/>
        </w:rPr>
      </w:pPr>
    </w:p>
    <w:p w14:paraId="123178DD" w14:textId="77777777" w:rsidR="001617E7" w:rsidRPr="001617E7" w:rsidRDefault="001617E7" w:rsidP="001617E7">
      <w:pPr>
        <w:ind w:firstLine="720"/>
        <w:rPr>
          <w:rFonts w:cs="Times New Roman"/>
          <w:szCs w:val="24"/>
          <w:lang w:val="lv-LV"/>
        </w:rPr>
      </w:pPr>
    </w:p>
    <w:p w14:paraId="7D298043"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2.4.19. attēls</w:t>
      </w:r>
      <w:r w:rsidRPr="001617E7">
        <w:rPr>
          <w:rFonts w:cs="Times New Roman"/>
          <w:b/>
          <w:bCs/>
          <w:sz w:val="22"/>
          <w:lang w:val="lv-LV"/>
        </w:rPr>
        <w:t xml:space="preserve"> Politikas rezultatīvā rādītāja “Faktisko valsts budžeta izdevumu novirze no gadskārtējā valsts budžeta likumā plānotajiem izdevumiem (%)” izpildes un plānotās vērtības, un politikas un resursu vadības kartes Nr. 1 “Publisko izdevumu un valsts parāda vadība” izdevumu dinamika (milj. </w:t>
      </w:r>
      <w:r w:rsidRPr="001617E7">
        <w:rPr>
          <w:rFonts w:cs="Times New Roman"/>
          <w:b/>
          <w:bCs/>
          <w:i/>
          <w:iCs/>
          <w:sz w:val="22"/>
          <w:lang w:val="lv-LV"/>
        </w:rPr>
        <w:t>euro</w:t>
      </w:r>
      <w:r w:rsidRPr="001617E7">
        <w:rPr>
          <w:rFonts w:cs="Times New Roman"/>
          <w:b/>
          <w:bCs/>
          <w:sz w:val="22"/>
          <w:lang w:val="lv-LV"/>
        </w:rPr>
        <w:t>)</w:t>
      </w:r>
    </w:p>
    <w:p w14:paraId="3C2A9089"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30A33745" wp14:editId="008C26AA">
            <wp:extent cx="5760085" cy="2619375"/>
            <wp:effectExtent l="0" t="0" r="12065" b="9525"/>
            <wp:docPr id="16" name="Chart 16">
              <a:extLst xmlns:a="http://schemas.openxmlformats.org/drawingml/2006/main">
                <a:ext uri="{FF2B5EF4-FFF2-40B4-BE49-F238E27FC236}">
                  <a16:creationId xmlns:a16="http://schemas.microsoft.com/office/drawing/2014/main" id="{487BEF3B-12AB-4EF2-87B7-2D65C0BCD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7F7BDE6" w14:textId="11D5BD00" w:rsidR="001617E7" w:rsidRPr="001617E7" w:rsidRDefault="001617E7" w:rsidP="001617E7">
      <w:pPr>
        <w:ind w:firstLine="720"/>
        <w:rPr>
          <w:rFonts w:cs="Times New Roman"/>
          <w:szCs w:val="24"/>
          <w:lang w:val="lv-LV"/>
        </w:rPr>
      </w:pPr>
      <w:r w:rsidRPr="001617E7">
        <w:rPr>
          <w:rFonts w:cs="Times New Roman"/>
          <w:szCs w:val="24"/>
          <w:lang w:val="lv-LV"/>
        </w:rPr>
        <w:t>Aplūkojot attēlu Nr. 2.4.19., var secināt, ka politikas rezultatīvā rādītāja “Faktisko valsts budžeta izdevumu novirze no gadskārtējā valsts budžeta likumā plānotajiem izdevumiem (%)” plānotā vērtība būtiski nav sasniegta tikai 2020. gadā, ko FM skaidro ar papildu finansējuma piešķiršanu C</w:t>
      </w:r>
      <w:r w:rsidR="004354AF">
        <w:rPr>
          <w:rFonts w:cs="Times New Roman"/>
          <w:szCs w:val="24"/>
          <w:lang w:val="lv-LV"/>
        </w:rPr>
        <w:t>ovid</w:t>
      </w:r>
      <w:r w:rsidRPr="001617E7">
        <w:rPr>
          <w:rFonts w:cs="Times New Roman"/>
          <w:szCs w:val="24"/>
          <w:lang w:val="lv-LV"/>
        </w:rPr>
        <w:t xml:space="preserve">-19 izplatības radīto seku novēršanai. Savukārt izdevumi politikas un resursu vadības kartē Nr. 1 “Publisko izdevumu un valsts parāda vadība” laika posmā no 2016. līdz 2020. gadam ir pakāpeniski samazinājušies. </w:t>
      </w:r>
    </w:p>
    <w:p w14:paraId="063CEA23" w14:textId="77777777" w:rsidR="001617E7" w:rsidRPr="001617E7" w:rsidRDefault="001617E7" w:rsidP="001617E7">
      <w:pPr>
        <w:spacing w:after="0"/>
        <w:jc w:val="left"/>
        <w:rPr>
          <w:rFonts w:cs="Times New Roman"/>
          <w:sz w:val="22"/>
          <w:lang w:val="lv-LV"/>
        </w:rPr>
      </w:pPr>
    </w:p>
    <w:p w14:paraId="113CF4E7" w14:textId="1CD16032" w:rsidR="001617E7" w:rsidRPr="001617E7" w:rsidRDefault="001617E7" w:rsidP="001617E7">
      <w:pPr>
        <w:rPr>
          <w:rFonts w:cs="Times New Roman"/>
          <w:b/>
          <w:bCs/>
          <w:szCs w:val="24"/>
          <w:lang w:val="lv-LV"/>
        </w:rPr>
      </w:pPr>
      <w:bookmarkStart w:id="25" w:name="_Hlk73091550"/>
      <w:r w:rsidRPr="001617E7">
        <w:rPr>
          <w:rFonts w:cs="Times New Roman"/>
          <w:b/>
          <w:bCs/>
          <w:szCs w:val="24"/>
          <w:lang w:val="lv-LV"/>
        </w:rPr>
        <w:t>Kultūras ministrija</w:t>
      </w:r>
    </w:p>
    <w:p w14:paraId="19A4CF16" w14:textId="02ED61BB" w:rsidR="001617E7" w:rsidRPr="006B193E" w:rsidRDefault="001617E7" w:rsidP="006B193E">
      <w:pPr>
        <w:ind w:firstLine="720"/>
        <w:rPr>
          <w:rFonts w:cs="Times New Roman"/>
          <w:szCs w:val="24"/>
          <w:lang w:val="lv-LV"/>
        </w:rPr>
      </w:pPr>
      <w:r w:rsidRPr="001617E7">
        <w:rPr>
          <w:rFonts w:cs="Times New Roman"/>
          <w:szCs w:val="24"/>
          <w:lang w:val="lv-LV"/>
        </w:rPr>
        <w:t>2020. gada budžeta paskaidrojumos KM ir piecas politikas un resursu vadības kartes, kurās kopumā iekļauti 10 politikas rezultatīvie rādītāji. Vidējais visu KM politikas rezultatīvo rādītāju plāna izpild</w:t>
      </w:r>
      <w:r w:rsidR="006B193E">
        <w:rPr>
          <w:rFonts w:cs="Times New Roman"/>
          <w:szCs w:val="24"/>
          <w:lang w:val="lv-LV"/>
        </w:rPr>
        <w:t>es līmenis 2020. gadā ir 91,3%.</w:t>
      </w:r>
    </w:p>
    <w:p w14:paraId="62A939CF" w14:textId="77777777" w:rsidR="001617E7" w:rsidRPr="001617E7" w:rsidRDefault="001617E7" w:rsidP="001617E7">
      <w:pPr>
        <w:jc w:val="center"/>
        <w:rPr>
          <w:rFonts w:cs="Times New Roman"/>
          <w:szCs w:val="24"/>
          <w:lang w:val="lv-LV"/>
        </w:rPr>
      </w:pPr>
      <w:r w:rsidRPr="001617E7">
        <w:rPr>
          <w:rFonts w:cs="Times New Roman"/>
          <w:b/>
          <w:bCs/>
          <w:i/>
          <w:iCs/>
          <w:sz w:val="22"/>
          <w:lang w:val="lv-LV"/>
        </w:rPr>
        <w:t>2.4.20. attēls</w:t>
      </w:r>
      <w:r w:rsidRPr="001617E7">
        <w:rPr>
          <w:rFonts w:cs="Times New Roman"/>
          <w:b/>
          <w:bCs/>
          <w:sz w:val="22"/>
          <w:lang w:val="lv-LV"/>
        </w:rPr>
        <w:t xml:space="preserve"> 2020. gada KM politikas un resursu vadības kartēs iekļauto politikas rezultatīvo rādītāju plāna izpildes līmenis (%)</w:t>
      </w:r>
    </w:p>
    <w:p w14:paraId="111BAA98"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1BB3FE02" wp14:editId="632459AF">
            <wp:extent cx="5760085" cy="2419350"/>
            <wp:effectExtent l="0" t="0" r="12065" b="0"/>
            <wp:docPr id="28" name="Chart 28">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D6C4E60" w14:textId="7CE88E3F" w:rsidR="001617E7" w:rsidRPr="001617E7" w:rsidRDefault="001617E7" w:rsidP="001617E7">
      <w:pPr>
        <w:ind w:firstLine="720"/>
        <w:rPr>
          <w:rFonts w:cs="Times New Roman"/>
          <w:szCs w:val="24"/>
          <w:lang w:val="lv-LV"/>
        </w:rPr>
      </w:pPr>
      <w:r w:rsidRPr="001617E7">
        <w:rPr>
          <w:rFonts w:cs="Times New Roman"/>
          <w:szCs w:val="24"/>
          <w:lang w:val="lv-LV"/>
        </w:rPr>
        <w:lastRenderedPageBreak/>
        <w:t>Kā redzams attēlā Nr. 2.4.20., politikas rezultatīvo rādītāju 2020. gada vidējais plāna izpildes līmenis 100% apmērā ir KM politikas un resursu vadības kartei Nr. 1 “Nozaru vadība un politikas plānošana”. Tāpat augsts politikas rezultatīvo rādītāju 2020. gada vidējais plāna izpildes līmenis ir politikas un resursu vadības kartei Nr. 5 “Kultūrizglītība” 93,7% un Nr. 3 “Kultūras saglabāšana un uzturēšana” 91,7%. Salīdzinoši zemāks politikas rezultatīvo rādītāju 2020. gada vidējais plāna izpildes līmenis ir politikas un resursu vadības kartei Nr. 2 “Kultūras telpas attīstība” 87,1%, kas skaidrojams ar būtisku C</w:t>
      </w:r>
      <w:r w:rsidR="004354AF">
        <w:rPr>
          <w:rFonts w:cs="Times New Roman"/>
          <w:szCs w:val="24"/>
          <w:lang w:val="lv-LV"/>
        </w:rPr>
        <w:t>ovid</w:t>
      </w:r>
      <w:r w:rsidRPr="001617E7">
        <w:rPr>
          <w:rFonts w:cs="Times New Roman"/>
          <w:szCs w:val="24"/>
          <w:lang w:val="lv-LV"/>
        </w:rPr>
        <w:t>-19 ietekmi, un Nr. 4 “Sabiedrības integrācijas un mediju politikas pasākumu īstenošana” 83,9%.</w:t>
      </w:r>
    </w:p>
    <w:p w14:paraId="14573CFB" w14:textId="49E23A40" w:rsidR="001617E7" w:rsidRPr="001617E7" w:rsidRDefault="001617E7" w:rsidP="001617E7">
      <w:pPr>
        <w:ind w:firstLine="720"/>
        <w:rPr>
          <w:rFonts w:cs="Times New Roman"/>
          <w:szCs w:val="24"/>
          <w:lang w:val="lv-LV"/>
        </w:rPr>
      </w:pPr>
      <w:r w:rsidRPr="001617E7">
        <w:rPr>
          <w:rFonts w:cs="Times New Roman"/>
          <w:szCs w:val="24"/>
          <w:lang w:val="lv-LV"/>
        </w:rPr>
        <w:t>Ņemot vērā, ka politikas un resursu vadības kartei Nr. 4 “Sabiedrības integrācijas un mediju politikas pasākumu īstenošana” ir viszemākā plāna izpilde, tad detalizēti tika analizēta šajā politikas un resursu vadības kartē iekļauto politikas rezultatīvo rādītāju izpildes dinamika, kā arī to sasaiste ar piešķirto finansējumu. Šajā politikas un resursu vadības kartē ir iekļauti trīs politikas rezultatīvie rādītāji, no kuriem zems plāna izpildes līmenis 51,6% apmērā ir politikas rezultatīvajam rādītajam “Iedzīvotāju pilsoniskās līdzdalības indekss”.</w:t>
      </w:r>
    </w:p>
    <w:p w14:paraId="71CB2ABE"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2.4.21. attēls</w:t>
      </w:r>
      <w:r w:rsidRPr="001617E7">
        <w:rPr>
          <w:rFonts w:cs="Times New Roman"/>
          <w:b/>
          <w:bCs/>
          <w:sz w:val="22"/>
          <w:lang w:val="lv-LV"/>
        </w:rPr>
        <w:t xml:space="preserve"> Politikas rezultatīvā rādītāja “Iedzīvotāju pilsoniskās līdzdalības indekss” izpildes un plānotās vērtības, un politikas un resursu vadības kartes Nr. 4 “Sabiedrības integrācijas un mediju politikas pasākumu īstenošana” izdevumu dinamika (milj. </w:t>
      </w:r>
      <w:r w:rsidRPr="001617E7">
        <w:rPr>
          <w:rFonts w:cs="Times New Roman"/>
          <w:b/>
          <w:bCs/>
          <w:i/>
          <w:iCs/>
          <w:sz w:val="22"/>
          <w:lang w:val="lv-LV"/>
        </w:rPr>
        <w:t>euro</w:t>
      </w:r>
      <w:r w:rsidRPr="001617E7">
        <w:rPr>
          <w:rFonts w:cs="Times New Roman"/>
          <w:b/>
          <w:bCs/>
          <w:sz w:val="22"/>
          <w:lang w:val="lv-LV"/>
        </w:rPr>
        <w:t>)</w:t>
      </w:r>
    </w:p>
    <w:p w14:paraId="1A33B8C1"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04917471" wp14:editId="5B2CD762">
            <wp:extent cx="5760085" cy="2696845"/>
            <wp:effectExtent l="0" t="0" r="12065" b="8255"/>
            <wp:docPr id="30" name="Chart 30">
              <a:extLst xmlns:a="http://schemas.openxmlformats.org/drawingml/2006/main">
                <a:ext uri="{FF2B5EF4-FFF2-40B4-BE49-F238E27FC236}">
                  <a16:creationId xmlns:a16="http://schemas.microsoft.com/office/drawing/2014/main" id="{956145B8-108C-4C9C-8666-F39699D3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D439629"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2.4.21., var secināt, ka politikas rezultatīvā rādītāja “Iedzīvotāju pilsoniskās līdzdalības indekss” plānotā vērtība 2020. gadā nav sasniegta, atpaliekot no plāna par 9,2 vienībām. Savukārt izdevumi politikas un resursu vadības kartē Nr. 4 “Sabiedrības integrācijas un mediju politikas pasākumu īstenošana” laika posmā no 2018. līdz 2023. gadam būtiski nav mainījušies.</w:t>
      </w:r>
    </w:p>
    <w:p w14:paraId="34E478C3" w14:textId="62615E2D" w:rsidR="001617E7" w:rsidRPr="001617E7" w:rsidRDefault="001617E7" w:rsidP="001617E7">
      <w:pPr>
        <w:ind w:firstLine="720"/>
        <w:rPr>
          <w:rFonts w:cs="Times New Roman"/>
          <w:szCs w:val="24"/>
          <w:lang w:val="lv-LV"/>
        </w:rPr>
      </w:pPr>
      <w:r w:rsidRPr="001617E7">
        <w:rPr>
          <w:rFonts w:cs="Times New Roman"/>
          <w:szCs w:val="24"/>
          <w:lang w:val="lv-LV"/>
        </w:rPr>
        <w:t xml:space="preserve">KM norāda, ka politikas rezultatīvā rādītāja “Iedzīvotāju pilsoniskās līdzdalības indekss” plānotā vērtība 2020. gadam ir noteikta Nacionālajā attīstības plānā 2014. – 2020. gadam. </w:t>
      </w:r>
      <w:r w:rsidRPr="001617E7">
        <w:rPr>
          <w:rFonts w:cs="Times New Roman"/>
          <w:color w:val="212121"/>
          <w:szCs w:val="24"/>
          <w:lang w:val="lv-LV"/>
        </w:rPr>
        <w:t>2020. gada nogalē atbilstoši KM pasūtījumam Baltijas Sociālo zinātņu institūts” veica pētījumu “Priekšlikumi Saliedētas un pilsoniski aktīvas sabiedrības pamatnostādņu 2021.</w:t>
      </w:r>
      <w:r w:rsidRPr="001617E7">
        <w:rPr>
          <w:rFonts w:cs="Times New Roman"/>
          <w:szCs w:val="24"/>
          <w:lang w:val="lv-LV"/>
        </w:rPr>
        <w:t xml:space="preserve"> – </w:t>
      </w:r>
      <w:r w:rsidRPr="001617E7">
        <w:rPr>
          <w:rFonts w:cs="Times New Roman"/>
          <w:color w:val="212121"/>
          <w:szCs w:val="24"/>
          <w:lang w:val="lv-LV"/>
        </w:rPr>
        <w:t>2027. gadam rezultātu un ietekmes rādītāju modelim”, kura ietvaros tika izvēlēti precīzi aktuālie rādītāji.</w:t>
      </w:r>
      <w:r w:rsidRPr="001617E7">
        <w:rPr>
          <w:rFonts w:cs="Times New Roman"/>
          <w:szCs w:val="24"/>
          <w:lang w:val="lv-LV"/>
        </w:rPr>
        <w:t xml:space="preserve"> Līdz ar to KM uzskata, ka </w:t>
      </w:r>
      <w:r w:rsidRPr="001617E7">
        <w:rPr>
          <w:rFonts w:cs="Times New Roman"/>
          <w:color w:val="212121"/>
          <w:szCs w:val="24"/>
          <w:lang w:val="lv-LV"/>
        </w:rPr>
        <w:t>atbilstoši šim pētījumam korekta minētā rādītāja plānotā vērtība 2020. gadā</w:t>
      </w:r>
      <w:r w:rsidR="00CF64D3">
        <w:rPr>
          <w:rFonts w:cs="Times New Roman"/>
          <w:color w:val="212121"/>
          <w:szCs w:val="24"/>
          <w:lang w:val="lv-LV"/>
        </w:rPr>
        <w:t xml:space="preserve"> </w:t>
      </w:r>
      <w:r w:rsidRPr="001617E7">
        <w:rPr>
          <w:rFonts w:cs="Times New Roman"/>
          <w:color w:val="212121"/>
          <w:szCs w:val="24"/>
          <w:lang w:val="lv-LV"/>
        </w:rPr>
        <w:t>ir 9,8%, kas sakrīt ar izpildes vērtību.</w:t>
      </w:r>
      <w:r w:rsidRPr="001617E7">
        <w:rPr>
          <w:rFonts w:cs="Times New Roman"/>
          <w:szCs w:val="24"/>
          <w:lang w:val="lv-LV"/>
        </w:rPr>
        <w:t xml:space="preserve"> Tāpat norāda, ka politikas rezultatīvā </w:t>
      </w:r>
      <w:r w:rsidRPr="001617E7">
        <w:rPr>
          <w:rFonts w:cs="Times New Roman"/>
          <w:color w:val="212121"/>
          <w:szCs w:val="24"/>
          <w:lang w:val="lv-LV"/>
        </w:rPr>
        <w:t xml:space="preserve">rādītāja noturība jeb pieauguma dinamika atbilst faktiskajam finanšu ieguldījumam un nozīmīgāks pieaugums prognozēts perioda beigās, piemēram, NVO fonda </w:t>
      </w:r>
      <w:r w:rsidRPr="001617E7">
        <w:rPr>
          <w:rFonts w:cs="Times New Roman"/>
          <w:color w:val="212121"/>
          <w:szCs w:val="24"/>
          <w:lang w:val="lv-LV"/>
        </w:rPr>
        <w:lastRenderedPageBreak/>
        <w:t>finansējuma pieaugums 2020.</w:t>
      </w:r>
      <w:r w:rsidRPr="001617E7">
        <w:rPr>
          <w:rFonts w:cs="Times New Roman"/>
          <w:szCs w:val="24"/>
          <w:lang w:val="lv-LV"/>
        </w:rPr>
        <w:t xml:space="preserve"> – </w:t>
      </w:r>
      <w:r w:rsidRPr="001617E7">
        <w:rPr>
          <w:rFonts w:cs="Times New Roman"/>
          <w:color w:val="212121"/>
          <w:szCs w:val="24"/>
          <w:lang w:val="lv-LV"/>
        </w:rPr>
        <w:t>2021. gadam un turpmākajā periodā.</w:t>
      </w:r>
      <w:r w:rsidRPr="001617E7">
        <w:rPr>
          <w:rFonts w:cs="Times New Roman"/>
          <w:szCs w:val="24"/>
          <w:lang w:val="lv-LV"/>
        </w:rPr>
        <w:t xml:space="preserve"> </w:t>
      </w:r>
      <w:r w:rsidRPr="001617E7">
        <w:rPr>
          <w:rFonts w:cs="Times New Roman"/>
          <w:color w:val="212121"/>
          <w:szCs w:val="24"/>
          <w:lang w:val="lv-LV"/>
        </w:rPr>
        <w:t>Vienlaikus KM uzsver, ka 2020. gadā ir veiktas izmaiņas aptaujas jautājuma formulējumā, kā arī pilsoniskās līdzdalības indeksu veidojošie rādītāji nav pietiekami nacionāli jūtīgi, piemēram, izslēdz manabalss.lv iniciatīvu, iesaisti neformālās vietējās kopienās.</w:t>
      </w:r>
    </w:p>
    <w:p w14:paraId="3BF9B0D3" w14:textId="77777777" w:rsidR="001617E7" w:rsidRPr="001617E7" w:rsidRDefault="001617E7" w:rsidP="001617E7">
      <w:pPr>
        <w:rPr>
          <w:rFonts w:cs="Times New Roman"/>
          <w:szCs w:val="24"/>
          <w:lang w:val="lv-LV"/>
        </w:rPr>
      </w:pPr>
    </w:p>
    <w:p w14:paraId="503DF086" w14:textId="17295B9B" w:rsidR="001617E7" w:rsidRPr="001617E7" w:rsidRDefault="001617E7" w:rsidP="001617E7">
      <w:pPr>
        <w:jc w:val="left"/>
        <w:rPr>
          <w:rFonts w:cs="Times New Roman"/>
          <w:b/>
          <w:bCs/>
          <w:szCs w:val="24"/>
          <w:lang w:val="lv-LV"/>
        </w:rPr>
      </w:pPr>
      <w:r w:rsidRPr="001617E7">
        <w:rPr>
          <w:rFonts w:cs="Times New Roman"/>
          <w:b/>
          <w:bCs/>
          <w:szCs w:val="24"/>
          <w:lang w:val="lv-LV"/>
        </w:rPr>
        <w:t>Labklājības ministrija</w:t>
      </w:r>
    </w:p>
    <w:p w14:paraId="271C84E2" w14:textId="6863E452"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LM ir deviņas politikas un resursu vadības kartes, kurās kopumā iekļauti 18 politikas rezultatīvie rādītāji. Vidējais visu LM politikas rezultatīvo rādītāju plāna izpildes līmenis 2020. gadā ir 94,2%.</w:t>
      </w:r>
    </w:p>
    <w:p w14:paraId="0C229876"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2.4.22. attēls</w:t>
      </w:r>
      <w:r w:rsidRPr="001617E7">
        <w:rPr>
          <w:rFonts w:cs="Times New Roman"/>
          <w:b/>
          <w:bCs/>
          <w:sz w:val="22"/>
          <w:lang w:val="lv-LV"/>
        </w:rPr>
        <w:t xml:space="preserve"> 2020. gada LM politikas un resursu vadības kartēs iekļauto politikas rezultatīvo rādītāju plāna izpildes līmenis (%)</w:t>
      </w:r>
    </w:p>
    <w:bookmarkEnd w:id="25"/>
    <w:p w14:paraId="263FAFD9"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624FBD9D" wp14:editId="282A2945">
            <wp:extent cx="5760085" cy="2724150"/>
            <wp:effectExtent l="0" t="0" r="12065" b="0"/>
            <wp:docPr id="25" name="Chart 25">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449EE85" w14:textId="77777777" w:rsidR="001617E7" w:rsidRPr="001617E7" w:rsidRDefault="001617E7" w:rsidP="001617E7">
      <w:pPr>
        <w:ind w:firstLine="720"/>
        <w:rPr>
          <w:rFonts w:cs="Times New Roman"/>
          <w:szCs w:val="24"/>
          <w:lang w:val="lv-LV"/>
        </w:rPr>
      </w:pPr>
      <w:r w:rsidRPr="001617E7">
        <w:rPr>
          <w:rFonts w:cs="Times New Roman"/>
          <w:szCs w:val="24"/>
          <w:lang w:val="lv-LV"/>
        </w:rPr>
        <w:t>Kā redzams attēlā Nr. 2.4.22., politikas rezultatīvo rādītāju 2020. gada vidējais plāna izpildes līmenis 100% apmērā ir LM politikas un resursu vadības kartēm – Nr. 2 “Valsts sociālā apdrošināšana”, Nr. 3 “Izdienas pensijas”, Nr. 5 “Sociālie pakalpojumi” un Nr. 6 “Darba aizsardzība un darba tiesiskās attiecības”. Tāpat augsts politikas rezultatīvo rādītāju 2020. gada vidējais plāna izpildes līmenis ir politikas un resursu vadības kartei Nr. 4 “Valsts sociālie pabalsti” 99,3%, Nr. 1 “Nozaru vadība un politikas plānošana” 97,1% un Nr. 8 “Invaliditātes noteikšanas sistēma” 94,7%. Savukārt pārējās politikas un resursu vadības kartēs politikas rezultatīvo rādītāju plāna izpildes līmenis ir salīdzinoši zems, līdz ar to detalizēti tika analizēta šajās politikas un resursu vadības kartēs iekļauto politikas rezultatīvo rādītāju izpildes dinamika, kā arī to sasaiste ar piešķirto finansējumu.</w:t>
      </w:r>
    </w:p>
    <w:p w14:paraId="53506A96" w14:textId="5B3B0424" w:rsidR="001617E7" w:rsidRDefault="001617E7" w:rsidP="001617E7">
      <w:pPr>
        <w:ind w:firstLine="720"/>
        <w:rPr>
          <w:rFonts w:cs="Times New Roman"/>
          <w:szCs w:val="24"/>
          <w:lang w:val="lv-LV"/>
        </w:rPr>
      </w:pPr>
      <w:r w:rsidRPr="001617E7">
        <w:rPr>
          <w:rFonts w:cs="Times New Roman"/>
          <w:szCs w:val="24"/>
          <w:lang w:val="lv-LV"/>
        </w:rPr>
        <w:t>No visām LM politikas un resursu vadības kartēm viszemākais politikas rezultatīvo rādītāju izpildes līmenis 77,5% apmērā ir konstatēts politikas un resursu vadības kartei Nr. 7 “Darba tirgus attīstība”. Šajā politikas un resursu vadības kartē ir iekļauti divi politikas rezultatīvie rādītāji, no kuriem viszemākā izpilde 54,9% apmērā ir politikas rezultatīvajam rādītājam “Ilgstošo bezdarbnieku īpatsvars no visiem bezdarbniekiem (%)”.</w:t>
      </w:r>
    </w:p>
    <w:p w14:paraId="021AB791" w14:textId="5600EB06" w:rsidR="001617E7" w:rsidRDefault="001617E7" w:rsidP="001617E7">
      <w:pPr>
        <w:ind w:firstLine="720"/>
        <w:rPr>
          <w:rFonts w:cs="Times New Roman"/>
          <w:szCs w:val="24"/>
          <w:lang w:val="lv-LV"/>
        </w:rPr>
      </w:pPr>
    </w:p>
    <w:p w14:paraId="7C452B9B" w14:textId="77777777" w:rsidR="001617E7" w:rsidRPr="001617E7" w:rsidRDefault="001617E7" w:rsidP="001617E7">
      <w:pPr>
        <w:ind w:firstLine="720"/>
        <w:rPr>
          <w:rFonts w:cs="Times New Roman"/>
          <w:szCs w:val="24"/>
          <w:lang w:val="lv-LV"/>
        </w:rPr>
      </w:pPr>
    </w:p>
    <w:p w14:paraId="4F15E983"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2.4.23. attēls</w:t>
      </w:r>
      <w:r w:rsidRPr="001617E7">
        <w:rPr>
          <w:rFonts w:cs="Times New Roman"/>
          <w:b/>
          <w:bCs/>
          <w:sz w:val="22"/>
          <w:lang w:val="lv-LV"/>
        </w:rPr>
        <w:t xml:space="preserve"> Politikas rezultatīvā rādītāja “Ilgstošo bezdarbnieku īpatsvars no visiem bezdarbniekiem (%)” izpildes un plānotās vērtības, un politikas un resursu vadības kartes Nr. 7 “Darba tirgus attīstība” izdevumu dinamika (milj. </w:t>
      </w:r>
      <w:r w:rsidRPr="001617E7">
        <w:rPr>
          <w:rFonts w:cs="Times New Roman"/>
          <w:b/>
          <w:bCs/>
          <w:i/>
          <w:iCs/>
          <w:sz w:val="22"/>
          <w:lang w:val="lv-LV"/>
        </w:rPr>
        <w:t>euro</w:t>
      </w:r>
      <w:r w:rsidRPr="001617E7">
        <w:rPr>
          <w:rFonts w:cs="Times New Roman"/>
          <w:b/>
          <w:bCs/>
          <w:sz w:val="22"/>
          <w:lang w:val="lv-LV"/>
        </w:rPr>
        <w:t>)</w:t>
      </w:r>
    </w:p>
    <w:p w14:paraId="16AC2B72"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747E11DB" wp14:editId="237FFDF0">
            <wp:extent cx="5760085" cy="3019425"/>
            <wp:effectExtent l="0" t="0" r="12065" b="9525"/>
            <wp:docPr id="26" name="Chart 26">
              <a:extLst xmlns:a="http://schemas.openxmlformats.org/drawingml/2006/main">
                <a:ext uri="{FF2B5EF4-FFF2-40B4-BE49-F238E27FC236}">
                  <a16:creationId xmlns:a16="http://schemas.microsoft.com/office/drawing/2014/main" id="{B76B6847-2544-4A4D-84C8-30EFAB35B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60B7A9F"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2.4.23., var secināt, ka politikas rezultatīvā rādītāja “Ilgstošo bezdarbnieku īpatsvars no visiem bezdarbniekiem (%)” izpildes vērtības pakāpeniski uzlabojas, tomēr 2020. gadam plānotā vērtība netiek sasniegta, atpaliekot no tās par 12,3 procentpunktiem. Izdevumi politikas un resursu vadības kartē Nr. 7 “Darba tirgus attīstība” laika posmā no 2015. gada līdz 2018. gadam ir pieauguši, savukārt no 2020. gada izdevumu plāns samazinās.</w:t>
      </w:r>
    </w:p>
    <w:p w14:paraId="7685D4B5" w14:textId="77777777" w:rsidR="00A85A48" w:rsidRDefault="001617E7" w:rsidP="001617E7">
      <w:pPr>
        <w:ind w:firstLine="720"/>
        <w:rPr>
          <w:rFonts w:cs="Times New Roman"/>
          <w:szCs w:val="24"/>
          <w:lang w:val="lv-LV"/>
        </w:rPr>
      </w:pPr>
      <w:r w:rsidRPr="001617E7">
        <w:rPr>
          <w:rFonts w:cs="Times New Roman"/>
          <w:szCs w:val="24"/>
          <w:lang w:val="lv-LV"/>
        </w:rPr>
        <w:t>LM norāda, ka, lai arī samazinājās ilgstošo bezdarbnieku īpatsvars bezdarbnieku kopskaitā, izvirzīto plānoto vērtību diemžēl nav izdevies sasniegt. 2020. gada 12 mēnešos darbā iekārtojušies 4 895 ilgstošie bezdarbnieki, no kuriem 3 074 (62,8%) ilgstošie bezdarbnieki ir iekārtojušies darbā pēc kāda NVA pasākuma pabeigšanas. Tāpat norāda, ka NVA īstenotie pasākumi ir palīdzējuši mazināt gan bezdarbnieku skaitu mērķa grupās, gan vispārējo bezdarbu, kā arī aktīvie nodarbinātības pasākumi, kas ir vērsti uz ilgstošo bezdarbnieku problēmu risināšanu, ir mazinājuši sociālo spriedzi un palīdzējuši saglabāt darba prasmes cilvēkiem, kas nav varējuši ātri atgriezties darba tirgū. Vienlaikus norāda, ka arī turpmāk ilgstošā bezdarba mazināšanai plānoti gan tiešie nodarbinātības un preventīvie atbalsta pasākumi, gan pasākumi sadarbībā ar NVA un sociālajiem dienestiem.</w:t>
      </w:r>
      <w:r w:rsidR="00A85A48">
        <w:rPr>
          <w:rFonts w:cs="Times New Roman"/>
          <w:szCs w:val="24"/>
          <w:lang w:val="lv-LV"/>
        </w:rPr>
        <w:t xml:space="preserve"> </w:t>
      </w:r>
    </w:p>
    <w:p w14:paraId="616C072B" w14:textId="031923FA" w:rsidR="001617E7" w:rsidRPr="001617E7" w:rsidRDefault="00A85A48" w:rsidP="001617E7">
      <w:pPr>
        <w:ind w:firstLine="720"/>
        <w:rPr>
          <w:rFonts w:cs="Times New Roman"/>
          <w:szCs w:val="24"/>
          <w:lang w:val="lv-LV"/>
        </w:rPr>
      </w:pPr>
      <w:r w:rsidRPr="00A85A48">
        <w:rPr>
          <w:rFonts w:cs="Times New Roman"/>
          <w:szCs w:val="24"/>
          <w:lang w:val="lv-LV"/>
        </w:rPr>
        <w:t>Covid-19 pandēmijas patiesā ietekme uz darba tirgu būs zināma tikai ar laika nobīdi, jau attiecīgi 2021. gada darbaspēka apsekojuma datos. Jau šobrīd prognozējams, ka tai būs negatīva ietekme arī uz ilgstošā bezdarba rādītājiem.</w:t>
      </w:r>
    </w:p>
    <w:p w14:paraId="085BDB8F" w14:textId="77777777" w:rsidR="001617E7" w:rsidRPr="001617E7" w:rsidRDefault="001617E7" w:rsidP="001617E7">
      <w:pPr>
        <w:ind w:firstLine="720"/>
        <w:rPr>
          <w:rFonts w:cs="Times New Roman"/>
          <w:szCs w:val="24"/>
          <w:lang w:val="lv-LV"/>
        </w:rPr>
      </w:pPr>
      <w:r w:rsidRPr="001617E7">
        <w:rPr>
          <w:rFonts w:cs="Times New Roman"/>
          <w:szCs w:val="24"/>
          <w:lang w:val="lv-LV"/>
        </w:rPr>
        <w:t>Tāpat zems politikas rezultatīvo rādītāju 2020. gada vidējais plāna izpildes līmenis 78,9% apmērā ir politikas un resursu vadības kartei Nr. 9 “Bērnu tiesību aizsardzība”. Šajā politikas un resursu vadības kartē ir iekļauti divi politikas rezultatīvie rādītāji, no kuriem zema izpilde 57,7% apmērā ir politikas rezultatīvajam rādītājam “Adoptēto bērnu īpatsvars visu adoptējamo bērnu skaitā (%)”.</w:t>
      </w:r>
    </w:p>
    <w:p w14:paraId="4702B5BF" w14:textId="77777777" w:rsidR="001617E7" w:rsidRPr="001617E7" w:rsidRDefault="001617E7" w:rsidP="001617E7">
      <w:pPr>
        <w:rPr>
          <w:rFonts w:cs="Times New Roman"/>
          <w:b/>
          <w:bCs/>
          <w:szCs w:val="24"/>
          <w:lang w:val="lv-LV"/>
        </w:rPr>
      </w:pPr>
    </w:p>
    <w:p w14:paraId="4E032E16" w14:textId="77777777" w:rsidR="001617E7" w:rsidRPr="001617E7" w:rsidRDefault="001617E7" w:rsidP="001617E7">
      <w:pPr>
        <w:rPr>
          <w:rFonts w:cs="Times New Roman"/>
          <w:b/>
          <w:bCs/>
          <w:szCs w:val="24"/>
          <w:lang w:val="lv-LV"/>
        </w:rPr>
      </w:pPr>
    </w:p>
    <w:p w14:paraId="013DEDF7"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2.4.24. attēls</w:t>
      </w:r>
      <w:r w:rsidRPr="001617E7">
        <w:rPr>
          <w:rFonts w:cs="Times New Roman"/>
          <w:b/>
          <w:bCs/>
          <w:sz w:val="22"/>
          <w:lang w:val="lv-LV"/>
        </w:rPr>
        <w:t xml:space="preserve"> Politikas rezultatīvā rādītāja “Adoptēto bērnu īpatsvars visu adoptējamo bērnu skaitā (%)” izpildes un plānotās vērtības, un politikas un resursu vadības kartes Nr. 9 “Bērnu tiesību aizsardzība” izdevumu dinamika (milj. </w:t>
      </w:r>
      <w:r w:rsidRPr="001617E7">
        <w:rPr>
          <w:rFonts w:cs="Times New Roman"/>
          <w:b/>
          <w:bCs/>
          <w:i/>
          <w:iCs/>
          <w:sz w:val="22"/>
          <w:lang w:val="lv-LV"/>
        </w:rPr>
        <w:t>euro</w:t>
      </w:r>
      <w:r w:rsidRPr="001617E7">
        <w:rPr>
          <w:rFonts w:cs="Times New Roman"/>
          <w:b/>
          <w:bCs/>
          <w:sz w:val="22"/>
          <w:lang w:val="lv-LV"/>
        </w:rPr>
        <w:t>)</w:t>
      </w:r>
    </w:p>
    <w:p w14:paraId="3FDEC425"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003DB1F0" wp14:editId="59DFFE2E">
            <wp:extent cx="5760085" cy="2952750"/>
            <wp:effectExtent l="0" t="0" r="12065" b="0"/>
            <wp:docPr id="27" name="Chart 27">
              <a:extLst xmlns:a="http://schemas.openxmlformats.org/drawingml/2006/main">
                <a:ext uri="{FF2B5EF4-FFF2-40B4-BE49-F238E27FC236}">
                  <a16:creationId xmlns:a16="http://schemas.microsoft.com/office/drawing/2014/main" id="{09E38F24-49AE-4A35-9F09-91A9FB95A5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01787BF" w14:textId="7D6886B5" w:rsidR="001617E7" w:rsidRPr="001617E7" w:rsidRDefault="001617E7" w:rsidP="001617E7">
      <w:pPr>
        <w:ind w:firstLine="720"/>
        <w:rPr>
          <w:rFonts w:cs="Times New Roman"/>
          <w:szCs w:val="24"/>
          <w:lang w:val="lv-LV"/>
        </w:rPr>
      </w:pPr>
      <w:r w:rsidRPr="001617E7">
        <w:rPr>
          <w:rFonts w:cs="Times New Roman"/>
          <w:szCs w:val="24"/>
          <w:lang w:val="lv-LV"/>
        </w:rPr>
        <w:t>Aplūkojot attēlu Nr. 2.4.24., var secināt, ka politikas rezultatīvā rādītāja “Adoptēto bērnu īpatsvars visu adoptējamo bērnu skaitā (%)” izpildes vērtības, sākot no 2017. gada, būtiski samazinās, 2020. gadā atpaliekot no plānotās vērtības par 9,3 procentpunktiem. Izdevumi politikas un resursu vadības kartē Nr. 9 “Bērnu tiesību aizsardzība” laika posmā no 2015. līdz 2020. gadam ir būtiski pieauguši.</w:t>
      </w:r>
    </w:p>
    <w:p w14:paraId="01BF9A8F" w14:textId="77777777" w:rsidR="001617E7" w:rsidRPr="001617E7" w:rsidRDefault="001617E7" w:rsidP="001617E7">
      <w:pPr>
        <w:ind w:firstLine="720"/>
        <w:rPr>
          <w:rFonts w:cs="Times New Roman"/>
          <w:szCs w:val="24"/>
          <w:lang w:val="lv-LV"/>
        </w:rPr>
      </w:pPr>
      <w:r w:rsidRPr="001617E7">
        <w:rPr>
          <w:rFonts w:cs="Times New Roman"/>
          <w:szCs w:val="24"/>
          <w:lang w:val="lv-LV"/>
        </w:rPr>
        <w:t>LM politikas rezultatīvā rādītāja neizpildi skaidro ar 2018. gadā pieņemtajiem grozījumiem normatīvajā regulējumā, kas paredz, ka bērna adopcija uz ārvalstīm nav pieļaujama no audžuģimenēm, kā rezultātā adoptēto bērnu skaits samazinās. LM norāda, ka, lai bērniem nodrošinātu ģimenisku vidi, intensīvi tika strādāts pie aizbildnības un audžuģimenes formu skaidrošanas, kas ir viens no iemesliem, kāpēc sarūk adoptēto bērnu skaits – potenciālie adoptētāji izvērtē un pieņem lēmumu par labu kādam citam statusam – aizbildņa vai audžuģimenes. Vienlaikus norāda, ka, sagatavojot 2022. gada budžetu, tiks pārskatīti politikas rezultatīvie rādītāji.</w:t>
      </w:r>
    </w:p>
    <w:p w14:paraId="2E991034" w14:textId="77777777" w:rsidR="001617E7" w:rsidRPr="001617E7" w:rsidRDefault="001617E7" w:rsidP="001617E7">
      <w:pPr>
        <w:rPr>
          <w:rFonts w:cs="Times New Roman"/>
          <w:b/>
          <w:bCs/>
          <w:szCs w:val="24"/>
          <w:lang w:val="lv-LV"/>
        </w:rPr>
      </w:pPr>
    </w:p>
    <w:p w14:paraId="08DB942A" w14:textId="0F638ECE" w:rsidR="001617E7" w:rsidRPr="001617E7" w:rsidRDefault="001617E7" w:rsidP="001617E7">
      <w:pPr>
        <w:rPr>
          <w:rFonts w:cs="Times New Roman"/>
          <w:b/>
          <w:bCs/>
          <w:szCs w:val="24"/>
          <w:lang w:val="lv-LV"/>
        </w:rPr>
      </w:pPr>
      <w:r w:rsidRPr="001617E7">
        <w:rPr>
          <w:rFonts w:cs="Times New Roman"/>
          <w:b/>
          <w:bCs/>
          <w:szCs w:val="24"/>
          <w:lang w:val="lv-LV"/>
        </w:rPr>
        <w:t>Satiksmes ministrija</w:t>
      </w:r>
    </w:p>
    <w:p w14:paraId="6ACFC44E" w14:textId="77777777"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SM ir septiņas politikas un resursu vadības kartes, kurās kopumā iekļauti 14 politikas rezultatīvie rādītāji. Vidējais visu SM politikas rezultatīvo rādītāju plāna izpildes līmenis 2020. gadā ir 77,0%.</w:t>
      </w:r>
    </w:p>
    <w:p w14:paraId="3FAAD541" w14:textId="77777777" w:rsidR="001617E7" w:rsidRPr="001617E7" w:rsidRDefault="001617E7" w:rsidP="001617E7">
      <w:pPr>
        <w:rPr>
          <w:rFonts w:cs="Times New Roman"/>
          <w:szCs w:val="24"/>
          <w:lang w:val="lv-LV"/>
        </w:rPr>
      </w:pPr>
    </w:p>
    <w:p w14:paraId="17C3EE44" w14:textId="77777777" w:rsidR="001617E7" w:rsidRPr="001617E7" w:rsidRDefault="001617E7" w:rsidP="001617E7">
      <w:pPr>
        <w:rPr>
          <w:rFonts w:cs="Times New Roman"/>
          <w:szCs w:val="24"/>
          <w:lang w:val="lv-LV"/>
        </w:rPr>
      </w:pPr>
    </w:p>
    <w:p w14:paraId="52985D66" w14:textId="77777777" w:rsidR="001617E7" w:rsidRPr="001617E7" w:rsidRDefault="001617E7" w:rsidP="001617E7">
      <w:pPr>
        <w:rPr>
          <w:rFonts w:cs="Times New Roman"/>
          <w:szCs w:val="24"/>
          <w:lang w:val="lv-LV"/>
        </w:rPr>
      </w:pPr>
    </w:p>
    <w:p w14:paraId="30442D47" w14:textId="1F29744F" w:rsidR="001617E7" w:rsidRDefault="001617E7" w:rsidP="001617E7">
      <w:pPr>
        <w:rPr>
          <w:rFonts w:cs="Times New Roman"/>
          <w:szCs w:val="24"/>
          <w:lang w:val="lv-LV"/>
        </w:rPr>
      </w:pPr>
    </w:p>
    <w:p w14:paraId="145FB226" w14:textId="77777777" w:rsidR="001617E7" w:rsidRPr="001617E7" w:rsidRDefault="001617E7" w:rsidP="001617E7">
      <w:pPr>
        <w:rPr>
          <w:rFonts w:cs="Times New Roman"/>
          <w:szCs w:val="24"/>
          <w:lang w:val="lv-LV"/>
        </w:rPr>
      </w:pPr>
    </w:p>
    <w:p w14:paraId="5E2D1A4A"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2.4.25. attēls</w:t>
      </w:r>
      <w:r w:rsidRPr="001617E7">
        <w:rPr>
          <w:rFonts w:cs="Times New Roman"/>
          <w:b/>
          <w:bCs/>
          <w:sz w:val="22"/>
          <w:lang w:val="lv-LV"/>
        </w:rPr>
        <w:t xml:space="preserve"> 2020. gada SM politikas un resursu vadības kartēs iekļauto politikas rezultatīvo rādītāju plāna izpildes līmenis (%)</w:t>
      </w:r>
    </w:p>
    <w:p w14:paraId="03566739" w14:textId="77777777" w:rsidR="001617E7" w:rsidRPr="001617E7" w:rsidRDefault="001617E7" w:rsidP="001617E7">
      <w:pPr>
        <w:rPr>
          <w:rFonts w:cs="Times New Roman"/>
          <w:b/>
          <w:bCs/>
          <w:szCs w:val="24"/>
          <w:lang w:val="lv-LV"/>
        </w:rPr>
      </w:pPr>
      <w:r w:rsidRPr="001617E7">
        <w:rPr>
          <w:rFonts w:asciiTheme="minorHAnsi" w:hAnsiTheme="minorHAnsi"/>
          <w:noProof/>
          <w:sz w:val="22"/>
          <w:lang w:val="lv-LV" w:eastAsia="lv-LV"/>
        </w:rPr>
        <mc:AlternateContent>
          <mc:Choice Requires="wps">
            <w:drawing>
              <wp:anchor distT="0" distB="0" distL="114300" distR="114300" simplePos="0" relativeHeight="251660288" behindDoc="0" locked="0" layoutInCell="1" allowOverlap="1" wp14:anchorId="01271B2F" wp14:editId="544A8E39">
                <wp:simplePos x="0" y="0"/>
                <wp:positionH relativeFrom="column">
                  <wp:posOffset>1243966</wp:posOffset>
                </wp:positionH>
                <wp:positionV relativeFrom="paragraph">
                  <wp:posOffset>1096010</wp:posOffset>
                </wp:positionV>
                <wp:extent cx="361950" cy="466725"/>
                <wp:effectExtent l="0" t="0" r="76200" b="47625"/>
                <wp:wrapNone/>
                <wp:docPr id="12" name="Straight Arrow Connector 11">
                  <a:extLst xmlns:a="http://schemas.openxmlformats.org/drawingml/2006/main">
                    <a:ext uri="{FF2B5EF4-FFF2-40B4-BE49-F238E27FC236}">
                      <a16:creationId xmlns:a16="http://schemas.microsoft.com/office/drawing/2014/main" id="{16420EBC-BC76-4803-B0E8-D6DD01418F7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466725"/>
                        </a:xfrm>
                        <a:prstGeom prst="straightConnector1">
                          <a:avLst/>
                        </a:prstGeom>
                        <a:noFill/>
                        <a:ln w="6350"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81AF67" id="_x0000_t32" coordsize="21600,21600" o:spt="32" o:oned="t" path="m,l21600,21600e" filled="f">
                <v:path arrowok="t" fillok="f" o:connecttype="none"/>
                <o:lock v:ext="edit" shapetype="t"/>
              </v:shapetype>
              <v:shape id="Straight Arrow Connector 11" o:spid="_x0000_s1026" type="#_x0000_t32" style="position:absolute;margin-left:97.95pt;margin-top:86.3pt;width:28.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" strokecolor="#c00000" strokeweight=".5pt">
                <v:stroke endarrow="block" joinstyle="miter"/>
                <o:lock v:ext="edit" shapetype="f"/>
              </v:shape>
            </w:pict>
          </mc:Fallback>
        </mc:AlternateContent>
      </w:r>
      <w:r w:rsidRPr="001617E7">
        <w:rPr>
          <w:rFonts w:asciiTheme="minorHAnsi" w:hAnsiTheme="minorHAnsi"/>
          <w:noProof/>
          <w:sz w:val="22"/>
          <w:lang w:val="lv-LV" w:eastAsia="lv-LV"/>
        </w:rPr>
        <mc:AlternateContent>
          <mc:Choice Requires="wps">
            <w:drawing>
              <wp:anchor distT="0" distB="0" distL="114300" distR="114300" simplePos="0" relativeHeight="251661312" behindDoc="0" locked="0" layoutInCell="1" allowOverlap="1" wp14:anchorId="4B3F0ABB" wp14:editId="4C8B8E0F">
                <wp:simplePos x="0" y="0"/>
                <wp:positionH relativeFrom="column">
                  <wp:posOffset>1224916</wp:posOffset>
                </wp:positionH>
                <wp:positionV relativeFrom="paragraph">
                  <wp:posOffset>1076960</wp:posOffset>
                </wp:positionV>
                <wp:extent cx="971550" cy="76200"/>
                <wp:effectExtent l="0" t="0" r="76200" b="95250"/>
                <wp:wrapNone/>
                <wp:docPr id="4" name="Straight Arrow Connector 12">
                  <a:extLst xmlns:a="http://schemas.openxmlformats.org/drawingml/2006/main">
                    <a:ext uri="{FF2B5EF4-FFF2-40B4-BE49-F238E27FC236}">
                      <a16:creationId xmlns:a16="http://schemas.microsoft.com/office/drawing/2014/main" id="{61CD3923-D9F4-4FD4-853F-91AB6F9AA2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0" cy="76200"/>
                        </a:xfrm>
                        <a:prstGeom prst="straightConnector1">
                          <a:avLst/>
                        </a:prstGeom>
                        <a:noFill/>
                        <a:ln w="6350" cap="flat" cmpd="sng" algn="ctr">
                          <a:solidFill>
                            <a:srgbClr val="C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9EB0F" id="Straight Arrow Connector 12" o:spid="_x0000_s1026" type="#_x0000_t32" style="position:absolute;margin-left:96.45pt;margin-top:84.8pt;width:76.5pt;height: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" strokecolor="#c00000" strokeweight=".5pt">
                <v:stroke endarrow="block" joinstyle="miter"/>
                <o:lock v:ext="edit" shapetype="f"/>
              </v:shape>
            </w:pict>
          </mc:Fallback>
        </mc:AlternateContent>
      </w:r>
      <w:r w:rsidRPr="001617E7">
        <w:rPr>
          <w:rFonts w:asciiTheme="minorHAnsi" w:hAnsiTheme="minorHAnsi"/>
          <w:noProof/>
          <w:sz w:val="22"/>
          <w:lang w:val="lv-LV" w:eastAsia="lv-LV"/>
        </w:rPr>
        <mc:AlternateContent>
          <mc:Choice Requires="wps">
            <w:drawing>
              <wp:anchor distT="0" distB="0" distL="114300" distR="114300" simplePos="0" relativeHeight="251659264" behindDoc="0" locked="0" layoutInCell="1" allowOverlap="1" wp14:anchorId="20D5C565" wp14:editId="44027567">
                <wp:simplePos x="0" y="0"/>
                <wp:positionH relativeFrom="margin">
                  <wp:posOffset>72390</wp:posOffset>
                </wp:positionH>
                <wp:positionV relativeFrom="paragraph">
                  <wp:posOffset>735965</wp:posOffset>
                </wp:positionV>
                <wp:extent cx="1152525" cy="390525"/>
                <wp:effectExtent l="0" t="0" r="28575" b="28575"/>
                <wp:wrapNone/>
                <wp:docPr id="5" name="TextBox 2">
                  <a:extLst xmlns:a="http://schemas.openxmlformats.org/drawingml/2006/main">
                    <a:ext uri="{FF2B5EF4-FFF2-40B4-BE49-F238E27FC236}">
                      <a16:creationId xmlns:a16="http://schemas.microsoft.com/office/drawing/2014/main" id="{B4EEB686-C8CB-4824-95F6-3B5D7F35AD3F}"/>
                    </a:ext>
                  </a:extLst>
                </wp:docPr>
                <wp:cNvGraphicFramePr/>
                <a:graphic xmlns:a="http://schemas.openxmlformats.org/drawingml/2006/main">
                  <a:graphicData uri="http://schemas.microsoft.com/office/word/2010/wordprocessingShape">
                    <wps:wsp>
                      <wps:cNvSpPr txBox="1"/>
                      <wps:spPr>
                        <a:xfrm>
                          <a:off x="0" y="0"/>
                          <a:ext cx="1152525" cy="390525"/>
                        </a:xfrm>
                        <a:prstGeom prst="rect">
                          <a:avLst/>
                        </a:prstGeom>
                        <a:solidFill>
                          <a:sysClr val="window" lastClr="FFFFFF"/>
                        </a:solidFill>
                        <a:ln w="12700" cap="flat" cmpd="sng" algn="ctr">
                          <a:solidFill>
                            <a:srgbClr val="C00000"/>
                          </a:solidFill>
                          <a:prstDash val="solid"/>
                          <a:miter lim="800000"/>
                        </a:ln>
                        <a:effectLst/>
                      </wps:spPr>
                      <wps:txbx>
                        <w:txbxContent>
                          <w:p w14:paraId="0F28995D" w14:textId="381B4540" w:rsidR="002C24FA" w:rsidRPr="00AF0588" w:rsidRDefault="002C24FA" w:rsidP="001617E7">
                            <w:pPr>
                              <w:jc w:val="center"/>
                              <w:textAlignment w:val="baseline"/>
                              <w:rPr>
                                <w:rFonts w:cs="Times New Roman"/>
                                <w:color w:val="C00000"/>
                                <w:sz w:val="18"/>
                                <w:szCs w:val="18"/>
                                <w:lang w:val="lv-LV"/>
                              </w:rPr>
                            </w:pPr>
                            <w:r w:rsidRPr="00AF0588">
                              <w:rPr>
                                <w:rFonts w:eastAsia="Verdana" w:cs="Times New Roman"/>
                                <w:color w:val="C00000"/>
                                <w:kern w:val="24"/>
                                <w:sz w:val="18"/>
                                <w:szCs w:val="18"/>
                                <w:lang w:val="lv-LV"/>
                              </w:rPr>
                              <w:t>Būtiska C</w:t>
                            </w:r>
                            <w:r>
                              <w:rPr>
                                <w:rFonts w:eastAsia="Verdana" w:cs="Times New Roman"/>
                                <w:color w:val="C00000"/>
                                <w:kern w:val="24"/>
                                <w:sz w:val="18"/>
                                <w:szCs w:val="18"/>
                                <w:lang w:val="lv-LV"/>
                              </w:rPr>
                              <w:t>ovid</w:t>
                            </w:r>
                            <w:r w:rsidRPr="00AF0588">
                              <w:rPr>
                                <w:rFonts w:eastAsia="Verdana" w:cs="Times New Roman"/>
                                <w:color w:val="C00000"/>
                                <w:kern w:val="24"/>
                                <w:sz w:val="18"/>
                                <w:szCs w:val="18"/>
                                <w:lang w:val="lv-LV"/>
                              </w:rPr>
                              <w:t>-19 ietekme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0D5C565" id="_x0000_t202" coordsize="21600,21600" o:spt="202" path="m,l,21600r21600,l21600,xe">
                <v:stroke joinstyle="miter"/>
                <v:path gradientshapeok="t" o:connecttype="rect"/>
              </v:shapetype>
              <v:shape id="TextBox 2" o:spid="_x0000_s1026" type="#_x0000_t202" style="position:absolute;left:0;text-align:left;margin-left:5.7pt;margin-top:57.95pt;width:90.7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" fillcolor="window" strokecolor="#c00000" strokeweight="1pt">
                <v:textbox>
                  <w:txbxContent>
                    <w:p w14:paraId="0F28995D" w14:textId="381B4540" w:rsidR="002C24FA" w:rsidRPr="00AF0588" w:rsidRDefault="002C24FA" w:rsidP="001617E7">
                      <w:pPr>
                        <w:jc w:val="center"/>
                        <w:textAlignment w:val="baseline"/>
                        <w:rPr>
                          <w:rFonts w:cs="Times New Roman"/>
                          <w:color w:val="C00000"/>
                          <w:sz w:val="18"/>
                          <w:szCs w:val="18"/>
                          <w:lang w:val="lv-LV"/>
                        </w:rPr>
                      </w:pPr>
                      <w:r w:rsidRPr="00AF0588">
                        <w:rPr>
                          <w:rFonts w:eastAsia="Verdana" w:cs="Times New Roman"/>
                          <w:color w:val="C00000"/>
                          <w:kern w:val="24"/>
                          <w:sz w:val="18"/>
                          <w:szCs w:val="18"/>
                          <w:lang w:val="lv-LV"/>
                        </w:rPr>
                        <w:t>Būtiska C</w:t>
                      </w:r>
                      <w:r>
                        <w:rPr>
                          <w:rFonts w:eastAsia="Verdana" w:cs="Times New Roman"/>
                          <w:color w:val="C00000"/>
                          <w:kern w:val="24"/>
                          <w:sz w:val="18"/>
                          <w:szCs w:val="18"/>
                          <w:lang w:val="lv-LV"/>
                        </w:rPr>
                        <w:t>ovid</w:t>
                      </w:r>
                      <w:r w:rsidRPr="00AF0588">
                        <w:rPr>
                          <w:rFonts w:eastAsia="Verdana" w:cs="Times New Roman"/>
                          <w:color w:val="C00000"/>
                          <w:kern w:val="24"/>
                          <w:sz w:val="18"/>
                          <w:szCs w:val="18"/>
                          <w:lang w:val="lv-LV"/>
                        </w:rPr>
                        <w:t>-19 ietekme</w:t>
                      </w:r>
                    </w:p>
                  </w:txbxContent>
                </v:textbox>
                <w10:wrap anchorx="margin"/>
              </v:shape>
            </w:pict>
          </mc:Fallback>
        </mc:AlternateContent>
      </w:r>
      <w:r w:rsidRPr="001617E7">
        <w:rPr>
          <w:rFonts w:asciiTheme="minorHAnsi" w:hAnsiTheme="minorHAnsi"/>
          <w:noProof/>
          <w:sz w:val="22"/>
          <w:lang w:val="lv-LV" w:eastAsia="lv-LV"/>
        </w:rPr>
        <w:drawing>
          <wp:inline distT="0" distB="0" distL="0" distR="0" wp14:anchorId="2D5ED5B9" wp14:editId="2A39E3DD">
            <wp:extent cx="5760085" cy="2133600"/>
            <wp:effectExtent l="0" t="0" r="12065" b="0"/>
            <wp:docPr id="14" name="Chart 14">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4C29D1F" w14:textId="57E8E95D" w:rsidR="001617E7" w:rsidRPr="001617E7" w:rsidRDefault="001617E7" w:rsidP="001617E7">
      <w:pPr>
        <w:ind w:firstLine="720"/>
        <w:rPr>
          <w:rFonts w:cs="Times New Roman"/>
          <w:szCs w:val="24"/>
          <w:lang w:val="lv-LV"/>
        </w:rPr>
      </w:pPr>
      <w:r w:rsidRPr="001617E7">
        <w:rPr>
          <w:rFonts w:cs="Times New Roman"/>
          <w:szCs w:val="24"/>
          <w:lang w:val="lv-LV"/>
        </w:rPr>
        <w:t>Kā redzams attēlā Nr. 2.4.25., politikas rezultatīvo rādītāju 2020. gada vidējais plāna izpildes līmenis 100% apmērā ir SM politikas un resursu vadības kartei – Nr. 2 “Autoceļi”, tāpat augsts politikas rezultatīvo rādītāju 2020. gada vidējais plāna izpildes līmenis ir politikas un resursu vadības kartei Nr. 1 “Nozaru vadība un politikas plānošana” 98,1%, Nr. 7 “Sakari” 97,6% un Nr. 6 “Pasažieru pārvadājumi” 88,9%. Salīdzinoši zems politikas rezultatīvo rādītāju 2020. gada vidējais plāna izpildes līmenis 61,8% apmērā</w:t>
      </w:r>
      <w:r w:rsidR="00CF64D3">
        <w:rPr>
          <w:rFonts w:cs="Times New Roman"/>
          <w:szCs w:val="24"/>
          <w:lang w:val="lv-LV"/>
        </w:rPr>
        <w:t xml:space="preserve"> </w:t>
      </w:r>
      <w:r w:rsidRPr="001617E7">
        <w:rPr>
          <w:rFonts w:cs="Times New Roman"/>
          <w:szCs w:val="24"/>
          <w:lang w:val="lv-LV"/>
        </w:rPr>
        <w:t>ir politikas un resursu vadības kartei Nr. 4 “Aviācija”, kas skaidrojams ar ieviestajiem C</w:t>
      </w:r>
      <w:r w:rsidR="00233D99">
        <w:rPr>
          <w:rFonts w:cs="Times New Roman"/>
          <w:szCs w:val="24"/>
          <w:lang w:val="lv-LV"/>
        </w:rPr>
        <w:t>ovid</w:t>
      </w:r>
      <w:r w:rsidRPr="001617E7">
        <w:rPr>
          <w:rFonts w:cs="Times New Roman"/>
          <w:szCs w:val="24"/>
          <w:lang w:val="lv-LV"/>
        </w:rPr>
        <w:t>-19 ierobežojošajiem pasākumiem aviācijas jomā. Savukārt viszemākais politikas rezultatīvo rādītāju 2020. gada vidējais plāna izpildes līmenis ir politikas un resursu vadības kartei Nr. 3 “Dzelzceļš” 55,8% un Nr. 5 “Tranzītpārvadājumi” 37,2%, līdz ar to detalizēti tika analizēta šajās politikas un resursu vadības kartēs iekļauto politikas rezultatīvo rādītāju izpildes dinamika, kā arī to sasaiste ar piešķirto finansējumu.</w:t>
      </w:r>
    </w:p>
    <w:p w14:paraId="345B7D61" w14:textId="21B2736A" w:rsidR="001617E7" w:rsidRPr="001617E7" w:rsidRDefault="001617E7" w:rsidP="001617E7">
      <w:pPr>
        <w:ind w:firstLine="720"/>
        <w:rPr>
          <w:rFonts w:cs="Times New Roman"/>
          <w:szCs w:val="24"/>
          <w:lang w:val="lv-LV"/>
        </w:rPr>
      </w:pPr>
      <w:r w:rsidRPr="001617E7">
        <w:rPr>
          <w:rFonts w:cs="Times New Roman"/>
          <w:szCs w:val="24"/>
          <w:lang w:val="lv-LV"/>
        </w:rPr>
        <w:t>Politikas un resursu vadības kartē Nr. 3 “Dzelzceļš” ir iekļauts viens politikas rezultatīvais rādītājs – “Dzelzceļa kravu pārvadājumu īpatsvars no kopējā sauszemes pārvadājumu apjoma (%)”.</w:t>
      </w:r>
    </w:p>
    <w:p w14:paraId="34E5D0E0"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2.4.26. attēls</w:t>
      </w:r>
      <w:r w:rsidRPr="001617E7">
        <w:rPr>
          <w:rFonts w:cs="Times New Roman"/>
          <w:b/>
          <w:bCs/>
          <w:sz w:val="22"/>
          <w:lang w:val="lv-LV"/>
        </w:rPr>
        <w:t xml:space="preserve"> Politikas rezultatīvā rādītāja “Dzelzceļa kravu pārvadājumu īpatsvars no kopējā sauszemes pārvadājumu apjoma (%)” izpildes un plānotās vērtības, un politikas un resursu vadības kartes Nr. 3 “</w:t>
      </w:r>
      <w:bookmarkStart w:id="26" w:name="_Hlk74985014"/>
      <w:r w:rsidRPr="001617E7">
        <w:rPr>
          <w:rFonts w:cs="Times New Roman"/>
          <w:b/>
          <w:bCs/>
          <w:sz w:val="22"/>
          <w:lang w:val="lv-LV"/>
        </w:rPr>
        <w:t>Dzelzceļš</w:t>
      </w:r>
      <w:bookmarkEnd w:id="26"/>
      <w:r w:rsidRPr="001617E7">
        <w:rPr>
          <w:rFonts w:cs="Times New Roman"/>
          <w:b/>
          <w:bCs/>
          <w:sz w:val="22"/>
          <w:lang w:val="lv-LV"/>
        </w:rPr>
        <w:t xml:space="preserve">” izdevumu dinamika (milj. </w:t>
      </w:r>
      <w:r w:rsidRPr="001617E7">
        <w:rPr>
          <w:rFonts w:cs="Times New Roman"/>
          <w:b/>
          <w:bCs/>
          <w:i/>
          <w:iCs/>
          <w:sz w:val="22"/>
          <w:lang w:val="lv-LV"/>
        </w:rPr>
        <w:t>euro</w:t>
      </w:r>
      <w:r w:rsidRPr="001617E7">
        <w:rPr>
          <w:rFonts w:cs="Times New Roman"/>
          <w:b/>
          <w:bCs/>
          <w:sz w:val="22"/>
          <w:lang w:val="lv-LV"/>
        </w:rPr>
        <w:t>)</w:t>
      </w:r>
    </w:p>
    <w:p w14:paraId="6F8AE4A8" w14:textId="77777777" w:rsidR="001617E7" w:rsidRPr="001617E7" w:rsidRDefault="001617E7" w:rsidP="001617E7">
      <w:pPr>
        <w:jc w:val="left"/>
        <w:rPr>
          <w:rFonts w:cs="Times New Roman"/>
          <w:szCs w:val="24"/>
          <w:lang w:val="lv-LV"/>
        </w:rPr>
      </w:pPr>
      <w:r w:rsidRPr="001617E7">
        <w:rPr>
          <w:rFonts w:cs="Times New Roman"/>
          <w:noProof/>
          <w:szCs w:val="24"/>
          <w:lang w:val="lv-LV" w:eastAsia="lv-LV"/>
        </w:rPr>
        <w:drawing>
          <wp:inline distT="0" distB="0" distL="0" distR="0" wp14:anchorId="09E75DF8" wp14:editId="0C0CADEA">
            <wp:extent cx="5760085" cy="2619375"/>
            <wp:effectExtent l="0" t="0" r="12065" b="9525"/>
            <wp:docPr id="17" name="Chart 17">
              <a:extLst xmlns:a="http://schemas.openxmlformats.org/drawingml/2006/main">
                <a:ext uri="{FF2B5EF4-FFF2-40B4-BE49-F238E27FC236}">
                  <a16:creationId xmlns:a16="http://schemas.microsoft.com/office/drawing/2014/main" id="{98C8C174-B25C-4B19-B29C-5A11742821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E730594" w14:textId="77777777" w:rsidR="001617E7" w:rsidRPr="001617E7" w:rsidRDefault="001617E7" w:rsidP="001617E7">
      <w:pPr>
        <w:ind w:firstLine="720"/>
        <w:rPr>
          <w:rFonts w:cs="Times New Roman"/>
          <w:szCs w:val="24"/>
          <w:lang w:val="lv-LV"/>
        </w:rPr>
      </w:pPr>
      <w:r w:rsidRPr="001617E7">
        <w:rPr>
          <w:rFonts w:cs="Times New Roman"/>
          <w:szCs w:val="24"/>
          <w:lang w:val="lv-LV"/>
        </w:rPr>
        <w:lastRenderedPageBreak/>
        <w:t>Aplūkojot attēlu Nr. 2.4.26., var secināt, ka politikas rezultatīvā rādītāja “Dzelzceļa kravu pārvadājumu īpatsvars no kopējā sauszemes pārvadājumu apjoma (%)” izpildes vērtības laika posmā no 2015. līdz 2020. gadam pakāpeniski samazinās, 2020. gadā atpaliekot no plānotās vērtības par 19 procentpunktiem. Savukārt izdevumi politikas un resursu vadības kartē Nr. 3 “Dzelzceļš”, sākot no 2019. gada, ir būtiski pieauguši.</w:t>
      </w:r>
    </w:p>
    <w:p w14:paraId="5DA9E50B" w14:textId="77777777" w:rsidR="001617E7" w:rsidRPr="001617E7" w:rsidRDefault="001617E7" w:rsidP="001617E7">
      <w:pPr>
        <w:ind w:firstLine="720"/>
        <w:rPr>
          <w:rFonts w:cs="Times New Roman"/>
          <w:szCs w:val="24"/>
          <w:lang w:val="lv-LV"/>
        </w:rPr>
      </w:pPr>
      <w:r w:rsidRPr="001617E7">
        <w:rPr>
          <w:rFonts w:cs="Times New Roman"/>
          <w:szCs w:val="24"/>
          <w:lang w:val="lv-LV"/>
        </w:rPr>
        <w:t>SM neizpildi skaidro ar to, ka ir palielinājies autotransporta kravu pārvadājumu apjoms, bet dzelzceļa kravu pārvadājumu apjoms samazinājās. Norāda, ka, samazinoties dzelzceļa kravu pārvadājumiem, palielinās dzelzceļa pasažieru pārvadājumu īpatsvars. Latvijas dzelzceļa tīklā pasažieru īpatsvars (nobrauktie vilcienkilomentri) 2020. gadā palielinājās no vidēji 39,7% līdz 54,7%, salīdzinot ar 2019. gadu, kas radīja situāciju, kad pasažieru pārvadātājiem faktiski būtu jākompensē lielāka infrastruktūras uzturēšanas un atjaunošanas izdevumu daļa, kas nav saistīta ar kravu pārvadājumu dzelzceļa infrastruktūras uzturēšanu. Vienlaikus norāda, ka Ziemeļu Dienvidu un Rietumu ekonomiskais koridors – Rail Baltica trase vēl tiek veidots, paredzot projektēšanu pabeigt līdz 2022./2023. gadam, vienlaicīgi jau ir uzsākti būvniecības darbi jau izprojektētos objektos, tostarp, Rīgas centrālajā dzelzceļa stacijā.</w:t>
      </w:r>
    </w:p>
    <w:p w14:paraId="6967B76C" w14:textId="34F232FE" w:rsidR="001617E7" w:rsidRPr="001617E7" w:rsidRDefault="001617E7" w:rsidP="001617E7">
      <w:pPr>
        <w:ind w:firstLine="720"/>
        <w:rPr>
          <w:rFonts w:cs="Times New Roman"/>
          <w:szCs w:val="24"/>
          <w:lang w:val="lv-LV"/>
        </w:rPr>
      </w:pPr>
      <w:r w:rsidRPr="001617E7">
        <w:rPr>
          <w:rFonts w:cs="Times New Roman"/>
          <w:szCs w:val="24"/>
          <w:lang w:val="lv-LV"/>
        </w:rPr>
        <w:t>Politikas un resursu vadības kartē Nr. 5 “Tranzītpārvadājumi” ir iekļauts viens politikas rezultatīvais rādītājs – “Kravu apgrozījums Latvijas lielajās ostās (Rīga, Ventspils, Liepāja) (milj. t gadā)”.</w:t>
      </w:r>
    </w:p>
    <w:p w14:paraId="4AF49049" w14:textId="3B5C62D4" w:rsidR="001617E7" w:rsidRPr="001617E7" w:rsidRDefault="001617E7" w:rsidP="001617E7">
      <w:pPr>
        <w:jc w:val="center"/>
        <w:rPr>
          <w:rFonts w:cs="Times New Roman"/>
          <w:b/>
          <w:bCs/>
          <w:sz w:val="22"/>
          <w:lang w:val="lv-LV"/>
        </w:rPr>
      </w:pPr>
      <w:r w:rsidRPr="001617E7">
        <w:rPr>
          <w:rFonts w:cs="Times New Roman"/>
          <w:b/>
          <w:bCs/>
          <w:i/>
          <w:iCs/>
          <w:sz w:val="22"/>
          <w:lang w:val="lv-LV"/>
        </w:rPr>
        <w:t>2.4.</w:t>
      </w:r>
      <w:r>
        <w:rPr>
          <w:rFonts w:cs="Times New Roman"/>
          <w:b/>
          <w:bCs/>
          <w:i/>
          <w:iCs/>
          <w:sz w:val="22"/>
          <w:lang w:val="lv-LV"/>
        </w:rPr>
        <w:t>27</w:t>
      </w:r>
      <w:r w:rsidRPr="001617E7">
        <w:rPr>
          <w:rFonts w:cs="Times New Roman"/>
          <w:b/>
          <w:bCs/>
          <w:i/>
          <w:iCs/>
          <w:sz w:val="22"/>
          <w:lang w:val="lv-LV"/>
        </w:rPr>
        <w:t>. attēls</w:t>
      </w:r>
      <w:r w:rsidRPr="001617E7">
        <w:rPr>
          <w:rFonts w:cs="Times New Roman"/>
          <w:b/>
          <w:bCs/>
          <w:sz w:val="22"/>
          <w:lang w:val="lv-LV"/>
        </w:rPr>
        <w:t xml:space="preserve"> Politikas rezultatīvā rādītāja “Kravu apgrozījums Latvijas lielajās ostās (Rīga, Ventspils, Liepāja) (milj. t gadā)” izpildes un plānotās vērtības, un politikas un resursu vadības kartes Nr. 5 “Tranzītpārvadājumi” izdevumu dinamika (milj. </w:t>
      </w:r>
      <w:r w:rsidRPr="001617E7">
        <w:rPr>
          <w:rFonts w:cs="Times New Roman"/>
          <w:b/>
          <w:bCs/>
          <w:i/>
          <w:iCs/>
          <w:sz w:val="22"/>
          <w:lang w:val="lv-LV"/>
        </w:rPr>
        <w:t>euro</w:t>
      </w:r>
      <w:r w:rsidRPr="001617E7">
        <w:rPr>
          <w:rFonts w:cs="Times New Roman"/>
          <w:b/>
          <w:bCs/>
          <w:sz w:val="22"/>
          <w:lang w:val="lv-LV"/>
        </w:rPr>
        <w:t>)</w:t>
      </w:r>
    </w:p>
    <w:p w14:paraId="2350297F"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5D78B409" wp14:editId="7A9FA8CA">
            <wp:extent cx="5760085" cy="2846705"/>
            <wp:effectExtent l="0" t="0" r="12065" b="10795"/>
            <wp:docPr id="22" name="Chart 22">
              <a:extLst xmlns:a="http://schemas.openxmlformats.org/drawingml/2006/main">
                <a:ext uri="{FF2B5EF4-FFF2-40B4-BE49-F238E27FC236}">
                  <a16:creationId xmlns:a16="http://schemas.microsoft.com/office/drawing/2014/main" id="{D5A2926E-4D95-46CD-96DF-7394CC6CA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554B2F8" w14:textId="34BFACAC" w:rsidR="001617E7" w:rsidRPr="001617E7" w:rsidRDefault="001617E7" w:rsidP="001617E7">
      <w:pPr>
        <w:ind w:firstLine="720"/>
        <w:rPr>
          <w:rFonts w:cs="Times New Roman"/>
          <w:szCs w:val="24"/>
          <w:lang w:val="lv-LV"/>
        </w:rPr>
      </w:pPr>
      <w:r w:rsidRPr="001617E7">
        <w:rPr>
          <w:rFonts w:cs="Times New Roman"/>
          <w:szCs w:val="24"/>
          <w:lang w:val="lv-LV"/>
        </w:rPr>
        <w:t>Aplūkojot attēlu Nr. 2.4.27., var secināt, ka politikas rezultatīvā rādītāja “Kravu apgrozījums Latvijas lielajās ostās (Rīga, Ventspils, Liepāja) (milj. t gadā)” izpildes vērtības laika posmā no 2015. līdz 2019. gadam</w:t>
      </w:r>
      <w:r w:rsidR="00CF64D3">
        <w:rPr>
          <w:rFonts w:cs="Times New Roman"/>
          <w:szCs w:val="24"/>
          <w:lang w:val="lv-LV"/>
        </w:rPr>
        <w:t xml:space="preserve"> </w:t>
      </w:r>
      <w:r w:rsidRPr="001617E7">
        <w:rPr>
          <w:rFonts w:cs="Times New Roman"/>
          <w:szCs w:val="24"/>
          <w:lang w:val="lv-LV"/>
        </w:rPr>
        <w:t>nav būtiski mainījušās, savukārt 2020. gadā vērojams straujš kritums, izpildes vērtībai atpaliekot no plānotās vērtības par 72,8 milj. t. Svarīgi atzīmēt, ka 2021. gadam politikas rezultatīva rādītāja plānotā vērtība ir būtiski samazināta, pietuvinot to 2020. gada izpildes vērtībai. Savukārt izdevumi politikas un resursu vadības kartē Nr. 5 “Tranzītpārvadājumi”, sākot no 2017. gada, ir būtiski samazinājušies, kas skaidrojams ar ES fondu finansējuma samazinājumu.</w:t>
      </w:r>
    </w:p>
    <w:p w14:paraId="2D62B906" w14:textId="77777777" w:rsidR="001617E7" w:rsidRPr="001617E7" w:rsidRDefault="001617E7" w:rsidP="001617E7">
      <w:pPr>
        <w:ind w:firstLine="720"/>
        <w:rPr>
          <w:rFonts w:cs="Times New Roman"/>
          <w:szCs w:val="24"/>
          <w:lang w:val="lv-LV"/>
        </w:rPr>
      </w:pPr>
      <w:r w:rsidRPr="001617E7">
        <w:rPr>
          <w:rFonts w:cs="Times New Roman"/>
          <w:szCs w:val="24"/>
          <w:lang w:val="lv-LV"/>
        </w:rPr>
        <w:lastRenderedPageBreak/>
        <w:t>SM neizpildi skaidro ar ģeopolitisko satricinājumu sekām, kas saasinājās pēc notikumiem Ukrainā 2014. gada nogalē un 2015. gadā ieviestajām sankcijām pret Krieviju, kā arī Krievijas mērķtiecīgu infrastruktūras attīstības politiku – maksimālai kravu novirzīšanai uz savām Krievijas ostām. Tāpat plānoto vērtību nesasniegšanu ir ietekmējušas pēdējo gadu straujās izmaiņas enerģētikas nozarē Eiropā, kuru rezultātā notiek strauja atteikšanās no fosilo degvielu izmantošanas un tiek veikta mērķtiecīga virzība uz atjaunojamo energoresursu izmantošanu.</w:t>
      </w:r>
    </w:p>
    <w:p w14:paraId="3F60E85B" w14:textId="77777777" w:rsidR="001617E7" w:rsidRPr="001617E7" w:rsidRDefault="001617E7" w:rsidP="001617E7">
      <w:pPr>
        <w:rPr>
          <w:rFonts w:cs="Times New Roman"/>
          <w:sz w:val="22"/>
          <w:lang w:val="lv-LV"/>
        </w:rPr>
      </w:pPr>
    </w:p>
    <w:p w14:paraId="4918B747" w14:textId="54C6F7C2" w:rsidR="001617E7" w:rsidRPr="001617E7" w:rsidRDefault="001617E7" w:rsidP="001617E7">
      <w:pPr>
        <w:rPr>
          <w:rFonts w:cs="Times New Roman"/>
          <w:b/>
          <w:bCs/>
          <w:szCs w:val="24"/>
          <w:lang w:val="lv-LV"/>
        </w:rPr>
      </w:pPr>
      <w:r w:rsidRPr="001617E7">
        <w:rPr>
          <w:rFonts w:cs="Times New Roman"/>
          <w:b/>
          <w:bCs/>
          <w:szCs w:val="24"/>
          <w:lang w:val="lv-LV"/>
        </w:rPr>
        <w:t>Tieslietu ministrija</w:t>
      </w:r>
    </w:p>
    <w:p w14:paraId="1C032D6C" w14:textId="71EE4913"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TM ir sešas politikas un resursu vadības kartes, kurās kopumā iekļauti 26 politikas rezultatīvie rādītāji. Vidējais visu TM politikas rezultatīvo rādītāju plāna izpildes līmenis 2020. gadā ir 77,6%.</w:t>
      </w:r>
    </w:p>
    <w:p w14:paraId="40F24B72"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2.4.28. attēls</w:t>
      </w:r>
      <w:r w:rsidRPr="001617E7">
        <w:rPr>
          <w:rFonts w:cs="Times New Roman"/>
          <w:b/>
          <w:bCs/>
          <w:sz w:val="22"/>
          <w:lang w:val="lv-LV"/>
        </w:rPr>
        <w:t xml:space="preserve"> 2020. gada TM politikas un resursu vadības kartēs iekļauto politikas rezultatīvo rādītāju plāna izpildes līmenis (%)</w:t>
      </w:r>
    </w:p>
    <w:p w14:paraId="2A452BA2"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5A1B4052" wp14:editId="627F7C34">
            <wp:extent cx="5760085" cy="2257425"/>
            <wp:effectExtent l="0" t="0" r="12065" b="9525"/>
            <wp:docPr id="29" name="Chart 29">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AA7A9D0" w14:textId="77777777" w:rsidR="001617E7" w:rsidRPr="001617E7" w:rsidRDefault="001617E7" w:rsidP="001617E7">
      <w:pPr>
        <w:ind w:firstLine="720"/>
        <w:rPr>
          <w:rFonts w:cs="Times New Roman"/>
          <w:szCs w:val="24"/>
          <w:lang w:val="lv-LV"/>
        </w:rPr>
      </w:pPr>
      <w:r w:rsidRPr="001617E7">
        <w:rPr>
          <w:rFonts w:cs="Times New Roman"/>
          <w:szCs w:val="24"/>
          <w:lang w:val="lv-LV"/>
        </w:rPr>
        <w:t>Kā redzams attēlā Nr. 2.4.28., politikas rezultatīvo rādītāju 2020. gada vidējais plāna izpildes līmenis 100% apmērā ir TM politikas un resursu vadības kartei Nr. 5 “Konstitucionālo tiesību politika”, tāpat salīdzinoši augsts politikas rezultatīvo rādītāju 2020. gada vidējais plāna izpildes līmenis ir politikas un resursu vadības kartei Nr. 4 “Nekustamā īpašuma tiesību politika” 93,0%, Nr. 1 “Tiesu sistēmas attīstība” 87,4% un Nr. 3 “Komerctiesību politika” 75,2%. Savukārt pārējās politikas un resursu vadības kartēs politikas rezultatīvo rādītāju plāna izpildes līmenis ir zems, līdz ar to detalizēti tika analizēta šajās politikas un resursu vadības kartēs iekļauto politikas rezultatīvo rādītāju izpildes dinamika, kā arī to sasaiste ar piešķirto finansējumu.</w:t>
      </w:r>
    </w:p>
    <w:p w14:paraId="4D2A60BC" w14:textId="77777777" w:rsidR="001617E7" w:rsidRPr="001617E7" w:rsidRDefault="001617E7" w:rsidP="001617E7">
      <w:pPr>
        <w:ind w:firstLine="720"/>
        <w:rPr>
          <w:rFonts w:cs="Times New Roman"/>
          <w:szCs w:val="24"/>
          <w:lang w:val="lv-LV"/>
        </w:rPr>
      </w:pPr>
      <w:r w:rsidRPr="001617E7">
        <w:rPr>
          <w:rFonts w:cs="Times New Roman"/>
          <w:szCs w:val="24"/>
          <w:lang w:val="lv-LV"/>
        </w:rPr>
        <w:t>Valsts budžeta izdevumu pārskatīšanas darba grupai tiekoties ar TM, TM pārstāvji norādīja, ka pārskatīs politikas rezultatīvos rādītājus, jo to pārskatīšana nav veikta jau sen, līdz ar to vairāki no tiem ir zaudējuši aktualitāti politiku maiņas rezultātā.</w:t>
      </w:r>
    </w:p>
    <w:p w14:paraId="110DC6DA" w14:textId="20418C5A" w:rsidR="001617E7" w:rsidRPr="001617E7" w:rsidRDefault="001617E7" w:rsidP="001617E7">
      <w:pPr>
        <w:ind w:firstLine="720"/>
        <w:rPr>
          <w:rFonts w:cs="Times New Roman"/>
          <w:szCs w:val="24"/>
          <w:lang w:val="lv-LV"/>
        </w:rPr>
      </w:pPr>
      <w:r w:rsidRPr="001617E7">
        <w:rPr>
          <w:rFonts w:cs="Times New Roman"/>
          <w:szCs w:val="24"/>
          <w:lang w:val="lv-LV"/>
        </w:rPr>
        <w:t xml:space="preserve">No visām TM politikas un resursu vadības kartēm viszemākais politikas rezultatīvo rādītāju izpildes līmenis 40,5% apmērā ir konstatēts politikas un resursu vadības kartei Nr. 2 “Kriminālsodu izpilde”. Šajā politikas un resursu vadības kartē ir iekļauti četri politikas rezultatīvie rādītāji un visiem tiem ir konstatēta salīdzinoši zema izpilde – “Notiesāto personu īpatsvars, kuri saņem pilnu individuālajā resocializācijas plānā paredzēto resocializācijas vajadzību risināšanu (%)” 72,0%, “Bijušie ieslodzītie, kas iekārtojušies darbā pirmo 6 mēnešu </w:t>
      </w:r>
      <w:r w:rsidRPr="001617E7">
        <w:rPr>
          <w:rFonts w:cs="Times New Roman"/>
          <w:szCs w:val="24"/>
          <w:lang w:val="lv-LV"/>
        </w:rPr>
        <w:lastRenderedPageBreak/>
        <w:t>laikā no bezdarbnieka statusa iegūšanas dienas (skaits)” 36,4%, “</w:t>
      </w:r>
      <w:bookmarkStart w:id="27" w:name="_Hlk74988621"/>
      <w:r w:rsidRPr="001617E7">
        <w:rPr>
          <w:rFonts w:cs="Times New Roman"/>
          <w:szCs w:val="24"/>
          <w:lang w:val="lv-LV"/>
        </w:rPr>
        <w:t>Vietas, kur ieslodzītie tiek izvietoti drošos, resocializācijas īstenošanai piemērotos un starptautiskajām prasībām atbilstošos apstākļos (% no kopējā ieslodzījuma vietās esošo vietu skaita)”</w:t>
      </w:r>
      <w:bookmarkEnd w:id="27"/>
      <w:r w:rsidRPr="001617E7">
        <w:rPr>
          <w:rFonts w:cs="Times New Roman"/>
          <w:szCs w:val="24"/>
          <w:lang w:val="lv-LV"/>
        </w:rPr>
        <w:t xml:space="preserve"> 30,0% un “Vietas, kur ieslodzītie tiek izvietoti drošos, resocializācijas īstenošanai piemērotos un starptautiskajām prasībām atbilstošos apstākļos (vietu skaits)”</w:t>
      </w:r>
      <w:r w:rsidRPr="001617E7">
        <w:rPr>
          <w:rFonts w:cs="Times New Roman"/>
          <w:szCs w:val="24"/>
          <w:vertAlign w:val="superscript"/>
          <w:lang w:val="lv-LV"/>
        </w:rPr>
        <w:t xml:space="preserve"> </w:t>
      </w:r>
      <w:r w:rsidRPr="001617E7">
        <w:rPr>
          <w:rFonts w:cs="Times New Roman"/>
          <w:szCs w:val="24"/>
          <w:vertAlign w:val="superscript"/>
          <w:lang w:val="lv-LV"/>
        </w:rPr>
        <w:footnoteReference w:id="15"/>
      </w:r>
      <w:r w:rsidRPr="001617E7">
        <w:rPr>
          <w:rFonts w:cs="Times New Roman"/>
          <w:szCs w:val="24"/>
          <w:lang w:val="lv-LV"/>
        </w:rPr>
        <w:t xml:space="preserve"> 23,7%.</w:t>
      </w:r>
    </w:p>
    <w:p w14:paraId="58925D74"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2.4.29. attēls</w:t>
      </w:r>
      <w:r w:rsidRPr="001617E7">
        <w:rPr>
          <w:rFonts w:cs="Times New Roman"/>
          <w:b/>
          <w:bCs/>
          <w:sz w:val="22"/>
          <w:lang w:val="lv-LV"/>
        </w:rPr>
        <w:t xml:space="preserve"> Politikas un resursu vadības kartē Nr. 2 “Kriminālsodu izpilde” iekļauto politikas rezultatīvo rādītāju izpildes un plānotās vērtības</w:t>
      </w:r>
      <w:r w:rsidRPr="001617E7">
        <w:rPr>
          <w:rFonts w:cs="Times New Roman"/>
          <w:b/>
          <w:bCs/>
          <w:sz w:val="22"/>
          <w:vertAlign w:val="superscript"/>
          <w:lang w:val="lv-LV"/>
        </w:rPr>
        <w:footnoteReference w:id="16"/>
      </w:r>
      <w:r w:rsidRPr="001617E7">
        <w:rPr>
          <w:rFonts w:cs="Times New Roman"/>
          <w:b/>
          <w:bCs/>
          <w:sz w:val="22"/>
          <w:lang w:val="lv-LV"/>
        </w:rPr>
        <w:t xml:space="preserve">, un izdevumu dinamika (milj. </w:t>
      </w:r>
      <w:r w:rsidRPr="001617E7">
        <w:rPr>
          <w:rFonts w:cs="Times New Roman"/>
          <w:b/>
          <w:bCs/>
          <w:i/>
          <w:iCs/>
          <w:sz w:val="22"/>
          <w:lang w:val="lv-LV"/>
        </w:rPr>
        <w:t>euro</w:t>
      </w:r>
      <w:r w:rsidRPr="001617E7">
        <w:rPr>
          <w:rFonts w:cs="Times New Roman"/>
          <w:b/>
          <w:bCs/>
          <w:sz w:val="22"/>
          <w:lang w:val="lv-LV"/>
        </w:rPr>
        <w:t>)</w:t>
      </w:r>
    </w:p>
    <w:p w14:paraId="02181731"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4FCCBEBE" wp14:editId="7CBE4F6B">
            <wp:extent cx="5760085" cy="3305175"/>
            <wp:effectExtent l="0" t="0" r="12065" b="9525"/>
            <wp:docPr id="32" name="Chart 32">
              <a:extLst xmlns:a="http://schemas.openxmlformats.org/drawingml/2006/main">
                <a:ext uri="{FF2B5EF4-FFF2-40B4-BE49-F238E27FC236}">
                  <a16:creationId xmlns:a16="http://schemas.microsoft.com/office/drawing/2014/main" id="{053C0083-C74B-4CF7-80CA-43FC2449E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13E636D" w14:textId="72452774" w:rsidR="001617E7" w:rsidRPr="001617E7" w:rsidRDefault="001617E7" w:rsidP="001617E7">
      <w:pPr>
        <w:ind w:firstLine="720"/>
        <w:rPr>
          <w:rFonts w:cs="Times New Roman"/>
          <w:szCs w:val="24"/>
          <w:lang w:val="lv-LV"/>
        </w:rPr>
      </w:pPr>
      <w:r w:rsidRPr="001617E7">
        <w:rPr>
          <w:rFonts w:cs="Times New Roman"/>
          <w:szCs w:val="24"/>
          <w:lang w:val="lv-LV"/>
        </w:rPr>
        <w:t>Aplūkojot attēlu Nr. 2.4.29., var secināt, ka politikas rezultatīvā rādītāja “Notiesāto personu īpatsvars, kuri saņem pilnu individuālajā resocializācijas plānā paredzēto resocializācijas vajadzību risināšanu (%)” un “Vietas, kur ieslodzītie tiek izvietoti drošos, resocializācijas īstenošanai piemērotos un starptautiskajām prasībām atbilstošos apstākļos (% no kopējā ieslodzījuma vietās esošo vietu skaita)” izpildes vērtības laika posmā no 2015. līdz 2020. gadam nav ievērojami mainījušās, vienlaikus 2020. gadā nesasniedzot plānoto vērtību. Savukārt politikas rezultatīvā rādītāja “Bijušie ieslodzītie, kas iekārtojušies darbā pirmo 6 mēnešu laikā no bezdarbnieka statusa iegūšanas dienas (skaits)” izpildes vērtības, sākot no 2017.</w:t>
      </w:r>
      <w:r w:rsidR="00FF342C">
        <w:rPr>
          <w:rFonts w:cs="Times New Roman"/>
          <w:szCs w:val="24"/>
          <w:lang w:val="lv-LV"/>
        </w:rPr>
        <w:t xml:space="preserve"> </w:t>
      </w:r>
      <w:r w:rsidRPr="001617E7">
        <w:rPr>
          <w:rFonts w:cs="Times New Roman"/>
          <w:szCs w:val="24"/>
          <w:lang w:val="lv-LV"/>
        </w:rPr>
        <w:t xml:space="preserve">gada, ir būtiski samazinājušās, vienlaikus nesasniedzot 2020. gada plānoto vērtību. Izdevumi politikas un resursu vadības kartē Nr. 2 “Kriminālsodu izpilde”, sākot no 2017. gada, ir pakāpeniski pieauguši, savukārt no 2022. gada vērojams straujš izdevumu pieaugums. </w:t>
      </w:r>
    </w:p>
    <w:p w14:paraId="01794863" w14:textId="77777777" w:rsidR="001617E7" w:rsidRPr="001617E7" w:rsidRDefault="001617E7" w:rsidP="001617E7">
      <w:pPr>
        <w:ind w:firstLine="720"/>
        <w:rPr>
          <w:rFonts w:cs="Times New Roman"/>
          <w:szCs w:val="24"/>
          <w:lang w:val="lv-LV"/>
        </w:rPr>
      </w:pPr>
      <w:r w:rsidRPr="001617E7">
        <w:rPr>
          <w:rFonts w:cs="Times New Roman"/>
          <w:szCs w:val="24"/>
          <w:lang w:val="lv-LV"/>
        </w:rPr>
        <w:t>TM politikas rezultatīvā rādītāja “Notiesāto personu īpatsvars, kuri saņem pilnu individuālajā resocializācijas plānā paredzēto resocializācijas vajadzību risināšanu (%)” neizpildi 2020. gadā skaidro ar valstī izsludināto ārkārtas situāciju, kuras ietvaros ieslodzījuma vietās uz laiku tika pārtraukta profesionālās izglītības un resocializācijas programmu, kā arī brīvā laika pasākumu īstenošana.</w:t>
      </w:r>
    </w:p>
    <w:p w14:paraId="24DAA4DB" w14:textId="77777777" w:rsidR="001617E7" w:rsidRPr="001617E7" w:rsidRDefault="001617E7" w:rsidP="001617E7">
      <w:pPr>
        <w:ind w:firstLine="720"/>
        <w:rPr>
          <w:rFonts w:cs="Times New Roman"/>
          <w:szCs w:val="24"/>
          <w:lang w:val="lv-LV"/>
        </w:rPr>
      </w:pPr>
      <w:r w:rsidRPr="001617E7">
        <w:rPr>
          <w:rFonts w:cs="Times New Roman"/>
          <w:szCs w:val="24"/>
          <w:lang w:val="lv-LV"/>
        </w:rPr>
        <w:lastRenderedPageBreak/>
        <w:t>Politikas rezultatīvā rādītāja “Bijušie ieslodzītie, kas iekārtojušies darbā pirmo 6 mēnešu laikā no bezdarbnieka statusa iegūšanas dienas (skaits)” neizpildi TM skaidro ar valstī izsludināto ārkārtas situāciju, kura ietekmēja arī projekta “Bijušo ieslodzīto integrācija sabiedrībā un darba tirgū” īstenošanu, kā arī ar to, ka ir samazinājies ieslodzīto skaits, līdz ar to arī atbrīvoto skaits. Savukārt politikas rezultatīvā rādītāja “Vietas, kur ieslodzītie tiek izvietoti drošos, resocializācijas īstenošanai piemērotos un starptautiskajām prasībām atbilstošos apstākļos (% no kopējā ieslodzījuma vietās esošo vietu skaita)” neizpildi TM skaidro ar to, ka tika pārcelta jaunā Liepājas cietuma būvniecība.</w:t>
      </w:r>
    </w:p>
    <w:p w14:paraId="74A3D977" w14:textId="0544463C" w:rsidR="001617E7" w:rsidRPr="001617E7" w:rsidRDefault="001617E7" w:rsidP="001617E7">
      <w:pPr>
        <w:ind w:firstLine="720"/>
        <w:rPr>
          <w:rFonts w:cs="Times New Roman"/>
          <w:szCs w:val="24"/>
          <w:lang w:val="lv-LV"/>
        </w:rPr>
      </w:pPr>
      <w:r w:rsidRPr="001617E7">
        <w:rPr>
          <w:rFonts w:cs="Times New Roman"/>
          <w:szCs w:val="24"/>
          <w:lang w:val="lv-LV"/>
        </w:rPr>
        <w:t>Zems politikas rezultatīvo rādītāju izpildes līmenis 69,3% apmērā ir konstatēts arī politikas un resursu vadības kartei Nr. 6 “Nozaru vadība un politikas plānošana”. Šajā politikas un resursu vadības kartē ir iekļauti pieci politikas rezultatīvie rādītāji, no kuriem trīs savstarpēji saistītiem politikas rezultatīvajiem rādītājiem konstatēta salīdzinoši zema izpilde – “MK noteikumu īpatsvars kalendārā gada ietvaros, kuri grozīti 12 mēnešu laikā pēc izdošanas (%)” 33,3%, “Likumu īpatsvars kalendārā gada ietvaros, kuri atkārtoti grozīti 12 mēnešu laikposmā (%)” 62,5%, “MK noteikumu īpatsvars kalendārā gada ietvaros, kuri atkārtoti grozīti 12 mēnešu laikposmā (%)” 67,6%.</w:t>
      </w:r>
    </w:p>
    <w:p w14:paraId="4CDA9501"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2.4.30. attēls</w:t>
      </w:r>
      <w:r w:rsidRPr="001617E7">
        <w:rPr>
          <w:rFonts w:cs="Times New Roman"/>
          <w:b/>
          <w:bCs/>
          <w:sz w:val="22"/>
          <w:lang w:val="lv-LV"/>
        </w:rPr>
        <w:t xml:space="preserve"> Politikas un resursu vadības kartē Nr. 6 “Nozaru vadība un politikas plānošana” iekļauto politikas rezultatīvo rādītāju izpildes un plānotās vērtības</w:t>
      </w:r>
      <w:r w:rsidRPr="001617E7">
        <w:rPr>
          <w:rFonts w:cs="Times New Roman"/>
          <w:b/>
          <w:bCs/>
          <w:sz w:val="22"/>
          <w:vertAlign w:val="superscript"/>
          <w:lang w:val="lv-LV"/>
        </w:rPr>
        <w:footnoteReference w:id="17"/>
      </w:r>
      <w:r w:rsidRPr="001617E7">
        <w:rPr>
          <w:rFonts w:cs="Times New Roman"/>
          <w:b/>
          <w:bCs/>
          <w:sz w:val="22"/>
          <w:lang w:val="lv-LV"/>
        </w:rPr>
        <w:t xml:space="preserve">, un izdevumu dinamika (milj. </w:t>
      </w:r>
      <w:r w:rsidRPr="001617E7">
        <w:rPr>
          <w:rFonts w:cs="Times New Roman"/>
          <w:b/>
          <w:bCs/>
          <w:i/>
          <w:iCs/>
          <w:sz w:val="22"/>
          <w:lang w:val="lv-LV"/>
        </w:rPr>
        <w:t>euro</w:t>
      </w:r>
      <w:r w:rsidRPr="001617E7">
        <w:rPr>
          <w:rFonts w:cs="Times New Roman"/>
          <w:b/>
          <w:bCs/>
          <w:sz w:val="22"/>
          <w:lang w:val="lv-LV"/>
        </w:rPr>
        <w:t>)</w:t>
      </w:r>
    </w:p>
    <w:p w14:paraId="78931B0E" w14:textId="77777777" w:rsidR="001617E7" w:rsidRPr="001617E7" w:rsidRDefault="001617E7" w:rsidP="001617E7">
      <w:pPr>
        <w:rPr>
          <w:rFonts w:cs="Times New Roman"/>
          <w:b/>
          <w:bCs/>
          <w:szCs w:val="24"/>
          <w:lang w:val="lv-LV"/>
        </w:rPr>
      </w:pPr>
      <w:r w:rsidRPr="001617E7">
        <w:rPr>
          <w:rFonts w:cs="Times New Roman"/>
          <w:b/>
          <w:bCs/>
          <w:noProof/>
          <w:szCs w:val="24"/>
          <w:lang w:val="lv-LV" w:eastAsia="lv-LV"/>
        </w:rPr>
        <w:drawing>
          <wp:inline distT="0" distB="0" distL="0" distR="0" wp14:anchorId="2BF9B841" wp14:editId="261E5D2C">
            <wp:extent cx="5760085" cy="2990850"/>
            <wp:effectExtent l="0" t="0" r="12065" b="0"/>
            <wp:docPr id="21" name="Chart 21">
              <a:extLst xmlns:a="http://schemas.openxmlformats.org/drawingml/2006/main">
                <a:ext uri="{FF2B5EF4-FFF2-40B4-BE49-F238E27FC236}">
                  <a16:creationId xmlns:a16="http://schemas.microsoft.com/office/drawing/2014/main" id="{5E79437D-681C-4623-A4B6-955BA90AC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E81E42B"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Aplūkojot attēlu Nr. 2.4.30., var secināt, ka visiem politikas rezultatīvajiem rādītājiem 2020. gada izpildes vērtības, salīdzinot 2018. gadu, ir uzlabojušās, tomēr 2020. gadam plānotās vērtības netiek sasniegtas. Izdevumi politikas un resursu vadības kartē Nr. 6 “Nozaru vadība un politikas plānošana” laika posmā no 2015. līdz 2023. gadam ir mainīgi, savukārt 2018. un 2021. gadā vērojams būtisks izdevumu pieaugums. </w:t>
      </w:r>
    </w:p>
    <w:p w14:paraId="181B17AC" w14:textId="77777777" w:rsidR="001617E7" w:rsidRPr="001617E7" w:rsidRDefault="001617E7" w:rsidP="001617E7">
      <w:pPr>
        <w:rPr>
          <w:rFonts w:cs="Times New Roman"/>
          <w:szCs w:val="24"/>
          <w:lang w:val="lv-LV"/>
        </w:rPr>
      </w:pPr>
      <w:r w:rsidRPr="001617E7">
        <w:rPr>
          <w:rFonts w:cs="Times New Roman"/>
          <w:sz w:val="18"/>
          <w:szCs w:val="18"/>
          <w:lang w:val="lv-LV"/>
        </w:rPr>
        <w:tab/>
      </w:r>
      <w:r w:rsidRPr="001617E7">
        <w:rPr>
          <w:rFonts w:cs="Times New Roman"/>
          <w:szCs w:val="24"/>
          <w:lang w:val="lv-LV"/>
        </w:rPr>
        <w:t>TM neizpildi skaidro ar steidzamības kārtībā virzāmajiem normatīvajiem aktiem un norāda, ka TM, lai veicinātu politikas rezultatīvā rādītāja plānoto vērtību sasniegšanu:</w:t>
      </w:r>
    </w:p>
    <w:p w14:paraId="6267D0FD" w14:textId="77777777" w:rsidR="001617E7" w:rsidRPr="001617E7" w:rsidRDefault="001617E7" w:rsidP="0005194E">
      <w:pPr>
        <w:numPr>
          <w:ilvl w:val="0"/>
          <w:numId w:val="4"/>
        </w:numPr>
        <w:ind w:left="714" w:hanging="357"/>
        <w:jc w:val="left"/>
        <w:rPr>
          <w:rFonts w:cs="Times New Roman"/>
          <w:szCs w:val="24"/>
          <w:lang w:val="lv-LV"/>
        </w:rPr>
      </w:pPr>
      <w:r w:rsidRPr="001617E7">
        <w:rPr>
          <w:rFonts w:cs="Times New Roman"/>
          <w:szCs w:val="24"/>
          <w:lang w:val="lv-LV"/>
        </w:rPr>
        <w:lastRenderedPageBreak/>
        <w:t>izskatot saskaņošanai atsūtītos projektus, vērtē, vai steidzamībai ir norādīts objektīvs pamatojums; ja nav, tad tiek izmantots MK kārtības ruļļa 120. punktā paredzētais mehānisms steidzamības noraidīšanai;</w:t>
      </w:r>
    </w:p>
    <w:p w14:paraId="43C959E5" w14:textId="77777777" w:rsidR="001617E7" w:rsidRPr="001617E7" w:rsidRDefault="001617E7" w:rsidP="0005194E">
      <w:pPr>
        <w:numPr>
          <w:ilvl w:val="0"/>
          <w:numId w:val="4"/>
        </w:numPr>
        <w:ind w:left="714" w:hanging="357"/>
        <w:jc w:val="left"/>
        <w:rPr>
          <w:rFonts w:cs="Times New Roman"/>
          <w:szCs w:val="24"/>
          <w:lang w:val="lv-LV"/>
        </w:rPr>
      </w:pPr>
      <w:r w:rsidRPr="001617E7">
        <w:rPr>
          <w:rFonts w:cs="Times New Roman"/>
          <w:szCs w:val="24"/>
          <w:lang w:val="lv-LV"/>
        </w:rPr>
        <w:t>sadarbībā ar Valsts administrācijas skolu regulāri organizē seminārus jaunajiem valsts pārvaldes darbiniekiem par ārējo normatīvo aktu projektu izstrādi, kuros cita starpā tiek vērsta uzmanība uz tiesību aktu projektu virzības jautājumiem;</w:t>
      </w:r>
    </w:p>
    <w:p w14:paraId="1E8A73D2" w14:textId="3B08BBD2" w:rsidR="001617E7" w:rsidRPr="001617E7" w:rsidRDefault="001617E7" w:rsidP="0005194E">
      <w:pPr>
        <w:numPr>
          <w:ilvl w:val="0"/>
          <w:numId w:val="4"/>
        </w:numPr>
        <w:ind w:left="714" w:hanging="357"/>
        <w:jc w:val="left"/>
        <w:rPr>
          <w:rFonts w:cs="Times New Roman"/>
          <w:szCs w:val="24"/>
          <w:lang w:val="lv-LV"/>
        </w:rPr>
      </w:pPr>
      <w:r w:rsidRPr="001617E7">
        <w:rPr>
          <w:rFonts w:cs="Times New Roman"/>
          <w:szCs w:val="24"/>
          <w:lang w:val="lv-LV"/>
        </w:rPr>
        <w:t xml:space="preserve">reizi gadā apkopo statistiku par normatīvo aktu projektu izstrādi, tai skaitā steidzamības kārtībā virzītajiem projektiem un informē par to </w:t>
      </w:r>
      <w:r w:rsidR="007D00BC">
        <w:rPr>
          <w:rFonts w:cs="Times New Roman"/>
          <w:szCs w:val="24"/>
          <w:lang w:val="lv-LV"/>
        </w:rPr>
        <w:t>VSS.</w:t>
      </w:r>
    </w:p>
    <w:p w14:paraId="4089F9A9" w14:textId="77777777" w:rsidR="001617E7" w:rsidRPr="001617E7" w:rsidRDefault="001617E7" w:rsidP="001617E7">
      <w:pPr>
        <w:rPr>
          <w:rFonts w:cs="Times New Roman"/>
          <w:szCs w:val="24"/>
          <w:lang w:val="lv-LV"/>
        </w:rPr>
      </w:pPr>
    </w:p>
    <w:p w14:paraId="6FE8EAB4" w14:textId="6DDDF9BB" w:rsidR="001617E7" w:rsidRPr="001617E7" w:rsidRDefault="001617E7" w:rsidP="001617E7">
      <w:pPr>
        <w:rPr>
          <w:rFonts w:cs="Times New Roman"/>
          <w:b/>
          <w:bCs/>
          <w:szCs w:val="24"/>
          <w:lang w:val="lv-LV"/>
        </w:rPr>
      </w:pPr>
      <w:r w:rsidRPr="001617E7">
        <w:rPr>
          <w:rFonts w:cs="Times New Roman"/>
          <w:b/>
          <w:bCs/>
          <w:szCs w:val="24"/>
          <w:lang w:val="lv-LV"/>
        </w:rPr>
        <w:t>Vides aizsardzības un reģionālās attīstības ministrija</w:t>
      </w:r>
    </w:p>
    <w:p w14:paraId="4DEDC2A9" w14:textId="771B0C27"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VARAM ir četras politikas un resursu vadības kartes, kurās kopumā iekļauts 21 politikas rezultatīvais rādītājs. Vidējais visu VARAM politikas rezultatīvo rādītāju plāna izpildes līmenis 2020. gadā ir 88,4%.</w:t>
      </w:r>
    </w:p>
    <w:p w14:paraId="3551AFDA"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2.4.31. attēls</w:t>
      </w:r>
      <w:r w:rsidRPr="001617E7">
        <w:rPr>
          <w:rFonts w:cs="Times New Roman"/>
          <w:b/>
          <w:bCs/>
          <w:sz w:val="22"/>
          <w:lang w:val="lv-LV"/>
        </w:rPr>
        <w:t xml:space="preserve"> 2020. gada VARAM politikas un resursu vadības kartēs iekļauto politikas rezultatīvo rādītāju plāna izpildes līmenis (%)</w:t>
      </w:r>
    </w:p>
    <w:p w14:paraId="19D40B99"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75E9265D" wp14:editId="0C71C5A2">
            <wp:extent cx="5760085" cy="2428875"/>
            <wp:effectExtent l="0" t="0" r="12065" b="9525"/>
            <wp:docPr id="33" name="Chart 33">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6CDB868"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Kā redzams attēlā Nr. 2.4.31., augsts politikas rezultatīvo rādītāju 2020. gada vidējais plāna izpildes līmenis ir VARAM politikas un resursu vadības kartei Nr. 1 “Nozaru vadība un politikas plānošana” 98,9%, Nr. 2 “Vides politikas īstenošana” 93,3% un Nr. 3 “Īpaši aizsargājamo dabas teritoriju apsaimniekošana, Latvijas bioloģiskās daudzveidības saglabāšana un vides izpratnes un atbildības motivācijas veidošana sabiedrībā” 89,0%. </w:t>
      </w:r>
    </w:p>
    <w:p w14:paraId="4D286717" w14:textId="77777777" w:rsidR="001617E7" w:rsidRPr="001617E7" w:rsidRDefault="001617E7" w:rsidP="001617E7">
      <w:pPr>
        <w:ind w:firstLine="720"/>
        <w:rPr>
          <w:rFonts w:cs="Times New Roman"/>
          <w:szCs w:val="24"/>
          <w:lang w:val="lv-LV"/>
        </w:rPr>
      </w:pPr>
      <w:r w:rsidRPr="001617E7">
        <w:rPr>
          <w:rFonts w:cs="Times New Roman"/>
          <w:szCs w:val="24"/>
          <w:lang w:val="lv-LV"/>
        </w:rPr>
        <w:t>Viszemākais 2020. gada vidējais plāna izpildes līmenis 72,3% apmērā ir politikas un resursu vadības kartē Nr. 4 “Reģionu attīstības, teritoriālās sadarbības, publisko pakalpojumu un IKT politikas īstenošana”, līdz ar to detalizēti tika analizēta šajās politikas un resursu vadības kartēs iekļauto politikas rezultatīvo rādītāju izpildes dinamika, kā arī to sasaiste ar piešķirto finansējumu. Šajā politikas un resursu vadības kartē neizpilde ir vērojama politikas rezultatīvajam rādītājam “Teritorijas attīstības indekss plānošanas reģionos”, kurš sadalīts piecās atsevišķās sadaļās atbilstoši plānošanas reģioniem.</w:t>
      </w:r>
    </w:p>
    <w:p w14:paraId="10A3E685" w14:textId="28CAD15E" w:rsidR="001617E7" w:rsidRDefault="001617E7" w:rsidP="006B193E">
      <w:pPr>
        <w:rPr>
          <w:rFonts w:cs="Times New Roman"/>
          <w:szCs w:val="24"/>
          <w:lang w:val="lv-LV"/>
        </w:rPr>
      </w:pPr>
    </w:p>
    <w:p w14:paraId="07CEC9CF" w14:textId="77777777" w:rsidR="00FB6188" w:rsidRPr="001617E7" w:rsidRDefault="00FB6188" w:rsidP="006B193E">
      <w:pPr>
        <w:rPr>
          <w:rFonts w:cs="Times New Roman"/>
          <w:szCs w:val="24"/>
          <w:lang w:val="lv-LV"/>
        </w:rPr>
      </w:pPr>
    </w:p>
    <w:p w14:paraId="1D7EC5AA" w14:textId="77777777" w:rsidR="001617E7" w:rsidRPr="001617E7" w:rsidRDefault="001617E7" w:rsidP="001617E7">
      <w:pPr>
        <w:ind w:firstLine="720"/>
        <w:jc w:val="center"/>
        <w:rPr>
          <w:rFonts w:cs="Times New Roman"/>
          <w:b/>
          <w:bCs/>
          <w:szCs w:val="24"/>
          <w:lang w:val="lv-LV"/>
        </w:rPr>
      </w:pPr>
      <w:r w:rsidRPr="001617E7">
        <w:rPr>
          <w:rFonts w:cs="Times New Roman"/>
          <w:b/>
          <w:bCs/>
          <w:i/>
          <w:iCs/>
          <w:sz w:val="22"/>
          <w:lang w:val="lv-LV"/>
        </w:rPr>
        <w:lastRenderedPageBreak/>
        <w:t>2.4.32. attēls</w:t>
      </w:r>
      <w:r w:rsidRPr="001617E7">
        <w:rPr>
          <w:rFonts w:cs="Times New Roman"/>
          <w:b/>
          <w:bCs/>
          <w:sz w:val="22"/>
          <w:lang w:val="lv-LV"/>
        </w:rPr>
        <w:t xml:space="preserve"> Politikas rezultatīvā rādītāja “Teritorijas attīstības indekss plānošanas reģionos” izpildes un plānotās vērtības, un politikas un resursu vadības kartes Nr. 4 “Reģionu attīstības, teritoriālās sadarbības, publisko pakalpojumu un IKT politikas īstenošana” izdevumu dinamika (milj. </w:t>
      </w:r>
      <w:r w:rsidRPr="001617E7">
        <w:rPr>
          <w:rFonts w:cs="Times New Roman"/>
          <w:b/>
          <w:bCs/>
          <w:i/>
          <w:iCs/>
          <w:sz w:val="22"/>
          <w:lang w:val="lv-LV"/>
        </w:rPr>
        <w:t>euro</w:t>
      </w:r>
      <w:r w:rsidRPr="001617E7">
        <w:rPr>
          <w:rFonts w:cs="Times New Roman"/>
          <w:b/>
          <w:bCs/>
          <w:sz w:val="22"/>
          <w:lang w:val="lv-LV"/>
        </w:rPr>
        <w:t>)</w:t>
      </w:r>
    </w:p>
    <w:p w14:paraId="2371D8C3" w14:textId="77777777" w:rsidR="001617E7" w:rsidRPr="001617E7" w:rsidRDefault="001617E7" w:rsidP="001617E7">
      <w:pPr>
        <w:jc w:val="center"/>
        <w:rPr>
          <w:rFonts w:cs="Times New Roman"/>
          <w:szCs w:val="24"/>
          <w:lang w:val="lv-LV"/>
        </w:rPr>
      </w:pPr>
      <w:r w:rsidRPr="001617E7">
        <w:rPr>
          <w:rFonts w:cs="Times New Roman"/>
          <w:noProof/>
          <w:szCs w:val="24"/>
          <w:lang w:val="lv-LV" w:eastAsia="lv-LV"/>
        </w:rPr>
        <w:drawing>
          <wp:inline distT="0" distB="0" distL="0" distR="0" wp14:anchorId="03B79778" wp14:editId="353A923D">
            <wp:extent cx="5760085" cy="3076575"/>
            <wp:effectExtent l="0" t="0" r="12065" b="9525"/>
            <wp:docPr id="36" name="Chart 36">
              <a:extLst xmlns:a="http://schemas.openxmlformats.org/drawingml/2006/main">
                <a:ext uri="{FF2B5EF4-FFF2-40B4-BE49-F238E27FC236}">
                  <a16:creationId xmlns:a16="http://schemas.microsoft.com/office/drawing/2014/main" id="{B0C358B8-B4B0-4956-91EA-E35BF6416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19567B0"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2.4.32., var secināt, ka politikas rezultatīvo rādītāju plānotā vērtība 2020. gadā ir sasniegta tikai Rīgas plānošanas reģionam, savukārt pārējo plānošanas reģionu izpildes vērtības 2020. gadā būtiski atpaliek no plānotā. Izdevumi politikas un resursu vadības kartē Nr. 4 “Reģionu attīstības, teritoriālās sadarbības, publisko pakalpojumu un IKT politikas īstenošana” laika posmā no 2016. līdz 2021. gadam ir būtiski pieauguši.</w:t>
      </w:r>
    </w:p>
    <w:p w14:paraId="3BB7A347" w14:textId="77777777" w:rsidR="001617E7" w:rsidRPr="001617E7" w:rsidRDefault="001617E7" w:rsidP="001617E7">
      <w:pPr>
        <w:ind w:firstLine="720"/>
        <w:rPr>
          <w:rFonts w:cs="Times New Roman"/>
          <w:szCs w:val="24"/>
          <w:lang w:val="lv-LV"/>
        </w:rPr>
      </w:pPr>
      <w:r w:rsidRPr="001617E7">
        <w:rPr>
          <w:rFonts w:cs="Times New Roman"/>
          <w:szCs w:val="24"/>
          <w:lang w:val="lv-LV"/>
        </w:rPr>
        <w:t>VARAM neizpildi skaidro ar to, ka VARAM rīcībā nav pietiekoši resursi un līdzekļi, lai tieši ietekmētu sasniedzamo rādītāju, vienlaikus norāda, ka Teritorijas attīstības indekss ir komplicēts un to veido 8 rādītāji, kurus ietekmē dažādi faktori arī tādi, kas ir neatkarīgi no VARAM darbības. VARAM kā priekšlikumu politikas rādītāja neizpildes novēršanai norāda, ka nepieciešams stiprināt pašvaldību un plānošanas reģionu lomu uzņēmējdarbības atbalsta nodrošināšanā, demogrāfijas situācijas uzlabošanā un pakalpojumu efektivizācijā.</w:t>
      </w:r>
    </w:p>
    <w:p w14:paraId="0EFFBA8E" w14:textId="77777777" w:rsidR="001617E7" w:rsidRPr="001617E7" w:rsidRDefault="001617E7" w:rsidP="001617E7">
      <w:pPr>
        <w:ind w:firstLine="720"/>
        <w:rPr>
          <w:rFonts w:cs="Times New Roman"/>
          <w:i/>
          <w:iCs/>
          <w:szCs w:val="24"/>
          <w:lang w:val="lv-LV"/>
        </w:rPr>
      </w:pPr>
    </w:p>
    <w:p w14:paraId="5B8DA76E" w14:textId="7A74A463" w:rsidR="001617E7" w:rsidRPr="001617E7" w:rsidRDefault="001617E7" w:rsidP="001617E7">
      <w:pPr>
        <w:jc w:val="left"/>
        <w:rPr>
          <w:rFonts w:cs="Times New Roman"/>
          <w:b/>
          <w:bCs/>
          <w:szCs w:val="24"/>
          <w:lang w:val="lv-LV"/>
        </w:rPr>
      </w:pPr>
      <w:r w:rsidRPr="001617E7">
        <w:rPr>
          <w:rFonts w:cs="Times New Roman"/>
          <w:b/>
          <w:bCs/>
          <w:szCs w:val="24"/>
          <w:lang w:val="lv-LV"/>
        </w:rPr>
        <w:t>Zemkopības ministrija</w:t>
      </w:r>
    </w:p>
    <w:p w14:paraId="645D12C8" w14:textId="77777777"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ZM ir piecas politikas un resursu vadības kartes, kurās kopumā iekļauti 17 politikas rezultatīvie rādītāji. Vidējais visu ZM politikas rezultatīvo rādītāju plāna izpildes līmenis 2020. gadā ir 98,2%.</w:t>
      </w:r>
    </w:p>
    <w:p w14:paraId="61A66B1B" w14:textId="77777777" w:rsidR="001617E7" w:rsidRPr="001617E7" w:rsidRDefault="001617E7" w:rsidP="001617E7">
      <w:pPr>
        <w:spacing w:after="200" w:line="276" w:lineRule="auto"/>
        <w:jc w:val="left"/>
        <w:rPr>
          <w:rFonts w:cs="Times New Roman"/>
          <w:b/>
          <w:bCs/>
          <w:szCs w:val="24"/>
          <w:lang w:val="lv-LV"/>
        </w:rPr>
      </w:pPr>
    </w:p>
    <w:p w14:paraId="4867CC97" w14:textId="67D36A2A" w:rsidR="001617E7" w:rsidRDefault="001617E7" w:rsidP="001617E7">
      <w:pPr>
        <w:spacing w:after="200" w:line="276" w:lineRule="auto"/>
        <w:jc w:val="left"/>
        <w:rPr>
          <w:rFonts w:cs="Times New Roman"/>
          <w:b/>
          <w:bCs/>
          <w:szCs w:val="24"/>
          <w:lang w:val="lv-LV"/>
        </w:rPr>
      </w:pPr>
    </w:p>
    <w:p w14:paraId="349CC55E" w14:textId="7D4C8781" w:rsidR="001617E7" w:rsidRDefault="001617E7" w:rsidP="001617E7">
      <w:pPr>
        <w:spacing w:after="200" w:line="276" w:lineRule="auto"/>
        <w:jc w:val="left"/>
        <w:rPr>
          <w:rFonts w:cs="Times New Roman"/>
          <w:b/>
          <w:bCs/>
          <w:szCs w:val="24"/>
          <w:lang w:val="lv-LV"/>
        </w:rPr>
      </w:pPr>
    </w:p>
    <w:p w14:paraId="7BF75054" w14:textId="59D19914" w:rsidR="001617E7" w:rsidRDefault="001617E7" w:rsidP="001617E7">
      <w:pPr>
        <w:spacing w:after="200" w:line="276" w:lineRule="auto"/>
        <w:jc w:val="left"/>
        <w:rPr>
          <w:rFonts w:cs="Times New Roman"/>
          <w:b/>
          <w:bCs/>
          <w:szCs w:val="24"/>
          <w:lang w:val="lv-LV"/>
        </w:rPr>
      </w:pPr>
    </w:p>
    <w:p w14:paraId="58EA8A20" w14:textId="77777777" w:rsidR="001617E7" w:rsidRPr="001617E7" w:rsidRDefault="001617E7" w:rsidP="001617E7">
      <w:pPr>
        <w:spacing w:after="200" w:line="276" w:lineRule="auto"/>
        <w:jc w:val="left"/>
        <w:rPr>
          <w:rFonts w:cs="Times New Roman"/>
          <w:b/>
          <w:bCs/>
          <w:szCs w:val="24"/>
          <w:lang w:val="lv-LV"/>
        </w:rPr>
      </w:pPr>
    </w:p>
    <w:p w14:paraId="51209844"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2.4.33. attēls</w:t>
      </w:r>
      <w:r w:rsidRPr="001617E7">
        <w:rPr>
          <w:rFonts w:cs="Times New Roman"/>
          <w:b/>
          <w:bCs/>
          <w:sz w:val="22"/>
          <w:lang w:val="lv-LV"/>
        </w:rPr>
        <w:t xml:space="preserve"> 2020. gada ZM politikas un resursu vadības kartēs iekļauto politikas rezultatīvo rādītāju plāna izpildes līmenis (%)</w:t>
      </w:r>
    </w:p>
    <w:p w14:paraId="6A7E599E" w14:textId="77777777" w:rsidR="001617E7" w:rsidRPr="001617E7" w:rsidRDefault="001617E7" w:rsidP="001617E7">
      <w:pPr>
        <w:jc w:val="left"/>
        <w:rPr>
          <w:rFonts w:cs="Times New Roman"/>
          <w:b/>
          <w:bCs/>
          <w:szCs w:val="24"/>
          <w:lang w:val="lv-LV"/>
        </w:rPr>
      </w:pPr>
      <w:r w:rsidRPr="001617E7">
        <w:rPr>
          <w:rFonts w:cs="Times New Roman"/>
          <w:b/>
          <w:bCs/>
          <w:noProof/>
          <w:szCs w:val="24"/>
          <w:lang w:val="lv-LV" w:eastAsia="lv-LV"/>
        </w:rPr>
        <w:drawing>
          <wp:inline distT="0" distB="0" distL="0" distR="0" wp14:anchorId="2308F81E" wp14:editId="675C8AD8">
            <wp:extent cx="5760085" cy="1952625"/>
            <wp:effectExtent l="0" t="0" r="12065" b="9525"/>
            <wp:docPr id="43" name="Chart 43">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C40F857" w14:textId="77777777" w:rsidR="001617E7" w:rsidRPr="001617E7" w:rsidRDefault="001617E7" w:rsidP="001617E7">
      <w:pPr>
        <w:ind w:firstLine="720"/>
        <w:rPr>
          <w:rFonts w:cs="Times New Roman"/>
          <w:szCs w:val="24"/>
          <w:lang w:val="lv-LV"/>
        </w:rPr>
      </w:pPr>
      <w:r w:rsidRPr="001617E7">
        <w:rPr>
          <w:rFonts w:cs="Times New Roman"/>
          <w:szCs w:val="24"/>
          <w:lang w:val="lv-LV"/>
        </w:rPr>
        <w:t>Kā redzams attēlā Nr. 2.4.33., politikas rezultatīvo rādītāju 2020. gada vidējais plāna izpildes līmenis 100% apmērā ir ZM politikas un resursu vadības kartei Nr. 2 “Nozaru uzņēmējdarbības attīstības veicināšana”, tāpat arī pārējām politikas un resursu vadības kartēm ir salīdzinoši augsts politikas rezultatīvo rādītāju 2020. gada vidējais plāna izpildes līmenis – Nr. 4 “Dabas resursu ilgtspējības saglabāšana” 99,3%, Nr. 1 “Pārtikas un dzīvnieku barības nekaitīgums, pārtikas higiēna un kvalitāte, dzīvnieku veselība, labturība un aizsardzība” 97,9%, Nr. 5 “Nozaru vadība un politikas plānošana” 97,6%, Nr. 3 “Cilvēkresursu attīstības veicināšana laukiem” 96,1%.</w:t>
      </w:r>
    </w:p>
    <w:p w14:paraId="63029EC4" w14:textId="0132A22F" w:rsidR="001617E7" w:rsidRPr="001617E7" w:rsidRDefault="001617E7" w:rsidP="001617E7">
      <w:pPr>
        <w:ind w:firstLine="720"/>
        <w:rPr>
          <w:rFonts w:cs="Times New Roman"/>
          <w:szCs w:val="24"/>
          <w:lang w:val="lv-LV"/>
        </w:rPr>
      </w:pPr>
      <w:r w:rsidRPr="001617E7">
        <w:rPr>
          <w:rFonts w:cs="Times New Roman"/>
          <w:szCs w:val="24"/>
          <w:lang w:val="lv-LV"/>
        </w:rPr>
        <w:t>Ņemot vērā, ka viszemākais politikas rezultatīvo rādītāju 2020. gada vidējais plāna izpildes līmenis ir politikas un resursu vadības kartei Nr. 3 “Cilvēkresursu attīstības veicināšana laukiem”, līdz ar to detalizēti tika analizēta šajā politikas un resursu vadības kartē iekļauto politikas rezultatīvo rādītāju izpildes dinamika, kā arī to sasaiste ar piešķirto finansējumu. Šajā politikas un resursu vadības kartē ir iekļauti divi politikas rezultatīvie rādītāji, no kuriem zema izpilde ir politikas rezultatīvajam rādītājam “Valsts budžeta finansētas studiju vietas Latvijas Lauksaimniecības universitātē pamatstudijās, maģistratūrā un doktorantūrā (skaits)” 92,1%.</w:t>
      </w:r>
    </w:p>
    <w:p w14:paraId="7691ACD3"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2.4.34. attēls</w:t>
      </w:r>
      <w:r w:rsidRPr="001617E7">
        <w:rPr>
          <w:rFonts w:cs="Times New Roman"/>
          <w:b/>
          <w:bCs/>
          <w:sz w:val="22"/>
          <w:lang w:val="lv-LV"/>
        </w:rPr>
        <w:t xml:space="preserve"> Politikas rezultatīvā rādītāja “Valsts budžeta finansētas studiju vietas Latvijas Lauksaimniecības universitātē pamatstudijās, maģistratūrā un doktorantūrā (skaits)” izpildes un plānotās vērtības, un politikas un resursu vadības kartes Nr. 3 “Cilvēkresursu attīstības veicināšana laukiem” izdevumu dinamika (milj. </w:t>
      </w:r>
      <w:r w:rsidRPr="001617E7">
        <w:rPr>
          <w:rFonts w:cs="Times New Roman"/>
          <w:b/>
          <w:bCs/>
          <w:i/>
          <w:iCs/>
          <w:sz w:val="22"/>
          <w:lang w:val="lv-LV"/>
        </w:rPr>
        <w:t>euro</w:t>
      </w:r>
      <w:r w:rsidRPr="001617E7">
        <w:rPr>
          <w:rFonts w:cs="Times New Roman"/>
          <w:b/>
          <w:bCs/>
          <w:sz w:val="22"/>
          <w:lang w:val="lv-LV"/>
        </w:rPr>
        <w:t>)</w:t>
      </w:r>
    </w:p>
    <w:p w14:paraId="4DA022DF" w14:textId="77777777" w:rsidR="001617E7" w:rsidRPr="001617E7" w:rsidRDefault="001617E7" w:rsidP="001617E7">
      <w:pPr>
        <w:jc w:val="left"/>
        <w:rPr>
          <w:rFonts w:cs="Times New Roman"/>
          <w:szCs w:val="24"/>
          <w:lang w:val="lv-LV"/>
        </w:rPr>
      </w:pPr>
      <w:r w:rsidRPr="001617E7">
        <w:rPr>
          <w:rFonts w:cs="Times New Roman"/>
          <w:noProof/>
          <w:sz w:val="20"/>
          <w:szCs w:val="20"/>
          <w:lang w:val="lv-LV" w:eastAsia="lv-LV"/>
        </w:rPr>
        <w:drawing>
          <wp:inline distT="0" distB="0" distL="0" distR="0" wp14:anchorId="2884240E" wp14:editId="1500E651">
            <wp:extent cx="5760085" cy="2638425"/>
            <wp:effectExtent l="0" t="0" r="12065" b="9525"/>
            <wp:docPr id="44" name="Chart 44">
              <a:extLst xmlns:a="http://schemas.openxmlformats.org/drawingml/2006/main">
                <a:ext uri="{FF2B5EF4-FFF2-40B4-BE49-F238E27FC236}">
                  <a16:creationId xmlns:a16="http://schemas.microsoft.com/office/drawing/2014/main" id="{9C32B292-B2F8-4B29-B475-7DA7BECCF7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366A78C" w14:textId="77777777" w:rsidR="001617E7" w:rsidRPr="001617E7" w:rsidRDefault="001617E7" w:rsidP="001617E7">
      <w:pPr>
        <w:ind w:firstLine="720"/>
        <w:rPr>
          <w:rFonts w:cs="Times New Roman"/>
          <w:szCs w:val="24"/>
          <w:lang w:val="lv-LV"/>
        </w:rPr>
      </w:pPr>
      <w:r w:rsidRPr="001617E7">
        <w:rPr>
          <w:rFonts w:cs="Times New Roman"/>
          <w:szCs w:val="24"/>
          <w:lang w:val="lv-LV"/>
        </w:rPr>
        <w:lastRenderedPageBreak/>
        <w:t xml:space="preserve">Aplūkojot attēlu Nr. 2.4.34., var secināt, ka politikas rezultatīvā rādītāja “Valsts budžeta finansētas studiju vietas Latvijas Lauksaimniecības universitātē pamatstudijās, maģistratūrā un doktorantūrā (skaits)” 2020. gadā izpildes vērtība, salīdzinot ar 2019. gadu, ir būtiski pieaugusi, tomēr nesasniedz plāna vērtību. Izdevumi politikas un resursu vadības kartē Nr. 3 “Cilvēkresursu attīstības veicināšana laukiem” ievērojami ir pieauguši 2017. gadā, savukārt turpmākajos gados būtiskas izmaiņas nav vērojamas. </w:t>
      </w:r>
    </w:p>
    <w:p w14:paraId="643653DD" w14:textId="77777777" w:rsidR="001617E7" w:rsidRPr="001617E7" w:rsidRDefault="001617E7" w:rsidP="001617E7">
      <w:pPr>
        <w:ind w:firstLine="720"/>
        <w:rPr>
          <w:rFonts w:cs="Times New Roman"/>
          <w:szCs w:val="24"/>
          <w:lang w:val="lv-LV"/>
        </w:rPr>
      </w:pPr>
      <w:r w:rsidRPr="001617E7">
        <w:rPr>
          <w:rFonts w:cs="Times New Roman"/>
          <w:szCs w:val="24"/>
          <w:lang w:val="lv-LV"/>
        </w:rPr>
        <w:t>ZM neizpildi skaidro ar to, ka pēdējos gados būtiski pieaugusi studējošo pāragra iesaistīšanās darba tirgū, kas rezultātā nav savienojama ar studiju slodzi. Vienlaikus ZM norāda, ka katru gadu sadarbībā ar Latvijas Lauksaimniecības universitāti izvērtē iepriekšējā gada rezultatīvo rādītāju sniegumu un pēdējo gadu tendences, uz kā pamata veic nepieciešamās izmaiņas valsts budžeta finansēto studiju vietu sadalē.</w:t>
      </w:r>
    </w:p>
    <w:p w14:paraId="133C335C" w14:textId="77777777" w:rsidR="001617E7" w:rsidRPr="001617E7" w:rsidRDefault="001617E7" w:rsidP="001617E7">
      <w:pPr>
        <w:jc w:val="left"/>
        <w:rPr>
          <w:rFonts w:cs="Times New Roman"/>
          <w:b/>
          <w:bCs/>
          <w:szCs w:val="24"/>
          <w:lang w:val="lv-LV"/>
        </w:rPr>
      </w:pPr>
    </w:p>
    <w:p w14:paraId="7A274B7A" w14:textId="11DFB3C0" w:rsidR="001617E7" w:rsidRPr="001617E7" w:rsidRDefault="001617E7" w:rsidP="001617E7">
      <w:pPr>
        <w:jc w:val="left"/>
        <w:rPr>
          <w:rFonts w:cs="Times New Roman"/>
          <w:b/>
          <w:bCs/>
          <w:szCs w:val="24"/>
          <w:lang w:val="lv-LV"/>
        </w:rPr>
      </w:pPr>
      <w:r w:rsidRPr="001617E7">
        <w:rPr>
          <w:rFonts w:cs="Times New Roman"/>
          <w:b/>
          <w:bCs/>
          <w:szCs w:val="24"/>
          <w:lang w:val="lv-LV"/>
        </w:rPr>
        <w:t>Veselības ministrija</w:t>
      </w:r>
    </w:p>
    <w:p w14:paraId="7692BD99" w14:textId="5E3EAECC" w:rsidR="001617E7" w:rsidRPr="001617E7" w:rsidRDefault="001617E7" w:rsidP="001617E7">
      <w:pPr>
        <w:ind w:firstLine="720"/>
        <w:rPr>
          <w:rFonts w:cs="Times New Roman"/>
          <w:szCs w:val="24"/>
          <w:lang w:val="lv-LV"/>
        </w:rPr>
      </w:pPr>
      <w:r w:rsidRPr="001617E7">
        <w:rPr>
          <w:rFonts w:cs="Times New Roman"/>
          <w:szCs w:val="24"/>
          <w:lang w:val="lv-LV"/>
        </w:rPr>
        <w:t>2020. gada budžeta paskaidrojumos VM ir četras politikas un resursu vadības kartes, kurās kopumā iekļauti 19 politikas rezultatīvie rādītāji. Vidējais visu VM politikas rezultatīvo rādītāju plāna izpildes līmenis 2020. gadā ir 94,7%.</w:t>
      </w:r>
    </w:p>
    <w:p w14:paraId="7680961B"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t>2.4.35. attēls</w:t>
      </w:r>
      <w:r w:rsidRPr="001617E7">
        <w:rPr>
          <w:rFonts w:cs="Times New Roman"/>
          <w:b/>
          <w:bCs/>
          <w:sz w:val="22"/>
          <w:lang w:val="lv-LV"/>
        </w:rPr>
        <w:t xml:space="preserve"> 2020. gada VM politikas un resursu vadības kartēs iekļauto politikas rezultatīvo rādītāju plāna izpildes līmenis (%)</w:t>
      </w:r>
    </w:p>
    <w:p w14:paraId="3E0B9001" w14:textId="77777777" w:rsidR="001617E7" w:rsidRPr="001617E7" w:rsidRDefault="001617E7" w:rsidP="001617E7">
      <w:pPr>
        <w:spacing w:after="200" w:line="276" w:lineRule="auto"/>
        <w:jc w:val="left"/>
        <w:rPr>
          <w:rFonts w:cs="Times New Roman"/>
          <w:szCs w:val="24"/>
          <w:lang w:val="lv-LV"/>
        </w:rPr>
      </w:pPr>
      <w:r w:rsidRPr="001617E7">
        <w:rPr>
          <w:rFonts w:cs="Times New Roman"/>
          <w:noProof/>
          <w:szCs w:val="24"/>
          <w:lang w:val="lv-LV" w:eastAsia="lv-LV"/>
        </w:rPr>
        <w:drawing>
          <wp:inline distT="0" distB="0" distL="0" distR="0" wp14:anchorId="5FB97C78" wp14:editId="69E8F4E9">
            <wp:extent cx="5760085" cy="2076450"/>
            <wp:effectExtent l="0" t="0" r="12065" b="0"/>
            <wp:docPr id="45" name="Chart 45">
              <a:extLst xmlns:a="http://schemas.openxmlformats.org/drawingml/2006/main">
                <a:ext uri="{FF2B5EF4-FFF2-40B4-BE49-F238E27FC236}">
                  <a16:creationId xmlns:a16="http://schemas.microsoft.com/office/drawing/2014/main" id="{8DB5F7DE-7AD8-4C0B-9B28-C62A02FA7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CA05C7D" w14:textId="77777777" w:rsidR="001617E7" w:rsidRPr="001617E7" w:rsidRDefault="001617E7" w:rsidP="001617E7">
      <w:pPr>
        <w:ind w:firstLine="720"/>
        <w:rPr>
          <w:rFonts w:cs="Times New Roman"/>
          <w:szCs w:val="24"/>
          <w:lang w:val="lv-LV"/>
        </w:rPr>
      </w:pPr>
      <w:r w:rsidRPr="001617E7">
        <w:rPr>
          <w:rFonts w:cs="Times New Roman"/>
          <w:szCs w:val="24"/>
          <w:lang w:val="lv-LV"/>
        </w:rPr>
        <w:t>Kā redzams attēlā Nr. 2.4.35., salīdzinoši augsts politikas rezultatīvo rādītāju 2020. gada vidējais plāna izpildes līmenis ir visām VM politikas un resursu vadības kartēm – Nr. 2 “Sabiedrības veselība” 99,1%, Nr. 4 “Nozaru vadības un politikas plānošana” 94,1% un Nr. 3 “Farmācija” 93,2% un Nr. 1 “Veselības aprūpe” 92,6%.</w:t>
      </w:r>
    </w:p>
    <w:p w14:paraId="0F09175B" w14:textId="77777777" w:rsidR="001617E7" w:rsidRPr="001617E7" w:rsidRDefault="001617E7" w:rsidP="001617E7">
      <w:pPr>
        <w:ind w:firstLine="720"/>
        <w:rPr>
          <w:rFonts w:cs="Times New Roman"/>
          <w:szCs w:val="24"/>
          <w:lang w:val="lv-LV"/>
        </w:rPr>
      </w:pPr>
      <w:r w:rsidRPr="001617E7">
        <w:rPr>
          <w:rFonts w:cs="Times New Roman"/>
          <w:szCs w:val="24"/>
          <w:lang w:val="lv-LV"/>
        </w:rPr>
        <w:t>Ņemot vērā, ka viszemākais politikas rezultatīvo rādītāju 2020. gada vidējais plāna izpildes līmenis ir politikas un resursu vadības kartē Nr. 1 “Veselības aprūpe”, līdz ar to detalizēti tika analizēta šajās politikas un resursu vadības kartēs iekļauto politikas rezultatīvo rādītāju izpildes dinamika, kā arī to sasaiste ar piešķirto finansējumu. Šajā politikas un resursu vadības kartē ir iekļauti 11 politikas rezultatīvie rādītāji, no kuriem viszemākā izpilde ir politikas rezultatīvajam rādītājam “Jaunatklāts hronisks C hepatīts (skaits uz 100 000 iedzīvotājiem)” 59,7%.</w:t>
      </w:r>
    </w:p>
    <w:p w14:paraId="6AD1BFC5" w14:textId="77777777" w:rsidR="001617E7" w:rsidRPr="001617E7" w:rsidRDefault="001617E7" w:rsidP="001617E7">
      <w:pPr>
        <w:spacing w:after="200" w:line="276" w:lineRule="auto"/>
        <w:jc w:val="left"/>
        <w:rPr>
          <w:rFonts w:cs="Times New Roman"/>
          <w:szCs w:val="24"/>
          <w:lang w:val="lv-LV"/>
        </w:rPr>
      </w:pPr>
    </w:p>
    <w:p w14:paraId="0BB6CDDF"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2.4.36. attēls</w:t>
      </w:r>
      <w:r w:rsidRPr="001617E7">
        <w:rPr>
          <w:rFonts w:cs="Times New Roman"/>
          <w:b/>
          <w:bCs/>
          <w:sz w:val="22"/>
          <w:lang w:val="lv-LV"/>
        </w:rPr>
        <w:t xml:space="preserve"> Politikas rezultatīvā rādītāja “Jaunatklāts hronisks C hepatīts (skaits uz 100 000 iedzīvotājiem)” izpildes un plānotās vērtības, un politikas un resursu vadības kartes Nr. 1 “Veselības aprūpe” izdevumu dinamika (milj. </w:t>
      </w:r>
      <w:r w:rsidRPr="001617E7">
        <w:rPr>
          <w:rFonts w:cs="Times New Roman"/>
          <w:b/>
          <w:bCs/>
          <w:i/>
          <w:iCs/>
          <w:sz w:val="22"/>
          <w:lang w:val="lv-LV"/>
        </w:rPr>
        <w:t>euro</w:t>
      </w:r>
      <w:r w:rsidRPr="001617E7">
        <w:rPr>
          <w:rFonts w:cs="Times New Roman"/>
          <w:b/>
          <w:bCs/>
          <w:sz w:val="22"/>
          <w:lang w:val="lv-LV"/>
        </w:rPr>
        <w:t>)</w:t>
      </w:r>
    </w:p>
    <w:p w14:paraId="7F04ADAA" w14:textId="77777777" w:rsidR="001617E7" w:rsidRPr="001617E7" w:rsidRDefault="001617E7" w:rsidP="001617E7">
      <w:pPr>
        <w:spacing w:after="200" w:line="276" w:lineRule="auto"/>
        <w:jc w:val="left"/>
        <w:rPr>
          <w:rFonts w:cs="Times New Roman"/>
          <w:szCs w:val="24"/>
          <w:lang w:val="lv-LV"/>
        </w:rPr>
      </w:pPr>
      <w:r w:rsidRPr="001617E7">
        <w:rPr>
          <w:rFonts w:cs="Times New Roman"/>
          <w:noProof/>
          <w:szCs w:val="24"/>
          <w:lang w:val="lv-LV" w:eastAsia="lv-LV"/>
        </w:rPr>
        <w:drawing>
          <wp:inline distT="0" distB="0" distL="0" distR="0" wp14:anchorId="29088F60" wp14:editId="5C9A65F5">
            <wp:extent cx="5760085" cy="2714625"/>
            <wp:effectExtent l="0" t="0" r="12065" b="9525"/>
            <wp:docPr id="48" name="Chart 48">
              <a:extLst xmlns:a="http://schemas.openxmlformats.org/drawingml/2006/main">
                <a:ext uri="{FF2B5EF4-FFF2-40B4-BE49-F238E27FC236}">
                  <a16:creationId xmlns:a16="http://schemas.microsoft.com/office/drawing/2014/main" id="{3BAB729D-5885-49ED-94C7-4B661ED9B5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18741CD" w14:textId="543D064F" w:rsidR="001617E7" w:rsidRPr="001617E7" w:rsidRDefault="001617E7" w:rsidP="001617E7">
      <w:pPr>
        <w:ind w:firstLine="720"/>
        <w:rPr>
          <w:rFonts w:cs="Times New Roman"/>
          <w:szCs w:val="24"/>
          <w:lang w:val="lv-LV"/>
        </w:rPr>
      </w:pPr>
      <w:r w:rsidRPr="001617E7">
        <w:rPr>
          <w:rFonts w:cs="Times New Roman"/>
          <w:szCs w:val="24"/>
          <w:lang w:val="lv-LV"/>
        </w:rPr>
        <w:t>Aplūkojot attēlu Nr. 2.4.36., var secināt, ka politikas rezultatīvā rādītāja “Jaunatklāts hronisks C hepatīts (skaits uz 100 000 iedzīvotājiem)” izpilde laika posmā no 2016. līdz 2020. gadam pakāpeniski samazinās, 2020. gadā nesasniedzot plānoto vērtību. Savukārt izdevumi politikas un resursu vadības kartē Nr. 1 “Veselības aprūpe” laika posmā no 2015. līdz 2023. gadam ir ievērojami pieauguši. VM neizpildi 2020. gadā skaidro ar C</w:t>
      </w:r>
      <w:r w:rsidR="00697671">
        <w:rPr>
          <w:rFonts w:cs="Times New Roman"/>
          <w:szCs w:val="24"/>
          <w:lang w:val="lv-LV"/>
        </w:rPr>
        <w:t>ovid</w:t>
      </w:r>
      <w:r w:rsidRPr="001617E7">
        <w:rPr>
          <w:rFonts w:cs="Times New Roman"/>
          <w:szCs w:val="24"/>
          <w:lang w:val="lv-LV"/>
        </w:rPr>
        <w:noBreakHyphen/>
        <w:t>19 pandēmiju, kuras ietekmē cilvēki atlika ārsta apmeklējumu, baidoties inficēties ar C</w:t>
      </w:r>
      <w:r w:rsidR="00697671">
        <w:rPr>
          <w:rFonts w:cs="Times New Roman"/>
          <w:szCs w:val="24"/>
          <w:lang w:val="lv-LV"/>
        </w:rPr>
        <w:t>ovid</w:t>
      </w:r>
      <w:r w:rsidRPr="001617E7">
        <w:rPr>
          <w:rFonts w:cs="Times New Roman"/>
          <w:szCs w:val="24"/>
          <w:lang w:val="lv-LV"/>
        </w:rPr>
        <w:t xml:space="preserve">-19. </w:t>
      </w:r>
    </w:p>
    <w:p w14:paraId="6CF436CD" w14:textId="77777777" w:rsidR="001617E7" w:rsidRPr="001617E7" w:rsidRDefault="001617E7" w:rsidP="001617E7">
      <w:pPr>
        <w:ind w:firstLine="720"/>
        <w:rPr>
          <w:rFonts w:cs="Times New Roman"/>
          <w:szCs w:val="24"/>
          <w:lang w:val="lv-LV"/>
        </w:rPr>
      </w:pPr>
    </w:p>
    <w:p w14:paraId="18AFFFB3" w14:textId="04BF0ADB" w:rsidR="001617E7" w:rsidRPr="001617E7" w:rsidRDefault="001617E7" w:rsidP="001617E7">
      <w:pPr>
        <w:rPr>
          <w:rFonts w:cs="Times New Roman"/>
          <w:b/>
          <w:bCs/>
          <w:szCs w:val="24"/>
          <w:lang w:val="lv-LV"/>
        </w:rPr>
      </w:pPr>
      <w:r w:rsidRPr="001617E7">
        <w:rPr>
          <w:rFonts w:cs="Times New Roman"/>
          <w:b/>
          <w:bCs/>
          <w:szCs w:val="24"/>
          <w:lang w:val="lv-LV"/>
        </w:rPr>
        <w:t>PKC piedāvājums iespējamām izmaiņām politikas un resursu vadības kartēs</w:t>
      </w:r>
    </w:p>
    <w:p w14:paraId="32F14647" w14:textId="441CE404" w:rsidR="001617E7" w:rsidRPr="001617E7" w:rsidRDefault="001617E7" w:rsidP="001617E7">
      <w:pPr>
        <w:ind w:firstLine="709"/>
        <w:rPr>
          <w:rFonts w:cs="Times New Roman"/>
          <w:szCs w:val="24"/>
          <w:lang w:val="lv-LV"/>
        </w:rPr>
      </w:pPr>
      <w:r w:rsidRPr="001617E7">
        <w:rPr>
          <w:rFonts w:cs="Times New Roman"/>
          <w:szCs w:val="24"/>
          <w:lang w:val="lv-LV"/>
        </w:rPr>
        <w:t xml:space="preserve">Ņemot vērā, ka ir sācies jauns ES fondu plānošanas periods 2021. – 2027. gadam, kas turpmākos septiņus gadus būs sinhronizēts ar jauno politikas plānošanas ciklu, būtiski ir aktualizēt ministriju politikas un resursu vadības kartes, lai sabiedrība vienkāršā un saprotamā veidā varētu uzzināt un izsekot, kā ministriju darbības jomas un to politikas mērķus ietekmēs papildu pieejamās investīcijas periodam līdz 2027. gadam kopsakarā ar to rīcībā esošo valsts budžeta bāzes finansējumu. </w:t>
      </w:r>
    </w:p>
    <w:p w14:paraId="6D21D9DF" w14:textId="77777777" w:rsidR="001617E7" w:rsidRPr="001617E7" w:rsidRDefault="001617E7" w:rsidP="001617E7">
      <w:pPr>
        <w:ind w:firstLine="709"/>
        <w:rPr>
          <w:rFonts w:cs="Times New Roman"/>
          <w:szCs w:val="24"/>
          <w:lang w:val="lv-LV"/>
        </w:rPr>
      </w:pPr>
      <w:r w:rsidRPr="001617E7">
        <w:rPr>
          <w:rFonts w:cs="Times New Roman"/>
          <w:szCs w:val="24"/>
          <w:lang w:val="lv-LV"/>
        </w:rPr>
        <w:t>Lai sekmētu iepriekš minēto, PKC izstrādāja savu redzējumu iespējamām izmaiņām ministriju politikas un resursu vadības kartēs, primāri attiecībā uz politikas rezultatīvajiem radītājiem. Par pamatu tika ņemti šādi kritēriji:</w:t>
      </w:r>
    </w:p>
    <w:p w14:paraId="46B0362C" w14:textId="77777777" w:rsidR="001617E7" w:rsidRPr="001617E7" w:rsidRDefault="001617E7" w:rsidP="0005194E">
      <w:pPr>
        <w:numPr>
          <w:ilvl w:val="0"/>
          <w:numId w:val="5"/>
        </w:numPr>
        <w:ind w:left="1134"/>
        <w:rPr>
          <w:rFonts w:cs="Times New Roman"/>
          <w:szCs w:val="24"/>
          <w:lang w:val="lv-LV"/>
        </w:rPr>
      </w:pPr>
      <w:r w:rsidRPr="001617E7">
        <w:rPr>
          <w:rFonts w:cs="Times New Roman"/>
          <w:szCs w:val="24"/>
          <w:lang w:val="lv-LV"/>
        </w:rPr>
        <w:t>ministriju budžetu ciešākas sasaistes ar politikas plānošanas sistēmu veidošana. Lai to nodrošinātu politikas rezultatīvie rādītāji tika atlasīti, primāri izmantojot Latvijas ilgtspējīgas attīstības stratēģiju līdz 2030. gadam, Nacionālo attīstības plānu 2021. – 2027. gadam un attiecīgo nozaru politikas plānošanas dokumentos iekļautos rezultatīvos rādītājus;</w:t>
      </w:r>
    </w:p>
    <w:p w14:paraId="711B210E" w14:textId="77777777" w:rsidR="001617E7" w:rsidRPr="001617E7" w:rsidRDefault="001617E7" w:rsidP="0005194E">
      <w:pPr>
        <w:numPr>
          <w:ilvl w:val="0"/>
          <w:numId w:val="5"/>
        </w:numPr>
        <w:ind w:left="1134"/>
        <w:rPr>
          <w:rFonts w:cs="Times New Roman"/>
          <w:szCs w:val="24"/>
          <w:lang w:val="lv-LV"/>
        </w:rPr>
      </w:pPr>
      <w:r w:rsidRPr="001617E7">
        <w:rPr>
          <w:rFonts w:cs="Times New Roman"/>
          <w:szCs w:val="24"/>
          <w:lang w:val="lv-LV"/>
        </w:rPr>
        <w:t>ministriju pārresoriska sasaiste caur kopīgiem politikas rezultatīvajiem rādītājiem. Ņemot vērā, ka atsevišķu politiku mērķu sasniegšanai ir nepieciešama vairāku ministriju iesaiste, šo ministriju politikas un resursu vadības kartēs tika piedāvāti dublējoši vai savstarpēji papildinoši politikas rezultatīvie rādītāji;</w:t>
      </w:r>
    </w:p>
    <w:p w14:paraId="38D00594" w14:textId="77777777" w:rsidR="001617E7" w:rsidRPr="001617E7" w:rsidRDefault="001617E7" w:rsidP="0005194E">
      <w:pPr>
        <w:numPr>
          <w:ilvl w:val="0"/>
          <w:numId w:val="5"/>
        </w:numPr>
        <w:ind w:left="1134" w:hanging="425"/>
        <w:rPr>
          <w:rFonts w:cs="Times New Roman"/>
          <w:szCs w:val="24"/>
          <w:lang w:val="lv-LV"/>
        </w:rPr>
      </w:pPr>
      <w:bookmarkStart w:id="28" w:name="_Hlk74221082"/>
      <w:r w:rsidRPr="001617E7">
        <w:rPr>
          <w:rFonts w:cs="Times New Roman"/>
          <w:szCs w:val="24"/>
          <w:lang w:val="lv-LV"/>
        </w:rPr>
        <w:lastRenderedPageBreak/>
        <w:t>optimāls</w:t>
      </w:r>
      <w:bookmarkEnd w:id="28"/>
      <w:r w:rsidRPr="001617E7">
        <w:rPr>
          <w:rFonts w:cs="Times New Roman"/>
          <w:szCs w:val="24"/>
          <w:lang w:val="lv-LV"/>
        </w:rPr>
        <w:t xml:space="preserve"> un saprotams ministriju politiku (jomu) un budžeta programmu nosegums. PKC piedāvājums ietvēra iespējami šauru politikas rezultatīvo radītāju kopumu, kas labākajā veidā raksturo lielākās un būtiskākās izdevumu pozīcijas atbilstoši definētajām ministriju darbības jomām (politikām).</w:t>
      </w:r>
    </w:p>
    <w:p w14:paraId="1F72E366" w14:textId="77777777" w:rsidR="001617E7" w:rsidRPr="001617E7" w:rsidRDefault="001617E7" w:rsidP="001617E7">
      <w:pPr>
        <w:ind w:firstLine="709"/>
        <w:rPr>
          <w:rFonts w:cs="Times New Roman"/>
          <w:szCs w:val="24"/>
          <w:lang w:val="lv-LV"/>
        </w:rPr>
      </w:pPr>
      <w:r w:rsidRPr="001617E7">
        <w:rPr>
          <w:rFonts w:cs="Times New Roman"/>
          <w:szCs w:val="24"/>
          <w:lang w:val="lv-LV"/>
        </w:rPr>
        <w:t>PKC sagatavotais piedāvājums iespējamām izmaiņām ministriju politikas un resursu vadības kartēs ir ietverts pielikumā Nr. 3.</w:t>
      </w:r>
    </w:p>
    <w:p w14:paraId="158A715C" w14:textId="77777777" w:rsidR="001617E7" w:rsidRPr="001617E7" w:rsidRDefault="001617E7" w:rsidP="001617E7">
      <w:pPr>
        <w:ind w:firstLine="709"/>
        <w:rPr>
          <w:rFonts w:cs="Times New Roman"/>
          <w:szCs w:val="24"/>
          <w:lang w:val="lv-LV"/>
        </w:rPr>
      </w:pPr>
      <w:r w:rsidRPr="001617E7">
        <w:rPr>
          <w:rFonts w:cs="Times New Roman"/>
          <w:szCs w:val="24"/>
          <w:lang w:val="lv-LV"/>
        </w:rPr>
        <w:t>Būtiskākie secinājumi attiecībā uz ministriju politikas un resursu vadības kartēm un tajās iekļautajiem politikas rezultatīvajiem rādītājiem:</w:t>
      </w:r>
    </w:p>
    <w:p w14:paraId="7B2B9DD3" w14:textId="77777777" w:rsidR="001617E7" w:rsidRPr="001617E7" w:rsidRDefault="001617E7" w:rsidP="0005194E">
      <w:pPr>
        <w:numPr>
          <w:ilvl w:val="0"/>
          <w:numId w:val="6"/>
        </w:numPr>
        <w:ind w:left="1134" w:hanging="425"/>
        <w:rPr>
          <w:rFonts w:cs="Times New Roman"/>
          <w:szCs w:val="24"/>
          <w:lang w:val="lv-LV"/>
        </w:rPr>
      </w:pPr>
      <w:r w:rsidRPr="001617E7">
        <w:rPr>
          <w:rFonts w:cs="Times New Roman"/>
          <w:szCs w:val="24"/>
          <w:lang w:val="lv-LV"/>
        </w:rPr>
        <w:t>ne visas ministriju darbības jomas ir ietvertas politikas plānošanas dokumentos, līdz ar to bija būtiski izmantot arī citus avotus politikas rezultatīvajiem rādītājiem, lai nodrošinātu optimālu ministriju budžeta un politiku nosegumu;</w:t>
      </w:r>
    </w:p>
    <w:p w14:paraId="2596A761" w14:textId="7CCC4AE8" w:rsidR="001617E7" w:rsidRDefault="001617E7" w:rsidP="0005194E">
      <w:pPr>
        <w:numPr>
          <w:ilvl w:val="0"/>
          <w:numId w:val="6"/>
        </w:numPr>
        <w:ind w:left="1134" w:hanging="425"/>
        <w:rPr>
          <w:rFonts w:cs="Times New Roman"/>
          <w:szCs w:val="24"/>
          <w:lang w:val="lv-LV"/>
        </w:rPr>
      </w:pPr>
      <w:r w:rsidRPr="001617E7">
        <w:rPr>
          <w:rFonts w:cs="Times New Roman"/>
          <w:szCs w:val="24"/>
          <w:lang w:val="lv-LV"/>
        </w:rPr>
        <w:t>ne visām ministriju darbības jomām pastāv politikas rezultatīvie rādītāji, kas raksturotu sabiedrības ieguvumu no veiktajām investīcijām attiecīgajā jomā, līdz ar to atsevišķas ministriju jomas ir palikušas neraksturotas ar politikas rezultatīvo rādītāju vai ir raksturotas ar darbības rezultatīvo rādītāju. Minētajā gadījumā ministrijām ir jārada kompozītindeksi vai jāiegūst dati un jārada politikas rezultatīvie rādītāji, lai spētu raksturot iznākumu no veiktajiem izdevumiem vai investīcijām.</w:t>
      </w:r>
    </w:p>
    <w:p w14:paraId="446297F3" w14:textId="77777777" w:rsidR="001617E7" w:rsidRPr="001617E7" w:rsidRDefault="001617E7" w:rsidP="001617E7">
      <w:pPr>
        <w:ind w:left="1134"/>
        <w:rPr>
          <w:rFonts w:cs="Times New Roman"/>
          <w:szCs w:val="24"/>
          <w:lang w:val="lv-LV"/>
        </w:rPr>
      </w:pPr>
    </w:p>
    <w:p w14:paraId="563B35A0" w14:textId="3A18F40E" w:rsidR="001617E7" w:rsidRPr="001617E7" w:rsidRDefault="001617E7" w:rsidP="001617E7">
      <w:pPr>
        <w:rPr>
          <w:rFonts w:cs="Times New Roman"/>
          <w:b/>
          <w:bCs/>
          <w:szCs w:val="24"/>
          <w:lang w:val="lv-LV"/>
        </w:rPr>
      </w:pPr>
      <w:r w:rsidRPr="001617E7">
        <w:rPr>
          <w:rFonts w:cs="Times New Roman"/>
          <w:b/>
          <w:bCs/>
          <w:szCs w:val="24"/>
          <w:lang w:val="lv-LV"/>
        </w:rPr>
        <w:t>Darbības rezultatīvo rādītāju nepilnību konstatējumi</w:t>
      </w:r>
    </w:p>
    <w:p w14:paraId="38850C0C" w14:textId="77777777" w:rsidR="001617E7" w:rsidRPr="001617E7" w:rsidRDefault="001617E7" w:rsidP="001617E7">
      <w:pPr>
        <w:ind w:firstLine="720"/>
        <w:rPr>
          <w:rFonts w:cs="Times New Roman"/>
          <w:szCs w:val="24"/>
          <w:lang w:val="lv-LV"/>
        </w:rPr>
      </w:pPr>
      <w:r w:rsidRPr="001617E7">
        <w:rPr>
          <w:rFonts w:cs="Times New Roman"/>
          <w:szCs w:val="24"/>
          <w:lang w:val="lv-LV"/>
        </w:rPr>
        <w:t>Laika posmā no 16. aprīļa līdz 4. jūnijam notika darba grupas par valsts budžeta izdevumu pārskatīšanu sanāksmes ar ministrijām, kuru ietvaros FM savā prezentācijā vērsa uzmanību uz vairākiem darbības rezultatīvajiem rādītājiem, kuriem konstatētas nepilnības darbības rezultatīvo rādītāju korelācijā ar piešķirto finansējumu, kā arī plānoto vērtību noteikšanā.</w:t>
      </w:r>
    </w:p>
    <w:p w14:paraId="632C08CA" w14:textId="77777777" w:rsidR="001617E7" w:rsidRPr="001617E7" w:rsidRDefault="001617E7" w:rsidP="001617E7">
      <w:pPr>
        <w:ind w:firstLine="720"/>
        <w:rPr>
          <w:rFonts w:cs="Times New Roman"/>
          <w:szCs w:val="24"/>
          <w:lang w:val="lv-LV"/>
        </w:rPr>
      </w:pPr>
      <w:r w:rsidRPr="001617E7">
        <w:rPr>
          <w:rFonts w:cs="Times New Roman"/>
          <w:szCs w:val="24"/>
          <w:lang w:val="lv-LV"/>
        </w:rPr>
        <w:t>Darba grupas par valsts budžeta izdevumu pārskatīšanu sanāksmju ar ministrijām laikā visas ministrijas tika aicinātas pārskatīt budžeta paskaidrojumos ietvertos rezultatīvos rādītājus, uzsverot, ka rezultatīvo rādītāju sakārtošana nav vienreizējs process un ietver jēgpilnu rezultatīvo rādītāju definēšanu un kontroli par sasniegtajiem rezultātiem. Vienlaikus tika norādīts, ka rezultatīvo rādītāju sakārtošanas procesam ir būtiska loma valsts budžeta procesu reformā, virzoties uz lielāku finanšu elastību, kā arī ministriju pastāvību un atbildību rezultātu sasniegšanā.</w:t>
      </w:r>
    </w:p>
    <w:p w14:paraId="50C338A0" w14:textId="07623819" w:rsidR="001617E7" w:rsidRDefault="001617E7" w:rsidP="001617E7">
      <w:pPr>
        <w:rPr>
          <w:rFonts w:cs="Times New Roman"/>
          <w:szCs w:val="24"/>
          <w:lang w:val="lv-LV"/>
        </w:rPr>
      </w:pPr>
      <w:r w:rsidRPr="001617E7">
        <w:rPr>
          <w:rFonts w:cs="Times New Roman"/>
          <w:szCs w:val="24"/>
          <w:lang w:val="lv-LV"/>
        </w:rPr>
        <w:tab/>
        <w:t>Piemēram, IeM pamatbudžeta pamatfunkciju apakšprogrammai 38.05.00 “Veselības aprūpe un fiziskā sagatavotība” definēts darbības rezultatīvais rādītājs – “Vidējie veselības aprūpes izdevumi uz vienu amatpersonu (</w:t>
      </w:r>
      <w:r w:rsidRPr="001617E7">
        <w:rPr>
          <w:rFonts w:cs="Times New Roman"/>
          <w:i/>
          <w:iCs/>
          <w:szCs w:val="24"/>
          <w:lang w:val="lv-LV"/>
        </w:rPr>
        <w:t>euro</w:t>
      </w:r>
      <w:r w:rsidRPr="001617E7">
        <w:rPr>
          <w:rFonts w:cs="Times New Roman"/>
          <w:szCs w:val="24"/>
          <w:lang w:val="lv-LV"/>
        </w:rPr>
        <w:t>)”, kura izpildes vērtības laika posmā no 2017. līdz 2020. gadam ir strauji pieaugušas, savukārt plānotās vērtības noteiktas ievērojami zemākas.</w:t>
      </w:r>
    </w:p>
    <w:p w14:paraId="5E0EBCB2" w14:textId="138E318D" w:rsidR="006B193E" w:rsidRDefault="006B193E" w:rsidP="001617E7">
      <w:pPr>
        <w:rPr>
          <w:rFonts w:cs="Times New Roman"/>
          <w:szCs w:val="24"/>
          <w:lang w:val="lv-LV"/>
        </w:rPr>
      </w:pPr>
    </w:p>
    <w:p w14:paraId="510FADE9" w14:textId="2299C88F" w:rsidR="006B193E" w:rsidRDefault="006B193E" w:rsidP="001617E7">
      <w:pPr>
        <w:rPr>
          <w:rFonts w:cs="Times New Roman"/>
          <w:szCs w:val="24"/>
          <w:lang w:val="lv-LV"/>
        </w:rPr>
      </w:pPr>
    </w:p>
    <w:p w14:paraId="00AFCF0C" w14:textId="77777777" w:rsidR="006B193E" w:rsidRPr="001617E7" w:rsidRDefault="006B193E" w:rsidP="001617E7">
      <w:pPr>
        <w:rPr>
          <w:rFonts w:cs="Times New Roman"/>
          <w:szCs w:val="24"/>
          <w:lang w:val="lv-LV"/>
        </w:rPr>
      </w:pPr>
    </w:p>
    <w:p w14:paraId="3B4EA7CF" w14:textId="77777777" w:rsidR="001617E7" w:rsidRPr="001617E7" w:rsidRDefault="001617E7" w:rsidP="001617E7">
      <w:pPr>
        <w:jc w:val="center"/>
        <w:rPr>
          <w:rFonts w:cs="Times New Roman"/>
          <w:b/>
          <w:bCs/>
          <w:sz w:val="22"/>
          <w:lang w:val="lv-LV"/>
        </w:rPr>
      </w:pPr>
      <w:r w:rsidRPr="001617E7">
        <w:rPr>
          <w:rFonts w:cs="Times New Roman"/>
          <w:b/>
          <w:bCs/>
          <w:i/>
          <w:iCs/>
          <w:sz w:val="22"/>
          <w:lang w:val="lv-LV"/>
        </w:rPr>
        <w:lastRenderedPageBreak/>
        <w:t>2.4.37. attēls</w:t>
      </w:r>
      <w:r w:rsidRPr="001617E7">
        <w:rPr>
          <w:rFonts w:cs="Times New Roman"/>
          <w:b/>
          <w:bCs/>
          <w:sz w:val="22"/>
          <w:lang w:val="lv-LV"/>
        </w:rPr>
        <w:t xml:space="preserve"> Darbības rezultatīvā rādītāja “Vidējie veselības aprūpes izdevumi uz vienu amatpersonu (</w:t>
      </w:r>
      <w:r w:rsidRPr="001617E7">
        <w:rPr>
          <w:rFonts w:cs="Times New Roman"/>
          <w:b/>
          <w:bCs/>
          <w:i/>
          <w:iCs/>
          <w:sz w:val="22"/>
          <w:lang w:val="lv-LV"/>
        </w:rPr>
        <w:t>euro</w:t>
      </w:r>
      <w:r w:rsidRPr="001617E7">
        <w:rPr>
          <w:rFonts w:cs="Times New Roman"/>
          <w:b/>
          <w:bCs/>
          <w:sz w:val="22"/>
          <w:lang w:val="lv-LV"/>
        </w:rPr>
        <w:t xml:space="preserve">)” izpildes un plānotās vērtības, un apakšprogrammas 38.05.00 “Veselības aprūpe un fiziskā sagatavotība” izdevumu dinamika (milj. </w:t>
      </w:r>
      <w:r w:rsidRPr="001617E7">
        <w:rPr>
          <w:rFonts w:cs="Times New Roman"/>
          <w:b/>
          <w:bCs/>
          <w:i/>
          <w:iCs/>
          <w:sz w:val="22"/>
          <w:lang w:val="lv-LV"/>
        </w:rPr>
        <w:t>euro</w:t>
      </w:r>
      <w:r w:rsidRPr="001617E7">
        <w:rPr>
          <w:rFonts w:cs="Times New Roman"/>
          <w:b/>
          <w:bCs/>
          <w:sz w:val="22"/>
          <w:lang w:val="lv-LV"/>
        </w:rPr>
        <w:t>)</w:t>
      </w:r>
    </w:p>
    <w:p w14:paraId="5388720F"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33D6CF7D" wp14:editId="52E2BF42">
            <wp:extent cx="5760085" cy="2619375"/>
            <wp:effectExtent l="0" t="0" r="12065" b="9525"/>
            <wp:docPr id="7" name="Chart 7">
              <a:extLst xmlns:a="http://schemas.openxmlformats.org/drawingml/2006/main">
                <a:ext uri="{FF2B5EF4-FFF2-40B4-BE49-F238E27FC236}">
                  <a16:creationId xmlns:a16="http://schemas.microsoft.com/office/drawing/2014/main" id="{A1A17240-0E2C-43E0-B0C1-49E6AA2D8C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48C9CB1" w14:textId="77777777" w:rsidR="001617E7" w:rsidRPr="001617E7" w:rsidRDefault="001617E7" w:rsidP="001617E7">
      <w:pPr>
        <w:ind w:firstLine="720"/>
        <w:rPr>
          <w:rFonts w:cs="Times New Roman"/>
          <w:szCs w:val="24"/>
          <w:lang w:val="lv-LV"/>
        </w:rPr>
      </w:pPr>
      <w:r w:rsidRPr="001617E7">
        <w:rPr>
          <w:rFonts w:cs="Times New Roman"/>
          <w:szCs w:val="24"/>
          <w:lang w:val="lv-LV"/>
        </w:rPr>
        <w:t>Aplūkojot attēlu Nr. 2.4.37., var secināt, ka arī turpmākajiem gadiem plānotās vērtības netiek palielinātas. Ņemot vērā arī, ka laika posmā no 2015. līdz 2023. gadam apakšprogrammas 38.05.00 “Veselības aprūpe un fiziskā sagatavotība” izdevumi būtiski pieaug, FM ieskatā būtu nepieciešams turpmākajiem gadiem pietuvināt plānotās vērtības reālajiem izpildes datiem, sniedzot sabiedrībai pilnīgu piešķirtā finansējuma izlietojuma atspoguļojumu.</w:t>
      </w:r>
    </w:p>
    <w:p w14:paraId="324154C6" w14:textId="26916E61" w:rsidR="00713439" w:rsidRPr="006B193E" w:rsidRDefault="001617E7" w:rsidP="006B193E">
      <w:pPr>
        <w:ind w:firstLine="720"/>
        <w:rPr>
          <w:rFonts w:cs="Times New Roman"/>
          <w:szCs w:val="24"/>
          <w:lang w:val="lv-LV"/>
        </w:rPr>
      </w:pPr>
      <w:r w:rsidRPr="001617E7">
        <w:rPr>
          <w:rFonts w:cs="Times New Roman"/>
          <w:szCs w:val="24"/>
          <w:lang w:val="lv-LV"/>
        </w:rPr>
        <w:t>Tāpat spilgts piemērs ir arī TM pamatbudžeta pamatfunkciju apakšprogrammai 03.04.00 “Tiesu ekspertīžu veikšana” definētais darbības rezultatīvais rādītājs – “Veikto ekspertīžu skaits”, kura izpildes vērtības laika posmā no 2016. līdz 2020. gadam ir strauji samazinājušās, savukārt plānotās vērtības ir palikušas nemainīgas.</w:t>
      </w:r>
    </w:p>
    <w:p w14:paraId="2F89D0C9" w14:textId="6BDDACF6" w:rsidR="001617E7" w:rsidRPr="001617E7" w:rsidRDefault="001617E7" w:rsidP="001617E7">
      <w:pPr>
        <w:jc w:val="center"/>
        <w:rPr>
          <w:rFonts w:cs="Times New Roman"/>
          <w:b/>
          <w:bCs/>
          <w:sz w:val="22"/>
          <w:lang w:val="lv-LV"/>
        </w:rPr>
      </w:pPr>
      <w:r w:rsidRPr="001617E7">
        <w:rPr>
          <w:rFonts w:cs="Times New Roman"/>
          <w:b/>
          <w:bCs/>
          <w:i/>
          <w:iCs/>
          <w:sz w:val="22"/>
          <w:lang w:val="lv-LV"/>
        </w:rPr>
        <w:t>2.4.38. attēls</w:t>
      </w:r>
      <w:r w:rsidRPr="001617E7">
        <w:rPr>
          <w:rFonts w:cs="Times New Roman"/>
          <w:b/>
          <w:bCs/>
          <w:sz w:val="22"/>
          <w:lang w:val="lv-LV"/>
        </w:rPr>
        <w:t xml:space="preserve"> Darbības rezultatīvā rādītāja “Veikto ekspertīžu skaits” izpildes un plānotās vērtības, un apakšprogrammas 03.04.00 “Tiesu ekspertīžu veikšana” izdevumu dinamika (milj. </w:t>
      </w:r>
      <w:r w:rsidRPr="001617E7">
        <w:rPr>
          <w:rFonts w:cs="Times New Roman"/>
          <w:b/>
          <w:bCs/>
          <w:i/>
          <w:iCs/>
          <w:sz w:val="22"/>
          <w:lang w:val="lv-LV"/>
        </w:rPr>
        <w:t>euro</w:t>
      </w:r>
      <w:r w:rsidRPr="001617E7">
        <w:rPr>
          <w:rFonts w:cs="Times New Roman"/>
          <w:b/>
          <w:bCs/>
          <w:sz w:val="22"/>
          <w:lang w:val="lv-LV"/>
        </w:rPr>
        <w:t>)</w:t>
      </w:r>
    </w:p>
    <w:p w14:paraId="551B7633"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5FD02070" wp14:editId="4E79643E">
            <wp:extent cx="5760085" cy="2781300"/>
            <wp:effectExtent l="0" t="0" r="12065" b="0"/>
            <wp:docPr id="39" name="Chart 39">
              <a:extLst xmlns:a="http://schemas.openxmlformats.org/drawingml/2006/main">
                <a:ext uri="{FF2B5EF4-FFF2-40B4-BE49-F238E27FC236}">
                  <a16:creationId xmlns:a16="http://schemas.microsoft.com/office/drawing/2014/main" id="{FA2ECCBC-8332-4BA4-BBF9-5B0DE2D36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99271CC" w14:textId="77777777" w:rsidR="001617E7" w:rsidRPr="001617E7" w:rsidRDefault="001617E7" w:rsidP="001617E7">
      <w:pPr>
        <w:ind w:firstLine="720"/>
        <w:rPr>
          <w:rFonts w:cs="Times New Roman"/>
          <w:szCs w:val="24"/>
          <w:lang w:val="lv-LV"/>
        </w:rPr>
      </w:pPr>
      <w:r w:rsidRPr="001617E7">
        <w:rPr>
          <w:rFonts w:cs="Times New Roman"/>
          <w:szCs w:val="24"/>
          <w:lang w:val="lv-LV"/>
        </w:rPr>
        <w:lastRenderedPageBreak/>
        <w:t>Aplūkojot attēlu Nr. 2.4.38., var secināt, ka arī turpmākajiem gadiem plānotās vērtības ir saglabātas nemainīgi augstas. Ņemot vērā arī, ka, sākot no 2020. gada, apakšprogrammas 03.04.00 “Tiesu ekspertīžu veikšana” izdevumi ir ievērojami pieauguši, FM ieskatā TM būtu nepieciešams izvērtēt, vai darbības rezultatīvais rādītājs precīzi atspoguļo piešķirtā finansējuma izlietojumu.</w:t>
      </w:r>
    </w:p>
    <w:p w14:paraId="15D77B15" w14:textId="5F970003" w:rsidR="00713439" w:rsidRPr="006B193E" w:rsidRDefault="001617E7" w:rsidP="006B193E">
      <w:pPr>
        <w:ind w:firstLine="720"/>
        <w:rPr>
          <w:rFonts w:cs="Times New Roman"/>
          <w:szCs w:val="24"/>
          <w:lang w:val="lv-LV"/>
        </w:rPr>
      </w:pPr>
      <w:r w:rsidRPr="001617E7">
        <w:rPr>
          <w:rFonts w:cs="Times New Roman"/>
          <w:szCs w:val="24"/>
          <w:lang w:val="lv-LV"/>
        </w:rPr>
        <w:t>Līdzīgs piemērs ir ZM pamatbudžeta pamatfunkciju apakšprogrammai 21.02.00 “Sabiedriskā finansējuma administrēšana un valsts uzraudzība lauksaimniecībā” definētais darbības rezultatīvais rādītājs – “Lauksaimniecības un mežsaimniecības traktortehnikas reģistrācijas (skaits tūkst.)”, kura izpildes vērtības laika posmā no 2017. līdz 2020. gadam ir būtiski samazinājušās, savukārt plānotās vērtības ir pieaugušas 2017. un 2018. gadā, vienlaikus, sākot no 2018. gada, ir sagl</w:t>
      </w:r>
      <w:r w:rsidR="006B193E">
        <w:rPr>
          <w:rFonts w:cs="Times New Roman"/>
          <w:szCs w:val="24"/>
          <w:lang w:val="lv-LV"/>
        </w:rPr>
        <w:t>abātas nemainīgi augstā līmenī.</w:t>
      </w:r>
    </w:p>
    <w:p w14:paraId="66EE136D" w14:textId="415931C7" w:rsidR="001617E7" w:rsidRPr="001617E7" w:rsidRDefault="001617E7" w:rsidP="001617E7">
      <w:pPr>
        <w:jc w:val="center"/>
        <w:rPr>
          <w:rFonts w:cs="Times New Roman"/>
          <w:b/>
          <w:bCs/>
          <w:sz w:val="22"/>
          <w:lang w:val="lv-LV"/>
        </w:rPr>
      </w:pPr>
      <w:r w:rsidRPr="001617E7">
        <w:rPr>
          <w:rFonts w:cs="Times New Roman"/>
          <w:b/>
          <w:bCs/>
          <w:i/>
          <w:iCs/>
          <w:sz w:val="22"/>
          <w:lang w:val="lv-LV"/>
        </w:rPr>
        <w:t>2.4.39. attēls</w:t>
      </w:r>
      <w:r w:rsidRPr="001617E7">
        <w:rPr>
          <w:rFonts w:cs="Times New Roman"/>
          <w:b/>
          <w:bCs/>
          <w:sz w:val="22"/>
          <w:lang w:val="lv-LV"/>
        </w:rPr>
        <w:t xml:space="preserve"> Darbības rezultatīvā rādītāja “Lauksaimniecības un mežsaimniecības traktortehnikas reģistrācijas (skaits tūkst.)” izpildes un plānotās vērtības, un apakšprogrammas 21.02.00 “Sabiedriskā finansējuma administrēšana un valsts uzraudzība lauksaimniecībā” izdevumu dinamika (milj. </w:t>
      </w:r>
      <w:r w:rsidRPr="001617E7">
        <w:rPr>
          <w:rFonts w:cs="Times New Roman"/>
          <w:b/>
          <w:bCs/>
          <w:i/>
          <w:iCs/>
          <w:sz w:val="22"/>
          <w:lang w:val="lv-LV"/>
        </w:rPr>
        <w:t>euro</w:t>
      </w:r>
      <w:r w:rsidRPr="001617E7">
        <w:rPr>
          <w:rFonts w:cs="Times New Roman"/>
          <w:b/>
          <w:bCs/>
          <w:sz w:val="22"/>
          <w:lang w:val="lv-LV"/>
        </w:rPr>
        <w:t>)</w:t>
      </w:r>
    </w:p>
    <w:p w14:paraId="566C24F9" w14:textId="77777777" w:rsidR="001617E7" w:rsidRPr="001617E7" w:rsidRDefault="001617E7" w:rsidP="001617E7">
      <w:pPr>
        <w:rPr>
          <w:rFonts w:cs="Times New Roman"/>
          <w:szCs w:val="24"/>
          <w:lang w:val="lv-LV"/>
        </w:rPr>
      </w:pPr>
      <w:r w:rsidRPr="001617E7">
        <w:rPr>
          <w:rFonts w:cs="Times New Roman"/>
          <w:noProof/>
          <w:szCs w:val="24"/>
          <w:lang w:val="lv-LV" w:eastAsia="lv-LV"/>
        </w:rPr>
        <w:drawing>
          <wp:inline distT="0" distB="0" distL="0" distR="0" wp14:anchorId="22078C85" wp14:editId="16A696AC">
            <wp:extent cx="5760085" cy="2609850"/>
            <wp:effectExtent l="0" t="0" r="12065" b="0"/>
            <wp:docPr id="47" name="Chart 47">
              <a:extLst xmlns:a="http://schemas.openxmlformats.org/drawingml/2006/main">
                <a:ext uri="{FF2B5EF4-FFF2-40B4-BE49-F238E27FC236}">
                  <a16:creationId xmlns:a16="http://schemas.microsoft.com/office/drawing/2014/main" id="{0209EC7D-5707-4300-BD6C-96E5995FD0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DD33F46" w14:textId="77777777" w:rsidR="001617E7" w:rsidRPr="001617E7" w:rsidRDefault="001617E7" w:rsidP="001617E7">
      <w:pPr>
        <w:ind w:firstLine="720"/>
        <w:rPr>
          <w:rFonts w:cs="Times New Roman"/>
          <w:szCs w:val="24"/>
          <w:lang w:val="lv-LV"/>
        </w:rPr>
      </w:pPr>
      <w:r w:rsidRPr="001617E7">
        <w:rPr>
          <w:rFonts w:cs="Times New Roman"/>
          <w:szCs w:val="24"/>
          <w:lang w:val="lv-LV"/>
        </w:rPr>
        <w:t xml:space="preserve">Aplūkojot attēlu Nr. 2.4.39., var secināt, ka, sākot no 2017. gada, arī apakšprogrammas </w:t>
      </w:r>
      <w:r w:rsidRPr="001617E7">
        <w:rPr>
          <w:rFonts w:cs="Times New Roman"/>
          <w:bCs/>
          <w:lang w:val="lv-LV"/>
        </w:rPr>
        <w:t>21.02.00 “Sabiedriskā finansējuma administrēšana un valsts uzraudzība lauksaimniecībā”</w:t>
      </w:r>
      <w:r w:rsidRPr="001617E7">
        <w:rPr>
          <w:rFonts w:cs="Times New Roman"/>
          <w:szCs w:val="24"/>
          <w:lang w:val="lv-LV"/>
        </w:rPr>
        <w:t xml:space="preserve"> izdevumi ir pakāpeniski pieauguši, FM ieskatā ZM būtu nepieciešams izvērtēt iespēju pietuvināt plānotās vērtības reālajiem izpildes datiem, sniedzot sabiedrībai pilnīgu piešķirtā finansējuma izlietojuma atspoguļojumu.</w:t>
      </w:r>
    </w:p>
    <w:p w14:paraId="7C2F1999" w14:textId="64880C34" w:rsidR="001617E7" w:rsidRDefault="001617E7" w:rsidP="001617E7">
      <w:pPr>
        <w:ind w:firstLine="720"/>
        <w:rPr>
          <w:rFonts w:cs="Times New Roman"/>
          <w:szCs w:val="24"/>
          <w:lang w:val="lv-LV"/>
        </w:rPr>
      </w:pPr>
      <w:r w:rsidRPr="001617E7">
        <w:rPr>
          <w:rFonts w:cs="Times New Roman"/>
          <w:szCs w:val="24"/>
          <w:lang w:val="lv-LV"/>
        </w:rPr>
        <w:t>Vienlaikus padziļināta darbības rezultatīvo rādītāju analīze tika veikta LM pamatbudžeta pamatfunkciju apakšprogrammai 05.37.00 “Sociālās integrācijas valsts aģentūras administrēšana un profesionālās un sociālās rehabilitācijas pakalpojumu nodrošināšana</w:t>
      </w:r>
      <w:r w:rsidR="00CA5079">
        <w:rPr>
          <w:rFonts w:cs="Times New Roman"/>
          <w:szCs w:val="24"/>
          <w:lang w:val="lv-LV"/>
        </w:rPr>
        <w:t>”</w:t>
      </w:r>
      <w:r w:rsidRPr="001617E7">
        <w:rPr>
          <w:rFonts w:cs="Times New Roman"/>
          <w:szCs w:val="24"/>
          <w:lang w:val="lv-LV"/>
        </w:rPr>
        <w:t>, kuras ietvaros secināts, ka apakšprogrammai ir 14 darbības rezultatīvie rādītāji, no kuriem laika posmā no 2015. līdz 2019. gadam vairāk nekā 50% vismaz divos vai vairāk gados nav sasniegtas plānotās vērtības. Pamatojoties uz darba grupas par valsts budžeta izdevumu pārskatīšanu sanāksmes ar LM ietvaros FM prezentēto, LM iesniedza izvērtējumu par katru darbības rezultatīvo rādītāju, tostarp skaidrojumu par darbības rezultatīvo rādītāju neizpildes iemesliem, vienlaikus norādot, ka atsevišķi darbības rezultatīvos rādītāji tiks aizstāti ar atbilstošākiem.</w:t>
      </w:r>
    </w:p>
    <w:p w14:paraId="050F3864" w14:textId="77777777" w:rsidR="006B193E" w:rsidRPr="001617E7" w:rsidRDefault="006B193E" w:rsidP="001617E7">
      <w:pPr>
        <w:ind w:firstLine="720"/>
        <w:rPr>
          <w:rFonts w:cs="Times New Roman"/>
          <w:szCs w:val="24"/>
          <w:lang w:val="lv-LV"/>
        </w:rPr>
      </w:pPr>
    </w:p>
    <w:p w14:paraId="377CE5DF" w14:textId="6CF757CA" w:rsidR="001617E7" w:rsidRPr="001617E7" w:rsidRDefault="001617E7" w:rsidP="001617E7">
      <w:pPr>
        <w:rPr>
          <w:rFonts w:cs="Times New Roman"/>
          <w:b/>
          <w:bCs/>
          <w:szCs w:val="24"/>
          <w:lang w:val="lv-LV"/>
        </w:rPr>
      </w:pPr>
      <w:r w:rsidRPr="001617E7">
        <w:rPr>
          <w:rFonts w:cs="Times New Roman"/>
          <w:b/>
          <w:bCs/>
          <w:szCs w:val="24"/>
          <w:lang w:val="lv-LV"/>
        </w:rPr>
        <w:lastRenderedPageBreak/>
        <w:t>Rezultatīvo rādītāju metodiskie norādījumi</w:t>
      </w:r>
    </w:p>
    <w:p w14:paraId="4D8B6E48" w14:textId="77777777" w:rsidR="001617E7" w:rsidRPr="001617E7" w:rsidRDefault="001617E7" w:rsidP="001617E7">
      <w:pPr>
        <w:ind w:firstLine="720"/>
        <w:rPr>
          <w:rFonts w:cs="Times New Roman"/>
          <w:szCs w:val="24"/>
          <w:lang w:val="lv-LV"/>
        </w:rPr>
      </w:pPr>
      <w:r w:rsidRPr="001617E7">
        <w:rPr>
          <w:rFonts w:cs="Times New Roman"/>
          <w:szCs w:val="24"/>
          <w:lang w:val="lv-LV"/>
        </w:rPr>
        <w:t>Darba grupas par valsts budžeta izdevumu pārskatīšanu sanāksmju ar ministrijām laikā ministrijas tika informētas par atsevišķiem rezultatīvo rādītāju metodiskajiem norādījumiem, kurus aicinātas ievērot, sagatavojot 2022. gada budžeta paskaidrojumus. Metodisko norādījumu ievērošana ir būtiska, lai rezultatīvie rādītāji būtu viegli uztverami ikvienam nodokļu maksātājam un atspoguļotu piešķirtā finansējuma izlietojumu, kā arī lai, ieviešot jauno budžeta plānošanas sistēmu, būtu iespējams veikt automatizētu rezultatīvo rādītāju apkopošanu un analīzi.</w:t>
      </w:r>
    </w:p>
    <w:p w14:paraId="7912AAED" w14:textId="77777777" w:rsidR="001617E7" w:rsidRPr="00EF7813" w:rsidRDefault="001617E7" w:rsidP="00EF7813">
      <w:pPr>
        <w:rPr>
          <w:rFonts w:cs="Times New Roman"/>
          <w:szCs w:val="24"/>
          <w:u w:val="single"/>
          <w:lang w:val="lv-LV"/>
        </w:rPr>
      </w:pPr>
      <w:r w:rsidRPr="00EF7813">
        <w:rPr>
          <w:rFonts w:cs="Times New Roman"/>
          <w:szCs w:val="24"/>
          <w:u w:val="single"/>
          <w:lang w:val="lv-LV"/>
        </w:rPr>
        <w:t>Ministrijas aicinātas ievērot šādus metodiskos norādījumus:</w:t>
      </w:r>
    </w:p>
    <w:p w14:paraId="5C344014" w14:textId="77777777" w:rsidR="001617E7" w:rsidRPr="001617E7" w:rsidRDefault="001617E7" w:rsidP="0005194E">
      <w:pPr>
        <w:numPr>
          <w:ilvl w:val="0"/>
          <w:numId w:val="7"/>
        </w:numPr>
        <w:ind w:left="709" w:hanging="425"/>
        <w:rPr>
          <w:rFonts w:cs="Times New Roman"/>
          <w:szCs w:val="24"/>
          <w:lang w:val="lv-LV"/>
        </w:rPr>
      </w:pPr>
      <w:r w:rsidRPr="001617E7">
        <w:rPr>
          <w:rFonts w:cs="Times New Roman"/>
          <w:szCs w:val="24"/>
          <w:lang w:val="lv-LV"/>
        </w:rPr>
        <w:t>rezultatīvajiem rādītājiem jābūt skaidri definētiem, neiekļaujot tajos darbības aprakstu vai rezultātu. Rezultatīvo rādītāju izveidē nepieciešams ievērot pēctecības principu un izmantot iepriekš plānotos rezultatīvos rādītājus, ciktāl tas ir iespējams;</w:t>
      </w:r>
    </w:p>
    <w:p w14:paraId="5B8B3461" w14:textId="77777777" w:rsidR="001617E7" w:rsidRPr="001617E7" w:rsidRDefault="001617E7" w:rsidP="0005194E">
      <w:pPr>
        <w:numPr>
          <w:ilvl w:val="0"/>
          <w:numId w:val="7"/>
        </w:numPr>
        <w:ind w:left="709" w:hanging="426"/>
        <w:rPr>
          <w:rFonts w:cs="Times New Roman"/>
          <w:szCs w:val="24"/>
          <w:lang w:val="lv-LV"/>
        </w:rPr>
      </w:pPr>
      <w:r w:rsidRPr="001617E7">
        <w:rPr>
          <w:rFonts w:cs="Times New Roman"/>
          <w:szCs w:val="24"/>
          <w:lang w:val="lv-LV"/>
        </w:rPr>
        <w:t xml:space="preserve">visus rezultatīvos rādītājus veido pēc vienota principa – sākumā ir rezultatīvā rādītāja nosaukums un aiz tā iekavās mērvienības apzīmējums – </w:t>
      </w:r>
      <w:r w:rsidRPr="001617E7">
        <w:rPr>
          <w:rFonts w:cs="Times New Roman"/>
          <w:i/>
          <w:iCs/>
          <w:szCs w:val="24"/>
          <w:lang w:val="lv-LV"/>
        </w:rPr>
        <w:t>Rezultatīvā rādītāja nosaukums (mērvienība)</w:t>
      </w:r>
      <w:r w:rsidRPr="001617E7">
        <w:rPr>
          <w:rFonts w:cs="Times New Roman"/>
          <w:szCs w:val="24"/>
          <w:lang w:val="lv-LV"/>
        </w:rPr>
        <w:t>;</w:t>
      </w:r>
    </w:p>
    <w:p w14:paraId="06654369" w14:textId="77777777" w:rsidR="001617E7" w:rsidRPr="00EF7813" w:rsidRDefault="001617E7" w:rsidP="00EF7813">
      <w:pPr>
        <w:ind w:firstLine="709"/>
        <w:rPr>
          <w:rFonts w:cs="Times New Roman"/>
          <w:i/>
          <w:szCs w:val="24"/>
          <w:lang w:val="lv-LV"/>
        </w:rPr>
      </w:pPr>
      <w:r w:rsidRPr="00EF7813">
        <w:rPr>
          <w:rFonts w:cs="Times New Roman"/>
          <w:i/>
          <w:szCs w:val="24"/>
          <w:lang w:val="lv-LV"/>
        </w:rPr>
        <w:t>Piemēri no 2021. gada budžeta paskaidrojumiem:</w:t>
      </w:r>
    </w:p>
    <w:p w14:paraId="75D7C245" w14:textId="77777777" w:rsidR="001617E7" w:rsidRPr="001617E7" w:rsidRDefault="001617E7" w:rsidP="0005194E">
      <w:pPr>
        <w:numPr>
          <w:ilvl w:val="0"/>
          <w:numId w:val="8"/>
        </w:numPr>
        <w:ind w:left="1134" w:hanging="425"/>
        <w:rPr>
          <w:rFonts w:cs="Times New Roman"/>
          <w:szCs w:val="24"/>
          <w:lang w:val="lv-LV"/>
        </w:rPr>
      </w:pPr>
      <w:r w:rsidRPr="001617E7">
        <w:rPr>
          <w:rFonts w:cs="Times New Roman"/>
          <w:szCs w:val="24"/>
          <w:lang w:val="lv-LV"/>
        </w:rPr>
        <w:t>NVO uz 1000 iedzīvotājiem Latvijā (skaits);</w:t>
      </w:r>
    </w:p>
    <w:p w14:paraId="7144DAEF" w14:textId="77777777" w:rsidR="001617E7" w:rsidRPr="001617E7" w:rsidRDefault="001617E7" w:rsidP="0005194E">
      <w:pPr>
        <w:numPr>
          <w:ilvl w:val="0"/>
          <w:numId w:val="8"/>
        </w:numPr>
        <w:ind w:left="1134" w:hanging="425"/>
        <w:rPr>
          <w:rFonts w:cs="Times New Roman"/>
          <w:szCs w:val="24"/>
          <w:lang w:val="lv-LV"/>
        </w:rPr>
      </w:pPr>
      <w:r w:rsidRPr="001617E7">
        <w:rPr>
          <w:rFonts w:cs="Times New Roman"/>
          <w:szCs w:val="24"/>
          <w:lang w:val="lv-LV"/>
        </w:rPr>
        <w:t>Uzņēmumu statistikas pārskatu vidējais atbildētības līmenis (%);</w:t>
      </w:r>
    </w:p>
    <w:p w14:paraId="798FE50D" w14:textId="77777777" w:rsidR="001617E7" w:rsidRPr="001617E7" w:rsidRDefault="001617E7" w:rsidP="0005194E">
      <w:pPr>
        <w:numPr>
          <w:ilvl w:val="0"/>
          <w:numId w:val="8"/>
        </w:numPr>
        <w:ind w:left="1134" w:hanging="425"/>
        <w:rPr>
          <w:rFonts w:cs="Times New Roman"/>
          <w:szCs w:val="24"/>
          <w:lang w:val="lv-LV"/>
        </w:rPr>
      </w:pPr>
      <w:r w:rsidRPr="001617E7">
        <w:rPr>
          <w:rFonts w:cs="Times New Roman"/>
          <w:szCs w:val="24"/>
          <w:lang w:val="lv-LV"/>
        </w:rPr>
        <w:t>Valstī reģistrēti noziedzīgi nodarījumi (skaits).</w:t>
      </w:r>
    </w:p>
    <w:p w14:paraId="20532906" w14:textId="77777777" w:rsidR="001617E7" w:rsidRPr="001617E7" w:rsidRDefault="001617E7" w:rsidP="0005194E">
      <w:pPr>
        <w:numPr>
          <w:ilvl w:val="0"/>
          <w:numId w:val="7"/>
        </w:numPr>
        <w:ind w:left="709"/>
        <w:rPr>
          <w:rFonts w:cs="Times New Roman"/>
          <w:szCs w:val="24"/>
          <w:lang w:val="lv-LV"/>
        </w:rPr>
      </w:pPr>
      <w:r w:rsidRPr="001617E7">
        <w:rPr>
          <w:rFonts w:cs="Times New Roman"/>
          <w:szCs w:val="24"/>
          <w:lang w:val="lv-LV"/>
        </w:rPr>
        <w:t xml:space="preserve">viena rezultatīvā rādītāja ietvaros norāda tikai </w:t>
      </w:r>
      <w:r w:rsidRPr="001617E7">
        <w:rPr>
          <w:rFonts w:cs="Times New Roman"/>
          <w:szCs w:val="24"/>
          <w:u w:val="single"/>
          <w:lang w:val="lv-LV"/>
        </w:rPr>
        <w:t>vienu</w:t>
      </w:r>
      <w:r w:rsidRPr="001617E7">
        <w:rPr>
          <w:rFonts w:cs="Times New Roman"/>
          <w:szCs w:val="24"/>
          <w:lang w:val="lv-LV"/>
        </w:rPr>
        <w:t xml:space="preserve"> skaitlisko vērtību. Nav pieļaujami gadījumi, kad vairākas vērtības tiek atdalītas ar slīpsvītru vai kā citādi. Risinājums – atstāt tikai vienu skaitlisko vērtību vai sadalīt rādītāju divos atsevišķos rādītājos;</w:t>
      </w:r>
    </w:p>
    <w:p w14:paraId="3159840D" w14:textId="77777777" w:rsidR="001617E7" w:rsidRPr="00EF7813" w:rsidRDefault="001617E7" w:rsidP="00EF7813">
      <w:pPr>
        <w:ind w:firstLine="709"/>
        <w:rPr>
          <w:rFonts w:cs="Times New Roman"/>
          <w:i/>
          <w:szCs w:val="24"/>
          <w:lang w:val="lv-LV"/>
        </w:rPr>
      </w:pPr>
      <w:r w:rsidRPr="00EF7813">
        <w:rPr>
          <w:rFonts w:cs="Times New Roman"/>
          <w:i/>
          <w:szCs w:val="24"/>
          <w:lang w:val="lv-LV"/>
        </w:rPr>
        <w:t>Piemēri no 2021. gada budžeta paskaidrojumiem:</w:t>
      </w:r>
    </w:p>
    <w:p w14:paraId="522BBB64" w14:textId="77777777" w:rsidR="001617E7" w:rsidRPr="001617E7" w:rsidRDefault="001617E7" w:rsidP="0005194E">
      <w:pPr>
        <w:numPr>
          <w:ilvl w:val="0"/>
          <w:numId w:val="9"/>
        </w:numPr>
        <w:ind w:left="1134" w:hanging="425"/>
        <w:rPr>
          <w:rFonts w:cs="Times New Roman"/>
          <w:szCs w:val="24"/>
          <w:lang w:val="lv-LV"/>
        </w:rPr>
      </w:pPr>
      <w:r w:rsidRPr="001617E7">
        <w:rPr>
          <w:rFonts w:cs="Times New Roman"/>
          <w:szCs w:val="24"/>
          <w:lang w:val="lv-LV"/>
        </w:rPr>
        <w:t xml:space="preserve">Augsta līmeņa amatpersonu vizīšu organizēšana Latvijā (L)/ ārzemēs (Ā) (skaits). </w:t>
      </w:r>
      <w:r w:rsidRPr="001617E7">
        <w:rPr>
          <w:rFonts w:cs="Times New Roman"/>
          <w:i/>
          <w:iCs/>
          <w:szCs w:val="24"/>
          <w:lang w:val="lv-LV"/>
        </w:rPr>
        <w:t>Risinājums:</w:t>
      </w:r>
    </w:p>
    <w:p w14:paraId="72C0CEE8" w14:textId="77777777" w:rsidR="001617E7" w:rsidRPr="001617E7" w:rsidRDefault="001617E7" w:rsidP="0005194E">
      <w:pPr>
        <w:numPr>
          <w:ilvl w:val="0"/>
          <w:numId w:val="10"/>
        </w:numPr>
        <w:ind w:left="1418"/>
        <w:rPr>
          <w:rFonts w:cs="Times New Roman"/>
          <w:i/>
          <w:iCs/>
          <w:szCs w:val="24"/>
          <w:lang w:val="lv-LV"/>
        </w:rPr>
      </w:pPr>
      <w:r w:rsidRPr="001617E7">
        <w:rPr>
          <w:rFonts w:cs="Times New Roman"/>
          <w:i/>
          <w:iCs/>
          <w:szCs w:val="24"/>
          <w:lang w:val="lv-LV"/>
        </w:rPr>
        <w:t>Augsta līmeņa amatpersonu vizīšu organizēšana Latvijā (skaits);</w:t>
      </w:r>
    </w:p>
    <w:p w14:paraId="69CE837A" w14:textId="77777777" w:rsidR="001617E7" w:rsidRPr="001617E7" w:rsidRDefault="001617E7" w:rsidP="0005194E">
      <w:pPr>
        <w:numPr>
          <w:ilvl w:val="0"/>
          <w:numId w:val="10"/>
        </w:numPr>
        <w:ind w:left="1418" w:hanging="357"/>
        <w:rPr>
          <w:rFonts w:cs="Times New Roman"/>
          <w:i/>
          <w:iCs/>
          <w:szCs w:val="24"/>
          <w:lang w:val="lv-LV"/>
        </w:rPr>
      </w:pPr>
      <w:r w:rsidRPr="001617E7">
        <w:rPr>
          <w:rFonts w:cs="Times New Roman"/>
          <w:i/>
          <w:iCs/>
          <w:szCs w:val="24"/>
          <w:lang w:val="lv-LV"/>
        </w:rPr>
        <w:t>Augsta līmeņa amatpersonu vizīšu organizēšana ārzemēs (skaits).</w:t>
      </w:r>
    </w:p>
    <w:p w14:paraId="3296E06C" w14:textId="77777777" w:rsidR="001617E7" w:rsidRPr="001617E7" w:rsidRDefault="001617E7" w:rsidP="0005194E">
      <w:pPr>
        <w:numPr>
          <w:ilvl w:val="0"/>
          <w:numId w:val="9"/>
        </w:numPr>
        <w:ind w:left="1134" w:hanging="425"/>
        <w:rPr>
          <w:rFonts w:cs="Times New Roman"/>
          <w:i/>
          <w:iCs/>
          <w:szCs w:val="24"/>
          <w:lang w:val="lv-LV"/>
        </w:rPr>
      </w:pPr>
      <w:r w:rsidRPr="001617E7">
        <w:rPr>
          <w:rFonts w:cs="Times New Roman"/>
          <w:szCs w:val="24"/>
          <w:lang w:val="lv-LV"/>
        </w:rPr>
        <w:t xml:space="preserve">Starptautiskās sēklapmaiņas ietvaros nosūtīti/saņemti augu materiāla paraugi (skaits). </w:t>
      </w:r>
      <w:r w:rsidRPr="001617E7">
        <w:rPr>
          <w:rFonts w:cs="Times New Roman"/>
          <w:i/>
          <w:iCs/>
          <w:szCs w:val="24"/>
          <w:lang w:val="lv-LV"/>
        </w:rPr>
        <w:t>Risinājums:</w:t>
      </w:r>
    </w:p>
    <w:p w14:paraId="612C67CC" w14:textId="77777777" w:rsidR="001617E7" w:rsidRPr="001617E7" w:rsidRDefault="001617E7" w:rsidP="0005194E">
      <w:pPr>
        <w:numPr>
          <w:ilvl w:val="0"/>
          <w:numId w:val="11"/>
        </w:numPr>
        <w:ind w:left="1418"/>
        <w:rPr>
          <w:rFonts w:cs="Times New Roman"/>
          <w:i/>
          <w:iCs/>
          <w:szCs w:val="24"/>
          <w:lang w:val="lv-LV"/>
        </w:rPr>
      </w:pPr>
      <w:r w:rsidRPr="001617E7">
        <w:rPr>
          <w:rFonts w:cs="Times New Roman"/>
          <w:i/>
          <w:iCs/>
          <w:szCs w:val="24"/>
          <w:lang w:val="lv-LV"/>
        </w:rPr>
        <w:t>Starptautiskās sēklapmaiņas ietvaros nosūtīti augu materiāla paraugi (skaits);</w:t>
      </w:r>
    </w:p>
    <w:p w14:paraId="7F96F1C5" w14:textId="77777777" w:rsidR="001617E7" w:rsidRPr="001617E7" w:rsidRDefault="001617E7" w:rsidP="0005194E">
      <w:pPr>
        <w:numPr>
          <w:ilvl w:val="0"/>
          <w:numId w:val="11"/>
        </w:numPr>
        <w:ind w:left="1418" w:hanging="357"/>
        <w:rPr>
          <w:rFonts w:cs="Times New Roman"/>
          <w:i/>
          <w:iCs/>
          <w:szCs w:val="24"/>
          <w:lang w:val="lv-LV"/>
        </w:rPr>
      </w:pPr>
      <w:r w:rsidRPr="001617E7">
        <w:rPr>
          <w:rFonts w:cs="Times New Roman"/>
          <w:i/>
          <w:iCs/>
          <w:szCs w:val="24"/>
          <w:lang w:val="lv-LV"/>
        </w:rPr>
        <w:t>Starptautiskās sēklapmaiņas ietvaros saņemti augu materiāla paraugi (skaits).</w:t>
      </w:r>
    </w:p>
    <w:p w14:paraId="5CC60BA6" w14:textId="77777777" w:rsidR="001617E7" w:rsidRPr="001617E7" w:rsidRDefault="001617E7" w:rsidP="0005194E">
      <w:pPr>
        <w:numPr>
          <w:ilvl w:val="0"/>
          <w:numId w:val="9"/>
        </w:numPr>
        <w:ind w:left="1134" w:hanging="425"/>
        <w:rPr>
          <w:rFonts w:cs="Times New Roman"/>
          <w:i/>
          <w:iCs/>
          <w:szCs w:val="24"/>
          <w:lang w:val="lv-LV"/>
        </w:rPr>
      </w:pPr>
      <w:r w:rsidRPr="001617E7">
        <w:rPr>
          <w:rFonts w:cs="Times New Roman"/>
          <w:szCs w:val="24"/>
          <w:lang w:val="lv-LV"/>
        </w:rPr>
        <w:t xml:space="preserve">Pārbaudītās bāriņtiesas/to īpatsvars bāriņtiesu kopskaitā (skaits/%). </w:t>
      </w:r>
      <w:r w:rsidRPr="001617E7">
        <w:rPr>
          <w:rFonts w:cs="Times New Roman"/>
          <w:i/>
          <w:iCs/>
          <w:szCs w:val="24"/>
          <w:lang w:val="lv-LV"/>
        </w:rPr>
        <w:t>Risinājums:</w:t>
      </w:r>
    </w:p>
    <w:p w14:paraId="34B9CD86" w14:textId="77777777" w:rsidR="001617E7" w:rsidRPr="001617E7" w:rsidRDefault="001617E7" w:rsidP="0005194E">
      <w:pPr>
        <w:numPr>
          <w:ilvl w:val="0"/>
          <w:numId w:val="12"/>
        </w:numPr>
        <w:ind w:left="1418"/>
        <w:rPr>
          <w:rFonts w:cs="Times New Roman"/>
          <w:i/>
          <w:iCs/>
          <w:szCs w:val="24"/>
          <w:lang w:val="lv-LV"/>
        </w:rPr>
      </w:pPr>
      <w:r w:rsidRPr="001617E7">
        <w:rPr>
          <w:rFonts w:cs="Times New Roman"/>
          <w:i/>
          <w:iCs/>
          <w:szCs w:val="24"/>
          <w:lang w:val="lv-LV"/>
        </w:rPr>
        <w:t>Pārbaudītās bāriņtiesas (skaits);</w:t>
      </w:r>
    </w:p>
    <w:p w14:paraId="570E6EEF" w14:textId="77777777" w:rsidR="001617E7" w:rsidRPr="001617E7" w:rsidRDefault="001617E7" w:rsidP="0005194E">
      <w:pPr>
        <w:numPr>
          <w:ilvl w:val="0"/>
          <w:numId w:val="12"/>
        </w:numPr>
        <w:ind w:left="1418" w:hanging="357"/>
        <w:rPr>
          <w:rFonts w:cs="Times New Roman"/>
          <w:i/>
          <w:iCs/>
          <w:szCs w:val="24"/>
          <w:lang w:val="lv-LV"/>
        </w:rPr>
      </w:pPr>
      <w:r w:rsidRPr="001617E7">
        <w:rPr>
          <w:rFonts w:cs="Times New Roman"/>
          <w:i/>
          <w:iCs/>
          <w:szCs w:val="24"/>
          <w:lang w:val="lv-LV"/>
        </w:rPr>
        <w:t>Pārbaudīto bāriņtiesu īpatsvars bāriņtiesu kopskaitā (%).</w:t>
      </w:r>
    </w:p>
    <w:p w14:paraId="5FC2BE2F" w14:textId="77777777" w:rsidR="001617E7" w:rsidRPr="001617E7" w:rsidRDefault="001617E7" w:rsidP="0005194E">
      <w:pPr>
        <w:numPr>
          <w:ilvl w:val="0"/>
          <w:numId w:val="7"/>
        </w:numPr>
        <w:ind w:left="709" w:hanging="357"/>
        <w:rPr>
          <w:rFonts w:cs="Times New Roman"/>
          <w:szCs w:val="24"/>
          <w:lang w:val="lv-LV"/>
        </w:rPr>
      </w:pPr>
      <w:r w:rsidRPr="001617E7">
        <w:rPr>
          <w:rFonts w:cs="Times New Roman"/>
          <w:szCs w:val="24"/>
          <w:lang w:val="lv-LV"/>
        </w:rPr>
        <w:t xml:space="preserve">rezultatīvajiem rādītājiem jābūt unikāliem politikas un resursu vadības karšu ietvaros. Divās vai vairāk vienas ministrijas politikas un resursu vadības kartēs nevar būt viens un tas pats politikas rezultatīvais rādītājs, kvalitātes rādītājs vai raksturojošais darbības rezultatīvais rādītājs. Līdzīgi arī divās vai vairāk vienas ministrijas </w:t>
      </w:r>
      <w:r w:rsidRPr="001617E7">
        <w:rPr>
          <w:rFonts w:cs="Times New Roman"/>
          <w:szCs w:val="24"/>
          <w:lang w:val="lv-LV"/>
        </w:rPr>
        <w:lastRenderedPageBreak/>
        <w:t>programmās/apakšprogrammās nevar būt viens un tas pats darbības rezultatīvais rādītājs.</w:t>
      </w:r>
    </w:p>
    <w:p w14:paraId="4D06F87A" w14:textId="77777777" w:rsidR="001617E7" w:rsidRPr="00EF7813" w:rsidRDefault="001617E7" w:rsidP="00EF7813">
      <w:pPr>
        <w:ind w:firstLine="709"/>
        <w:rPr>
          <w:rFonts w:cs="Times New Roman"/>
          <w:i/>
          <w:szCs w:val="24"/>
          <w:lang w:val="lv-LV"/>
        </w:rPr>
      </w:pPr>
      <w:r w:rsidRPr="00EF7813">
        <w:rPr>
          <w:rFonts w:cs="Times New Roman"/>
          <w:i/>
          <w:szCs w:val="24"/>
          <w:lang w:val="lv-LV"/>
        </w:rPr>
        <w:t>Piemēri no 2021. gada budžeta paskaidrojumiem:</w:t>
      </w:r>
    </w:p>
    <w:p w14:paraId="1F772D46" w14:textId="77777777" w:rsidR="001617E7" w:rsidRPr="001617E7" w:rsidRDefault="001617E7" w:rsidP="0005194E">
      <w:pPr>
        <w:numPr>
          <w:ilvl w:val="0"/>
          <w:numId w:val="9"/>
        </w:numPr>
        <w:ind w:left="1134" w:hanging="425"/>
        <w:rPr>
          <w:rFonts w:cs="Times New Roman"/>
          <w:szCs w:val="24"/>
          <w:lang w:val="lv-LV"/>
        </w:rPr>
      </w:pPr>
      <w:r w:rsidRPr="001617E7">
        <w:rPr>
          <w:rFonts w:cs="Times New Roman"/>
          <w:szCs w:val="24"/>
          <w:lang w:val="lv-LV"/>
        </w:rPr>
        <w:t>politikas rezultatīvais rādītājs “Augsto tehnoloģiju produktu eksporta īpatsvars kopējā eksportā (%)” ir iekļauts divās EM politikas un resursu vadības kartēs – Nr. 1 “Nozaru vadība un politikas plānošana” un Nr. 2 “Uzņēmējdarbības konkurētspējas atbalsts”;</w:t>
      </w:r>
    </w:p>
    <w:p w14:paraId="3A109ED0" w14:textId="77777777" w:rsidR="001617E7" w:rsidRPr="001617E7" w:rsidRDefault="001617E7" w:rsidP="0005194E">
      <w:pPr>
        <w:numPr>
          <w:ilvl w:val="0"/>
          <w:numId w:val="9"/>
        </w:numPr>
        <w:ind w:left="1134" w:hanging="425"/>
        <w:rPr>
          <w:rFonts w:cs="Times New Roman"/>
          <w:szCs w:val="24"/>
          <w:lang w:val="lv-LV"/>
        </w:rPr>
      </w:pPr>
      <w:r w:rsidRPr="001617E7">
        <w:rPr>
          <w:rFonts w:cs="Times New Roman"/>
          <w:szCs w:val="24"/>
          <w:lang w:val="lv-LV"/>
        </w:rPr>
        <w:t>politikas rezultatīvais rādītājs “18–24 gadus veci iedzīvotāji, kuriem nav vidējās izglītības un kuri neturpina mācības (%)” ir iekļauts divās IZM politikas un resursu vadības kartēs – Nr. 1 “Vispārējā izglītība” un Nr. 9 “Nozaru vadība un politikas plānošana”;</w:t>
      </w:r>
    </w:p>
    <w:p w14:paraId="2AA956DF" w14:textId="77777777" w:rsidR="001617E7" w:rsidRPr="001617E7" w:rsidRDefault="001617E7" w:rsidP="0005194E">
      <w:pPr>
        <w:numPr>
          <w:ilvl w:val="0"/>
          <w:numId w:val="9"/>
        </w:numPr>
        <w:ind w:left="1134" w:hanging="425"/>
        <w:rPr>
          <w:rFonts w:cs="Times New Roman"/>
          <w:szCs w:val="24"/>
          <w:lang w:val="lv-LV"/>
        </w:rPr>
      </w:pPr>
      <w:r w:rsidRPr="001617E7">
        <w:rPr>
          <w:rFonts w:cs="Times New Roman"/>
          <w:szCs w:val="24"/>
          <w:lang w:val="lv-LV"/>
        </w:rPr>
        <w:t xml:space="preserve">visi VM politikas un resursu vadības kartē Nr. 4. “Nozaru vadība un politikas plānošana” iekļautie politikas rezultatīvie rādītāji atkārtojas pārējās trīs VM politikas un resursu vadības kartēs. </w:t>
      </w:r>
    </w:p>
    <w:p w14:paraId="05F686F9" w14:textId="7C82FB44" w:rsidR="001617E7" w:rsidRPr="001617E7" w:rsidRDefault="001617E7" w:rsidP="001617E7">
      <w:pPr>
        <w:rPr>
          <w:lang w:val="lv-LV"/>
        </w:rPr>
      </w:pPr>
    </w:p>
    <w:p w14:paraId="4D660A36" w14:textId="7A37264B" w:rsidR="00D2674E" w:rsidRDefault="00811CFE" w:rsidP="004C1C06">
      <w:pPr>
        <w:pStyle w:val="Heading2"/>
        <w:numPr>
          <w:ilvl w:val="1"/>
          <w:numId w:val="46"/>
        </w:numPr>
        <w:ind w:left="0" w:firstLine="0"/>
      </w:pPr>
      <w:bookmarkStart w:id="29" w:name="_Toc80178414"/>
      <w:r w:rsidRPr="000E36B5">
        <w:t>Maksas pakalpojumu cenrāžu aktualizācija</w:t>
      </w:r>
      <w:bookmarkEnd w:id="29"/>
    </w:p>
    <w:p w14:paraId="07C075AF" w14:textId="77777777" w:rsidR="000C3B1B" w:rsidRPr="000C3B1B" w:rsidRDefault="000C3B1B" w:rsidP="000C3B1B">
      <w:pPr>
        <w:ind w:firstLine="720"/>
        <w:rPr>
          <w:rFonts w:eastAsia="Calibri" w:cs="Times New Roman"/>
          <w:szCs w:val="24"/>
          <w:lang w:val="lv-LV"/>
        </w:rPr>
      </w:pPr>
      <w:r w:rsidRPr="000C3B1B">
        <w:rPr>
          <w:rFonts w:eastAsia="Calibri" w:cs="Times New Roman"/>
          <w:szCs w:val="24"/>
          <w:lang w:val="lv-LV"/>
        </w:rPr>
        <w:t>Valsts iestādes, atkarībā no to funkcijām, sniedz pakalpojumus, par kuriem, saskaņā ar atbilstošiem spēkā esošiem MK noteikumiem, tiek iekasēta samaksa. Ņemot vērā, ka pakalpojuma sniegšana sevī ietver noteiktas izmaksas, ieņēmumu no maksas pakalpojumiem (turpmāk – MPK) uzdevums ir segt ar pakalpojuma sniegšanu saistītos izdevumus. Izdevumu pārskatīšanas procesā tika analizēti MPK cenrāži un izvērtēta to izmaksu aktualitāte.</w:t>
      </w:r>
    </w:p>
    <w:p w14:paraId="7D6F6E7F" w14:textId="1BC472FB" w:rsidR="000C3B1B" w:rsidRPr="000C3B1B" w:rsidRDefault="000C3B1B" w:rsidP="000C3B1B">
      <w:pPr>
        <w:ind w:firstLine="720"/>
        <w:rPr>
          <w:rFonts w:eastAsia="Calibri" w:cs="Times New Roman"/>
          <w:szCs w:val="24"/>
          <w:lang w:val="lv-LV"/>
        </w:rPr>
      </w:pPr>
      <w:r w:rsidRPr="000C3B1B">
        <w:rPr>
          <w:rFonts w:eastAsia="Calibri" w:cs="Times New Roman"/>
          <w:szCs w:val="24"/>
          <w:lang w:val="lv-LV"/>
        </w:rPr>
        <w:t>Kārtību, kādā plānojami un uzskaitāmi ieņēmumi no MPK un ar šo pakalpojumu sniegšanu saistītie izdevumi, kā arī MPK izcenojumu noteikšanas metodiku un izcenojumu apstip</w:t>
      </w:r>
      <w:r w:rsidR="006B762E">
        <w:rPr>
          <w:rFonts w:eastAsia="Calibri" w:cs="Times New Roman"/>
          <w:szCs w:val="24"/>
          <w:lang w:val="lv-LV"/>
        </w:rPr>
        <w:t>rināšanas kārtību nosaka MK 2011</w:t>
      </w:r>
      <w:r w:rsidRPr="000C3B1B">
        <w:rPr>
          <w:rFonts w:eastAsia="Calibri" w:cs="Times New Roman"/>
          <w:szCs w:val="24"/>
          <w:lang w:val="lv-LV"/>
        </w:rPr>
        <w:t xml:space="preserve">. gada </w:t>
      </w:r>
      <w:r w:rsidR="006B762E">
        <w:rPr>
          <w:rFonts w:eastAsia="Calibri" w:cs="Times New Roman"/>
          <w:szCs w:val="24"/>
          <w:lang w:val="lv-LV"/>
        </w:rPr>
        <w:t>3. maija</w:t>
      </w:r>
      <w:r w:rsidRPr="000C3B1B">
        <w:rPr>
          <w:rFonts w:eastAsia="Calibri" w:cs="Times New Roman"/>
          <w:szCs w:val="24"/>
          <w:lang w:val="lv-LV"/>
        </w:rPr>
        <w:t xml:space="preserve"> noteikumi Nr. 333 “Kārtība, kādā plānojami un uzskaitāmi ieņēmumi no maksas pakalpojumiem un ar šo pakalpojumu sniegšanu saistītie izdevumi, kā arī maksas pakalpojumu izcenojumu noteikšanas metodika un izcenojumu apstiprināšanas kārtība” (turpmāk – MK noteikumi Nr. 333). Apkopotā informācija liecina, ka kopumā ir 85 spēkā esoši MPK</w:t>
      </w:r>
      <w:r w:rsidRPr="000C3B1B">
        <w:rPr>
          <w:rFonts w:cs="Times New Roman"/>
          <w:lang w:val="lv-LV"/>
        </w:rPr>
        <w:t xml:space="preserve"> </w:t>
      </w:r>
      <w:r w:rsidRPr="000C3B1B">
        <w:rPr>
          <w:rFonts w:eastAsia="Calibri" w:cs="Times New Roman"/>
          <w:szCs w:val="24"/>
          <w:lang w:val="lv-LV"/>
        </w:rPr>
        <w:t>cenrāži, kas izdoti uz LBFV pamata. No kopējā MPK cenrāžu saraksta tika izslēgti MPK cenrāži, kas nepakļaujas pārskatīšanai, t.i.:</w:t>
      </w:r>
    </w:p>
    <w:p w14:paraId="36EEF99F" w14:textId="77777777" w:rsidR="000C3B1B" w:rsidRPr="000C3B1B" w:rsidRDefault="000C3B1B" w:rsidP="000C3B1B">
      <w:pPr>
        <w:rPr>
          <w:rFonts w:eastAsia="Calibri" w:cs="Times New Roman"/>
          <w:b/>
          <w:szCs w:val="24"/>
          <w:lang w:val="lv-LV"/>
        </w:rPr>
      </w:pPr>
      <w:r w:rsidRPr="000C3B1B">
        <w:rPr>
          <w:rFonts w:eastAsia="Calibri" w:cs="Times New Roman"/>
          <w:b/>
          <w:szCs w:val="24"/>
          <w:lang w:val="lv-LV"/>
        </w:rPr>
        <w:t>valsts budžeta nefinansēto iestāžu MPK cenrāži:</w:t>
      </w:r>
    </w:p>
    <w:p w14:paraId="08EB096E" w14:textId="77777777" w:rsidR="000C3B1B" w:rsidRPr="000C3B1B" w:rsidRDefault="000C3B1B" w:rsidP="0005194E">
      <w:pPr>
        <w:pStyle w:val="ListParagraph"/>
        <w:numPr>
          <w:ilvl w:val="0"/>
          <w:numId w:val="22"/>
        </w:numPr>
        <w:contextualSpacing w:val="0"/>
        <w:rPr>
          <w:rFonts w:eastAsia="Calibri" w:cs="Times New Roman"/>
          <w:szCs w:val="24"/>
          <w:lang w:val="lv-LV"/>
        </w:rPr>
      </w:pPr>
      <w:r w:rsidRPr="000C3B1B">
        <w:rPr>
          <w:rFonts w:eastAsia="Calibri" w:cs="Times New Roman"/>
          <w:szCs w:val="24"/>
          <w:lang w:val="lv-LV"/>
        </w:rPr>
        <w:t>Valsts aģentūras “Civilās aviācijas aģentūra” publisko MPK cenrādis,</w:t>
      </w:r>
    </w:p>
    <w:p w14:paraId="3BD56B12" w14:textId="77777777" w:rsidR="000C3B1B" w:rsidRPr="000C3B1B" w:rsidRDefault="000C3B1B" w:rsidP="0005194E">
      <w:pPr>
        <w:pStyle w:val="ListParagraph"/>
        <w:numPr>
          <w:ilvl w:val="0"/>
          <w:numId w:val="22"/>
        </w:numPr>
        <w:contextualSpacing w:val="0"/>
        <w:rPr>
          <w:rFonts w:eastAsia="Calibri" w:cs="Times New Roman"/>
          <w:szCs w:val="24"/>
          <w:lang w:val="lv-LV"/>
        </w:rPr>
      </w:pPr>
      <w:r w:rsidRPr="000C3B1B">
        <w:rPr>
          <w:rFonts w:eastAsia="Calibri" w:cs="Times New Roman"/>
          <w:szCs w:val="24"/>
          <w:lang w:val="lv-LV"/>
        </w:rPr>
        <w:t>Patentu valdes MPK cenrādis,</w:t>
      </w:r>
    </w:p>
    <w:p w14:paraId="05796E87" w14:textId="77777777" w:rsidR="000C3B1B" w:rsidRPr="000C3B1B" w:rsidRDefault="000C3B1B" w:rsidP="0005194E">
      <w:pPr>
        <w:pStyle w:val="ListParagraph"/>
        <w:numPr>
          <w:ilvl w:val="0"/>
          <w:numId w:val="22"/>
        </w:numPr>
        <w:contextualSpacing w:val="0"/>
        <w:rPr>
          <w:rFonts w:eastAsia="Calibri" w:cs="Times New Roman"/>
          <w:szCs w:val="24"/>
          <w:lang w:val="lv-LV"/>
        </w:rPr>
      </w:pPr>
      <w:r w:rsidRPr="000C3B1B">
        <w:rPr>
          <w:rFonts w:eastAsia="Calibri" w:cs="Times New Roman"/>
          <w:szCs w:val="24"/>
          <w:lang w:val="lv-LV"/>
        </w:rPr>
        <w:t>Rūpnieciskā īpašuma apelācijas padomes MPK cenrādis.</w:t>
      </w:r>
    </w:p>
    <w:p w14:paraId="1E91F47B" w14:textId="77777777" w:rsidR="000C3B1B" w:rsidRPr="000C3B1B" w:rsidRDefault="000C3B1B" w:rsidP="000C3B1B">
      <w:pPr>
        <w:rPr>
          <w:rFonts w:eastAsia="Calibri" w:cs="Times New Roman"/>
          <w:b/>
          <w:szCs w:val="24"/>
          <w:lang w:val="lv-LV"/>
        </w:rPr>
      </w:pPr>
      <w:r w:rsidRPr="000C3B1B">
        <w:rPr>
          <w:rFonts w:eastAsia="Calibri" w:cs="Times New Roman"/>
          <w:b/>
          <w:szCs w:val="24"/>
          <w:lang w:val="lv-LV"/>
        </w:rPr>
        <w:t>MPK cenrāžu MK noteikumi ir atzīti par spēku zaudējušiem:</w:t>
      </w:r>
    </w:p>
    <w:p w14:paraId="605CD871" w14:textId="77777777" w:rsidR="000C3B1B" w:rsidRPr="000C3B1B" w:rsidRDefault="000C3B1B" w:rsidP="0005194E">
      <w:pPr>
        <w:pStyle w:val="ListParagraph"/>
        <w:numPr>
          <w:ilvl w:val="0"/>
          <w:numId w:val="22"/>
        </w:numPr>
        <w:contextualSpacing w:val="0"/>
        <w:rPr>
          <w:rFonts w:eastAsia="Calibri" w:cs="Times New Roman"/>
          <w:szCs w:val="24"/>
          <w:lang w:val="lv-LV"/>
        </w:rPr>
      </w:pPr>
      <w:r w:rsidRPr="000C3B1B">
        <w:rPr>
          <w:rFonts w:eastAsia="Calibri" w:cs="Times New Roman"/>
          <w:szCs w:val="24"/>
          <w:lang w:val="lv-LV"/>
        </w:rPr>
        <w:t>Noteikumi par Lauku atbalsta dienesta sniegto maksas pakalpojumu cenrādi (MK 2021. gada 18. marta noteikumi Nr. 174),</w:t>
      </w:r>
    </w:p>
    <w:p w14:paraId="64E84502" w14:textId="77777777" w:rsidR="000C3B1B" w:rsidRPr="000C3B1B" w:rsidRDefault="000C3B1B" w:rsidP="0005194E">
      <w:pPr>
        <w:pStyle w:val="ListParagraph"/>
        <w:numPr>
          <w:ilvl w:val="0"/>
          <w:numId w:val="22"/>
        </w:numPr>
        <w:contextualSpacing w:val="0"/>
        <w:rPr>
          <w:rFonts w:eastAsia="Calibri" w:cs="Times New Roman"/>
          <w:szCs w:val="24"/>
          <w:lang w:val="lv-LV"/>
        </w:rPr>
      </w:pPr>
      <w:r w:rsidRPr="000C3B1B">
        <w:rPr>
          <w:rFonts w:eastAsia="Calibri" w:cs="Times New Roman"/>
          <w:szCs w:val="24"/>
          <w:lang w:val="lv-LV"/>
        </w:rPr>
        <w:t xml:space="preserve">Noteikumi par Ārlietu ministrijas publisko maksas pakalpojumu cenrādi Eiropas Savienības informācijas bibliotēkas pakalpojumu jomā (MK 2021. gada 27. aprīļa noteikumi Nr. 260). </w:t>
      </w:r>
    </w:p>
    <w:p w14:paraId="66C682C7" w14:textId="77777777" w:rsidR="001768BA" w:rsidRDefault="001768BA" w:rsidP="000C3B1B">
      <w:pPr>
        <w:rPr>
          <w:rFonts w:eastAsia="Calibri" w:cs="Times New Roman"/>
          <w:b/>
          <w:szCs w:val="24"/>
          <w:lang w:val="lv-LV"/>
        </w:rPr>
      </w:pPr>
    </w:p>
    <w:p w14:paraId="3DAC5563" w14:textId="206BE896" w:rsidR="000C3B1B" w:rsidRPr="000C3B1B" w:rsidRDefault="000C3B1B" w:rsidP="000C3B1B">
      <w:pPr>
        <w:rPr>
          <w:rFonts w:eastAsia="Calibri" w:cs="Times New Roman"/>
          <w:b/>
          <w:szCs w:val="24"/>
          <w:lang w:val="lv-LV"/>
        </w:rPr>
      </w:pPr>
      <w:r w:rsidRPr="000C3B1B">
        <w:rPr>
          <w:rFonts w:eastAsia="Calibri" w:cs="Times New Roman"/>
          <w:b/>
          <w:szCs w:val="24"/>
          <w:lang w:val="lv-LV"/>
        </w:rPr>
        <w:lastRenderedPageBreak/>
        <w:t>MPK cenrāžu MK noteikumi attiecas uz visām valsts un pašvaldību iestādēm:</w:t>
      </w:r>
    </w:p>
    <w:p w14:paraId="175493E1" w14:textId="77777777" w:rsidR="000C3B1B" w:rsidRPr="000C3B1B" w:rsidRDefault="000C3B1B" w:rsidP="0005194E">
      <w:pPr>
        <w:pStyle w:val="ListParagraph"/>
        <w:numPr>
          <w:ilvl w:val="0"/>
          <w:numId w:val="23"/>
        </w:numPr>
        <w:contextualSpacing w:val="0"/>
        <w:rPr>
          <w:rFonts w:eastAsia="Calibri" w:cs="Times New Roman"/>
          <w:szCs w:val="24"/>
          <w:lang w:val="lv-LV"/>
        </w:rPr>
      </w:pPr>
      <w:r w:rsidRPr="000C3B1B">
        <w:rPr>
          <w:rFonts w:eastAsia="Calibri" w:cs="Times New Roman"/>
          <w:szCs w:val="24"/>
          <w:lang w:val="lv-LV"/>
        </w:rPr>
        <w:t>Noteikumi par informācijas sniegšanas maksas pakalpojumiem (MK 2006. gada 21. novembra noteikumi Nr. 940).</w:t>
      </w:r>
    </w:p>
    <w:p w14:paraId="22B9DB35" w14:textId="77777777" w:rsidR="000C3B1B" w:rsidRPr="000C3B1B" w:rsidRDefault="000C3B1B" w:rsidP="000C3B1B">
      <w:pPr>
        <w:ind w:firstLine="720"/>
        <w:rPr>
          <w:rFonts w:cs="Times New Roman"/>
          <w:lang w:val="lv-LV"/>
        </w:rPr>
      </w:pPr>
      <w:r w:rsidRPr="000C3B1B">
        <w:rPr>
          <w:rFonts w:cs="Times New Roman"/>
          <w:lang w:val="lv-LV"/>
        </w:rPr>
        <w:t xml:space="preserve">Veicot MPK cenrāžu analīzi, tika skatīts to aktualizācijas laiks (2 gadi un vairāk), plānotie ieņēmumi 2021. gadam, kā arī tas, vai nav procesā esoša MPK cenrāža aktualizācija. </w:t>
      </w:r>
    </w:p>
    <w:p w14:paraId="4F1B4A22" w14:textId="77777777" w:rsidR="000C3B1B" w:rsidRPr="000C3B1B" w:rsidRDefault="000C3B1B" w:rsidP="000C3B1B">
      <w:pPr>
        <w:ind w:firstLine="720"/>
        <w:rPr>
          <w:rFonts w:eastAsia="Calibri" w:cs="Times New Roman"/>
          <w:szCs w:val="24"/>
          <w:lang w:val="lv-LV"/>
        </w:rPr>
      </w:pPr>
      <w:r w:rsidRPr="000C3B1B">
        <w:rPr>
          <w:rFonts w:cs="Times New Roman"/>
          <w:lang w:val="lv-LV"/>
        </w:rPr>
        <w:t xml:space="preserve">Resori sniedza FM informāciju par 2021. gadā valsts budžetā plānotajiem ieņēmumiem no sniegtajiem MPK, atbilstoši MPK cenrādī noteiktajām cenām. </w:t>
      </w:r>
      <w:r w:rsidRPr="000C3B1B">
        <w:rPr>
          <w:rFonts w:eastAsia="Calibri" w:cs="Times New Roman"/>
          <w:szCs w:val="24"/>
          <w:lang w:val="lv-LV"/>
        </w:rPr>
        <w:t xml:space="preserve">No visiem 79 MPK cenrāžiem, kas pakļaujas tālākai analīzei, 76 MPK cenrāžiem ir plānoti ieņēmumi 2021. gadā - 41,1 milj. </w:t>
      </w:r>
      <w:r w:rsidRPr="000C3B1B">
        <w:rPr>
          <w:rFonts w:eastAsia="Calibri" w:cs="Times New Roman"/>
          <w:i/>
          <w:iCs/>
          <w:szCs w:val="24"/>
          <w:lang w:val="lv-LV"/>
        </w:rPr>
        <w:t>euro</w:t>
      </w:r>
      <w:r w:rsidRPr="000C3B1B">
        <w:rPr>
          <w:rFonts w:eastAsia="Calibri" w:cs="Times New Roman"/>
          <w:szCs w:val="24"/>
          <w:lang w:val="lv-LV"/>
        </w:rPr>
        <w:t xml:space="preserve"> apmērā. </w:t>
      </w:r>
    </w:p>
    <w:p w14:paraId="64F7D7EF" w14:textId="77777777" w:rsidR="000C3B1B" w:rsidRPr="000C3B1B" w:rsidRDefault="000C3B1B" w:rsidP="000C3B1B">
      <w:pPr>
        <w:ind w:firstLine="720"/>
        <w:rPr>
          <w:rFonts w:eastAsia="Calibri" w:cs="Times New Roman"/>
          <w:szCs w:val="24"/>
          <w:lang w:val="lv-LV"/>
        </w:rPr>
      </w:pPr>
      <w:r w:rsidRPr="000C3B1B">
        <w:rPr>
          <w:rFonts w:eastAsia="Calibri" w:cs="Times New Roman"/>
          <w:szCs w:val="24"/>
          <w:lang w:val="lv-LV"/>
        </w:rPr>
        <w:t>Attēlā Nr. 2.5.1 ilustrēts MPK cenrāžu aktualizācijas laiks, kur kā atskaites punkts noteikts 2021. gada 15. janvāris. No apkopotās informācijas secināms, ka 39 MPK cenrāži jeb 49% ir aktualizēti mazāk nekā pirms 2 gadiem, savukārt, 40 jeb 51% MPK cenrāžu aktualizācijas laiks ir ilgāks kā 2 gadi. Vidējais MPK cenrāžu aktualizācijas laiks ir 3,2 gadi.</w:t>
      </w:r>
    </w:p>
    <w:p w14:paraId="1323E702" w14:textId="77777777" w:rsidR="000C3B1B" w:rsidRPr="000C3B1B" w:rsidRDefault="000C3B1B" w:rsidP="000C3B1B">
      <w:pPr>
        <w:jc w:val="center"/>
        <w:rPr>
          <w:rFonts w:eastAsia="Calibri" w:cs="Times New Roman"/>
          <w:sz w:val="22"/>
          <w:lang w:val="lv-LV"/>
        </w:rPr>
      </w:pPr>
      <w:r w:rsidRPr="000C3B1B">
        <w:rPr>
          <w:rFonts w:eastAsia="Calibri" w:cs="Times New Roman"/>
          <w:b/>
          <w:bCs/>
          <w:i/>
          <w:iCs/>
          <w:sz w:val="22"/>
          <w:lang w:val="lv-LV"/>
        </w:rPr>
        <w:t>2.5.1. attēls</w:t>
      </w:r>
      <w:r w:rsidRPr="000C3B1B">
        <w:rPr>
          <w:rFonts w:eastAsia="Calibri" w:cs="Times New Roman"/>
          <w:b/>
          <w:bCs/>
          <w:sz w:val="22"/>
          <w:lang w:val="lv-LV"/>
        </w:rPr>
        <w:t xml:space="preserve"> MPK cenrāžu sadalījums pēc to aktualizācijas laika,</w:t>
      </w:r>
      <w:r w:rsidRPr="000C3B1B">
        <w:rPr>
          <w:rFonts w:eastAsia="Calibri" w:cs="Times New Roman"/>
          <w:sz w:val="22"/>
          <w:lang w:val="lv-LV"/>
        </w:rPr>
        <w:t xml:space="preserve"> %</w:t>
      </w:r>
    </w:p>
    <w:p w14:paraId="636202E1" w14:textId="77777777" w:rsidR="000C3B1B" w:rsidRPr="000C3B1B" w:rsidRDefault="000C3B1B" w:rsidP="000C3B1B">
      <w:pPr>
        <w:spacing w:before="120"/>
        <w:jc w:val="center"/>
        <w:rPr>
          <w:rFonts w:eastAsia="Calibri" w:cs="Times New Roman"/>
          <w:szCs w:val="24"/>
          <w:lang w:val="lv-LV"/>
        </w:rPr>
      </w:pPr>
      <w:r w:rsidRPr="000C3B1B">
        <w:rPr>
          <w:rFonts w:cs="Times New Roman"/>
          <w:noProof/>
          <w:lang w:val="lv-LV"/>
        </w:rPr>
        <w:t xml:space="preserve"> </w:t>
      </w:r>
      <w:r w:rsidRPr="000C3B1B">
        <w:rPr>
          <w:noProof/>
          <w:lang w:val="lv-LV" w:eastAsia="lv-LV"/>
        </w:rPr>
        <w:drawing>
          <wp:inline distT="0" distB="0" distL="0" distR="0" wp14:anchorId="420E42B7" wp14:editId="38224330">
            <wp:extent cx="3902149" cy="2923954"/>
            <wp:effectExtent l="0" t="0" r="3175" b="0"/>
            <wp:docPr id="55" name="Chart 55">
              <a:extLst xmlns:a="http://schemas.openxmlformats.org/drawingml/2006/main">
                <a:ext uri="{FF2B5EF4-FFF2-40B4-BE49-F238E27FC236}">
                  <a16:creationId xmlns:a16="http://schemas.microsoft.com/office/drawing/2014/main" id="{189549F8-AE78-4139-B026-02A0DDB11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21552B2" w14:textId="77777777" w:rsidR="000C3B1B" w:rsidRPr="000C3B1B" w:rsidRDefault="000C3B1B" w:rsidP="000C3B1B">
      <w:pPr>
        <w:ind w:firstLine="720"/>
        <w:rPr>
          <w:rFonts w:cs="Times New Roman"/>
          <w:szCs w:val="24"/>
          <w:lang w:val="lv-LV"/>
        </w:rPr>
      </w:pPr>
      <w:r w:rsidRPr="000C3B1B">
        <w:rPr>
          <w:rFonts w:cs="Times New Roman"/>
          <w:szCs w:val="24"/>
          <w:lang w:val="lv-LV"/>
        </w:rPr>
        <w:t>Aplūkojot detalizētāk MPK cenrāžus, kas aktualizēti pirms vairāk nekā 2 gadiem (40 MPK cenrāži), konstatēts, ka 38 MPK cenrāži pakļaujas indeksācijai.</w:t>
      </w:r>
    </w:p>
    <w:p w14:paraId="47125227" w14:textId="77777777" w:rsidR="000C3B1B" w:rsidRPr="000C3B1B" w:rsidRDefault="000C3B1B" w:rsidP="000C3B1B">
      <w:pPr>
        <w:tabs>
          <w:tab w:val="left" w:pos="1010"/>
        </w:tabs>
        <w:ind w:firstLine="720"/>
        <w:rPr>
          <w:rFonts w:cs="Times New Roman"/>
          <w:szCs w:val="24"/>
          <w:lang w:val="lv-LV"/>
        </w:rPr>
      </w:pPr>
      <w:r w:rsidRPr="000C3B1B">
        <w:rPr>
          <w:rFonts w:cs="Times New Roman"/>
          <w:szCs w:val="24"/>
          <w:lang w:val="lv-LV"/>
        </w:rPr>
        <w:tab/>
      </w:r>
      <w:r w:rsidRPr="000C3B1B">
        <w:rPr>
          <w:rFonts w:eastAsia="Calibri" w:cs="Times New Roman"/>
          <w:szCs w:val="24"/>
          <w:lang w:val="lv-LV"/>
        </w:rPr>
        <w:t xml:space="preserve">MK noteikumu Nr. 333 </w:t>
      </w:r>
      <w:r w:rsidRPr="000C3B1B">
        <w:rPr>
          <w:rFonts w:cs="Times New Roman"/>
          <w:szCs w:val="24"/>
          <w:lang w:val="lv-LV"/>
        </w:rPr>
        <w:t>18. punktā noteikts, ka grozījumus noteikumos par MPK cenrādi izdara šādos gadījumos:</w:t>
      </w:r>
    </w:p>
    <w:p w14:paraId="24E673B1" w14:textId="77777777" w:rsidR="000C3B1B" w:rsidRPr="000C3B1B" w:rsidRDefault="000C3B1B" w:rsidP="0005194E">
      <w:pPr>
        <w:pStyle w:val="ListParagraph"/>
        <w:numPr>
          <w:ilvl w:val="0"/>
          <w:numId w:val="19"/>
        </w:numPr>
        <w:tabs>
          <w:tab w:val="left" w:pos="1010"/>
        </w:tabs>
        <w:ind w:left="0" w:firstLine="720"/>
        <w:contextualSpacing w:val="0"/>
        <w:rPr>
          <w:rFonts w:cs="Times New Roman"/>
          <w:szCs w:val="24"/>
          <w:lang w:val="lv-LV"/>
        </w:rPr>
      </w:pPr>
      <w:r w:rsidRPr="000C3B1B">
        <w:rPr>
          <w:rFonts w:cs="Times New Roman"/>
          <w:szCs w:val="24"/>
          <w:lang w:val="lv-LV"/>
        </w:rPr>
        <w:t>ir izdarīti grozījumi normatīvajos aktos vai mainījušies apstākļi, kas ietekmē iestādes vai valsts aģentūras sniedzamo maksas pakalpojumu klāstu;</w:t>
      </w:r>
    </w:p>
    <w:p w14:paraId="37F118C1" w14:textId="77777777" w:rsidR="000C3B1B" w:rsidRPr="000C3B1B" w:rsidRDefault="000C3B1B" w:rsidP="0005194E">
      <w:pPr>
        <w:pStyle w:val="ListParagraph"/>
        <w:numPr>
          <w:ilvl w:val="0"/>
          <w:numId w:val="19"/>
        </w:numPr>
        <w:tabs>
          <w:tab w:val="left" w:pos="1010"/>
        </w:tabs>
        <w:ind w:left="0" w:firstLine="720"/>
        <w:contextualSpacing w:val="0"/>
        <w:rPr>
          <w:rFonts w:cs="Times New Roman"/>
          <w:szCs w:val="24"/>
          <w:lang w:val="lv-LV"/>
        </w:rPr>
      </w:pPr>
      <w:r w:rsidRPr="000C3B1B">
        <w:rPr>
          <w:rFonts w:cs="Times New Roman"/>
          <w:szCs w:val="24"/>
          <w:lang w:val="lv-LV"/>
        </w:rPr>
        <w:t>ir būtiski mainījušās (samazinājušās vai palielinājušās) tiešās vai netiešās izmaksas, kuras veido maksas pakalpojumu izcenojumus;</w:t>
      </w:r>
    </w:p>
    <w:p w14:paraId="374F7A95" w14:textId="77777777" w:rsidR="000C3B1B" w:rsidRPr="000C3B1B" w:rsidRDefault="000C3B1B" w:rsidP="0005194E">
      <w:pPr>
        <w:pStyle w:val="ListParagraph"/>
        <w:numPr>
          <w:ilvl w:val="0"/>
          <w:numId w:val="19"/>
        </w:numPr>
        <w:tabs>
          <w:tab w:val="left" w:pos="1010"/>
        </w:tabs>
        <w:ind w:left="0" w:firstLine="720"/>
        <w:contextualSpacing w:val="0"/>
        <w:rPr>
          <w:rFonts w:cs="Times New Roman"/>
          <w:szCs w:val="24"/>
          <w:lang w:val="lv-LV"/>
        </w:rPr>
      </w:pPr>
      <w:r w:rsidRPr="000C3B1B">
        <w:rPr>
          <w:rFonts w:cs="Times New Roman"/>
          <w:szCs w:val="24"/>
          <w:lang w:val="lv-LV"/>
        </w:rPr>
        <w:t>ir tā mainījies plānoto maksas pakalpojumu vienību skaits noteiktā laikposmā, ka tas būtiski ietekmē vienas pakalpojuma vienības sniegšanas izmaksas.</w:t>
      </w:r>
    </w:p>
    <w:p w14:paraId="7F1E7121" w14:textId="256F3F6E" w:rsidR="000C3B1B" w:rsidRPr="000C3B1B" w:rsidRDefault="000C3B1B" w:rsidP="000C3B1B">
      <w:pPr>
        <w:ind w:firstLine="720"/>
        <w:rPr>
          <w:rFonts w:cs="Times New Roman"/>
          <w:szCs w:val="24"/>
          <w:lang w:val="lv-LV"/>
        </w:rPr>
      </w:pPr>
      <w:r w:rsidRPr="000C3B1B">
        <w:rPr>
          <w:rFonts w:cs="Times New Roman"/>
          <w:szCs w:val="24"/>
          <w:lang w:val="lv-LV"/>
        </w:rPr>
        <w:t>MPK cenrāži, kuru plānoto ieņēmumu 2021. gadā izpilde ir tiešā ietekmē no C</w:t>
      </w:r>
      <w:r w:rsidR="00697671">
        <w:rPr>
          <w:rFonts w:cs="Times New Roman"/>
          <w:szCs w:val="24"/>
          <w:lang w:val="lv-LV"/>
        </w:rPr>
        <w:t>ovid</w:t>
      </w:r>
      <w:r w:rsidRPr="000C3B1B">
        <w:rPr>
          <w:rFonts w:cs="Times New Roman"/>
          <w:szCs w:val="24"/>
          <w:lang w:val="lv-LV"/>
        </w:rPr>
        <w:t xml:space="preserve">-19 izplatības ierobežošanas pasākumiem valstī, tiek iekļauti turpmākajā MPK cenrāžu analīzē (ja tie atbilst iepriekšminētajiem kritērijiem). Neskatoties uz to, ka ieņēmumu plāns 2021. gadam </w:t>
      </w:r>
      <w:r w:rsidRPr="000C3B1B">
        <w:rPr>
          <w:rFonts w:cs="Times New Roman"/>
          <w:szCs w:val="24"/>
          <w:lang w:val="lv-LV"/>
        </w:rPr>
        <w:lastRenderedPageBreak/>
        <w:t>var tikt nesasniegts, MPK cenrāžu analīze tiek veikta 2022. gada budžeta plānošanas procesa ietvaros, pieņemot, ka ekonomiskā un epidemioloģiskā situācija valstī stabilizēsies un pietuvināsies pirms C</w:t>
      </w:r>
      <w:r w:rsidR="00697671">
        <w:rPr>
          <w:rFonts w:cs="Times New Roman"/>
          <w:szCs w:val="24"/>
          <w:lang w:val="lv-LV"/>
        </w:rPr>
        <w:t>ovid</w:t>
      </w:r>
      <w:r w:rsidRPr="000C3B1B">
        <w:rPr>
          <w:rFonts w:cs="Times New Roman"/>
          <w:szCs w:val="24"/>
          <w:lang w:val="lv-LV"/>
        </w:rPr>
        <w:t>-19 pandēmijas periodam.</w:t>
      </w:r>
    </w:p>
    <w:p w14:paraId="4DE6F85F" w14:textId="77777777" w:rsidR="000C3B1B" w:rsidRPr="000C3B1B" w:rsidRDefault="000C3B1B" w:rsidP="000C3B1B">
      <w:pPr>
        <w:ind w:firstLine="720"/>
        <w:rPr>
          <w:rFonts w:cs="Times New Roman"/>
          <w:lang w:val="lv-LV"/>
        </w:rPr>
      </w:pPr>
      <w:r w:rsidRPr="000C3B1B">
        <w:rPr>
          <w:rFonts w:cs="Times New Roman"/>
          <w:lang w:val="lv-LV"/>
        </w:rPr>
        <w:t>Veicot MPK cenrāžu indeksācijas aprēķinus, tika izmantoti makroekonomiskie rādītāji, kuru izmaiņas tieši ietekmē iespējamu MPK izmaksu pieaugumu. Atbilstoši MPK cenrāža pēdējam aktualizācijas brīdim, tam tika piemērots kumulatīvais indekss, kuru veido:</w:t>
      </w:r>
    </w:p>
    <w:p w14:paraId="30D3383E" w14:textId="77777777" w:rsidR="000C3B1B" w:rsidRPr="000C3B1B" w:rsidRDefault="000C3B1B" w:rsidP="0005194E">
      <w:pPr>
        <w:pStyle w:val="ListParagraph"/>
        <w:numPr>
          <w:ilvl w:val="0"/>
          <w:numId w:val="21"/>
        </w:numPr>
        <w:ind w:left="0" w:firstLine="720"/>
        <w:contextualSpacing w:val="0"/>
        <w:rPr>
          <w:rFonts w:cs="Times New Roman"/>
          <w:lang w:val="lv-LV"/>
        </w:rPr>
      </w:pPr>
      <w:r w:rsidRPr="000C3B1B">
        <w:rPr>
          <w:rFonts w:cs="Times New Roman"/>
          <w:lang w:val="lv-LV"/>
        </w:rPr>
        <w:t>strādājošo mēneša vidējās darba samaksas indekss;</w:t>
      </w:r>
    </w:p>
    <w:p w14:paraId="3221734C" w14:textId="77777777" w:rsidR="000C3B1B" w:rsidRPr="000C3B1B" w:rsidRDefault="000C3B1B" w:rsidP="0005194E">
      <w:pPr>
        <w:pStyle w:val="ListParagraph"/>
        <w:numPr>
          <w:ilvl w:val="0"/>
          <w:numId w:val="21"/>
        </w:numPr>
        <w:ind w:left="0" w:firstLine="720"/>
        <w:contextualSpacing w:val="0"/>
        <w:rPr>
          <w:rFonts w:cs="Times New Roman"/>
          <w:lang w:val="lv-LV"/>
        </w:rPr>
      </w:pPr>
      <w:r w:rsidRPr="000C3B1B">
        <w:rPr>
          <w:rFonts w:cs="Times New Roman"/>
          <w:lang w:val="lv-LV"/>
        </w:rPr>
        <w:t>patēriņa preču indekss;</w:t>
      </w:r>
    </w:p>
    <w:p w14:paraId="4850FD1B" w14:textId="77777777" w:rsidR="000C3B1B" w:rsidRPr="000C3B1B" w:rsidRDefault="000C3B1B" w:rsidP="0005194E">
      <w:pPr>
        <w:pStyle w:val="ListParagraph"/>
        <w:numPr>
          <w:ilvl w:val="0"/>
          <w:numId w:val="21"/>
        </w:numPr>
        <w:ind w:left="0" w:firstLine="720"/>
        <w:contextualSpacing w:val="0"/>
        <w:rPr>
          <w:rFonts w:cs="Times New Roman"/>
          <w:lang w:val="lv-LV"/>
        </w:rPr>
      </w:pPr>
      <w:r w:rsidRPr="000C3B1B">
        <w:rPr>
          <w:rFonts w:cs="Times New Roman"/>
          <w:lang w:val="lv-LV"/>
        </w:rPr>
        <w:t xml:space="preserve">vispārējās valdības </w:t>
      </w:r>
      <w:r w:rsidRPr="000C3B1B">
        <w:rPr>
          <w:rFonts w:eastAsia="Times New Roman" w:cs="Times New Roman"/>
          <w:bCs/>
          <w:color w:val="222222"/>
          <w:szCs w:val="24"/>
          <w:lang w:val="lv-LV" w:eastAsia="lv-LV"/>
        </w:rPr>
        <w:t>sektora galveno rādītāju sadalījumā pa apakšsektoriem (starppatēriņš P2) indekss.</w:t>
      </w:r>
    </w:p>
    <w:p w14:paraId="660ACE1F" w14:textId="28759884" w:rsidR="000C3B1B" w:rsidRPr="000C3B1B" w:rsidRDefault="000C3B1B" w:rsidP="000C3B1B">
      <w:pPr>
        <w:jc w:val="center"/>
        <w:rPr>
          <w:rFonts w:cs="Times New Roman"/>
          <w:b/>
          <w:bCs/>
          <w:sz w:val="22"/>
          <w:lang w:val="lv-LV"/>
        </w:rPr>
      </w:pPr>
      <w:r w:rsidRPr="000C3B1B">
        <w:rPr>
          <w:rFonts w:cs="Times New Roman"/>
          <w:b/>
          <w:bCs/>
          <w:i/>
          <w:iCs/>
          <w:sz w:val="22"/>
          <w:lang w:val="lv-LV"/>
        </w:rPr>
        <w:t>2.5.</w:t>
      </w:r>
      <w:r>
        <w:rPr>
          <w:rFonts w:cs="Times New Roman"/>
          <w:b/>
          <w:bCs/>
          <w:i/>
          <w:iCs/>
          <w:sz w:val="22"/>
          <w:lang w:val="lv-LV"/>
        </w:rPr>
        <w:t>1</w:t>
      </w:r>
      <w:r w:rsidRPr="000C3B1B">
        <w:rPr>
          <w:rFonts w:cs="Times New Roman"/>
          <w:b/>
          <w:bCs/>
          <w:i/>
          <w:iCs/>
          <w:sz w:val="22"/>
          <w:lang w:val="lv-LV"/>
        </w:rPr>
        <w:t>. tabula</w:t>
      </w:r>
      <w:r w:rsidRPr="000C3B1B">
        <w:rPr>
          <w:rFonts w:cs="Times New Roman"/>
          <w:b/>
          <w:bCs/>
          <w:sz w:val="22"/>
          <w:lang w:val="lv-LV"/>
        </w:rPr>
        <w:t xml:space="preserve"> MPK cenrāžu ieņēmumu aktualizācijai piemēroto izmaksu izmaiņu indeksi</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759"/>
        <w:gridCol w:w="1056"/>
        <w:gridCol w:w="1056"/>
        <w:gridCol w:w="908"/>
        <w:gridCol w:w="1134"/>
        <w:gridCol w:w="982"/>
        <w:gridCol w:w="952"/>
        <w:gridCol w:w="1276"/>
      </w:tblGrid>
      <w:tr w:rsidR="000C3B1B" w:rsidRPr="000C3B1B" w14:paraId="005E823E" w14:textId="77777777" w:rsidTr="000C3B1B">
        <w:trPr>
          <w:trHeight w:val="734"/>
          <w:jc w:val="center"/>
        </w:trPr>
        <w:tc>
          <w:tcPr>
            <w:tcW w:w="661" w:type="dxa"/>
            <w:vMerge w:val="restart"/>
            <w:shd w:val="clear" w:color="000000" w:fill="C5E0B3"/>
            <w:vAlign w:val="center"/>
            <w:hideMark/>
          </w:tcPr>
          <w:p w14:paraId="479268E2" w14:textId="77777777" w:rsidR="000C3B1B" w:rsidRPr="000C3B1B" w:rsidRDefault="000C3B1B" w:rsidP="000C3B1B">
            <w:pPr>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Gads</w:t>
            </w:r>
          </w:p>
        </w:tc>
        <w:tc>
          <w:tcPr>
            <w:tcW w:w="1815" w:type="dxa"/>
            <w:gridSpan w:val="2"/>
            <w:shd w:val="clear" w:color="000000" w:fill="C5E0B3"/>
            <w:vAlign w:val="center"/>
            <w:hideMark/>
          </w:tcPr>
          <w:p w14:paraId="56CE75F9" w14:textId="77777777" w:rsidR="000C3B1B" w:rsidRPr="000C3B1B" w:rsidRDefault="000C3B1B" w:rsidP="000C3B1B">
            <w:pPr>
              <w:jc w:val="center"/>
              <w:rPr>
                <w:rFonts w:eastAsia="Times New Roman" w:cs="Times New Roman"/>
                <w:b/>
                <w:bCs/>
                <w:color w:val="222222"/>
                <w:sz w:val="18"/>
                <w:szCs w:val="18"/>
                <w:lang w:val="lv-LV" w:eastAsia="lv-LV"/>
              </w:rPr>
            </w:pPr>
            <w:r w:rsidRPr="000C3B1B">
              <w:rPr>
                <w:rFonts w:eastAsia="Times New Roman" w:cs="Times New Roman"/>
                <w:b/>
                <w:bCs/>
                <w:color w:val="222222"/>
                <w:sz w:val="18"/>
                <w:szCs w:val="18"/>
                <w:lang w:val="lv-LV" w:eastAsia="lv-LV"/>
              </w:rPr>
              <w:t>Strādājošo mēneša vidējā darba samaksa bruto</w:t>
            </w:r>
          </w:p>
        </w:tc>
        <w:tc>
          <w:tcPr>
            <w:tcW w:w="1056" w:type="dxa"/>
            <w:shd w:val="clear" w:color="000000" w:fill="C5E0B3"/>
            <w:vAlign w:val="center"/>
            <w:hideMark/>
          </w:tcPr>
          <w:p w14:paraId="4990C36C" w14:textId="77777777" w:rsidR="000C3B1B" w:rsidRPr="000C3B1B" w:rsidRDefault="000C3B1B" w:rsidP="000C3B1B">
            <w:pPr>
              <w:jc w:val="center"/>
              <w:rPr>
                <w:rFonts w:eastAsia="Times New Roman" w:cs="Times New Roman"/>
                <w:b/>
                <w:bCs/>
                <w:color w:val="222222"/>
                <w:sz w:val="18"/>
                <w:szCs w:val="18"/>
                <w:lang w:val="lv-LV" w:eastAsia="lv-LV"/>
              </w:rPr>
            </w:pPr>
            <w:r w:rsidRPr="000C3B1B">
              <w:rPr>
                <w:rFonts w:eastAsia="Times New Roman" w:cs="Times New Roman"/>
                <w:b/>
                <w:bCs/>
                <w:color w:val="222222"/>
                <w:sz w:val="18"/>
                <w:szCs w:val="18"/>
                <w:lang w:val="lv-LV" w:eastAsia="lv-LV"/>
              </w:rPr>
              <w:t>Patēriņa preču indeksi</w:t>
            </w:r>
          </w:p>
        </w:tc>
        <w:tc>
          <w:tcPr>
            <w:tcW w:w="2042" w:type="dxa"/>
            <w:gridSpan w:val="2"/>
            <w:shd w:val="clear" w:color="000000" w:fill="C5E0B3"/>
            <w:vAlign w:val="center"/>
            <w:hideMark/>
          </w:tcPr>
          <w:p w14:paraId="51A5EAA3" w14:textId="77777777" w:rsidR="000C3B1B" w:rsidRPr="000C3B1B" w:rsidRDefault="000C3B1B" w:rsidP="000C3B1B">
            <w:pPr>
              <w:jc w:val="center"/>
              <w:rPr>
                <w:rFonts w:eastAsia="Times New Roman" w:cs="Times New Roman"/>
                <w:b/>
                <w:bCs/>
                <w:color w:val="000000"/>
                <w:sz w:val="18"/>
                <w:szCs w:val="18"/>
                <w:lang w:val="lv-LV" w:eastAsia="lv-LV"/>
              </w:rPr>
            </w:pPr>
            <w:r w:rsidRPr="000C3B1B">
              <w:rPr>
                <w:rFonts w:eastAsia="Times New Roman" w:cs="Times New Roman"/>
                <w:b/>
                <w:bCs/>
                <w:color w:val="222222"/>
                <w:sz w:val="18"/>
                <w:szCs w:val="18"/>
                <w:lang w:val="lv-LV" w:eastAsia="lv-LV"/>
              </w:rPr>
              <w:t>Vispārējās valdības sektora starppatēriņš (P2)</w:t>
            </w:r>
          </w:p>
        </w:tc>
        <w:tc>
          <w:tcPr>
            <w:tcW w:w="982" w:type="dxa"/>
            <w:vMerge w:val="restart"/>
            <w:shd w:val="clear" w:color="000000" w:fill="C5E0B3"/>
            <w:vAlign w:val="center"/>
            <w:hideMark/>
          </w:tcPr>
          <w:p w14:paraId="65275856" w14:textId="77777777" w:rsidR="000C3B1B" w:rsidRPr="000C3B1B" w:rsidRDefault="000C3B1B" w:rsidP="000C3B1B">
            <w:pPr>
              <w:jc w:val="center"/>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Vidējais izmaiņu indekss (gads pret gadu)</w:t>
            </w:r>
          </w:p>
        </w:tc>
        <w:tc>
          <w:tcPr>
            <w:tcW w:w="952" w:type="dxa"/>
            <w:vMerge w:val="restart"/>
            <w:shd w:val="clear" w:color="000000" w:fill="C5E0B3"/>
            <w:vAlign w:val="center"/>
            <w:hideMark/>
          </w:tcPr>
          <w:p w14:paraId="3174D560" w14:textId="77777777" w:rsidR="000C3B1B" w:rsidRPr="000C3B1B" w:rsidRDefault="000C3B1B" w:rsidP="000C3B1B">
            <w:pPr>
              <w:jc w:val="center"/>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Cenrāža gadu skaits kopš aktualizācijas</w:t>
            </w:r>
          </w:p>
        </w:tc>
        <w:tc>
          <w:tcPr>
            <w:tcW w:w="1276" w:type="dxa"/>
            <w:vMerge w:val="restart"/>
            <w:shd w:val="clear" w:color="000000" w:fill="C5E0B3"/>
            <w:vAlign w:val="center"/>
            <w:hideMark/>
          </w:tcPr>
          <w:p w14:paraId="6A2AA08F" w14:textId="77777777" w:rsidR="000C3B1B" w:rsidRPr="000C3B1B" w:rsidRDefault="000C3B1B" w:rsidP="000C3B1B">
            <w:pPr>
              <w:jc w:val="center"/>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Vidējais izmaiņu indekss (kumulatīvs)</w:t>
            </w:r>
          </w:p>
        </w:tc>
      </w:tr>
      <w:tr w:rsidR="000C3B1B" w:rsidRPr="000C3B1B" w14:paraId="6DA670FB" w14:textId="77777777" w:rsidTr="000C3B1B">
        <w:trPr>
          <w:trHeight w:val="836"/>
          <w:jc w:val="center"/>
        </w:trPr>
        <w:tc>
          <w:tcPr>
            <w:tcW w:w="661" w:type="dxa"/>
            <w:vMerge/>
            <w:shd w:val="clear" w:color="000000" w:fill="C5E0B3"/>
            <w:vAlign w:val="center"/>
          </w:tcPr>
          <w:p w14:paraId="44B73467" w14:textId="77777777" w:rsidR="000C3B1B" w:rsidRPr="000C3B1B" w:rsidRDefault="000C3B1B" w:rsidP="000C3B1B">
            <w:pPr>
              <w:jc w:val="center"/>
              <w:rPr>
                <w:rFonts w:eastAsia="Times New Roman" w:cs="Times New Roman"/>
                <w:b/>
                <w:bCs/>
                <w:color w:val="000000"/>
                <w:sz w:val="18"/>
                <w:szCs w:val="18"/>
                <w:lang w:val="lv-LV" w:eastAsia="lv-LV"/>
              </w:rPr>
            </w:pPr>
          </w:p>
        </w:tc>
        <w:tc>
          <w:tcPr>
            <w:tcW w:w="759" w:type="dxa"/>
            <w:shd w:val="clear" w:color="000000" w:fill="C5E0B3"/>
            <w:vAlign w:val="center"/>
          </w:tcPr>
          <w:p w14:paraId="43622FE2" w14:textId="77777777" w:rsidR="000C3B1B" w:rsidRPr="000C3B1B" w:rsidRDefault="000C3B1B" w:rsidP="000C3B1B">
            <w:pPr>
              <w:jc w:val="center"/>
              <w:rPr>
                <w:rFonts w:eastAsia="Times New Roman" w:cs="Times New Roman"/>
                <w:b/>
                <w:bCs/>
                <w:i/>
                <w:iCs/>
                <w:color w:val="222222"/>
                <w:sz w:val="18"/>
                <w:szCs w:val="18"/>
                <w:lang w:val="lv-LV" w:eastAsia="lv-LV"/>
              </w:rPr>
            </w:pPr>
            <w:r w:rsidRPr="000C3B1B">
              <w:rPr>
                <w:rFonts w:eastAsia="Times New Roman" w:cs="Times New Roman"/>
                <w:b/>
                <w:bCs/>
                <w:i/>
                <w:iCs/>
                <w:color w:val="222222"/>
                <w:sz w:val="18"/>
                <w:szCs w:val="18"/>
                <w:lang w:val="lv-LV" w:eastAsia="lv-LV"/>
              </w:rPr>
              <w:t>euro</w:t>
            </w:r>
          </w:p>
        </w:tc>
        <w:tc>
          <w:tcPr>
            <w:tcW w:w="1056" w:type="dxa"/>
            <w:shd w:val="clear" w:color="000000" w:fill="C5E0B3"/>
            <w:vAlign w:val="center"/>
          </w:tcPr>
          <w:p w14:paraId="28D3B883" w14:textId="77777777" w:rsidR="000C3B1B" w:rsidRPr="000C3B1B" w:rsidRDefault="000C3B1B" w:rsidP="000C3B1B">
            <w:pPr>
              <w:jc w:val="center"/>
              <w:rPr>
                <w:rFonts w:eastAsia="Times New Roman" w:cs="Times New Roman"/>
                <w:b/>
                <w:bCs/>
                <w:color w:val="222222"/>
                <w:sz w:val="18"/>
                <w:szCs w:val="18"/>
                <w:lang w:val="lv-LV" w:eastAsia="lv-LV"/>
              </w:rPr>
            </w:pPr>
            <w:r w:rsidRPr="000C3B1B">
              <w:rPr>
                <w:rFonts w:eastAsia="Times New Roman" w:cs="Times New Roman"/>
                <w:b/>
                <w:bCs/>
                <w:color w:val="222222"/>
                <w:sz w:val="18"/>
                <w:szCs w:val="18"/>
                <w:lang w:val="lv-LV" w:eastAsia="lv-LV"/>
              </w:rPr>
              <w:t>Izmaiņas pret iepriekšējo gadu</w:t>
            </w:r>
          </w:p>
        </w:tc>
        <w:tc>
          <w:tcPr>
            <w:tcW w:w="1056" w:type="dxa"/>
            <w:shd w:val="clear" w:color="000000" w:fill="C5E0B3"/>
            <w:vAlign w:val="center"/>
          </w:tcPr>
          <w:p w14:paraId="5D5A3109" w14:textId="77777777" w:rsidR="000C3B1B" w:rsidRPr="000C3B1B" w:rsidRDefault="000C3B1B" w:rsidP="000C3B1B">
            <w:pPr>
              <w:jc w:val="center"/>
              <w:rPr>
                <w:rFonts w:eastAsia="Times New Roman" w:cs="Times New Roman"/>
                <w:b/>
                <w:bCs/>
                <w:color w:val="222222"/>
                <w:sz w:val="18"/>
                <w:szCs w:val="18"/>
                <w:lang w:val="lv-LV" w:eastAsia="lv-LV"/>
              </w:rPr>
            </w:pPr>
            <w:r w:rsidRPr="000C3B1B">
              <w:rPr>
                <w:rFonts w:eastAsia="Times New Roman" w:cs="Times New Roman"/>
                <w:b/>
                <w:bCs/>
                <w:color w:val="222222"/>
                <w:sz w:val="18"/>
                <w:szCs w:val="18"/>
                <w:lang w:val="lv-LV" w:eastAsia="lv-LV"/>
              </w:rPr>
              <w:t>Izmaiņas pret iepriekšējo gadu</w:t>
            </w:r>
          </w:p>
        </w:tc>
        <w:tc>
          <w:tcPr>
            <w:tcW w:w="908" w:type="dxa"/>
            <w:shd w:val="clear" w:color="000000" w:fill="C5E0B3"/>
            <w:vAlign w:val="center"/>
          </w:tcPr>
          <w:p w14:paraId="68180FFE" w14:textId="77777777" w:rsidR="000C3B1B" w:rsidRPr="000C3B1B" w:rsidRDefault="000C3B1B" w:rsidP="000C3B1B">
            <w:pPr>
              <w:jc w:val="center"/>
              <w:rPr>
                <w:rFonts w:eastAsia="Times New Roman" w:cs="Times New Roman"/>
                <w:b/>
                <w:bCs/>
                <w:color w:val="222222"/>
                <w:sz w:val="18"/>
                <w:szCs w:val="18"/>
                <w:lang w:val="lv-LV" w:eastAsia="lv-LV"/>
              </w:rPr>
            </w:pPr>
            <w:r w:rsidRPr="000C3B1B">
              <w:rPr>
                <w:rFonts w:eastAsia="Times New Roman" w:cs="Times New Roman"/>
                <w:b/>
                <w:bCs/>
                <w:color w:val="222222"/>
                <w:sz w:val="18"/>
                <w:szCs w:val="18"/>
                <w:lang w:val="lv-LV" w:eastAsia="lv-LV"/>
              </w:rPr>
              <w:t xml:space="preserve">milj, </w:t>
            </w:r>
            <w:r w:rsidRPr="000C3B1B">
              <w:rPr>
                <w:rFonts w:eastAsia="Times New Roman" w:cs="Times New Roman"/>
                <w:b/>
                <w:bCs/>
                <w:i/>
                <w:iCs/>
                <w:color w:val="222222"/>
                <w:sz w:val="18"/>
                <w:szCs w:val="18"/>
                <w:lang w:val="lv-LV" w:eastAsia="lv-LV"/>
              </w:rPr>
              <w:t>euro</w:t>
            </w:r>
          </w:p>
        </w:tc>
        <w:tc>
          <w:tcPr>
            <w:tcW w:w="1134" w:type="dxa"/>
            <w:shd w:val="clear" w:color="000000" w:fill="C5E0B3"/>
            <w:vAlign w:val="center"/>
          </w:tcPr>
          <w:p w14:paraId="7E2A686C" w14:textId="77777777" w:rsidR="000C3B1B" w:rsidRPr="000C3B1B" w:rsidRDefault="000C3B1B" w:rsidP="000C3B1B">
            <w:pPr>
              <w:jc w:val="center"/>
              <w:rPr>
                <w:rFonts w:eastAsia="Times New Roman" w:cs="Times New Roman"/>
                <w:b/>
                <w:bCs/>
                <w:color w:val="000000"/>
                <w:sz w:val="18"/>
                <w:szCs w:val="18"/>
                <w:lang w:val="lv-LV" w:eastAsia="lv-LV"/>
              </w:rPr>
            </w:pPr>
            <w:r w:rsidRPr="000C3B1B">
              <w:rPr>
                <w:rFonts w:eastAsia="Times New Roman" w:cs="Times New Roman"/>
                <w:b/>
                <w:bCs/>
                <w:color w:val="222222"/>
                <w:sz w:val="18"/>
                <w:szCs w:val="18"/>
                <w:lang w:val="lv-LV" w:eastAsia="lv-LV"/>
              </w:rPr>
              <w:t>Izmaiņas pret iepriekšējo gadu</w:t>
            </w:r>
          </w:p>
        </w:tc>
        <w:tc>
          <w:tcPr>
            <w:tcW w:w="982" w:type="dxa"/>
            <w:vMerge/>
            <w:shd w:val="clear" w:color="000000" w:fill="C5E0B3"/>
            <w:vAlign w:val="center"/>
          </w:tcPr>
          <w:p w14:paraId="3BF4FFAE" w14:textId="77777777" w:rsidR="000C3B1B" w:rsidRPr="000C3B1B" w:rsidRDefault="000C3B1B" w:rsidP="000C3B1B">
            <w:pPr>
              <w:jc w:val="center"/>
              <w:rPr>
                <w:rFonts w:eastAsia="Times New Roman" w:cs="Times New Roman"/>
                <w:b/>
                <w:bCs/>
                <w:color w:val="000000"/>
                <w:sz w:val="20"/>
                <w:szCs w:val="20"/>
                <w:lang w:val="lv-LV" w:eastAsia="lv-LV"/>
              </w:rPr>
            </w:pPr>
          </w:p>
        </w:tc>
        <w:tc>
          <w:tcPr>
            <w:tcW w:w="952" w:type="dxa"/>
            <w:vMerge/>
            <w:shd w:val="clear" w:color="000000" w:fill="C5E0B3"/>
            <w:vAlign w:val="center"/>
          </w:tcPr>
          <w:p w14:paraId="41018735" w14:textId="77777777" w:rsidR="000C3B1B" w:rsidRPr="000C3B1B" w:rsidRDefault="000C3B1B" w:rsidP="000C3B1B">
            <w:pPr>
              <w:jc w:val="center"/>
              <w:rPr>
                <w:rFonts w:eastAsia="Times New Roman" w:cs="Times New Roman"/>
                <w:b/>
                <w:bCs/>
                <w:color w:val="000000"/>
                <w:sz w:val="20"/>
                <w:szCs w:val="20"/>
                <w:lang w:val="lv-LV" w:eastAsia="lv-LV"/>
              </w:rPr>
            </w:pPr>
          </w:p>
        </w:tc>
        <w:tc>
          <w:tcPr>
            <w:tcW w:w="1276" w:type="dxa"/>
            <w:vMerge/>
            <w:shd w:val="clear" w:color="000000" w:fill="C5E0B3"/>
            <w:vAlign w:val="center"/>
          </w:tcPr>
          <w:p w14:paraId="72ACE3A7" w14:textId="77777777" w:rsidR="000C3B1B" w:rsidRPr="000C3B1B" w:rsidRDefault="000C3B1B" w:rsidP="000C3B1B">
            <w:pPr>
              <w:jc w:val="center"/>
              <w:rPr>
                <w:rFonts w:eastAsia="Times New Roman" w:cs="Times New Roman"/>
                <w:b/>
                <w:bCs/>
                <w:color w:val="000000"/>
                <w:sz w:val="20"/>
                <w:szCs w:val="20"/>
                <w:lang w:val="lv-LV" w:eastAsia="lv-LV"/>
              </w:rPr>
            </w:pPr>
          </w:p>
        </w:tc>
      </w:tr>
      <w:tr w:rsidR="000C3B1B" w:rsidRPr="000C3B1B" w14:paraId="32EEC06D" w14:textId="77777777" w:rsidTr="000C3B1B">
        <w:trPr>
          <w:trHeight w:val="330"/>
          <w:jc w:val="center"/>
        </w:trPr>
        <w:tc>
          <w:tcPr>
            <w:tcW w:w="661" w:type="dxa"/>
            <w:shd w:val="clear" w:color="000000" w:fill="F2F2F2"/>
            <w:vAlign w:val="center"/>
            <w:hideMark/>
          </w:tcPr>
          <w:p w14:paraId="25493C01"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2008</w:t>
            </w:r>
          </w:p>
        </w:tc>
        <w:tc>
          <w:tcPr>
            <w:tcW w:w="759" w:type="dxa"/>
            <w:shd w:val="clear" w:color="000000" w:fill="FFFFFF"/>
            <w:noWrap/>
            <w:vAlign w:val="center"/>
            <w:hideMark/>
          </w:tcPr>
          <w:p w14:paraId="058FBEB8"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806</w:t>
            </w:r>
          </w:p>
        </w:tc>
        <w:tc>
          <w:tcPr>
            <w:tcW w:w="1056" w:type="dxa"/>
            <w:shd w:val="clear" w:color="000000" w:fill="FFFFFF"/>
            <w:vAlign w:val="center"/>
          </w:tcPr>
          <w:p w14:paraId="76944FD7"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1,20</w:t>
            </w:r>
          </w:p>
        </w:tc>
        <w:tc>
          <w:tcPr>
            <w:tcW w:w="1056" w:type="dxa"/>
            <w:shd w:val="clear" w:color="000000" w:fill="FFFFFF"/>
            <w:noWrap/>
            <w:vAlign w:val="center"/>
            <w:hideMark/>
          </w:tcPr>
          <w:p w14:paraId="32C7D162"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1,11</w:t>
            </w:r>
          </w:p>
        </w:tc>
        <w:tc>
          <w:tcPr>
            <w:tcW w:w="908" w:type="dxa"/>
            <w:shd w:val="clear" w:color="000000" w:fill="FFFFFF"/>
            <w:noWrap/>
            <w:vAlign w:val="center"/>
            <w:hideMark/>
          </w:tcPr>
          <w:p w14:paraId="36B87432"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1 508,80</w:t>
            </w:r>
          </w:p>
        </w:tc>
        <w:tc>
          <w:tcPr>
            <w:tcW w:w="1134" w:type="dxa"/>
            <w:shd w:val="clear" w:color="000000" w:fill="FFFFFF"/>
            <w:vAlign w:val="center"/>
          </w:tcPr>
          <w:p w14:paraId="5D4E629A"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1,22</w:t>
            </w:r>
          </w:p>
        </w:tc>
        <w:tc>
          <w:tcPr>
            <w:tcW w:w="982" w:type="dxa"/>
            <w:shd w:val="clear" w:color="000000" w:fill="FFFFFF"/>
            <w:noWrap/>
            <w:vAlign w:val="center"/>
            <w:hideMark/>
          </w:tcPr>
          <w:p w14:paraId="23298FE1"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1,18</w:t>
            </w:r>
          </w:p>
        </w:tc>
        <w:tc>
          <w:tcPr>
            <w:tcW w:w="952" w:type="dxa"/>
            <w:shd w:val="clear" w:color="000000" w:fill="FFFFFF"/>
            <w:noWrap/>
            <w:vAlign w:val="center"/>
            <w:hideMark/>
          </w:tcPr>
          <w:p w14:paraId="0C816DBA"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13</w:t>
            </w:r>
          </w:p>
        </w:tc>
        <w:tc>
          <w:tcPr>
            <w:tcW w:w="1276" w:type="dxa"/>
            <w:shd w:val="clear" w:color="000000" w:fill="FFFFFF"/>
            <w:noWrap/>
            <w:vAlign w:val="center"/>
            <w:hideMark/>
          </w:tcPr>
          <w:p w14:paraId="5C5B3AE1"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1,90401</w:t>
            </w:r>
          </w:p>
        </w:tc>
      </w:tr>
      <w:tr w:rsidR="000C3B1B" w:rsidRPr="000C3B1B" w14:paraId="25E2B9E8" w14:textId="77777777" w:rsidTr="000C3B1B">
        <w:trPr>
          <w:trHeight w:val="330"/>
          <w:jc w:val="center"/>
        </w:trPr>
        <w:tc>
          <w:tcPr>
            <w:tcW w:w="661" w:type="dxa"/>
            <w:shd w:val="clear" w:color="000000" w:fill="F2F2F2"/>
            <w:vAlign w:val="center"/>
            <w:hideMark/>
          </w:tcPr>
          <w:p w14:paraId="0C58E4A7"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2009</w:t>
            </w:r>
          </w:p>
        </w:tc>
        <w:tc>
          <w:tcPr>
            <w:tcW w:w="759" w:type="dxa"/>
            <w:shd w:val="clear" w:color="000000" w:fill="FFFFFF"/>
            <w:noWrap/>
            <w:vAlign w:val="center"/>
            <w:hideMark/>
          </w:tcPr>
          <w:p w14:paraId="49487FFB"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719</w:t>
            </w:r>
          </w:p>
        </w:tc>
        <w:tc>
          <w:tcPr>
            <w:tcW w:w="1056" w:type="dxa"/>
            <w:shd w:val="clear" w:color="000000" w:fill="FFFFFF"/>
            <w:vAlign w:val="center"/>
          </w:tcPr>
          <w:p w14:paraId="7D62AB8D"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0,96</w:t>
            </w:r>
          </w:p>
        </w:tc>
        <w:tc>
          <w:tcPr>
            <w:tcW w:w="1056" w:type="dxa"/>
            <w:shd w:val="clear" w:color="000000" w:fill="FFFFFF"/>
            <w:noWrap/>
            <w:vAlign w:val="center"/>
            <w:hideMark/>
          </w:tcPr>
          <w:p w14:paraId="4D5C4B97"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0,99</w:t>
            </w:r>
          </w:p>
        </w:tc>
        <w:tc>
          <w:tcPr>
            <w:tcW w:w="908" w:type="dxa"/>
            <w:shd w:val="clear" w:color="000000" w:fill="FFFFFF"/>
            <w:noWrap/>
            <w:vAlign w:val="center"/>
            <w:hideMark/>
          </w:tcPr>
          <w:p w14:paraId="68CCB3FF"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1 151,80</w:t>
            </w:r>
          </w:p>
        </w:tc>
        <w:tc>
          <w:tcPr>
            <w:tcW w:w="1134" w:type="dxa"/>
            <w:shd w:val="clear" w:color="000000" w:fill="FFFFFF"/>
            <w:vAlign w:val="center"/>
          </w:tcPr>
          <w:p w14:paraId="10223D2B"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0,77</w:t>
            </w:r>
          </w:p>
        </w:tc>
        <w:tc>
          <w:tcPr>
            <w:tcW w:w="982" w:type="dxa"/>
            <w:shd w:val="clear" w:color="000000" w:fill="FFFFFF"/>
            <w:noWrap/>
            <w:vAlign w:val="center"/>
            <w:hideMark/>
          </w:tcPr>
          <w:p w14:paraId="0C9153F2"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0,91</w:t>
            </w:r>
          </w:p>
        </w:tc>
        <w:tc>
          <w:tcPr>
            <w:tcW w:w="952" w:type="dxa"/>
            <w:shd w:val="clear" w:color="000000" w:fill="FFFFFF"/>
            <w:noWrap/>
            <w:vAlign w:val="center"/>
            <w:hideMark/>
          </w:tcPr>
          <w:p w14:paraId="3E4E1CAB"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12</w:t>
            </w:r>
          </w:p>
        </w:tc>
        <w:tc>
          <w:tcPr>
            <w:tcW w:w="1276" w:type="dxa"/>
            <w:shd w:val="clear" w:color="000000" w:fill="FFFFFF"/>
            <w:noWrap/>
            <w:vAlign w:val="center"/>
            <w:hideMark/>
          </w:tcPr>
          <w:p w14:paraId="55AE96F9"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1,56880</w:t>
            </w:r>
          </w:p>
        </w:tc>
      </w:tr>
      <w:tr w:rsidR="000C3B1B" w:rsidRPr="000C3B1B" w14:paraId="5DDF086E" w14:textId="77777777" w:rsidTr="000C3B1B">
        <w:trPr>
          <w:trHeight w:val="330"/>
          <w:jc w:val="center"/>
        </w:trPr>
        <w:tc>
          <w:tcPr>
            <w:tcW w:w="661" w:type="dxa"/>
            <w:shd w:val="clear" w:color="000000" w:fill="F2F2F2"/>
            <w:vAlign w:val="center"/>
            <w:hideMark/>
          </w:tcPr>
          <w:p w14:paraId="0602BEE5"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2010</w:t>
            </w:r>
          </w:p>
        </w:tc>
        <w:tc>
          <w:tcPr>
            <w:tcW w:w="759" w:type="dxa"/>
            <w:shd w:val="clear" w:color="000000" w:fill="FFFFFF"/>
            <w:noWrap/>
            <w:vAlign w:val="center"/>
            <w:hideMark/>
          </w:tcPr>
          <w:p w14:paraId="326200DA"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669</w:t>
            </w:r>
          </w:p>
        </w:tc>
        <w:tc>
          <w:tcPr>
            <w:tcW w:w="1056" w:type="dxa"/>
            <w:shd w:val="clear" w:color="000000" w:fill="FFFFFF"/>
            <w:vAlign w:val="center"/>
          </w:tcPr>
          <w:p w14:paraId="74C784BB"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0,97</w:t>
            </w:r>
          </w:p>
        </w:tc>
        <w:tc>
          <w:tcPr>
            <w:tcW w:w="1056" w:type="dxa"/>
            <w:shd w:val="clear" w:color="000000" w:fill="FFFFFF"/>
            <w:noWrap/>
            <w:vAlign w:val="center"/>
            <w:hideMark/>
          </w:tcPr>
          <w:p w14:paraId="253BFC76"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1,03</w:t>
            </w:r>
          </w:p>
        </w:tc>
        <w:tc>
          <w:tcPr>
            <w:tcW w:w="908" w:type="dxa"/>
            <w:shd w:val="clear" w:color="000000" w:fill="FFFFFF"/>
            <w:noWrap/>
            <w:vAlign w:val="center"/>
            <w:hideMark/>
          </w:tcPr>
          <w:p w14:paraId="0950FE88"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1 181,20</w:t>
            </w:r>
          </w:p>
        </w:tc>
        <w:tc>
          <w:tcPr>
            <w:tcW w:w="1134" w:type="dxa"/>
            <w:shd w:val="clear" w:color="000000" w:fill="FFFFFF"/>
            <w:vAlign w:val="center"/>
          </w:tcPr>
          <w:p w14:paraId="03415BB6"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1,02</w:t>
            </w:r>
          </w:p>
        </w:tc>
        <w:tc>
          <w:tcPr>
            <w:tcW w:w="982" w:type="dxa"/>
            <w:shd w:val="clear" w:color="000000" w:fill="FFFFFF"/>
            <w:noWrap/>
            <w:vAlign w:val="center"/>
            <w:hideMark/>
          </w:tcPr>
          <w:p w14:paraId="7D680059"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1,00</w:t>
            </w:r>
          </w:p>
        </w:tc>
        <w:tc>
          <w:tcPr>
            <w:tcW w:w="952" w:type="dxa"/>
            <w:shd w:val="clear" w:color="000000" w:fill="FFFFFF"/>
            <w:noWrap/>
            <w:vAlign w:val="center"/>
            <w:hideMark/>
          </w:tcPr>
          <w:p w14:paraId="19E24F1F"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11</w:t>
            </w:r>
          </w:p>
        </w:tc>
        <w:tc>
          <w:tcPr>
            <w:tcW w:w="1276" w:type="dxa"/>
            <w:shd w:val="clear" w:color="000000" w:fill="FFFFFF"/>
            <w:noWrap/>
            <w:vAlign w:val="center"/>
            <w:hideMark/>
          </w:tcPr>
          <w:p w14:paraId="1A021B53"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1,33120</w:t>
            </w:r>
          </w:p>
        </w:tc>
      </w:tr>
      <w:tr w:rsidR="000C3B1B" w:rsidRPr="000C3B1B" w14:paraId="3359CEA9" w14:textId="77777777" w:rsidTr="000C3B1B">
        <w:trPr>
          <w:trHeight w:val="330"/>
          <w:jc w:val="center"/>
        </w:trPr>
        <w:tc>
          <w:tcPr>
            <w:tcW w:w="661" w:type="dxa"/>
            <w:shd w:val="clear" w:color="000000" w:fill="F2F2F2"/>
            <w:vAlign w:val="center"/>
            <w:hideMark/>
          </w:tcPr>
          <w:p w14:paraId="50535687"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2011</w:t>
            </w:r>
          </w:p>
        </w:tc>
        <w:tc>
          <w:tcPr>
            <w:tcW w:w="759" w:type="dxa"/>
            <w:shd w:val="clear" w:color="000000" w:fill="FFFFFF"/>
            <w:noWrap/>
            <w:vAlign w:val="center"/>
            <w:hideMark/>
          </w:tcPr>
          <w:p w14:paraId="282B4878"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701</w:t>
            </w:r>
          </w:p>
        </w:tc>
        <w:tc>
          <w:tcPr>
            <w:tcW w:w="1056" w:type="dxa"/>
            <w:shd w:val="clear" w:color="000000" w:fill="FFFFFF"/>
            <w:vAlign w:val="center"/>
          </w:tcPr>
          <w:p w14:paraId="1F87EBC1"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1,04</w:t>
            </w:r>
          </w:p>
        </w:tc>
        <w:tc>
          <w:tcPr>
            <w:tcW w:w="1056" w:type="dxa"/>
            <w:shd w:val="clear" w:color="000000" w:fill="FFFFFF"/>
            <w:noWrap/>
            <w:vAlign w:val="center"/>
            <w:hideMark/>
          </w:tcPr>
          <w:p w14:paraId="3C6BFB84"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1,04</w:t>
            </w:r>
          </w:p>
        </w:tc>
        <w:tc>
          <w:tcPr>
            <w:tcW w:w="908" w:type="dxa"/>
            <w:shd w:val="clear" w:color="000000" w:fill="FFFFFF"/>
            <w:noWrap/>
            <w:vAlign w:val="center"/>
            <w:hideMark/>
          </w:tcPr>
          <w:p w14:paraId="159CDDD5"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1 342,70</w:t>
            </w:r>
          </w:p>
        </w:tc>
        <w:tc>
          <w:tcPr>
            <w:tcW w:w="1134" w:type="dxa"/>
            <w:shd w:val="clear" w:color="000000" w:fill="FFFFFF"/>
            <w:vAlign w:val="center"/>
          </w:tcPr>
          <w:p w14:paraId="3DF6F6EA"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1,13</w:t>
            </w:r>
          </w:p>
        </w:tc>
        <w:tc>
          <w:tcPr>
            <w:tcW w:w="982" w:type="dxa"/>
            <w:shd w:val="clear" w:color="000000" w:fill="FFFFFF"/>
            <w:noWrap/>
            <w:vAlign w:val="center"/>
            <w:hideMark/>
          </w:tcPr>
          <w:p w14:paraId="466B543C"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1,07</w:t>
            </w:r>
          </w:p>
        </w:tc>
        <w:tc>
          <w:tcPr>
            <w:tcW w:w="952" w:type="dxa"/>
            <w:shd w:val="clear" w:color="000000" w:fill="FFFFFF"/>
            <w:noWrap/>
            <w:vAlign w:val="center"/>
            <w:hideMark/>
          </w:tcPr>
          <w:p w14:paraId="1E8B6AD9"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w:t>
            </w:r>
          </w:p>
        </w:tc>
        <w:tc>
          <w:tcPr>
            <w:tcW w:w="1276" w:type="dxa"/>
            <w:shd w:val="clear" w:color="000000" w:fill="FFFFFF"/>
            <w:noWrap/>
            <w:vAlign w:val="center"/>
            <w:hideMark/>
          </w:tcPr>
          <w:p w14:paraId="658ED3A2"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1,47046</w:t>
            </w:r>
          </w:p>
        </w:tc>
      </w:tr>
      <w:tr w:rsidR="000C3B1B" w:rsidRPr="000C3B1B" w14:paraId="75D74B28" w14:textId="77777777" w:rsidTr="000C3B1B">
        <w:trPr>
          <w:trHeight w:val="330"/>
          <w:jc w:val="center"/>
        </w:trPr>
        <w:tc>
          <w:tcPr>
            <w:tcW w:w="661" w:type="dxa"/>
            <w:shd w:val="clear" w:color="000000" w:fill="F2F2F2"/>
            <w:vAlign w:val="center"/>
            <w:hideMark/>
          </w:tcPr>
          <w:p w14:paraId="1759F6F3"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2012</w:t>
            </w:r>
          </w:p>
        </w:tc>
        <w:tc>
          <w:tcPr>
            <w:tcW w:w="759" w:type="dxa"/>
            <w:shd w:val="clear" w:color="000000" w:fill="FFFFFF"/>
            <w:noWrap/>
            <w:vAlign w:val="center"/>
            <w:hideMark/>
          </w:tcPr>
          <w:p w14:paraId="71637BAD"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732</w:t>
            </w:r>
          </w:p>
        </w:tc>
        <w:tc>
          <w:tcPr>
            <w:tcW w:w="1056" w:type="dxa"/>
            <w:shd w:val="clear" w:color="000000" w:fill="FFFFFF"/>
            <w:vAlign w:val="center"/>
          </w:tcPr>
          <w:p w14:paraId="108C8CEB"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1,04</w:t>
            </w:r>
          </w:p>
        </w:tc>
        <w:tc>
          <w:tcPr>
            <w:tcW w:w="1056" w:type="dxa"/>
            <w:shd w:val="clear" w:color="000000" w:fill="FFFFFF"/>
            <w:noWrap/>
            <w:vAlign w:val="center"/>
            <w:hideMark/>
          </w:tcPr>
          <w:p w14:paraId="7B06CA97"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1,02</w:t>
            </w:r>
          </w:p>
        </w:tc>
        <w:tc>
          <w:tcPr>
            <w:tcW w:w="908" w:type="dxa"/>
            <w:shd w:val="clear" w:color="000000" w:fill="FFFFFF"/>
            <w:noWrap/>
            <w:vAlign w:val="center"/>
            <w:hideMark/>
          </w:tcPr>
          <w:p w14:paraId="4E96FE09"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1 339,30</w:t>
            </w:r>
          </w:p>
        </w:tc>
        <w:tc>
          <w:tcPr>
            <w:tcW w:w="1134" w:type="dxa"/>
            <w:shd w:val="clear" w:color="000000" w:fill="FFFFFF"/>
            <w:vAlign w:val="center"/>
          </w:tcPr>
          <w:p w14:paraId="119C90CA"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1,00</w:t>
            </w:r>
          </w:p>
        </w:tc>
        <w:tc>
          <w:tcPr>
            <w:tcW w:w="982" w:type="dxa"/>
            <w:shd w:val="clear" w:color="000000" w:fill="FFFFFF"/>
            <w:noWrap/>
            <w:vAlign w:val="center"/>
            <w:hideMark/>
          </w:tcPr>
          <w:p w14:paraId="3E6B4FFA"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1,02</w:t>
            </w:r>
          </w:p>
        </w:tc>
        <w:tc>
          <w:tcPr>
            <w:tcW w:w="952" w:type="dxa"/>
            <w:shd w:val="clear" w:color="000000" w:fill="FFFFFF"/>
            <w:noWrap/>
            <w:vAlign w:val="center"/>
            <w:hideMark/>
          </w:tcPr>
          <w:p w14:paraId="35E8054F"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9</w:t>
            </w:r>
          </w:p>
        </w:tc>
        <w:tc>
          <w:tcPr>
            <w:tcW w:w="1276" w:type="dxa"/>
            <w:shd w:val="clear" w:color="000000" w:fill="FFFFFF"/>
            <w:noWrap/>
            <w:vAlign w:val="center"/>
            <w:hideMark/>
          </w:tcPr>
          <w:p w14:paraId="21207939"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1,46415</w:t>
            </w:r>
          </w:p>
        </w:tc>
      </w:tr>
      <w:tr w:rsidR="000C3B1B" w:rsidRPr="000C3B1B" w14:paraId="01DDA755" w14:textId="77777777" w:rsidTr="000C3B1B">
        <w:trPr>
          <w:trHeight w:val="330"/>
          <w:jc w:val="center"/>
        </w:trPr>
        <w:tc>
          <w:tcPr>
            <w:tcW w:w="661" w:type="dxa"/>
            <w:shd w:val="clear" w:color="000000" w:fill="F2F2F2"/>
            <w:vAlign w:val="center"/>
            <w:hideMark/>
          </w:tcPr>
          <w:p w14:paraId="5F6B3A5C"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2013</w:t>
            </w:r>
          </w:p>
        </w:tc>
        <w:tc>
          <w:tcPr>
            <w:tcW w:w="759" w:type="dxa"/>
            <w:shd w:val="clear" w:color="000000" w:fill="FFFFFF"/>
            <w:noWrap/>
            <w:vAlign w:val="center"/>
            <w:hideMark/>
          </w:tcPr>
          <w:p w14:paraId="2FAACCF1"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766</w:t>
            </w:r>
          </w:p>
        </w:tc>
        <w:tc>
          <w:tcPr>
            <w:tcW w:w="1056" w:type="dxa"/>
            <w:shd w:val="clear" w:color="000000" w:fill="FFFFFF"/>
            <w:vAlign w:val="center"/>
          </w:tcPr>
          <w:p w14:paraId="4684F425"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1,05</w:t>
            </w:r>
          </w:p>
        </w:tc>
        <w:tc>
          <w:tcPr>
            <w:tcW w:w="1056" w:type="dxa"/>
            <w:shd w:val="clear" w:color="000000" w:fill="FFFFFF"/>
            <w:noWrap/>
            <w:vAlign w:val="center"/>
            <w:hideMark/>
          </w:tcPr>
          <w:p w14:paraId="75970AED"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1,00</w:t>
            </w:r>
          </w:p>
        </w:tc>
        <w:tc>
          <w:tcPr>
            <w:tcW w:w="908" w:type="dxa"/>
            <w:shd w:val="clear" w:color="000000" w:fill="FFFFFF"/>
            <w:noWrap/>
            <w:vAlign w:val="center"/>
            <w:hideMark/>
          </w:tcPr>
          <w:p w14:paraId="3E8B1DFC"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1 427,40</w:t>
            </w:r>
          </w:p>
        </w:tc>
        <w:tc>
          <w:tcPr>
            <w:tcW w:w="1134" w:type="dxa"/>
            <w:shd w:val="clear" w:color="000000" w:fill="FFFFFF"/>
            <w:vAlign w:val="center"/>
          </w:tcPr>
          <w:p w14:paraId="7A0A17FF"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1,07</w:t>
            </w:r>
          </w:p>
        </w:tc>
        <w:tc>
          <w:tcPr>
            <w:tcW w:w="982" w:type="dxa"/>
            <w:shd w:val="clear" w:color="000000" w:fill="FFFFFF"/>
            <w:noWrap/>
            <w:vAlign w:val="center"/>
            <w:hideMark/>
          </w:tcPr>
          <w:p w14:paraId="70478E77"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1,04</w:t>
            </w:r>
          </w:p>
        </w:tc>
        <w:tc>
          <w:tcPr>
            <w:tcW w:w="952" w:type="dxa"/>
            <w:shd w:val="clear" w:color="000000" w:fill="FFFFFF"/>
            <w:noWrap/>
            <w:vAlign w:val="center"/>
            <w:hideMark/>
          </w:tcPr>
          <w:p w14:paraId="04315CC0"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8</w:t>
            </w:r>
          </w:p>
        </w:tc>
        <w:tc>
          <w:tcPr>
            <w:tcW w:w="1276" w:type="dxa"/>
            <w:shd w:val="clear" w:color="000000" w:fill="FFFFFF"/>
            <w:noWrap/>
            <w:vAlign w:val="center"/>
            <w:hideMark/>
          </w:tcPr>
          <w:p w14:paraId="74BFEC6A"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1,36907</w:t>
            </w:r>
          </w:p>
        </w:tc>
      </w:tr>
      <w:tr w:rsidR="000C3B1B" w:rsidRPr="000C3B1B" w14:paraId="3BD51989" w14:textId="77777777" w:rsidTr="000C3B1B">
        <w:trPr>
          <w:trHeight w:val="330"/>
          <w:jc w:val="center"/>
        </w:trPr>
        <w:tc>
          <w:tcPr>
            <w:tcW w:w="661" w:type="dxa"/>
            <w:shd w:val="clear" w:color="000000" w:fill="F2F2F2"/>
            <w:vAlign w:val="center"/>
            <w:hideMark/>
          </w:tcPr>
          <w:p w14:paraId="2F690F11"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2014</w:t>
            </w:r>
          </w:p>
        </w:tc>
        <w:tc>
          <w:tcPr>
            <w:tcW w:w="759" w:type="dxa"/>
            <w:shd w:val="clear" w:color="000000" w:fill="FFFFFF"/>
            <w:noWrap/>
            <w:vAlign w:val="center"/>
            <w:hideMark/>
          </w:tcPr>
          <w:p w14:paraId="6C73D8F1"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813</w:t>
            </w:r>
          </w:p>
        </w:tc>
        <w:tc>
          <w:tcPr>
            <w:tcW w:w="1056" w:type="dxa"/>
            <w:shd w:val="clear" w:color="000000" w:fill="FFFFFF"/>
            <w:vAlign w:val="center"/>
          </w:tcPr>
          <w:p w14:paraId="33567742"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1,07</w:t>
            </w:r>
          </w:p>
        </w:tc>
        <w:tc>
          <w:tcPr>
            <w:tcW w:w="1056" w:type="dxa"/>
            <w:shd w:val="clear" w:color="000000" w:fill="FFFFFF"/>
            <w:noWrap/>
            <w:vAlign w:val="center"/>
            <w:hideMark/>
          </w:tcPr>
          <w:p w14:paraId="1729F36C"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1,00</w:t>
            </w:r>
          </w:p>
        </w:tc>
        <w:tc>
          <w:tcPr>
            <w:tcW w:w="908" w:type="dxa"/>
            <w:shd w:val="clear" w:color="000000" w:fill="FFFFFF"/>
            <w:noWrap/>
            <w:vAlign w:val="center"/>
            <w:hideMark/>
          </w:tcPr>
          <w:p w14:paraId="3F6C44E9"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1 448,50</w:t>
            </w:r>
          </w:p>
        </w:tc>
        <w:tc>
          <w:tcPr>
            <w:tcW w:w="1134" w:type="dxa"/>
            <w:shd w:val="clear" w:color="000000" w:fill="FFFFFF"/>
            <w:vAlign w:val="center"/>
          </w:tcPr>
          <w:p w14:paraId="379C6DD8"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1,04</w:t>
            </w:r>
          </w:p>
        </w:tc>
        <w:tc>
          <w:tcPr>
            <w:tcW w:w="982" w:type="dxa"/>
            <w:shd w:val="clear" w:color="000000" w:fill="FFFFFF"/>
            <w:noWrap/>
            <w:vAlign w:val="center"/>
            <w:hideMark/>
          </w:tcPr>
          <w:p w14:paraId="072ED116"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1,04</w:t>
            </w:r>
          </w:p>
        </w:tc>
        <w:tc>
          <w:tcPr>
            <w:tcW w:w="952" w:type="dxa"/>
            <w:shd w:val="clear" w:color="000000" w:fill="FFFFFF"/>
            <w:noWrap/>
            <w:vAlign w:val="center"/>
            <w:hideMark/>
          </w:tcPr>
          <w:p w14:paraId="2A17F5C3"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7</w:t>
            </w:r>
          </w:p>
        </w:tc>
        <w:tc>
          <w:tcPr>
            <w:tcW w:w="1276" w:type="dxa"/>
            <w:shd w:val="clear" w:color="000000" w:fill="FFFFFF"/>
            <w:noWrap/>
            <w:vAlign w:val="center"/>
            <w:hideMark/>
          </w:tcPr>
          <w:p w14:paraId="743BF93A"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1,34624</w:t>
            </w:r>
          </w:p>
        </w:tc>
      </w:tr>
      <w:tr w:rsidR="000C3B1B" w:rsidRPr="000C3B1B" w14:paraId="19B720FB" w14:textId="77777777" w:rsidTr="000C3B1B">
        <w:trPr>
          <w:trHeight w:val="330"/>
          <w:jc w:val="center"/>
        </w:trPr>
        <w:tc>
          <w:tcPr>
            <w:tcW w:w="661" w:type="dxa"/>
            <w:shd w:val="clear" w:color="000000" w:fill="F2F2F2"/>
            <w:vAlign w:val="center"/>
            <w:hideMark/>
          </w:tcPr>
          <w:p w14:paraId="79417329"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2015</w:t>
            </w:r>
          </w:p>
        </w:tc>
        <w:tc>
          <w:tcPr>
            <w:tcW w:w="759" w:type="dxa"/>
            <w:shd w:val="clear" w:color="000000" w:fill="FFFFFF"/>
            <w:noWrap/>
            <w:vAlign w:val="center"/>
            <w:hideMark/>
          </w:tcPr>
          <w:p w14:paraId="5EEBD64B"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855</w:t>
            </w:r>
          </w:p>
        </w:tc>
        <w:tc>
          <w:tcPr>
            <w:tcW w:w="1056" w:type="dxa"/>
            <w:shd w:val="clear" w:color="000000" w:fill="FFFFFF"/>
            <w:vAlign w:val="center"/>
          </w:tcPr>
          <w:p w14:paraId="1888D264"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1,07</w:t>
            </w:r>
          </w:p>
        </w:tc>
        <w:tc>
          <w:tcPr>
            <w:tcW w:w="1056" w:type="dxa"/>
            <w:shd w:val="clear" w:color="000000" w:fill="FFFFFF"/>
            <w:noWrap/>
            <w:vAlign w:val="center"/>
            <w:hideMark/>
          </w:tcPr>
          <w:p w14:paraId="53FC0352"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1,00</w:t>
            </w:r>
          </w:p>
        </w:tc>
        <w:tc>
          <w:tcPr>
            <w:tcW w:w="908" w:type="dxa"/>
            <w:shd w:val="clear" w:color="000000" w:fill="FFFFFF"/>
            <w:noWrap/>
            <w:vAlign w:val="center"/>
            <w:hideMark/>
          </w:tcPr>
          <w:p w14:paraId="06183516"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1 509,60</w:t>
            </w:r>
          </w:p>
        </w:tc>
        <w:tc>
          <w:tcPr>
            <w:tcW w:w="1134" w:type="dxa"/>
            <w:shd w:val="clear" w:color="000000" w:fill="FFFFFF"/>
            <w:vAlign w:val="center"/>
          </w:tcPr>
          <w:p w14:paraId="69B94DBA"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1,03</w:t>
            </w:r>
          </w:p>
        </w:tc>
        <w:tc>
          <w:tcPr>
            <w:tcW w:w="982" w:type="dxa"/>
            <w:shd w:val="clear" w:color="000000" w:fill="FFFFFF"/>
            <w:noWrap/>
            <w:vAlign w:val="center"/>
            <w:hideMark/>
          </w:tcPr>
          <w:p w14:paraId="04E7D661"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1,03</w:t>
            </w:r>
          </w:p>
        </w:tc>
        <w:tc>
          <w:tcPr>
            <w:tcW w:w="952" w:type="dxa"/>
            <w:shd w:val="clear" w:color="000000" w:fill="FFFFFF"/>
            <w:noWrap/>
            <w:vAlign w:val="center"/>
            <w:hideMark/>
          </w:tcPr>
          <w:p w14:paraId="4D17F9BD"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6</w:t>
            </w:r>
          </w:p>
        </w:tc>
        <w:tc>
          <w:tcPr>
            <w:tcW w:w="1276" w:type="dxa"/>
            <w:shd w:val="clear" w:color="000000" w:fill="FFFFFF"/>
            <w:noWrap/>
            <w:vAlign w:val="center"/>
            <w:hideMark/>
          </w:tcPr>
          <w:p w14:paraId="2BD4B1D6"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1,29800</w:t>
            </w:r>
          </w:p>
        </w:tc>
      </w:tr>
      <w:tr w:rsidR="000C3B1B" w:rsidRPr="000C3B1B" w14:paraId="39610A7F" w14:textId="77777777" w:rsidTr="000C3B1B">
        <w:trPr>
          <w:trHeight w:val="330"/>
          <w:jc w:val="center"/>
        </w:trPr>
        <w:tc>
          <w:tcPr>
            <w:tcW w:w="661" w:type="dxa"/>
            <w:shd w:val="clear" w:color="000000" w:fill="F2F2F2"/>
            <w:vAlign w:val="center"/>
            <w:hideMark/>
          </w:tcPr>
          <w:p w14:paraId="2179068A"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2016</w:t>
            </w:r>
          </w:p>
        </w:tc>
        <w:tc>
          <w:tcPr>
            <w:tcW w:w="759" w:type="dxa"/>
            <w:shd w:val="clear" w:color="000000" w:fill="FFFFFF"/>
            <w:noWrap/>
            <w:vAlign w:val="center"/>
            <w:hideMark/>
          </w:tcPr>
          <w:p w14:paraId="3AFCAF4E"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886</w:t>
            </w:r>
          </w:p>
        </w:tc>
        <w:tc>
          <w:tcPr>
            <w:tcW w:w="1056" w:type="dxa"/>
            <w:shd w:val="clear" w:color="000000" w:fill="FFFFFF"/>
            <w:vAlign w:val="center"/>
          </w:tcPr>
          <w:p w14:paraId="0ADE0EA4"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1,05</w:t>
            </w:r>
          </w:p>
        </w:tc>
        <w:tc>
          <w:tcPr>
            <w:tcW w:w="1056" w:type="dxa"/>
            <w:shd w:val="clear" w:color="000000" w:fill="FFFFFF"/>
            <w:noWrap/>
            <w:vAlign w:val="center"/>
            <w:hideMark/>
          </w:tcPr>
          <w:p w14:paraId="03E4721D"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1,02</w:t>
            </w:r>
          </w:p>
        </w:tc>
        <w:tc>
          <w:tcPr>
            <w:tcW w:w="908" w:type="dxa"/>
            <w:shd w:val="clear" w:color="000000" w:fill="FFFFFF"/>
            <w:noWrap/>
            <w:vAlign w:val="center"/>
            <w:hideMark/>
          </w:tcPr>
          <w:p w14:paraId="6DFA6F6A"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1 484,20</w:t>
            </w:r>
          </w:p>
        </w:tc>
        <w:tc>
          <w:tcPr>
            <w:tcW w:w="1134" w:type="dxa"/>
            <w:shd w:val="clear" w:color="000000" w:fill="FFFFFF"/>
            <w:vAlign w:val="center"/>
          </w:tcPr>
          <w:p w14:paraId="3B912E25"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0,96</w:t>
            </w:r>
          </w:p>
        </w:tc>
        <w:tc>
          <w:tcPr>
            <w:tcW w:w="982" w:type="dxa"/>
            <w:shd w:val="clear" w:color="000000" w:fill="FFFFFF"/>
            <w:noWrap/>
            <w:vAlign w:val="center"/>
            <w:hideMark/>
          </w:tcPr>
          <w:p w14:paraId="4BA40600"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1,01</w:t>
            </w:r>
          </w:p>
        </w:tc>
        <w:tc>
          <w:tcPr>
            <w:tcW w:w="952" w:type="dxa"/>
            <w:shd w:val="clear" w:color="000000" w:fill="FFFFFF"/>
            <w:noWrap/>
            <w:vAlign w:val="center"/>
            <w:hideMark/>
          </w:tcPr>
          <w:p w14:paraId="6E870F8E"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5</w:t>
            </w:r>
          </w:p>
        </w:tc>
        <w:tc>
          <w:tcPr>
            <w:tcW w:w="1276" w:type="dxa"/>
            <w:shd w:val="clear" w:color="000000" w:fill="FFFFFF"/>
            <w:noWrap/>
            <w:vAlign w:val="center"/>
            <w:hideMark/>
          </w:tcPr>
          <w:p w14:paraId="4E6CA775"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1,25005</w:t>
            </w:r>
          </w:p>
        </w:tc>
      </w:tr>
      <w:tr w:rsidR="000C3B1B" w:rsidRPr="000C3B1B" w14:paraId="794FCFCA" w14:textId="77777777" w:rsidTr="000C3B1B">
        <w:trPr>
          <w:trHeight w:val="330"/>
          <w:jc w:val="center"/>
        </w:trPr>
        <w:tc>
          <w:tcPr>
            <w:tcW w:w="661" w:type="dxa"/>
            <w:shd w:val="clear" w:color="000000" w:fill="F2F2F2"/>
            <w:vAlign w:val="center"/>
            <w:hideMark/>
          </w:tcPr>
          <w:p w14:paraId="5ADC7F8E"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2017</w:t>
            </w:r>
          </w:p>
        </w:tc>
        <w:tc>
          <w:tcPr>
            <w:tcW w:w="759" w:type="dxa"/>
            <w:shd w:val="clear" w:color="000000" w:fill="FFFFFF"/>
            <w:noWrap/>
            <w:vAlign w:val="center"/>
            <w:hideMark/>
          </w:tcPr>
          <w:p w14:paraId="5816471F"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926</w:t>
            </w:r>
          </w:p>
        </w:tc>
        <w:tc>
          <w:tcPr>
            <w:tcW w:w="1056" w:type="dxa"/>
            <w:shd w:val="clear" w:color="000000" w:fill="FFFFFF"/>
            <w:vAlign w:val="center"/>
          </w:tcPr>
          <w:p w14:paraId="69B3569D"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1,08</w:t>
            </w:r>
          </w:p>
        </w:tc>
        <w:tc>
          <w:tcPr>
            <w:tcW w:w="1056" w:type="dxa"/>
            <w:shd w:val="clear" w:color="000000" w:fill="FFFFFF"/>
            <w:noWrap/>
            <w:vAlign w:val="center"/>
            <w:hideMark/>
          </w:tcPr>
          <w:p w14:paraId="200EA386"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1,02</w:t>
            </w:r>
          </w:p>
        </w:tc>
        <w:tc>
          <w:tcPr>
            <w:tcW w:w="908" w:type="dxa"/>
            <w:shd w:val="clear" w:color="000000" w:fill="FFFFFF"/>
            <w:noWrap/>
            <w:vAlign w:val="center"/>
            <w:hideMark/>
          </w:tcPr>
          <w:p w14:paraId="6CA40107"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1 618,47</w:t>
            </w:r>
          </w:p>
        </w:tc>
        <w:tc>
          <w:tcPr>
            <w:tcW w:w="1134" w:type="dxa"/>
            <w:shd w:val="clear" w:color="000000" w:fill="FFFFFF"/>
            <w:vAlign w:val="center"/>
          </w:tcPr>
          <w:p w14:paraId="6AC84FF8"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1,06</w:t>
            </w:r>
          </w:p>
        </w:tc>
        <w:tc>
          <w:tcPr>
            <w:tcW w:w="982" w:type="dxa"/>
            <w:shd w:val="clear" w:color="000000" w:fill="FFFFFF"/>
            <w:noWrap/>
            <w:vAlign w:val="center"/>
            <w:hideMark/>
          </w:tcPr>
          <w:p w14:paraId="21B0C2A0"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1,05</w:t>
            </w:r>
          </w:p>
        </w:tc>
        <w:tc>
          <w:tcPr>
            <w:tcW w:w="952" w:type="dxa"/>
            <w:shd w:val="clear" w:color="000000" w:fill="FFFFFF"/>
            <w:noWrap/>
            <w:vAlign w:val="center"/>
            <w:hideMark/>
          </w:tcPr>
          <w:p w14:paraId="15272C66"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4</w:t>
            </w:r>
          </w:p>
        </w:tc>
        <w:tc>
          <w:tcPr>
            <w:tcW w:w="1276" w:type="dxa"/>
            <w:shd w:val="clear" w:color="000000" w:fill="FFFFFF"/>
            <w:noWrap/>
            <w:vAlign w:val="center"/>
            <w:hideMark/>
          </w:tcPr>
          <w:p w14:paraId="1ADF0858"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1,20889</w:t>
            </w:r>
          </w:p>
        </w:tc>
      </w:tr>
      <w:tr w:rsidR="000C3B1B" w:rsidRPr="000C3B1B" w14:paraId="7DF97D20" w14:textId="77777777" w:rsidTr="000C3B1B">
        <w:trPr>
          <w:trHeight w:val="330"/>
          <w:jc w:val="center"/>
        </w:trPr>
        <w:tc>
          <w:tcPr>
            <w:tcW w:w="661" w:type="dxa"/>
            <w:shd w:val="clear" w:color="000000" w:fill="F2F2F2"/>
            <w:vAlign w:val="center"/>
            <w:hideMark/>
          </w:tcPr>
          <w:p w14:paraId="05E35E97"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2018</w:t>
            </w:r>
          </w:p>
        </w:tc>
        <w:tc>
          <w:tcPr>
            <w:tcW w:w="759" w:type="dxa"/>
            <w:shd w:val="clear" w:color="000000" w:fill="FFFFFF"/>
            <w:noWrap/>
            <w:vAlign w:val="center"/>
            <w:hideMark/>
          </w:tcPr>
          <w:p w14:paraId="7EB07109"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1 004</w:t>
            </w:r>
          </w:p>
        </w:tc>
        <w:tc>
          <w:tcPr>
            <w:tcW w:w="1056" w:type="dxa"/>
            <w:shd w:val="clear" w:color="000000" w:fill="FFFFFF"/>
            <w:vAlign w:val="center"/>
          </w:tcPr>
          <w:p w14:paraId="51ED7096"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1,08</w:t>
            </w:r>
          </w:p>
        </w:tc>
        <w:tc>
          <w:tcPr>
            <w:tcW w:w="1056" w:type="dxa"/>
            <w:shd w:val="clear" w:color="000000" w:fill="FFFFFF"/>
            <w:noWrap/>
            <w:vAlign w:val="center"/>
            <w:hideMark/>
          </w:tcPr>
          <w:p w14:paraId="1D051052"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1,03</w:t>
            </w:r>
          </w:p>
        </w:tc>
        <w:tc>
          <w:tcPr>
            <w:tcW w:w="908" w:type="dxa"/>
            <w:shd w:val="clear" w:color="000000" w:fill="FFFFFF"/>
            <w:noWrap/>
            <w:vAlign w:val="center"/>
            <w:hideMark/>
          </w:tcPr>
          <w:p w14:paraId="664FEDDB"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1 712,50</w:t>
            </w:r>
          </w:p>
        </w:tc>
        <w:tc>
          <w:tcPr>
            <w:tcW w:w="1134" w:type="dxa"/>
            <w:shd w:val="clear" w:color="000000" w:fill="FFFFFF"/>
            <w:vAlign w:val="center"/>
          </w:tcPr>
          <w:p w14:paraId="2364E31F"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1,06</w:t>
            </w:r>
          </w:p>
        </w:tc>
        <w:tc>
          <w:tcPr>
            <w:tcW w:w="982" w:type="dxa"/>
            <w:shd w:val="clear" w:color="000000" w:fill="FFFFFF"/>
            <w:noWrap/>
            <w:vAlign w:val="center"/>
            <w:hideMark/>
          </w:tcPr>
          <w:p w14:paraId="7069D9B3"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1,06</w:t>
            </w:r>
          </w:p>
        </w:tc>
        <w:tc>
          <w:tcPr>
            <w:tcW w:w="952" w:type="dxa"/>
            <w:shd w:val="clear" w:color="000000" w:fill="FFFFFF"/>
            <w:noWrap/>
            <w:vAlign w:val="center"/>
            <w:hideMark/>
          </w:tcPr>
          <w:p w14:paraId="27D1A622"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3</w:t>
            </w:r>
          </w:p>
        </w:tc>
        <w:tc>
          <w:tcPr>
            <w:tcW w:w="1276" w:type="dxa"/>
            <w:shd w:val="clear" w:color="000000" w:fill="FFFFFF"/>
            <w:noWrap/>
            <w:vAlign w:val="center"/>
            <w:hideMark/>
          </w:tcPr>
          <w:p w14:paraId="30DF34CE"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1,19643</w:t>
            </w:r>
          </w:p>
        </w:tc>
      </w:tr>
      <w:tr w:rsidR="000C3B1B" w:rsidRPr="000C3B1B" w14:paraId="4A604B01" w14:textId="77777777" w:rsidTr="000C3B1B">
        <w:trPr>
          <w:trHeight w:val="330"/>
          <w:jc w:val="center"/>
        </w:trPr>
        <w:tc>
          <w:tcPr>
            <w:tcW w:w="661" w:type="dxa"/>
            <w:shd w:val="clear" w:color="000000" w:fill="F2F2F2"/>
            <w:vAlign w:val="center"/>
            <w:hideMark/>
          </w:tcPr>
          <w:p w14:paraId="674240F7" w14:textId="77777777" w:rsidR="000C3B1B" w:rsidRPr="000C3B1B" w:rsidRDefault="000C3B1B" w:rsidP="000C3B1B">
            <w:pPr>
              <w:jc w:val="right"/>
              <w:rPr>
                <w:rFonts w:eastAsia="Times New Roman" w:cs="Times New Roman"/>
                <w:b/>
                <w:bCs/>
                <w:color w:val="000000"/>
                <w:sz w:val="18"/>
                <w:szCs w:val="18"/>
                <w:lang w:val="lv-LV" w:eastAsia="lv-LV"/>
              </w:rPr>
            </w:pPr>
            <w:r w:rsidRPr="000C3B1B">
              <w:rPr>
                <w:rFonts w:eastAsia="Times New Roman" w:cs="Times New Roman"/>
                <w:b/>
                <w:bCs/>
                <w:color w:val="000000"/>
                <w:sz w:val="18"/>
                <w:szCs w:val="18"/>
                <w:lang w:val="lv-LV" w:eastAsia="lv-LV"/>
              </w:rPr>
              <w:t>2019</w:t>
            </w:r>
          </w:p>
        </w:tc>
        <w:tc>
          <w:tcPr>
            <w:tcW w:w="759" w:type="dxa"/>
            <w:shd w:val="clear" w:color="000000" w:fill="FFFFFF"/>
            <w:noWrap/>
            <w:vAlign w:val="center"/>
            <w:hideMark/>
          </w:tcPr>
          <w:p w14:paraId="73C325CF"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1 076</w:t>
            </w:r>
          </w:p>
        </w:tc>
        <w:tc>
          <w:tcPr>
            <w:tcW w:w="1056" w:type="dxa"/>
            <w:shd w:val="clear" w:color="000000" w:fill="FFFFFF"/>
            <w:vAlign w:val="center"/>
          </w:tcPr>
          <w:p w14:paraId="208E6D7D"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1,07</w:t>
            </w:r>
          </w:p>
        </w:tc>
        <w:tc>
          <w:tcPr>
            <w:tcW w:w="1056" w:type="dxa"/>
            <w:shd w:val="clear" w:color="000000" w:fill="FFFFFF"/>
            <w:noWrap/>
            <w:vAlign w:val="center"/>
            <w:hideMark/>
          </w:tcPr>
          <w:p w14:paraId="130B0E7C" w14:textId="77777777" w:rsidR="000C3B1B" w:rsidRPr="000C3B1B" w:rsidRDefault="000C3B1B" w:rsidP="000C3B1B">
            <w:pPr>
              <w:jc w:val="right"/>
              <w:rPr>
                <w:rFonts w:eastAsia="Times New Roman" w:cs="Times New Roman"/>
                <w:i/>
                <w:iCs/>
                <w:sz w:val="18"/>
                <w:szCs w:val="18"/>
                <w:lang w:val="lv-LV" w:eastAsia="lv-LV"/>
              </w:rPr>
            </w:pPr>
            <w:r w:rsidRPr="000C3B1B">
              <w:rPr>
                <w:rFonts w:eastAsia="Times New Roman" w:cs="Times New Roman"/>
                <w:i/>
                <w:iCs/>
                <w:sz w:val="18"/>
                <w:szCs w:val="18"/>
                <w:lang w:val="lv-LV" w:eastAsia="lv-LV"/>
              </w:rPr>
              <w:t>1,02</w:t>
            </w:r>
          </w:p>
        </w:tc>
        <w:tc>
          <w:tcPr>
            <w:tcW w:w="908" w:type="dxa"/>
            <w:shd w:val="clear" w:color="000000" w:fill="FFFFFF"/>
            <w:noWrap/>
            <w:vAlign w:val="center"/>
            <w:hideMark/>
          </w:tcPr>
          <w:p w14:paraId="2A3755C2"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1 934,63</w:t>
            </w:r>
          </w:p>
        </w:tc>
        <w:tc>
          <w:tcPr>
            <w:tcW w:w="1134" w:type="dxa"/>
            <w:shd w:val="clear" w:color="000000" w:fill="FFFFFF"/>
            <w:vAlign w:val="center"/>
          </w:tcPr>
          <w:p w14:paraId="27E1BB7C" w14:textId="77777777" w:rsidR="000C3B1B" w:rsidRPr="000C3B1B" w:rsidRDefault="000C3B1B" w:rsidP="000C3B1B">
            <w:pPr>
              <w:jc w:val="right"/>
              <w:rPr>
                <w:rFonts w:eastAsia="Times New Roman" w:cs="Times New Roman"/>
                <w:i/>
                <w:iCs/>
                <w:sz w:val="18"/>
                <w:szCs w:val="18"/>
                <w:lang w:val="lv-LV" w:eastAsia="lv-LV"/>
              </w:rPr>
            </w:pPr>
            <w:r w:rsidRPr="000C3B1B">
              <w:rPr>
                <w:rFonts w:cs="Times New Roman"/>
                <w:i/>
                <w:iCs/>
                <w:sz w:val="18"/>
                <w:szCs w:val="18"/>
                <w:lang w:val="lv-LV"/>
              </w:rPr>
              <w:t>1,13</w:t>
            </w:r>
          </w:p>
        </w:tc>
        <w:tc>
          <w:tcPr>
            <w:tcW w:w="982" w:type="dxa"/>
            <w:shd w:val="clear" w:color="000000" w:fill="FFFFFF"/>
            <w:noWrap/>
            <w:vAlign w:val="center"/>
            <w:hideMark/>
          </w:tcPr>
          <w:p w14:paraId="19E24CE1"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1,07</w:t>
            </w:r>
          </w:p>
        </w:tc>
        <w:tc>
          <w:tcPr>
            <w:tcW w:w="952" w:type="dxa"/>
            <w:shd w:val="clear" w:color="000000" w:fill="FFFFFF"/>
            <w:noWrap/>
            <w:vAlign w:val="center"/>
            <w:hideMark/>
          </w:tcPr>
          <w:p w14:paraId="19AC1C7F" w14:textId="77777777" w:rsidR="000C3B1B" w:rsidRPr="000C3B1B" w:rsidRDefault="000C3B1B" w:rsidP="000C3B1B">
            <w:pPr>
              <w:jc w:val="right"/>
              <w:rPr>
                <w:rFonts w:eastAsia="Times New Roman" w:cs="Times New Roman"/>
                <w:sz w:val="18"/>
                <w:szCs w:val="18"/>
                <w:lang w:val="lv-LV" w:eastAsia="lv-LV"/>
              </w:rPr>
            </w:pPr>
            <w:r w:rsidRPr="000C3B1B">
              <w:rPr>
                <w:rFonts w:eastAsia="Times New Roman" w:cs="Times New Roman"/>
                <w:sz w:val="18"/>
                <w:szCs w:val="18"/>
                <w:lang w:val="lv-LV" w:eastAsia="lv-LV"/>
              </w:rPr>
              <w:t>2</w:t>
            </w:r>
          </w:p>
        </w:tc>
        <w:tc>
          <w:tcPr>
            <w:tcW w:w="1276" w:type="dxa"/>
            <w:shd w:val="clear" w:color="000000" w:fill="FFFFFF"/>
            <w:noWrap/>
            <w:vAlign w:val="center"/>
            <w:hideMark/>
          </w:tcPr>
          <w:p w14:paraId="7ACDF5EC" w14:textId="77777777" w:rsidR="000C3B1B" w:rsidRPr="000C3B1B" w:rsidRDefault="000C3B1B" w:rsidP="000C3B1B">
            <w:pPr>
              <w:jc w:val="right"/>
              <w:rPr>
                <w:rFonts w:eastAsia="Times New Roman" w:cs="Times New Roman"/>
                <w:sz w:val="18"/>
                <w:szCs w:val="18"/>
                <w:u w:val="single"/>
                <w:lang w:val="lv-LV" w:eastAsia="lv-LV"/>
              </w:rPr>
            </w:pPr>
            <w:r w:rsidRPr="000C3B1B">
              <w:rPr>
                <w:rFonts w:cs="Times New Roman"/>
                <w:sz w:val="18"/>
                <w:szCs w:val="18"/>
                <w:u w:val="single"/>
                <w:lang w:val="lv-LV"/>
              </w:rPr>
              <w:t>1,13483</w:t>
            </w:r>
          </w:p>
        </w:tc>
      </w:tr>
    </w:tbl>
    <w:p w14:paraId="6B2A5155" w14:textId="77777777" w:rsidR="000C3B1B" w:rsidRPr="000C3B1B" w:rsidRDefault="000C3B1B" w:rsidP="000C3B1B">
      <w:pPr>
        <w:tabs>
          <w:tab w:val="left" w:pos="1010"/>
        </w:tabs>
        <w:rPr>
          <w:rFonts w:cs="Times New Roman"/>
          <w:szCs w:val="24"/>
          <w:lang w:val="lv-LV"/>
        </w:rPr>
      </w:pPr>
    </w:p>
    <w:p w14:paraId="517F2044" w14:textId="78C3DDEB" w:rsidR="000C3B1B" w:rsidRDefault="000C3B1B" w:rsidP="000C3B1B">
      <w:pPr>
        <w:tabs>
          <w:tab w:val="left" w:pos="1010"/>
        </w:tabs>
        <w:ind w:firstLine="720"/>
        <w:rPr>
          <w:rFonts w:cs="Times New Roman"/>
          <w:szCs w:val="24"/>
          <w:lang w:val="lv-LV"/>
        </w:rPr>
      </w:pPr>
      <w:r w:rsidRPr="000C3B1B">
        <w:rPr>
          <w:rFonts w:cs="Times New Roman"/>
          <w:szCs w:val="24"/>
          <w:lang w:val="lv-LV"/>
        </w:rPr>
        <w:t>Ja MPK cenrāži</w:t>
      </w:r>
      <w:r w:rsidRPr="000C3B1B">
        <w:rPr>
          <w:rFonts w:cs="Times New Roman"/>
          <w:lang w:val="lv-LV"/>
        </w:rPr>
        <w:t xml:space="preserve"> </w:t>
      </w:r>
      <w:r w:rsidRPr="000C3B1B">
        <w:rPr>
          <w:rFonts w:cs="Times New Roman"/>
          <w:szCs w:val="24"/>
          <w:lang w:val="lv-LV"/>
        </w:rPr>
        <w:t xml:space="preserve">tiktu aktualizēti saskaņā ar normatīvajos aktos noteikto un tiktu pārskatīti cenrāžos noteikto maksas pakalpojumu izcenojumi atbilstoši dabiskajam izmaksu pieaugumam, potenciālie papildu ieņēmumi valsts budžetā veidotu </w:t>
      </w:r>
      <w:r w:rsidRPr="000C3B1B">
        <w:rPr>
          <w:rFonts w:cs="Times New Roman"/>
          <w:b/>
          <w:szCs w:val="24"/>
          <w:lang w:val="lv-LV"/>
        </w:rPr>
        <w:t xml:space="preserve">4,2 milj. </w:t>
      </w:r>
      <w:r w:rsidRPr="000C3B1B">
        <w:rPr>
          <w:rFonts w:cs="Times New Roman"/>
          <w:b/>
          <w:i/>
          <w:szCs w:val="24"/>
          <w:lang w:val="lv-LV"/>
        </w:rPr>
        <w:t>euro</w:t>
      </w:r>
      <w:r w:rsidRPr="000C3B1B">
        <w:rPr>
          <w:rFonts w:cs="Times New Roman"/>
          <w:szCs w:val="24"/>
          <w:lang w:val="lv-LV"/>
        </w:rPr>
        <w:t>. Iegūtie potenciālie papildu ieņēmumi no MPK cenrāžu indeksācijas ir indikatīvi un balstās uz izmantoto makroekonomisko rādītāju izmaiņām. Detalizēts MPK cenrāžu saraksts sadalījumā pa ministrijām un gadiem kopš pēdējās aktualizācijas kā arī kopsavilkums par MPK cenrāžu horizontālo analīzi sadalījumā pa ministrijām, tajā skaitā pa ministriju budžeta programmām/apakšprogrammām, pieejams informatīvā ziņojuma pielikumā Nr.</w:t>
      </w:r>
      <w:r w:rsidR="00697671">
        <w:rPr>
          <w:rFonts w:cs="Times New Roman"/>
          <w:szCs w:val="24"/>
          <w:lang w:val="lv-LV"/>
        </w:rPr>
        <w:t> </w:t>
      </w:r>
      <w:r w:rsidRPr="000C3B1B">
        <w:rPr>
          <w:rFonts w:cs="Times New Roman"/>
          <w:szCs w:val="24"/>
          <w:lang w:val="lv-LV"/>
        </w:rPr>
        <w:t>4.</w:t>
      </w:r>
    </w:p>
    <w:p w14:paraId="192D89D8" w14:textId="2A5B9C51" w:rsidR="006B193E" w:rsidRDefault="006B193E" w:rsidP="000C3B1B">
      <w:pPr>
        <w:tabs>
          <w:tab w:val="left" w:pos="1010"/>
        </w:tabs>
        <w:ind w:firstLine="720"/>
        <w:rPr>
          <w:rFonts w:cs="Times New Roman"/>
          <w:szCs w:val="24"/>
          <w:lang w:val="lv-LV"/>
        </w:rPr>
      </w:pPr>
    </w:p>
    <w:p w14:paraId="17889077" w14:textId="56EED8D3" w:rsidR="006B193E" w:rsidRDefault="006B193E" w:rsidP="000C3B1B">
      <w:pPr>
        <w:tabs>
          <w:tab w:val="left" w:pos="1010"/>
        </w:tabs>
        <w:ind w:firstLine="720"/>
        <w:rPr>
          <w:rFonts w:cs="Times New Roman"/>
          <w:szCs w:val="24"/>
          <w:lang w:val="lv-LV"/>
        </w:rPr>
      </w:pPr>
    </w:p>
    <w:p w14:paraId="24010938" w14:textId="77777777" w:rsidR="006B193E" w:rsidRPr="000C3B1B" w:rsidRDefault="006B193E" w:rsidP="000C3B1B">
      <w:pPr>
        <w:tabs>
          <w:tab w:val="left" w:pos="1010"/>
        </w:tabs>
        <w:ind w:firstLine="720"/>
        <w:rPr>
          <w:rFonts w:cs="Times New Roman"/>
          <w:szCs w:val="24"/>
          <w:lang w:val="lv-LV"/>
        </w:rPr>
      </w:pPr>
    </w:p>
    <w:p w14:paraId="1505AA3F" w14:textId="66247E48" w:rsidR="000C3B1B" w:rsidRPr="000C3B1B" w:rsidRDefault="000C3B1B" w:rsidP="000C3B1B">
      <w:pPr>
        <w:jc w:val="center"/>
        <w:rPr>
          <w:rFonts w:cs="Times New Roman"/>
          <w:b/>
          <w:bCs/>
          <w:sz w:val="22"/>
          <w:lang w:val="lv-LV"/>
        </w:rPr>
      </w:pPr>
      <w:r w:rsidRPr="000C3B1B">
        <w:rPr>
          <w:rFonts w:cs="Times New Roman"/>
          <w:b/>
          <w:bCs/>
          <w:i/>
          <w:iCs/>
          <w:sz w:val="22"/>
          <w:lang w:val="lv-LV"/>
        </w:rPr>
        <w:lastRenderedPageBreak/>
        <w:t>2.5.</w:t>
      </w:r>
      <w:r>
        <w:rPr>
          <w:rFonts w:cs="Times New Roman"/>
          <w:b/>
          <w:bCs/>
          <w:i/>
          <w:iCs/>
          <w:sz w:val="22"/>
          <w:lang w:val="lv-LV"/>
        </w:rPr>
        <w:t>2</w:t>
      </w:r>
      <w:r w:rsidRPr="000C3B1B">
        <w:rPr>
          <w:rFonts w:cs="Times New Roman"/>
          <w:b/>
          <w:bCs/>
          <w:i/>
          <w:iCs/>
          <w:sz w:val="22"/>
          <w:lang w:val="lv-LV"/>
        </w:rPr>
        <w:t>. tabula</w:t>
      </w:r>
      <w:r w:rsidRPr="000C3B1B">
        <w:rPr>
          <w:rFonts w:cs="Times New Roman"/>
          <w:b/>
          <w:bCs/>
          <w:sz w:val="22"/>
          <w:lang w:val="lv-LV"/>
        </w:rPr>
        <w:t xml:space="preserve"> Kopsavilkums par ieņēmumu no maksas pakalpojumiem horizontālo analīzi, </w:t>
      </w:r>
      <w:r w:rsidRPr="000C3B1B">
        <w:rPr>
          <w:rFonts w:cs="Times New Roman"/>
          <w:b/>
          <w:bCs/>
          <w:i/>
          <w:sz w:val="22"/>
          <w:lang w:val="lv-LV"/>
        </w:rPr>
        <w:t>euro</w:t>
      </w:r>
    </w:p>
    <w:tbl>
      <w:tblPr>
        <w:tblW w:w="4760" w:type="dxa"/>
        <w:jc w:val="center"/>
        <w:tblLook w:val="04A0" w:firstRow="1" w:lastRow="0" w:firstColumn="1" w:lastColumn="0" w:noHBand="0" w:noVBand="1"/>
      </w:tblPr>
      <w:tblGrid>
        <w:gridCol w:w="1110"/>
        <w:gridCol w:w="1860"/>
        <w:gridCol w:w="1820"/>
      </w:tblGrid>
      <w:tr w:rsidR="000C3B1B" w:rsidRPr="000C3B1B" w14:paraId="15EF19B5" w14:textId="77777777" w:rsidTr="000C3B1B">
        <w:trPr>
          <w:trHeight w:val="630"/>
          <w:tblHeader/>
          <w:jc w:val="center"/>
        </w:trPr>
        <w:tc>
          <w:tcPr>
            <w:tcW w:w="1080" w:type="dxa"/>
            <w:tcBorders>
              <w:top w:val="single" w:sz="4" w:space="0" w:color="auto"/>
              <w:left w:val="single" w:sz="8" w:space="0" w:color="auto"/>
              <w:bottom w:val="single" w:sz="4" w:space="0" w:color="auto"/>
              <w:right w:val="single" w:sz="4" w:space="0" w:color="auto"/>
            </w:tcBorders>
            <w:shd w:val="clear" w:color="auto" w:fill="70AD47" w:themeFill="accent6"/>
            <w:noWrap/>
            <w:vAlign w:val="center"/>
            <w:hideMark/>
          </w:tcPr>
          <w:p w14:paraId="1560E8B0" w14:textId="77777777" w:rsidR="000C3B1B" w:rsidRPr="000C3B1B" w:rsidRDefault="000C3B1B" w:rsidP="000C3B1B">
            <w:pPr>
              <w:spacing w:after="0" w:line="240" w:lineRule="auto"/>
              <w:jc w:val="center"/>
              <w:rPr>
                <w:rFonts w:eastAsia="Times New Roman" w:cs="Times New Roman"/>
                <w:szCs w:val="20"/>
                <w:lang w:val="lv-LV" w:eastAsia="lv-LV"/>
              </w:rPr>
            </w:pPr>
            <w:r w:rsidRPr="000C3B1B">
              <w:rPr>
                <w:rFonts w:eastAsia="Times New Roman" w:cs="Times New Roman"/>
                <w:szCs w:val="20"/>
                <w:lang w:val="lv-LV" w:eastAsia="lv-LV"/>
              </w:rPr>
              <w:t>Resors</w:t>
            </w:r>
          </w:p>
        </w:tc>
        <w:tc>
          <w:tcPr>
            <w:tcW w:w="1860" w:type="dxa"/>
            <w:tcBorders>
              <w:top w:val="single" w:sz="4" w:space="0" w:color="auto"/>
              <w:left w:val="nil"/>
              <w:bottom w:val="single" w:sz="4" w:space="0" w:color="auto"/>
              <w:right w:val="single" w:sz="4" w:space="0" w:color="auto"/>
            </w:tcBorders>
            <w:shd w:val="clear" w:color="auto" w:fill="70AD47" w:themeFill="accent6"/>
            <w:vAlign w:val="center"/>
            <w:hideMark/>
          </w:tcPr>
          <w:p w14:paraId="41CB6B73" w14:textId="77777777" w:rsidR="000C3B1B" w:rsidRPr="000C3B1B" w:rsidRDefault="000C3B1B" w:rsidP="000C3B1B">
            <w:pPr>
              <w:spacing w:after="0" w:line="240" w:lineRule="auto"/>
              <w:jc w:val="center"/>
              <w:rPr>
                <w:rFonts w:eastAsia="Times New Roman" w:cs="Times New Roman"/>
                <w:szCs w:val="20"/>
                <w:lang w:val="lv-LV" w:eastAsia="lv-LV"/>
              </w:rPr>
            </w:pPr>
            <w:r w:rsidRPr="000C3B1B">
              <w:rPr>
                <w:rFonts w:eastAsia="Times New Roman" w:cs="Times New Roman"/>
                <w:szCs w:val="20"/>
                <w:lang w:val="lv-LV" w:eastAsia="lv-LV"/>
              </w:rPr>
              <w:t xml:space="preserve">2021. gadā plānotie ieņēmumi, </w:t>
            </w:r>
            <w:r w:rsidRPr="000C3B1B">
              <w:rPr>
                <w:rFonts w:eastAsia="Times New Roman" w:cs="Times New Roman"/>
                <w:i/>
                <w:iCs/>
                <w:szCs w:val="20"/>
                <w:lang w:val="lv-LV" w:eastAsia="lv-LV"/>
              </w:rPr>
              <w:t>euro</w:t>
            </w:r>
          </w:p>
        </w:tc>
        <w:tc>
          <w:tcPr>
            <w:tcW w:w="1820" w:type="dxa"/>
            <w:tcBorders>
              <w:top w:val="single" w:sz="4" w:space="0" w:color="auto"/>
              <w:left w:val="nil"/>
              <w:bottom w:val="single" w:sz="4" w:space="0" w:color="auto"/>
              <w:right w:val="single" w:sz="8" w:space="0" w:color="auto"/>
            </w:tcBorders>
            <w:shd w:val="clear" w:color="auto" w:fill="70AD47" w:themeFill="accent6"/>
            <w:vAlign w:val="center"/>
            <w:hideMark/>
          </w:tcPr>
          <w:p w14:paraId="33E5E781" w14:textId="77777777" w:rsidR="000C3B1B" w:rsidRPr="000C3B1B" w:rsidRDefault="000C3B1B" w:rsidP="000C3B1B">
            <w:pPr>
              <w:spacing w:after="0" w:line="240" w:lineRule="auto"/>
              <w:jc w:val="center"/>
              <w:rPr>
                <w:rFonts w:eastAsia="Times New Roman" w:cs="Times New Roman"/>
                <w:szCs w:val="20"/>
                <w:lang w:val="lv-LV" w:eastAsia="lv-LV"/>
              </w:rPr>
            </w:pPr>
            <w:r w:rsidRPr="000C3B1B">
              <w:rPr>
                <w:rFonts w:eastAsia="Times New Roman" w:cs="Times New Roman"/>
                <w:szCs w:val="20"/>
                <w:lang w:val="lv-LV" w:eastAsia="lv-LV"/>
              </w:rPr>
              <w:t xml:space="preserve">Potenciālie papildu ieņēmumi, </w:t>
            </w:r>
            <w:r w:rsidRPr="000C3B1B">
              <w:rPr>
                <w:rFonts w:eastAsia="Times New Roman" w:cs="Times New Roman"/>
                <w:i/>
                <w:iCs/>
                <w:szCs w:val="20"/>
                <w:lang w:val="lv-LV" w:eastAsia="lv-LV"/>
              </w:rPr>
              <w:t>euro</w:t>
            </w:r>
          </w:p>
        </w:tc>
      </w:tr>
      <w:tr w:rsidR="000C3B1B" w:rsidRPr="000C3B1B" w14:paraId="2C5FB6A7"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0B9E011"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TM</w:t>
            </w:r>
          </w:p>
        </w:tc>
        <w:tc>
          <w:tcPr>
            <w:tcW w:w="1860" w:type="dxa"/>
            <w:tcBorders>
              <w:top w:val="nil"/>
              <w:left w:val="nil"/>
              <w:bottom w:val="single" w:sz="4" w:space="0" w:color="auto"/>
              <w:right w:val="single" w:sz="4" w:space="0" w:color="auto"/>
            </w:tcBorders>
            <w:shd w:val="clear" w:color="auto" w:fill="auto"/>
            <w:noWrap/>
            <w:vAlign w:val="bottom"/>
            <w:hideMark/>
          </w:tcPr>
          <w:p w14:paraId="45D59F34"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11 508 488</w:t>
            </w:r>
          </w:p>
        </w:tc>
        <w:tc>
          <w:tcPr>
            <w:tcW w:w="1820" w:type="dxa"/>
            <w:tcBorders>
              <w:top w:val="nil"/>
              <w:left w:val="nil"/>
              <w:bottom w:val="single" w:sz="4" w:space="0" w:color="auto"/>
              <w:right w:val="single" w:sz="8" w:space="0" w:color="auto"/>
            </w:tcBorders>
            <w:shd w:val="clear" w:color="auto" w:fill="auto"/>
            <w:noWrap/>
            <w:vAlign w:val="bottom"/>
            <w:hideMark/>
          </w:tcPr>
          <w:p w14:paraId="2F495C1E" w14:textId="1CB06E72" w:rsidR="000C3B1B" w:rsidRPr="000C3B1B" w:rsidRDefault="000C3B1B" w:rsidP="00CF64D3">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2</w:t>
            </w:r>
            <w:r w:rsidR="00CF64D3">
              <w:rPr>
                <w:rFonts w:eastAsia="Times New Roman" w:cs="Times New Roman"/>
                <w:szCs w:val="20"/>
                <w:lang w:val="lv-LV" w:eastAsia="lv-LV"/>
              </w:rPr>
              <w:t xml:space="preserve"> </w:t>
            </w:r>
            <w:r w:rsidRPr="000C3B1B">
              <w:rPr>
                <w:rFonts w:eastAsia="Times New Roman" w:cs="Times New Roman"/>
                <w:szCs w:val="20"/>
                <w:lang w:val="lv-LV" w:eastAsia="lv-LV"/>
              </w:rPr>
              <w:t>184 331</w:t>
            </w:r>
          </w:p>
        </w:tc>
      </w:tr>
      <w:tr w:rsidR="000C3B1B" w:rsidRPr="000C3B1B" w14:paraId="32B0AE80"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EEEF0A5"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ZM</w:t>
            </w:r>
          </w:p>
        </w:tc>
        <w:tc>
          <w:tcPr>
            <w:tcW w:w="1860" w:type="dxa"/>
            <w:tcBorders>
              <w:top w:val="nil"/>
              <w:left w:val="nil"/>
              <w:bottom w:val="single" w:sz="4" w:space="0" w:color="auto"/>
              <w:right w:val="single" w:sz="4" w:space="0" w:color="auto"/>
            </w:tcBorders>
            <w:shd w:val="clear" w:color="auto" w:fill="auto"/>
            <w:noWrap/>
            <w:vAlign w:val="bottom"/>
            <w:hideMark/>
          </w:tcPr>
          <w:p w14:paraId="5F92CAD2"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10 476 329</w:t>
            </w:r>
          </w:p>
        </w:tc>
        <w:tc>
          <w:tcPr>
            <w:tcW w:w="1820" w:type="dxa"/>
            <w:tcBorders>
              <w:top w:val="nil"/>
              <w:left w:val="nil"/>
              <w:bottom w:val="single" w:sz="4" w:space="0" w:color="auto"/>
              <w:right w:val="single" w:sz="8" w:space="0" w:color="auto"/>
            </w:tcBorders>
            <w:shd w:val="clear" w:color="auto" w:fill="auto"/>
            <w:noWrap/>
            <w:vAlign w:val="bottom"/>
            <w:hideMark/>
          </w:tcPr>
          <w:p w14:paraId="1D7BD540"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351 584</w:t>
            </w:r>
          </w:p>
        </w:tc>
      </w:tr>
      <w:tr w:rsidR="000C3B1B" w:rsidRPr="000C3B1B" w14:paraId="51277834"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F232B75"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KM</w:t>
            </w:r>
          </w:p>
        </w:tc>
        <w:tc>
          <w:tcPr>
            <w:tcW w:w="1860" w:type="dxa"/>
            <w:tcBorders>
              <w:top w:val="nil"/>
              <w:left w:val="nil"/>
              <w:bottom w:val="single" w:sz="4" w:space="0" w:color="auto"/>
              <w:right w:val="single" w:sz="4" w:space="0" w:color="auto"/>
            </w:tcBorders>
            <w:shd w:val="clear" w:color="auto" w:fill="auto"/>
            <w:noWrap/>
            <w:vAlign w:val="bottom"/>
            <w:hideMark/>
          </w:tcPr>
          <w:p w14:paraId="434701DE"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7 660 699</w:t>
            </w:r>
          </w:p>
        </w:tc>
        <w:tc>
          <w:tcPr>
            <w:tcW w:w="1820" w:type="dxa"/>
            <w:tcBorders>
              <w:top w:val="nil"/>
              <w:left w:val="nil"/>
              <w:bottom w:val="single" w:sz="4" w:space="0" w:color="auto"/>
              <w:right w:val="single" w:sz="8" w:space="0" w:color="auto"/>
            </w:tcBorders>
            <w:shd w:val="clear" w:color="auto" w:fill="auto"/>
            <w:noWrap/>
            <w:vAlign w:val="bottom"/>
            <w:hideMark/>
          </w:tcPr>
          <w:p w14:paraId="161F7DBD"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710 294</w:t>
            </w:r>
          </w:p>
        </w:tc>
      </w:tr>
      <w:tr w:rsidR="000C3B1B" w:rsidRPr="000C3B1B" w14:paraId="1F28AAAA"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23B33BC"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IZM</w:t>
            </w:r>
          </w:p>
        </w:tc>
        <w:tc>
          <w:tcPr>
            <w:tcW w:w="1860" w:type="dxa"/>
            <w:tcBorders>
              <w:top w:val="nil"/>
              <w:left w:val="nil"/>
              <w:bottom w:val="single" w:sz="4" w:space="0" w:color="auto"/>
              <w:right w:val="single" w:sz="4" w:space="0" w:color="auto"/>
            </w:tcBorders>
            <w:shd w:val="clear" w:color="auto" w:fill="auto"/>
            <w:noWrap/>
            <w:vAlign w:val="bottom"/>
            <w:hideMark/>
          </w:tcPr>
          <w:p w14:paraId="643CB31F"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3 111 451</w:t>
            </w:r>
          </w:p>
        </w:tc>
        <w:tc>
          <w:tcPr>
            <w:tcW w:w="1820" w:type="dxa"/>
            <w:tcBorders>
              <w:top w:val="nil"/>
              <w:left w:val="nil"/>
              <w:bottom w:val="single" w:sz="4" w:space="0" w:color="auto"/>
              <w:right w:val="single" w:sz="8" w:space="0" w:color="auto"/>
            </w:tcBorders>
            <w:shd w:val="clear" w:color="auto" w:fill="auto"/>
            <w:noWrap/>
            <w:vAlign w:val="bottom"/>
            <w:hideMark/>
          </w:tcPr>
          <w:p w14:paraId="07B0A7F9"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241 719</w:t>
            </w:r>
          </w:p>
        </w:tc>
      </w:tr>
      <w:tr w:rsidR="000C3B1B" w:rsidRPr="000C3B1B" w14:paraId="327D54DD"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7627FFDD"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VM</w:t>
            </w:r>
          </w:p>
        </w:tc>
        <w:tc>
          <w:tcPr>
            <w:tcW w:w="1860" w:type="dxa"/>
            <w:tcBorders>
              <w:top w:val="nil"/>
              <w:left w:val="nil"/>
              <w:bottom w:val="single" w:sz="4" w:space="0" w:color="auto"/>
              <w:right w:val="single" w:sz="4" w:space="0" w:color="auto"/>
            </w:tcBorders>
            <w:shd w:val="clear" w:color="auto" w:fill="auto"/>
            <w:noWrap/>
            <w:vAlign w:val="bottom"/>
            <w:hideMark/>
          </w:tcPr>
          <w:p w14:paraId="778FC5C1"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2 919 725</w:t>
            </w:r>
          </w:p>
        </w:tc>
        <w:tc>
          <w:tcPr>
            <w:tcW w:w="1820" w:type="dxa"/>
            <w:tcBorders>
              <w:top w:val="nil"/>
              <w:left w:val="nil"/>
              <w:bottom w:val="single" w:sz="4" w:space="0" w:color="auto"/>
              <w:right w:val="single" w:sz="8" w:space="0" w:color="auto"/>
            </w:tcBorders>
            <w:shd w:val="clear" w:color="auto" w:fill="auto"/>
            <w:noWrap/>
            <w:vAlign w:val="bottom"/>
            <w:hideMark/>
          </w:tcPr>
          <w:p w14:paraId="61A282B5"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139 025</w:t>
            </w:r>
          </w:p>
        </w:tc>
      </w:tr>
      <w:tr w:rsidR="000C3B1B" w:rsidRPr="000C3B1B" w14:paraId="36431DA0"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D2D6679"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IeM</w:t>
            </w:r>
          </w:p>
        </w:tc>
        <w:tc>
          <w:tcPr>
            <w:tcW w:w="1860" w:type="dxa"/>
            <w:tcBorders>
              <w:top w:val="nil"/>
              <w:left w:val="nil"/>
              <w:bottom w:val="single" w:sz="4" w:space="0" w:color="auto"/>
              <w:right w:val="single" w:sz="4" w:space="0" w:color="auto"/>
            </w:tcBorders>
            <w:shd w:val="clear" w:color="auto" w:fill="auto"/>
            <w:noWrap/>
            <w:vAlign w:val="bottom"/>
            <w:hideMark/>
          </w:tcPr>
          <w:p w14:paraId="21C0EEAD"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2 049 591</w:t>
            </w:r>
          </w:p>
        </w:tc>
        <w:tc>
          <w:tcPr>
            <w:tcW w:w="1820" w:type="dxa"/>
            <w:tcBorders>
              <w:top w:val="nil"/>
              <w:left w:val="nil"/>
              <w:bottom w:val="single" w:sz="4" w:space="0" w:color="auto"/>
              <w:right w:val="single" w:sz="8" w:space="0" w:color="auto"/>
            </w:tcBorders>
            <w:shd w:val="clear" w:color="auto" w:fill="auto"/>
            <w:noWrap/>
            <w:vAlign w:val="bottom"/>
            <w:hideMark/>
          </w:tcPr>
          <w:p w14:paraId="0191179A"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291 058</w:t>
            </w:r>
          </w:p>
        </w:tc>
      </w:tr>
      <w:tr w:rsidR="000C3B1B" w:rsidRPr="000C3B1B" w14:paraId="535C4E86"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7D4632F"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AiM</w:t>
            </w:r>
          </w:p>
        </w:tc>
        <w:tc>
          <w:tcPr>
            <w:tcW w:w="1860" w:type="dxa"/>
            <w:tcBorders>
              <w:top w:val="nil"/>
              <w:left w:val="nil"/>
              <w:bottom w:val="single" w:sz="4" w:space="0" w:color="auto"/>
              <w:right w:val="single" w:sz="4" w:space="0" w:color="auto"/>
            </w:tcBorders>
            <w:shd w:val="clear" w:color="auto" w:fill="auto"/>
            <w:noWrap/>
            <w:vAlign w:val="bottom"/>
            <w:hideMark/>
          </w:tcPr>
          <w:p w14:paraId="39EDE222"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1 242 894</w:t>
            </w:r>
          </w:p>
        </w:tc>
        <w:tc>
          <w:tcPr>
            <w:tcW w:w="1820" w:type="dxa"/>
            <w:tcBorders>
              <w:top w:val="nil"/>
              <w:left w:val="nil"/>
              <w:bottom w:val="single" w:sz="4" w:space="0" w:color="auto"/>
              <w:right w:val="single" w:sz="8" w:space="0" w:color="auto"/>
            </w:tcBorders>
            <w:shd w:val="clear" w:color="auto" w:fill="auto"/>
            <w:noWrap/>
            <w:vAlign w:val="bottom"/>
            <w:hideMark/>
          </w:tcPr>
          <w:p w14:paraId="760906F1"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1 684</w:t>
            </w:r>
          </w:p>
        </w:tc>
      </w:tr>
      <w:tr w:rsidR="000C3B1B" w:rsidRPr="000C3B1B" w14:paraId="3707EEEB"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173D5801"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LM</w:t>
            </w:r>
          </w:p>
        </w:tc>
        <w:tc>
          <w:tcPr>
            <w:tcW w:w="1860" w:type="dxa"/>
            <w:tcBorders>
              <w:top w:val="nil"/>
              <w:left w:val="nil"/>
              <w:bottom w:val="single" w:sz="4" w:space="0" w:color="auto"/>
              <w:right w:val="single" w:sz="4" w:space="0" w:color="auto"/>
            </w:tcBorders>
            <w:shd w:val="clear" w:color="auto" w:fill="auto"/>
            <w:noWrap/>
            <w:vAlign w:val="bottom"/>
            <w:hideMark/>
          </w:tcPr>
          <w:p w14:paraId="2765D25E"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944 885</w:t>
            </w:r>
          </w:p>
        </w:tc>
        <w:tc>
          <w:tcPr>
            <w:tcW w:w="1820" w:type="dxa"/>
            <w:tcBorders>
              <w:top w:val="nil"/>
              <w:left w:val="nil"/>
              <w:bottom w:val="single" w:sz="4" w:space="0" w:color="auto"/>
              <w:right w:val="single" w:sz="8" w:space="0" w:color="auto"/>
            </w:tcBorders>
            <w:shd w:val="clear" w:color="auto" w:fill="auto"/>
            <w:noWrap/>
            <w:vAlign w:val="bottom"/>
            <w:hideMark/>
          </w:tcPr>
          <w:p w14:paraId="084415E0"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0</w:t>
            </w:r>
          </w:p>
        </w:tc>
      </w:tr>
      <w:tr w:rsidR="000C3B1B" w:rsidRPr="000C3B1B" w14:paraId="75877752"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46657E38"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VARAM</w:t>
            </w:r>
          </w:p>
        </w:tc>
        <w:tc>
          <w:tcPr>
            <w:tcW w:w="1860" w:type="dxa"/>
            <w:tcBorders>
              <w:top w:val="nil"/>
              <w:left w:val="nil"/>
              <w:bottom w:val="single" w:sz="4" w:space="0" w:color="auto"/>
              <w:right w:val="single" w:sz="4" w:space="0" w:color="auto"/>
            </w:tcBorders>
            <w:shd w:val="clear" w:color="auto" w:fill="auto"/>
            <w:noWrap/>
            <w:vAlign w:val="bottom"/>
            <w:hideMark/>
          </w:tcPr>
          <w:p w14:paraId="3EA803CF"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622 928</w:t>
            </w:r>
          </w:p>
        </w:tc>
        <w:tc>
          <w:tcPr>
            <w:tcW w:w="1820" w:type="dxa"/>
            <w:tcBorders>
              <w:top w:val="nil"/>
              <w:left w:val="nil"/>
              <w:bottom w:val="single" w:sz="4" w:space="0" w:color="auto"/>
              <w:right w:val="single" w:sz="8" w:space="0" w:color="auto"/>
            </w:tcBorders>
            <w:shd w:val="clear" w:color="auto" w:fill="auto"/>
            <w:noWrap/>
            <w:vAlign w:val="bottom"/>
            <w:hideMark/>
          </w:tcPr>
          <w:p w14:paraId="4EA6F164"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159 026</w:t>
            </w:r>
          </w:p>
        </w:tc>
      </w:tr>
      <w:tr w:rsidR="000C3B1B" w:rsidRPr="000C3B1B" w14:paraId="74EB49F3"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68F97781"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MK</w:t>
            </w:r>
          </w:p>
        </w:tc>
        <w:tc>
          <w:tcPr>
            <w:tcW w:w="1860" w:type="dxa"/>
            <w:tcBorders>
              <w:top w:val="nil"/>
              <w:left w:val="nil"/>
              <w:bottom w:val="single" w:sz="4" w:space="0" w:color="auto"/>
              <w:right w:val="single" w:sz="4" w:space="0" w:color="auto"/>
            </w:tcBorders>
            <w:shd w:val="clear" w:color="auto" w:fill="auto"/>
            <w:noWrap/>
            <w:vAlign w:val="bottom"/>
            <w:hideMark/>
          </w:tcPr>
          <w:p w14:paraId="456A6D4D"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359 402</w:t>
            </w:r>
          </w:p>
        </w:tc>
        <w:tc>
          <w:tcPr>
            <w:tcW w:w="1820" w:type="dxa"/>
            <w:tcBorders>
              <w:top w:val="nil"/>
              <w:left w:val="nil"/>
              <w:bottom w:val="single" w:sz="4" w:space="0" w:color="auto"/>
              <w:right w:val="single" w:sz="8" w:space="0" w:color="auto"/>
            </w:tcBorders>
            <w:shd w:val="clear" w:color="auto" w:fill="auto"/>
            <w:noWrap/>
            <w:vAlign w:val="bottom"/>
            <w:hideMark/>
          </w:tcPr>
          <w:p w14:paraId="1EEFE9DB"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124 441</w:t>
            </w:r>
          </w:p>
        </w:tc>
      </w:tr>
      <w:tr w:rsidR="000C3B1B" w:rsidRPr="000C3B1B" w14:paraId="5781ADB3"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0180F5DA"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EM</w:t>
            </w:r>
          </w:p>
        </w:tc>
        <w:tc>
          <w:tcPr>
            <w:tcW w:w="1860" w:type="dxa"/>
            <w:tcBorders>
              <w:top w:val="nil"/>
              <w:left w:val="nil"/>
              <w:bottom w:val="single" w:sz="4" w:space="0" w:color="auto"/>
              <w:right w:val="single" w:sz="4" w:space="0" w:color="auto"/>
            </w:tcBorders>
            <w:shd w:val="clear" w:color="auto" w:fill="auto"/>
            <w:noWrap/>
            <w:vAlign w:val="bottom"/>
            <w:hideMark/>
          </w:tcPr>
          <w:p w14:paraId="4B64685D"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90 483</w:t>
            </w:r>
          </w:p>
        </w:tc>
        <w:tc>
          <w:tcPr>
            <w:tcW w:w="1820" w:type="dxa"/>
            <w:tcBorders>
              <w:top w:val="nil"/>
              <w:left w:val="nil"/>
              <w:bottom w:val="single" w:sz="4" w:space="0" w:color="auto"/>
              <w:right w:val="single" w:sz="8" w:space="0" w:color="auto"/>
            </w:tcBorders>
            <w:shd w:val="clear" w:color="auto" w:fill="auto"/>
            <w:noWrap/>
            <w:vAlign w:val="bottom"/>
            <w:hideMark/>
          </w:tcPr>
          <w:p w14:paraId="66048C27"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17 795</w:t>
            </w:r>
          </w:p>
        </w:tc>
      </w:tr>
      <w:tr w:rsidR="000C3B1B" w:rsidRPr="000C3B1B" w14:paraId="163FE96B" w14:textId="77777777" w:rsidTr="000C3B1B">
        <w:trPr>
          <w:trHeight w:val="315"/>
          <w:jc w:val="center"/>
        </w:trPr>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24F19DB2" w14:textId="77777777" w:rsidR="000C3B1B" w:rsidRPr="000C3B1B" w:rsidRDefault="000C3B1B" w:rsidP="000C3B1B">
            <w:pPr>
              <w:spacing w:after="0" w:line="240" w:lineRule="auto"/>
              <w:rPr>
                <w:rFonts w:eastAsia="Times New Roman" w:cs="Times New Roman"/>
                <w:szCs w:val="20"/>
                <w:lang w:val="lv-LV" w:eastAsia="lv-LV"/>
              </w:rPr>
            </w:pPr>
            <w:r w:rsidRPr="000C3B1B">
              <w:rPr>
                <w:rFonts w:eastAsia="Times New Roman" w:cs="Times New Roman"/>
                <w:szCs w:val="20"/>
                <w:lang w:val="lv-LV" w:eastAsia="lv-LV"/>
              </w:rPr>
              <w:t>FM</w:t>
            </w:r>
          </w:p>
        </w:tc>
        <w:tc>
          <w:tcPr>
            <w:tcW w:w="1860" w:type="dxa"/>
            <w:tcBorders>
              <w:top w:val="nil"/>
              <w:left w:val="nil"/>
              <w:bottom w:val="single" w:sz="4" w:space="0" w:color="auto"/>
              <w:right w:val="single" w:sz="4" w:space="0" w:color="auto"/>
            </w:tcBorders>
            <w:shd w:val="clear" w:color="auto" w:fill="auto"/>
            <w:noWrap/>
            <w:vAlign w:val="bottom"/>
            <w:hideMark/>
          </w:tcPr>
          <w:p w14:paraId="643B7E31"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87 884</w:t>
            </w:r>
          </w:p>
        </w:tc>
        <w:tc>
          <w:tcPr>
            <w:tcW w:w="1820" w:type="dxa"/>
            <w:tcBorders>
              <w:top w:val="nil"/>
              <w:left w:val="nil"/>
              <w:bottom w:val="single" w:sz="4" w:space="0" w:color="auto"/>
              <w:right w:val="single" w:sz="8" w:space="0" w:color="auto"/>
            </w:tcBorders>
            <w:shd w:val="clear" w:color="auto" w:fill="auto"/>
            <w:noWrap/>
            <w:vAlign w:val="bottom"/>
            <w:hideMark/>
          </w:tcPr>
          <w:p w14:paraId="59651768" w14:textId="77777777" w:rsidR="000C3B1B" w:rsidRPr="000C3B1B" w:rsidRDefault="000C3B1B" w:rsidP="000C3B1B">
            <w:pPr>
              <w:spacing w:after="0" w:line="240" w:lineRule="auto"/>
              <w:jc w:val="right"/>
              <w:rPr>
                <w:rFonts w:eastAsia="Times New Roman" w:cs="Times New Roman"/>
                <w:szCs w:val="20"/>
                <w:lang w:val="lv-LV" w:eastAsia="lv-LV"/>
              </w:rPr>
            </w:pPr>
            <w:r w:rsidRPr="000C3B1B">
              <w:rPr>
                <w:rFonts w:eastAsia="Times New Roman" w:cs="Times New Roman"/>
                <w:szCs w:val="20"/>
                <w:lang w:val="lv-LV" w:eastAsia="lv-LV"/>
              </w:rPr>
              <w:t>16 473</w:t>
            </w:r>
          </w:p>
        </w:tc>
      </w:tr>
      <w:tr w:rsidR="000C3B1B" w:rsidRPr="000C3B1B" w14:paraId="2488782A" w14:textId="77777777" w:rsidTr="000C3B1B">
        <w:trPr>
          <w:trHeight w:val="330"/>
          <w:jc w:val="center"/>
        </w:trPr>
        <w:tc>
          <w:tcPr>
            <w:tcW w:w="1080" w:type="dxa"/>
            <w:tcBorders>
              <w:top w:val="nil"/>
              <w:left w:val="single" w:sz="8" w:space="0" w:color="auto"/>
              <w:bottom w:val="single" w:sz="8" w:space="0" w:color="auto"/>
              <w:right w:val="single" w:sz="4" w:space="0" w:color="auto"/>
            </w:tcBorders>
            <w:shd w:val="clear" w:color="000000" w:fill="BFBFBF"/>
            <w:noWrap/>
            <w:vAlign w:val="bottom"/>
            <w:hideMark/>
          </w:tcPr>
          <w:p w14:paraId="2CEA7248" w14:textId="77777777" w:rsidR="000C3B1B" w:rsidRPr="000C3B1B" w:rsidRDefault="000C3B1B" w:rsidP="000C3B1B">
            <w:pPr>
              <w:spacing w:after="0" w:line="240" w:lineRule="auto"/>
              <w:rPr>
                <w:rFonts w:eastAsia="Times New Roman" w:cs="Times New Roman"/>
                <w:b/>
                <w:bCs/>
                <w:szCs w:val="20"/>
                <w:lang w:val="lv-LV" w:eastAsia="lv-LV"/>
              </w:rPr>
            </w:pPr>
            <w:r w:rsidRPr="000C3B1B">
              <w:rPr>
                <w:rFonts w:eastAsia="Times New Roman" w:cs="Times New Roman"/>
                <w:b/>
                <w:bCs/>
                <w:szCs w:val="20"/>
                <w:lang w:val="lv-LV" w:eastAsia="lv-LV"/>
              </w:rPr>
              <w:t>KOPĀ</w:t>
            </w:r>
          </w:p>
        </w:tc>
        <w:tc>
          <w:tcPr>
            <w:tcW w:w="1860" w:type="dxa"/>
            <w:tcBorders>
              <w:top w:val="nil"/>
              <w:left w:val="nil"/>
              <w:bottom w:val="single" w:sz="8" w:space="0" w:color="auto"/>
              <w:right w:val="single" w:sz="4" w:space="0" w:color="auto"/>
            </w:tcBorders>
            <w:shd w:val="clear" w:color="000000" w:fill="BFBFBF"/>
            <w:noWrap/>
            <w:vAlign w:val="bottom"/>
            <w:hideMark/>
          </w:tcPr>
          <w:p w14:paraId="392F07C7" w14:textId="77777777" w:rsidR="000C3B1B" w:rsidRPr="000C3B1B" w:rsidRDefault="000C3B1B" w:rsidP="000C3B1B">
            <w:pPr>
              <w:spacing w:after="0" w:line="240" w:lineRule="auto"/>
              <w:jc w:val="right"/>
              <w:rPr>
                <w:rFonts w:eastAsia="Times New Roman" w:cs="Times New Roman"/>
                <w:b/>
                <w:bCs/>
                <w:szCs w:val="20"/>
                <w:lang w:val="lv-LV" w:eastAsia="lv-LV"/>
              </w:rPr>
            </w:pPr>
            <w:r w:rsidRPr="000C3B1B">
              <w:rPr>
                <w:rFonts w:eastAsia="Times New Roman" w:cs="Times New Roman"/>
                <w:b/>
                <w:bCs/>
                <w:szCs w:val="20"/>
                <w:lang w:val="lv-LV" w:eastAsia="lv-LV"/>
              </w:rPr>
              <w:t>41 074 059</w:t>
            </w:r>
          </w:p>
        </w:tc>
        <w:tc>
          <w:tcPr>
            <w:tcW w:w="1820" w:type="dxa"/>
            <w:tcBorders>
              <w:top w:val="nil"/>
              <w:left w:val="nil"/>
              <w:bottom w:val="single" w:sz="8" w:space="0" w:color="auto"/>
              <w:right w:val="single" w:sz="8" w:space="0" w:color="auto"/>
            </w:tcBorders>
            <w:shd w:val="clear" w:color="000000" w:fill="BFBFBF"/>
            <w:noWrap/>
            <w:vAlign w:val="bottom"/>
            <w:hideMark/>
          </w:tcPr>
          <w:p w14:paraId="5C4A2C0B" w14:textId="77777777" w:rsidR="000C3B1B" w:rsidRPr="000C3B1B" w:rsidRDefault="000C3B1B" w:rsidP="000C3B1B">
            <w:pPr>
              <w:spacing w:after="0" w:line="240" w:lineRule="auto"/>
              <w:jc w:val="right"/>
              <w:rPr>
                <w:rFonts w:eastAsia="Times New Roman" w:cs="Times New Roman"/>
                <w:b/>
                <w:bCs/>
                <w:szCs w:val="20"/>
                <w:lang w:val="lv-LV" w:eastAsia="lv-LV"/>
              </w:rPr>
            </w:pPr>
            <w:r w:rsidRPr="000C3B1B">
              <w:rPr>
                <w:rFonts w:eastAsia="Times New Roman" w:cs="Times New Roman"/>
                <w:b/>
                <w:bCs/>
                <w:szCs w:val="20"/>
                <w:lang w:val="lv-LV" w:eastAsia="lv-LV"/>
              </w:rPr>
              <w:t>4 237 430</w:t>
            </w:r>
          </w:p>
        </w:tc>
      </w:tr>
    </w:tbl>
    <w:p w14:paraId="3F9A8141" w14:textId="77777777" w:rsidR="000C3B1B" w:rsidRPr="000C3B1B" w:rsidRDefault="000C3B1B" w:rsidP="000C3B1B">
      <w:pPr>
        <w:tabs>
          <w:tab w:val="left" w:pos="1010"/>
        </w:tabs>
        <w:spacing w:before="120"/>
        <w:ind w:firstLine="720"/>
        <w:rPr>
          <w:rFonts w:cs="Times New Roman"/>
          <w:szCs w:val="24"/>
          <w:lang w:val="lv-LV"/>
        </w:rPr>
      </w:pPr>
      <w:r w:rsidRPr="000C3B1B">
        <w:rPr>
          <w:rFonts w:cs="Times New Roman"/>
          <w:szCs w:val="24"/>
          <w:lang w:val="lv-LV"/>
        </w:rPr>
        <w:t>Informācijas apkopošanas rezultātā, tika konstatēti spēkā esoši MPK cenrāži, kas</w:t>
      </w:r>
      <w:r w:rsidRPr="000C3B1B">
        <w:rPr>
          <w:rFonts w:cs="Times New Roman"/>
          <w:lang w:val="lv-LV"/>
        </w:rPr>
        <w:t xml:space="preserve">, iespējams, ir </w:t>
      </w:r>
      <w:r w:rsidRPr="000C3B1B">
        <w:rPr>
          <w:rFonts w:cs="Times New Roman"/>
          <w:szCs w:val="24"/>
          <w:lang w:val="lv-LV"/>
        </w:rPr>
        <w:t>zaudējuši savu aktualitāti un ieņēmumi no maksas pakalpojumiem netiek plānoti.</w:t>
      </w:r>
    </w:p>
    <w:p w14:paraId="255D7CD9" w14:textId="5ADA0A0D" w:rsidR="000C3B1B" w:rsidRPr="000C3B1B" w:rsidRDefault="004805E5" w:rsidP="000C3B1B">
      <w:pPr>
        <w:jc w:val="center"/>
        <w:rPr>
          <w:rFonts w:cs="Times New Roman"/>
          <w:b/>
          <w:bCs/>
          <w:sz w:val="22"/>
          <w:lang w:val="lv-LV"/>
        </w:rPr>
      </w:pPr>
      <w:r>
        <w:rPr>
          <w:rFonts w:cs="Times New Roman"/>
          <w:b/>
          <w:bCs/>
          <w:i/>
          <w:iCs/>
          <w:sz w:val="22"/>
          <w:lang w:val="lv-LV"/>
        </w:rPr>
        <w:t>2.5.3</w:t>
      </w:r>
      <w:r w:rsidR="000C3B1B" w:rsidRPr="000C3B1B">
        <w:rPr>
          <w:rFonts w:cs="Times New Roman"/>
          <w:b/>
          <w:bCs/>
          <w:i/>
          <w:iCs/>
          <w:sz w:val="22"/>
          <w:lang w:val="lv-LV"/>
        </w:rPr>
        <w:t>. tabula</w:t>
      </w:r>
      <w:r w:rsidR="000C3B1B" w:rsidRPr="000C3B1B">
        <w:rPr>
          <w:rFonts w:cs="Times New Roman"/>
          <w:b/>
          <w:bCs/>
          <w:sz w:val="22"/>
          <w:lang w:val="lv-LV"/>
        </w:rPr>
        <w:t xml:space="preserve"> Spēkā esoši MPK cenrāži, kas zaudējuši aktualitāti</w:t>
      </w:r>
    </w:p>
    <w:tbl>
      <w:tblPr>
        <w:tblStyle w:val="TableGrid"/>
        <w:tblW w:w="0" w:type="auto"/>
        <w:jc w:val="center"/>
        <w:tblLook w:val="04A0" w:firstRow="1" w:lastRow="0" w:firstColumn="1" w:lastColumn="0" w:noHBand="0" w:noVBand="1"/>
      </w:tblPr>
      <w:tblGrid>
        <w:gridCol w:w="5696"/>
        <w:gridCol w:w="910"/>
        <w:gridCol w:w="2320"/>
      </w:tblGrid>
      <w:tr w:rsidR="000C3B1B" w:rsidRPr="00D57D2C" w14:paraId="4A5946BA" w14:textId="77777777" w:rsidTr="000C3B1B">
        <w:trPr>
          <w:trHeight w:val="1032"/>
          <w:jc w:val="center"/>
        </w:trPr>
        <w:tc>
          <w:tcPr>
            <w:tcW w:w="5696" w:type="dxa"/>
            <w:shd w:val="clear" w:color="auto" w:fill="70AD47" w:themeFill="accent6"/>
            <w:vAlign w:val="center"/>
          </w:tcPr>
          <w:p w14:paraId="0E8B4955" w14:textId="77777777" w:rsidR="000C3B1B" w:rsidRPr="000C3B1B" w:rsidRDefault="000C3B1B" w:rsidP="000C3B1B">
            <w:pPr>
              <w:tabs>
                <w:tab w:val="left" w:pos="1010"/>
              </w:tabs>
              <w:spacing w:before="120" w:line="259" w:lineRule="auto"/>
              <w:jc w:val="center"/>
              <w:rPr>
                <w:b/>
                <w:bCs/>
                <w:szCs w:val="20"/>
                <w:lang w:val="lv-LV"/>
              </w:rPr>
            </w:pPr>
            <w:r w:rsidRPr="000C3B1B">
              <w:rPr>
                <w:b/>
                <w:bCs/>
                <w:szCs w:val="20"/>
                <w:lang w:val="lv-LV"/>
              </w:rPr>
              <w:t>Normatīvā akta nosaukums</w:t>
            </w:r>
          </w:p>
        </w:tc>
        <w:tc>
          <w:tcPr>
            <w:tcW w:w="910" w:type="dxa"/>
            <w:shd w:val="clear" w:color="auto" w:fill="70AD47" w:themeFill="accent6"/>
            <w:vAlign w:val="center"/>
          </w:tcPr>
          <w:p w14:paraId="1088F3B6" w14:textId="77777777" w:rsidR="000C3B1B" w:rsidRPr="000C3B1B" w:rsidRDefault="000C3B1B" w:rsidP="000C3B1B">
            <w:pPr>
              <w:tabs>
                <w:tab w:val="left" w:pos="1010"/>
              </w:tabs>
              <w:spacing w:before="120" w:line="259" w:lineRule="auto"/>
              <w:jc w:val="center"/>
              <w:rPr>
                <w:b/>
                <w:bCs/>
                <w:szCs w:val="20"/>
                <w:lang w:val="lv-LV"/>
              </w:rPr>
            </w:pPr>
            <w:r w:rsidRPr="000C3B1B">
              <w:rPr>
                <w:b/>
                <w:bCs/>
                <w:szCs w:val="20"/>
                <w:lang w:val="lv-LV"/>
              </w:rPr>
              <w:t>Resors</w:t>
            </w:r>
          </w:p>
        </w:tc>
        <w:tc>
          <w:tcPr>
            <w:tcW w:w="2320" w:type="dxa"/>
            <w:shd w:val="clear" w:color="auto" w:fill="70AD47" w:themeFill="accent6"/>
            <w:vAlign w:val="center"/>
          </w:tcPr>
          <w:p w14:paraId="70FA3893" w14:textId="77777777" w:rsidR="000C3B1B" w:rsidRPr="000C3B1B" w:rsidRDefault="000C3B1B" w:rsidP="000C3B1B">
            <w:pPr>
              <w:tabs>
                <w:tab w:val="left" w:pos="1010"/>
              </w:tabs>
              <w:spacing w:before="120" w:line="259" w:lineRule="auto"/>
              <w:jc w:val="center"/>
              <w:rPr>
                <w:b/>
                <w:bCs/>
                <w:szCs w:val="20"/>
                <w:lang w:val="lv-LV"/>
              </w:rPr>
            </w:pPr>
            <w:r w:rsidRPr="000C3B1B">
              <w:rPr>
                <w:b/>
                <w:bCs/>
                <w:szCs w:val="20"/>
                <w:lang w:val="lv-LV"/>
              </w:rPr>
              <w:t>Laiks, kopš pēdējās aktualizācijas, gadi</w:t>
            </w:r>
          </w:p>
        </w:tc>
      </w:tr>
      <w:tr w:rsidR="000C3B1B" w:rsidRPr="000C3B1B" w14:paraId="7C57BAEF" w14:textId="77777777" w:rsidTr="000C3B1B">
        <w:trPr>
          <w:jc w:val="center"/>
        </w:trPr>
        <w:tc>
          <w:tcPr>
            <w:tcW w:w="5696" w:type="dxa"/>
          </w:tcPr>
          <w:p w14:paraId="5DFB39FD" w14:textId="77777777" w:rsidR="000C3B1B" w:rsidRPr="000C3B1B" w:rsidRDefault="000C3B1B" w:rsidP="000C3B1B">
            <w:pPr>
              <w:tabs>
                <w:tab w:val="left" w:pos="1010"/>
              </w:tabs>
              <w:spacing w:after="0" w:line="259" w:lineRule="auto"/>
              <w:rPr>
                <w:szCs w:val="20"/>
                <w:lang w:val="lv-LV"/>
              </w:rPr>
            </w:pPr>
            <w:r w:rsidRPr="000C3B1B">
              <w:rPr>
                <w:rFonts w:eastAsia="Calibri"/>
                <w:szCs w:val="20"/>
                <w:lang w:val="lv-LV"/>
              </w:rPr>
              <w:t>Latvijas Nacionālās aizsardzības akadēmijas maksas pakalpojumu cenrādis</w:t>
            </w:r>
          </w:p>
        </w:tc>
        <w:tc>
          <w:tcPr>
            <w:tcW w:w="910" w:type="dxa"/>
            <w:vAlign w:val="center"/>
          </w:tcPr>
          <w:p w14:paraId="09EC98BF" w14:textId="77777777" w:rsidR="000C3B1B" w:rsidRPr="000C3B1B" w:rsidRDefault="000C3B1B" w:rsidP="000C3B1B">
            <w:pPr>
              <w:tabs>
                <w:tab w:val="left" w:pos="1010"/>
              </w:tabs>
              <w:spacing w:after="0" w:line="259" w:lineRule="auto"/>
              <w:jc w:val="center"/>
              <w:rPr>
                <w:szCs w:val="20"/>
                <w:lang w:val="lv-LV"/>
              </w:rPr>
            </w:pPr>
            <w:r w:rsidRPr="000C3B1B">
              <w:rPr>
                <w:szCs w:val="20"/>
                <w:lang w:val="lv-LV"/>
              </w:rPr>
              <w:t>AiM</w:t>
            </w:r>
          </w:p>
        </w:tc>
        <w:tc>
          <w:tcPr>
            <w:tcW w:w="2320" w:type="dxa"/>
            <w:vAlign w:val="center"/>
          </w:tcPr>
          <w:p w14:paraId="54AC9833" w14:textId="77777777" w:rsidR="000C3B1B" w:rsidRPr="000C3B1B" w:rsidRDefault="000C3B1B" w:rsidP="000C3B1B">
            <w:pPr>
              <w:tabs>
                <w:tab w:val="left" w:pos="1010"/>
              </w:tabs>
              <w:spacing w:after="0" w:line="259" w:lineRule="auto"/>
              <w:jc w:val="center"/>
              <w:rPr>
                <w:szCs w:val="20"/>
                <w:lang w:val="lv-LV"/>
              </w:rPr>
            </w:pPr>
            <w:r w:rsidRPr="000C3B1B">
              <w:rPr>
                <w:szCs w:val="20"/>
                <w:lang w:val="lv-LV"/>
              </w:rPr>
              <w:t>7,4</w:t>
            </w:r>
          </w:p>
        </w:tc>
      </w:tr>
      <w:tr w:rsidR="000C3B1B" w:rsidRPr="000C3B1B" w14:paraId="3BA9BED7" w14:textId="77777777" w:rsidTr="000C3B1B">
        <w:trPr>
          <w:jc w:val="center"/>
        </w:trPr>
        <w:tc>
          <w:tcPr>
            <w:tcW w:w="5696" w:type="dxa"/>
          </w:tcPr>
          <w:p w14:paraId="4CAB5DEE" w14:textId="77777777" w:rsidR="000C3B1B" w:rsidRPr="000C3B1B" w:rsidRDefault="000C3B1B" w:rsidP="000C3B1B">
            <w:pPr>
              <w:tabs>
                <w:tab w:val="left" w:pos="1010"/>
              </w:tabs>
              <w:spacing w:after="0" w:line="259" w:lineRule="auto"/>
              <w:rPr>
                <w:rFonts w:eastAsia="Calibri"/>
                <w:szCs w:val="20"/>
                <w:lang w:val="lv-LV"/>
              </w:rPr>
            </w:pPr>
            <w:r w:rsidRPr="000C3B1B">
              <w:rPr>
                <w:rFonts w:eastAsia="Calibri"/>
                <w:szCs w:val="20"/>
                <w:lang w:val="lv-LV"/>
              </w:rPr>
              <w:t>Kultūras ministrijas publisko maksas pakalpojumu cenrādis</w:t>
            </w:r>
          </w:p>
        </w:tc>
        <w:tc>
          <w:tcPr>
            <w:tcW w:w="910" w:type="dxa"/>
            <w:vAlign w:val="center"/>
          </w:tcPr>
          <w:p w14:paraId="653F5E15" w14:textId="77777777" w:rsidR="000C3B1B" w:rsidRPr="000C3B1B" w:rsidRDefault="000C3B1B" w:rsidP="000C3B1B">
            <w:pPr>
              <w:tabs>
                <w:tab w:val="left" w:pos="1010"/>
              </w:tabs>
              <w:spacing w:after="0" w:line="259" w:lineRule="auto"/>
              <w:jc w:val="center"/>
              <w:rPr>
                <w:szCs w:val="20"/>
                <w:lang w:val="lv-LV"/>
              </w:rPr>
            </w:pPr>
            <w:r w:rsidRPr="000C3B1B">
              <w:rPr>
                <w:szCs w:val="20"/>
                <w:lang w:val="lv-LV"/>
              </w:rPr>
              <w:t>KM</w:t>
            </w:r>
          </w:p>
        </w:tc>
        <w:tc>
          <w:tcPr>
            <w:tcW w:w="2320" w:type="dxa"/>
            <w:vAlign w:val="center"/>
          </w:tcPr>
          <w:p w14:paraId="4B0937AD" w14:textId="77777777" w:rsidR="000C3B1B" w:rsidRPr="000C3B1B" w:rsidRDefault="000C3B1B" w:rsidP="000C3B1B">
            <w:pPr>
              <w:tabs>
                <w:tab w:val="left" w:pos="1010"/>
              </w:tabs>
              <w:spacing w:after="0" w:line="259" w:lineRule="auto"/>
              <w:jc w:val="center"/>
              <w:rPr>
                <w:szCs w:val="20"/>
                <w:lang w:val="lv-LV"/>
              </w:rPr>
            </w:pPr>
            <w:r w:rsidRPr="000C3B1B">
              <w:rPr>
                <w:szCs w:val="20"/>
                <w:lang w:val="lv-LV"/>
              </w:rPr>
              <w:t>7,4</w:t>
            </w:r>
          </w:p>
        </w:tc>
      </w:tr>
    </w:tbl>
    <w:p w14:paraId="177EAAF3" w14:textId="77777777" w:rsidR="000C3B1B" w:rsidRDefault="000C3B1B" w:rsidP="000C3B1B">
      <w:pPr>
        <w:tabs>
          <w:tab w:val="left" w:pos="1010"/>
        </w:tabs>
        <w:ind w:firstLine="720"/>
        <w:rPr>
          <w:rFonts w:cs="Times New Roman"/>
          <w:szCs w:val="24"/>
          <w:lang w:val="lv-LV"/>
        </w:rPr>
      </w:pPr>
    </w:p>
    <w:p w14:paraId="068B9C69" w14:textId="11590B65" w:rsidR="000C3B1B" w:rsidRPr="000C3B1B" w:rsidRDefault="000C3B1B" w:rsidP="000C3B1B">
      <w:pPr>
        <w:tabs>
          <w:tab w:val="left" w:pos="1010"/>
        </w:tabs>
        <w:ind w:firstLine="720"/>
        <w:rPr>
          <w:rFonts w:cs="Times New Roman"/>
          <w:szCs w:val="24"/>
          <w:lang w:val="lv-LV"/>
        </w:rPr>
      </w:pPr>
      <w:r w:rsidRPr="000C3B1B">
        <w:rPr>
          <w:rFonts w:cs="Times New Roman"/>
          <w:szCs w:val="24"/>
          <w:lang w:val="lv-LV"/>
        </w:rPr>
        <w:t>Izdevumu pārskatīšanas darba grupai tiekoties ar ministrijām, tika apspriests MPK cenrāžu aktualizācijas jautājums. Ministrijas piekrita, ka vairumā gadījumu ir jāuzsāk MPK cenrāžu aktualizācija, kā arī norādīja, ka ir MPK cenrāži, kuru aktualizācija jau ir procesā. Vērts pieminēt, ka, pēc sarunām ar ministrijām, tika identificēti arī vairāki MPK cenrāži, kurus resori neplāno pārskatīt un palielināt no tā ieņēmumus, ņemot vērā MPK specifiku.</w:t>
      </w:r>
    </w:p>
    <w:p w14:paraId="34FC273C" w14:textId="77777777" w:rsidR="000C3B1B" w:rsidRPr="000C3B1B" w:rsidRDefault="000C3B1B" w:rsidP="00A65D3D">
      <w:pPr>
        <w:tabs>
          <w:tab w:val="left" w:pos="1010"/>
        </w:tabs>
        <w:jc w:val="left"/>
        <w:rPr>
          <w:rFonts w:cs="Times New Roman"/>
          <w:b/>
          <w:szCs w:val="24"/>
          <w:lang w:val="lv-LV"/>
        </w:rPr>
      </w:pPr>
      <w:r w:rsidRPr="000C3B1B">
        <w:rPr>
          <w:rFonts w:cs="Times New Roman"/>
          <w:b/>
          <w:szCs w:val="24"/>
          <w:lang w:val="lv-LV"/>
        </w:rPr>
        <w:t>Secinājumi:</w:t>
      </w:r>
    </w:p>
    <w:p w14:paraId="749BBFC3" w14:textId="77777777" w:rsidR="00A65D3D" w:rsidRDefault="000C3B1B" w:rsidP="0005194E">
      <w:pPr>
        <w:pStyle w:val="ListParagraph"/>
        <w:numPr>
          <w:ilvl w:val="0"/>
          <w:numId w:val="20"/>
        </w:numPr>
        <w:tabs>
          <w:tab w:val="left" w:pos="1010"/>
        </w:tabs>
        <w:ind w:left="714" w:hanging="357"/>
        <w:contextualSpacing w:val="0"/>
        <w:rPr>
          <w:rFonts w:cs="Times New Roman"/>
          <w:szCs w:val="24"/>
          <w:lang w:val="lv-LV"/>
        </w:rPr>
      </w:pPr>
      <w:r w:rsidRPr="00A65D3D">
        <w:rPr>
          <w:rFonts w:cs="Times New Roman"/>
          <w:szCs w:val="24"/>
          <w:lang w:val="lv-LV"/>
        </w:rPr>
        <w:t>Ministrijām ir atšķirīgi</w:t>
      </w:r>
      <w:r w:rsidRPr="00A65D3D">
        <w:rPr>
          <w:rFonts w:cs="Times New Roman"/>
          <w:szCs w:val="24"/>
          <w:lang w:val="lv-LV" w:eastAsia="lv-LV"/>
        </w:rPr>
        <w:t xml:space="preserve"> MPK cenrāžu aktualizācijas laiki, sākot no 0,1 gada līdz 7,5 gadiem.</w:t>
      </w:r>
      <w:r w:rsidRPr="00A65D3D">
        <w:rPr>
          <w:rFonts w:cs="Times New Roman"/>
          <w:szCs w:val="24"/>
          <w:lang w:val="lv-LV"/>
        </w:rPr>
        <w:t xml:space="preserve"> </w:t>
      </w:r>
    </w:p>
    <w:p w14:paraId="0969D11C" w14:textId="77777777" w:rsidR="00A65D3D" w:rsidRDefault="000C3B1B" w:rsidP="0005194E">
      <w:pPr>
        <w:pStyle w:val="ListParagraph"/>
        <w:numPr>
          <w:ilvl w:val="0"/>
          <w:numId w:val="20"/>
        </w:numPr>
        <w:tabs>
          <w:tab w:val="left" w:pos="1010"/>
        </w:tabs>
        <w:ind w:left="714" w:hanging="357"/>
        <w:contextualSpacing w:val="0"/>
        <w:rPr>
          <w:rFonts w:cs="Times New Roman"/>
          <w:szCs w:val="24"/>
          <w:lang w:val="lv-LV"/>
        </w:rPr>
      </w:pPr>
      <w:r w:rsidRPr="00A65D3D">
        <w:rPr>
          <w:rFonts w:cs="Times New Roman"/>
          <w:szCs w:val="24"/>
          <w:lang w:val="lv-LV"/>
        </w:rPr>
        <w:t xml:space="preserve">Aktualizējot MPK cenrāžus, kas nav aktualizēti divus gadus un vairāk, valsts budžetā indikatīvi tiktu iegūti papildu resursi </w:t>
      </w:r>
      <w:r w:rsidRPr="00A65D3D">
        <w:rPr>
          <w:rFonts w:cs="Times New Roman"/>
          <w:b/>
          <w:szCs w:val="24"/>
          <w:lang w:val="lv-LV"/>
        </w:rPr>
        <w:t xml:space="preserve">4,2 milj. </w:t>
      </w:r>
      <w:r w:rsidRPr="00A65D3D">
        <w:rPr>
          <w:rFonts w:cs="Times New Roman"/>
          <w:b/>
          <w:i/>
          <w:szCs w:val="24"/>
          <w:lang w:val="lv-LV"/>
        </w:rPr>
        <w:t>euro</w:t>
      </w:r>
      <w:r w:rsidRPr="00A65D3D">
        <w:rPr>
          <w:rFonts w:cs="Times New Roman"/>
          <w:szCs w:val="24"/>
          <w:lang w:val="lv-LV"/>
        </w:rPr>
        <w:t xml:space="preserve"> apmērā.</w:t>
      </w:r>
    </w:p>
    <w:p w14:paraId="0BEF8D23" w14:textId="1AAD678A" w:rsidR="000C3B1B" w:rsidRPr="00A65D3D" w:rsidRDefault="000C3B1B" w:rsidP="0005194E">
      <w:pPr>
        <w:pStyle w:val="ListParagraph"/>
        <w:numPr>
          <w:ilvl w:val="0"/>
          <w:numId w:val="20"/>
        </w:numPr>
        <w:tabs>
          <w:tab w:val="left" w:pos="1010"/>
        </w:tabs>
        <w:ind w:left="714" w:hanging="357"/>
        <w:contextualSpacing w:val="0"/>
        <w:rPr>
          <w:rFonts w:cs="Times New Roman"/>
          <w:szCs w:val="24"/>
          <w:lang w:val="lv-LV"/>
        </w:rPr>
      </w:pPr>
      <w:r w:rsidRPr="00A65D3D">
        <w:rPr>
          <w:rFonts w:cs="Times New Roman"/>
          <w:szCs w:val="24"/>
          <w:lang w:val="lv-LV"/>
        </w:rPr>
        <w:t>AiM un KM ir cenrāži, kas ir spēkā esoši, bet zaudējuši savu aktualitāti un ieņēmumi no maksas pakalpojumiem vairs netiek plānoti. Ministrijām jāizvērtē iespēja šos MPK cenrāžus atzīt par spēku zaudējušiem vai tos aktualizēt.</w:t>
      </w:r>
    </w:p>
    <w:p w14:paraId="0050A5BC" w14:textId="77777777" w:rsidR="006B193E" w:rsidRDefault="006B193E" w:rsidP="000C3B1B">
      <w:pPr>
        <w:tabs>
          <w:tab w:val="left" w:pos="1010"/>
        </w:tabs>
        <w:ind w:firstLine="720"/>
        <w:rPr>
          <w:rFonts w:cs="Times New Roman"/>
          <w:b/>
          <w:szCs w:val="24"/>
          <w:lang w:val="lv-LV"/>
        </w:rPr>
      </w:pPr>
    </w:p>
    <w:p w14:paraId="514C61BB" w14:textId="02A63F6D" w:rsidR="00A65D3D" w:rsidRDefault="004805E5" w:rsidP="00A65D3D">
      <w:pPr>
        <w:tabs>
          <w:tab w:val="left" w:pos="1010"/>
        </w:tabs>
        <w:rPr>
          <w:rFonts w:cs="Times New Roman"/>
          <w:b/>
          <w:szCs w:val="24"/>
          <w:lang w:val="lv-LV"/>
        </w:rPr>
      </w:pPr>
      <w:r>
        <w:rPr>
          <w:rFonts w:cs="Times New Roman"/>
          <w:b/>
          <w:szCs w:val="24"/>
          <w:lang w:val="lv-LV"/>
        </w:rPr>
        <w:lastRenderedPageBreak/>
        <w:t>Priekšlikums</w:t>
      </w:r>
      <w:r w:rsidR="000C3B1B" w:rsidRPr="000C3B1B">
        <w:rPr>
          <w:rFonts w:cs="Times New Roman"/>
          <w:b/>
          <w:szCs w:val="24"/>
          <w:lang w:val="lv-LV"/>
        </w:rPr>
        <w:t>:</w:t>
      </w:r>
    </w:p>
    <w:p w14:paraId="0A06CDB5" w14:textId="3741C4D8" w:rsidR="000C3B1B" w:rsidRPr="004805E5" w:rsidRDefault="000C3B1B" w:rsidP="004805E5">
      <w:pPr>
        <w:ind w:firstLine="480"/>
        <w:rPr>
          <w:rFonts w:cs="Times New Roman"/>
          <w:b/>
          <w:szCs w:val="24"/>
          <w:lang w:val="lv-LV"/>
        </w:rPr>
      </w:pPr>
      <w:r w:rsidRPr="004805E5">
        <w:rPr>
          <w:rFonts w:cs="Times New Roman"/>
          <w:szCs w:val="24"/>
          <w:lang w:val="lv-LV"/>
        </w:rPr>
        <w:t>Ministrijām, atbilstoši informatīvajā ziņojumā norādītajam par maksas pakalpojumu cenrāžu aktualizāciju, veikt izvērtējumu un nepieciešamības gadījumā sagatavot nepieciešamos grozījumus normatīvajos aktos.</w:t>
      </w:r>
    </w:p>
    <w:p w14:paraId="48E5BD95" w14:textId="77777777" w:rsidR="000C3B1B" w:rsidRPr="000C3B1B" w:rsidRDefault="000C3B1B" w:rsidP="000C3B1B">
      <w:pPr>
        <w:rPr>
          <w:highlight w:val="yellow"/>
          <w:lang w:val="lv-LV"/>
        </w:rPr>
      </w:pPr>
    </w:p>
    <w:p w14:paraId="5EA29B06" w14:textId="77777777" w:rsidR="00D2674E" w:rsidRPr="000E36B5" w:rsidRDefault="00D2674E" w:rsidP="004C1C06">
      <w:pPr>
        <w:pStyle w:val="ListParagraph"/>
        <w:keepNext/>
        <w:keepLines/>
        <w:numPr>
          <w:ilvl w:val="0"/>
          <w:numId w:val="46"/>
        </w:numPr>
        <w:spacing w:after="240" w:line="240" w:lineRule="auto"/>
        <w:jc w:val="center"/>
        <w:outlineLvl w:val="0"/>
        <w:rPr>
          <w:rFonts w:eastAsiaTheme="majorEastAsia" w:cstheme="majorBidi"/>
          <w:sz w:val="32"/>
          <w:szCs w:val="32"/>
          <w:lang w:val="lv-LV"/>
        </w:rPr>
      </w:pPr>
      <w:bookmarkStart w:id="30" w:name="_Toc48200645"/>
      <w:bookmarkStart w:id="31" w:name="_Toc80178415"/>
      <w:r w:rsidRPr="000E36B5">
        <w:rPr>
          <w:rFonts w:eastAsiaTheme="majorEastAsia" w:cstheme="majorBidi"/>
          <w:sz w:val="32"/>
          <w:szCs w:val="32"/>
          <w:lang w:val="lv-LV"/>
        </w:rPr>
        <w:t>NOZARES MINISTRIJU PĀRRAUDZĪBĀ ESOŠO FINANSĒŠANAS POLITIKU ANALĪZE</w:t>
      </w:r>
      <w:bookmarkEnd w:id="30"/>
      <w:bookmarkEnd w:id="31"/>
    </w:p>
    <w:p w14:paraId="0229450E" w14:textId="4377E053" w:rsidR="009228DF" w:rsidRDefault="00DD5C0D" w:rsidP="004C1C06">
      <w:pPr>
        <w:pStyle w:val="Heading2"/>
        <w:numPr>
          <w:ilvl w:val="1"/>
          <w:numId w:val="52"/>
        </w:numPr>
      </w:pPr>
      <w:bookmarkStart w:id="32" w:name="_Toc80178416"/>
      <w:r w:rsidRPr="007F4A72">
        <w:t>Veselības nozares izvērtējums: rezidentūra, starptautiskie norēķini, kompensējamie medikamenti</w:t>
      </w:r>
      <w:bookmarkEnd w:id="32"/>
    </w:p>
    <w:p w14:paraId="12E4983C" w14:textId="77777777" w:rsidR="004D618E" w:rsidRPr="004D618E" w:rsidRDefault="004D618E" w:rsidP="004D618E">
      <w:pPr>
        <w:ind w:firstLine="709"/>
        <w:rPr>
          <w:lang w:val="lv-LV"/>
        </w:rPr>
      </w:pPr>
      <w:r w:rsidRPr="004D618E">
        <w:rPr>
          <w:lang w:val="lv-LV"/>
        </w:rPr>
        <w:t>Šī gada izdevumu pārskatīšanas ietvaros tiks veikta atsevišķu veselības nozares elementu analīze, pievēršoties valsts budžeta apmaksātās rezidentūras un tās finansēšanas problemātikai (ietverot gan FM, gan VM izvērtējumu), plānveida medicīnisko pakalpojumu sniegšanai ārvalstīs un iespējām šos pakalpojumus nodrošināt Latvijas medicīnas iestādēs, kā arī potenciālajam ietaupījumam no kompensējamo zāļu cenu samazināšanas.</w:t>
      </w:r>
    </w:p>
    <w:p w14:paraId="66B0E992" w14:textId="77777777" w:rsidR="004D618E" w:rsidRPr="004D618E" w:rsidRDefault="004D618E" w:rsidP="004D618E">
      <w:pPr>
        <w:rPr>
          <w:b/>
          <w:bCs/>
          <w:lang w:val="lv-LV"/>
        </w:rPr>
      </w:pPr>
      <w:r w:rsidRPr="004D618E">
        <w:rPr>
          <w:b/>
          <w:bCs/>
          <w:lang w:val="lv-LV"/>
        </w:rPr>
        <w:t>Valsts budžeta apmaksātā rezidentūra</w:t>
      </w:r>
    </w:p>
    <w:p w14:paraId="2BFD7396" w14:textId="02616E4E" w:rsidR="004D618E" w:rsidRPr="004D618E" w:rsidRDefault="004D618E" w:rsidP="004D618E">
      <w:pPr>
        <w:ind w:firstLine="709"/>
        <w:rPr>
          <w:lang w:val="lv-LV"/>
        </w:rPr>
      </w:pPr>
      <w:r w:rsidRPr="004D618E">
        <w:rPr>
          <w:lang w:val="lv-LV"/>
        </w:rPr>
        <w:t xml:space="preserve">Valsts budžeta apmaksātā rezidentūras uzņemšanas un finansēšanas kārtība tiek regulēta </w:t>
      </w:r>
      <w:r w:rsidR="004805E5" w:rsidRPr="004D618E">
        <w:rPr>
          <w:lang w:val="lv-LV"/>
        </w:rPr>
        <w:t xml:space="preserve">MK </w:t>
      </w:r>
      <w:r w:rsidRPr="004D618E">
        <w:rPr>
          <w:lang w:val="lv-LV"/>
        </w:rPr>
        <w:t>2011. gada 30. augusta noteikumos Nr. 685 “</w:t>
      </w:r>
      <w:r w:rsidRPr="004D618E">
        <w:rPr>
          <w:rFonts w:eastAsia="Times New Roman"/>
          <w:lang w:val="lv-LV"/>
        </w:rPr>
        <w:t>Rezidentu uzņemšanas, sadales un rezidentūras finansēšanas kārtība”, un tā tiek finansēta no</w:t>
      </w:r>
      <w:r w:rsidRPr="004D618E">
        <w:rPr>
          <w:lang w:val="lv-LV"/>
        </w:rPr>
        <w:t xml:space="preserve"> VM budžeta apakšprogrammas 02.04.00 “Rezidentu apmācība”. Redzams, ka, lai arī finansējums valsts apmaksātajām budžeta vietām ik gadu palielinās (Attēls Nr. 3.1.1.), finansējuma izpilde VM budžeta apakšprogrammā 02.04.00 “Rezidentu apmācība” ir lielāka nekā plānots. Nozarē ir izveidojusies situācija, ka VM ik gadu ir nepieciešams apmaksāt noslēgtos līgumus ar universitātēm pēc fakta, turklāt VM nav iespējams nodrošināt apmaksātas budžeta vietas visiem rezidentūras pieteikumiem (Tabula Nr. 3.1.1.).</w:t>
      </w:r>
    </w:p>
    <w:p w14:paraId="35480A66" w14:textId="77777777" w:rsidR="004D618E" w:rsidRPr="004D618E" w:rsidRDefault="004D618E" w:rsidP="004D618E">
      <w:pPr>
        <w:jc w:val="center"/>
        <w:rPr>
          <w:b/>
          <w:bCs/>
          <w:sz w:val="22"/>
          <w:szCs w:val="20"/>
          <w:lang w:val="lv-LV"/>
        </w:rPr>
      </w:pPr>
      <w:r w:rsidRPr="004D618E">
        <w:rPr>
          <w:b/>
          <w:bCs/>
          <w:i/>
          <w:iCs/>
          <w:sz w:val="22"/>
          <w:szCs w:val="20"/>
          <w:lang w:val="lv-LV"/>
        </w:rPr>
        <w:t>3.1.1. attēls</w:t>
      </w:r>
      <w:r w:rsidRPr="004D618E">
        <w:rPr>
          <w:b/>
          <w:bCs/>
          <w:sz w:val="22"/>
          <w:szCs w:val="20"/>
          <w:lang w:val="lv-LV"/>
        </w:rPr>
        <w:t xml:space="preserve"> VM izdevumi valsts budžeta apakšprogrammā 02.04.00 “Rezidentu apmācība” 2016. – 2023. gadam</w:t>
      </w:r>
    </w:p>
    <w:p w14:paraId="27C3BAC8" w14:textId="77777777" w:rsidR="004D618E" w:rsidRPr="004D618E" w:rsidRDefault="004D618E" w:rsidP="004D618E">
      <w:pPr>
        <w:rPr>
          <w:lang w:val="lv-LV"/>
        </w:rPr>
      </w:pPr>
      <w:r w:rsidRPr="004D618E">
        <w:rPr>
          <w:noProof/>
          <w:lang w:val="lv-LV" w:eastAsia="lv-LV"/>
        </w:rPr>
        <w:drawing>
          <wp:inline distT="0" distB="0" distL="0" distR="0" wp14:anchorId="4656CC2D" wp14:editId="498B04DD">
            <wp:extent cx="5722581" cy="261851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41859" cy="2673088"/>
                    </a:xfrm>
                    <a:prstGeom prst="rect">
                      <a:avLst/>
                    </a:prstGeom>
                    <a:noFill/>
                  </pic:spPr>
                </pic:pic>
              </a:graphicData>
            </a:graphic>
          </wp:inline>
        </w:drawing>
      </w:r>
    </w:p>
    <w:p w14:paraId="768A555B" w14:textId="77777777" w:rsidR="00B068A4" w:rsidRDefault="00B068A4" w:rsidP="004D618E">
      <w:pPr>
        <w:jc w:val="center"/>
        <w:rPr>
          <w:b/>
          <w:bCs/>
          <w:i/>
          <w:iCs/>
          <w:sz w:val="22"/>
          <w:szCs w:val="20"/>
          <w:lang w:val="lv-LV"/>
        </w:rPr>
      </w:pPr>
    </w:p>
    <w:p w14:paraId="1AE14853" w14:textId="6CBADCA1" w:rsidR="004D618E" w:rsidRPr="004D618E" w:rsidRDefault="004D618E" w:rsidP="004D618E">
      <w:pPr>
        <w:jc w:val="center"/>
        <w:rPr>
          <w:b/>
          <w:bCs/>
          <w:sz w:val="22"/>
          <w:szCs w:val="20"/>
          <w:lang w:val="lv-LV"/>
        </w:rPr>
      </w:pPr>
      <w:r w:rsidRPr="004D618E">
        <w:rPr>
          <w:b/>
          <w:bCs/>
          <w:i/>
          <w:iCs/>
          <w:sz w:val="22"/>
          <w:szCs w:val="20"/>
          <w:lang w:val="lv-LV"/>
        </w:rPr>
        <w:lastRenderedPageBreak/>
        <w:t>3.1.1. tabula</w:t>
      </w:r>
      <w:r w:rsidRPr="004D618E">
        <w:rPr>
          <w:b/>
          <w:bCs/>
          <w:sz w:val="22"/>
          <w:szCs w:val="20"/>
          <w:lang w:val="lv-LV"/>
        </w:rPr>
        <w:t xml:space="preserve"> Pieteikumu skaits rezidentūras vietām un plānotais rezidentūras vietu skaits 2020./2021. studiju gadam</w:t>
      </w:r>
    </w:p>
    <w:tbl>
      <w:tblPr>
        <w:tblW w:w="9061" w:type="dxa"/>
        <w:tblLayout w:type="fixed"/>
        <w:tblLook w:val="04A0" w:firstRow="1" w:lastRow="0" w:firstColumn="1" w:lastColumn="0" w:noHBand="0" w:noVBand="1"/>
      </w:tblPr>
      <w:tblGrid>
        <w:gridCol w:w="1129"/>
        <w:gridCol w:w="1134"/>
        <w:gridCol w:w="1134"/>
        <w:gridCol w:w="709"/>
        <w:gridCol w:w="567"/>
        <w:gridCol w:w="709"/>
        <w:gridCol w:w="992"/>
        <w:gridCol w:w="1559"/>
        <w:gridCol w:w="1128"/>
      </w:tblGrid>
      <w:tr w:rsidR="004D618E" w:rsidRPr="004D618E" w14:paraId="63AE9DD7" w14:textId="77777777" w:rsidTr="004D618E">
        <w:trPr>
          <w:trHeight w:val="368"/>
        </w:trPr>
        <w:tc>
          <w:tcPr>
            <w:tcW w:w="3397" w:type="dxa"/>
            <w:gridSpan w:val="3"/>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4FA05E6F"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Rezidentūras vietu skaits pēc 2. grozījumiem (VM 20.08.2020. rīkojums Nr. 165)</w:t>
            </w:r>
          </w:p>
        </w:tc>
        <w:tc>
          <w:tcPr>
            <w:tcW w:w="5664" w:type="dxa"/>
            <w:gridSpan w:val="6"/>
            <w:tcBorders>
              <w:top w:val="single" w:sz="4" w:space="0" w:color="auto"/>
              <w:left w:val="nil"/>
              <w:bottom w:val="single" w:sz="4" w:space="0" w:color="auto"/>
              <w:right w:val="single" w:sz="4" w:space="0" w:color="auto"/>
            </w:tcBorders>
            <w:shd w:val="clear" w:color="auto" w:fill="8EAADB" w:themeFill="accent5" w:themeFillTint="99"/>
            <w:vAlign w:val="center"/>
            <w:hideMark/>
          </w:tcPr>
          <w:p w14:paraId="5653B0B3"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Uzņemšanas rezultāti 2020</w:t>
            </w:r>
          </w:p>
        </w:tc>
      </w:tr>
      <w:tr w:rsidR="004D618E" w:rsidRPr="004D618E" w14:paraId="7C3A278E" w14:textId="77777777" w:rsidTr="004D618E">
        <w:trPr>
          <w:cantSplit/>
          <w:trHeight w:val="747"/>
        </w:trPr>
        <w:tc>
          <w:tcPr>
            <w:tcW w:w="1129" w:type="dxa"/>
            <w:tcBorders>
              <w:top w:val="nil"/>
              <w:left w:val="single" w:sz="4" w:space="0" w:color="auto"/>
              <w:bottom w:val="single" w:sz="4" w:space="0" w:color="auto"/>
              <w:right w:val="single" w:sz="4" w:space="0" w:color="auto"/>
            </w:tcBorders>
            <w:shd w:val="clear" w:color="auto" w:fill="8EAADB" w:themeFill="accent5" w:themeFillTint="99"/>
            <w:vAlign w:val="center"/>
            <w:hideMark/>
          </w:tcPr>
          <w:p w14:paraId="3CEA20A4"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Vietu skaits 2020./2021.</w:t>
            </w:r>
          </w:p>
          <w:p w14:paraId="7CF2FDC1"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studiju gadā</w:t>
            </w:r>
          </w:p>
        </w:tc>
        <w:tc>
          <w:tcPr>
            <w:tcW w:w="1134" w:type="dxa"/>
            <w:tcBorders>
              <w:top w:val="nil"/>
              <w:left w:val="nil"/>
              <w:bottom w:val="single" w:sz="4" w:space="0" w:color="auto"/>
              <w:right w:val="single" w:sz="4" w:space="0" w:color="auto"/>
            </w:tcBorders>
            <w:shd w:val="clear" w:color="auto" w:fill="8EAADB" w:themeFill="accent5" w:themeFillTint="99"/>
            <w:vAlign w:val="center"/>
            <w:hideMark/>
          </w:tcPr>
          <w:p w14:paraId="10FDCE93"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Indikatīvais vietu skaits 2021./2022. studiju gadā</w:t>
            </w:r>
          </w:p>
        </w:tc>
        <w:tc>
          <w:tcPr>
            <w:tcW w:w="1134" w:type="dxa"/>
            <w:tcBorders>
              <w:top w:val="nil"/>
              <w:left w:val="nil"/>
              <w:bottom w:val="single" w:sz="4" w:space="0" w:color="auto"/>
              <w:right w:val="single" w:sz="4" w:space="0" w:color="auto"/>
            </w:tcBorders>
            <w:shd w:val="clear" w:color="auto" w:fill="8EAADB" w:themeFill="accent5" w:themeFillTint="99"/>
            <w:vAlign w:val="center"/>
            <w:hideMark/>
          </w:tcPr>
          <w:p w14:paraId="73EAA1CF"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Indikatīvais vietu skaits 2022./2023. studiju gadā</w:t>
            </w:r>
          </w:p>
        </w:tc>
        <w:tc>
          <w:tcPr>
            <w:tcW w:w="709" w:type="dxa"/>
            <w:tcBorders>
              <w:top w:val="nil"/>
              <w:left w:val="nil"/>
              <w:bottom w:val="single" w:sz="4" w:space="0" w:color="auto"/>
              <w:right w:val="single" w:sz="4" w:space="0" w:color="auto"/>
            </w:tcBorders>
            <w:shd w:val="clear" w:color="auto" w:fill="8EAADB" w:themeFill="accent5" w:themeFillTint="99"/>
            <w:vAlign w:val="center"/>
            <w:hideMark/>
          </w:tcPr>
          <w:p w14:paraId="0B4E7C30"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RSU</w:t>
            </w:r>
          </w:p>
        </w:tc>
        <w:tc>
          <w:tcPr>
            <w:tcW w:w="567" w:type="dxa"/>
            <w:tcBorders>
              <w:top w:val="nil"/>
              <w:left w:val="nil"/>
              <w:bottom w:val="single" w:sz="4" w:space="0" w:color="auto"/>
              <w:right w:val="single" w:sz="4" w:space="0" w:color="auto"/>
            </w:tcBorders>
            <w:shd w:val="clear" w:color="auto" w:fill="8EAADB" w:themeFill="accent5" w:themeFillTint="99"/>
            <w:vAlign w:val="center"/>
            <w:hideMark/>
          </w:tcPr>
          <w:p w14:paraId="5CFEE5D3"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LU</w:t>
            </w:r>
          </w:p>
        </w:tc>
        <w:tc>
          <w:tcPr>
            <w:tcW w:w="709" w:type="dxa"/>
            <w:tcBorders>
              <w:top w:val="nil"/>
              <w:left w:val="nil"/>
              <w:bottom w:val="single" w:sz="4" w:space="0" w:color="auto"/>
              <w:right w:val="single" w:sz="4" w:space="0" w:color="auto"/>
            </w:tcBorders>
            <w:shd w:val="clear" w:color="auto" w:fill="8EAADB" w:themeFill="accent5" w:themeFillTint="99"/>
            <w:vAlign w:val="center"/>
            <w:hideMark/>
          </w:tcPr>
          <w:p w14:paraId="39C3A5D2"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KOPĀ</w:t>
            </w:r>
          </w:p>
        </w:tc>
        <w:tc>
          <w:tcPr>
            <w:tcW w:w="992" w:type="dxa"/>
            <w:tcBorders>
              <w:top w:val="nil"/>
              <w:left w:val="nil"/>
              <w:bottom w:val="single" w:sz="4" w:space="0" w:color="auto"/>
              <w:right w:val="single" w:sz="4" w:space="0" w:color="auto"/>
            </w:tcBorders>
            <w:shd w:val="clear" w:color="auto" w:fill="8EAADB" w:themeFill="accent5" w:themeFillTint="99"/>
            <w:vAlign w:val="center"/>
            <w:hideMark/>
          </w:tcPr>
          <w:p w14:paraId="21BD3EC9"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aizpildītas vietas %</w:t>
            </w:r>
          </w:p>
        </w:tc>
        <w:tc>
          <w:tcPr>
            <w:tcW w:w="1559" w:type="dxa"/>
            <w:tcBorders>
              <w:top w:val="nil"/>
              <w:left w:val="nil"/>
              <w:bottom w:val="single" w:sz="4" w:space="0" w:color="auto"/>
              <w:right w:val="single" w:sz="4" w:space="0" w:color="auto"/>
            </w:tcBorders>
            <w:shd w:val="clear" w:color="auto" w:fill="8EAADB" w:themeFill="accent5" w:themeFillTint="99"/>
            <w:vAlign w:val="center"/>
            <w:hideMark/>
          </w:tcPr>
          <w:p w14:paraId="741E6228"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Pieteikumu skaits 2020./2021. studiju gadā uz 08.07.2020.</w:t>
            </w:r>
          </w:p>
        </w:tc>
        <w:tc>
          <w:tcPr>
            <w:tcW w:w="1128" w:type="dxa"/>
            <w:tcBorders>
              <w:top w:val="nil"/>
              <w:left w:val="nil"/>
              <w:bottom w:val="single" w:sz="4" w:space="0" w:color="auto"/>
              <w:right w:val="single" w:sz="4" w:space="0" w:color="auto"/>
            </w:tcBorders>
            <w:shd w:val="clear" w:color="auto" w:fill="8EAADB" w:themeFill="accent5" w:themeFillTint="99"/>
            <w:vAlign w:val="center"/>
            <w:hideMark/>
          </w:tcPr>
          <w:p w14:paraId="4CA8A120" w14:textId="77777777" w:rsidR="004D618E" w:rsidRPr="004D618E" w:rsidRDefault="004D618E" w:rsidP="004D618E">
            <w:pPr>
              <w:jc w:val="center"/>
              <w:rPr>
                <w:rFonts w:eastAsia="Times New Roman"/>
                <w:sz w:val="18"/>
                <w:szCs w:val="18"/>
                <w:lang w:val="lv-LV"/>
              </w:rPr>
            </w:pPr>
            <w:r w:rsidRPr="004D618E">
              <w:rPr>
                <w:rFonts w:eastAsia="Times New Roman"/>
                <w:sz w:val="18"/>
                <w:szCs w:val="18"/>
                <w:lang w:val="lv-LV"/>
              </w:rPr>
              <w:t>Konkurss (reflektanti uz vienu vietu)</w:t>
            </w:r>
          </w:p>
        </w:tc>
      </w:tr>
      <w:tr w:rsidR="004D618E" w:rsidRPr="004D618E" w14:paraId="248422F0" w14:textId="77777777" w:rsidTr="004D618E">
        <w:trPr>
          <w:trHeight w:val="168"/>
        </w:trPr>
        <w:tc>
          <w:tcPr>
            <w:tcW w:w="1129" w:type="dxa"/>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14:paraId="5E0C781B"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231</w:t>
            </w:r>
          </w:p>
        </w:tc>
        <w:tc>
          <w:tcPr>
            <w:tcW w:w="1134" w:type="dxa"/>
            <w:tcBorders>
              <w:top w:val="nil"/>
              <w:left w:val="nil"/>
              <w:bottom w:val="single" w:sz="4" w:space="0" w:color="auto"/>
              <w:right w:val="single" w:sz="4" w:space="0" w:color="auto"/>
            </w:tcBorders>
            <w:shd w:val="clear" w:color="auto" w:fill="D9E2F3" w:themeFill="accent5" w:themeFillTint="33"/>
            <w:noWrap/>
            <w:vAlign w:val="center"/>
            <w:hideMark/>
          </w:tcPr>
          <w:p w14:paraId="1F689806"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223</w:t>
            </w:r>
          </w:p>
        </w:tc>
        <w:tc>
          <w:tcPr>
            <w:tcW w:w="1134" w:type="dxa"/>
            <w:tcBorders>
              <w:top w:val="nil"/>
              <w:left w:val="nil"/>
              <w:bottom w:val="single" w:sz="4" w:space="0" w:color="auto"/>
              <w:right w:val="single" w:sz="4" w:space="0" w:color="auto"/>
            </w:tcBorders>
            <w:shd w:val="clear" w:color="auto" w:fill="D9E2F3" w:themeFill="accent5" w:themeFillTint="33"/>
            <w:noWrap/>
            <w:vAlign w:val="center"/>
            <w:hideMark/>
          </w:tcPr>
          <w:p w14:paraId="0A9CED75"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216</w:t>
            </w:r>
          </w:p>
        </w:tc>
        <w:tc>
          <w:tcPr>
            <w:tcW w:w="709" w:type="dxa"/>
            <w:tcBorders>
              <w:top w:val="nil"/>
              <w:left w:val="nil"/>
              <w:bottom w:val="single" w:sz="4" w:space="0" w:color="auto"/>
              <w:right w:val="single" w:sz="4" w:space="0" w:color="auto"/>
            </w:tcBorders>
            <w:shd w:val="clear" w:color="auto" w:fill="D9E2F3" w:themeFill="accent5" w:themeFillTint="33"/>
            <w:noWrap/>
            <w:vAlign w:val="center"/>
            <w:hideMark/>
          </w:tcPr>
          <w:p w14:paraId="414E5BB9"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176</w:t>
            </w:r>
          </w:p>
        </w:tc>
        <w:tc>
          <w:tcPr>
            <w:tcW w:w="567" w:type="dxa"/>
            <w:tcBorders>
              <w:top w:val="nil"/>
              <w:left w:val="nil"/>
              <w:bottom w:val="single" w:sz="4" w:space="0" w:color="auto"/>
              <w:right w:val="single" w:sz="4" w:space="0" w:color="auto"/>
            </w:tcBorders>
            <w:shd w:val="clear" w:color="auto" w:fill="D9E2F3" w:themeFill="accent5" w:themeFillTint="33"/>
            <w:noWrap/>
            <w:vAlign w:val="center"/>
            <w:hideMark/>
          </w:tcPr>
          <w:p w14:paraId="7621A737"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55</w:t>
            </w:r>
          </w:p>
        </w:tc>
        <w:tc>
          <w:tcPr>
            <w:tcW w:w="709" w:type="dxa"/>
            <w:tcBorders>
              <w:top w:val="nil"/>
              <w:left w:val="nil"/>
              <w:bottom w:val="single" w:sz="4" w:space="0" w:color="auto"/>
              <w:right w:val="single" w:sz="4" w:space="0" w:color="auto"/>
            </w:tcBorders>
            <w:shd w:val="clear" w:color="auto" w:fill="D9E2F3" w:themeFill="accent5" w:themeFillTint="33"/>
            <w:noWrap/>
            <w:vAlign w:val="center"/>
            <w:hideMark/>
          </w:tcPr>
          <w:p w14:paraId="0418CF1D"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231</w:t>
            </w:r>
          </w:p>
        </w:tc>
        <w:tc>
          <w:tcPr>
            <w:tcW w:w="992" w:type="dxa"/>
            <w:tcBorders>
              <w:top w:val="nil"/>
              <w:left w:val="nil"/>
              <w:bottom w:val="single" w:sz="4" w:space="0" w:color="auto"/>
              <w:right w:val="single" w:sz="4" w:space="0" w:color="auto"/>
            </w:tcBorders>
            <w:shd w:val="clear" w:color="auto" w:fill="D9E2F3" w:themeFill="accent5" w:themeFillTint="33"/>
            <w:noWrap/>
            <w:vAlign w:val="center"/>
            <w:hideMark/>
          </w:tcPr>
          <w:p w14:paraId="46CE2ED4"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100</w:t>
            </w:r>
          </w:p>
        </w:tc>
        <w:tc>
          <w:tcPr>
            <w:tcW w:w="1559" w:type="dxa"/>
            <w:tcBorders>
              <w:top w:val="nil"/>
              <w:left w:val="nil"/>
              <w:bottom w:val="single" w:sz="4" w:space="0" w:color="auto"/>
              <w:right w:val="single" w:sz="4" w:space="0" w:color="auto"/>
            </w:tcBorders>
            <w:shd w:val="clear" w:color="auto" w:fill="D9E2F3" w:themeFill="accent5" w:themeFillTint="33"/>
            <w:noWrap/>
            <w:vAlign w:val="center"/>
            <w:hideMark/>
          </w:tcPr>
          <w:p w14:paraId="6EE743B2"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545</w:t>
            </w:r>
          </w:p>
        </w:tc>
        <w:tc>
          <w:tcPr>
            <w:tcW w:w="1128" w:type="dxa"/>
            <w:tcBorders>
              <w:top w:val="nil"/>
              <w:left w:val="nil"/>
              <w:bottom w:val="single" w:sz="4" w:space="0" w:color="auto"/>
              <w:right w:val="single" w:sz="4" w:space="0" w:color="auto"/>
            </w:tcBorders>
            <w:shd w:val="clear" w:color="auto" w:fill="D9E2F3" w:themeFill="accent5" w:themeFillTint="33"/>
            <w:noWrap/>
            <w:vAlign w:val="center"/>
            <w:hideMark/>
          </w:tcPr>
          <w:p w14:paraId="391CE4D9" w14:textId="77777777" w:rsidR="004D618E" w:rsidRPr="00B068A4" w:rsidRDefault="004D618E" w:rsidP="004D618E">
            <w:pPr>
              <w:jc w:val="center"/>
              <w:rPr>
                <w:rFonts w:eastAsia="Times New Roman"/>
                <w:b/>
                <w:bCs/>
                <w:sz w:val="20"/>
                <w:szCs w:val="18"/>
                <w:lang w:val="lv-LV"/>
              </w:rPr>
            </w:pPr>
            <w:r w:rsidRPr="00B068A4">
              <w:rPr>
                <w:rFonts w:eastAsia="Times New Roman"/>
                <w:b/>
                <w:bCs/>
                <w:sz w:val="20"/>
                <w:szCs w:val="18"/>
                <w:lang w:val="lv-LV"/>
              </w:rPr>
              <w:t>2,4</w:t>
            </w:r>
          </w:p>
        </w:tc>
      </w:tr>
    </w:tbl>
    <w:p w14:paraId="7C3D1D50" w14:textId="6B7434A1" w:rsidR="004D618E" w:rsidRPr="004D618E" w:rsidRDefault="004D618E" w:rsidP="00C90834">
      <w:pPr>
        <w:spacing w:before="120"/>
        <w:ind w:firstLine="709"/>
        <w:rPr>
          <w:b/>
          <w:bCs/>
          <w:lang w:val="lv-LV"/>
        </w:rPr>
      </w:pPr>
      <w:r w:rsidRPr="004D618E">
        <w:rPr>
          <w:lang w:val="lv-LV"/>
        </w:rPr>
        <w:t xml:space="preserve">Kā vienu no risinājumiem iekšējo resursu efektīvākam izlietojumam valsts budžeta apmaksātajai rezidentūrai FM rosina studiju ilguma samazināšanu noteiktās specialitātēs. Pēc VM skaidrojuma studiju ilgumu nosaka 2005. gada 7. septembra Eiropas Parlamenta un Padomes Direktīva 2005/36/EK </w:t>
      </w:r>
      <w:r w:rsidR="004805E5" w:rsidRPr="004805E5">
        <w:rPr>
          <w:lang w:val="lv-LV"/>
        </w:rPr>
        <w:t xml:space="preserve">par profesionālo kvalifikāciju atzīšanu </w:t>
      </w:r>
      <w:r w:rsidRPr="004D618E">
        <w:rPr>
          <w:lang w:val="lv-LV"/>
        </w:rPr>
        <w:t>(turpmāk – ES direktīva), tomēr jāatzīmē, ka ES direktīva nosaka minimālo studiju ilgumu. Tabulā ir redzamas studiju ilguma atšķirības noteiktās sp</w:t>
      </w:r>
      <w:r w:rsidR="005354B1">
        <w:rPr>
          <w:lang w:val="lv-LV"/>
        </w:rPr>
        <w:t>ecialitātēs (Tabula Nr. 3.1.2.). Ir specialitātes, kurās s</w:t>
      </w:r>
      <w:r w:rsidRPr="004D618E">
        <w:rPr>
          <w:lang w:val="lv-LV"/>
        </w:rPr>
        <w:t xml:space="preserve">tudiju ilgums ir par vienu vai diviem gadiem ilgāks </w:t>
      </w:r>
      <w:bookmarkStart w:id="33" w:name="_Ref70517254"/>
      <w:r w:rsidRPr="004D618E">
        <w:rPr>
          <w:lang w:val="lv-LV"/>
        </w:rPr>
        <w:t>nekā noteikts minimālais apmācību ilgums ES direktīvā.</w:t>
      </w:r>
    </w:p>
    <w:bookmarkEnd w:id="33"/>
    <w:p w14:paraId="4F9A74E1" w14:textId="77777777" w:rsidR="004D618E" w:rsidRPr="004D618E" w:rsidRDefault="004D618E" w:rsidP="004D618E">
      <w:pPr>
        <w:jc w:val="center"/>
        <w:rPr>
          <w:sz w:val="22"/>
          <w:szCs w:val="20"/>
          <w:lang w:val="lv-LV"/>
        </w:rPr>
      </w:pPr>
      <w:r w:rsidRPr="004D618E">
        <w:rPr>
          <w:b/>
          <w:bCs/>
          <w:i/>
          <w:iCs/>
          <w:sz w:val="22"/>
          <w:szCs w:val="20"/>
          <w:lang w:val="lv-LV"/>
        </w:rPr>
        <w:t>3.1.2. tabula</w:t>
      </w:r>
      <w:r w:rsidRPr="004D618E">
        <w:rPr>
          <w:b/>
          <w:bCs/>
          <w:sz w:val="22"/>
          <w:szCs w:val="20"/>
          <w:lang w:val="lv-LV"/>
        </w:rPr>
        <w:t xml:space="preserve"> Rezidentūras studiju ilgums noteiktās specialitātēs</w:t>
      </w:r>
      <w:r w:rsidRPr="004D618E">
        <w:rPr>
          <w:rStyle w:val="FootnoteReference"/>
          <w:b/>
          <w:bCs/>
          <w:sz w:val="22"/>
          <w:szCs w:val="20"/>
          <w:lang w:val="lv-LV"/>
        </w:rPr>
        <w:footnoteReference w:id="18"/>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681"/>
        <w:gridCol w:w="2693"/>
        <w:gridCol w:w="2697"/>
      </w:tblGrid>
      <w:tr w:rsidR="004D618E" w:rsidRPr="004D618E" w14:paraId="56C01AAF" w14:textId="77777777" w:rsidTr="004D618E">
        <w:trPr>
          <w:trHeight w:val="380"/>
        </w:trPr>
        <w:tc>
          <w:tcPr>
            <w:tcW w:w="3681" w:type="dxa"/>
            <w:shd w:val="clear" w:color="auto" w:fill="8EAADB" w:themeFill="accent5" w:themeFillTint="99"/>
            <w:tcMar>
              <w:top w:w="7" w:type="dxa"/>
              <w:left w:w="7" w:type="dxa"/>
              <w:bottom w:w="0" w:type="dxa"/>
              <w:right w:w="7" w:type="dxa"/>
            </w:tcMar>
            <w:vAlign w:val="center"/>
            <w:hideMark/>
          </w:tcPr>
          <w:p w14:paraId="7382CE73" w14:textId="77777777" w:rsidR="004D618E" w:rsidRPr="004D618E" w:rsidRDefault="004D618E" w:rsidP="004D618E">
            <w:pPr>
              <w:jc w:val="center"/>
              <w:textAlignment w:val="top"/>
              <w:rPr>
                <w:rFonts w:eastAsia="Times New Roman" w:cs="Times New Roman"/>
                <w:sz w:val="20"/>
                <w:szCs w:val="20"/>
                <w:lang w:val="lv-LV"/>
              </w:rPr>
            </w:pPr>
            <w:r w:rsidRPr="004D618E">
              <w:rPr>
                <w:rFonts w:eastAsia="Verdana" w:cs="Times New Roman"/>
                <w:b/>
                <w:bCs/>
                <w:color w:val="000000" w:themeColor="dark1"/>
                <w:kern w:val="24"/>
                <w:sz w:val="20"/>
                <w:szCs w:val="20"/>
                <w:lang w:val="lv-LV"/>
              </w:rPr>
              <w:t xml:space="preserve">Specialitāte </w:t>
            </w:r>
          </w:p>
        </w:tc>
        <w:tc>
          <w:tcPr>
            <w:tcW w:w="2693" w:type="dxa"/>
            <w:shd w:val="clear" w:color="auto" w:fill="8EAADB" w:themeFill="accent5" w:themeFillTint="99"/>
            <w:tcMar>
              <w:top w:w="7" w:type="dxa"/>
              <w:left w:w="7" w:type="dxa"/>
              <w:bottom w:w="0" w:type="dxa"/>
              <w:right w:w="7" w:type="dxa"/>
            </w:tcMar>
            <w:vAlign w:val="center"/>
            <w:hideMark/>
          </w:tcPr>
          <w:p w14:paraId="7C37157F" w14:textId="77777777" w:rsidR="004D618E" w:rsidRPr="004D618E" w:rsidRDefault="004D618E" w:rsidP="004D618E">
            <w:pPr>
              <w:jc w:val="center"/>
              <w:textAlignment w:val="center"/>
              <w:rPr>
                <w:rFonts w:eastAsia="Times New Roman" w:cs="Times New Roman"/>
                <w:sz w:val="20"/>
                <w:szCs w:val="20"/>
                <w:lang w:val="lv-LV"/>
              </w:rPr>
            </w:pPr>
            <w:r w:rsidRPr="004D618E">
              <w:rPr>
                <w:rFonts w:eastAsia="Verdana" w:cs="Times New Roman"/>
                <w:b/>
                <w:bCs/>
                <w:color w:val="000000" w:themeColor="dark1"/>
                <w:kern w:val="24"/>
                <w:sz w:val="20"/>
                <w:szCs w:val="20"/>
                <w:lang w:val="lv-LV"/>
              </w:rPr>
              <w:t>Studiju ilgums ES direktīvā (minimālais apmācību ilgums) (gadi)</w:t>
            </w:r>
          </w:p>
        </w:tc>
        <w:tc>
          <w:tcPr>
            <w:tcW w:w="2697" w:type="dxa"/>
            <w:shd w:val="clear" w:color="auto" w:fill="8EAADB" w:themeFill="accent5" w:themeFillTint="99"/>
            <w:tcMar>
              <w:top w:w="7" w:type="dxa"/>
              <w:left w:w="7" w:type="dxa"/>
              <w:bottom w:w="0" w:type="dxa"/>
              <w:right w:w="7" w:type="dxa"/>
            </w:tcMar>
            <w:vAlign w:val="center"/>
            <w:hideMark/>
          </w:tcPr>
          <w:p w14:paraId="15902AA1" w14:textId="69D440A2" w:rsidR="004D618E" w:rsidRPr="004D618E" w:rsidRDefault="005354B1" w:rsidP="004D618E">
            <w:pPr>
              <w:jc w:val="center"/>
              <w:textAlignment w:val="center"/>
              <w:rPr>
                <w:rFonts w:eastAsia="Times New Roman" w:cs="Times New Roman"/>
                <w:sz w:val="20"/>
                <w:szCs w:val="20"/>
                <w:lang w:val="lv-LV"/>
              </w:rPr>
            </w:pPr>
            <w:r w:rsidRPr="005354B1">
              <w:rPr>
                <w:rFonts w:eastAsia="Verdana" w:cs="Times New Roman"/>
                <w:b/>
                <w:bCs/>
                <w:color w:val="000000" w:themeColor="dark1"/>
                <w:kern w:val="24"/>
                <w:sz w:val="20"/>
                <w:szCs w:val="20"/>
                <w:lang w:val="lv-LV"/>
              </w:rPr>
              <w:t>MK not.</w:t>
            </w:r>
            <w:r>
              <w:rPr>
                <w:rFonts w:eastAsia="Verdana" w:cs="Times New Roman"/>
                <w:b/>
                <w:bCs/>
                <w:color w:val="000000" w:themeColor="dark1"/>
                <w:kern w:val="24"/>
                <w:sz w:val="20"/>
                <w:szCs w:val="20"/>
                <w:lang w:val="lv-LV"/>
              </w:rPr>
              <w:t xml:space="preserve"> </w:t>
            </w:r>
            <w:r w:rsidRPr="005354B1">
              <w:rPr>
                <w:rFonts w:eastAsia="Verdana" w:cs="Times New Roman"/>
                <w:b/>
                <w:bCs/>
                <w:color w:val="000000" w:themeColor="dark1"/>
                <w:kern w:val="24"/>
                <w:sz w:val="20"/>
                <w:szCs w:val="20"/>
                <w:lang w:val="lv-LV"/>
              </w:rPr>
              <w:t>268</w:t>
            </w:r>
            <w:r>
              <w:rPr>
                <w:rStyle w:val="FootnoteReference"/>
                <w:rFonts w:eastAsia="Verdana" w:cs="Times New Roman"/>
                <w:b/>
                <w:bCs/>
                <w:color w:val="000000" w:themeColor="dark1"/>
                <w:kern w:val="24"/>
                <w:sz w:val="20"/>
                <w:szCs w:val="20"/>
                <w:lang w:val="lv-LV"/>
              </w:rPr>
              <w:footnoteReference w:id="19"/>
            </w:r>
            <w:r w:rsidRPr="005354B1">
              <w:rPr>
                <w:rFonts w:eastAsia="Verdana" w:cs="Times New Roman"/>
                <w:b/>
                <w:bCs/>
                <w:color w:val="000000" w:themeColor="dark1"/>
                <w:kern w:val="24"/>
                <w:sz w:val="20"/>
                <w:szCs w:val="20"/>
                <w:lang w:val="lv-LV"/>
              </w:rPr>
              <w:t xml:space="preserve"> noteiktais studiju ilgums </w:t>
            </w:r>
            <w:r w:rsidR="004D618E" w:rsidRPr="004D618E">
              <w:rPr>
                <w:rFonts w:eastAsia="Verdana" w:cs="Times New Roman"/>
                <w:b/>
                <w:bCs/>
                <w:color w:val="000000" w:themeColor="dark1"/>
                <w:kern w:val="24"/>
                <w:sz w:val="20"/>
                <w:szCs w:val="20"/>
                <w:lang w:val="lv-LV"/>
              </w:rPr>
              <w:t>(gadi)</w:t>
            </w:r>
          </w:p>
        </w:tc>
      </w:tr>
      <w:tr w:rsidR="004D618E" w:rsidRPr="004D618E" w14:paraId="3FF19E99" w14:textId="77777777" w:rsidTr="004D618E">
        <w:trPr>
          <w:trHeight w:val="234"/>
        </w:trPr>
        <w:tc>
          <w:tcPr>
            <w:tcW w:w="3681" w:type="dxa"/>
            <w:shd w:val="clear" w:color="auto" w:fill="D9E2F3" w:themeFill="accent5" w:themeFillTint="33"/>
            <w:tcMar>
              <w:top w:w="7" w:type="dxa"/>
              <w:left w:w="7" w:type="dxa"/>
              <w:bottom w:w="0" w:type="dxa"/>
              <w:right w:w="7" w:type="dxa"/>
            </w:tcMar>
            <w:vAlign w:val="center"/>
            <w:hideMark/>
          </w:tcPr>
          <w:p w14:paraId="22CC8E42"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Anesteziologs, reanimatologs </w:t>
            </w:r>
          </w:p>
        </w:tc>
        <w:tc>
          <w:tcPr>
            <w:tcW w:w="2693" w:type="dxa"/>
            <w:shd w:val="clear" w:color="auto" w:fill="D9E2F3" w:themeFill="accent5" w:themeFillTint="33"/>
            <w:tcMar>
              <w:top w:w="7" w:type="dxa"/>
              <w:left w:w="7" w:type="dxa"/>
              <w:bottom w:w="0" w:type="dxa"/>
              <w:right w:w="7" w:type="dxa"/>
            </w:tcMar>
            <w:vAlign w:val="center"/>
            <w:hideMark/>
          </w:tcPr>
          <w:p w14:paraId="1C7A35EC"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3</w:t>
            </w:r>
          </w:p>
        </w:tc>
        <w:tc>
          <w:tcPr>
            <w:tcW w:w="2697" w:type="dxa"/>
            <w:shd w:val="clear" w:color="auto" w:fill="D9E2F3" w:themeFill="accent5" w:themeFillTint="33"/>
            <w:tcMar>
              <w:top w:w="7" w:type="dxa"/>
              <w:left w:w="7" w:type="dxa"/>
              <w:bottom w:w="0" w:type="dxa"/>
              <w:right w:w="7" w:type="dxa"/>
            </w:tcMar>
            <w:vAlign w:val="center"/>
            <w:hideMark/>
          </w:tcPr>
          <w:p w14:paraId="17735E34"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1A1C8A08" w14:textId="77777777" w:rsidTr="004D618E">
        <w:trPr>
          <w:trHeight w:val="105"/>
        </w:trPr>
        <w:tc>
          <w:tcPr>
            <w:tcW w:w="3681" w:type="dxa"/>
            <w:shd w:val="clear" w:color="auto" w:fill="D9E2F3" w:themeFill="accent5" w:themeFillTint="33"/>
            <w:tcMar>
              <w:top w:w="7" w:type="dxa"/>
              <w:left w:w="7" w:type="dxa"/>
              <w:bottom w:w="0" w:type="dxa"/>
              <w:right w:w="7" w:type="dxa"/>
            </w:tcMar>
            <w:vAlign w:val="center"/>
            <w:hideMark/>
          </w:tcPr>
          <w:p w14:paraId="335E25C8"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Arodveselības un arodslimību ārsts </w:t>
            </w:r>
          </w:p>
        </w:tc>
        <w:tc>
          <w:tcPr>
            <w:tcW w:w="2693" w:type="dxa"/>
            <w:shd w:val="clear" w:color="auto" w:fill="D9E2F3" w:themeFill="accent5" w:themeFillTint="33"/>
            <w:tcMar>
              <w:top w:w="7" w:type="dxa"/>
              <w:left w:w="7" w:type="dxa"/>
              <w:bottom w:w="0" w:type="dxa"/>
              <w:right w:w="7" w:type="dxa"/>
            </w:tcMar>
            <w:vAlign w:val="center"/>
            <w:hideMark/>
          </w:tcPr>
          <w:p w14:paraId="3DDC2719"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41D4C1D3"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3A6F551C" w14:textId="77777777" w:rsidTr="004D618E">
        <w:trPr>
          <w:trHeight w:val="49"/>
        </w:trPr>
        <w:tc>
          <w:tcPr>
            <w:tcW w:w="3681" w:type="dxa"/>
            <w:shd w:val="clear" w:color="auto" w:fill="D9E2F3" w:themeFill="accent5" w:themeFillTint="33"/>
            <w:tcMar>
              <w:top w:w="7" w:type="dxa"/>
              <w:left w:w="7" w:type="dxa"/>
              <w:bottom w:w="0" w:type="dxa"/>
              <w:right w:w="7" w:type="dxa"/>
            </w:tcMar>
            <w:vAlign w:val="center"/>
            <w:hideMark/>
          </w:tcPr>
          <w:p w14:paraId="53E8083B"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Endokrinologs </w:t>
            </w:r>
          </w:p>
        </w:tc>
        <w:tc>
          <w:tcPr>
            <w:tcW w:w="2693" w:type="dxa"/>
            <w:shd w:val="clear" w:color="auto" w:fill="D9E2F3" w:themeFill="accent5" w:themeFillTint="33"/>
            <w:tcMar>
              <w:top w:w="7" w:type="dxa"/>
              <w:left w:w="7" w:type="dxa"/>
              <w:bottom w:w="0" w:type="dxa"/>
              <w:right w:w="7" w:type="dxa"/>
            </w:tcMar>
            <w:vAlign w:val="center"/>
            <w:hideMark/>
          </w:tcPr>
          <w:p w14:paraId="0790A989"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3</w:t>
            </w:r>
          </w:p>
        </w:tc>
        <w:tc>
          <w:tcPr>
            <w:tcW w:w="2697" w:type="dxa"/>
            <w:shd w:val="clear" w:color="auto" w:fill="D9E2F3" w:themeFill="accent5" w:themeFillTint="33"/>
            <w:tcMar>
              <w:top w:w="7" w:type="dxa"/>
              <w:left w:w="7" w:type="dxa"/>
              <w:bottom w:w="0" w:type="dxa"/>
              <w:right w:w="7" w:type="dxa"/>
            </w:tcMar>
            <w:vAlign w:val="center"/>
            <w:hideMark/>
          </w:tcPr>
          <w:p w14:paraId="53C4A809"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236FC1AD" w14:textId="77777777" w:rsidTr="004D618E">
        <w:trPr>
          <w:trHeight w:val="220"/>
        </w:trPr>
        <w:tc>
          <w:tcPr>
            <w:tcW w:w="3681" w:type="dxa"/>
            <w:shd w:val="clear" w:color="auto" w:fill="D9E2F3" w:themeFill="accent5" w:themeFillTint="33"/>
            <w:tcMar>
              <w:top w:w="7" w:type="dxa"/>
              <w:left w:w="7" w:type="dxa"/>
              <w:bottom w:w="0" w:type="dxa"/>
              <w:right w:w="7" w:type="dxa"/>
            </w:tcMar>
            <w:vAlign w:val="center"/>
            <w:hideMark/>
          </w:tcPr>
          <w:p w14:paraId="5C20E5F7"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Fizikālās un rehabilitācijas medicīnas ārsts </w:t>
            </w:r>
          </w:p>
        </w:tc>
        <w:tc>
          <w:tcPr>
            <w:tcW w:w="2693" w:type="dxa"/>
            <w:shd w:val="clear" w:color="auto" w:fill="D9E2F3" w:themeFill="accent5" w:themeFillTint="33"/>
            <w:tcMar>
              <w:top w:w="7" w:type="dxa"/>
              <w:left w:w="7" w:type="dxa"/>
              <w:bottom w:w="0" w:type="dxa"/>
              <w:right w:w="7" w:type="dxa"/>
            </w:tcMar>
            <w:vAlign w:val="center"/>
            <w:hideMark/>
          </w:tcPr>
          <w:p w14:paraId="752329EA"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3</w:t>
            </w:r>
          </w:p>
        </w:tc>
        <w:tc>
          <w:tcPr>
            <w:tcW w:w="2697" w:type="dxa"/>
            <w:shd w:val="clear" w:color="auto" w:fill="D9E2F3" w:themeFill="accent5" w:themeFillTint="33"/>
            <w:tcMar>
              <w:top w:w="7" w:type="dxa"/>
              <w:left w:w="7" w:type="dxa"/>
              <w:bottom w:w="0" w:type="dxa"/>
              <w:right w:w="7" w:type="dxa"/>
            </w:tcMar>
            <w:vAlign w:val="center"/>
            <w:hideMark/>
          </w:tcPr>
          <w:p w14:paraId="610BF981"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r>
      <w:tr w:rsidR="004D618E" w:rsidRPr="004D618E" w14:paraId="0526E441"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1165CE56"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Gastroenterologs </w:t>
            </w:r>
          </w:p>
        </w:tc>
        <w:tc>
          <w:tcPr>
            <w:tcW w:w="2693" w:type="dxa"/>
            <w:shd w:val="clear" w:color="auto" w:fill="D9E2F3" w:themeFill="accent5" w:themeFillTint="33"/>
            <w:tcMar>
              <w:top w:w="7" w:type="dxa"/>
              <w:left w:w="7" w:type="dxa"/>
              <w:bottom w:w="0" w:type="dxa"/>
              <w:right w:w="7" w:type="dxa"/>
            </w:tcMar>
            <w:vAlign w:val="center"/>
            <w:hideMark/>
          </w:tcPr>
          <w:p w14:paraId="09A96D79"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43D95F39"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301BA7C3"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400F3D39"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Geriatrs </w:t>
            </w:r>
          </w:p>
        </w:tc>
        <w:tc>
          <w:tcPr>
            <w:tcW w:w="2693" w:type="dxa"/>
            <w:shd w:val="clear" w:color="auto" w:fill="D9E2F3" w:themeFill="accent5" w:themeFillTint="33"/>
            <w:tcMar>
              <w:top w:w="7" w:type="dxa"/>
              <w:left w:w="7" w:type="dxa"/>
              <w:bottom w:w="0" w:type="dxa"/>
              <w:right w:w="7" w:type="dxa"/>
            </w:tcMar>
            <w:vAlign w:val="center"/>
            <w:hideMark/>
          </w:tcPr>
          <w:p w14:paraId="23AC829C"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2C1B586A"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4295045E" w14:textId="77777777" w:rsidTr="004D618E">
        <w:trPr>
          <w:trHeight w:val="49"/>
        </w:trPr>
        <w:tc>
          <w:tcPr>
            <w:tcW w:w="3681" w:type="dxa"/>
            <w:shd w:val="clear" w:color="auto" w:fill="D9E2F3" w:themeFill="accent5" w:themeFillTint="33"/>
            <w:tcMar>
              <w:top w:w="7" w:type="dxa"/>
              <w:left w:w="7" w:type="dxa"/>
              <w:bottom w:w="0" w:type="dxa"/>
              <w:right w:w="7" w:type="dxa"/>
            </w:tcMar>
            <w:vAlign w:val="center"/>
            <w:hideMark/>
          </w:tcPr>
          <w:p w14:paraId="2FFFA1BB"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Ginekologs, dzemdību speciālists </w:t>
            </w:r>
          </w:p>
        </w:tc>
        <w:tc>
          <w:tcPr>
            <w:tcW w:w="2693" w:type="dxa"/>
            <w:shd w:val="clear" w:color="auto" w:fill="D9E2F3" w:themeFill="accent5" w:themeFillTint="33"/>
            <w:tcMar>
              <w:top w:w="7" w:type="dxa"/>
              <w:left w:w="7" w:type="dxa"/>
              <w:bottom w:w="0" w:type="dxa"/>
              <w:right w:w="7" w:type="dxa"/>
            </w:tcMar>
            <w:vAlign w:val="center"/>
            <w:hideMark/>
          </w:tcPr>
          <w:p w14:paraId="7CEC5E1E" w14:textId="77777777" w:rsidR="004D618E" w:rsidRPr="004D618E" w:rsidRDefault="004D618E" w:rsidP="00C90834">
            <w:pPr>
              <w:spacing w:after="0"/>
              <w:jc w:val="center"/>
              <w:textAlignment w:val="bottom"/>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12E3A747"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0C9C7A5D"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69D55F1D"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Hematologs </w:t>
            </w:r>
          </w:p>
        </w:tc>
        <w:tc>
          <w:tcPr>
            <w:tcW w:w="2693" w:type="dxa"/>
            <w:shd w:val="clear" w:color="auto" w:fill="D9E2F3" w:themeFill="accent5" w:themeFillTint="33"/>
            <w:tcMar>
              <w:top w:w="7" w:type="dxa"/>
              <w:left w:w="7" w:type="dxa"/>
              <w:bottom w:w="0" w:type="dxa"/>
              <w:right w:w="7" w:type="dxa"/>
            </w:tcMar>
            <w:vAlign w:val="center"/>
            <w:hideMark/>
          </w:tcPr>
          <w:p w14:paraId="39AEDAFD"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3</w:t>
            </w:r>
          </w:p>
        </w:tc>
        <w:tc>
          <w:tcPr>
            <w:tcW w:w="2697" w:type="dxa"/>
            <w:shd w:val="clear" w:color="auto" w:fill="D9E2F3" w:themeFill="accent5" w:themeFillTint="33"/>
            <w:tcMar>
              <w:top w:w="7" w:type="dxa"/>
              <w:left w:w="7" w:type="dxa"/>
              <w:bottom w:w="0" w:type="dxa"/>
              <w:right w:w="7" w:type="dxa"/>
            </w:tcMar>
            <w:vAlign w:val="center"/>
            <w:hideMark/>
          </w:tcPr>
          <w:p w14:paraId="0413F4A1"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56D18C28"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6A0F0C43"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Infektologs </w:t>
            </w:r>
          </w:p>
        </w:tc>
        <w:tc>
          <w:tcPr>
            <w:tcW w:w="2693" w:type="dxa"/>
            <w:shd w:val="clear" w:color="auto" w:fill="D9E2F3" w:themeFill="accent5" w:themeFillTint="33"/>
            <w:tcMar>
              <w:top w:w="7" w:type="dxa"/>
              <w:left w:w="7" w:type="dxa"/>
              <w:bottom w:w="0" w:type="dxa"/>
              <w:right w:w="7" w:type="dxa"/>
            </w:tcMar>
            <w:vAlign w:val="center"/>
            <w:hideMark/>
          </w:tcPr>
          <w:p w14:paraId="5E56554F" w14:textId="77777777" w:rsidR="004D618E" w:rsidRPr="004D618E" w:rsidRDefault="004D618E" w:rsidP="00C90834">
            <w:pPr>
              <w:spacing w:after="0"/>
              <w:jc w:val="center"/>
              <w:textAlignment w:val="bottom"/>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311391EA"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0B26584C"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3FFAC5AE"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Kardiologs </w:t>
            </w:r>
          </w:p>
        </w:tc>
        <w:tc>
          <w:tcPr>
            <w:tcW w:w="2693" w:type="dxa"/>
            <w:shd w:val="clear" w:color="auto" w:fill="D9E2F3" w:themeFill="accent5" w:themeFillTint="33"/>
            <w:tcMar>
              <w:top w:w="7" w:type="dxa"/>
              <w:left w:w="7" w:type="dxa"/>
              <w:bottom w:w="0" w:type="dxa"/>
              <w:right w:w="7" w:type="dxa"/>
            </w:tcMar>
            <w:vAlign w:val="center"/>
            <w:hideMark/>
          </w:tcPr>
          <w:p w14:paraId="127E7450"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1840DB36"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18CF5370"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59161F7E"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Medicīnas ģenētiķis </w:t>
            </w:r>
          </w:p>
        </w:tc>
        <w:tc>
          <w:tcPr>
            <w:tcW w:w="2693" w:type="dxa"/>
            <w:shd w:val="clear" w:color="auto" w:fill="D9E2F3" w:themeFill="accent5" w:themeFillTint="33"/>
            <w:tcMar>
              <w:top w:w="7" w:type="dxa"/>
              <w:left w:w="7" w:type="dxa"/>
              <w:bottom w:w="0" w:type="dxa"/>
              <w:right w:w="7" w:type="dxa"/>
            </w:tcMar>
            <w:vAlign w:val="center"/>
            <w:hideMark/>
          </w:tcPr>
          <w:p w14:paraId="40C31458"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16F03935"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3ED0225F"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64C0B778"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Nefrologs </w:t>
            </w:r>
          </w:p>
        </w:tc>
        <w:tc>
          <w:tcPr>
            <w:tcW w:w="2693" w:type="dxa"/>
            <w:shd w:val="clear" w:color="auto" w:fill="D9E2F3" w:themeFill="accent5" w:themeFillTint="33"/>
            <w:tcMar>
              <w:top w:w="7" w:type="dxa"/>
              <w:left w:w="7" w:type="dxa"/>
              <w:bottom w:w="0" w:type="dxa"/>
              <w:right w:w="7" w:type="dxa"/>
            </w:tcMar>
            <w:vAlign w:val="center"/>
            <w:hideMark/>
          </w:tcPr>
          <w:p w14:paraId="504B50E2"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746AC338"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57FBE437" w14:textId="77777777" w:rsidTr="004D618E">
        <w:trPr>
          <w:trHeight w:val="49"/>
        </w:trPr>
        <w:tc>
          <w:tcPr>
            <w:tcW w:w="3681" w:type="dxa"/>
            <w:shd w:val="clear" w:color="auto" w:fill="D9E2F3" w:themeFill="accent5" w:themeFillTint="33"/>
            <w:tcMar>
              <w:top w:w="7" w:type="dxa"/>
              <w:left w:w="7" w:type="dxa"/>
              <w:bottom w:w="0" w:type="dxa"/>
              <w:right w:w="7" w:type="dxa"/>
            </w:tcMar>
            <w:vAlign w:val="center"/>
            <w:hideMark/>
          </w:tcPr>
          <w:p w14:paraId="51C3670F"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Neiroķirurgs </w:t>
            </w:r>
          </w:p>
        </w:tc>
        <w:tc>
          <w:tcPr>
            <w:tcW w:w="2693" w:type="dxa"/>
            <w:shd w:val="clear" w:color="auto" w:fill="D9E2F3" w:themeFill="accent5" w:themeFillTint="33"/>
            <w:tcMar>
              <w:top w:w="7" w:type="dxa"/>
              <w:left w:w="7" w:type="dxa"/>
              <w:bottom w:w="0" w:type="dxa"/>
              <w:right w:w="7" w:type="dxa"/>
            </w:tcMar>
            <w:vAlign w:val="center"/>
            <w:hideMark/>
          </w:tcPr>
          <w:p w14:paraId="50558E67"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c>
          <w:tcPr>
            <w:tcW w:w="2697" w:type="dxa"/>
            <w:shd w:val="clear" w:color="auto" w:fill="D9E2F3" w:themeFill="accent5" w:themeFillTint="33"/>
            <w:tcMar>
              <w:top w:w="7" w:type="dxa"/>
              <w:left w:w="7" w:type="dxa"/>
              <w:bottom w:w="0" w:type="dxa"/>
              <w:right w:w="7" w:type="dxa"/>
            </w:tcMar>
            <w:vAlign w:val="center"/>
            <w:hideMark/>
          </w:tcPr>
          <w:p w14:paraId="7D44EB18"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6</w:t>
            </w:r>
          </w:p>
        </w:tc>
      </w:tr>
      <w:tr w:rsidR="004D618E" w:rsidRPr="004D618E" w14:paraId="1A122811" w14:textId="77777777" w:rsidTr="004D618E">
        <w:trPr>
          <w:trHeight w:val="119"/>
        </w:trPr>
        <w:tc>
          <w:tcPr>
            <w:tcW w:w="3681" w:type="dxa"/>
            <w:shd w:val="clear" w:color="auto" w:fill="D9E2F3" w:themeFill="accent5" w:themeFillTint="33"/>
            <w:tcMar>
              <w:top w:w="7" w:type="dxa"/>
              <w:left w:w="7" w:type="dxa"/>
              <w:bottom w:w="0" w:type="dxa"/>
              <w:right w:w="7" w:type="dxa"/>
            </w:tcMar>
            <w:vAlign w:val="center"/>
            <w:hideMark/>
          </w:tcPr>
          <w:p w14:paraId="756EEC6A"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Oftalmologs </w:t>
            </w:r>
          </w:p>
        </w:tc>
        <w:tc>
          <w:tcPr>
            <w:tcW w:w="2693" w:type="dxa"/>
            <w:shd w:val="clear" w:color="auto" w:fill="D9E2F3" w:themeFill="accent5" w:themeFillTint="33"/>
            <w:tcMar>
              <w:top w:w="7" w:type="dxa"/>
              <w:left w:w="7" w:type="dxa"/>
              <w:bottom w:w="0" w:type="dxa"/>
              <w:right w:w="7" w:type="dxa"/>
            </w:tcMar>
            <w:vAlign w:val="center"/>
            <w:hideMark/>
          </w:tcPr>
          <w:p w14:paraId="3B70A7ED" w14:textId="77777777" w:rsidR="004D618E" w:rsidRPr="004D618E" w:rsidRDefault="004D618E" w:rsidP="00C90834">
            <w:pPr>
              <w:spacing w:after="0"/>
              <w:jc w:val="center"/>
              <w:textAlignment w:val="bottom"/>
              <w:rPr>
                <w:rFonts w:eastAsia="Times New Roman" w:cs="Times New Roman"/>
                <w:sz w:val="20"/>
                <w:szCs w:val="20"/>
                <w:lang w:val="lv-LV"/>
              </w:rPr>
            </w:pPr>
            <w:r w:rsidRPr="004D618E">
              <w:rPr>
                <w:rFonts w:eastAsia="Verdana" w:cs="Times New Roman"/>
                <w:color w:val="000000" w:themeColor="dark1"/>
                <w:kern w:val="24"/>
                <w:sz w:val="20"/>
                <w:szCs w:val="20"/>
                <w:lang w:val="lv-LV"/>
              </w:rPr>
              <w:t>3</w:t>
            </w:r>
          </w:p>
        </w:tc>
        <w:tc>
          <w:tcPr>
            <w:tcW w:w="2697" w:type="dxa"/>
            <w:shd w:val="clear" w:color="auto" w:fill="D9E2F3" w:themeFill="accent5" w:themeFillTint="33"/>
            <w:tcMar>
              <w:top w:w="7" w:type="dxa"/>
              <w:left w:w="7" w:type="dxa"/>
              <w:bottom w:w="0" w:type="dxa"/>
              <w:right w:w="7" w:type="dxa"/>
            </w:tcMar>
            <w:vAlign w:val="center"/>
            <w:hideMark/>
          </w:tcPr>
          <w:p w14:paraId="6BE70E08"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r>
      <w:tr w:rsidR="004D618E" w:rsidRPr="004D618E" w14:paraId="31B1E150"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4597E207"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Otolaringologs </w:t>
            </w:r>
          </w:p>
        </w:tc>
        <w:tc>
          <w:tcPr>
            <w:tcW w:w="2693" w:type="dxa"/>
            <w:shd w:val="clear" w:color="auto" w:fill="D9E2F3" w:themeFill="accent5" w:themeFillTint="33"/>
            <w:tcMar>
              <w:top w:w="7" w:type="dxa"/>
              <w:left w:w="7" w:type="dxa"/>
              <w:bottom w:w="0" w:type="dxa"/>
              <w:right w:w="7" w:type="dxa"/>
            </w:tcMar>
            <w:vAlign w:val="center"/>
            <w:hideMark/>
          </w:tcPr>
          <w:p w14:paraId="6EC6F5D1"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3</w:t>
            </w:r>
          </w:p>
        </w:tc>
        <w:tc>
          <w:tcPr>
            <w:tcW w:w="2697" w:type="dxa"/>
            <w:shd w:val="clear" w:color="auto" w:fill="D9E2F3" w:themeFill="accent5" w:themeFillTint="33"/>
            <w:tcMar>
              <w:top w:w="7" w:type="dxa"/>
              <w:left w:w="7" w:type="dxa"/>
              <w:bottom w:w="0" w:type="dxa"/>
              <w:right w:w="7" w:type="dxa"/>
            </w:tcMar>
            <w:vAlign w:val="center"/>
            <w:hideMark/>
          </w:tcPr>
          <w:p w14:paraId="61D13382"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r>
      <w:tr w:rsidR="004D618E" w:rsidRPr="004D618E" w14:paraId="34AEB368"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101D80CC"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Pneimonologs </w:t>
            </w:r>
          </w:p>
        </w:tc>
        <w:tc>
          <w:tcPr>
            <w:tcW w:w="2693" w:type="dxa"/>
            <w:shd w:val="clear" w:color="auto" w:fill="D9E2F3" w:themeFill="accent5" w:themeFillTint="33"/>
            <w:tcMar>
              <w:top w:w="7" w:type="dxa"/>
              <w:left w:w="7" w:type="dxa"/>
              <w:bottom w:w="0" w:type="dxa"/>
              <w:right w:w="7" w:type="dxa"/>
            </w:tcMar>
            <w:vAlign w:val="center"/>
            <w:hideMark/>
          </w:tcPr>
          <w:p w14:paraId="56E2D791" w14:textId="77777777" w:rsidR="004D618E" w:rsidRPr="004D618E" w:rsidRDefault="004D618E" w:rsidP="00C90834">
            <w:pPr>
              <w:spacing w:after="0"/>
              <w:jc w:val="center"/>
              <w:textAlignment w:val="bottom"/>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5774BE20"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7AE458F6"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2D257832"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Radiologs</w:t>
            </w:r>
          </w:p>
        </w:tc>
        <w:tc>
          <w:tcPr>
            <w:tcW w:w="2693" w:type="dxa"/>
            <w:shd w:val="clear" w:color="auto" w:fill="D9E2F3" w:themeFill="accent5" w:themeFillTint="33"/>
            <w:tcMar>
              <w:top w:w="7" w:type="dxa"/>
              <w:left w:w="7" w:type="dxa"/>
              <w:bottom w:w="0" w:type="dxa"/>
              <w:right w:w="7" w:type="dxa"/>
            </w:tcMar>
            <w:vAlign w:val="center"/>
            <w:hideMark/>
          </w:tcPr>
          <w:p w14:paraId="1180E0B9"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1839C26C"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0C6728D6" w14:textId="77777777" w:rsidTr="004D618E">
        <w:trPr>
          <w:trHeight w:val="49"/>
        </w:trPr>
        <w:tc>
          <w:tcPr>
            <w:tcW w:w="3681" w:type="dxa"/>
            <w:shd w:val="clear" w:color="auto" w:fill="D9E2F3" w:themeFill="accent5" w:themeFillTint="33"/>
            <w:tcMar>
              <w:top w:w="7" w:type="dxa"/>
              <w:left w:w="7" w:type="dxa"/>
              <w:bottom w:w="0" w:type="dxa"/>
              <w:right w:w="7" w:type="dxa"/>
            </w:tcMar>
            <w:vAlign w:val="center"/>
            <w:hideMark/>
          </w:tcPr>
          <w:p w14:paraId="2535CA42"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themeColor="dark1"/>
                <w:kern w:val="24"/>
                <w:sz w:val="20"/>
                <w:szCs w:val="20"/>
                <w:lang w:val="lv-LV"/>
              </w:rPr>
              <w:t xml:space="preserve">Reimatologs </w:t>
            </w:r>
          </w:p>
        </w:tc>
        <w:tc>
          <w:tcPr>
            <w:tcW w:w="2693" w:type="dxa"/>
            <w:shd w:val="clear" w:color="auto" w:fill="D9E2F3" w:themeFill="accent5" w:themeFillTint="33"/>
            <w:tcMar>
              <w:top w:w="7" w:type="dxa"/>
              <w:left w:w="7" w:type="dxa"/>
              <w:bottom w:w="0" w:type="dxa"/>
              <w:right w:w="7" w:type="dxa"/>
            </w:tcMar>
            <w:vAlign w:val="center"/>
            <w:hideMark/>
          </w:tcPr>
          <w:p w14:paraId="1B9D073E"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4</w:t>
            </w:r>
          </w:p>
        </w:tc>
        <w:tc>
          <w:tcPr>
            <w:tcW w:w="2697" w:type="dxa"/>
            <w:shd w:val="clear" w:color="auto" w:fill="D9E2F3" w:themeFill="accent5" w:themeFillTint="33"/>
            <w:tcMar>
              <w:top w:w="7" w:type="dxa"/>
              <w:left w:w="7" w:type="dxa"/>
              <w:bottom w:w="0" w:type="dxa"/>
              <w:right w:w="7" w:type="dxa"/>
            </w:tcMar>
            <w:vAlign w:val="center"/>
            <w:hideMark/>
          </w:tcPr>
          <w:p w14:paraId="722B9104"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themeColor="dark1"/>
                <w:kern w:val="24"/>
                <w:sz w:val="20"/>
                <w:szCs w:val="20"/>
                <w:lang w:val="lv-LV"/>
              </w:rPr>
              <w:t>5</w:t>
            </w:r>
          </w:p>
        </w:tc>
      </w:tr>
      <w:tr w:rsidR="004D618E" w:rsidRPr="004D618E" w14:paraId="6C501132" w14:textId="77777777" w:rsidTr="004D618E">
        <w:trPr>
          <w:trHeight w:val="43"/>
        </w:trPr>
        <w:tc>
          <w:tcPr>
            <w:tcW w:w="3681" w:type="dxa"/>
            <w:shd w:val="clear" w:color="auto" w:fill="D9E2F3" w:themeFill="accent5" w:themeFillTint="33"/>
            <w:tcMar>
              <w:top w:w="7" w:type="dxa"/>
              <w:left w:w="7" w:type="dxa"/>
              <w:bottom w:w="0" w:type="dxa"/>
              <w:right w:w="7" w:type="dxa"/>
            </w:tcMar>
            <w:vAlign w:val="center"/>
            <w:hideMark/>
          </w:tcPr>
          <w:p w14:paraId="6C96603F" w14:textId="77777777" w:rsidR="004D618E" w:rsidRPr="004D618E" w:rsidRDefault="004D618E" w:rsidP="00C90834">
            <w:pPr>
              <w:spacing w:after="0"/>
              <w:jc w:val="center"/>
              <w:textAlignment w:val="top"/>
              <w:rPr>
                <w:rFonts w:eastAsia="Times New Roman" w:cs="Times New Roman"/>
                <w:sz w:val="20"/>
                <w:szCs w:val="20"/>
                <w:lang w:val="lv-LV"/>
              </w:rPr>
            </w:pPr>
            <w:r w:rsidRPr="004D618E">
              <w:rPr>
                <w:rFonts w:eastAsia="Verdana" w:cs="Times New Roman"/>
                <w:color w:val="000000"/>
                <w:kern w:val="24"/>
                <w:sz w:val="20"/>
                <w:szCs w:val="20"/>
                <w:lang w:val="lv-LV"/>
              </w:rPr>
              <w:t xml:space="preserve">Alergologs </w:t>
            </w:r>
          </w:p>
        </w:tc>
        <w:tc>
          <w:tcPr>
            <w:tcW w:w="2693" w:type="dxa"/>
            <w:shd w:val="clear" w:color="auto" w:fill="D9E2F3" w:themeFill="accent5" w:themeFillTint="33"/>
            <w:tcMar>
              <w:top w:w="7" w:type="dxa"/>
              <w:left w:w="7" w:type="dxa"/>
              <w:bottom w:w="0" w:type="dxa"/>
              <w:right w:w="7" w:type="dxa"/>
            </w:tcMar>
            <w:vAlign w:val="center"/>
            <w:hideMark/>
          </w:tcPr>
          <w:p w14:paraId="5FF74E2A"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kern w:val="24"/>
                <w:sz w:val="20"/>
                <w:szCs w:val="20"/>
                <w:lang w:val="lv-LV"/>
              </w:rPr>
              <w:t>3</w:t>
            </w:r>
          </w:p>
        </w:tc>
        <w:tc>
          <w:tcPr>
            <w:tcW w:w="2697" w:type="dxa"/>
            <w:shd w:val="clear" w:color="auto" w:fill="D9E2F3" w:themeFill="accent5" w:themeFillTint="33"/>
            <w:tcMar>
              <w:top w:w="7" w:type="dxa"/>
              <w:left w:w="7" w:type="dxa"/>
              <w:bottom w:w="0" w:type="dxa"/>
              <w:right w:w="7" w:type="dxa"/>
            </w:tcMar>
            <w:vAlign w:val="center"/>
            <w:hideMark/>
          </w:tcPr>
          <w:p w14:paraId="2D7E9613" w14:textId="77777777" w:rsidR="004D618E" w:rsidRPr="004D618E" w:rsidRDefault="004D618E" w:rsidP="00C90834">
            <w:pPr>
              <w:spacing w:after="0"/>
              <w:jc w:val="center"/>
              <w:textAlignment w:val="center"/>
              <w:rPr>
                <w:rFonts w:eastAsia="Times New Roman" w:cs="Times New Roman"/>
                <w:sz w:val="20"/>
                <w:szCs w:val="20"/>
                <w:lang w:val="lv-LV"/>
              </w:rPr>
            </w:pPr>
            <w:r w:rsidRPr="004D618E">
              <w:rPr>
                <w:rFonts w:eastAsia="Verdana" w:cs="Times New Roman"/>
                <w:color w:val="000000"/>
                <w:kern w:val="24"/>
                <w:sz w:val="20"/>
                <w:szCs w:val="20"/>
                <w:lang w:val="lv-LV"/>
              </w:rPr>
              <w:t>4</w:t>
            </w:r>
          </w:p>
        </w:tc>
      </w:tr>
    </w:tbl>
    <w:p w14:paraId="56B09124" w14:textId="353B96D0" w:rsidR="004D618E" w:rsidRPr="004D618E" w:rsidRDefault="004D618E" w:rsidP="004D618E">
      <w:pPr>
        <w:spacing w:before="120"/>
        <w:rPr>
          <w:lang w:val="lv-LV"/>
        </w:rPr>
      </w:pPr>
      <w:r w:rsidRPr="004D618E">
        <w:rPr>
          <w:lang w:val="lv-LV"/>
        </w:rPr>
        <w:lastRenderedPageBreak/>
        <w:tab/>
        <w:t xml:space="preserve">Ņemot vērā vienas rezidentūras izmaksas mēnesī (Tabula Nr. 3.1.3.), FM ir veikusi piemēra aprēķinu </w:t>
      </w:r>
      <w:r w:rsidR="005354B1">
        <w:rPr>
          <w:rFonts w:eastAsia="Verdana"/>
          <w:color w:val="000000" w:themeColor="dark1"/>
          <w:kern w:val="24"/>
          <w:lang w:val="lv-LV"/>
        </w:rPr>
        <w:t xml:space="preserve">anesteziologa, </w:t>
      </w:r>
      <w:r w:rsidRPr="004D618E">
        <w:rPr>
          <w:rFonts w:eastAsia="Verdana"/>
          <w:color w:val="000000" w:themeColor="dark1"/>
          <w:kern w:val="24"/>
          <w:lang w:val="lv-LV"/>
        </w:rPr>
        <w:t>reanimatologa specialitātei, pieņemot, ka pašreizējo piecu studiju gadu ilgumu varētu samazināt līdz ES direktīvas noteiktajiem trīs gadiem (Tabula Nr. 3.1.4. un Tabula Nr. 3.1.5.).</w:t>
      </w:r>
    </w:p>
    <w:p w14:paraId="4EBCF429" w14:textId="77777777" w:rsidR="004D618E" w:rsidRPr="004D618E" w:rsidRDefault="004D618E" w:rsidP="004D618E">
      <w:pPr>
        <w:jc w:val="center"/>
        <w:rPr>
          <w:sz w:val="22"/>
          <w:lang w:val="lv-LV"/>
        </w:rPr>
      </w:pPr>
      <w:r w:rsidRPr="004D618E">
        <w:rPr>
          <w:b/>
          <w:bCs/>
          <w:i/>
          <w:iCs/>
          <w:sz w:val="22"/>
          <w:lang w:val="lv-LV"/>
        </w:rPr>
        <w:t>3.1.3. tabula</w:t>
      </w:r>
      <w:r w:rsidRPr="004D618E">
        <w:rPr>
          <w:b/>
          <w:bCs/>
          <w:sz w:val="22"/>
          <w:lang w:val="lv-LV"/>
        </w:rPr>
        <w:t xml:space="preserve"> Rezidentūras izmaksas mēnesī 2021. gadā, </w:t>
      </w:r>
      <w:r w:rsidRPr="004D618E">
        <w:rPr>
          <w:b/>
          <w:bCs/>
          <w:i/>
          <w:iCs/>
          <w:sz w:val="22"/>
          <w:lang w:val="lv-LV"/>
        </w:rPr>
        <w:t>euro</w:t>
      </w:r>
      <w:r w:rsidRPr="004D618E">
        <w:rPr>
          <w:rStyle w:val="FootnoteReference"/>
          <w:b/>
          <w:bCs/>
          <w:i/>
          <w:iCs/>
          <w:sz w:val="22"/>
          <w:lang w:val="lv-LV"/>
        </w:rPr>
        <w:footnoteReference w:id="20"/>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CellMar>
          <w:left w:w="0" w:type="dxa"/>
          <w:right w:w="0" w:type="dxa"/>
        </w:tblCellMar>
        <w:tblLook w:val="0600" w:firstRow="0" w:lastRow="0" w:firstColumn="0" w:lastColumn="0" w:noHBand="1" w:noVBand="1"/>
      </w:tblPr>
      <w:tblGrid>
        <w:gridCol w:w="2266"/>
        <w:gridCol w:w="2267"/>
        <w:gridCol w:w="2266"/>
        <w:gridCol w:w="2267"/>
      </w:tblGrid>
      <w:tr w:rsidR="004D618E" w:rsidRPr="00D57D2C" w14:paraId="59A8E57E" w14:textId="77777777" w:rsidTr="00B66244">
        <w:trPr>
          <w:trHeight w:val="953"/>
        </w:trPr>
        <w:tc>
          <w:tcPr>
            <w:tcW w:w="4533" w:type="dxa"/>
            <w:gridSpan w:val="2"/>
            <w:shd w:val="clear" w:color="auto" w:fill="8EAADB" w:themeFill="accent5" w:themeFillTint="99"/>
            <w:tcMar>
              <w:top w:w="15" w:type="dxa"/>
              <w:left w:w="15" w:type="dxa"/>
              <w:bottom w:w="0" w:type="dxa"/>
              <w:right w:w="15" w:type="dxa"/>
            </w:tcMar>
            <w:vAlign w:val="center"/>
            <w:hideMark/>
          </w:tcPr>
          <w:p w14:paraId="41EF99D1" w14:textId="77777777" w:rsidR="004D618E" w:rsidRPr="004D618E" w:rsidRDefault="004D618E" w:rsidP="004D618E">
            <w:pPr>
              <w:jc w:val="center"/>
              <w:rPr>
                <w:sz w:val="20"/>
                <w:szCs w:val="20"/>
                <w:lang w:val="lv-LV"/>
              </w:rPr>
            </w:pPr>
            <w:r w:rsidRPr="004D618E">
              <w:rPr>
                <w:sz w:val="20"/>
                <w:szCs w:val="20"/>
                <w:lang w:val="lv-LV"/>
              </w:rPr>
              <w:t xml:space="preserve">2021. gads – finanšu līdzekļu apmērs viena rezidenta apmācībai pirmajā un otrajā rezidentūras gadā pamatspecialitātē – ar </w:t>
            </w:r>
            <w:r w:rsidRPr="004D618E">
              <w:rPr>
                <w:sz w:val="20"/>
                <w:szCs w:val="20"/>
                <w:u w:val="single"/>
                <w:lang w:val="lv-LV"/>
              </w:rPr>
              <w:t>pieaugumu 25,39% apmērā</w:t>
            </w:r>
          </w:p>
        </w:tc>
        <w:tc>
          <w:tcPr>
            <w:tcW w:w="4533" w:type="dxa"/>
            <w:gridSpan w:val="2"/>
            <w:shd w:val="clear" w:color="auto" w:fill="8EAADB" w:themeFill="accent5" w:themeFillTint="99"/>
            <w:tcMar>
              <w:top w:w="15" w:type="dxa"/>
              <w:left w:w="15" w:type="dxa"/>
              <w:bottom w:w="0" w:type="dxa"/>
              <w:right w:w="15" w:type="dxa"/>
            </w:tcMar>
            <w:vAlign w:val="center"/>
            <w:hideMark/>
          </w:tcPr>
          <w:p w14:paraId="1FECC75C" w14:textId="77777777" w:rsidR="004D618E" w:rsidRPr="004D618E" w:rsidRDefault="004D618E" w:rsidP="004D618E">
            <w:pPr>
              <w:jc w:val="center"/>
              <w:rPr>
                <w:sz w:val="20"/>
                <w:szCs w:val="20"/>
                <w:lang w:val="lv-LV"/>
              </w:rPr>
            </w:pPr>
            <w:r w:rsidRPr="004D618E">
              <w:rPr>
                <w:sz w:val="20"/>
                <w:szCs w:val="20"/>
                <w:lang w:val="lv-LV"/>
              </w:rPr>
              <w:t xml:space="preserve">2021. gads – finanšu līdzekļu apmērs viena rezidenta apmācībai no trešā rezidentūras gada pamatspecialitātē un no pirmā rezidentūras gada papildspecialitātē un apakšspecialitātē – </w:t>
            </w:r>
            <w:r w:rsidRPr="004D618E">
              <w:rPr>
                <w:sz w:val="20"/>
                <w:szCs w:val="20"/>
                <w:u w:val="single"/>
                <w:lang w:val="lv-LV"/>
              </w:rPr>
              <w:t>ar pieaugumu 25,39% apmērā</w:t>
            </w:r>
          </w:p>
        </w:tc>
      </w:tr>
      <w:tr w:rsidR="004D618E" w:rsidRPr="00D57D2C" w14:paraId="4B8728FA" w14:textId="77777777" w:rsidTr="00B66244">
        <w:trPr>
          <w:trHeight w:val="902"/>
        </w:trPr>
        <w:tc>
          <w:tcPr>
            <w:tcW w:w="2266" w:type="dxa"/>
            <w:shd w:val="clear" w:color="auto" w:fill="D9E2F3" w:themeFill="accent5" w:themeFillTint="33"/>
            <w:tcMar>
              <w:top w:w="15" w:type="dxa"/>
              <w:left w:w="15" w:type="dxa"/>
              <w:bottom w:w="0" w:type="dxa"/>
              <w:right w:w="15" w:type="dxa"/>
            </w:tcMar>
            <w:vAlign w:val="center"/>
            <w:hideMark/>
          </w:tcPr>
          <w:p w14:paraId="3F790125" w14:textId="77777777" w:rsidR="004D618E" w:rsidRPr="004D618E" w:rsidRDefault="004D618E" w:rsidP="004D618E">
            <w:pPr>
              <w:jc w:val="center"/>
              <w:rPr>
                <w:sz w:val="20"/>
                <w:szCs w:val="20"/>
                <w:lang w:val="lv-LV"/>
              </w:rPr>
            </w:pPr>
            <w:r w:rsidRPr="004D618E">
              <w:rPr>
                <w:sz w:val="20"/>
                <w:szCs w:val="20"/>
                <w:lang w:val="lv-LV"/>
              </w:rPr>
              <w:t xml:space="preserve">Pārējās ārstniecības iestādēs </w:t>
            </w:r>
            <w:r w:rsidRPr="004D618E">
              <w:rPr>
                <w:sz w:val="20"/>
                <w:szCs w:val="20"/>
                <w:lang w:val="lv-LV"/>
              </w:rPr>
              <w:br/>
              <w:t>(t.sk. budžeta iestādēs)</w:t>
            </w:r>
          </w:p>
        </w:tc>
        <w:tc>
          <w:tcPr>
            <w:tcW w:w="2267" w:type="dxa"/>
            <w:shd w:val="clear" w:color="auto" w:fill="D9E2F3" w:themeFill="accent5" w:themeFillTint="33"/>
            <w:tcMar>
              <w:top w:w="15" w:type="dxa"/>
              <w:left w:w="15" w:type="dxa"/>
              <w:bottom w:w="0" w:type="dxa"/>
              <w:right w:w="15" w:type="dxa"/>
            </w:tcMar>
            <w:vAlign w:val="center"/>
            <w:hideMark/>
          </w:tcPr>
          <w:p w14:paraId="202DB146" w14:textId="77777777" w:rsidR="004D618E" w:rsidRPr="004D618E" w:rsidRDefault="004D618E" w:rsidP="004D618E">
            <w:pPr>
              <w:jc w:val="center"/>
              <w:rPr>
                <w:sz w:val="20"/>
                <w:szCs w:val="20"/>
                <w:lang w:val="lv-LV"/>
              </w:rPr>
            </w:pPr>
            <w:r w:rsidRPr="004D618E">
              <w:rPr>
                <w:sz w:val="20"/>
                <w:szCs w:val="20"/>
                <w:lang w:val="lv-LV"/>
              </w:rPr>
              <w:t>Reģionālajā daudzprofilu slimnīcā vai ģimenes (vispārējās prakses) ārsta praksē ārpus Rīgas</w:t>
            </w:r>
          </w:p>
        </w:tc>
        <w:tc>
          <w:tcPr>
            <w:tcW w:w="2266" w:type="dxa"/>
            <w:shd w:val="clear" w:color="auto" w:fill="D9E2F3" w:themeFill="accent5" w:themeFillTint="33"/>
            <w:tcMar>
              <w:top w:w="15" w:type="dxa"/>
              <w:left w:w="15" w:type="dxa"/>
              <w:bottom w:w="0" w:type="dxa"/>
              <w:right w:w="15" w:type="dxa"/>
            </w:tcMar>
            <w:vAlign w:val="center"/>
            <w:hideMark/>
          </w:tcPr>
          <w:p w14:paraId="13F69330" w14:textId="77777777" w:rsidR="004D618E" w:rsidRPr="004D618E" w:rsidRDefault="004D618E" w:rsidP="004D618E">
            <w:pPr>
              <w:jc w:val="center"/>
              <w:rPr>
                <w:sz w:val="20"/>
                <w:szCs w:val="20"/>
                <w:lang w:val="lv-LV"/>
              </w:rPr>
            </w:pPr>
            <w:r w:rsidRPr="004D618E">
              <w:rPr>
                <w:sz w:val="20"/>
                <w:szCs w:val="20"/>
                <w:lang w:val="lv-LV"/>
              </w:rPr>
              <w:t xml:space="preserve">Pārējās ārstniecības iestādēs </w:t>
            </w:r>
            <w:r w:rsidRPr="004D618E">
              <w:rPr>
                <w:sz w:val="20"/>
                <w:szCs w:val="20"/>
                <w:lang w:val="lv-LV"/>
              </w:rPr>
              <w:br/>
              <w:t>(t.sk. budžeta iestādēs)</w:t>
            </w:r>
          </w:p>
        </w:tc>
        <w:tc>
          <w:tcPr>
            <w:tcW w:w="2267" w:type="dxa"/>
            <w:shd w:val="clear" w:color="auto" w:fill="D9E2F3" w:themeFill="accent5" w:themeFillTint="33"/>
            <w:tcMar>
              <w:top w:w="15" w:type="dxa"/>
              <w:left w:w="15" w:type="dxa"/>
              <w:bottom w:w="0" w:type="dxa"/>
              <w:right w:w="15" w:type="dxa"/>
            </w:tcMar>
            <w:vAlign w:val="center"/>
            <w:hideMark/>
          </w:tcPr>
          <w:p w14:paraId="75795A39" w14:textId="77777777" w:rsidR="004D618E" w:rsidRPr="004D618E" w:rsidRDefault="004D618E" w:rsidP="004D618E">
            <w:pPr>
              <w:jc w:val="center"/>
              <w:rPr>
                <w:sz w:val="20"/>
                <w:szCs w:val="20"/>
                <w:lang w:val="lv-LV"/>
              </w:rPr>
            </w:pPr>
            <w:r w:rsidRPr="004D618E">
              <w:rPr>
                <w:sz w:val="20"/>
                <w:szCs w:val="20"/>
                <w:lang w:val="lv-LV"/>
              </w:rPr>
              <w:t>Reģionālajā daudzprofilu slimnīcā vai ģimenes (vispārējās prakses) ārsta praksē ārpus Rīgas</w:t>
            </w:r>
          </w:p>
        </w:tc>
      </w:tr>
      <w:tr w:rsidR="004D618E" w:rsidRPr="004D618E" w14:paraId="7607C6F7" w14:textId="77777777" w:rsidTr="00B66244">
        <w:trPr>
          <w:trHeight w:val="213"/>
        </w:trPr>
        <w:tc>
          <w:tcPr>
            <w:tcW w:w="2266" w:type="dxa"/>
            <w:shd w:val="clear" w:color="auto" w:fill="D9E2F3" w:themeFill="accent5" w:themeFillTint="33"/>
            <w:tcMar>
              <w:top w:w="15" w:type="dxa"/>
              <w:left w:w="15" w:type="dxa"/>
              <w:bottom w:w="0" w:type="dxa"/>
              <w:right w:w="15" w:type="dxa"/>
            </w:tcMar>
            <w:vAlign w:val="center"/>
            <w:hideMark/>
          </w:tcPr>
          <w:p w14:paraId="1B3BEACB" w14:textId="77777777" w:rsidR="004D618E" w:rsidRPr="004D618E" w:rsidRDefault="004D618E" w:rsidP="004D618E">
            <w:pPr>
              <w:jc w:val="center"/>
              <w:rPr>
                <w:sz w:val="20"/>
                <w:szCs w:val="20"/>
                <w:lang w:val="lv-LV"/>
              </w:rPr>
            </w:pPr>
            <w:r w:rsidRPr="004D618E">
              <w:rPr>
                <w:b/>
                <w:bCs/>
                <w:sz w:val="20"/>
                <w:szCs w:val="20"/>
                <w:lang w:val="lv-LV"/>
              </w:rPr>
              <w:t>2504,67</w:t>
            </w:r>
          </w:p>
        </w:tc>
        <w:tc>
          <w:tcPr>
            <w:tcW w:w="2267" w:type="dxa"/>
            <w:shd w:val="clear" w:color="auto" w:fill="D9E2F3" w:themeFill="accent5" w:themeFillTint="33"/>
            <w:tcMar>
              <w:top w:w="15" w:type="dxa"/>
              <w:left w:w="15" w:type="dxa"/>
              <w:bottom w:w="0" w:type="dxa"/>
              <w:right w:w="15" w:type="dxa"/>
            </w:tcMar>
            <w:vAlign w:val="center"/>
            <w:hideMark/>
          </w:tcPr>
          <w:p w14:paraId="64AB3DC5" w14:textId="77777777" w:rsidR="004D618E" w:rsidRPr="004D618E" w:rsidRDefault="004D618E" w:rsidP="004D618E">
            <w:pPr>
              <w:jc w:val="center"/>
              <w:rPr>
                <w:sz w:val="20"/>
                <w:szCs w:val="20"/>
                <w:lang w:val="lv-LV"/>
              </w:rPr>
            </w:pPr>
            <w:r w:rsidRPr="004D618E">
              <w:rPr>
                <w:b/>
                <w:bCs/>
                <w:sz w:val="20"/>
                <w:szCs w:val="20"/>
                <w:lang w:val="lv-LV"/>
              </w:rPr>
              <w:t>3140,94</w:t>
            </w:r>
          </w:p>
        </w:tc>
        <w:tc>
          <w:tcPr>
            <w:tcW w:w="2266" w:type="dxa"/>
            <w:shd w:val="clear" w:color="auto" w:fill="D9E2F3" w:themeFill="accent5" w:themeFillTint="33"/>
            <w:tcMar>
              <w:top w:w="15" w:type="dxa"/>
              <w:left w:w="15" w:type="dxa"/>
              <w:bottom w:w="0" w:type="dxa"/>
              <w:right w:w="15" w:type="dxa"/>
            </w:tcMar>
            <w:vAlign w:val="center"/>
            <w:hideMark/>
          </w:tcPr>
          <w:p w14:paraId="186D881C" w14:textId="77777777" w:rsidR="004D618E" w:rsidRPr="004D618E" w:rsidRDefault="004D618E" w:rsidP="004D618E">
            <w:pPr>
              <w:jc w:val="center"/>
              <w:rPr>
                <w:sz w:val="20"/>
                <w:szCs w:val="20"/>
                <w:lang w:val="lv-LV"/>
              </w:rPr>
            </w:pPr>
            <w:r w:rsidRPr="004D618E">
              <w:rPr>
                <w:b/>
                <w:bCs/>
                <w:sz w:val="20"/>
                <w:szCs w:val="20"/>
                <w:lang w:val="lv-LV"/>
              </w:rPr>
              <w:t>2712,59</w:t>
            </w:r>
          </w:p>
        </w:tc>
        <w:tc>
          <w:tcPr>
            <w:tcW w:w="2267" w:type="dxa"/>
            <w:shd w:val="clear" w:color="auto" w:fill="D9E2F3" w:themeFill="accent5" w:themeFillTint="33"/>
            <w:tcMar>
              <w:top w:w="15" w:type="dxa"/>
              <w:left w:w="15" w:type="dxa"/>
              <w:bottom w:w="0" w:type="dxa"/>
              <w:right w:w="15" w:type="dxa"/>
            </w:tcMar>
            <w:vAlign w:val="center"/>
            <w:hideMark/>
          </w:tcPr>
          <w:p w14:paraId="3D0B4FF9" w14:textId="77777777" w:rsidR="004D618E" w:rsidRPr="004D618E" w:rsidRDefault="004D618E" w:rsidP="004D618E">
            <w:pPr>
              <w:jc w:val="center"/>
              <w:rPr>
                <w:sz w:val="20"/>
                <w:szCs w:val="20"/>
                <w:lang w:val="lv-LV"/>
              </w:rPr>
            </w:pPr>
            <w:r w:rsidRPr="004D618E">
              <w:rPr>
                <w:b/>
                <w:bCs/>
                <w:sz w:val="20"/>
                <w:szCs w:val="20"/>
                <w:lang w:val="lv-LV"/>
              </w:rPr>
              <w:t>3364,66</w:t>
            </w:r>
          </w:p>
        </w:tc>
      </w:tr>
    </w:tbl>
    <w:p w14:paraId="2368E4D3" w14:textId="77777777" w:rsidR="004D618E" w:rsidRPr="004D618E" w:rsidRDefault="004D618E" w:rsidP="00C90834">
      <w:pPr>
        <w:spacing w:after="0"/>
        <w:jc w:val="center"/>
        <w:textAlignment w:val="top"/>
        <w:rPr>
          <w:b/>
          <w:bCs/>
          <w:i/>
          <w:iCs/>
          <w:sz w:val="22"/>
          <w:szCs w:val="20"/>
          <w:lang w:val="lv-LV"/>
        </w:rPr>
      </w:pPr>
    </w:p>
    <w:p w14:paraId="0A1F2622" w14:textId="171359CE" w:rsidR="004D618E" w:rsidRPr="004D618E" w:rsidRDefault="004D618E" w:rsidP="004D618E">
      <w:pPr>
        <w:spacing w:before="120"/>
        <w:jc w:val="center"/>
        <w:textAlignment w:val="top"/>
        <w:rPr>
          <w:rFonts w:eastAsia="Times New Roman"/>
          <w:b/>
          <w:bCs/>
          <w:lang w:val="lv-LV"/>
        </w:rPr>
      </w:pPr>
      <w:r w:rsidRPr="004D618E">
        <w:rPr>
          <w:b/>
          <w:bCs/>
          <w:i/>
          <w:iCs/>
          <w:sz w:val="22"/>
          <w:szCs w:val="20"/>
          <w:lang w:val="lv-LV"/>
        </w:rPr>
        <w:t>3.1.4. tabula</w:t>
      </w:r>
      <w:r w:rsidRPr="004D618E">
        <w:rPr>
          <w:b/>
          <w:bCs/>
          <w:sz w:val="22"/>
          <w:szCs w:val="20"/>
          <w:lang w:val="lv-LV"/>
        </w:rPr>
        <w:t xml:space="preserve"> Valsts budžeta apmaksātās rezidentūras izmaksas </w:t>
      </w:r>
      <w:r w:rsidRPr="004D618E">
        <w:rPr>
          <w:rFonts w:eastAsia="Verdana"/>
          <w:b/>
          <w:bCs/>
          <w:color w:val="000000" w:themeColor="dark1"/>
          <w:kern w:val="24"/>
          <w:sz w:val="22"/>
          <w:szCs w:val="20"/>
          <w:lang w:val="lv-LV"/>
        </w:rPr>
        <w:t>anesteziol</w:t>
      </w:r>
      <w:r w:rsidR="005354B1">
        <w:rPr>
          <w:rFonts w:eastAsia="Verdana"/>
          <w:b/>
          <w:bCs/>
          <w:color w:val="000000" w:themeColor="dark1"/>
          <w:kern w:val="24"/>
          <w:sz w:val="22"/>
          <w:szCs w:val="20"/>
          <w:lang w:val="lv-LV"/>
        </w:rPr>
        <w:t xml:space="preserve">oga, </w:t>
      </w:r>
      <w:r w:rsidRPr="004D618E">
        <w:rPr>
          <w:rFonts w:eastAsia="Verdana"/>
          <w:b/>
          <w:bCs/>
          <w:color w:val="000000" w:themeColor="dark1"/>
          <w:kern w:val="24"/>
          <w:sz w:val="22"/>
          <w:szCs w:val="20"/>
          <w:lang w:val="lv-LV"/>
        </w:rPr>
        <w:t xml:space="preserve">reanimatologa specialitātē pārējās ārstniecības iestādēs (t.sk. budžeta iestādēs), </w:t>
      </w:r>
      <w:r w:rsidRPr="004D618E">
        <w:rPr>
          <w:rFonts w:eastAsia="Verdana"/>
          <w:b/>
          <w:bCs/>
          <w:i/>
          <w:iCs/>
          <w:color w:val="000000" w:themeColor="dark1"/>
          <w:kern w:val="24"/>
          <w:sz w:val="22"/>
          <w:szCs w:val="20"/>
          <w:lang w:val="lv-LV"/>
        </w:rPr>
        <w:t>euro</w:t>
      </w:r>
    </w:p>
    <w:tbl>
      <w:tblPr>
        <w:tblW w:w="9067" w:type="dxa"/>
        <w:tblCellMar>
          <w:left w:w="0" w:type="dxa"/>
          <w:right w:w="0" w:type="dxa"/>
        </w:tblCellMar>
        <w:tblLook w:val="0600" w:firstRow="0" w:lastRow="0" w:firstColumn="0" w:lastColumn="0" w:noHBand="1" w:noVBand="1"/>
      </w:tblPr>
      <w:tblGrid>
        <w:gridCol w:w="1180"/>
        <w:gridCol w:w="1083"/>
        <w:gridCol w:w="993"/>
        <w:gridCol w:w="992"/>
        <w:gridCol w:w="992"/>
        <w:gridCol w:w="992"/>
        <w:gridCol w:w="851"/>
        <w:gridCol w:w="992"/>
        <w:gridCol w:w="992"/>
      </w:tblGrid>
      <w:tr w:rsidR="004D618E" w:rsidRPr="004D618E" w14:paraId="2089025A" w14:textId="77777777" w:rsidTr="00CF64D3">
        <w:trPr>
          <w:trHeight w:val="682"/>
        </w:trPr>
        <w:tc>
          <w:tcPr>
            <w:tcW w:w="2263"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680691A8" w14:textId="77777777" w:rsidR="004D618E" w:rsidRPr="004D618E" w:rsidRDefault="004D618E" w:rsidP="004D618E">
            <w:pPr>
              <w:jc w:val="center"/>
              <w:textAlignment w:val="top"/>
              <w:rPr>
                <w:rFonts w:eastAsia="Times New Roman"/>
                <w:sz w:val="18"/>
                <w:szCs w:val="18"/>
                <w:lang w:val="lv-LV"/>
              </w:rPr>
            </w:pPr>
            <w:r w:rsidRPr="004D618E">
              <w:rPr>
                <w:rFonts w:eastAsia="Verdana"/>
                <w:color w:val="000000" w:themeColor="dark1"/>
                <w:kern w:val="24"/>
                <w:sz w:val="18"/>
                <w:szCs w:val="18"/>
                <w:lang w:val="lv-LV"/>
              </w:rPr>
              <w:t>Anesteziologs, reanimatologs</w:t>
            </w:r>
          </w:p>
          <w:p w14:paraId="5F0ED9C8" w14:textId="77777777" w:rsidR="004D618E" w:rsidRPr="004D618E" w:rsidRDefault="004D618E" w:rsidP="004D618E">
            <w:pPr>
              <w:jc w:val="center"/>
              <w:textAlignment w:val="top"/>
              <w:rPr>
                <w:rFonts w:eastAsia="Times New Roman"/>
                <w:sz w:val="18"/>
                <w:szCs w:val="18"/>
                <w:lang w:val="lv-LV"/>
              </w:rPr>
            </w:pPr>
            <w:r w:rsidRPr="004D618E">
              <w:rPr>
                <w:rFonts w:eastAsia="Verdana"/>
                <w:color w:val="000000" w:themeColor="dark1"/>
                <w:kern w:val="24"/>
                <w:sz w:val="18"/>
                <w:szCs w:val="18"/>
                <w:lang w:val="lv-LV"/>
              </w:rPr>
              <w:t>(izmaksas par vienu rezidentu)</w:t>
            </w:r>
          </w:p>
        </w:tc>
        <w:tc>
          <w:tcPr>
            <w:tcW w:w="993"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6530860C" w14:textId="77777777" w:rsidR="00CF64D3" w:rsidRDefault="00CF64D3" w:rsidP="00CF64D3">
            <w:pPr>
              <w:jc w:val="center"/>
              <w:textAlignment w:val="bottom"/>
              <w:rPr>
                <w:rFonts w:eastAsia="Verdana"/>
                <w:color w:val="000000" w:themeColor="dark1"/>
                <w:kern w:val="24"/>
                <w:sz w:val="18"/>
                <w:szCs w:val="18"/>
                <w:lang w:val="lv-LV"/>
              </w:rPr>
            </w:pPr>
            <w:r>
              <w:rPr>
                <w:rFonts w:eastAsia="Verdana"/>
                <w:color w:val="000000" w:themeColor="dark1"/>
                <w:kern w:val="24"/>
                <w:sz w:val="18"/>
                <w:szCs w:val="18"/>
                <w:lang w:val="lv-LV"/>
              </w:rPr>
              <w:t xml:space="preserve">Valsts budžeta izmaksas </w:t>
            </w:r>
          </w:p>
          <w:p w14:paraId="58B9B6A3" w14:textId="7086246E" w:rsidR="004D618E" w:rsidRPr="00CF64D3" w:rsidRDefault="004D618E" w:rsidP="00CF64D3">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1. gadā</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31441DDB" w14:textId="77777777" w:rsidR="00CF64D3" w:rsidRDefault="004D618E" w:rsidP="00CF64D3">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V</w:t>
            </w:r>
            <w:r w:rsidR="00CF64D3">
              <w:rPr>
                <w:rFonts w:eastAsia="Verdana"/>
                <w:color w:val="000000" w:themeColor="dark1"/>
                <w:kern w:val="24"/>
                <w:sz w:val="18"/>
                <w:szCs w:val="18"/>
                <w:lang w:val="lv-LV"/>
              </w:rPr>
              <w:t xml:space="preserve">alsts budžeta izmaksas </w:t>
            </w:r>
          </w:p>
          <w:p w14:paraId="12FD9179" w14:textId="1B65F3BB" w:rsidR="004D618E" w:rsidRPr="00CF64D3" w:rsidRDefault="004D618E" w:rsidP="00CF64D3">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2. gadā</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3830BC93" w14:textId="77777777" w:rsidR="00CF64D3" w:rsidRDefault="00CF64D3" w:rsidP="004D618E">
            <w:pPr>
              <w:jc w:val="center"/>
              <w:textAlignment w:val="bottom"/>
              <w:rPr>
                <w:rFonts w:eastAsia="Verdana"/>
                <w:color w:val="000000" w:themeColor="dark1"/>
                <w:kern w:val="24"/>
                <w:sz w:val="18"/>
                <w:szCs w:val="18"/>
                <w:lang w:val="lv-LV"/>
              </w:rPr>
            </w:pPr>
            <w:r>
              <w:rPr>
                <w:rFonts w:eastAsia="Verdana"/>
                <w:color w:val="000000" w:themeColor="dark1"/>
                <w:kern w:val="24"/>
                <w:sz w:val="18"/>
                <w:szCs w:val="18"/>
                <w:lang w:val="lv-LV"/>
              </w:rPr>
              <w:t xml:space="preserve">Valsts budžeta izmaksas </w:t>
            </w:r>
          </w:p>
          <w:p w14:paraId="24C27D1D" w14:textId="78C4FD27" w:rsidR="004D618E" w:rsidRPr="004D618E" w:rsidRDefault="004D618E" w:rsidP="004D618E">
            <w:pPr>
              <w:jc w:val="center"/>
              <w:textAlignment w:val="bottom"/>
              <w:rPr>
                <w:rFonts w:eastAsia="Times New Roman"/>
                <w:sz w:val="18"/>
                <w:szCs w:val="18"/>
                <w:lang w:val="lv-LV"/>
              </w:rPr>
            </w:pPr>
            <w:r w:rsidRPr="004D618E">
              <w:rPr>
                <w:rFonts w:eastAsia="Verdana"/>
                <w:color w:val="000000" w:themeColor="dark1"/>
                <w:kern w:val="24"/>
                <w:sz w:val="18"/>
                <w:szCs w:val="18"/>
                <w:lang w:val="lv-LV"/>
              </w:rPr>
              <w:t>3. gadā</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31B75590" w14:textId="77777777" w:rsidR="00CF64D3" w:rsidRDefault="00CF64D3" w:rsidP="00CF64D3">
            <w:pPr>
              <w:jc w:val="center"/>
              <w:textAlignment w:val="bottom"/>
              <w:rPr>
                <w:rFonts w:eastAsia="Verdana"/>
                <w:color w:val="000000" w:themeColor="dark1"/>
                <w:kern w:val="24"/>
                <w:sz w:val="18"/>
                <w:szCs w:val="18"/>
                <w:lang w:val="lv-LV"/>
              </w:rPr>
            </w:pPr>
            <w:r>
              <w:rPr>
                <w:rFonts w:eastAsia="Verdana"/>
                <w:color w:val="000000" w:themeColor="dark1"/>
                <w:kern w:val="24"/>
                <w:sz w:val="18"/>
                <w:szCs w:val="18"/>
                <w:lang w:val="lv-LV"/>
              </w:rPr>
              <w:t xml:space="preserve">Valsts budžeta izmaksas </w:t>
            </w:r>
          </w:p>
          <w:p w14:paraId="33228ACA" w14:textId="437D1C66" w:rsidR="004D618E" w:rsidRPr="00CF64D3" w:rsidRDefault="004D618E" w:rsidP="00CF64D3">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4. gadā</w:t>
            </w:r>
          </w:p>
        </w:tc>
        <w:tc>
          <w:tcPr>
            <w:tcW w:w="851"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178D817B" w14:textId="77777777" w:rsidR="00CF64D3" w:rsidRDefault="00CF64D3" w:rsidP="00CF64D3">
            <w:pPr>
              <w:jc w:val="center"/>
              <w:textAlignment w:val="bottom"/>
              <w:rPr>
                <w:rFonts w:eastAsia="Verdana"/>
                <w:color w:val="000000" w:themeColor="dark1"/>
                <w:kern w:val="24"/>
                <w:sz w:val="18"/>
                <w:szCs w:val="18"/>
                <w:lang w:val="lv-LV"/>
              </w:rPr>
            </w:pPr>
            <w:r>
              <w:rPr>
                <w:rFonts w:eastAsia="Verdana"/>
                <w:color w:val="000000" w:themeColor="dark1"/>
                <w:kern w:val="24"/>
                <w:sz w:val="18"/>
                <w:szCs w:val="18"/>
                <w:lang w:val="lv-LV"/>
              </w:rPr>
              <w:t>Valsts budžeta izmaksas</w:t>
            </w:r>
          </w:p>
          <w:p w14:paraId="7C5FB91E" w14:textId="420A1326" w:rsidR="004D618E" w:rsidRPr="00CF64D3" w:rsidRDefault="004D618E" w:rsidP="00CF64D3">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5. gadā</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7F4DAB68" w14:textId="77777777" w:rsidR="004D618E" w:rsidRPr="004D618E" w:rsidRDefault="004D618E" w:rsidP="004D618E">
            <w:pPr>
              <w:jc w:val="center"/>
              <w:textAlignment w:val="bottom"/>
              <w:rPr>
                <w:rFonts w:eastAsia="Times New Roman"/>
                <w:sz w:val="18"/>
                <w:szCs w:val="18"/>
                <w:lang w:val="lv-LV"/>
              </w:rPr>
            </w:pPr>
            <w:r w:rsidRPr="004D618E">
              <w:rPr>
                <w:rFonts w:eastAsia="Verdana"/>
                <w:color w:val="000000" w:themeColor="dark1"/>
                <w:kern w:val="24"/>
                <w:sz w:val="18"/>
                <w:szCs w:val="18"/>
                <w:lang w:val="lv-LV"/>
              </w:rPr>
              <w:t>Kopā par rezidentu kopējā studiju ilgumā</w:t>
            </w:r>
          </w:p>
        </w:tc>
        <w:tc>
          <w:tcPr>
            <w:tcW w:w="992"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114F0BEB" w14:textId="3BABF36F" w:rsidR="004D618E" w:rsidRPr="00CF64D3" w:rsidRDefault="004D618E" w:rsidP="00CF64D3">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Ietau</w:t>
            </w:r>
            <w:r w:rsidR="00CF64D3">
              <w:rPr>
                <w:rFonts w:eastAsia="Verdana"/>
                <w:color w:val="000000" w:themeColor="dark1"/>
                <w:kern w:val="24"/>
                <w:sz w:val="18"/>
                <w:szCs w:val="18"/>
                <w:lang w:val="lv-LV"/>
              </w:rPr>
              <w:t xml:space="preserve">pījums samazinot par vienu gadu </w:t>
            </w:r>
            <w:r w:rsidRPr="004D618E">
              <w:rPr>
                <w:rFonts w:eastAsia="Verdana"/>
                <w:color w:val="000000" w:themeColor="dark1"/>
                <w:kern w:val="24"/>
                <w:sz w:val="18"/>
                <w:szCs w:val="18"/>
                <w:lang w:val="lv-LV"/>
              </w:rPr>
              <w:t>uz vienu rezidentu</w:t>
            </w:r>
          </w:p>
        </w:tc>
      </w:tr>
      <w:tr w:rsidR="004D618E" w:rsidRPr="004D618E" w14:paraId="7BE8C975" w14:textId="77777777" w:rsidTr="00CF64D3">
        <w:trPr>
          <w:trHeight w:val="692"/>
        </w:trPr>
        <w:tc>
          <w:tcPr>
            <w:tcW w:w="1180" w:type="dxa"/>
            <w:vMerge w:val="restart"/>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432BF137" w14:textId="77777777" w:rsidR="004D618E" w:rsidRPr="004D618E" w:rsidRDefault="004D618E" w:rsidP="004D618E">
            <w:pPr>
              <w:jc w:val="center"/>
              <w:textAlignment w:val="bottom"/>
              <w:rPr>
                <w:rFonts w:eastAsia="Times New Roman"/>
                <w:sz w:val="18"/>
                <w:szCs w:val="18"/>
                <w:lang w:val="lv-LV"/>
              </w:rPr>
            </w:pPr>
            <w:r w:rsidRPr="004D618E">
              <w:rPr>
                <w:rFonts w:eastAsia="Verdana"/>
                <w:color w:val="000000" w:themeColor="dark1"/>
                <w:kern w:val="24"/>
                <w:sz w:val="18"/>
                <w:szCs w:val="18"/>
                <w:lang w:val="lv-LV"/>
              </w:rPr>
              <w:t xml:space="preserve">Rezidenta apmācība Pārējās ārstniecības iestādēs </w:t>
            </w:r>
            <w:r w:rsidRPr="004D618E">
              <w:rPr>
                <w:rFonts w:eastAsia="Verdana"/>
                <w:color w:val="000000" w:themeColor="dark1"/>
                <w:kern w:val="24"/>
                <w:sz w:val="18"/>
                <w:szCs w:val="18"/>
                <w:lang w:val="lv-LV"/>
              </w:rPr>
              <w:br/>
              <w:t>(t.sk. budžeta iestādēs)</w:t>
            </w:r>
          </w:p>
        </w:tc>
        <w:tc>
          <w:tcPr>
            <w:tcW w:w="1083"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73B769BB" w14:textId="77777777" w:rsidR="00FF342C" w:rsidRDefault="004D618E" w:rsidP="004D618E">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 xml:space="preserve">Studiju ilgums </w:t>
            </w:r>
          </w:p>
          <w:p w14:paraId="07D19F81" w14:textId="6CD648E5" w:rsidR="004D618E" w:rsidRPr="004D618E" w:rsidRDefault="004D618E" w:rsidP="004D618E">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5 gadi</w:t>
            </w:r>
          </w:p>
          <w:p w14:paraId="0FE0C725" w14:textId="77777777" w:rsidR="004D618E" w:rsidRPr="004D618E" w:rsidRDefault="004D618E" w:rsidP="004D618E">
            <w:pPr>
              <w:jc w:val="center"/>
              <w:textAlignment w:val="bottom"/>
              <w:rPr>
                <w:rFonts w:eastAsia="Times New Roman"/>
                <w:sz w:val="18"/>
                <w:szCs w:val="18"/>
                <w:lang w:val="lv-LV"/>
              </w:rPr>
            </w:pPr>
            <w:r w:rsidRPr="004D618E">
              <w:rPr>
                <w:rFonts w:eastAsia="Verdana"/>
                <w:color w:val="000000" w:themeColor="dark1"/>
                <w:kern w:val="24"/>
                <w:sz w:val="18"/>
                <w:szCs w:val="18"/>
                <w:lang w:val="lv-LV"/>
              </w:rPr>
              <w:t>(pašreizējais)</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3D44A185"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30 056,04</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0CF5454F"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30 056,04</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3870A0F2"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32 551,08</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53DB350F"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32 551,08</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1B8F75CA"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32 551,08</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69A68B17" w14:textId="77777777" w:rsidR="004D618E" w:rsidRPr="004D618E" w:rsidRDefault="004D618E" w:rsidP="004D618E">
            <w:pPr>
              <w:jc w:val="center"/>
              <w:textAlignment w:val="center"/>
              <w:rPr>
                <w:rFonts w:eastAsia="Times New Roman"/>
                <w:b/>
                <w:bCs/>
                <w:sz w:val="20"/>
                <w:szCs w:val="20"/>
                <w:lang w:val="lv-LV"/>
              </w:rPr>
            </w:pPr>
            <w:r w:rsidRPr="004D618E">
              <w:rPr>
                <w:rFonts w:eastAsia="Verdana"/>
                <w:b/>
                <w:bCs/>
                <w:color w:val="000000" w:themeColor="dark1"/>
                <w:kern w:val="24"/>
                <w:sz w:val="20"/>
                <w:szCs w:val="20"/>
                <w:lang w:val="lv-LV"/>
              </w:rPr>
              <w:t>157 765,32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3532E0DA" w14:textId="77777777" w:rsidR="004D618E" w:rsidRPr="004D618E" w:rsidRDefault="004D618E" w:rsidP="004D618E">
            <w:pPr>
              <w:jc w:val="center"/>
              <w:textAlignment w:val="center"/>
              <w:rPr>
                <w:rFonts w:eastAsia="Times New Roman"/>
                <w:b/>
                <w:bCs/>
                <w:sz w:val="20"/>
                <w:szCs w:val="20"/>
                <w:lang w:val="lv-LV"/>
              </w:rPr>
            </w:pPr>
            <w:r w:rsidRPr="004D618E">
              <w:rPr>
                <w:rFonts w:eastAsia="Verdana"/>
                <w:b/>
                <w:bCs/>
                <w:color w:val="000000" w:themeColor="dark1"/>
                <w:kern w:val="24"/>
                <w:sz w:val="20"/>
                <w:szCs w:val="20"/>
                <w:lang w:val="lv-LV"/>
              </w:rPr>
              <w:t>32 551,08</w:t>
            </w:r>
          </w:p>
        </w:tc>
      </w:tr>
      <w:tr w:rsidR="004D618E" w:rsidRPr="004D618E" w14:paraId="45BDD92C" w14:textId="77777777" w:rsidTr="00CF64D3">
        <w:trPr>
          <w:trHeight w:val="690"/>
        </w:trPr>
        <w:tc>
          <w:tcPr>
            <w:tcW w:w="1180" w:type="dxa"/>
            <w:vMerge/>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2C858B89" w14:textId="77777777" w:rsidR="004D618E" w:rsidRPr="004D618E" w:rsidRDefault="004D618E" w:rsidP="004D618E">
            <w:pPr>
              <w:rPr>
                <w:rFonts w:eastAsia="Times New Roman"/>
                <w:sz w:val="18"/>
                <w:szCs w:val="18"/>
                <w:lang w:val="lv-LV"/>
              </w:rPr>
            </w:pPr>
          </w:p>
        </w:tc>
        <w:tc>
          <w:tcPr>
            <w:tcW w:w="1083"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1A46CE54" w14:textId="77777777" w:rsidR="004D618E" w:rsidRPr="004D618E" w:rsidRDefault="004D618E" w:rsidP="004D618E">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 xml:space="preserve">Studiju ilgums 3 gadi (minimums </w:t>
            </w:r>
          </w:p>
          <w:p w14:paraId="296631E7" w14:textId="77777777" w:rsidR="004D618E" w:rsidRPr="004D618E" w:rsidRDefault="004D618E" w:rsidP="004D618E">
            <w:pPr>
              <w:jc w:val="center"/>
              <w:textAlignment w:val="bottom"/>
              <w:rPr>
                <w:rFonts w:eastAsia="Times New Roman"/>
                <w:sz w:val="18"/>
                <w:szCs w:val="18"/>
                <w:lang w:val="lv-LV"/>
              </w:rPr>
            </w:pPr>
            <w:r w:rsidRPr="004D618E">
              <w:rPr>
                <w:rFonts w:eastAsia="Verdana"/>
                <w:color w:val="000000" w:themeColor="dark1"/>
                <w:kern w:val="24"/>
                <w:sz w:val="18"/>
                <w:szCs w:val="18"/>
                <w:lang w:val="lv-LV"/>
              </w:rPr>
              <w:t>ES direktīvā)</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50952609"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30 056,04</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04E10D2D"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30 056,04</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48C32C06"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32 551,08</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027CB042"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w:t>
            </w: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048291CC" w14:textId="77777777" w:rsidR="004D618E" w:rsidRPr="00CF64D3" w:rsidRDefault="004D618E" w:rsidP="004D618E">
            <w:pPr>
              <w:jc w:val="center"/>
              <w:textAlignment w:val="center"/>
              <w:rPr>
                <w:rFonts w:eastAsia="Times New Roman"/>
                <w:b/>
                <w:bCs/>
                <w:sz w:val="20"/>
                <w:szCs w:val="20"/>
                <w:lang w:val="lv-LV"/>
              </w:rPr>
            </w:pPr>
            <w:r w:rsidRPr="00CF64D3">
              <w:rPr>
                <w:rFonts w:eastAsia="Verdana"/>
                <w:b/>
                <w:bCs/>
                <w:color w:val="000000" w:themeColor="dark1"/>
                <w:kern w:val="24"/>
                <w:sz w:val="20"/>
                <w:szCs w:val="20"/>
                <w:lang w:val="lv-LV"/>
              </w:rPr>
              <w:t>-</w:t>
            </w: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201FECF8" w14:textId="77777777" w:rsidR="004D618E" w:rsidRPr="004D618E" w:rsidRDefault="004D618E" w:rsidP="004D618E">
            <w:pPr>
              <w:jc w:val="center"/>
              <w:textAlignment w:val="center"/>
              <w:rPr>
                <w:rFonts w:eastAsia="Times New Roman"/>
                <w:b/>
                <w:bCs/>
                <w:sz w:val="20"/>
                <w:szCs w:val="20"/>
                <w:lang w:val="lv-LV"/>
              </w:rPr>
            </w:pPr>
            <w:r w:rsidRPr="004D618E">
              <w:rPr>
                <w:rFonts w:eastAsia="Verdana"/>
                <w:b/>
                <w:bCs/>
                <w:color w:val="000000" w:themeColor="dark1"/>
                <w:kern w:val="24"/>
                <w:sz w:val="20"/>
                <w:szCs w:val="20"/>
                <w:lang w:val="lv-LV"/>
              </w:rPr>
              <w:t>92 663,16</w:t>
            </w: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D2B6DC" w14:textId="77777777" w:rsidR="004D618E" w:rsidRPr="004D618E" w:rsidRDefault="004D618E" w:rsidP="004D618E">
            <w:pPr>
              <w:rPr>
                <w:rFonts w:eastAsia="Times New Roman"/>
                <w:b/>
                <w:bCs/>
                <w:sz w:val="20"/>
                <w:szCs w:val="20"/>
                <w:lang w:val="lv-LV"/>
              </w:rPr>
            </w:pPr>
          </w:p>
        </w:tc>
      </w:tr>
    </w:tbl>
    <w:p w14:paraId="1F413481" w14:textId="6402D6AA" w:rsidR="004D618E" w:rsidRPr="004D618E" w:rsidRDefault="004D618E" w:rsidP="004D618E">
      <w:pPr>
        <w:spacing w:before="120"/>
        <w:jc w:val="center"/>
        <w:textAlignment w:val="top"/>
        <w:rPr>
          <w:rFonts w:eastAsia="Times New Roman"/>
          <w:b/>
          <w:bCs/>
          <w:sz w:val="22"/>
          <w:szCs w:val="20"/>
          <w:lang w:val="lv-LV"/>
        </w:rPr>
      </w:pPr>
      <w:r w:rsidRPr="004D618E">
        <w:rPr>
          <w:b/>
          <w:bCs/>
          <w:i/>
          <w:iCs/>
          <w:sz w:val="22"/>
          <w:szCs w:val="20"/>
          <w:lang w:val="lv-LV"/>
        </w:rPr>
        <w:t>3.1.5. tabula</w:t>
      </w:r>
      <w:r w:rsidRPr="004D618E">
        <w:rPr>
          <w:b/>
          <w:bCs/>
          <w:sz w:val="22"/>
          <w:szCs w:val="20"/>
          <w:lang w:val="lv-LV"/>
        </w:rPr>
        <w:t xml:space="preserve"> Valsts budžeta apmaksātās rezidentūras izmaksas </w:t>
      </w:r>
      <w:r w:rsidRPr="004D618E">
        <w:rPr>
          <w:rFonts w:eastAsia="Verdana"/>
          <w:b/>
          <w:bCs/>
          <w:color w:val="000000" w:themeColor="dark1"/>
          <w:kern w:val="24"/>
          <w:sz w:val="22"/>
          <w:szCs w:val="20"/>
          <w:lang w:val="lv-LV"/>
        </w:rPr>
        <w:t>anesteziologa</w:t>
      </w:r>
      <w:r w:rsidR="005354B1">
        <w:rPr>
          <w:rFonts w:eastAsia="Verdana"/>
          <w:b/>
          <w:bCs/>
          <w:color w:val="000000" w:themeColor="dark1"/>
          <w:kern w:val="24"/>
          <w:sz w:val="22"/>
          <w:szCs w:val="20"/>
          <w:lang w:val="lv-LV"/>
        </w:rPr>
        <w:t xml:space="preserve">, </w:t>
      </w:r>
      <w:r w:rsidRPr="004D618E">
        <w:rPr>
          <w:rFonts w:eastAsia="Verdana"/>
          <w:b/>
          <w:bCs/>
          <w:color w:val="000000" w:themeColor="dark1"/>
          <w:kern w:val="24"/>
          <w:sz w:val="22"/>
          <w:szCs w:val="20"/>
          <w:lang w:val="lv-LV"/>
        </w:rPr>
        <w:t xml:space="preserve">reanimatologa specialitātē </w:t>
      </w:r>
      <w:r w:rsidRPr="004D618E">
        <w:rPr>
          <w:b/>
          <w:bCs/>
          <w:sz w:val="22"/>
          <w:szCs w:val="20"/>
          <w:lang w:val="lv-LV"/>
        </w:rPr>
        <w:t>reģionālajā daudzprofilu slimnīcā vai ģimenes (vispārējās prakses) ārsta praksē ārpus Rīgas</w:t>
      </w:r>
      <w:r w:rsidRPr="004D618E">
        <w:rPr>
          <w:rFonts w:eastAsia="Verdana"/>
          <w:b/>
          <w:bCs/>
          <w:color w:val="000000" w:themeColor="dark1"/>
          <w:kern w:val="24"/>
          <w:sz w:val="22"/>
          <w:szCs w:val="20"/>
          <w:lang w:val="lv-LV"/>
        </w:rPr>
        <w:t xml:space="preserve">, </w:t>
      </w:r>
      <w:r w:rsidRPr="004D618E">
        <w:rPr>
          <w:rFonts w:eastAsia="Verdana"/>
          <w:b/>
          <w:bCs/>
          <w:i/>
          <w:iCs/>
          <w:color w:val="000000" w:themeColor="dark1"/>
          <w:kern w:val="24"/>
          <w:sz w:val="22"/>
          <w:szCs w:val="20"/>
          <w:lang w:val="lv-LV"/>
        </w:rPr>
        <w:t>euro</w:t>
      </w:r>
    </w:p>
    <w:tbl>
      <w:tblPr>
        <w:tblW w:w="9012" w:type="dxa"/>
        <w:jc w:val="center"/>
        <w:tblCellMar>
          <w:left w:w="0" w:type="dxa"/>
          <w:right w:w="0" w:type="dxa"/>
        </w:tblCellMar>
        <w:tblLook w:val="0600" w:firstRow="0" w:lastRow="0" w:firstColumn="0" w:lastColumn="0" w:noHBand="1" w:noVBand="1"/>
      </w:tblPr>
      <w:tblGrid>
        <w:gridCol w:w="1280"/>
        <w:gridCol w:w="990"/>
        <w:gridCol w:w="994"/>
        <w:gridCol w:w="994"/>
        <w:gridCol w:w="994"/>
        <w:gridCol w:w="864"/>
        <w:gridCol w:w="909"/>
        <w:gridCol w:w="1056"/>
        <w:gridCol w:w="931"/>
      </w:tblGrid>
      <w:tr w:rsidR="004D618E" w:rsidRPr="004D618E" w14:paraId="684F049D" w14:textId="77777777" w:rsidTr="00CF64D3">
        <w:trPr>
          <w:trHeight w:val="1135"/>
          <w:jc w:val="center"/>
        </w:trPr>
        <w:tc>
          <w:tcPr>
            <w:tcW w:w="2270"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23880DFC" w14:textId="77777777" w:rsidR="004D618E" w:rsidRPr="004D618E" w:rsidRDefault="004D618E" w:rsidP="004D618E">
            <w:pPr>
              <w:jc w:val="center"/>
              <w:rPr>
                <w:sz w:val="18"/>
                <w:szCs w:val="18"/>
                <w:lang w:val="lv-LV"/>
              </w:rPr>
            </w:pPr>
            <w:r w:rsidRPr="004D618E">
              <w:rPr>
                <w:sz w:val="18"/>
                <w:szCs w:val="18"/>
                <w:lang w:val="lv-LV"/>
              </w:rPr>
              <w:t>Anesteziologs, reanimatologs (izmaksas par vienu rezidentu)</w:t>
            </w:r>
          </w:p>
          <w:p w14:paraId="358D3D36" w14:textId="77777777" w:rsidR="004D618E" w:rsidRPr="004D618E" w:rsidRDefault="004D618E" w:rsidP="004D618E">
            <w:pPr>
              <w:jc w:val="center"/>
              <w:rPr>
                <w:sz w:val="18"/>
                <w:szCs w:val="18"/>
                <w:lang w:val="lv-LV"/>
              </w:rPr>
            </w:pPr>
          </w:p>
        </w:tc>
        <w:tc>
          <w:tcPr>
            <w:tcW w:w="994"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00FCB5E9" w14:textId="77777777" w:rsidR="00CF64D3" w:rsidRDefault="004D618E" w:rsidP="00CF64D3">
            <w:pPr>
              <w:jc w:val="center"/>
              <w:rPr>
                <w:sz w:val="18"/>
                <w:szCs w:val="18"/>
                <w:lang w:val="lv-LV"/>
              </w:rPr>
            </w:pPr>
            <w:r w:rsidRPr="004D618E">
              <w:rPr>
                <w:sz w:val="18"/>
                <w:szCs w:val="18"/>
                <w:lang w:val="lv-LV"/>
              </w:rPr>
              <w:t>Valsts budžeta izmaksas</w:t>
            </w:r>
            <w:r w:rsidR="00CF64D3">
              <w:rPr>
                <w:sz w:val="18"/>
                <w:szCs w:val="18"/>
                <w:lang w:val="lv-LV"/>
              </w:rPr>
              <w:t xml:space="preserve"> </w:t>
            </w:r>
          </w:p>
          <w:p w14:paraId="06721118" w14:textId="069AF02E" w:rsidR="004D618E" w:rsidRPr="004D618E" w:rsidRDefault="004D618E" w:rsidP="00CF64D3">
            <w:pPr>
              <w:jc w:val="center"/>
              <w:rPr>
                <w:sz w:val="18"/>
                <w:szCs w:val="18"/>
                <w:lang w:val="lv-LV"/>
              </w:rPr>
            </w:pPr>
            <w:r w:rsidRPr="004D618E">
              <w:rPr>
                <w:sz w:val="18"/>
                <w:szCs w:val="18"/>
                <w:lang w:val="lv-LV"/>
              </w:rPr>
              <w:t>1. gadā</w:t>
            </w:r>
          </w:p>
        </w:tc>
        <w:tc>
          <w:tcPr>
            <w:tcW w:w="994"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211EDDB7" w14:textId="77777777" w:rsidR="00CF64D3" w:rsidRDefault="004D618E" w:rsidP="00CF64D3">
            <w:pPr>
              <w:jc w:val="center"/>
              <w:rPr>
                <w:sz w:val="18"/>
                <w:szCs w:val="18"/>
                <w:lang w:val="lv-LV"/>
              </w:rPr>
            </w:pPr>
            <w:r w:rsidRPr="004D618E">
              <w:rPr>
                <w:sz w:val="18"/>
                <w:szCs w:val="18"/>
                <w:lang w:val="lv-LV"/>
              </w:rPr>
              <w:t>Valsts budžeta izmaksas</w:t>
            </w:r>
            <w:r w:rsidR="00CF64D3">
              <w:rPr>
                <w:sz w:val="18"/>
                <w:szCs w:val="18"/>
                <w:lang w:val="lv-LV"/>
              </w:rPr>
              <w:t xml:space="preserve"> </w:t>
            </w:r>
          </w:p>
          <w:p w14:paraId="61067C57" w14:textId="7E23090B" w:rsidR="004D618E" w:rsidRPr="004D618E" w:rsidRDefault="004D618E" w:rsidP="00CF64D3">
            <w:pPr>
              <w:jc w:val="center"/>
              <w:rPr>
                <w:sz w:val="18"/>
                <w:szCs w:val="18"/>
                <w:lang w:val="lv-LV"/>
              </w:rPr>
            </w:pPr>
            <w:r w:rsidRPr="004D618E">
              <w:rPr>
                <w:sz w:val="18"/>
                <w:szCs w:val="18"/>
                <w:lang w:val="lv-LV"/>
              </w:rPr>
              <w:t>2. gadā</w:t>
            </w:r>
          </w:p>
        </w:tc>
        <w:tc>
          <w:tcPr>
            <w:tcW w:w="994"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2BA76E33" w14:textId="77777777" w:rsidR="00CF64D3" w:rsidRDefault="00CF64D3" w:rsidP="00CF64D3">
            <w:pPr>
              <w:jc w:val="center"/>
              <w:rPr>
                <w:sz w:val="18"/>
                <w:szCs w:val="18"/>
                <w:lang w:val="lv-LV"/>
              </w:rPr>
            </w:pPr>
            <w:r>
              <w:rPr>
                <w:sz w:val="18"/>
                <w:szCs w:val="18"/>
                <w:lang w:val="lv-LV"/>
              </w:rPr>
              <w:t>Valsts budžeta izmaksas</w:t>
            </w:r>
          </w:p>
          <w:p w14:paraId="50DCFF67" w14:textId="49FDE0D7" w:rsidR="004D618E" w:rsidRPr="004D618E" w:rsidRDefault="004D618E" w:rsidP="00CF64D3">
            <w:pPr>
              <w:jc w:val="center"/>
              <w:rPr>
                <w:sz w:val="18"/>
                <w:szCs w:val="18"/>
                <w:lang w:val="lv-LV"/>
              </w:rPr>
            </w:pPr>
            <w:r w:rsidRPr="004D618E">
              <w:rPr>
                <w:sz w:val="18"/>
                <w:szCs w:val="18"/>
                <w:lang w:val="lv-LV"/>
              </w:rPr>
              <w:t>3. gadā</w:t>
            </w:r>
          </w:p>
        </w:tc>
        <w:tc>
          <w:tcPr>
            <w:tcW w:w="864"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6C322204" w14:textId="77777777" w:rsidR="00FF342C" w:rsidRDefault="004D618E" w:rsidP="00FF342C">
            <w:pPr>
              <w:jc w:val="center"/>
              <w:rPr>
                <w:sz w:val="18"/>
                <w:szCs w:val="18"/>
                <w:lang w:val="lv-LV"/>
              </w:rPr>
            </w:pPr>
            <w:r w:rsidRPr="004D618E">
              <w:rPr>
                <w:sz w:val="18"/>
                <w:szCs w:val="18"/>
                <w:lang w:val="lv-LV"/>
              </w:rPr>
              <w:t>V</w:t>
            </w:r>
            <w:r w:rsidR="00CF64D3">
              <w:rPr>
                <w:sz w:val="18"/>
                <w:szCs w:val="18"/>
                <w:lang w:val="lv-LV"/>
              </w:rPr>
              <w:t>alsts budžeta izmaksas</w:t>
            </w:r>
            <w:r w:rsidR="00FF342C">
              <w:rPr>
                <w:sz w:val="18"/>
                <w:szCs w:val="18"/>
                <w:lang w:val="lv-LV"/>
              </w:rPr>
              <w:t xml:space="preserve"> </w:t>
            </w:r>
          </w:p>
          <w:p w14:paraId="493EFE8A" w14:textId="747FF6F6" w:rsidR="00CF64D3" w:rsidRPr="00FF342C" w:rsidRDefault="00FF342C" w:rsidP="00FF342C">
            <w:pPr>
              <w:jc w:val="center"/>
              <w:rPr>
                <w:sz w:val="18"/>
                <w:szCs w:val="18"/>
                <w:lang w:val="lv-LV"/>
              </w:rPr>
            </w:pPr>
            <w:r>
              <w:rPr>
                <w:sz w:val="18"/>
                <w:szCs w:val="18"/>
                <w:lang w:val="lv-LV"/>
              </w:rPr>
              <w:t xml:space="preserve">4. </w:t>
            </w:r>
            <w:r w:rsidR="00CF64D3" w:rsidRPr="00FF342C">
              <w:rPr>
                <w:sz w:val="18"/>
                <w:szCs w:val="18"/>
                <w:lang w:val="lv-LV"/>
              </w:rPr>
              <w:t>gadā</w:t>
            </w:r>
          </w:p>
        </w:tc>
        <w:tc>
          <w:tcPr>
            <w:tcW w:w="909"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51B534A7" w14:textId="77777777" w:rsidR="00CF64D3" w:rsidRDefault="004D618E" w:rsidP="004D618E">
            <w:pPr>
              <w:jc w:val="center"/>
              <w:rPr>
                <w:sz w:val="18"/>
                <w:szCs w:val="18"/>
                <w:lang w:val="lv-LV"/>
              </w:rPr>
            </w:pPr>
            <w:r w:rsidRPr="004D618E">
              <w:rPr>
                <w:sz w:val="18"/>
                <w:szCs w:val="18"/>
                <w:lang w:val="lv-LV"/>
              </w:rPr>
              <w:t>V</w:t>
            </w:r>
            <w:r w:rsidR="00CF64D3">
              <w:rPr>
                <w:sz w:val="18"/>
                <w:szCs w:val="18"/>
                <w:lang w:val="lv-LV"/>
              </w:rPr>
              <w:t xml:space="preserve">alsts budžeta izmaksas </w:t>
            </w:r>
          </w:p>
          <w:p w14:paraId="10B7D219" w14:textId="71A13D2F" w:rsidR="004D618E" w:rsidRPr="004D618E" w:rsidRDefault="004D618E" w:rsidP="004D618E">
            <w:pPr>
              <w:jc w:val="center"/>
              <w:rPr>
                <w:sz w:val="18"/>
                <w:szCs w:val="18"/>
                <w:lang w:val="lv-LV"/>
              </w:rPr>
            </w:pPr>
            <w:r w:rsidRPr="004D618E">
              <w:rPr>
                <w:sz w:val="18"/>
                <w:szCs w:val="18"/>
                <w:lang w:val="lv-LV"/>
              </w:rPr>
              <w:t>5. gadā</w:t>
            </w:r>
          </w:p>
        </w:tc>
        <w:tc>
          <w:tcPr>
            <w:tcW w:w="1056"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7703B403" w14:textId="77777777" w:rsidR="004D618E" w:rsidRPr="004D618E" w:rsidRDefault="004D618E" w:rsidP="004D618E">
            <w:pPr>
              <w:jc w:val="center"/>
              <w:rPr>
                <w:sz w:val="18"/>
                <w:szCs w:val="18"/>
                <w:lang w:val="lv-LV"/>
              </w:rPr>
            </w:pPr>
            <w:r w:rsidRPr="004D618E">
              <w:rPr>
                <w:sz w:val="18"/>
                <w:szCs w:val="18"/>
                <w:lang w:val="lv-LV"/>
              </w:rPr>
              <w:t>Kopā par rezidentu kopējā studiju ilgumā</w:t>
            </w:r>
          </w:p>
        </w:tc>
        <w:tc>
          <w:tcPr>
            <w:tcW w:w="931"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641DDA5D" w14:textId="77777777" w:rsidR="004D618E" w:rsidRPr="004D618E" w:rsidRDefault="004D618E" w:rsidP="004D618E">
            <w:pPr>
              <w:jc w:val="center"/>
              <w:rPr>
                <w:sz w:val="18"/>
                <w:szCs w:val="18"/>
                <w:lang w:val="lv-LV"/>
              </w:rPr>
            </w:pPr>
            <w:r w:rsidRPr="004D618E">
              <w:rPr>
                <w:sz w:val="18"/>
                <w:szCs w:val="18"/>
                <w:lang w:val="lv-LV"/>
              </w:rPr>
              <w:t>Ietaupījums samazinot par vienu gadu uz vienu rezidentu</w:t>
            </w:r>
          </w:p>
        </w:tc>
      </w:tr>
      <w:tr w:rsidR="004D618E" w:rsidRPr="004D618E" w14:paraId="545955D7" w14:textId="77777777" w:rsidTr="00CF64D3">
        <w:trPr>
          <w:trHeight w:val="691"/>
          <w:jc w:val="center"/>
        </w:trPr>
        <w:tc>
          <w:tcPr>
            <w:tcW w:w="1280" w:type="dxa"/>
            <w:vMerge w:val="restart"/>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3A70EB47" w14:textId="77777777" w:rsidR="004D618E" w:rsidRPr="004D618E" w:rsidRDefault="004D618E" w:rsidP="004D618E">
            <w:pPr>
              <w:jc w:val="center"/>
              <w:rPr>
                <w:sz w:val="18"/>
                <w:szCs w:val="18"/>
                <w:lang w:val="lv-LV"/>
              </w:rPr>
            </w:pPr>
            <w:r w:rsidRPr="004D618E">
              <w:rPr>
                <w:sz w:val="18"/>
                <w:szCs w:val="18"/>
                <w:lang w:val="lv-LV"/>
              </w:rPr>
              <w:t xml:space="preserve">Rezidenta apmācība Reģionālajā daudzprofilu slimnīcā vai </w:t>
            </w:r>
            <w:r w:rsidRPr="004D618E">
              <w:rPr>
                <w:sz w:val="18"/>
                <w:szCs w:val="18"/>
                <w:lang w:val="lv-LV"/>
              </w:rPr>
              <w:lastRenderedPageBreak/>
              <w:t>ģimenes (vispārējās prakses) ārsta praksē ārpus Rīgas</w:t>
            </w:r>
          </w:p>
        </w:tc>
        <w:tc>
          <w:tcPr>
            <w:tcW w:w="990"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1CDD4979" w14:textId="77777777" w:rsidR="00FF342C" w:rsidRDefault="004D618E" w:rsidP="00FF342C">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lastRenderedPageBreak/>
              <w:t>Studiju ilgums</w:t>
            </w:r>
            <w:r w:rsidR="00FF342C">
              <w:rPr>
                <w:rFonts w:eastAsia="Verdana"/>
                <w:color w:val="000000" w:themeColor="dark1"/>
                <w:kern w:val="24"/>
                <w:sz w:val="18"/>
                <w:szCs w:val="18"/>
                <w:lang w:val="lv-LV"/>
              </w:rPr>
              <w:t xml:space="preserve"> </w:t>
            </w:r>
          </w:p>
          <w:p w14:paraId="18FEE062" w14:textId="69A2928E" w:rsidR="004D618E" w:rsidRPr="004D618E" w:rsidRDefault="004D618E" w:rsidP="00FF342C">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5 gadi</w:t>
            </w:r>
          </w:p>
          <w:p w14:paraId="04F2BE10" w14:textId="77777777" w:rsidR="004D618E" w:rsidRPr="004D618E" w:rsidRDefault="004D618E" w:rsidP="004D618E">
            <w:pPr>
              <w:jc w:val="center"/>
              <w:rPr>
                <w:sz w:val="18"/>
                <w:szCs w:val="18"/>
                <w:lang w:val="lv-LV"/>
              </w:rPr>
            </w:pPr>
            <w:r w:rsidRPr="004D618E">
              <w:rPr>
                <w:rFonts w:eastAsia="Verdana"/>
                <w:color w:val="000000" w:themeColor="dark1"/>
                <w:kern w:val="24"/>
                <w:sz w:val="18"/>
                <w:szCs w:val="18"/>
                <w:lang w:val="lv-LV"/>
              </w:rPr>
              <w:t>(pašreizējais)</w:t>
            </w:r>
          </w:p>
        </w:tc>
        <w:tc>
          <w:tcPr>
            <w:tcW w:w="99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6F72109A" w14:textId="77777777" w:rsidR="004D618E" w:rsidRPr="004D618E" w:rsidRDefault="004D618E" w:rsidP="004D618E">
            <w:pPr>
              <w:jc w:val="center"/>
              <w:rPr>
                <w:b/>
                <w:bCs/>
                <w:sz w:val="20"/>
                <w:szCs w:val="20"/>
                <w:lang w:val="lv-LV"/>
              </w:rPr>
            </w:pPr>
            <w:r w:rsidRPr="004D618E">
              <w:rPr>
                <w:b/>
                <w:bCs/>
                <w:sz w:val="20"/>
                <w:szCs w:val="20"/>
                <w:lang w:val="lv-LV"/>
              </w:rPr>
              <w:t>37 691,28</w:t>
            </w:r>
          </w:p>
        </w:tc>
        <w:tc>
          <w:tcPr>
            <w:tcW w:w="99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05F3C4E8" w14:textId="77777777" w:rsidR="004D618E" w:rsidRPr="004D618E" w:rsidRDefault="004D618E" w:rsidP="004D618E">
            <w:pPr>
              <w:jc w:val="center"/>
              <w:rPr>
                <w:b/>
                <w:bCs/>
                <w:sz w:val="20"/>
                <w:szCs w:val="20"/>
                <w:lang w:val="lv-LV"/>
              </w:rPr>
            </w:pPr>
            <w:r w:rsidRPr="004D618E">
              <w:rPr>
                <w:b/>
                <w:bCs/>
                <w:sz w:val="20"/>
                <w:szCs w:val="20"/>
                <w:lang w:val="lv-LV"/>
              </w:rPr>
              <w:t>37 691,28</w:t>
            </w:r>
          </w:p>
        </w:tc>
        <w:tc>
          <w:tcPr>
            <w:tcW w:w="99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73D5AD8D" w14:textId="77777777" w:rsidR="004D618E" w:rsidRPr="004D618E" w:rsidRDefault="004D618E" w:rsidP="004D618E">
            <w:pPr>
              <w:jc w:val="center"/>
              <w:rPr>
                <w:b/>
                <w:bCs/>
                <w:sz w:val="20"/>
                <w:szCs w:val="20"/>
                <w:lang w:val="lv-LV"/>
              </w:rPr>
            </w:pPr>
            <w:r w:rsidRPr="004D618E">
              <w:rPr>
                <w:b/>
                <w:bCs/>
                <w:sz w:val="20"/>
                <w:szCs w:val="20"/>
                <w:lang w:val="lv-LV"/>
              </w:rPr>
              <w:t>40 375,92</w:t>
            </w:r>
          </w:p>
        </w:tc>
        <w:tc>
          <w:tcPr>
            <w:tcW w:w="86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6770000B" w14:textId="77777777" w:rsidR="004D618E" w:rsidRPr="004D618E" w:rsidRDefault="004D618E" w:rsidP="004D618E">
            <w:pPr>
              <w:jc w:val="center"/>
              <w:rPr>
                <w:b/>
                <w:bCs/>
                <w:sz w:val="20"/>
                <w:szCs w:val="20"/>
                <w:lang w:val="lv-LV"/>
              </w:rPr>
            </w:pPr>
            <w:r w:rsidRPr="004D618E">
              <w:rPr>
                <w:b/>
                <w:bCs/>
                <w:sz w:val="20"/>
                <w:szCs w:val="20"/>
                <w:lang w:val="lv-LV"/>
              </w:rPr>
              <w:t>40 375,92</w:t>
            </w:r>
          </w:p>
        </w:tc>
        <w:tc>
          <w:tcPr>
            <w:tcW w:w="9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4EBE8FB8" w14:textId="77777777" w:rsidR="004D618E" w:rsidRPr="004D618E" w:rsidRDefault="004D618E" w:rsidP="004D618E">
            <w:pPr>
              <w:jc w:val="center"/>
              <w:rPr>
                <w:b/>
                <w:bCs/>
                <w:sz w:val="20"/>
                <w:szCs w:val="20"/>
                <w:lang w:val="lv-LV"/>
              </w:rPr>
            </w:pPr>
            <w:r w:rsidRPr="004D618E">
              <w:rPr>
                <w:b/>
                <w:bCs/>
                <w:sz w:val="20"/>
                <w:szCs w:val="20"/>
                <w:lang w:val="lv-LV"/>
              </w:rPr>
              <w:t>40 375,92</w:t>
            </w:r>
          </w:p>
        </w:tc>
        <w:tc>
          <w:tcPr>
            <w:tcW w:w="105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7F9C6AFE" w14:textId="77777777" w:rsidR="004D618E" w:rsidRPr="004D618E" w:rsidRDefault="004D618E" w:rsidP="004D618E">
            <w:pPr>
              <w:jc w:val="center"/>
              <w:rPr>
                <w:b/>
                <w:bCs/>
                <w:sz w:val="20"/>
                <w:szCs w:val="20"/>
                <w:lang w:val="lv-LV"/>
              </w:rPr>
            </w:pPr>
            <w:r w:rsidRPr="004D618E">
              <w:rPr>
                <w:b/>
                <w:bCs/>
                <w:sz w:val="20"/>
                <w:szCs w:val="20"/>
                <w:lang w:val="lv-LV"/>
              </w:rPr>
              <w:t>196 510,32</w:t>
            </w:r>
          </w:p>
        </w:tc>
        <w:tc>
          <w:tcPr>
            <w:tcW w:w="93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2EC19AB8" w14:textId="77777777" w:rsidR="004D618E" w:rsidRPr="004D618E" w:rsidRDefault="004D618E" w:rsidP="004D618E">
            <w:pPr>
              <w:jc w:val="center"/>
              <w:rPr>
                <w:b/>
                <w:bCs/>
                <w:sz w:val="20"/>
                <w:szCs w:val="20"/>
                <w:lang w:val="lv-LV"/>
              </w:rPr>
            </w:pPr>
            <w:r w:rsidRPr="004D618E">
              <w:rPr>
                <w:b/>
                <w:bCs/>
                <w:sz w:val="20"/>
                <w:szCs w:val="20"/>
                <w:lang w:val="lv-LV"/>
              </w:rPr>
              <w:t>40 375,92</w:t>
            </w:r>
          </w:p>
        </w:tc>
      </w:tr>
      <w:tr w:rsidR="004D618E" w:rsidRPr="004D618E" w14:paraId="4A413681" w14:textId="77777777" w:rsidTr="00CF64D3">
        <w:trPr>
          <w:trHeight w:val="903"/>
          <w:jc w:val="center"/>
        </w:trPr>
        <w:tc>
          <w:tcPr>
            <w:tcW w:w="0" w:type="auto"/>
            <w:vMerge/>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023F0083" w14:textId="77777777" w:rsidR="004D618E" w:rsidRPr="004D618E" w:rsidRDefault="004D618E" w:rsidP="004D618E">
            <w:pPr>
              <w:rPr>
                <w:sz w:val="18"/>
                <w:szCs w:val="18"/>
                <w:lang w:val="lv-LV"/>
              </w:rPr>
            </w:pPr>
          </w:p>
        </w:tc>
        <w:tc>
          <w:tcPr>
            <w:tcW w:w="990"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69DC7F8F" w14:textId="77777777" w:rsidR="00FF342C" w:rsidRDefault="004D618E" w:rsidP="004D618E">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 xml:space="preserve">Studiju ilgums </w:t>
            </w:r>
          </w:p>
          <w:p w14:paraId="4603482E" w14:textId="10C17CC6" w:rsidR="004D618E" w:rsidRPr="004D618E" w:rsidRDefault="004D618E" w:rsidP="004D618E">
            <w:pPr>
              <w:jc w:val="center"/>
              <w:textAlignment w:val="bottom"/>
              <w:rPr>
                <w:rFonts w:eastAsia="Verdana"/>
                <w:color w:val="000000" w:themeColor="dark1"/>
                <w:kern w:val="24"/>
                <w:sz w:val="18"/>
                <w:szCs w:val="18"/>
                <w:lang w:val="lv-LV"/>
              </w:rPr>
            </w:pPr>
            <w:r w:rsidRPr="004D618E">
              <w:rPr>
                <w:rFonts w:eastAsia="Verdana"/>
                <w:color w:val="000000" w:themeColor="dark1"/>
                <w:kern w:val="24"/>
                <w:sz w:val="18"/>
                <w:szCs w:val="18"/>
                <w:lang w:val="lv-LV"/>
              </w:rPr>
              <w:t xml:space="preserve">3 gadi (minimums </w:t>
            </w:r>
          </w:p>
          <w:p w14:paraId="06F4D519" w14:textId="77777777" w:rsidR="004D618E" w:rsidRPr="004D618E" w:rsidRDefault="004D618E" w:rsidP="004D618E">
            <w:pPr>
              <w:jc w:val="center"/>
              <w:rPr>
                <w:sz w:val="18"/>
                <w:szCs w:val="18"/>
                <w:lang w:val="lv-LV"/>
              </w:rPr>
            </w:pPr>
            <w:r w:rsidRPr="004D618E">
              <w:rPr>
                <w:rFonts w:eastAsia="Verdana"/>
                <w:color w:val="000000" w:themeColor="dark1"/>
                <w:kern w:val="24"/>
                <w:sz w:val="18"/>
                <w:szCs w:val="18"/>
                <w:lang w:val="lv-LV"/>
              </w:rPr>
              <w:t>ES direktīvā)</w:t>
            </w:r>
          </w:p>
        </w:tc>
        <w:tc>
          <w:tcPr>
            <w:tcW w:w="99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799FD607" w14:textId="77777777" w:rsidR="004D618E" w:rsidRPr="004D618E" w:rsidRDefault="004D618E" w:rsidP="004D618E">
            <w:pPr>
              <w:jc w:val="center"/>
              <w:rPr>
                <w:b/>
                <w:bCs/>
                <w:sz w:val="20"/>
                <w:szCs w:val="20"/>
                <w:lang w:val="lv-LV"/>
              </w:rPr>
            </w:pPr>
            <w:r w:rsidRPr="004D618E">
              <w:rPr>
                <w:b/>
                <w:bCs/>
                <w:sz w:val="20"/>
                <w:szCs w:val="20"/>
                <w:lang w:val="lv-LV"/>
              </w:rPr>
              <w:t>37 691,28</w:t>
            </w:r>
          </w:p>
        </w:tc>
        <w:tc>
          <w:tcPr>
            <w:tcW w:w="99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03E2C25B" w14:textId="77777777" w:rsidR="004D618E" w:rsidRPr="004D618E" w:rsidRDefault="004D618E" w:rsidP="004D618E">
            <w:pPr>
              <w:jc w:val="center"/>
              <w:rPr>
                <w:b/>
                <w:bCs/>
                <w:sz w:val="20"/>
                <w:szCs w:val="20"/>
                <w:lang w:val="lv-LV"/>
              </w:rPr>
            </w:pPr>
            <w:r w:rsidRPr="004D618E">
              <w:rPr>
                <w:b/>
                <w:bCs/>
                <w:sz w:val="20"/>
                <w:szCs w:val="20"/>
                <w:lang w:val="lv-LV"/>
              </w:rPr>
              <w:t>37 691,28</w:t>
            </w:r>
          </w:p>
        </w:tc>
        <w:tc>
          <w:tcPr>
            <w:tcW w:w="99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2D46E19F" w14:textId="77777777" w:rsidR="004D618E" w:rsidRPr="004D618E" w:rsidRDefault="004D618E" w:rsidP="004D618E">
            <w:pPr>
              <w:jc w:val="center"/>
              <w:rPr>
                <w:b/>
                <w:bCs/>
                <w:sz w:val="20"/>
                <w:szCs w:val="20"/>
                <w:lang w:val="lv-LV"/>
              </w:rPr>
            </w:pPr>
            <w:r w:rsidRPr="004D618E">
              <w:rPr>
                <w:b/>
                <w:bCs/>
                <w:sz w:val="20"/>
                <w:szCs w:val="20"/>
                <w:lang w:val="lv-LV"/>
              </w:rPr>
              <w:t>40 375,92</w:t>
            </w:r>
          </w:p>
        </w:tc>
        <w:tc>
          <w:tcPr>
            <w:tcW w:w="864"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134A4BF5" w14:textId="77777777" w:rsidR="004D618E" w:rsidRPr="004D618E" w:rsidRDefault="004D618E" w:rsidP="004D618E">
            <w:pPr>
              <w:ind w:left="-13" w:firstLine="13"/>
              <w:jc w:val="center"/>
              <w:rPr>
                <w:b/>
                <w:bCs/>
                <w:sz w:val="20"/>
                <w:szCs w:val="20"/>
                <w:lang w:val="lv-LV"/>
              </w:rPr>
            </w:pPr>
            <w:r w:rsidRPr="004D618E">
              <w:rPr>
                <w:b/>
                <w:bCs/>
                <w:sz w:val="20"/>
                <w:szCs w:val="20"/>
                <w:lang w:val="lv-LV"/>
              </w:rPr>
              <w:t>-</w:t>
            </w:r>
          </w:p>
        </w:tc>
        <w:tc>
          <w:tcPr>
            <w:tcW w:w="90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2450BC83" w14:textId="77777777" w:rsidR="004D618E" w:rsidRPr="004D618E" w:rsidRDefault="004D618E" w:rsidP="004D618E">
            <w:pPr>
              <w:jc w:val="center"/>
              <w:rPr>
                <w:b/>
                <w:bCs/>
                <w:sz w:val="20"/>
                <w:szCs w:val="20"/>
                <w:lang w:val="lv-LV"/>
              </w:rPr>
            </w:pPr>
            <w:r w:rsidRPr="004D618E">
              <w:rPr>
                <w:b/>
                <w:bCs/>
                <w:sz w:val="20"/>
                <w:szCs w:val="20"/>
                <w:lang w:val="lv-LV"/>
              </w:rPr>
              <w:t>-</w:t>
            </w:r>
          </w:p>
        </w:tc>
        <w:tc>
          <w:tcPr>
            <w:tcW w:w="105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hideMark/>
          </w:tcPr>
          <w:p w14:paraId="485CC482" w14:textId="77777777" w:rsidR="004D618E" w:rsidRPr="004D618E" w:rsidRDefault="004D618E" w:rsidP="004D618E">
            <w:pPr>
              <w:jc w:val="center"/>
              <w:rPr>
                <w:b/>
                <w:bCs/>
                <w:sz w:val="20"/>
                <w:szCs w:val="20"/>
                <w:lang w:val="lv-LV"/>
              </w:rPr>
            </w:pPr>
            <w:r w:rsidRPr="004D618E">
              <w:rPr>
                <w:b/>
                <w:bCs/>
                <w:sz w:val="20"/>
                <w:szCs w:val="20"/>
                <w:lang w:val="lv-LV"/>
              </w:rPr>
              <w:t>115 758,48</w:t>
            </w:r>
          </w:p>
        </w:tc>
        <w:tc>
          <w:tcPr>
            <w:tcW w:w="9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EB7DAE" w14:textId="77777777" w:rsidR="004D618E" w:rsidRPr="004D618E" w:rsidRDefault="004D618E" w:rsidP="004D618E">
            <w:pPr>
              <w:rPr>
                <w:b/>
                <w:bCs/>
                <w:sz w:val="20"/>
                <w:szCs w:val="20"/>
                <w:lang w:val="lv-LV"/>
              </w:rPr>
            </w:pPr>
          </w:p>
        </w:tc>
      </w:tr>
    </w:tbl>
    <w:p w14:paraId="42D4D8D7" w14:textId="77777777" w:rsidR="004D618E" w:rsidRPr="004D618E" w:rsidRDefault="004D618E" w:rsidP="004D618E">
      <w:pPr>
        <w:spacing w:before="120"/>
        <w:ind w:firstLine="709"/>
        <w:rPr>
          <w:rFonts w:eastAsia="Verdana"/>
          <w:i/>
          <w:iCs/>
          <w:color w:val="000000" w:themeColor="dark1"/>
          <w:kern w:val="24"/>
          <w:lang w:val="lv-LV"/>
        </w:rPr>
      </w:pPr>
      <w:r w:rsidRPr="004D618E">
        <w:rPr>
          <w:lang w:val="lv-LV"/>
        </w:rPr>
        <w:t xml:space="preserve">Secināms, ka, par diviem gadiem samazinot studiju ilgumu rezidentūrā tajās specialitātēs, kur ES direktīvā studiju ilguma minimums ir noteikts mazāks nekā Latvijā, izmaksas piemērojot </w:t>
      </w:r>
      <w:r w:rsidRPr="004D618E">
        <w:rPr>
          <w:rFonts w:eastAsia="Verdana"/>
          <w:color w:val="000000" w:themeColor="dark1"/>
          <w:kern w:val="24"/>
          <w:lang w:val="lv-LV"/>
        </w:rPr>
        <w:t xml:space="preserve">pārējās ārstniecības iestādēs (t.sk. budžeta iestādēs), ietaupījums uz vienu studentu, samazinot studiju ilgumu par diviem gadiem, ir </w:t>
      </w:r>
      <w:r w:rsidRPr="004D618E">
        <w:rPr>
          <w:rFonts w:eastAsia="Times New Roman"/>
          <w:color w:val="000000"/>
          <w:lang w:val="lv-LV"/>
        </w:rPr>
        <w:t xml:space="preserve">65 102,16 </w:t>
      </w:r>
      <w:r w:rsidRPr="004D618E">
        <w:rPr>
          <w:rFonts w:eastAsia="Times New Roman"/>
          <w:i/>
          <w:iCs/>
          <w:color w:val="000000"/>
          <w:lang w:val="lv-LV"/>
        </w:rPr>
        <w:t>euro</w:t>
      </w:r>
      <w:r w:rsidRPr="004D618E">
        <w:rPr>
          <w:rFonts w:eastAsia="Times New Roman"/>
          <w:color w:val="000000"/>
          <w:lang w:val="lv-LV"/>
        </w:rPr>
        <w:t xml:space="preserve"> (viena gada ietaupījums </w:t>
      </w:r>
      <w:r w:rsidRPr="004D618E">
        <w:rPr>
          <w:rFonts w:eastAsia="Verdana"/>
          <w:color w:val="000000" w:themeColor="dark1"/>
          <w:kern w:val="24"/>
          <w:lang w:val="lv-LV"/>
        </w:rPr>
        <w:t xml:space="preserve">32 551,08 </w:t>
      </w:r>
      <w:r w:rsidRPr="004D618E">
        <w:rPr>
          <w:rFonts w:eastAsia="Verdana"/>
          <w:i/>
          <w:iCs/>
          <w:color w:val="000000" w:themeColor="dark1"/>
          <w:kern w:val="24"/>
          <w:lang w:val="lv-LV"/>
        </w:rPr>
        <w:t>euro</w:t>
      </w:r>
      <w:r w:rsidRPr="004D618E">
        <w:rPr>
          <w:rFonts w:eastAsia="Verdana"/>
          <w:color w:val="000000" w:themeColor="dark1"/>
          <w:kern w:val="24"/>
          <w:lang w:val="lv-LV"/>
        </w:rPr>
        <w:t xml:space="preserve">) (Tabula Nr. 3.1.4.). Ņemot vērā to, ka </w:t>
      </w:r>
      <w:r w:rsidRPr="004D618E">
        <w:rPr>
          <w:lang w:val="lv-LV"/>
        </w:rPr>
        <w:t xml:space="preserve">reģionālajās daudzprofilu slimnīcās vai ģimenes (vispārējās prakses) ārsta praksēs ārpus Rīgas ir noteikts lielāks finansējums, šajās iestādēs, rezidentūru samazinot par diviem gadiem, </w:t>
      </w:r>
      <w:r w:rsidRPr="004D618E">
        <w:rPr>
          <w:rFonts w:eastAsia="Verdana"/>
          <w:color w:val="000000" w:themeColor="dark1"/>
          <w:kern w:val="24"/>
          <w:lang w:val="lv-LV"/>
        </w:rPr>
        <w:t xml:space="preserve">ietaupījums uz vienu studentu ir </w:t>
      </w:r>
      <w:r w:rsidRPr="004D618E">
        <w:rPr>
          <w:rFonts w:eastAsia="Times New Roman"/>
          <w:color w:val="000000"/>
          <w:lang w:val="lv-LV"/>
        </w:rPr>
        <w:t>80 751,84 </w:t>
      </w:r>
      <w:r w:rsidRPr="004D618E">
        <w:rPr>
          <w:rFonts w:eastAsia="Times New Roman"/>
          <w:i/>
          <w:iCs/>
          <w:color w:val="000000"/>
          <w:lang w:val="lv-LV"/>
        </w:rPr>
        <w:t>euro</w:t>
      </w:r>
      <w:r w:rsidRPr="004D618E">
        <w:rPr>
          <w:rFonts w:eastAsia="Times New Roman"/>
          <w:color w:val="000000"/>
          <w:lang w:val="lv-LV"/>
        </w:rPr>
        <w:t xml:space="preserve"> (viena gada ietaupījums </w:t>
      </w:r>
      <w:r w:rsidRPr="004D618E">
        <w:rPr>
          <w:lang w:val="lv-LV"/>
        </w:rPr>
        <w:t>40 375,92</w:t>
      </w:r>
      <w:r w:rsidRPr="004D618E">
        <w:rPr>
          <w:b/>
          <w:bCs/>
          <w:lang w:val="lv-LV"/>
        </w:rPr>
        <w:t xml:space="preserve"> </w:t>
      </w:r>
      <w:r w:rsidRPr="004D618E">
        <w:rPr>
          <w:rFonts w:eastAsia="Verdana"/>
          <w:i/>
          <w:iCs/>
          <w:color w:val="000000" w:themeColor="dark1"/>
          <w:kern w:val="24"/>
          <w:lang w:val="lv-LV"/>
        </w:rPr>
        <w:t>euro</w:t>
      </w:r>
      <w:r w:rsidRPr="004D618E">
        <w:rPr>
          <w:rFonts w:eastAsia="Verdana"/>
          <w:color w:val="000000" w:themeColor="dark1"/>
          <w:kern w:val="24"/>
          <w:lang w:val="lv-LV"/>
        </w:rPr>
        <w:t>) (Tabula Nr. 3.1.5.)</w:t>
      </w:r>
      <w:r w:rsidRPr="004D618E">
        <w:rPr>
          <w:rFonts w:eastAsia="Verdana"/>
          <w:i/>
          <w:iCs/>
          <w:color w:val="000000" w:themeColor="dark1"/>
          <w:kern w:val="24"/>
          <w:lang w:val="lv-LV"/>
        </w:rPr>
        <w:t>.</w:t>
      </w:r>
    </w:p>
    <w:p w14:paraId="7A8F921C" w14:textId="77777777" w:rsidR="004D618E" w:rsidRPr="004D618E" w:rsidRDefault="004D618E" w:rsidP="004D618E">
      <w:pPr>
        <w:spacing w:before="120"/>
        <w:ind w:firstLine="709"/>
        <w:rPr>
          <w:rFonts w:eastAsia="Verdana"/>
          <w:color w:val="000000" w:themeColor="dark1"/>
          <w:kern w:val="24"/>
          <w:lang w:val="lv-LV"/>
        </w:rPr>
      </w:pPr>
      <w:r w:rsidRPr="004D618E">
        <w:rPr>
          <w:rFonts w:eastAsia="Verdana"/>
          <w:color w:val="000000" w:themeColor="dark1"/>
          <w:kern w:val="24"/>
          <w:lang w:val="lv-LV"/>
        </w:rPr>
        <w:t xml:space="preserve">FM ir veikusi pieņēmumu, ka pēc 2020. gada noteiktā indikatīvā rezidentūras vietu skaita 2021./2022. gadam atbilstoši ziņojumā minēto specialitāšu studiju ilguma samazinājumam par vienu vai diviem gadiem (Tabula Nr. 3.1.2.) VM potenciālie pieejamie iekšējie resursi rezidentūras nodrošināšanai būtu </w:t>
      </w:r>
      <w:r w:rsidRPr="004D618E">
        <w:rPr>
          <w:rFonts w:eastAsia="Verdana"/>
          <w:b/>
          <w:bCs/>
          <w:color w:val="000000" w:themeColor="dark1"/>
          <w:kern w:val="24"/>
          <w:lang w:val="lv-LV"/>
        </w:rPr>
        <w:t xml:space="preserve">2 604 086,40 </w:t>
      </w:r>
      <w:r w:rsidRPr="004D618E">
        <w:rPr>
          <w:rFonts w:eastAsia="Verdana"/>
          <w:b/>
          <w:bCs/>
          <w:i/>
          <w:iCs/>
          <w:color w:val="000000" w:themeColor="dark1"/>
          <w:kern w:val="24"/>
          <w:lang w:val="lv-LV"/>
        </w:rPr>
        <w:t>euro</w:t>
      </w:r>
      <w:r w:rsidRPr="004D618E">
        <w:rPr>
          <w:rFonts w:eastAsia="Verdana"/>
          <w:color w:val="000000" w:themeColor="dark1"/>
          <w:kern w:val="24"/>
          <w:lang w:val="lv-LV"/>
        </w:rPr>
        <w:t xml:space="preserve"> (Tabula Nr. 3.1.6.).</w:t>
      </w:r>
    </w:p>
    <w:p w14:paraId="70E52C7D" w14:textId="77777777" w:rsidR="004D618E" w:rsidRPr="004D618E" w:rsidRDefault="004D618E" w:rsidP="004D618E">
      <w:pPr>
        <w:spacing w:before="120"/>
        <w:jc w:val="center"/>
        <w:textAlignment w:val="top"/>
        <w:rPr>
          <w:rFonts w:eastAsia="Times New Roman"/>
          <w:b/>
          <w:bCs/>
          <w:sz w:val="22"/>
          <w:szCs w:val="20"/>
          <w:lang w:val="lv-LV"/>
        </w:rPr>
      </w:pPr>
      <w:r w:rsidRPr="004D618E">
        <w:rPr>
          <w:b/>
          <w:bCs/>
          <w:i/>
          <w:iCs/>
          <w:sz w:val="22"/>
          <w:szCs w:val="20"/>
          <w:lang w:val="lv-LV"/>
        </w:rPr>
        <w:t>3.1.6. tabula</w:t>
      </w:r>
      <w:r w:rsidRPr="004D618E">
        <w:rPr>
          <w:b/>
          <w:bCs/>
          <w:sz w:val="22"/>
          <w:szCs w:val="20"/>
          <w:lang w:val="lv-LV"/>
        </w:rPr>
        <w:t xml:space="preserve"> Potenciālais finanšu ietaupījums no studiju ilguma pielīdzināšanas ES direktīvā noteiktajam</w:t>
      </w:r>
      <w:r w:rsidRPr="004D618E">
        <w:rPr>
          <w:rStyle w:val="FootnoteReference"/>
          <w:b/>
          <w:bCs/>
          <w:sz w:val="22"/>
          <w:szCs w:val="20"/>
          <w:lang w:val="lv-LV"/>
        </w:rPr>
        <w:footnoteReference w:id="21"/>
      </w:r>
    </w:p>
    <w:tbl>
      <w:tblPr>
        <w:tblW w:w="9067" w:type="dxa"/>
        <w:tblCellMar>
          <w:left w:w="0" w:type="dxa"/>
          <w:right w:w="0" w:type="dxa"/>
        </w:tblCellMar>
        <w:tblLook w:val="0600" w:firstRow="0" w:lastRow="0" w:firstColumn="0" w:lastColumn="0" w:noHBand="1" w:noVBand="1"/>
      </w:tblPr>
      <w:tblGrid>
        <w:gridCol w:w="3539"/>
        <w:gridCol w:w="1559"/>
        <w:gridCol w:w="1701"/>
        <w:gridCol w:w="2268"/>
      </w:tblGrid>
      <w:tr w:rsidR="004D618E" w:rsidRPr="004D618E" w14:paraId="38691949" w14:textId="77777777" w:rsidTr="004D618E">
        <w:trPr>
          <w:trHeight w:val="598"/>
          <w:tblHeader/>
        </w:trPr>
        <w:tc>
          <w:tcPr>
            <w:tcW w:w="3539"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22E89C0A" w14:textId="77777777" w:rsidR="004D618E" w:rsidRPr="004D618E" w:rsidRDefault="004D618E" w:rsidP="004D618E">
            <w:pPr>
              <w:jc w:val="center"/>
              <w:rPr>
                <w:sz w:val="18"/>
                <w:szCs w:val="18"/>
                <w:lang w:val="lv-LV"/>
              </w:rPr>
            </w:pPr>
            <w:r w:rsidRPr="004D618E">
              <w:rPr>
                <w:sz w:val="18"/>
                <w:szCs w:val="18"/>
                <w:lang w:val="lv-LV"/>
              </w:rPr>
              <w:t>Specialitāte</w:t>
            </w:r>
          </w:p>
        </w:tc>
        <w:tc>
          <w:tcPr>
            <w:tcW w:w="1559"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50B70360" w14:textId="77777777" w:rsidR="004D618E" w:rsidRPr="004D618E" w:rsidRDefault="004D618E" w:rsidP="004D618E">
            <w:pPr>
              <w:jc w:val="center"/>
              <w:rPr>
                <w:sz w:val="18"/>
                <w:szCs w:val="18"/>
                <w:lang w:val="lv-LV"/>
              </w:rPr>
            </w:pPr>
            <w:r w:rsidRPr="004D618E">
              <w:rPr>
                <w:sz w:val="18"/>
                <w:szCs w:val="18"/>
                <w:lang w:val="lv-LV"/>
              </w:rPr>
              <w:t>Studiju ilguma samazinājums, gadi</w:t>
            </w:r>
          </w:p>
        </w:tc>
        <w:tc>
          <w:tcPr>
            <w:tcW w:w="1701"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18094841" w14:textId="77777777" w:rsidR="004D618E" w:rsidRPr="004D618E" w:rsidRDefault="004D618E" w:rsidP="004D618E">
            <w:pPr>
              <w:jc w:val="center"/>
              <w:rPr>
                <w:sz w:val="18"/>
                <w:szCs w:val="18"/>
                <w:lang w:val="lv-LV"/>
              </w:rPr>
            </w:pPr>
            <w:r w:rsidRPr="004D618E">
              <w:rPr>
                <w:sz w:val="18"/>
                <w:szCs w:val="18"/>
                <w:lang w:val="lv-LV"/>
              </w:rPr>
              <w:t>Indikatīvais studiju vietu skaits specialitātē 2021./2022. mācību gadā</w:t>
            </w:r>
          </w:p>
        </w:tc>
        <w:tc>
          <w:tcPr>
            <w:tcW w:w="2268" w:type="dxa"/>
            <w:tcBorders>
              <w:top w:val="single" w:sz="4" w:space="0" w:color="auto"/>
              <w:left w:val="single" w:sz="4" w:space="0" w:color="auto"/>
              <w:bottom w:val="single" w:sz="4" w:space="0" w:color="auto"/>
              <w:right w:val="single" w:sz="4" w:space="0" w:color="auto"/>
            </w:tcBorders>
            <w:shd w:val="clear" w:color="auto" w:fill="8EAADB" w:themeFill="accent5" w:themeFillTint="99"/>
            <w:tcMar>
              <w:top w:w="15" w:type="dxa"/>
              <w:left w:w="15" w:type="dxa"/>
              <w:bottom w:w="0" w:type="dxa"/>
              <w:right w:w="15" w:type="dxa"/>
            </w:tcMar>
            <w:vAlign w:val="center"/>
            <w:hideMark/>
          </w:tcPr>
          <w:p w14:paraId="372598F1" w14:textId="77777777" w:rsidR="004D618E" w:rsidRPr="004D618E" w:rsidRDefault="004D618E" w:rsidP="004D618E">
            <w:pPr>
              <w:jc w:val="center"/>
              <w:rPr>
                <w:sz w:val="18"/>
                <w:szCs w:val="18"/>
                <w:lang w:val="lv-LV"/>
              </w:rPr>
            </w:pPr>
            <w:r w:rsidRPr="004D618E">
              <w:rPr>
                <w:sz w:val="18"/>
                <w:szCs w:val="18"/>
                <w:lang w:val="lv-LV"/>
              </w:rPr>
              <w:t xml:space="preserve">Potenciālais ietaupījums no studiju ilguma samazināšanas, </w:t>
            </w:r>
            <w:r w:rsidRPr="004D618E">
              <w:rPr>
                <w:i/>
                <w:iCs/>
                <w:sz w:val="18"/>
                <w:szCs w:val="18"/>
                <w:lang w:val="lv-LV"/>
              </w:rPr>
              <w:t>euro</w:t>
            </w:r>
          </w:p>
        </w:tc>
      </w:tr>
      <w:tr w:rsidR="004D618E" w:rsidRPr="004D618E" w14:paraId="01AB2B30"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2FBE727" w14:textId="77777777" w:rsidR="004D618E" w:rsidRPr="004D618E" w:rsidRDefault="004D618E" w:rsidP="00C90834">
            <w:pPr>
              <w:spacing w:after="0"/>
              <w:rPr>
                <w:sz w:val="20"/>
                <w:szCs w:val="20"/>
                <w:lang w:val="lv-LV"/>
              </w:rPr>
            </w:pPr>
            <w:r w:rsidRPr="004D618E">
              <w:rPr>
                <w:rFonts w:eastAsia="Verdana" w:cs="Times New Roman"/>
                <w:color w:val="000000" w:themeColor="dark1"/>
                <w:kern w:val="24"/>
                <w:sz w:val="20"/>
                <w:szCs w:val="20"/>
                <w:lang w:val="lv-LV"/>
              </w:rPr>
              <w:t xml:space="preserve">Anesteziologs, reanimatologs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4DF90A6" w14:textId="77777777" w:rsidR="004D618E" w:rsidRPr="004D618E" w:rsidRDefault="004D618E" w:rsidP="00C90834">
            <w:pPr>
              <w:spacing w:after="0"/>
              <w:jc w:val="center"/>
              <w:rPr>
                <w:sz w:val="20"/>
                <w:szCs w:val="20"/>
                <w:lang w:val="lv-LV"/>
              </w:rPr>
            </w:pPr>
            <w:r w:rsidRPr="004D618E">
              <w:rPr>
                <w:sz w:val="20"/>
                <w:szCs w:val="20"/>
                <w:lang w:val="lv-LV"/>
              </w:rPr>
              <w:t>2</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FBCDCBE" w14:textId="77777777" w:rsidR="004D618E" w:rsidRPr="004D618E" w:rsidRDefault="004D618E" w:rsidP="00C90834">
            <w:pPr>
              <w:spacing w:after="0"/>
              <w:jc w:val="center"/>
              <w:rPr>
                <w:sz w:val="20"/>
                <w:szCs w:val="20"/>
                <w:lang w:val="lv-LV"/>
              </w:rPr>
            </w:pPr>
            <w:r w:rsidRPr="004D618E">
              <w:rPr>
                <w:sz w:val="20"/>
                <w:szCs w:val="20"/>
                <w:lang w:val="lv-LV"/>
              </w:rPr>
              <w:t>15</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B6D0D7C" w14:textId="77777777" w:rsidR="004D618E" w:rsidRPr="004D618E" w:rsidRDefault="004D618E" w:rsidP="00C90834">
            <w:pPr>
              <w:spacing w:after="0"/>
              <w:jc w:val="center"/>
              <w:rPr>
                <w:sz w:val="20"/>
                <w:szCs w:val="20"/>
                <w:lang w:val="lv-LV"/>
              </w:rPr>
            </w:pPr>
            <w:r w:rsidRPr="004D618E">
              <w:rPr>
                <w:sz w:val="20"/>
                <w:szCs w:val="20"/>
                <w:lang w:val="lv-LV"/>
              </w:rPr>
              <w:t>976 532,40</w:t>
            </w:r>
          </w:p>
        </w:tc>
      </w:tr>
      <w:tr w:rsidR="004D618E" w:rsidRPr="004D618E" w14:paraId="0969127A"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EA47B73" w14:textId="77777777" w:rsidR="004D618E" w:rsidRPr="004D618E" w:rsidRDefault="004D618E" w:rsidP="00C90834">
            <w:pPr>
              <w:spacing w:after="0"/>
              <w:rPr>
                <w:sz w:val="20"/>
                <w:szCs w:val="20"/>
                <w:lang w:val="lv-LV"/>
              </w:rPr>
            </w:pPr>
            <w:r w:rsidRPr="004D618E">
              <w:rPr>
                <w:rFonts w:eastAsia="Verdana" w:cs="Times New Roman"/>
                <w:color w:val="000000" w:themeColor="dark1"/>
                <w:kern w:val="24"/>
                <w:sz w:val="20"/>
                <w:szCs w:val="20"/>
                <w:lang w:val="lv-LV"/>
              </w:rPr>
              <w:t xml:space="preserve">Arodveselības un arodslimību ārsts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2720A84C"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2AE53AF6"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713B08E" w14:textId="77777777" w:rsidR="004D618E" w:rsidRPr="004D618E" w:rsidRDefault="004D618E" w:rsidP="00C90834">
            <w:pPr>
              <w:spacing w:after="0"/>
              <w:ind w:left="-13" w:firstLine="13"/>
              <w:jc w:val="center"/>
              <w:rPr>
                <w:sz w:val="20"/>
                <w:szCs w:val="20"/>
                <w:lang w:val="lv-LV"/>
              </w:rPr>
            </w:pPr>
            <w:r w:rsidRPr="004D618E">
              <w:rPr>
                <w:sz w:val="20"/>
                <w:szCs w:val="20"/>
                <w:lang w:val="lv-LV"/>
              </w:rPr>
              <w:t>32 551,08</w:t>
            </w:r>
          </w:p>
        </w:tc>
      </w:tr>
      <w:tr w:rsidR="004D618E" w:rsidRPr="004D618E" w14:paraId="37208B59"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EF69276"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Endokrinologs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745D7EEC" w14:textId="77777777" w:rsidR="004D618E" w:rsidRPr="004D618E" w:rsidRDefault="004D618E" w:rsidP="00C90834">
            <w:pPr>
              <w:spacing w:after="0"/>
              <w:jc w:val="center"/>
              <w:rPr>
                <w:sz w:val="20"/>
                <w:szCs w:val="20"/>
                <w:lang w:val="lv-LV"/>
              </w:rPr>
            </w:pPr>
            <w:r w:rsidRPr="004D618E">
              <w:rPr>
                <w:sz w:val="20"/>
                <w:szCs w:val="20"/>
                <w:lang w:val="lv-LV"/>
              </w:rPr>
              <w:t>2</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41DB1D91" w14:textId="77777777" w:rsidR="004D618E" w:rsidRPr="004D618E" w:rsidRDefault="004D618E" w:rsidP="00C90834">
            <w:pPr>
              <w:spacing w:after="0"/>
              <w:jc w:val="center"/>
              <w:rPr>
                <w:sz w:val="20"/>
                <w:szCs w:val="20"/>
                <w:lang w:val="lv-LV"/>
              </w:rPr>
            </w:pPr>
            <w:r w:rsidRPr="004D618E">
              <w:rPr>
                <w:sz w:val="20"/>
                <w:szCs w:val="20"/>
                <w:lang w:val="lv-LV"/>
              </w:rPr>
              <w:t>4</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E0A2B01" w14:textId="77777777" w:rsidR="004D618E" w:rsidRPr="004D618E" w:rsidRDefault="004D618E" w:rsidP="00C90834">
            <w:pPr>
              <w:spacing w:after="0"/>
              <w:ind w:left="-13" w:firstLine="13"/>
              <w:jc w:val="center"/>
              <w:rPr>
                <w:sz w:val="20"/>
                <w:szCs w:val="20"/>
                <w:lang w:val="lv-LV"/>
              </w:rPr>
            </w:pPr>
            <w:r w:rsidRPr="004D618E">
              <w:rPr>
                <w:sz w:val="20"/>
                <w:szCs w:val="20"/>
                <w:lang w:val="lv-LV"/>
              </w:rPr>
              <w:t>260 408,64</w:t>
            </w:r>
          </w:p>
        </w:tc>
      </w:tr>
      <w:tr w:rsidR="004D618E" w:rsidRPr="004D618E" w14:paraId="52F645F0"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768EA1D5"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Fizikālās un rehabilitācijas medicīnas ārsts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8E353AD"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240DF1E2" w14:textId="77777777" w:rsidR="004D618E" w:rsidRPr="004D618E" w:rsidRDefault="004D618E" w:rsidP="00C90834">
            <w:pPr>
              <w:spacing w:after="0"/>
              <w:jc w:val="center"/>
              <w:rPr>
                <w:sz w:val="20"/>
                <w:szCs w:val="20"/>
                <w:lang w:val="lv-LV"/>
              </w:rPr>
            </w:pPr>
            <w:r w:rsidRPr="004D618E">
              <w:rPr>
                <w:sz w:val="20"/>
                <w:szCs w:val="20"/>
                <w:lang w:val="lv-LV"/>
              </w:rPr>
              <w:t>2</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4605435E" w14:textId="77777777" w:rsidR="004D618E" w:rsidRPr="004D618E" w:rsidRDefault="004D618E" w:rsidP="00C90834">
            <w:pPr>
              <w:spacing w:after="0"/>
              <w:ind w:left="-13" w:firstLine="13"/>
              <w:jc w:val="center"/>
              <w:rPr>
                <w:sz w:val="20"/>
                <w:szCs w:val="20"/>
                <w:lang w:val="lv-LV"/>
              </w:rPr>
            </w:pPr>
            <w:r w:rsidRPr="004D618E">
              <w:rPr>
                <w:sz w:val="20"/>
                <w:szCs w:val="20"/>
                <w:lang w:val="lv-LV"/>
              </w:rPr>
              <w:t>65 102,16</w:t>
            </w:r>
          </w:p>
        </w:tc>
      </w:tr>
      <w:tr w:rsidR="004D618E" w:rsidRPr="004D618E" w14:paraId="0EDBD08A" w14:textId="77777777" w:rsidTr="004D618E">
        <w:trPr>
          <w:trHeight w:val="65"/>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4CE5EB64"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Gastroenterologs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2B84480D"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CCCE3B5" w14:textId="77777777" w:rsidR="004D618E" w:rsidRPr="004D618E" w:rsidRDefault="004D618E" w:rsidP="00C90834">
            <w:pPr>
              <w:spacing w:after="0"/>
              <w:jc w:val="center"/>
              <w:rPr>
                <w:sz w:val="20"/>
                <w:szCs w:val="20"/>
                <w:lang w:val="lv-LV"/>
              </w:rPr>
            </w:pPr>
            <w:r w:rsidRPr="004D618E">
              <w:rPr>
                <w:sz w:val="20"/>
                <w:szCs w:val="20"/>
                <w:lang w:val="lv-LV"/>
              </w:rPr>
              <w:t>3</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2B484716" w14:textId="77777777" w:rsidR="004D618E" w:rsidRPr="004D618E" w:rsidRDefault="004D618E" w:rsidP="00C90834">
            <w:pPr>
              <w:spacing w:after="0"/>
              <w:ind w:left="-13" w:firstLine="13"/>
              <w:jc w:val="center"/>
              <w:rPr>
                <w:sz w:val="20"/>
                <w:szCs w:val="20"/>
                <w:lang w:val="lv-LV"/>
              </w:rPr>
            </w:pPr>
            <w:r w:rsidRPr="004D618E">
              <w:rPr>
                <w:sz w:val="20"/>
                <w:szCs w:val="20"/>
                <w:lang w:val="lv-LV"/>
              </w:rPr>
              <w:t>97 653,24</w:t>
            </w:r>
          </w:p>
        </w:tc>
      </w:tr>
      <w:tr w:rsidR="004D618E" w:rsidRPr="004D618E" w14:paraId="0571B186"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21DC04CB"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Geriatrs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0B09E3D"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62B3505E" w14:textId="77777777" w:rsidR="004D618E" w:rsidRPr="004D618E" w:rsidRDefault="004D618E" w:rsidP="00C90834">
            <w:pPr>
              <w:spacing w:after="0"/>
              <w:jc w:val="center"/>
              <w:rPr>
                <w:sz w:val="20"/>
                <w:szCs w:val="20"/>
                <w:lang w:val="lv-LV"/>
              </w:rPr>
            </w:pPr>
            <w:r w:rsidRPr="004D618E">
              <w:rPr>
                <w:sz w:val="20"/>
                <w:szCs w:val="20"/>
                <w:lang w:val="lv-LV"/>
              </w:rPr>
              <w:t>2</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41F078F" w14:textId="77777777" w:rsidR="004D618E" w:rsidRPr="004D618E" w:rsidRDefault="004D618E" w:rsidP="00C90834">
            <w:pPr>
              <w:spacing w:after="0"/>
              <w:ind w:left="-13" w:firstLine="13"/>
              <w:jc w:val="center"/>
              <w:rPr>
                <w:sz w:val="20"/>
                <w:szCs w:val="20"/>
                <w:lang w:val="lv-LV"/>
              </w:rPr>
            </w:pPr>
            <w:r w:rsidRPr="004D618E">
              <w:rPr>
                <w:sz w:val="20"/>
                <w:szCs w:val="20"/>
                <w:lang w:val="lv-LV"/>
              </w:rPr>
              <w:t>65 102,16</w:t>
            </w:r>
          </w:p>
        </w:tc>
      </w:tr>
      <w:tr w:rsidR="004D618E" w:rsidRPr="004D618E" w14:paraId="6ABED171"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75B41A79"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Ginekologs, dzemdību speciālists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9688806"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A370F97" w14:textId="77777777" w:rsidR="004D618E" w:rsidRPr="004D618E" w:rsidRDefault="004D618E" w:rsidP="00C90834">
            <w:pPr>
              <w:spacing w:after="0"/>
              <w:jc w:val="center"/>
              <w:rPr>
                <w:sz w:val="20"/>
                <w:szCs w:val="20"/>
                <w:lang w:val="lv-LV"/>
              </w:rPr>
            </w:pPr>
            <w:r w:rsidRPr="004D618E">
              <w:rPr>
                <w:sz w:val="20"/>
                <w:szCs w:val="20"/>
                <w:lang w:val="lv-LV"/>
              </w:rPr>
              <w:t>6</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D5E03A7" w14:textId="77777777" w:rsidR="004D618E" w:rsidRPr="004D618E" w:rsidRDefault="004D618E" w:rsidP="00C90834">
            <w:pPr>
              <w:spacing w:after="0"/>
              <w:ind w:left="-13" w:firstLine="13"/>
              <w:jc w:val="center"/>
              <w:rPr>
                <w:sz w:val="20"/>
                <w:szCs w:val="20"/>
                <w:lang w:val="lv-LV"/>
              </w:rPr>
            </w:pPr>
            <w:r w:rsidRPr="004D618E">
              <w:rPr>
                <w:sz w:val="20"/>
                <w:szCs w:val="20"/>
                <w:lang w:val="lv-LV"/>
              </w:rPr>
              <w:t>390 612,96</w:t>
            </w:r>
          </w:p>
        </w:tc>
      </w:tr>
      <w:tr w:rsidR="004D618E" w:rsidRPr="004D618E" w14:paraId="7F59E2E2"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575C999"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Hematologs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2C3BB7E" w14:textId="77777777" w:rsidR="004D618E" w:rsidRPr="004D618E" w:rsidRDefault="004D618E" w:rsidP="00C90834">
            <w:pPr>
              <w:spacing w:after="0"/>
              <w:jc w:val="center"/>
              <w:rPr>
                <w:sz w:val="20"/>
                <w:szCs w:val="20"/>
                <w:lang w:val="lv-LV"/>
              </w:rPr>
            </w:pPr>
            <w:r w:rsidRPr="004D618E">
              <w:rPr>
                <w:sz w:val="20"/>
                <w:szCs w:val="20"/>
                <w:lang w:val="lv-LV"/>
              </w:rPr>
              <w:t>2</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29FC7A23" w14:textId="77777777" w:rsidR="004D618E" w:rsidRPr="004D618E" w:rsidRDefault="004D618E" w:rsidP="00C90834">
            <w:pPr>
              <w:spacing w:after="0"/>
              <w:jc w:val="center"/>
              <w:rPr>
                <w:sz w:val="20"/>
                <w:szCs w:val="20"/>
                <w:lang w:val="lv-LV"/>
              </w:rPr>
            </w:pPr>
            <w:r w:rsidRPr="004D618E">
              <w:rPr>
                <w:sz w:val="20"/>
                <w:szCs w:val="20"/>
                <w:lang w:val="lv-LV"/>
              </w:rPr>
              <w:t>2</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5E64E62" w14:textId="77777777" w:rsidR="004D618E" w:rsidRPr="004D618E" w:rsidRDefault="004D618E" w:rsidP="00C90834">
            <w:pPr>
              <w:spacing w:after="0"/>
              <w:ind w:left="-13" w:firstLine="13"/>
              <w:jc w:val="center"/>
              <w:rPr>
                <w:sz w:val="20"/>
                <w:szCs w:val="20"/>
                <w:lang w:val="lv-LV"/>
              </w:rPr>
            </w:pPr>
            <w:r w:rsidRPr="004D618E">
              <w:rPr>
                <w:sz w:val="20"/>
                <w:szCs w:val="20"/>
                <w:lang w:val="lv-LV"/>
              </w:rPr>
              <w:t>65 102,16</w:t>
            </w:r>
          </w:p>
        </w:tc>
      </w:tr>
      <w:tr w:rsidR="004D618E" w:rsidRPr="004D618E" w14:paraId="55D4D250"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661FDC6"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Infektologs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68517091"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7584A23" w14:textId="77777777" w:rsidR="004D618E" w:rsidRPr="004D618E" w:rsidRDefault="004D618E" w:rsidP="00C90834">
            <w:pPr>
              <w:spacing w:after="0"/>
              <w:jc w:val="center"/>
              <w:rPr>
                <w:sz w:val="20"/>
                <w:szCs w:val="20"/>
                <w:lang w:val="lv-LV"/>
              </w:rPr>
            </w:pPr>
            <w:r w:rsidRPr="004D618E">
              <w:rPr>
                <w:sz w:val="20"/>
                <w:szCs w:val="20"/>
                <w:lang w:val="lv-LV"/>
              </w:rPr>
              <w:t>2</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120E3ED" w14:textId="77777777" w:rsidR="004D618E" w:rsidRPr="004D618E" w:rsidRDefault="004D618E" w:rsidP="00C90834">
            <w:pPr>
              <w:spacing w:after="0"/>
              <w:ind w:left="-13" w:firstLine="13"/>
              <w:jc w:val="center"/>
              <w:rPr>
                <w:sz w:val="20"/>
                <w:szCs w:val="20"/>
                <w:lang w:val="lv-LV"/>
              </w:rPr>
            </w:pPr>
            <w:r w:rsidRPr="004D618E">
              <w:rPr>
                <w:sz w:val="20"/>
                <w:szCs w:val="20"/>
                <w:lang w:val="lv-LV"/>
              </w:rPr>
              <w:t>65 102,16</w:t>
            </w:r>
          </w:p>
        </w:tc>
      </w:tr>
      <w:tr w:rsidR="004D618E" w:rsidRPr="004D618E" w14:paraId="64EA3177"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60953162"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Kardiologs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6947323"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811ED32"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2C544B9" w14:textId="77777777" w:rsidR="004D618E" w:rsidRPr="004D618E" w:rsidRDefault="004D618E" w:rsidP="00C90834">
            <w:pPr>
              <w:spacing w:after="0"/>
              <w:ind w:left="-13" w:firstLine="13"/>
              <w:jc w:val="center"/>
              <w:rPr>
                <w:sz w:val="20"/>
                <w:szCs w:val="20"/>
                <w:lang w:val="lv-LV"/>
              </w:rPr>
            </w:pPr>
            <w:r w:rsidRPr="004D618E">
              <w:rPr>
                <w:sz w:val="20"/>
                <w:szCs w:val="20"/>
                <w:lang w:val="lv-LV"/>
              </w:rPr>
              <w:t>32 551,08</w:t>
            </w:r>
          </w:p>
        </w:tc>
      </w:tr>
      <w:tr w:rsidR="004D618E" w:rsidRPr="004D618E" w14:paraId="2E0D744F"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7788E48"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Medicīnas ģenētiķis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6F727CA"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42BE3CBC" w14:textId="77777777" w:rsidR="004D618E" w:rsidRPr="004D618E" w:rsidRDefault="004D618E" w:rsidP="00C90834">
            <w:pPr>
              <w:spacing w:after="0"/>
              <w:jc w:val="center"/>
              <w:rPr>
                <w:sz w:val="20"/>
                <w:szCs w:val="20"/>
                <w:lang w:val="lv-LV"/>
              </w:rPr>
            </w:pPr>
            <w:r w:rsidRPr="004D618E">
              <w:rPr>
                <w:sz w:val="20"/>
                <w:szCs w:val="20"/>
                <w:lang w:val="lv-LV"/>
              </w:rPr>
              <w:t>3</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72CD5A9" w14:textId="77777777" w:rsidR="004D618E" w:rsidRPr="004D618E" w:rsidRDefault="004D618E" w:rsidP="00C90834">
            <w:pPr>
              <w:spacing w:after="0"/>
              <w:ind w:left="-13" w:firstLine="13"/>
              <w:jc w:val="center"/>
              <w:rPr>
                <w:sz w:val="20"/>
                <w:szCs w:val="20"/>
                <w:lang w:val="lv-LV"/>
              </w:rPr>
            </w:pPr>
            <w:r w:rsidRPr="004D618E">
              <w:rPr>
                <w:sz w:val="20"/>
                <w:szCs w:val="20"/>
                <w:lang w:val="lv-LV"/>
              </w:rPr>
              <w:t>97 653,24</w:t>
            </w:r>
          </w:p>
        </w:tc>
      </w:tr>
      <w:tr w:rsidR="004D618E" w:rsidRPr="004D618E" w14:paraId="02EE44ED"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533D237"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Nefrologs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401467D0"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69DF7C9D" w14:textId="77777777" w:rsidR="004D618E" w:rsidRPr="004D618E" w:rsidRDefault="004D618E" w:rsidP="00C90834">
            <w:pPr>
              <w:spacing w:after="0"/>
              <w:jc w:val="center"/>
              <w:rPr>
                <w:sz w:val="20"/>
                <w:szCs w:val="20"/>
                <w:lang w:val="lv-LV"/>
              </w:rPr>
            </w:pPr>
            <w:r w:rsidRPr="004D618E">
              <w:rPr>
                <w:sz w:val="20"/>
                <w:szCs w:val="20"/>
                <w:lang w:val="lv-LV"/>
              </w:rPr>
              <w:t>3</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DBC7C03" w14:textId="77777777" w:rsidR="004D618E" w:rsidRPr="004D618E" w:rsidRDefault="004D618E" w:rsidP="00C90834">
            <w:pPr>
              <w:spacing w:after="0"/>
              <w:ind w:left="-13" w:firstLine="13"/>
              <w:jc w:val="center"/>
              <w:rPr>
                <w:sz w:val="20"/>
                <w:szCs w:val="20"/>
                <w:lang w:val="lv-LV"/>
              </w:rPr>
            </w:pPr>
            <w:r w:rsidRPr="004D618E">
              <w:rPr>
                <w:sz w:val="20"/>
                <w:szCs w:val="20"/>
                <w:lang w:val="lv-LV"/>
              </w:rPr>
              <w:t>97 653,24</w:t>
            </w:r>
          </w:p>
        </w:tc>
      </w:tr>
      <w:tr w:rsidR="004D618E" w:rsidRPr="004D618E" w14:paraId="2B17D481"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09D6F6AB"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Pneimonologs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6C1A4F0"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1DE1591B" w14:textId="77777777" w:rsidR="004D618E" w:rsidRPr="004D618E" w:rsidRDefault="004D618E" w:rsidP="00C90834">
            <w:pPr>
              <w:spacing w:after="0"/>
              <w:jc w:val="center"/>
              <w:rPr>
                <w:sz w:val="20"/>
                <w:szCs w:val="20"/>
                <w:lang w:val="lv-LV"/>
              </w:rPr>
            </w:pPr>
            <w:r w:rsidRPr="004D618E">
              <w:rPr>
                <w:sz w:val="20"/>
                <w:szCs w:val="20"/>
                <w:lang w:val="lv-LV"/>
              </w:rPr>
              <w:t>3</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692427CD" w14:textId="77777777" w:rsidR="004D618E" w:rsidRPr="004D618E" w:rsidRDefault="004D618E" w:rsidP="00C90834">
            <w:pPr>
              <w:spacing w:after="0"/>
              <w:ind w:left="-13" w:firstLine="13"/>
              <w:jc w:val="center"/>
              <w:rPr>
                <w:sz w:val="20"/>
                <w:szCs w:val="20"/>
                <w:lang w:val="lv-LV"/>
              </w:rPr>
            </w:pPr>
            <w:r w:rsidRPr="004D618E">
              <w:rPr>
                <w:sz w:val="20"/>
                <w:szCs w:val="20"/>
                <w:lang w:val="lv-LV"/>
              </w:rPr>
              <w:t>97 653,24</w:t>
            </w:r>
          </w:p>
        </w:tc>
      </w:tr>
      <w:tr w:rsidR="004D618E" w:rsidRPr="004D618E" w14:paraId="38AF475F"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4C401FBF"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Radiologs</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30EB5C8"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766099DC" w14:textId="77777777" w:rsidR="004D618E" w:rsidRPr="004D618E" w:rsidRDefault="004D618E" w:rsidP="00C90834">
            <w:pPr>
              <w:spacing w:after="0"/>
              <w:jc w:val="center"/>
              <w:rPr>
                <w:sz w:val="20"/>
                <w:szCs w:val="20"/>
                <w:lang w:val="lv-LV"/>
              </w:rPr>
            </w:pPr>
            <w:r w:rsidRPr="004D618E">
              <w:rPr>
                <w:sz w:val="20"/>
                <w:szCs w:val="20"/>
                <w:lang w:val="lv-LV"/>
              </w:rPr>
              <w:t>5</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72FB95D0" w14:textId="77777777" w:rsidR="004D618E" w:rsidRPr="004D618E" w:rsidRDefault="004D618E" w:rsidP="00C90834">
            <w:pPr>
              <w:spacing w:after="0"/>
              <w:ind w:left="-13" w:firstLine="13"/>
              <w:jc w:val="center"/>
              <w:rPr>
                <w:sz w:val="20"/>
                <w:szCs w:val="20"/>
                <w:lang w:val="lv-LV"/>
              </w:rPr>
            </w:pPr>
            <w:r w:rsidRPr="004D618E">
              <w:rPr>
                <w:sz w:val="20"/>
                <w:szCs w:val="20"/>
                <w:lang w:val="lv-LV"/>
              </w:rPr>
              <w:t>162 755,40</w:t>
            </w:r>
          </w:p>
        </w:tc>
      </w:tr>
      <w:tr w:rsidR="004D618E" w:rsidRPr="004D618E" w14:paraId="2F1BFC90" w14:textId="77777777" w:rsidTr="004D618E">
        <w:trPr>
          <w:trHeight w:val="41"/>
        </w:trPr>
        <w:tc>
          <w:tcPr>
            <w:tcW w:w="353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751D643" w14:textId="77777777" w:rsidR="004D618E" w:rsidRPr="004D618E" w:rsidRDefault="004D618E" w:rsidP="00C90834">
            <w:pPr>
              <w:spacing w:after="0"/>
              <w:rPr>
                <w:rFonts w:eastAsia="Verdana" w:cs="Times New Roman"/>
                <w:color w:val="000000" w:themeColor="dark1"/>
                <w:kern w:val="24"/>
                <w:sz w:val="20"/>
                <w:szCs w:val="20"/>
                <w:lang w:val="lv-LV"/>
              </w:rPr>
            </w:pPr>
            <w:r w:rsidRPr="004D618E">
              <w:rPr>
                <w:rFonts w:eastAsia="Verdana" w:cs="Times New Roman"/>
                <w:color w:val="000000" w:themeColor="dark1"/>
                <w:kern w:val="24"/>
                <w:sz w:val="20"/>
                <w:szCs w:val="20"/>
                <w:lang w:val="lv-LV"/>
              </w:rPr>
              <w:t xml:space="preserve">Reimatologs </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9959E82" w14:textId="77777777" w:rsidR="004D618E" w:rsidRPr="004D618E" w:rsidRDefault="004D618E" w:rsidP="00C90834">
            <w:pPr>
              <w:spacing w:after="0"/>
              <w:jc w:val="center"/>
              <w:rPr>
                <w:sz w:val="20"/>
                <w:szCs w:val="20"/>
                <w:lang w:val="lv-LV"/>
              </w:rPr>
            </w:pPr>
            <w:r w:rsidRPr="004D618E">
              <w:rPr>
                <w:sz w:val="20"/>
                <w:szCs w:val="20"/>
                <w:lang w:val="lv-LV"/>
              </w:rPr>
              <w:t>1</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BEEB6B8" w14:textId="77777777" w:rsidR="004D618E" w:rsidRPr="004D618E" w:rsidRDefault="004D618E" w:rsidP="00C90834">
            <w:pPr>
              <w:spacing w:after="0"/>
              <w:jc w:val="center"/>
              <w:rPr>
                <w:sz w:val="20"/>
                <w:szCs w:val="20"/>
                <w:lang w:val="lv-LV"/>
              </w:rPr>
            </w:pPr>
            <w:r w:rsidRPr="004D618E">
              <w:rPr>
                <w:sz w:val="20"/>
                <w:szCs w:val="20"/>
                <w:lang w:val="lv-LV"/>
              </w:rPr>
              <w:t>3</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6FE49459" w14:textId="77777777" w:rsidR="004D618E" w:rsidRPr="004D618E" w:rsidRDefault="004D618E" w:rsidP="00C90834">
            <w:pPr>
              <w:spacing w:after="0"/>
              <w:ind w:left="-13" w:firstLine="13"/>
              <w:jc w:val="center"/>
              <w:rPr>
                <w:sz w:val="20"/>
                <w:szCs w:val="20"/>
                <w:lang w:val="lv-LV"/>
              </w:rPr>
            </w:pPr>
            <w:r w:rsidRPr="004D618E">
              <w:rPr>
                <w:sz w:val="20"/>
                <w:szCs w:val="20"/>
                <w:lang w:val="lv-LV"/>
              </w:rPr>
              <w:t>97 653,24</w:t>
            </w:r>
          </w:p>
        </w:tc>
      </w:tr>
      <w:tr w:rsidR="004D618E" w:rsidRPr="004D618E" w14:paraId="4868E10F" w14:textId="77777777" w:rsidTr="004D618E">
        <w:trPr>
          <w:trHeight w:val="41"/>
        </w:trPr>
        <w:tc>
          <w:tcPr>
            <w:tcW w:w="6799"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5FB4FF3F" w14:textId="77777777" w:rsidR="004D618E" w:rsidRPr="004D618E" w:rsidRDefault="004D618E" w:rsidP="004D618E">
            <w:pPr>
              <w:jc w:val="right"/>
              <w:rPr>
                <w:b/>
                <w:bCs/>
                <w:sz w:val="20"/>
                <w:szCs w:val="20"/>
                <w:lang w:val="lv-LV"/>
              </w:rPr>
            </w:pPr>
            <w:r w:rsidRPr="004D618E">
              <w:rPr>
                <w:b/>
                <w:bCs/>
                <w:sz w:val="20"/>
                <w:szCs w:val="20"/>
                <w:lang w:val="lv-LV"/>
              </w:rPr>
              <w:t>Kopējais potenciālais ietaupījums:</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15" w:type="dxa"/>
              <w:left w:w="15" w:type="dxa"/>
              <w:bottom w:w="0" w:type="dxa"/>
              <w:right w:w="15" w:type="dxa"/>
            </w:tcMar>
            <w:vAlign w:val="center"/>
          </w:tcPr>
          <w:p w14:paraId="3DB0F30C" w14:textId="77777777" w:rsidR="004D618E" w:rsidRPr="004D618E" w:rsidRDefault="004D618E" w:rsidP="004D618E">
            <w:pPr>
              <w:ind w:left="-13" w:firstLine="13"/>
              <w:jc w:val="center"/>
              <w:rPr>
                <w:b/>
                <w:bCs/>
                <w:sz w:val="20"/>
                <w:szCs w:val="20"/>
                <w:lang w:val="lv-LV"/>
              </w:rPr>
            </w:pPr>
            <w:r w:rsidRPr="004D618E">
              <w:rPr>
                <w:b/>
                <w:bCs/>
                <w:sz w:val="20"/>
                <w:szCs w:val="20"/>
                <w:lang w:val="lv-LV"/>
              </w:rPr>
              <w:t>2 604 086,40</w:t>
            </w:r>
          </w:p>
        </w:tc>
      </w:tr>
    </w:tbl>
    <w:p w14:paraId="7A8EE426" w14:textId="77777777" w:rsidR="004D618E" w:rsidRPr="004D618E" w:rsidRDefault="004D618E" w:rsidP="004D618E">
      <w:pPr>
        <w:spacing w:before="120"/>
        <w:ind w:firstLine="709"/>
        <w:rPr>
          <w:rFonts w:eastAsia="Times New Roman"/>
          <w:lang w:val="lv-LV"/>
        </w:rPr>
      </w:pPr>
      <w:r w:rsidRPr="004D618E">
        <w:rPr>
          <w:lang w:val="lv-LV"/>
        </w:rPr>
        <w:t>Līdz ar to, ņemot vērā piedāvāto risinājumu, FM aicina VM izvērtēt potenciālās izmaiņas valsts budžeta apmaksātās rezidentūras studiju ilguma un</w:t>
      </w:r>
      <w:r w:rsidRPr="004D618E">
        <w:rPr>
          <w:rFonts w:eastAsia="Times New Roman"/>
          <w:lang w:val="lv-LV"/>
        </w:rPr>
        <w:t xml:space="preserve"> rezidentūras finansēšanas kārtībā.</w:t>
      </w:r>
    </w:p>
    <w:p w14:paraId="56D36EA1" w14:textId="77777777" w:rsidR="004D618E" w:rsidRPr="004D618E" w:rsidRDefault="004D618E" w:rsidP="004D618E">
      <w:pPr>
        <w:spacing w:before="120"/>
        <w:ind w:firstLine="709"/>
        <w:rPr>
          <w:rFonts w:eastAsia="Times New Roman"/>
          <w:lang w:val="lv-LV"/>
        </w:rPr>
      </w:pPr>
      <w:r w:rsidRPr="004D618E">
        <w:rPr>
          <w:rFonts w:eastAsia="Times New Roman"/>
          <w:lang w:val="lv-LV"/>
        </w:rPr>
        <w:t xml:space="preserve">Jāpiezīmē, ka izdevumu pārskatīšanas darba grupas sanāksmē VM norādīja, ka tā jau šobrīd izvērtē rezidentūras studiju ilguma atbilstību ES direktīvā noteiktajam, informējot, ka </w:t>
      </w:r>
      <w:r w:rsidRPr="004D618E">
        <w:rPr>
          <w:rFonts w:eastAsia="Times New Roman"/>
          <w:lang w:val="lv-LV"/>
        </w:rPr>
        <w:lastRenderedPageBreak/>
        <w:t>līdz 2022. gada 1. jūlijam tiks izvērtēti ārstu profesijas specialitāšu saraksti un rezidentūras studiju ilgums.</w:t>
      </w:r>
    </w:p>
    <w:p w14:paraId="0847F4D4" w14:textId="77777777" w:rsidR="004D618E" w:rsidRPr="004D618E" w:rsidRDefault="004D618E" w:rsidP="004D618E">
      <w:pPr>
        <w:spacing w:before="120"/>
        <w:rPr>
          <w:rFonts w:eastAsia="Times New Roman"/>
          <w:b/>
          <w:bCs/>
          <w:i/>
          <w:u w:val="single"/>
          <w:lang w:val="lv-LV"/>
        </w:rPr>
      </w:pPr>
      <w:r w:rsidRPr="004D618E">
        <w:rPr>
          <w:rFonts w:eastAsia="Times New Roman"/>
          <w:b/>
          <w:bCs/>
          <w:i/>
          <w:u w:val="single"/>
          <w:lang w:val="lv-LV"/>
        </w:rPr>
        <w:t>VM izvērtējums</w:t>
      </w:r>
    </w:p>
    <w:p w14:paraId="4B88106D" w14:textId="77777777" w:rsidR="004D618E" w:rsidRPr="004D618E" w:rsidRDefault="004D618E" w:rsidP="004D618E">
      <w:pPr>
        <w:ind w:firstLine="709"/>
        <w:rPr>
          <w:szCs w:val="24"/>
          <w:lang w:val="lv-LV"/>
        </w:rPr>
      </w:pPr>
      <w:r w:rsidRPr="004D618E">
        <w:rPr>
          <w:szCs w:val="24"/>
          <w:lang w:val="lv-LV"/>
        </w:rPr>
        <w:t xml:space="preserve">Latvijā ārstu skaits uz 100 000 iedzīvotājiem ir zemāks nekā vidēji ES valstīs (Latvijā tie ir 340 ārsti, bet ES 360 ārsti). Valstī trūkst 973 praktizējošu ārstu, slimnīcās ir vakantas 476 ārstu speciālistu slodzes, savukārt ārstu vecuma struktūra ir novecojoša – vidēji 23% ārstu ir pensijas vecumā (Attēls Nr. 3.1.2.). </w:t>
      </w:r>
    </w:p>
    <w:p w14:paraId="3DEB1444" w14:textId="77777777" w:rsidR="004D618E" w:rsidRPr="004D618E" w:rsidRDefault="004D618E" w:rsidP="004D618E">
      <w:pPr>
        <w:spacing w:before="120"/>
        <w:jc w:val="center"/>
        <w:rPr>
          <w:b/>
          <w:bCs/>
          <w:sz w:val="22"/>
          <w:szCs w:val="20"/>
          <w:lang w:val="lv-LV"/>
        </w:rPr>
      </w:pPr>
      <w:r w:rsidRPr="004D618E">
        <w:rPr>
          <w:b/>
          <w:bCs/>
          <w:i/>
          <w:iCs/>
          <w:sz w:val="22"/>
          <w:szCs w:val="20"/>
          <w:lang w:val="lv-LV"/>
        </w:rPr>
        <w:t>3.1.2. attēls</w:t>
      </w:r>
      <w:r w:rsidRPr="004D618E">
        <w:rPr>
          <w:b/>
          <w:bCs/>
          <w:sz w:val="22"/>
          <w:szCs w:val="20"/>
          <w:lang w:val="lv-LV"/>
        </w:rPr>
        <w:t xml:space="preserve"> Pamatspecialitāšu ārstu vecuma struktūra (uz 2021. gada 1. janvāri)</w:t>
      </w:r>
      <w:r w:rsidRPr="004D618E">
        <w:rPr>
          <w:rStyle w:val="FootnoteReference"/>
          <w:b/>
          <w:bCs/>
          <w:sz w:val="22"/>
          <w:szCs w:val="20"/>
          <w:lang w:val="lv-LV"/>
        </w:rPr>
        <w:footnoteReference w:id="22"/>
      </w:r>
    </w:p>
    <w:p w14:paraId="7E755967" w14:textId="77777777" w:rsidR="004D618E" w:rsidRPr="004D618E" w:rsidRDefault="004D618E" w:rsidP="004D618E">
      <w:pPr>
        <w:spacing w:before="120"/>
        <w:jc w:val="center"/>
        <w:rPr>
          <w:rFonts w:eastAsia="Times New Roman"/>
          <w:lang w:val="lv-LV"/>
        </w:rPr>
      </w:pPr>
      <w:r w:rsidRPr="004D618E">
        <w:rPr>
          <w:noProof/>
          <w:lang w:val="lv-LV" w:eastAsia="lv-LV"/>
        </w:rPr>
        <w:drawing>
          <wp:inline distT="0" distB="0" distL="0" distR="0" wp14:anchorId="5D3C5ED5" wp14:editId="046D7407">
            <wp:extent cx="5686425" cy="3962400"/>
            <wp:effectExtent l="0" t="0" r="0" b="0"/>
            <wp:docPr id="71" name="Chart 71">
              <a:extLst xmlns:a="http://schemas.openxmlformats.org/drawingml/2006/main">
                <a:ext uri="{FF2B5EF4-FFF2-40B4-BE49-F238E27FC236}">
                  <a16:creationId xmlns:a16="http://schemas.microsoft.com/office/drawing/2014/main" id="{C78EE28C-E999-46BD-8EDC-C9517B7B12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6F3C96A" w14:textId="77777777" w:rsidR="004D618E" w:rsidRPr="004D618E" w:rsidRDefault="004D618E" w:rsidP="004D618E">
      <w:pPr>
        <w:spacing w:before="120"/>
        <w:ind w:firstLine="709"/>
        <w:rPr>
          <w:szCs w:val="24"/>
          <w:lang w:val="lv-LV"/>
        </w:rPr>
      </w:pPr>
      <w:r w:rsidRPr="004D618E">
        <w:rPr>
          <w:szCs w:val="24"/>
          <w:lang w:val="lv-LV"/>
        </w:rPr>
        <w:t>Paaudžu nomaiņa netiek efektīvi īstenota tādās specialitātēs kā, medicīnas ģenētiķis, ķirurgs, internists, ginekologs, dzemdību speciālists, ģimenes ārsts, psihiatrs u.c.</w:t>
      </w:r>
    </w:p>
    <w:p w14:paraId="0182D13C" w14:textId="0B5437EB" w:rsidR="004D618E" w:rsidRPr="004D618E" w:rsidRDefault="004D618E" w:rsidP="004D618E">
      <w:pPr>
        <w:shd w:val="clear" w:color="auto" w:fill="FFFFFF"/>
        <w:ind w:firstLine="709"/>
        <w:rPr>
          <w:szCs w:val="24"/>
          <w:lang w:val="lv-LV"/>
        </w:rPr>
      </w:pPr>
      <w:r w:rsidRPr="004D618E">
        <w:rPr>
          <w:szCs w:val="24"/>
          <w:lang w:val="lv-LV"/>
        </w:rPr>
        <w:t xml:space="preserve">Speciālistu trūkums ir izteikts visos veselības aprūpes līmeņos, it īpaši neatliekamās palīdzības sniegšanai stacionāros. Speciālistu darba vietas ir koncentrētas galvaspilsētā vai lielākajās pilsētās, kas apgrūtina speciālistu konsultāciju pieejamību reģionu iedzīvotājiem, sekmē maksas medicīnas attīstību, kā arī veicina hronisku slimību pieaugumu, pagarina darbnespējas periodu un sekmē priekšlaicīgu mirstību. Rezidentu darbs, kā arī </w:t>
      </w:r>
      <w:r w:rsidR="0092778C">
        <w:rPr>
          <w:szCs w:val="24"/>
          <w:lang w:val="lv-LV"/>
        </w:rPr>
        <w:t xml:space="preserve">obligātā 3 gadu pēcrezidentūras </w:t>
      </w:r>
      <w:r w:rsidRPr="004D618E">
        <w:rPr>
          <w:szCs w:val="24"/>
          <w:lang w:val="lv-LV"/>
        </w:rPr>
        <w:t>atstrāde</w:t>
      </w:r>
      <w:r w:rsidRPr="004D618E">
        <w:rPr>
          <w:rStyle w:val="FootnoteReference"/>
          <w:szCs w:val="24"/>
          <w:lang w:val="lv-LV"/>
        </w:rPr>
        <w:footnoteReference w:id="23"/>
      </w:r>
      <w:r w:rsidRPr="004D618E">
        <w:rPr>
          <w:szCs w:val="24"/>
          <w:lang w:val="lv-LV"/>
        </w:rPr>
        <w:t xml:space="preserve"> specialitātē, būtiski mazina personāla trūkumu un uzlabo pakalpojumu pieejamību, tajā skaitā, būtiski kompensē ārstu trūkumu C</w:t>
      </w:r>
      <w:r w:rsidR="002F55CD">
        <w:rPr>
          <w:szCs w:val="24"/>
          <w:lang w:val="lv-LV"/>
        </w:rPr>
        <w:t>ovid</w:t>
      </w:r>
      <w:r w:rsidRPr="004D618E">
        <w:rPr>
          <w:szCs w:val="24"/>
          <w:lang w:val="lv-LV"/>
        </w:rPr>
        <w:t>-19 pandēmijas laikā. Kā zināms cilvēkresursu trūkums bija viens no galvenajiem iemesliem C</w:t>
      </w:r>
      <w:r w:rsidR="002F55CD">
        <w:rPr>
          <w:szCs w:val="24"/>
          <w:lang w:val="lv-LV"/>
        </w:rPr>
        <w:t>ovid</w:t>
      </w:r>
      <w:r w:rsidRPr="004D618E">
        <w:rPr>
          <w:szCs w:val="24"/>
          <w:lang w:val="lv-LV"/>
        </w:rPr>
        <w:t xml:space="preserve">-19 pandēmijas ietekmē izsludinātajai ārkārtas situācijai medicīnā Latvijā 2020. gada decembrī. </w:t>
      </w:r>
    </w:p>
    <w:p w14:paraId="12A1A9AA" w14:textId="624C6445" w:rsidR="004D618E" w:rsidRPr="004D618E" w:rsidRDefault="004805E5" w:rsidP="004D618E">
      <w:pPr>
        <w:shd w:val="clear" w:color="auto" w:fill="FFFFFF"/>
        <w:ind w:firstLine="709"/>
        <w:rPr>
          <w:szCs w:val="24"/>
          <w:lang w:val="lv-LV"/>
        </w:rPr>
      </w:pPr>
      <w:r>
        <w:rPr>
          <w:szCs w:val="24"/>
          <w:lang w:val="lv-LV"/>
        </w:rPr>
        <w:lastRenderedPageBreak/>
        <w:t>EK</w:t>
      </w:r>
      <w:r w:rsidR="004D618E" w:rsidRPr="004D618E">
        <w:rPr>
          <w:szCs w:val="24"/>
          <w:lang w:val="lv-LV"/>
        </w:rPr>
        <w:t xml:space="preserve"> ieteikumos par Latvijas 2020. gada valsts reformu programmu</w:t>
      </w:r>
      <w:r w:rsidR="004D618E" w:rsidRPr="004D618E">
        <w:rPr>
          <w:rStyle w:val="FootnoteReference"/>
          <w:szCs w:val="24"/>
          <w:lang w:val="lv-LV"/>
        </w:rPr>
        <w:footnoteReference w:id="24"/>
      </w:r>
      <w:r w:rsidR="004D618E" w:rsidRPr="004D618E">
        <w:rPr>
          <w:szCs w:val="24"/>
          <w:lang w:val="lv-LV"/>
        </w:rPr>
        <w:t xml:space="preserve"> norādīts uz nepieciešamību palielināt investīcijas cilvēkresursos ar mērķi mazināt veselības krīžu ietekmi. </w:t>
      </w:r>
    </w:p>
    <w:p w14:paraId="5EF6A172" w14:textId="77777777" w:rsidR="004D618E" w:rsidRPr="004D618E" w:rsidRDefault="004D618E" w:rsidP="004D618E">
      <w:pPr>
        <w:spacing w:before="120"/>
        <w:ind w:firstLine="709"/>
        <w:rPr>
          <w:szCs w:val="24"/>
          <w:lang w:val="lv-LV"/>
        </w:rPr>
      </w:pPr>
      <w:r w:rsidRPr="004D618E">
        <w:rPr>
          <w:szCs w:val="24"/>
          <w:lang w:val="lv-LV"/>
        </w:rPr>
        <w:t>VKo ziņojumā</w:t>
      </w:r>
      <w:r w:rsidRPr="004D618E">
        <w:rPr>
          <w:rStyle w:val="FootnoteReference"/>
          <w:szCs w:val="24"/>
          <w:lang w:val="lv-LV"/>
        </w:rPr>
        <w:footnoteReference w:id="25"/>
      </w:r>
      <w:r w:rsidRPr="004D618E">
        <w:rPr>
          <w:szCs w:val="24"/>
          <w:lang w:val="lv-LV"/>
        </w:rPr>
        <w:t xml:space="preserve"> secināts, ka ārstu pamatstudiju absolventu skaitu nepieciešams sabalansēt ar rezidentūras vietu skaitu (Attēls Nr. 3.1.3.).</w:t>
      </w:r>
    </w:p>
    <w:p w14:paraId="369C6AB8" w14:textId="77777777" w:rsidR="004D618E" w:rsidRPr="004D618E" w:rsidRDefault="004D618E" w:rsidP="004D618E">
      <w:pPr>
        <w:spacing w:before="120"/>
        <w:jc w:val="center"/>
        <w:rPr>
          <w:rFonts w:eastAsia="Times New Roman"/>
          <w:lang w:val="lv-LV"/>
        </w:rPr>
      </w:pPr>
      <w:r w:rsidRPr="004D618E">
        <w:rPr>
          <w:b/>
          <w:bCs/>
          <w:i/>
          <w:iCs/>
          <w:sz w:val="22"/>
          <w:szCs w:val="20"/>
          <w:lang w:val="lv-LV"/>
        </w:rPr>
        <w:t>3.1.3. attēls</w:t>
      </w:r>
      <w:r w:rsidRPr="004D618E">
        <w:rPr>
          <w:b/>
          <w:bCs/>
          <w:sz w:val="22"/>
          <w:szCs w:val="20"/>
          <w:lang w:val="lv-LV"/>
        </w:rPr>
        <w:t xml:space="preserve"> Pamatstudiju un rezidentūras studiju vietas 2019. gadā</w:t>
      </w:r>
      <w:r w:rsidRPr="004D618E">
        <w:rPr>
          <w:rStyle w:val="FootnoteReference"/>
          <w:b/>
          <w:bCs/>
          <w:sz w:val="22"/>
          <w:szCs w:val="20"/>
          <w:lang w:val="lv-LV"/>
        </w:rPr>
        <w:footnoteReference w:id="26"/>
      </w:r>
    </w:p>
    <w:p w14:paraId="29B6DDFA" w14:textId="77777777" w:rsidR="004D618E" w:rsidRPr="004D618E" w:rsidRDefault="004D618E" w:rsidP="004D618E">
      <w:pPr>
        <w:spacing w:before="120"/>
        <w:jc w:val="center"/>
        <w:rPr>
          <w:rFonts w:eastAsia="Times New Roman"/>
          <w:lang w:val="lv-LV"/>
        </w:rPr>
      </w:pPr>
      <w:r w:rsidRPr="004D618E">
        <w:rPr>
          <w:noProof/>
          <w:lang w:val="lv-LV" w:eastAsia="lv-LV"/>
        </w:rPr>
        <w:drawing>
          <wp:inline distT="0" distB="0" distL="0" distR="0" wp14:anchorId="08094D85" wp14:editId="67EF9180">
            <wp:extent cx="5697415" cy="322871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5713028" cy="3237566"/>
                    </a:xfrm>
                    <a:prstGeom prst="rect">
                      <a:avLst/>
                    </a:prstGeom>
                  </pic:spPr>
                </pic:pic>
              </a:graphicData>
            </a:graphic>
          </wp:inline>
        </w:drawing>
      </w:r>
    </w:p>
    <w:p w14:paraId="676E7E15" w14:textId="75DEBD58" w:rsidR="004D618E" w:rsidRPr="004D618E" w:rsidRDefault="004D618E" w:rsidP="004D618E">
      <w:pPr>
        <w:ind w:firstLine="720"/>
        <w:rPr>
          <w:szCs w:val="24"/>
          <w:lang w:val="lv-LV"/>
        </w:rPr>
      </w:pPr>
      <w:r w:rsidRPr="004D618E">
        <w:rPr>
          <w:szCs w:val="24"/>
          <w:lang w:val="lv-LV"/>
        </w:rPr>
        <w:t>Konkursā uz valsts budžeta finansētajām rezidentūras vietām piedalās ne tikai iepriekšējā gada, bet arī citu gadu pamatstudiju absolventi, kā arī specialitāšu ārsti, kuri vēlas papildus apgūt citu pamatspecialitāti, apakšspecialitāti vai papildspecialitāti, līdz ar to kopējais pretendentu skaits uz valsts finansētajām rezidentūras vietām vienmēr būs lielāks nekā kārtējā gada plānotais rezidentūras vietu skaits. VM budžeta apakšprogrammas</w:t>
      </w:r>
      <w:r w:rsidR="00FF342C">
        <w:rPr>
          <w:szCs w:val="24"/>
          <w:lang w:val="lv-LV"/>
        </w:rPr>
        <w:t xml:space="preserve"> </w:t>
      </w:r>
      <w:r w:rsidRPr="004D618E">
        <w:rPr>
          <w:szCs w:val="24"/>
          <w:lang w:val="lv-LV"/>
        </w:rPr>
        <w:t>02.04.00 “Rezidentu apmācība” finansējuma ietvaros 2021. gadā uzņemšanā tika nodrošinātas 220 rezidentūras vietas</w:t>
      </w:r>
      <w:r w:rsidRPr="004D618E">
        <w:rPr>
          <w:rStyle w:val="FootnoteReference"/>
          <w:szCs w:val="24"/>
          <w:lang w:val="lv-LV"/>
        </w:rPr>
        <w:footnoteReference w:id="27"/>
      </w:r>
      <w:r w:rsidRPr="004D618E">
        <w:rPr>
          <w:szCs w:val="24"/>
          <w:lang w:val="lv-LV"/>
        </w:rPr>
        <w:t>. 2021. gadā noslēgti līgumi starp VM un universitātēm (</w:t>
      </w:r>
      <w:r w:rsidR="0092778C">
        <w:rPr>
          <w:szCs w:val="24"/>
          <w:lang w:val="lv-LV"/>
        </w:rPr>
        <w:t>RSU un LU</w:t>
      </w:r>
      <w:r w:rsidRPr="004D618E">
        <w:rPr>
          <w:szCs w:val="24"/>
          <w:lang w:val="lv-LV"/>
        </w:rPr>
        <w:t>) par rezidentu apmācību 30 478 705</w:t>
      </w:r>
      <w:r w:rsidRPr="004D618E">
        <w:rPr>
          <w:i/>
          <w:iCs/>
          <w:szCs w:val="24"/>
          <w:lang w:val="lv-LV"/>
        </w:rPr>
        <w:t xml:space="preserve"> euro</w:t>
      </w:r>
      <w:r w:rsidRPr="004D618E">
        <w:rPr>
          <w:szCs w:val="24"/>
          <w:lang w:val="lv-LV"/>
        </w:rPr>
        <w:t xml:space="preserve"> apmērā, tomēr finansējums ir nepietiekams, lai nodrošinātu lielāka skaita rezidentu apmācību.</w:t>
      </w:r>
    </w:p>
    <w:p w14:paraId="4A88594B" w14:textId="38A0B8D8" w:rsidR="00FF342C" w:rsidRPr="004D618E" w:rsidRDefault="004D618E" w:rsidP="00FF342C">
      <w:pPr>
        <w:shd w:val="clear" w:color="auto" w:fill="FFFFFF"/>
        <w:ind w:firstLine="720"/>
        <w:rPr>
          <w:szCs w:val="24"/>
          <w:lang w:val="lv-LV"/>
        </w:rPr>
      </w:pPr>
      <w:r w:rsidRPr="004D618E">
        <w:rPr>
          <w:szCs w:val="24"/>
          <w:lang w:val="lv-LV"/>
        </w:rPr>
        <w:t xml:space="preserve">VM ir izvērtējusi, ka efektīvs izglītības process ārstniecības iestādēs pie nosacījuma, ka tiek rasti papildus valsts budžeta līdzekļi, ilgtermiņā varētu tikt nodrošināts ne vairāk kā 250 rezidentiem. Šāds mērķis tika izvirzīts un iekļauts jau iepriekšējās </w:t>
      </w:r>
      <w:r w:rsidR="007D00BC">
        <w:rPr>
          <w:szCs w:val="24"/>
          <w:lang w:val="lv-LV"/>
        </w:rPr>
        <w:t>VRP</w:t>
      </w:r>
      <w:r w:rsidRPr="004D618E">
        <w:rPr>
          <w:szCs w:val="24"/>
          <w:lang w:val="lv-LV"/>
        </w:rPr>
        <w:t>, paredzot, ka no 2017. gada tiek plānotas 50 jaunas rezidentūras vietas</w:t>
      </w:r>
      <w:r w:rsidRPr="004D618E">
        <w:rPr>
          <w:rStyle w:val="FootnoteReference"/>
          <w:szCs w:val="24"/>
          <w:lang w:val="lv-LV"/>
        </w:rPr>
        <w:footnoteReference w:id="28"/>
      </w:r>
      <w:r w:rsidRPr="004D618E">
        <w:rPr>
          <w:szCs w:val="24"/>
          <w:lang w:val="lv-LV"/>
        </w:rPr>
        <w:t>, tomēr nepieciešamie valsts budžeta līdzekļi šo papildus rezidentūras studiju vietu no</w:t>
      </w:r>
      <w:r w:rsidR="00FF342C">
        <w:rPr>
          <w:szCs w:val="24"/>
          <w:lang w:val="lv-LV"/>
        </w:rPr>
        <w:t>drošināšanai netika piešķirti.</w:t>
      </w:r>
    </w:p>
    <w:p w14:paraId="1FFBBFCE" w14:textId="77777777" w:rsidR="004D618E" w:rsidRPr="004D618E" w:rsidRDefault="004D618E" w:rsidP="004D618E">
      <w:pPr>
        <w:shd w:val="clear" w:color="auto" w:fill="FFFFFF"/>
        <w:ind w:firstLine="720"/>
        <w:rPr>
          <w:szCs w:val="24"/>
          <w:lang w:val="lv-LV"/>
        </w:rPr>
      </w:pPr>
      <w:r w:rsidRPr="004D618E">
        <w:rPr>
          <w:szCs w:val="24"/>
          <w:lang w:val="lv-LV"/>
        </w:rPr>
        <w:lastRenderedPageBreak/>
        <w:t>Lai paātrinātu jauno speciālistu ienākšanu darba tirgū, ir nepieciešams kāpināt speciālistu sagatavošanas tempu, vienlaikus rodot papildus finanšu līdzekļus lielāka valsts budžeta finansētas rezidentūras vietu skaita nodrošinājumam, kā arī turpinot īstenot jau uzsāktās aktivitātes personāla piesaistei un noturēšanai (ES fondu projekti</w:t>
      </w:r>
      <w:r w:rsidRPr="004D618E">
        <w:rPr>
          <w:rStyle w:val="FootnoteReference"/>
          <w:szCs w:val="24"/>
          <w:lang w:val="lv-LV"/>
        </w:rPr>
        <w:footnoteReference w:id="29"/>
      </w:r>
      <w:r w:rsidRPr="004D618E">
        <w:rPr>
          <w:szCs w:val="24"/>
          <w:lang w:val="lv-LV"/>
        </w:rPr>
        <w:t>, jaunais atalgojuma modelis, diferencēta darba alga rezidentiem par darbu reģionos u.c.). Pēdējo gadu laikā īstenotie pasākumi cilvēkresursu piesaistei un noturēšanai veselības nozarē norāda uz nelielu pozitīvu tendenci, proti, saskaņā ar Veselības inspekcijas Ārstniecības un ārstniecības atbalsta personu reģistra (turpmāk – reģistrs) datiem, laika periodā no 2017. gada līdz 2020. gada sākumam reģistrēto ārstu skaits, kas ir tiesīgi praktizēt profesijā, ir palielinājies par 6%, bet par 12% palielinājies to ārstu skaits, kas praktizē profesijā pamatdarbā</w:t>
      </w:r>
      <w:r w:rsidRPr="004D618E">
        <w:rPr>
          <w:szCs w:val="24"/>
          <w:vertAlign w:val="superscript"/>
          <w:lang w:val="lv-LV"/>
        </w:rPr>
        <w:footnoteReference w:id="30"/>
      </w:r>
      <w:r w:rsidRPr="004D618E">
        <w:rPr>
          <w:szCs w:val="24"/>
          <w:lang w:val="lv-LV"/>
        </w:rPr>
        <w:t>.</w:t>
      </w:r>
    </w:p>
    <w:p w14:paraId="17F9F949" w14:textId="77777777" w:rsidR="004D618E" w:rsidRPr="004D618E" w:rsidRDefault="004D618E" w:rsidP="004D618E">
      <w:pPr>
        <w:ind w:firstLine="720"/>
        <w:rPr>
          <w:szCs w:val="24"/>
          <w:lang w:val="lv-LV"/>
        </w:rPr>
      </w:pPr>
      <w:r w:rsidRPr="004D618E">
        <w:rPr>
          <w:szCs w:val="24"/>
          <w:lang w:val="lv-LV"/>
        </w:rPr>
        <w:t xml:space="preserve">Vienas rezidentūras vietas kopējās izmaksas veido un izriet no ES direktīvas par profesionālo kvalifikāciju atzīšanu (direktīva attiecas arī uz EEZ) noteiktajām prasībām studiju ilgumam un saturam, tajā skaitā teorētiskās un klīniski praktiskās daļas apjomam. </w:t>
      </w:r>
    </w:p>
    <w:p w14:paraId="6BDD28E1" w14:textId="77777777" w:rsidR="004D618E" w:rsidRPr="004D618E" w:rsidRDefault="004D618E" w:rsidP="004D618E">
      <w:pPr>
        <w:ind w:firstLine="720"/>
        <w:rPr>
          <w:iCs/>
          <w:szCs w:val="24"/>
          <w:lang w:val="lv-LV"/>
        </w:rPr>
      </w:pPr>
      <w:r w:rsidRPr="004D618E">
        <w:rPr>
          <w:szCs w:val="24"/>
          <w:lang w:val="lv-LV"/>
        </w:rPr>
        <w:t>Latvijā, ņemot vērā pieaugošās prasības studiju kvalitātei, kas ir saistītas ar zinātnes un tehnoloģiju attīstību medicīnas izglītībā un veselības aprūpē, specialitāšu iegūšanas ilgumi regulāri tiek pārskatīti</w:t>
      </w:r>
      <w:r w:rsidRPr="004D618E">
        <w:rPr>
          <w:iCs/>
          <w:szCs w:val="24"/>
          <w:lang w:val="lv-LV"/>
        </w:rPr>
        <w:t>.</w:t>
      </w:r>
    </w:p>
    <w:p w14:paraId="1E7624E5" w14:textId="42759E23" w:rsidR="004D618E" w:rsidRPr="004D618E" w:rsidRDefault="004D618E" w:rsidP="004D618E">
      <w:pPr>
        <w:ind w:firstLine="709"/>
        <w:rPr>
          <w:iCs/>
          <w:szCs w:val="24"/>
          <w:lang w:val="lv-LV"/>
        </w:rPr>
      </w:pPr>
      <w:r w:rsidRPr="004D618E">
        <w:rPr>
          <w:iCs/>
          <w:szCs w:val="24"/>
          <w:lang w:val="lv-LV"/>
        </w:rPr>
        <w:t>2016. gadā veiktas šād</w:t>
      </w:r>
      <w:r w:rsidR="00CA5079">
        <w:rPr>
          <w:iCs/>
          <w:szCs w:val="24"/>
          <w:lang w:val="lv-LV"/>
        </w:rPr>
        <w:t>a</w:t>
      </w:r>
      <w:r w:rsidRPr="004D618E">
        <w:rPr>
          <w:iCs/>
          <w:szCs w:val="24"/>
          <w:lang w:val="lv-LV"/>
        </w:rPr>
        <w:t>s specialitāšu iegūšanas ilgumu pārskatīšanas:</w:t>
      </w:r>
    </w:p>
    <w:p w14:paraId="3572210F" w14:textId="77777777" w:rsidR="004D618E" w:rsidRPr="004D618E" w:rsidRDefault="004D618E" w:rsidP="0005194E">
      <w:pPr>
        <w:pStyle w:val="ListParagraph"/>
        <w:numPr>
          <w:ilvl w:val="0"/>
          <w:numId w:val="32"/>
        </w:numPr>
        <w:spacing w:after="0" w:line="240" w:lineRule="auto"/>
        <w:ind w:left="993" w:hanging="284"/>
        <w:contextualSpacing w:val="0"/>
        <w:rPr>
          <w:iCs/>
          <w:lang w:val="lv-LV"/>
        </w:rPr>
      </w:pPr>
      <w:r w:rsidRPr="004D618E">
        <w:rPr>
          <w:iCs/>
          <w:lang w:val="lv-LV"/>
        </w:rPr>
        <w:t xml:space="preserve">internista apakšspecialitātes reimatologs, pneimonologs, endokrinologs, nefrologs, gastroenterologs tika noteiktas kā pamatspecialitātes; rezidentūras ilgums pielīdzināts internista studiju ilgumam – kopā 5 gadi (iepriekš internista pamatspecialitātes iegūšana 3 gadi + 2 vai 3 gadi apakšspecialitāte). Šīm specialitātēm 1. un 2. studiju gadā rezidentūras apmācība tiek veikta atbilstoši vienotai izglītības programmai internajā medicīnā, specializācija notiek 3., 4. un 5. studiju gadā; </w:t>
      </w:r>
    </w:p>
    <w:p w14:paraId="766B1B4E" w14:textId="77777777" w:rsidR="004D618E" w:rsidRPr="004D618E" w:rsidRDefault="004D618E" w:rsidP="0005194E">
      <w:pPr>
        <w:pStyle w:val="ListParagraph"/>
        <w:numPr>
          <w:ilvl w:val="0"/>
          <w:numId w:val="32"/>
        </w:numPr>
        <w:spacing w:line="240" w:lineRule="auto"/>
        <w:ind w:left="993" w:hanging="284"/>
        <w:rPr>
          <w:iCs/>
          <w:lang w:val="lv-LV"/>
        </w:rPr>
      </w:pPr>
      <w:r w:rsidRPr="004D618E">
        <w:rPr>
          <w:iCs/>
          <w:lang w:val="lv-LV"/>
        </w:rPr>
        <w:t>bērnu neirologa apakšspecialitāti nosakot par pamatspecialitāti, studiju ilgums saīsināts uz 4 gadi.</w:t>
      </w:r>
    </w:p>
    <w:p w14:paraId="06037DE5" w14:textId="0F1732B6" w:rsidR="004D618E" w:rsidRPr="004D618E" w:rsidRDefault="004D618E" w:rsidP="004D618E">
      <w:pPr>
        <w:ind w:left="142" w:firstLine="567"/>
        <w:rPr>
          <w:iCs/>
          <w:szCs w:val="24"/>
          <w:lang w:val="lv-LV"/>
        </w:rPr>
      </w:pPr>
      <w:r w:rsidRPr="004D618E">
        <w:rPr>
          <w:iCs/>
          <w:szCs w:val="24"/>
          <w:lang w:val="lv-LV"/>
        </w:rPr>
        <w:t>2019. gadā veiktas šād</w:t>
      </w:r>
      <w:r w:rsidR="00CA5079">
        <w:rPr>
          <w:iCs/>
          <w:szCs w:val="24"/>
          <w:lang w:val="lv-LV"/>
        </w:rPr>
        <w:t>a</w:t>
      </w:r>
      <w:r w:rsidRPr="004D618E">
        <w:rPr>
          <w:iCs/>
          <w:szCs w:val="24"/>
          <w:lang w:val="lv-LV"/>
        </w:rPr>
        <w:t>s specialitāšu iegūšanas ilgumu pārskatīšanas:</w:t>
      </w:r>
    </w:p>
    <w:p w14:paraId="4F0165B9" w14:textId="77777777" w:rsidR="004D618E" w:rsidRPr="004D618E" w:rsidRDefault="004D618E" w:rsidP="0005194E">
      <w:pPr>
        <w:pStyle w:val="ListParagraph"/>
        <w:numPr>
          <w:ilvl w:val="0"/>
          <w:numId w:val="33"/>
        </w:numPr>
        <w:spacing w:line="240" w:lineRule="auto"/>
        <w:ind w:left="993" w:hanging="284"/>
        <w:rPr>
          <w:iCs/>
          <w:lang w:val="lv-LV"/>
        </w:rPr>
      </w:pPr>
      <w:r w:rsidRPr="004D618E">
        <w:rPr>
          <w:iCs/>
          <w:lang w:val="lv-LV"/>
        </w:rPr>
        <w:t>bērnu psihiatra apakšspecialitāte tika noteikta kā pamatspecialitāte, studiju ilgumu saīsinot no 6 uz 4 gadiem;</w:t>
      </w:r>
    </w:p>
    <w:p w14:paraId="03A85881" w14:textId="77777777" w:rsidR="004D618E" w:rsidRPr="004D618E" w:rsidRDefault="004D618E" w:rsidP="0005194E">
      <w:pPr>
        <w:pStyle w:val="ListParagraph"/>
        <w:numPr>
          <w:ilvl w:val="0"/>
          <w:numId w:val="33"/>
        </w:numPr>
        <w:spacing w:line="240" w:lineRule="auto"/>
        <w:ind w:left="993" w:hanging="284"/>
        <w:rPr>
          <w:iCs/>
          <w:lang w:val="lv-LV"/>
        </w:rPr>
      </w:pPr>
      <w:r w:rsidRPr="004D618E">
        <w:rPr>
          <w:iCs/>
          <w:lang w:val="lv-LV"/>
        </w:rPr>
        <w:t>transfuziologa papildspecialitātē studiju ilgums saīsināts no 2 uz 1 gadu.</w:t>
      </w:r>
    </w:p>
    <w:p w14:paraId="6C580EB9" w14:textId="77777777" w:rsidR="004D618E" w:rsidRPr="004D618E" w:rsidRDefault="004D618E" w:rsidP="004D618E">
      <w:pPr>
        <w:spacing w:before="120"/>
        <w:ind w:firstLine="709"/>
        <w:rPr>
          <w:szCs w:val="24"/>
          <w:lang w:val="lv-LV"/>
        </w:rPr>
      </w:pPr>
      <w:r w:rsidRPr="004D618E">
        <w:rPr>
          <w:szCs w:val="24"/>
          <w:lang w:val="lv-LV"/>
        </w:rPr>
        <w:t>Secināts, ka šobrīd 18 pamatspecialitāšu un 1 papildspecialitātes (alergologs) rezidentūras studiju programmu ilgums pārsniedz ES direktīvā noteikto minimālo studiju ilgumu (no tām par 1 gadu ilgums pārsniegts 14 pamatspecialitātēm un 1 papildspecilaitātei un par 2 gadiem – 3 pamatspecialitātēm) (Tabula Nr. 3.1.2.). Ģimenes ārstu rezidentūras programmas ilgums ir īsāks nekā ES valstu vidējais, tomēr ES direktīva to neregulē.</w:t>
      </w:r>
    </w:p>
    <w:p w14:paraId="0939C273" w14:textId="69AA693C" w:rsidR="004D618E" w:rsidRPr="004D618E" w:rsidRDefault="004D618E" w:rsidP="004D618E">
      <w:pPr>
        <w:ind w:firstLine="709"/>
        <w:rPr>
          <w:szCs w:val="24"/>
          <w:lang w:val="lv-LV"/>
        </w:rPr>
      </w:pPr>
      <w:r w:rsidRPr="004D618E">
        <w:rPr>
          <w:szCs w:val="24"/>
          <w:lang w:val="lv-LV"/>
        </w:rPr>
        <w:t>VM, ņemot vērā jauno, 2019. gadā apstiprināto, ārsta profesijas st</w:t>
      </w:r>
      <w:r w:rsidR="005354B1">
        <w:rPr>
          <w:szCs w:val="24"/>
          <w:lang w:val="lv-LV"/>
        </w:rPr>
        <w:t>andartu, sadarbībā ar Latvijas Ā</w:t>
      </w:r>
      <w:r w:rsidRPr="004D618E">
        <w:rPr>
          <w:szCs w:val="24"/>
          <w:lang w:val="lv-LV"/>
        </w:rPr>
        <w:t>rstu biedrību 2020. gada nogalē ir uzsākusi darbu pie kārtējās ārstu specialitāšu saraksta pārskatīšanas, vērtējot ārsta specialitātēs apgūstamo kompetenču saturu, apjomu un optimālo laiku specialitātes apgūšanai.</w:t>
      </w:r>
      <w:r w:rsidRPr="004D618E">
        <w:rPr>
          <w:rFonts w:asciiTheme="minorHAnsi" w:hAnsi="Calibri"/>
          <w:color w:val="000000" w:themeColor="text1"/>
          <w:kern w:val="24"/>
          <w:szCs w:val="24"/>
          <w:lang w:val="lv-LV"/>
        </w:rPr>
        <w:t xml:space="preserve"> </w:t>
      </w:r>
      <w:r w:rsidRPr="004D618E">
        <w:rPr>
          <w:szCs w:val="24"/>
          <w:lang w:val="lv-LV"/>
        </w:rPr>
        <w:t xml:space="preserve">Aptaujātas ārstu profesionālās organizācijas, rezidenti, darba devēji un strādājošie ārsti (atbildes no 263 respondentiem) ar mērķi apzināt nepieciešamās izmaiņas normatīvajā regulējumā, apgūstamās kompetences, specialitāšu </w:t>
      </w:r>
      <w:r w:rsidRPr="004D618E">
        <w:rPr>
          <w:szCs w:val="24"/>
          <w:lang w:val="lv-LV"/>
        </w:rPr>
        <w:lastRenderedPageBreak/>
        <w:t xml:space="preserve">sarakstu kopumā, rezidentūras organizācijas principus un studiju ilgumu specialitātes iegūšanai. VM plāno, ka darbs pie atsevišķu specialitāšu izvērtēšanas tiks noslēgts </w:t>
      </w:r>
      <w:r w:rsidRPr="004D618E">
        <w:rPr>
          <w:bCs/>
          <w:szCs w:val="24"/>
          <w:lang w:val="lv-LV"/>
        </w:rPr>
        <w:t>līdz 2022. gada 1. jūlijam.</w:t>
      </w:r>
      <w:r w:rsidRPr="004D618E">
        <w:rPr>
          <w:szCs w:val="24"/>
          <w:lang w:val="lv-LV"/>
        </w:rPr>
        <w:t xml:space="preserve"> Paralēli tiks turpināts darbs pie specialitāšu saraksta pārskatīšanas kopumā, vērtējot iespējas specializācijas iegūšanai ārpus formālā izglītības ietvara.</w:t>
      </w:r>
    </w:p>
    <w:p w14:paraId="07E57758" w14:textId="77777777" w:rsidR="004D618E" w:rsidRPr="004D618E" w:rsidRDefault="004D618E" w:rsidP="004D618E">
      <w:pPr>
        <w:ind w:firstLine="709"/>
        <w:rPr>
          <w:szCs w:val="24"/>
          <w:lang w:val="lv-LV"/>
        </w:rPr>
      </w:pPr>
      <w:r w:rsidRPr="004D618E">
        <w:rPr>
          <w:szCs w:val="24"/>
          <w:lang w:val="lv-LV"/>
        </w:rPr>
        <w:t>Ievērojot ārsta specialitāšu attīstību un no jauna apgūstamās kompetences atbilstoši darba tirgus prasībām, pastāv iespēja, ka atsevišķu specialitāšu studiju ilgums varētu tikt pagarināts.</w:t>
      </w:r>
    </w:p>
    <w:p w14:paraId="09201BFA" w14:textId="0CFF7F57" w:rsidR="004D618E" w:rsidRDefault="004D618E" w:rsidP="004D618E">
      <w:pPr>
        <w:spacing w:before="120"/>
        <w:ind w:firstLine="709"/>
        <w:rPr>
          <w:szCs w:val="24"/>
          <w:lang w:val="lv-LV"/>
        </w:rPr>
      </w:pPr>
      <w:r w:rsidRPr="004D618E">
        <w:rPr>
          <w:szCs w:val="24"/>
          <w:lang w:val="lv-LV"/>
        </w:rPr>
        <w:t>Lai cilvēkresursu plānošanu padarītu efektīvāku, kā arī veicinātu paaudžu nomaiņu veselības aprūpes profesijās un nodrošinātu speciālistu sagatavošanu atbilstoši veselības aprūpes pakalpojumu un darba tirgus vajadzībām visā valsts teritorijā, VM 2020. gada nogalē ir iesniegusi EK tehniskā atbalsta pieprasījumu cilvēkresursu attīstības stratēģijas izstrādei</w:t>
      </w:r>
      <w:r w:rsidRPr="004D618E">
        <w:rPr>
          <w:rStyle w:val="FootnoteReference"/>
          <w:szCs w:val="24"/>
          <w:lang w:val="lv-LV"/>
        </w:rPr>
        <w:footnoteReference w:id="31"/>
      </w:r>
      <w:r w:rsidRPr="004D618E">
        <w:rPr>
          <w:szCs w:val="24"/>
          <w:lang w:val="lv-LV"/>
        </w:rPr>
        <w:t>. Saskaņā ar pieteikumu tehniskais atbalsts nepieciešams, lai izstrādātu ilgtspējīgu medicīniskās izglītības (tālākizglītības) attīstības sistēmu, tostarp paredzot gan pirmsdiploma, gan pēcdiploma izglītībā, tai skaitā profesionālajā pilnveidē, simulāciju medicīnas attīstību un atbilstoša koordinējoša mehānisma izveidi. Tāpat paredzēta cilvēkresursu plānošanā izmantojamo datu kvalitātes pārskatīšana, paredzot vienotas datu uzskaites sistēmas izveidi, reģistru pilnveidi u.c., kā arī zinātniski pamatotas un pētniecībā balstītas pieejas ieviešanu veselības jomas cilvēkresursu plānošanā atbilstoši darba tirgus pieprasījumam. Attiecīgā projekta īstenošana tiks uzsākta 2021. gada nogalē.</w:t>
      </w:r>
    </w:p>
    <w:p w14:paraId="40C4E4BA" w14:textId="70957F65" w:rsidR="0062608D" w:rsidRPr="004D618E" w:rsidRDefault="0062608D" w:rsidP="0062608D">
      <w:pPr>
        <w:spacing w:before="120"/>
        <w:ind w:firstLine="709"/>
        <w:rPr>
          <w:rFonts w:eastAsia="Verdana"/>
          <w:bCs/>
          <w:color w:val="000000" w:themeColor="text1"/>
          <w:kern w:val="24"/>
          <w:szCs w:val="24"/>
          <w:lang w:val="lv-LV"/>
        </w:rPr>
      </w:pPr>
      <w:r>
        <w:rPr>
          <w:rFonts w:eastAsia="Verdana"/>
          <w:bCs/>
          <w:color w:val="000000" w:themeColor="text1"/>
          <w:kern w:val="24"/>
          <w:szCs w:val="24"/>
          <w:lang w:val="lv-LV"/>
        </w:rPr>
        <w:t>VM papildus skaidro</w:t>
      </w:r>
      <w:r w:rsidRPr="0062608D">
        <w:rPr>
          <w:rFonts w:eastAsia="Verdana"/>
          <w:bCs/>
          <w:color w:val="000000" w:themeColor="text1"/>
          <w:kern w:val="24"/>
          <w:szCs w:val="24"/>
          <w:lang w:val="lv-LV"/>
        </w:rPr>
        <w:t>, ka rezidenti, kuri ir uzsākuši studijas rezidentūrā rezidentūras programmas apguvi bei</w:t>
      </w:r>
      <w:r>
        <w:rPr>
          <w:rFonts w:eastAsia="Verdana"/>
          <w:bCs/>
          <w:color w:val="000000" w:themeColor="text1"/>
          <w:kern w:val="24"/>
          <w:szCs w:val="24"/>
          <w:lang w:val="lv-LV"/>
        </w:rPr>
        <w:t>gs</w:t>
      </w:r>
      <w:r w:rsidRPr="0062608D">
        <w:rPr>
          <w:rFonts w:eastAsia="Verdana"/>
          <w:bCs/>
          <w:color w:val="000000" w:themeColor="text1"/>
          <w:kern w:val="24"/>
          <w:szCs w:val="24"/>
          <w:lang w:val="lv-LV"/>
        </w:rPr>
        <w:t xml:space="preserve"> atbilsto</w:t>
      </w:r>
      <w:r>
        <w:rPr>
          <w:rFonts w:eastAsia="Verdana"/>
          <w:bCs/>
          <w:color w:val="000000" w:themeColor="text1"/>
          <w:kern w:val="24"/>
          <w:szCs w:val="24"/>
          <w:lang w:val="lv-LV"/>
        </w:rPr>
        <w:t xml:space="preserve">ši tam rezidentūras programmas </w:t>
      </w:r>
      <w:r w:rsidRPr="0062608D">
        <w:rPr>
          <w:rFonts w:eastAsia="Verdana"/>
          <w:bCs/>
          <w:color w:val="000000" w:themeColor="text1"/>
          <w:kern w:val="24"/>
          <w:szCs w:val="24"/>
          <w:lang w:val="lv-LV"/>
        </w:rPr>
        <w:t>ilgumam un saturam, kāds bija spēkā uzsā</w:t>
      </w:r>
      <w:r>
        <w:rPr>
          <w:rFonts w:eastAsia="Verdana"/>
          <w:bCs/>
          <w:color w:val="000000" w:themeColor="text1"/>
          <w:kern w:val="24"/>
          <w:szCs w:val="24"/>
          <w:lang w:val="lv-LV"/>
        </w:rPr>
        <w:t xml:space="preserve">kot rezidentūru. </w:t>
      </w:r>
      <w:r w:rsidRPr="0062608D">
        <w:rPr>
          <w:rFonts w:eastAsia="Verdana"/>
          <w:bCs/>
          <w:color w:val="000000" w:themeColor="text1"/>
          <w:kern w:val="24"/>
          <w:szCs w:val="24"/>
          <w:lang w:val="lv-LV"/>
        </w:rPr>
        <w:t xml:space="preserve">Līdz ar to samazinot rezidentūras studiju ilgumu no četriem gadiem uz trīs gadiem indikatīvais finanšu līdzekļu ietaupījums </w:t>
      </w:r>
      <w:r>
        <w:rPr>
          <w:rFonts w:eastAsia="Verdana"/>
          <w:bCs/>
          <w:color w:val="000000" w:themeColor="text1"/>
          <w:kern w:val="24"/>
          <w:szCs w:val="24"/>
          <w:lang w:val="lv-LV"/>
        </w:rPr>
        <w:t xml:space="preserve">sāks veidoties </w:t>
      </w:r>
      <w:r w:rsidRPr="0062608D">
        <w:rPr>
          <w:rFonts w:eastAsia="Verdana"/>
          <w:bCs/>
          <w:color w:val="000000" w:themeColor="text1"/>
          <w:kern w:val="24"/>
          <w:szCs w:val="24"/>
          <w:lang w:val="lv-LV"/>
        </w:rPr>
        <w:t>sākot ar 2025.</w:t>
      </w:r>
      <w:r>
        <w:rPr>
          <w:rFonts w:eastAsia="Verdana"/>
          <w:bCs/>
          <w:color w:val="000000" w:themeColor="text1"/>
          <w:kern w:val="24"/>
          <w:szCs w:val="24"/>
          <w:lang w:val="lv-LV"/>
        </w:rPr>
        <w:t xml:space="preserve"> </w:t>
      </w:r>
      <w:r w:rsidRPr="0062608D">
        <w:rPr>
          <w:rFonts w:eastAsia="Verdana"/>
          <w:bCs/>
          <w:color w:val="000000" w:themeColor="text1"/>
          <w:kern w:val="24"/>
          <w:szCs w:val="24"/>
          <w:lang w:val="lv-LV"/>
        </w:rPr>
        <w:t>gadu. Turklāt samazinot rezidentūras ilgumu no pieciem gadiem uz četriem gadiem indikatīvais finanšu</w:t>
      </w:r>
      <w:r>
        <w:rPr>
          <w:rFonts w:eastAsia="Verdana"/>
          <w:bCs/>
          <w:color w:val="000000" w:themeColor="text1"/>
          <w:kern w:val="24"/>
          <w:szCs w:val="24"/>
          <w:lang w:val="lv-LV"/>
        </w:rPr>
        <w:t xml:space="preserve"> līdzekļu ietaupījums veidojas </w:t>
      </w:r>
      <w:r w:rsidRPr="0062608D">
        <w:rPr>
          <w:rFonts w:eastAsia="Verdana"/>
          <w:bCs/>
          <w:color w:val="000000" w:themeColor="text1"/>
          <w:kern w:val="24"/>
          <w:szCs w:val="24"/>
          <w:lang w:val="lv-LV"/>
        </w:rPr>
        <w:t>sākot ar 2026.</w:t>
      </w:r>
      <w:r>
        <w:rPr>
          <w:rFonts w:eastAsia="Verdana"/>
          <w:bCs/>
          <w:color w:val="000000" w:themeColor="text1"/>
          <w:kern w:val="24"/>
          <w:szCs w:val="24"/>
          <w:lang w:val="lv-LV"/>
        </w:rPr>
        <w:t xml:space="preserve"> </w:t>
      </w:r>
      <w:r w:rsidRPr="0062608D">
        <w:rPr>
          <w:rFonts w:eastAsia="Verdana"/>
          <w:bCs/>
          <w:color w:val="000000" w:themeColor="text1"/>
          <w:kern w:val="24"/>
          <w:szCs w:val="24"/>
          <w:lang w:val="lv-LV"/>
        </w:rPr>
        <w:t>gadu. Samazinot rezidentūr</w:t>
      </w:r>
      <w:r>
        <w:rPr>
          <w:rFonts w:eastAsia="Verdana"/>
          <w:bCs/>
          <w:color w:val="000000" w:themeColor="text1"/>
          <w:kern w:val="24"/>
          <w:szCs w:val="24"/>
          <w:lang w:val="lv-LV"/>
        </w:rPr>
        <w:t xml:space="preserve">as ilgumu no sešiem gadiem uz 5 </w:t>
      </w:r>
      <w:r w:rsidRPr="0062608D">
        <w:rPr>
          <w:rFonts w:eastAsia="Verdana"/>
          <w:bCs/>
          <w:color w:val="000000" w:themeColor="text1"/>
          <w:kern w:val="24"/>
          <w:szCs w:val="24"/>
          <w:lang w:val="lv-LV"/>
        </w:rPr>
        <w:t>gadiem indikatīvais finanšu</w:t>
      </w:r>
      <w:r>
        <w:rPr>
          <w:rFonts w:eastAsia="Verdana"/>
          <w:bCs/>
          <w:color w:val="000000" w:themeColor="text1"/>
          <w:kern w:val="24"/>
          <w:szCs w:val="24"/>
          <w:lang w:val="lv-LV"/>
        </w:rPr>
        <w:t xml:space="preserve"> līdzekļu ietaupījums veidojas </w:t>
      </w:r>
      <w:r w:rsidRPr="0062608D">
        <w:rPr>
          <w:rFonts w:eastAsia="Verdana"/>
          <w:bCs/>
          <w:color w:val="000000" w:themeColor="text1"/>
          <w:kern w:val="24"/>
          <w:szCs w:val="24"/>
          <w:lang w:val="lv-LV"/>
        </w:rPr>
        <w:t>sākot ar 2028.</w:t>
      </w:r>
      <w:r>
        <w:rPr>
          <w:rFonts w:eastAsia="Verdana"/>
          <w:bCs/>
          <w:color w:val="000000" w:themeColor="text1"/>
          <w:kern w:val="24"/>
          <w:szCs w:val="24"/>
          <w:lang w:val="lv-LV"/>
        </w:rPr>
        <w:t xml:space="preserve"> </w:t>
      </w:r>
      <w:r w:rsidRPr="0062608D">
        <w:rPr>
          <w:rFonts w:eastAsia="Verdana"/>
          <w:bCs/>
          <w:color w:val="000000" w:themeColor="text1"/>
          <w:kern w:val="24"/>
          <w:szCs w:val="24"/>
          <w:lang w:val="lv-LV"/>
        </w:rPr>
        <w:t>gadu.</w:t>
      </w:r>
    </w:p>
    <w:p w14:paraId="16A62F92" w14:textId="77777777" w:rsidR="004426B8" w:rsidRDefault="004D618E" w:rsidP="00471534">
      <w:pPr>
        <w:spacing w:before="120" w:after="0"/>
        <w:jc w:val="center"/>
        <w:rPr>
          <w:rFonts w:eastAsia="Verdana"/>
          <w:b/>
          <w:bCs/>
          <w:color w:val="000000" w:themeColor="text1"/>
          <w:kern w:val="24"/>
          <w:lang w:val="lv-LV"/>
        </w:rPr>
      </w:pPr>
      <w:r w:rsidRPr="004D618E">
        <w:rPr>
          <w:rFonts w:eastAsia="Verdana"/>
          <w:b/>
          <w:bCs/>
          <w:color w:val="000000" w:themeColor="text1"/>
          <w:kern w:val="24"/>
          <w:lang w:val="lv-LV"/>
        </w:rPr>
        <w:t xml:space="preserve">Plānveida veselības aprūpes pakalpojumu nodrošināšana </w:t>
      </w:r>
    </w:p>
    <w:p w14:paraId="2FDDF15B" w14:textId="32A8F405" w:rsidR="004D618E" w:rsidRPr="004D618E" w:rsidRDefault="004D618E" w:rsidP="00471534">
      <w:pPr>
        <w:jc w:val="center"/>
        <w:rPr>
          <w:rFonts w:eastAsia="Verdana"/>
          <w:color w:val="000000" w:themeColor="text1"/>
          <w:kern w:val="24"/>
          <w:lang w:val="lv-LV"/>
        </w:rPr>
      </w:pPr>
      <w:r w:rsidRPr="004D618E">
        <w:rPr>
          <w:rFonts w:eastAsia="Verdana"/>
          <w:b/>
          <w:bCs/>
          <w:color w:val="000000" w:themeColor="text1"/>
          <w:kern w:val="24"/>
          <w:lang w:val="lv-LV"/>
        </w:rPr>
        <w:t>citā ES, EEZ dalībvalstī vai Šveicē</w:t>
      </w:r>
    </w:p>
    <w:p w14:paraId="7080F7FD" w14:textId="77777777" w:rsidR="004D618E" w:rsidRPr="004D618E" w:rsidRDefault="004D618E" w:rsidP="00105C87">
      <w:pPr>
        <w:spacing w:before="120"/>
        <w:ind w:firstLine="720"/>
        <w:rPr>
          <w:rFonts w:eastAsia="Verdana"/>
          <w:color w:val="000000"/>
          <w:kern w:val="24"/>
          <w:lang w:val="lv-LV"/>
        </w:rPr>
      </w:pPr>
      <w:r w:rsidRPr="004D618E">
        <w:rPr>
          <w:rFonts w:eastAsia="Verdana"/>
          <w:color w:val="000000"/>
          <w:kern w:val="24"/>
          <w:lang w:val="lv-LV"/>
        </w:rPr>
        <w:t>Lai saņemtu konkrētus plānveida veselības aprūpes pakalpojumus ārpus Latvijas teritorijas (citā ES, EEZ dalībvalstī vai Šveicē), ir jāsaņem kompetentās iestādes (NVD) atļauja, kas apliecina personas tiesības citā valstī saņemt no valsts budžeta apmaksātos veselības aprūpes pakalpojumus. Atļauja doties uz citu dalībvalsti tiek noformēta kā S2 veidlapa</w:t>
      </w:r>
      <w:r w:rsidRPr="004D618E">
        <w:rPr>
          <w:rStyle w:val="FootnoteReference"/>
          <w:rFonts w:eastAsia="Verdana"/>
          <w:color w:val="000000"/>
          <w:kern w:val="24"/>
          <w:lang w:val="lv-LV"/>
        </w:rPr>
        <w:footnoteReference w:id="32"/>
      </w:r>
      <w:r w:rsidRPr="004D618E">
        <w:rPr>
          <w:rFonts w:eastAsia="Verdana"/>
          <w:color w:val="000000"/>
          <w:kern w:val="24"/>
          <w:lang w:val="lv-LV"/>
        </w:rPr>
        <w:t>. Kompetentā iestāde (NVD), nolemjot, ka personai ir tiesības doties uz citu dalībvalsti saņemt veselības aprūpes pakalpojumus, neizsniedz personai naudas līdzekļus, kā arī neveic tiešus maksājumus ārstniecības iestādei, bet izsniedz S2 veidlapu. Attiecīgā veidlapa ir kā garantija, ka dalībvalsts, kas personai izsniegusi S2 veidlapu, norēķināsies ar dalībvalsti, kurā personai tiks sniegts konkrētais nepieciešamais plānveida veselības aprūpes pakalpojums. NVD S2 veidlapu izsniedz, ja ir izpildījušies šādi nosacījumi:</w:t>
      </w:r>
      <w:r w:rsidRPr="004D618E">
        <w:rPr>
          <w:rFonts w:eastAsia="Verdana"/>
          <w:color w:val="000000"/>
          <w:kern w:val="24"/>
          <w:lang w:val="lv-LV"/>
        </w:rPr>
        <w:tab/>
      </w:r>
      <w:r w:rsidRPr="004D618E">
        <w:rPr>
          <w:rFonts w:eastAsia="Verdana"/>
          <w:color w:val="000000"/>
          <w:kern w:val="24"/>
          <w:lang w:val="lv-LV"/>
        </w:rPr>
        <w:tab/>
      </w:r>
      <w:r w:rsidRPr="004D618E">
        <w:rPr>
          <w:rFonts w:eastAsia="Verdana"/>
          <w:color w:val="000000"/>
          <w:kern w:val="24"/>
          <w:lang w:val="lv-LV"/>
        </w:rPr>
        <w:tab/>
      </w:r>
      <w:r w:rsidRPr="004D618E">
        <w:rPr>
          <w:rFonts w:eastAsia="Verdana"/>
          <w:color w:val="000000"/>
          <w:kern w:val="24"/>
          <w:lang w:val="lv-LV"/>
        </w:rPr>
        <w:tab/>
      </w:r>
      <w:r w:rsidRPr="004D618E">
        <w:rPr>
          <w:rFonts w:eastAsia="Verdana"/>
          <w:color w:val="000000"/>
          <w:kern w:val="24"/>
          <w:lang w:val="lv-LV"/>
        </w:rPr>
        <w:tab/>
      </w:r>
    </w:p>
    <w:p w14:paraId="1EB68D23" w14:textId="77777777" w:rsidR="004D618E" w:rsidRPr="004D618E" w:rsidRDefault="004D618E" w:rsidP="00105C87">
      <w:pPr>
        <w:pStyle w:val="ListParagraph"/>
        <w:numPr>
          <w:ilvl w:val="0"/>
          <w:numId w:val="27"/>
        </w:numPr>
        <w:spacing w:before="120"/>
        <w:ind w:left="993" w:hanging="284"/>
        <w:contextualSpacing w:val="0"/>
        <w:rPr>
          <w:rFonts w:eastAsia="Verdana"/>
          <w:color w:val="000000"/>
          <w:kern w:val="24"/>
          <w:lang w:val="lv-LV"/>
        </w:rPr>
      </w:pPr>
      <w:r w:rsidRPr="004D618E">
        <w:rPr>
          <w:rFonts w:eastAsia="Verdana"/>
          <w:color w:val="000000"/>
          <w:kern w:val="24"/>
          <w:lang w:val="lv-LV"/>
        </w:rPr>
        <w:t xml:space="preserve">persona ir apdrošināta Latvijā; </w:t>
      </w:r>
    </w:p>
    <w:p w14:paraId="5C5144AA" w14:textId="77777777" w:rsidR="004D618E" w:rsidRPr="004D618E" w:rsidRDefault="004D618E" w:rsidP="00105C87">
      <w:pPr>
        <w:pStyle w:val="ListParagraph"/>
        <w:numPr>
          <w:ilvl w:val="0"/>
          <w:numId w:val="27"/>
        </w:numPr>
        <w:spacing w:before="120"/>
        <w:ind w:left="993" w:hanging="284"/>
        <w:contextualSpacing w:val="0"/>
        <w:rPr>
          <w:rFonts w:eastAsia="Verdana"/>
          <w:color w:val="000000"/>
          <w:kern w:val="24"/>
          <w:lang w:val="lv-LV"/>
        </w:rPr>
      </w:pPr>
      <w:r w:rsidRPr="004D618E">
        <w:rPr>
          <w:rFonts w:eastAsia="Verdana"/>
          <w:color w:val="000000"/>
          <w:kern w:val="24"/>
          <w:lang w:val="lv-LV"/>
        </w:rPr>
        <w:lastRenderedPageBreak/>
        <w:t>personai nepieciešamais veselības aprūpes pakalpojums ietilpst valsts apmaksāto veselības aprūpes pakalpojumu klāstā;</w:t>
      </w:r>
    </w:p>
    <w:p w14:paraId="34C41C81" w14:textId="77777777" w:rsidR="004D618E" w:rsidRPr="004D618E" w:rsidRDefault="004D618E" w:rsidP="00105C87">
      <w:pPr>
        <w:pStyle w:val="ListParagraph"/>
        <w:numPr>
          <w:ilvl w:val="0"/>
          <w:numId w:val="27"/>
        </w:numPr>
        <w:spacing w:before="120"/>
        <w:ind w:left="993" w:hanging="284"/>
        <w:contextualSpacing w:val="0"/>
        <w:rPr>
          <w:rFonts w:eastAsia="Verdana"/>
          <w:color w:val="000000"/>
          <w:kern w:val="24"/>
          <w:lang w:val="lv-LV"/>
        </w:rPr>
      </w:pPr>
      <w:r w:rsidRPr="004D618E">
        <w:rPr>
          <w:rFonts w:eastAsia="Verdana"/>
          <w:color w:val="000000"/>
          <w:kern w:val="24"/>
          <w:lang w:val="lv-LV"/>
        </w:rPr>
        <w:t>iesnieguma izskatīšanas laikā neviena ārstniecības iestāde, kas sniedz valsts apmaksātus veselības aprūpes pakalpojumus, nevar nodrošināt personai nepieciešamo veselības aprūpes pakalpojumu, un par to ir saņemts pamatots ārstniecības iestādes atzinums;</w:t>
      </w:r>
    </w:p>
    <w:p w14:paraId="6286462C" w14:textId="77777777" w:rsidR="004D618E" w:rsidRPr="004D618E" w:rsidRDefault="004D618E" w:rsidP="00105C87">
      <w:pPr>
        <w:pStyle w:val="ListParagraph"/>
        <w:numPr>
          <w:ilvl w:val="0"/>
          <w:numId w:val="27"/>
        </w:numPr>
        <w:spacing w:before="120"/>
        <w:ind w:left="993" w:hanging="284"/>
        <w:contextualSpacing w:val="0"/>
        <w:rPr>
          <w:rFonts w:eastAsia="Verdana"/>
          <w:color w:val="000000"/>
          <w:kern w:val="24"/>
          <w:lang w:val="lv-LV"/>
        </w:rPr>
      </w:pPr>
      <w:r w:rsidRPr="004D618E">
        <w:rPr>
          <w:rFonts w:eastAsia="Verdana"/>
          <w:color w:val="000000"/>
          <w:kern w:val="24"/>
          <w:lang w:val="lv-LV"/>
        </w:rPr>
        <w:t>veselības aprūpes pakalpojums personai ir nepieciešams, lai novērstu dzīvības funkciju vai veselības stāvokļa neatgriezenisku pasliktināšanos, ņemot vērā personas veselības stāvokli izvērtēšanas brīdī un paredzamo slimības attīstību;</w:t>
      </w:r>
    </w:p>
    <w:p w14:paraId="543EE07F" w14:textId="77777777" w:rsidR="004D618E" w:rsidRPr="004D618E" w:rsidRDefault="004D618E" w:rsidP="00105C87">
      <w:pPr>
        <w:pStyle w:val="ListParagraph"/>
        <w:numPr>
          <w:ilvl w:val="0"/>
          <w:numId w:val="27"/>
        </w:numPr>
        <w:spacing w:before="120"/>
        <w:ind w:left="993" w:hanging="284"/>
        <w:contextualSpacing w:val="0"/>
        <w:rPr>
          <w:rFonts w:eastAsia="Verdana"/>
          <w:color w:val="000000"/>
          <w:kern w:val="24"/>
          <w:lang w:val="lv-LV"/>
        </w:rPr>
      </w:pPr>
      <w:r w:rsidRPr="004D618E">
        <w:rPr>
          <w:rFonts w:eastAsia="Verdana"/>
          <w:color w:val="000000"/>
          <w:kern w:val="24"/>
          <w:lang w:val="lv-LV"/>
        </w:rPr>
        <w:t>personai nepieciešamais plānveida veselības aprūpes pakalpojums netiek sniegts klīnisku pētījumu ietvaros, kā arī tam neizmanto eksperimentālu ārstniecības tehnoloģiju.</w:t>
      </w:r>
    </w:p>
    <w:p w14:paraId="0B37522A" w14:textId="77777777" w:rsidR="004D618E" w:rsidRPr="004D618E" w:rsidRDefault="004D618E" w:rsidP="00105C87">
      <w:pPr>
        <w:spacing w:before="120"/>
        <w:ind w:firstLine="720"/>
        <w:rPr>
          <w:rFonts w:eastAsia="Verdana"/>
          <w:color w:val="000000"/>
          <w:kern w:val="24"/>
          <w:lang w:val="lv-LV"/>
        </w:rPr>
      </w:pPr>
      <w:r w:rsidRPr="004D618E">
        <w:rPr>
          <w:rFonts w:eastAsia="Verdana"/>
          <w:color w:val="000000"/>
          <w:kern w:val="24"/>
          <w:lang w:val="lv-LV"/>
        </w:rPr>
        <w:t xml:space="preserve">Lai izvērtētu valsts budžeta apmaksātos plānveida veselības aprūpes pakalpojumus citā ES, EEZ dalībvalstī vai Šveicē (turpmāk – plānveida veselības aprūpes pakalpojumi nodrošināšanai ārvalstīs), FM pieprasīja informāciju un veica analīzi par VM valsts budžeta apmaksātajiem plānveida veselības aprūpes pakalpojumiem ārvalstīs laika posmā no 2016. – 2020. gadam. Redzams, ka šajā laika periodā 92% gadījumu pieprasīto plānveida veselības aprūpes pakalpojumu nodrošināšanai ārvalstīs NVD lēmums par šo pakalpojumu nodrošināšanu ir bijis labvēlīgs jeb pakalpojuma pieprasītājam apstiprināts (Attēls Nr. 3.1.4.). NVD ir sniedzis informāciju, ka </w:t>
      </w:r>
      <w:r w:rsidRPr="004D618E">
        <w:rPr>
          <w:lang w:val="lv-LV"/>
        </w:rPr>
        <w:t xml:space="preserve">izsniegto atļauju saņemt plānveida veselības aprūpes pakalpojumus (S2) skaits ir tieši saistīts ar nepieciešamību, kā arī ar iespēju pakalpojumu nodrošināt Latvijā. Pakalpojumu “nodrošināšanas grozs” laika gaitā pakāpeniski palielinās, piemēram, kopš 2018. gada no valsts budžeta līdzekļiem tiek apmaksāta plaušu transplantācija un ar to saistītie pakalpojumi. </w:t>
      </w:r>
    </w:p>
    <w:p w14:paraId="6457C98E" w14:textId="4DD7672E" w:rsidR="004D618E" w:rsidRPr="004D618E" w:rsidRDefault="004D618E" w:rsidP="004D618E">
      <w:pPr>
        <w:jc w:val="center"/>
        <w:rPr>
          <w:rFonts w:eastAsia="Verdana"/>
          <w:b/>
          <w:bCs/>
          <w:color w:val="000000"/>
          <w:kern w:val="24"/>
          <w:sz w:val="22"/>
          <w:szCs w:val="20"/>
          <w:lang w:val="lv-LV"/>
        </w:rPr>
      </w:pPr>
      <w:r w:rsidRPr="004D618E">
        <w:rPr>
          <w:rFonts w:eastAsia="Verdana"/>
          <w:b/>
          <w:bCs/>
          <w:i/>
          <w:iCs/>
          <w:color w:val="000000"/>
          <w:kern w:val="24"/>
          <w:sz w:val="22"/>
          <w:szCs w:val="20"/>
          <w:lang w:val="lv-LV"/>
        </w:rPr>
        <w:t>3.1.4. attēls</w:t>
      </w:r>
      <w:r w:rsidRPr="004D618E">
        <w:rPr>
          <w:rFonts w:eastAsia="Verdana"/>
          <w:b/>
          <w:bCs/>
          <w:color w:val="000000"/>
          <w:kern w:val="24"/>
          <w:sz w:val="22"/>
          <w:szCs w:val="20"/>
          <w:lang w:val="lv-LV"/>
        </w:rPr>
        <w:t xml:space="preserve"> Lēmums par pieprasīto plānveida veselības aprūpes pakalpojumu nodrošināšanu</w:t>
      </w:r>
      <w:r w:rsidR="00FF342C">
        <w:rPr>
          <w:rFonts w:eastAsia="Verdana"/>
          <w:b/>
          <w:bCs/>
          <w:color w:val="000000"/>
          <w:kern w:val="24"/>
          <w:sz w:val="22"/>
          <w:szCs w:val="20"/>
          <w:lang w:val="lv-LV"/>
        </w:rPr>
        <w:t xml:space="preserve"> </w:t>
      </w:r>
      <w:r w:rsidRPr="004D618E">
        <w:rPr>
          <w:rFonts w:eastAsia="Verdana"/>
          <w:b/>
          <w:bCs/>
          <w:color w:val="000000" w:themeColor="text1"/>
          <w:kern w:val="24"/>
          <w:sz w:val="22"/>
          <w:szCs w:val="20"/>
          <w:lang w:val="lv-LV"/>
        </w:rPr>
        <w:t>ārvalstīs</w:t>
      </w:r>
      <w:r w:rsidRPr="004D618E">
        <w:rPr>
          <w:rFonts w:eastAsia="Verdana"/>
          <w:b/>
          <w:bCs/>
          <w:color w:val="000000"/>
          <w:kern w:val="24"/>
          <w:sz w:val="22"/>
          <w:szCs w:val="20"/>
          <w:lang w:val="lv-LV"/>
        </w:rPr>
        <w:t xml:space="preserve"> no 2016. – 2020. gadam</w:t>
      </w:r>
    </w:p>
    <w:p w14:paraId="1B3E8148" w14:textId="18299131" w:rsidR="004D618E" w:rsidRPr="00A65D3D" w:rsidRDefault="004D618E" w:rsidP="00A65D3D">
      <w:pPr>
        <w:jc w:val="center"/>
        <w:rPr>
          <w:lang w:val="lv-LV"/>
        </w:rPr>
      </w:pPr>
      <w:r w:rsidRPr="004D618E">
        <w:rPr>
          <w:noProof/>
          <w:lang w:val="lv-LV" w:eastAsia="lv-LV"/>
        </w:rPr>
        <w:drawing>
          <wp:inline distT="0" distB="0" distL="0" distR="0" wp14:anchorId="6CADBF74" wp14:editId="6096AAD1">
            <wp:extent cx="5742432" cy="29870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77339" cy="3005197"/>
                    </a:xfrm>
                    <a:prstGeom prst="rect">
                      <a:avLst/>
                    </a:prstGeom>
                    <a:noFill/>
                  </pic:spPr>
                </pic:pic>
              </a:graphicData>
            </a:graphic>
          </wp:inline>
        </w:drawing>
      </w:r>
    </w:p>
    <w:p w14:paraId="47F27981" w14:textId="77777777" w:rsidR="004D618E" w:rsidRPr="004D618E" w:rsidRDefault="004D618E" w:rsidP="00105C87">
      <w:pPr>
        <w:spacing w:before="120"/>
        <w:ind w:firstLine="720"/>
        <w:rPr>
          <w:rFonts w:eastAsia="Verdana"/>
          <w:color w:val="000000"/>
          <w:kern w:val="24"/>
          <w:lang w:val="lv-LV"/>
        </w:rPr>
      </w:pPr>
      <w:r w:rsidRPr="004D618E">
        <w:rPr>
          <w:rFonts w:eastAsia="Verdana"/>
          <w:color w:val="000000"/>
          <w:kern w:val="24"/>
          <w:lang w:val="lv-LV"/>
        </w:rPr>
        <w:t>Visbiežāk tiek pieprasīti sekojoši plānveida veselības aprūpes pakalpojumi nodrošināšanai ārvalstīs:</w:t>
      </w:r>
    </w:p>
    <w:p w14:paraId="3C2C153E" w14:textId="77777777" w:rsidR="004D618E" w:rsidRPr="004D618E" w:rsidRDefault="004D618E" w:rsidP="00105C87">
      <w:pPr>
        <w:pStyle w:val="ListParagraph"/>
        <w:numPr>
          <w:ilvl w:val="0"/>
          <w:numId w:val="29"/>
        </w:numPr>
        <w:spacing w:before="120"/>
        <w:ind w:left="993" w:hanging="284"/>
        <w:contextualSpacing w:val="0"/>
        <w:rPr>
          <w:lang w:val="lv-LV"/>
        </w:rPr>
      </w:pPr>
      <w:r w:rsidRPr="004D618E">
        <w:rPr>
          <w:lang w:val="lv-LV"/>
        </w:rPr>
        <w:lastRenderedPageBreak/>
        <w:t>beta aplikatora brahioterapija abām acīm, dažādas himērisma analīzes, pakalpojumu bloks (apmaksāti tiek visi nepieciešamie pakalpojumi), kas ietver ārpusģimenes cilmes šūnu donora meklēšana, alogēna perifēro asiņu cilmes šūnu transplantācija, komplikāciju gadījumā – donora limfocītu infūzija un komplikāciju ārstēšana, pakalpojumu komplekss (apmaksāti tiek visi nepieciešamie pakalpojumi) – cilmes šūnu donora meklēšana;</w:t>
      </w:r>
    </w:p>
    <w:p w14:paraId="0237BB07" w14:textId="77777777" w:rsidR="004D618E" w:rsidRPr="004D618E" w:rsidRDefault="004D618E" w:rsidP="00105C87">
      <w:pPr>
        <w:pStyle w:val="ListParagraph"/>
        <w:numPr>
          <w:ilvl w:val="0"/>
          <w:numId w:val="28"/>
        </w:numPr>
        <w:spacing w:before="120"/>
        <w:ind w:left="993" w:hanging="284"/>
        <w:contextualSpacing w:val="0"/>
        <w:rPr>
          <w:lang w:val="lv-LV"/>
        </w:rPr>
      </w:pPr>
      <w:r w:rsidRPr="004D618E">
        <w:rPr>
          <w:lang w:val="lv-LV"/>
        </w:rPr>
        <w:t>donora HLA tipēšana;</w:t>
      </w:r>
    </w:p>
    <w:p w14:paraId="2F0EA44E" w14:textId="77777777" w:rsidR="004D618E" w:rsidRPr="004D618E" w:rsidRDefault="004D618E" w:rsidP="00105C87">
      <w:pPr>
        <w:pStyle w:val="ListParagraph"/>
        <w:numPr>
          <w:ilvl w:val="0"/>
          <w:numId w:val="28"/>
        </w:numPr>
        <w:spacing w:before="120"/>
        <w:ind w:left="993" w:hanging="284"/>
        <w:contextualSpacing w:val="0"/>
        <w:rPr>
          <w:lang w:val="lv-LV"/>
        </w:rPr>
      </w:pPr>
      <w:r w:rsidRPr="004D618E">
        <w:rPr>
          <w:lang w:val="lv-LV"/>
        </w:rPr>
        <w:t>pacienta izmeklēšana un konsultācija;</w:t>
      </w:r>
    </w:p>
    <w:p w14:paraId="5FC216FC" w14:textId="77777777" w:rsidR="004D618E" w:rsidRPr="004D618E" w:rsidRDefault="004D618E" w:rsidP="00105C87">
      <w:pPr>
        <w:pStyle w:val="ListParagraph"/>
        <w:numPr>
          <w:ilvl w:val="0"/>
          <w:numId w:val="28"/>
        </w:numPr>
        <w:spacing w:before="120"/>
        <w:ind w:left="993" w:hanging="284"/>
        <w:contextualSpacing w:val="0"/>
        <w:rPr>
          <w:lang w:val="lv-LV"/>
        </w:rPr>
      </w:pPr>
      <w:r w:rsidRPr="004D618E">
        <w:rPr>
          <w:lang w:val="lv-LV"/>
        </w:rPr>
        <w:t>neradniecisku hemopoētisko cilmes šūnu donācija, alogēna cilmes šūnu transplantācija un pēctransplantācijas komplikāciju ārstēšana, kā arī minimālo reziduālo slimību (MRD) kontroles (dažādi kontroles ilgumi).</w:t>
      </w:r>
    </w:p>
    <w:p w14:paraId="711C450E" w14:textId="06E7738D" w:rsidR="00A65D3D" w:rsidRPr="004D618E" w:rsidRDefault="004D618E" w:rsidP="00105C87">
      <w:pPr>
        <w:spacing w:before="120"/>
        <w:ind w:firstLine="720"/>
        <w:rPr>
          <w:lang w:val="lv-LV"/>
        </w:rPr>
      </w:pPr>
      <w:r w:rsidRPr="004D618E">
        <w:rPr>
          <w:lang w:val="lv-LV"/>
        </w:rPr>
        <w:t>Visbiežāk šie pakalpojumi tiek īstenoti Igaunijā, Lietuvā un Vācijā (Tabula Nr. 3.1.7.).</w:t>
      </w:r>
    </w:p>
    <w:p w14:paraId="632339FF" w14:textId="77777777" w:rsidR="004D618E" w:rsidRPr="004D618E" w:rsidRDefault="004D618E" w:rsidP="004D618E">
      <w:pPr>
        <w:jc w:val="center"/>
        <w:rPr>
          <w:sz w:val="22"/>
          <w:szCs w:val="20"/>
          <w:lang w:val="lv-LV"/>
        </w:rPr>
      </w:pPr>
      <w:r w:rsidRPr="004D618E">
        <w:rPr>
          <w:b/>
          <w:bCs/>
          <w:i/>
          <w:iCs/>
          <w:sz w:val="22"/>
          <w:szCs w:val="20"/>
          <w:lang w:val="lv-LV"/>
        </w:rPr>
        <w:t>3.1.7. tabula</w:t>
      </w:r>
      <w:r w:rsidRPr="004D618E">
        <w:rPr>
          <w:b/>
          <w:bCs/>
          <w:sz w:val="22"/>
          <w:szCs w:val="20"/>
          <w:lang w:val="lv-LV"/>
        </w:rPr>
        <w:t xml:space="preserve"> Visbiežāk pieprasītie </w:t>
      </w:r>
      <w:r w:rsidRPr="004D618E">
        <w:rPr>
          <w:rFonts w:eastAsia="Verdana"/>
          <w:b/>
          <w:bCs/>
          <w:color w:val="000000"/>
          <w:kern w:val="24"/>
          <w:sz w:val="22"/>
          <w:szCs w:val="20"/>
          <w:lang w:val="lv-LV"/>
        </w:rPr>
        <w:t>plānveida veselības aprūpes pakalpojumi nodrošināšanai ārvalstīs no 2016. – 2020. gadam un to izpildes valsts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14"/>
        <w:gridCol w:w="863"/>
        <w:gridCol w:w="868"/>
        <w:gridCol w:w="864"/>
        <w:gridCol w:w="863"/>
        <w:gridCol w:w="864"/>
        <w:gridCol w:w="578"/>
        <w:gridCol w:w="1147"/>
      </w:tblGrid>
      <w:tr w:rsidR="004D618E" w:rsidRPr="004D618E" w14:paraId="7E113843" w14:textId="77777777" w:rsidTr="002F55CD">
        <w:trPr>
          <w:trHeight w:val="726"/>
          <w:tblHeader/>
          <w:jc w:val="center"/>
        </w:trPr>
        <w:tc>
          <w:tcPr>
            <w:tcW w:w="1663" w:type="pct"/>
            <w:shd w:val="clear" w:color="auto" w:fill="8EAADB" w:themeFill="accent5" w:themeFillTint="99"/>
            <w:tcMar>
              <w:top w:w="5" w:type="dxa"/>
              <w:left w:w="5" w:type="dxa"/>
              <w:bottom w:w="0" w:type="dxa"/>
              <w:right w:w="5" w:type="dxa"/>
            </w:tcMar>
            <w:vAlign w:val="center"/>
            <w:hideMark/>
          </w:tcPr>
          <w:p w14:paraId="5974E372" w14:textId="77777777" w:rsidR="004D618E" w:rsidRPr="004D618E" w:rsidRDefault="004D618E" w:rsidP="004D618E">
            <w:pPr>
              <w:jc w:val="center"/>
              <w:rPr>
                <w:sz w:val="18"/>
                <w:szCs w:val="18"/>
                <w:lang w:val="lv-LV"/>
              </w:rPr>
            </w:pPr>
            <w:r w:rsidRPr="004D618E">
              <w:rPr>
                <w:b/>
                <w:bCs/>
                <w:sz w:val="18"/>
                <w:szCs w:val="18"/>
                <w:lang w:val="lv-LV"/>
              </w:rPr>
              <w:t xml:space="preserve">Pieprasītais pakalpojums/epizode/manipulācija </w:t>
            </w:r>
          </w:p>
        </w:tc>
        <w:tc>
          <w:tcPr>
            <w:tcW w:w="476" w:type="pct"/>
            <w:shd w:val="clear" w:color="auto" w:fill="8EAADB" w:themeFill="accent5" w:themeFillTint="99"/>
            <w:tcMar>
              <w:top w:w="5" w:type="dxa"/>
              <w:left w:w="5" w:type="dxa"/>
              <w:bottom w:w="0" w:type="dxa"/>
              <w:right w:w="5" w:type="dxa"/>
            </w:tcMar>
            <w:vAlign w:val="center"/>
            <w:hideMark/>
          </w:tcPr>
          <w:p w14:paraId="74467742" w14:textId="77777777" w:rsidR="004D618E" w:rsidRPr="004D618E" w:rsidRDefault="004D618E" w:rsidP="004D618E">
            <w:pPr>
              <w:jc w:val="center"/>
              <w:rPr>
                <w:sz w:val="18"/>
                <w:szCs w:val="18"/>
                <w:lang w:val="lv-LV"/>
              </w:rPr>
            </w:pPr>
            <w:r w:rsidRPr="004D618E">
              <w:rPr>
                <w:b/>
                <w:bCs/>
                <w:sz w:val="18"/>
                <w:szCs w:val="18"/>
                <w:lang w:val="lv-LV"/>
              </w:rPr>
              <w:t>2016. gads (skaits)</w:t>
            </w:r>
          </w:p>
        </w:tc>
        <w:tc>
          <w:tcPr>
            <w:tcW w:w="479" w:type="pct"/>
            <w:shd w:val="clear" w:color="auto" w:fill="8EAADB" w:themeFill="accent5" w:themeFillTint="99"/>
            <w:tcMar>
              <w:top w:w="5" w:type="dxa"/>
              <w:left w:w="5" w:type="dxa"/>
              <w:bottom w:w="0" w:type="dxa"/>
              <w:right w:w="5" w:type="dxa"/>
            </w:tcMar>
            <w:vAlign w:val="center"/>
            <w:hideMark/>
          </w:tcPr>
          <w:p w14:paraId="4E5A1FED" w14:textId="77777777" w:rsidR="004D618E" w:rsidRPr="004D618E" w:rsidRDefault="004D618E" w:rsidP="004D618E">
            <w:pPr>
              <w:jc w:val="center"/>
              <w:rPr>
                <w:sz w:val="18"/>
                <w:szCs w:val="18"/>
                <w:lang w:val="lv-LV"/>
              </w:rPr>
            </w:pPr>
            <w:r w:rsidRPr="004D618E">
              <w:rPr>
                <w:b/>
                <w:bCs/>
                <w:sz w:val="18"/>
                <w:szCs w:val="18"/>
                <w:lang w:val="lv-LV"/>
              </w:rPr>
              <w:t>2017. gads (skaits)</w:t>
            </w:r>
          </w:p>
        </w:tc>
        <w:tc>
          <w:tcPr>
            <w:tcW w:w="477" w:type="pct"/>
            <w:shd w:val="clear" w:color="auto" w:fill="8EAADB" w:themeFill="accent5" w:themeFillTint="99"/>
            <w:tcMar>
              <w:top w:w="5" w:type="dxa"/>
              <w:left w:w="5" w:type="dxa"/>
              <w:bottom w:w="0" w:type="dxa"/>
              <w:right w:w="5" w:type="dxa"/>
            </w:tcMar>
            <w:vAlign w:val="center"/>
            <w:hideMark/>
          </w:tcPr>
          <w:p w14:paraId="7287B829" w14:textId="77777777" w:rsidR="004D618E" w:rsidRPr="004D618E" w:rsidRDefault="004D618E" w:rsidP="004D618E">
            <w:pPr>
              <w:jc w:val="center"/>
              <w:rPr>
                <w:sz w:val="18"/>
                <w:szCs w:val="18"/>
                <w:lang w:val="lv-LV"/>
              </w:rPr>
            </w:pPr>
            <w:r w:rsidRPr="004D618E">
              <w:rPr>
                <w:b/>
                <w:bCs/>
                <w:sz w:val="18"/>
                <w:szCs w:val="18"/>
                <w:lang w:val="lv-LV"/>
              </w:rPr>
              <w:t>2018. gads (skaits)</w:t>
            </w:r>
          </w:p>
        </w:tc>
        <w:tc>
          <w:tcPr>
            <w:tcW w:w="476" w:type="pct"/>
            <w:shd w:val="clear" w:color="auto" w:fill="8EAADB" w:themeFill="accent5" w:themeFillTint="99"/>
            <w:tcMar>
              <w:top w:w="5" w:type="dxa"/>
              <w:left w:w="5" w:type="dxa"/>
              <w:bottom w:w="0" w:type="dxa"/>
              <w:right w:w="5" w:type="dxa"/>
            </w:tcMar>
            <w:vAlign w:val="center"/>
            <w:hideMark/>
          </w:tcPr>
          <w:p w14:paraId="5BB100C4" w14:textId="77777777" w:rsidR="004D618E" w:rsidRPr="004D618E" w:rsidRDefault="004D618E" w:rsidP="004D618E">
            <w:pPr>
              <w:jc w:val="center"/>
              <w:rPr>
                <w:sz w:val="18"/>
                <w:szCs w:val="18"/>
                <w:lang w:val="lv-LV"/>
              </w:rPr>
            </w:pPr>
            <w:r w:rsidRPr="004D618E">
              <w:rPr>
                <w:b/>
                <w:bCs/>
                <w:sz w:val="18"/>
                <w:szCs w:val="18"/>
                <w:lang w:val="lv-LV"/>
              </w:rPr>
              <w:t>2019. gads (skaits)</w:t>
            </w:r>
          </w:p>
        </w:tc>
        <w:tc>
          <w:tcPr>
            <w:tcW w:w="477" w:type="pct"/>
            <w:shd w:val="clear" w:color="auto" w:fill="8EAADB" w:themeFill="accent5" w:themeFillTint="99"/>
            <w:tcMar>
              <w:top w:w="5" w:type="dxa"/>
              <w:left w:w="5" w:type="dxa"/>
              <w:bottom w:w="0" w:type="dxa"/>
              <w:right w:w="5" w:type="dxa"/>
            </w:tcMar>
            <w:vAlign w:val="center"/>
            <w:hideMark/>
          </w:tcPr>
          <w:p w14:paraId="3077536B" w14:textId="77777777" w:rsidR="004D618E" w:rsidRPr="004D618E" w:rsidRDefault="004D618E" w:rsidP="004D618E">
            <w:pPr>
              <w:jc w:val="center"/>
              <w:rPr>
                <w:sz w:val="18"/>
                <w:szCs w:val="18"/>
                <w:lang w:val="lv-LV"/>
              </w:rPr>
            </w:pPr>
            <w:r w:rsidRPr="004D618E">
              <w:rPr>
                <w:b/>
                <w:bCs/>
                <w:sz w:val="18"/>
                <w:szCs w:val="18"/>
                <w:lang w:val="lv-LV"/>
              </w:rPr>
              <w:t>2020. gads (skaits)</w:t>
            </w:r>
          </w:p>
        </w:tc>
        <w:tc>
          <w:tcPr>
            <w:tcW w:w="319" w:type="pct"/>
            <w:shd w:val="clear" w:color="auto" w:fill="8EAADB" w:themeFill="accent5" w:themeFillTint="99"/>
            <w:tcMar>
              <w:top w:w="5" w:type="dxa"/>
              <w:left w:w="5" w:type="dxa"/>
              <w:bottom w:w="0" w:type="dxa"/>
              <w:right w:w="5" w:type="dxa"/>
            </w:tcMar>
            <w:vAlign w:val="center"/>
            <w:hideMark/>
          </w:tcPr>
          <w:p w14:paraId="6CC7FF25" w14:textId="77777777" w:rsidR="004D618E" w:rsidRPr="004D618E" w:rsidRDefault="004D618E" w:rsidP="004D618E">
            <w:pPr>
              <w:jc w:val="center"/>
              <w:rPr>
                <w:sz w:val="18"/>
                <w:szCs w:val="18"/>
                <w:lang w:val="lv-LV"/>
              </w:rPr>
            </w:pPr>
            <w:r w:rsidRPr="004D618E">
              <w:rPr>
                <w:b/>
                <w:bCs/>
                <w:sz w:val="18"/>
                <w:szCs w:val="18"/>
                <w:lang w:val="lv-LV"/>
              </w:rPr>
              <w:t>Kopā (skaits)</w:t>
            </w:r>
          </w:p>
        </w:tc>
        <w:tc>
          <w:tcPr>
            <w:tcW w:w="633" w:type="pct"/>
            <w:shd w:val="clear" w:color="auto" w:fill="8EAADB" w:themeFill="accent5" w:themeFillTint="99"/>
            <w:tcMar>
              <w:top w:w="5" w:type="dxa"/>
              <w:left w:w="5" w:type="dxa"/>
              <w:bottom w:w="0" w:type="dxa"/>
              <w:right w:w="5" w:type="dxa"/>
            </w:tcMar>
            <w:vAlign w:val="center"/>
            <w:hideMark/>
          </w:tcPr>
          <w:p w14:paraId="4F940F06" w14:textId="77777777" w:rsidR="004D618E" w:rsidRPr="004D618E" w:rsidRDefault="004D618E" w:rsidP="004D618E">
            <w:pPr>
              <w:jc w:val="center"/>
              <w:rPr>
                <w:sz w:val="18"/>
                <w:szCs w:val="18"/>
                <w:lang w:val="lv-LV"/>
              </w:rPr>
            </w:pPr>
            <w:r w:rsidRPr="004D618E">
              <w:rPr>
                <w:b/>
                <w:bCs/>
                <w:sz w:val="18"/>
                <w:szCs w:val="18"/>
                <w:lang w:val="lv-LV"/>
              </w:rPr>
              <w:t>Pakalpojuma izpildes valsts</w:t>
            </w:r>
          </w:p>
        </w:tc>
      </w:tr>
      <w:tr w:rsidR="004D618E" w:rsidRPr="004D618E" w14:paraId="5B368E49" w14:textId="77777777" w:rsidTr="002F55CD">
        <w:trPr>
          <w:trHeight w:val="266"/>
          <w:jc w:val="center"/>
        </w:trPr>
        <w:tc>
          <w:tcPr>
            <w:tcW w:w="1663" w:type="pct"/>
            <w:shd w:val="clear" w:color="auto" w:fill="D9E2F3" w:themeFill="accent5" w:themeFillTint="33"/>
            <w:tcMar>
              <w:top w:w="5" w:type="dxa"/>
              <w:left w:w="5" w:type="dxa"/>
              <w:bottom w:w="0" w:type="dxa"/>
              <w:right w:w="5" w:type="dxa"/>
            </w:tcMar>
            <w:vAlign w:val="center"/>
            <w:hideMark/>
          </w:tcPr>
          <w:p w14:paraId="75A84F6F" w14:textId="77777777" w:rsidR="004D618E" w:rsidRPr="004D618E" w:rsidRDefault="004D618E" w:rsidP="002F55CD">
            <w:pPr>
              <w:spacing w:after="0" w:line="240" w:lineRule="auto"/>
              <w:jc w:val="center"/>
              <w:rPr>
                <w:sz w:val="18"/>
                <w:szCs w:val="18"/>
                <w:lang w:val="lv-LV"/>
              </w:rPr>
            </w:pPr>
            <w:r w:rsidRPr="004D618E">
              <w:rPr>
                <w:sz w:val="18"/>
                <w:szCs w:val="18"/>
                <w:lang w:val="lv-LV"/>
              </w:rPr>
              <w:t>Beta aplikatora brahioterapija kreisajai un labajai acij (kopā)</w:t>
            </w:r>
          </w:p>
        </w:tc>
        <w:tc>
          <w:tcPr>
            <w:tcW w:w="476" w:type="pct"/>
            <w:shd w:val="clear" w:color="auto" w:fill="D9E2F3" w:themeFill="accent5" w:themeFillTint="33"/>
            <w:tcMar>
              <w:top w:w="5" w:type="dxa"/>
              <w:left w:w="5" w:type="dxa"/>
              <w:bottom w:w="0" w:type="dxa"/>
              <w:right w:w="5" w:type="dxa"/>
            </w:tcMar>
            <w:vAlign w:val="center"/>
            <w:hideMark/>
          </w:tcPr>
          <w:p w14:paraId="54FC4125" w14:textId="77777777" w:rsidR="004D618E" w:rsidRPr="004D618E" w:rsidRDefault="004D618E" w:rsidP="002F55CD">
            <w:pPr>
              <w:spacing w:after="0" w:line="240" w:lineRule="auto"/>
              <w:jc w:val="center"/>
              <w:rPr>
                <w:sz w:val="18"/>
                <w:szCs w:val="18"/>
                <w:lang w:val="lv-LV"/>
              </w:rPr>
            </w:pPr>
            <w:r w:rsidRPr="004D618E">
              <w:rPr>
                <w:sz w:val="18"/>
                <w:szCs w:val="18"/>
                <w:lang w:val="lv-LV"/>
              </w:rPr>
              <w:t>21</w:t>
            </w:r>
          </w:p>
        </w:tc>
        <w:tc>
          <w:tcPr>
            <w:tcW w:w="479" w:type="pct"/>
            <w:shd w:val="clear" w:color="auto" w:fill="D9E2F3" w:themeFill="accent5" w:themeFillTint="33"/>
            <w:tcMar>
              <w:top w:w="5" w:type="dxa"/>
              <w:left w:w="5" w:type="dxa"/>
              <w:bottom w:w="0" w:type="dxa"/>
              <w:right w:w="5" w:type="dxa"/>
            </w:tcMar>
            <w:vAlign w:val="center"/>
            <w:hideMark/>
          </w:tcPr>
          <w:p w14:paraId="6C5C10F7" w14:textId="77777777" w:rsidR="004D618E" w:rsidRPr="004D618E" w:rsidRDefault="004D618E" w:rsidP="002F55CD">
            <w:pPr>
              <w:spacing w:after="0" w:line="240" w:lineRule="auto"/>
              <w:jc w:val="center"/>
              <w:rPr>
                <w:sz w:val="18"/>
                <w:szCs w:val="18"/>
                <w:lang w:val="lv-LV"/>
              </w:rPr>
            </w:pPr>
            <w:r w:rsidRPr="004D618E">
              <w:rPr>
                <w:sz w:val="18"/>
                <w:szCs w:val="18"/>
                <w:lang w:val="lv-LV"/>
              </w:rPr>
              <w:t>18</w:t>
            </w:r>
          </w:p>
        </w:tc>
        <w:tc>
          <w:tcPr>
            <w:tcW w:w="477" w:type="pct"/>
            <w:shd w:val="clear" w:color="auto" w:fill="D9E2F3" w:themeFill="accent5" w:themeFillTint="33"/>
            <w:tcMar>
              <w:top w:w="5" w:type="dxa"/>
              <w:left w:w="5" w:type="dxa"/>
              <w:bottom w:w="0" w:type="dxa"/>
              <w:right w:w="5" w:type="dxa"/>
            </w:tcMar>
            <w:vAlign w:val="center"/>
            <w:hideMark/>
          </w:tcPr>
          <w:p w14:paraId="2303BC7B" w14:textId="77777777" w:rsidR="004D618E" w:rsidRPr="004D618E" w:rsidRDefault="004D618E" w:rsidP="002F55CD">
            <w:pPr>
              <w:spacing w:after="0" w:line="240" w:lineRule="auto"/>
              <w:jc w:val="center"/>
              <w:rPr>
                <w:sz w:val="18"/>
                <w:szCs w:val="18"/>
                <w:lang w:val="lv-LV"/>
              </w:rPr>
            </w:pPr>
            <w:r w:rsidRPr="004D618E">
              <w:rPr>
                <w:sz w:val="18"/>
                <w:szCs w:val="18"/>
                <w:lang w:val="lv-LV"/>
              </w:rPr>
              <w:t>15</w:t>
            </w:r>
          </w:p>
        </w:tc>
        <w:tc>
          <w:tcPr>
            <w:tcW w:w="476" w:type="pct"/>
            <w:shd w:val="clear" w:color="auto" w:fill="D9E2F3" w:themeFill="accent5" w:themeFillTint="33"/>
            <w:tcMar>
              <w:top w:w="5" w:type="dxa"/>
              <w:left w:w="5" w:type="dxa"/>
              <w:bottom w:w="0" w:type="dxa"/>
              <w:right w:w="5" w:type="dxa"/>
            </w:tcMar>
            <w:vAlign w:val="center"/>
            <w:hideMark/>
          </w:tcPr>
          <w:p w14:paraId="61629220" w14:textId="77777777" w:rsidR="004D618E" w:rsidRPr="004D618E" w:rsidRDefault="004D618E" w:rsidP="002F55CD">
            <w:pPr>
              <w:spacing w:after="0" w:line="240" w:lineRule="auto"/>
              <w:jc w:val="center"/>
              <w:rPr>
                <w:sz w:val="18"/>
                <w:szCs w:val="18"/>
                <w:lang w:val="lv-LV"/>
              </w:rPr>
            </w:pPr>
            <w:r w:rsidRPr="004D618E">
              <w:rPr>
                <w:sz w:val="18"/>
                <w:szCs w:val="18"/>
                <w:lang w:val="lv-LV"/>
              </w:rPr>
              <w:t>18</w:t>
            </w:r>
          </w:p>
        </w:tc>
        <w:tc>
          <w:tcPr>
            <w:tcW w:w="477" w:type="pct"/>
            <w:shd w:val="clear" w:color="auto" w:fill="D9E2F3" w:themeFill="accent5" w:themeFillTint="33"/>
            <w:tcMar>
              <w:top w:w="5" w:type="dxa"/>
              <w:left w:w="5" w:type="dxa"/>
              <w:bottom w:w="0" w:type="dxa"/>
              <w:right w:w="5" w:type="dxa"/>
            </w:tcMar>
            <w:vAlign w:val="center"/>
            <w:hideMark/>
          </w:tcPr>
          <w:p w14:paraId="1D8CAE7E" w14:textId="77777777" w:rsidR="004D618E" w:rsidRPr="004D618E" w:rsidRDefault="004D618E" w:rsidP="002F55CD">
            <w:pPr>
              <w:spacing w:after="0" w:line="240" w:lineRule="auto"/>
              <w:jc w:val="center"/>
              <w:rPr>
                <w:sz w:val="18"/>
                <w:szCs w:val="18"/>
                <w:lang w:val="lv-LV"/>
              </w:rPr>
            </w:pPr>
            <w:r w:rsidRPr="004D618E">
              <w:rPr>
                <w:sz w:val="18"/>
                <w:szCs w:val="18"/>
                <w:lang w:val="lv-LV"/>
              </w:rPr>
              <w:t>16</w:t>
            </w:r>
          </w:p>
        </w:tc>
        <w:tc>
          <w:tcPr>
            <w:tcW w:w="319" w:type="pct"/>
            <w:shd w:val="clear" w:color="auto" w:fill="D9E2F3" w:themeFill="accent5" w:themeFillTint="33"/>
            <w:tcMar>
              <w:top w:w="5" w:type="dxa"/>
              <w:left w:w="5" w:type="dxa"/>
              <w:bottom w:w="0" w:type="dxa"/>
              <w:right w:w="5" w:type="dxa"/>
            </w:tcMar>
            <w:vAlign w:val="center"/>
            <w:hideMark/>
          </w:tcPr>
          <w:p w14:paraId="390EDB96" w14:textId="77777777" w:rsidR="004D618E" w:rsidRPr="004D618E" w:rsidRDefault="004D618E" w:rsidP="002F55CD">
            <w:pPr>
              <w:spacing w:after="0" w:line="240" w:lineRule="auto"/>
              <w:jc w:val="center"/>
              <w:rPr>
                <w:sz w:val="18"/>
                <w:szCs w:val="18"/>
                <w:lang w:val="lv-LV"/>
              </w:rPr>
            </w:pPr>
            <w:r w:rsidRPr="004D618E">
              <w:rPr>
                <w:sz w:val="18"/>
                <w:szCs w:val="18"/>
                <w:lang w:val="lv-LV"/>
              </w:rPr>
              <w:t>88</w:t>
            </w:r>
          </w:p>
        </w:tc>
        <w:tc>
          <w:tcPr>
            <w:tcW w:w="633" w:type="pct"/>
            <w:shd w:val="clear" w:color="auto" w:fill="D9E2F3" w:themeFill="accent5" w:themeFillTint="33"/>
            <w:tcMar>
              <w:top w:w="5" w:type="dxa"/>
              <w:left w:w="5" w:type="dxa"/>
              <w:bottom w:w="0" w:type="dxa"/>
              <w:right w:w="5" w:type="dxa"/>
            </w:tcMar>
            <w:vAlign w:val="center"/>
            <w:hideMark/>
          </w:tcPr>
          <w:p w14:paraId="0A0ACBBB" w14:textId="77777777" w:rsidR="004D618E" w:rsidRPr="004D618E" w:rsidRDefault="004D618E" w:rsidP="002F55CD">
            <w:pPr>
              <w:spacing w:after="0" w:line="240" w:lineRule="auto"/>
              <w:jc w:val="center"/>
              <w:rPr>
                <w:sz w:val="18"/>
                <w:szCs w:val="18"/>
                <w:lang w:val="lv-LV"/>
              </w:rPr>
            </w:pPr>
            <w:r w:rsidRPr="004D618E">
              <w:rPr>
                <w:sz w:val="18"/>
                <w:szCs w:val="18"/>
                <w:lang w:val="lv-LV"/>
              </w:rPr>
              <w:t>Igaunija</w:t>
            </w:r>
          </w:p>
        </w:tc>
      </w:tr>
      <w:tr w:rsidR="004D618E" w:rsidRPr="004D618E" w14:paraId="522DB2C4" w14:textId="77777777" w:rsidTr="002F55CD">
        <w:trPr>
          <w:trHeight w:val="216"/>
          <w:jc w:val="center"/>
        </w:trPr>
        <w:tc>
          <w:tcPr>
            <w:tcW w:w="1663" w:type="pct"/>
            <w:shd w:val="clear" w:color="auto" w:fill="D9E2F3" w:themeFill="accent5" w:themeFillTint="33"/>
            <w:tcMar>
              <w:top w:w="5" w:type="dxa"/>
              <w:left w:w="5" w:type="dxa"/>
              <w:bottom w:w="0" w:type="dxa"/>
              <w:right w:w="5" w:type="dxa"/>
            </w:tcMar>
            <w:vAlign w:val="center"/>
            <w:hideMark/>
          </w:tcPr>
          <w:p w14:paraId="56FD800D" w14:textId="77777777" w:rsidR="004D618E" w:rsidRPr="004D618E" w:rsidRDefault="004D618E" w:rsidP="002F55CD">
            <w:pPr>
              <w:spacing w:after="0" w:line="240" w:lineRule="auto"/>
              <w:jc w:val="center"/>
              <w:rPr>
                <w:sz w:val="18"/>
                <w:szCs w:val="18"/>
                <w:lang w:val="lv-LV"/>
              </w:rPr>
            </w:pPr>
            <w:r w:rsidRPr="004D618E">
              <w:rPr>
                <w:sz w:val="18"/>
                <w:szCs w:val="18"/>
                <w:lang w:val="lv-LV"/>
              </w:rPr>
              <w:t>Himērisma (dažādas) analīzes</w:t>
            </w:r>
          </w:p>
        </w:tc>
        <w:tc>
          <w:tcPr>
            <w:tcW w:w="476" w:type="pct"/>
            <w:shd w:val="clear" w:color="auto" w:fill="D9E2F3" w:themeFill="accent5" w:themeFillTint="33"/>
            <w:tcMar>
              <w:top w:w="5" w:type="dxa"/>
              <w:left w:w="5" w:type="dxa"/>
              <w:bottom w:w="0" w:type="dxa"/>
              <w:right w:w="5" w:type="dxa"/>
            </w:tcMar>
            <w:vAlign w:val="center"/>
            <w:hideMark/>
          </w:tcPr>
          <w:p w14:paraId="56266463" w14:textId="77777777" w:rsidR="004D618E" w:rsidRPr="004D618E" w:rsidRDefault="004D618E" w:rsidP="002F55CD">
            <w:pPr>
              <w:spacing w:after="0" w:line="240" w:lineRule="auto"/>
              <w:jc w:val="center"/>
              <w:rPr>
                <w:sz w:val="18"/>
                <w:szCs w:val="18"/>
                <w:lang w:val="lv-LV"/>
              </w:rPr>
            </w:pPr>
            <w:r w:rsidRPr="004D618E">
              <w:rPr>
                <w:sz w:val="18"/>
                <w:szCs w:val="18"/>
                <w:lang w:val="lv-LV"/>
              </w:rPr>
              <w:t>23</w:t>
            </w:r>
          </w:p>
        </w:tc>
        <w:tc>
          <w:tcPr>
            <w:tcW w:w="479" w:type="pct"/>
            <w:shd w:val="clear" w:color="auto" w:fill="D9E2F3" w:themeFill="accent5" w:themeFillTint="33"/>
            <w:tcMar>
              <w:top w:w="5" w:type="dxa"/>
              <w:left w:w="5" w:type="dxa"/>
              <w:bottom w:w="0" w:type="dxa"/>
              <w:right w:w="5" w:type="dxa"/>
            </w:tcMar>
            <w:vAlign w:val="center"/>
            <w:hideMark/>
          </w:tcPr>
          <w:p w14:paraId="19E618DD" w14:textId="77777777" w:rsidR="004D618E" w:rsidRPr="004D618E" w:rsidRDefault="004D618E" w:rsidP="002F55CD">
            <w:pPr>
              <w:spacing w:after="0" w:line="240" w:lineRule="auto"/>
              <w:jc w:val="center"/>
              <w:rPr>
                <w:sz w:val="18"/>
                <w:szCs w:val="18"/>
                <w:lang w:val="lv-LV"/>
              </w:rPr>
            </w:pPr>
            <w:r w:rsidRPr="004D618E">
              <w:rPr>
                <w:sz w:val="18"/>
                <w:szCs w:val="18"/>
                <w:lang w:val="lv-LV"/>
              </w:rPr>
              <w:t>16</w:t>
            </w:r>
          </w:p>
        </w:tc>
        <w:tc>
          <w:tcPr>
            <w:tcW w:w="477" w:type="pct"/>
            <w:shd w:val="clear" w:color="auto" w:fill="D9E2F3" w:themeFill="accent5" w:themeFillTint="33"/>
            <w:tcMar>
              <w:top w:w="5" w:type="dxa"/>
              <w:left w:w="5" w:type="dxa"/>
              <w:bottom w:w="0" w:type="dxa"/>
              <w:right w:w="5" w:type="dxa"/>
            </w:tcMar>
            <w:vAlign w:val="center"/>
            <w:hideMark/>
          </w:tcPr>
          <w:p w14:paraId="2B54832B" w14:textId="77777777" w:rsidR="004D618E" w:rsidRPr="004D618E" w:rsidRDefault="004D618E" w:rsidP="002F55CD">
            <w:pPr>
              <w:spacing w:after="0" w:line="240" w:lineRule="auto"/>
              <w:jc w:val="center"/>
              <w:rPr>
                <w:sz w:val="18"/>
                <w:szCs w:val="18"/>
                <w:lang w:val="lv-LV"/>
              </w:rPr>
            </w:pPr>
            <w:r w:rsidRPr="004D618E">
              <w:rPr>
                <w:sz w:val="18"/>
                <w:szCs w:val="18"/>
                <w:lang w:val="lv-LV"/>
              </w:rPr>
              <w:t>14</w:t>
            </w:r>
          </w:p>
        </w:tc>
        <w:tc>
          <w:tcPr>
            <w:tcW w:w="476" w:type="pct"/>
            <w:shd w:val="clear" w:color="auto" w:fill="D9E2F3" w:themeFill="accent5" w:themeFillTint="33"/>
            <w:tcMar>
              <w:top w:w="5" w:type="dxa"/>
              <w:left w:w="5" w:type="dxa"/>
              <w:bottom w:w="0" w:type="dxa"/>
              <w:right w:w="5" w:type="dxa"/>
            </w:tcMar>
            <w:vAlign w:val="center"/>
            <w:hideMark/>
          </w:tcPr>
          <w:p w14:paraId="6438DAE4" w14:textId="77777777" w:rsidR="004D618E" w:rsidRPr="004D618E" w:rsidRDefault="004D618E" w:rsidP="002F55CD">
            <w:pPr>
              <w:spacing w:after="0" w:line="240" w:lineRule="auto"/>
              <w:jc w:val="center"/>
              <w:rPr>
                <w:sz w:val="18"/>
                <w:szCs w:val="18"/>
                <w:lang w:val="lv-LV"/>
              </w:rPr>
            </w:pPr>
            <w:r w:rsidRPr="004D618E">
              <w:rPr>
                <w:sz w:val="18"/>
                <w:szCs w:val="18"/>
                <w:lang w:val="lv-LV"/>
              </w:rPr>
              <w:t>10</w:t>
            </w:r>
          </w:p>
        </w:tc>
        <w:tc>
          <w:tcPr>
            <w:tcW w:w="477" w:type="pct"/>
            <w:shd w:val="clear" w:color="auto" w:fill="D9E2F3" w:themeFill="accent5" w:themeFillTint="33"/>
            <w:tcMar>
              <w:top w:w="5" w:type="dxa"/>
              <w:left w:w="5" w:type="dxa"/>
              <w:bottom w:w="0" w:type="dxa"/>
              <w:right w:w="5" w:type="dxa"/>
            </w:tcMar>
            <w:vAlign w:val="center"/>
            <w:hideMark/>
          </w:tcPr>
          <w:p w14:paraId="74324799" w14:textId="77777777" w:rsidR="004D618E" w:rsidRPr="004D618E" w:rsidRDefault="004D618E" w:rsidP="002F55CD">
            <w:pPr>
              <w:spacing w:after="0" w:line="240" w:lineRule="auto"/>
              <w:jc w:val="center"/>
              <w:rPr>
                <w:sz w:val="18"/>
                <w:szCs w:val="18"/>
                <w:lang w:val="lv-LV"/>
              </w:rPr>
            </w:pPr>
            <w:r w:rsidRPr="004D618E">
              <w:rPr>
                <w:sz w:val="18"/>
                <w:szCs w:val="18"/>
                <w:lang w:val="lv-LV"/>
              </w:rPr>
              <w:t>12</w:t>
            </w:r>
          </w:p>
        </w:tc>
        <w:tc>
          <w:tcPr>
            <w:tcW w:w="319" w:type="pct"/>
            <w:shd w:val="clear" w:color="auto" w:fill="D9E2F3" w:themeFill="accent5" w:themeFillTint="33"/>
            <w:tcMar>
              <w:top w:w="5" w:type="dxa"/>
              <w:left w:w="5" w:type="dxa"/>
              <w:bottom w:w="0" w:type="dxa"/>
              <w:right w:w="5" w:type="dxa"/>
            </w:tcMar>
            <w:vAlign w:val="center"/>
            <w:hideMark/>
          </w:tcPr>
          <w:p w14:paraId="47F1B291" w14:textId="77777777" w:rsidR="004D618E" w:rsidRPr="004D618E" w:rsidRDefault="004D618E" w:rsidP="002F55CD">
            <w:pPr>
              <w:spacing w:after="0" w:line="240" w:lineRule="auto"/>
              <w:jc w:val="center"/>
              <w:rPr>
                <w:sz w:val="18"/>
                <w:szCs w:val="18"/>
                <w:lang w:val="lv-LV"/>
              </w:rPr>
            </w:pPr>
            <w:r w:rsidRPr="004D618E">
              <w:rPr>
                <w:sz w:val="18"/>
                <w:szCs w:val="18"/>
                <w:lang w:val="lv-LV"/>
              </w:rPr>
              <w:t>75</w:t>
            </w:r>
          </w:p>
        </w:tc>
        <w:tc>
          <w:tcPr>
            <w:tcW w:w="633" w:type="pct"/>
            <w:shd w:val="clear" w:color="auto" w:fill="D9E2F3" w:themeFill="accent5" w:themeFillTint="33"/>
            <w:tcMar>
              <w:top w:w="5" w:type="dxa"/>
              <w:left w:w="5" w:type="dxa"/>
              <w:bottom w:w="0" w:type="dxa"/>
              <w:right w:w="5" w:type="dxa"/>
            </w:tcMar>
            <w:vAlign w:val="center"/>
            <w:hideMark/>
          </w:tcPr>
          <w:p w14:paraId="1E5C336E" w14:textId="77777777" w:rsidR="004D618E" w:rsidRPr="004D618E" w:rsidRDefault="004D618E" w:rsidP="002F55CD">
            <w:pPr>
              <w:spacing w:after="0" w:line="240" w:lineRule="auto"/>
              <w:jc w:val="center"/>
              <w:rPr>
                <w:sz w:val="18"/>
                <w:szCs w:val="18"/>
                <w:lang w:val="lv-LV"/>
              </w:rPr>
            </w:pPr>
            <w:r w:rsidRPr="004D618E">
              <w:rPr>
                <w:sz w:val="18"/>
                <w:szCs w:val="18"/>
                <w:lang w:val="lv-LV"/>
              </w:rPr>
              <w:t xml:space="preserve">Lietuva/Vācija </w:t>
            </w:r>
          </w:p>
        </w:tc>
      </w:tr>
      <w:tr w:rsidR="004D618E" w:rsidRPr="004D618E" w14:paraId="57412537" w14:textId="77777777" w:rsidTr="002F55CD">
        <w:trPr>
          <w:trHeight w:val="901"/>
          <w:jc w:val="center"/>
        </w:trPr>
        <w:tc>
          <w:tcPr>
            <w:tcW w:w="1663" w:type="pct"/>
            <w:shd w:val="clear" w:color="auto" w:fill="D9E2F3" w:themeFill="accent5" w:themeFillTint="33"/>
            <w:tcMar>
              <w:top w:w="5" w:type="dxa"/>
              <w:left w:w="5" w:type="dxa"/>
              <w:bottom w:w="0" w:type="dxa"/>
              <w:right w:w="5" w:type="dxa"/>
            </w:tcMar>
            <w:vAlign w:val="center"/>
            <w:hideMark/>
          </w:tcPr>
          <w:p w14:paraId="3E2FDEB2" w14:textId="77777777" w:rsidR="004D618E" w:rsidRPr="004D618E" w:rsidRDefault="004D618E" w:rsidP="002F55CD">
            <w:pPr>
              <w:spacing w:after="0" w:line="240" w:lineRule="auto"/>
              <w:jc w:val="center"/>
              <w:rPr>
                <w:sz w:val="18"/>
                <w:szCs w:val="18"/>
                <w:lang w:val="lv-LV"/>
              </w:rPr>
            </w:pPr>
            <w:r w:rsidRPr="004D618E">
              <w:rPr>
                <w:sz w:val="18"/>
                <w:szCs w:val="18"/>
                <w:lang w:val="lv-LV"/>
              </w:rPr>
              <w:t xml:space="preserve">Ārpusģimenes cilmes šūnu donora meklēšana, alogēna perifēro asiņu cilmes šūnu transplantācija, komplikāciju gadījumā - donora limfocītu infūzija un </w:t>
            </w:r>
          </w:p>
          <w:p w14:paraId="4D7F362B" w14:textId="77777777" w:rsidR="004D618E" w:rsidRPr="004D618E" w:rsidRDefault="004D618E" w:rsidP="002F55CD">
            <w:pPr>
              <w:spacing w:after="0" w:line="240" w:lineRule="auto"/>
              <w:jc w:val="center"/>
              <w:rPr>
                <w:sz w:val="18"/>
                <w:szCs w:val="18"/>
                <w:lang w:val="lv-LV"/>
              </w:rPr>
            </w:pPr>
            <w:r w:rsidRPr="004D618E">
              <w:rPr>
                <w:sz w:val="18"/>
                <w:szCs w:val="18"/>
                <w:lang w:val="lv-LV"/>
              </w:rPr>
              <w:t>komplikāciju ārstēšana</w:t>
            </w:r>
          </w:p>
        </w:tc>
        <w:tc>
          <w:tcPr>
            <w:tcW w:w="476" w:type="pct"/>
            <w:shd w:val="clear" w:color="auto" w:fill="D9E2F3" w:themeFill="accent5" w:themeFillTint="33"/>
            <w:tcMar>
              <w:top w:w="5" w:type="dxa"/>
              <w:left w:w="5" w:type="dxa"/>
              <w:bottom w:w="0" w:type="dxa"/>
              <w:right w:w="5" w:type="dxa"/>
            </w:tcMar>
            <w:vAlign w:val="center"/>
            <w:hideMark/>
          </w:tcPr>
          <w:p w14:paraId="244DF1DB" w14:textId="77777777" w:rsidR="004D618E" w:rsidRPr="004D618E" w:rsidRDefault="004D618E" w:rsidP="002F55CD">
            <w:pPr>
              <w:spacing w:after="0" w:line="240" w:lineRule="auto"/>
              <w:jc w:val="center"/>
              <w:rPr>
                <w:sz w:val="18"/>
                <w:szCs w:val="18"/>
                <w:lang w:val="lv-LV"/>
              </w:rPr>
            </w:pPr>
            <w:r w:rsidRPr="004D618E">
              <w:rPr>
                <w:sz w:val="18"/>
                <w:szCs w:val="18"/>
                <w:lang w:val="lv-LV"/>
              </w:rPr>
              <w:t>10</w:t>
            </w:r>
          </w:p>
        </w:tc>
        <w:tc>
          <w:tcPr>
            <w:tcW w:w="479" w:type="pct"/>
            <w:shd w:val="clear" w:color="auto" w:fill="D9E2F3" w:themeFill="accent5" w:themeFillTint="33"/>
            <w:tcMar>
              <w:top w:w="5" w:type="dxa"/>
              <w:left w:w="5" w:type="dxa"/>
              <w:bottom w:w="0" w:type="dxa"/>
              <w:right w:w="5" w:type="dxa"/>
            </w:tcMar>
            <w:vAlign w:val="center"/>
            <w:hideMark/>
          </w:tcPr>
          <w:p w14:paraId="5D44170E" w14:textId="77777777" w:rsidR="004D618E" w:rsidRPr="004D618E" w:rsidRDefault="004D618E" w:rsidP="002F55CD">
            <w:pPr>
              <w:spacing w:after="0" w:line="240" w:lineRule="auto"/>
              <w:jc w:val="center"/>
              <w:rPr>
                <w:sz w:val="18"/>
                <w:szCs w:val="18"/>
                <w:lang w:val="lv-LV"/>
              </w:rPr>
            </w:pPr>
            <w:r w:rsidRPr="004D618E">
              <w:rPr>
                <w:sz w:val="18"/>
                <w:szCs w:val="18"/>
                <w:lang w:val="lv-LV"/>
              </w:rPr>
              <w:t>11</w:t>
            </w:r>
          </w:p>
        </w:tc>
        <w:tc>
          <w:tcPr>
            <w:tcW w:w="477" w:type="pct"/>
            <w:shd w:val="clear" w:color="auto" w:fill="D9E2F3" w:themeFill="accent5" w:themeFillTint="33"/>
            <w:tcMar>
              <w:top w:w="5" w:type="dxa"/>
              <w:left w:w="5" w:type="dxa"/>
              <w:bottom w:w="0" w:type="dxa"/>
              <w:right w:w="5" w:type="dxa"/>
            </w:tcMar>
            <w:vAlign w:val="center"/>
            <w:hideMark/>
          </w:tcPr>
          <w:p w14:paraId="18354C47" w14:textId="77777777" w:rsidR="004D618E" w:rsidRPr="004D618E" w:rsidRDefault="004D618E" w:rsidP="002F55CD">
            <w:pPr>
              <w:spacing w:after="0" w:line="240" w:lineRule="auto"/>
              <w:jc w:val="center"/>
              <w:rPr>
                <w:sz w:val="18"/>
                <w:szCs w:val="18"/>
                <w:lang w:val="lv-LV"/>
              </w:rPr>
            </w:pPr>
            <w:r w:rsidRPr="004D618E">
              <w:rPr>
                <w:sz w:val="18"/>
                <w:szCs w:val="18"/>
                <w:lang w:val="lv-LV"/>
              </w:rPr>
              <w:t>23</w:t>
            </w:r>
          </w:p>
        </w:tc>
        <w:tc>
          <w:tcPr>
            <w:tcW w:w="476" w:type="pct"/>
            <w:shd w:val="clear" w:color="auto" w:fill="D9E2F3" w:themeFill="accent5" w:themeFillTint="33"/>
            <w:tcMar>
              <w:top w:w="5" w:type="dxa"/>
              <w:left w:w="5" w:type="dxa"/>
              <w:bottom w:w="0" w:type="dxa"/>
              <w:right w:w="5" w:type="dxa"/>
            </w:tcMar>
            <w:vAlign w:val="center"/>
            <w:hideMark/>
          </w:tcPr>
          <w:p w14:paraId="4FBC119D" w14:textId="77777777" w:rsidR="004D618E" w:rsidRPr="004D618E" w:rsidRDefault="004D618E" w:rsidP="002F55CD">
            <w:pPr>
              <w:spacing w:after="0" w:line="240" w:lineRule="auto"/>
              <w:jc w:val="center"/>
              <w:rPr>
                <w:sz w:val="18"/>
                <w:szCs w:val="18"/>
                <w:lang w:val="lv-LV"/>
              </w:rPr>
            </w:pPr>
            <w:r w:rsidRPr="004D618E">
              <w:rPr>
                <w:sz w:val="18"/>
                <w:szCs w:val="18"/>
                <w:lang w:val="lv-LV"/>
              </w:rPr>
              <w:t>18</w:t>
            </w:r>
          </w:p>
        </w:tc>
        <w:tc>
          <w:tcPr>
            <w:tcW w:w="477" w:type="pct"/>
            <w:shd w:val="clear" w:color="auto" w:fill="D9E2F3" w:themeFill="accent5" w:themeFillTint="33"/>
            <w:tcMar>
              <w:top w:w="5" w:type="dxa"/>
              <w:left w:w="5" w:type="dxa"/>
              <w:bottom w:w="0" w:type="dxa"/>
              <w:right w:w="5" w:type="dxa"/>
            </w:tcMar>
            <w:vAlign w:val="center"/>
            <w:hideMark/>
          </w:tcPr>
          <w:p w14:paraId="7CFC9B5C" w14:textId="77777777" w:rsidR="004D618E" w:rsidRPr="004D618E" w:rsidRDefault="004D618E" w:rsidP="002F55CD">
            <w:pPr>
              <w:spacing w:after="0" w:line="240" w:lineRule="auto"/>
              <w:jc w:val="center"/>
              <w:rPr>
                <w:sz w:val="18"/>
                <w:szCs w:val="18"/>
                <w:lang w:val="lv-LV"/>
              </w:rPr>
            </w:pPr>
            <w:r w:rsidRPr="004D618E">
              <w:rPr>
                <w:sz w:val="18"/>
                <w:szCs w:val="18"/>
                <w:lang w:val="lv-LV"/>
              </w:rPr>
              <w:t>5</w:t>
            </w:r>
          </w:p>
        </w:tc>
        <w:tc>
          <w:tcPr>
            <w:tcW w:w="319" w:type="pct"/>
            <w:shd w:val="clear" w:color="auto" w:fill="D9E2F3" w:themeFill="accent5" w:themeFillTint="33"/>
            <w:tcMar>
              <w:top w:w="5" w:type="dxa"/>
              <w:left w:w="5" w:type="dxa"/>
              <w:bottom w:w="0" w:type="dxa"/>
              <w:right w:w="5" w:type="dxa"/>
            </w:tcMar>
            <w:vAlign w:val="center"/>
            <w:hideMark/>
          </w:tcPr>
          <w:p w14:paraId="01E104C6" w14:textId="77777777" w:rsidR="004D618E" w:rsidRPr="004D618E" w:rsidRDefault="004D618E" w:rsidP="002F55CD">
            <w:pPr>
              <w:spacing w:after="0" w:line="240" w:lineRule="auto"/>
              <w:jc w:val="center"/>
              <w:rPr>
                <w:sz w:val="18"/>
                <w:szCs w:val="18"/>
                <w:lang w:val="lv-LV"/>
              </w:rPr>
            </w:pPr>
            <w:r w:rsidRPr="004D618E">
              <w:rPr>
                <w:sz w:val="18"/>
                <w:szCs w:val="18"/>
                <w:lang w:val="lv-LV"/>
              </w:rPr>
              <w:t>67</w:t>
            </w:r>
          </w:p>
        </w:tc>
        <w:tc>
          <w:tcPr>
            <w:tcW w:w="633" w:type="pct"/>
            <w:shd w:val="clear" w:color="auto" w:fill="D9E2F3" w:themeFill="accent5" w:themeFillTint="33"/>
            <w:tcMar>
              <w:top w:w="5" w:type="dxa"/>
              <w:left w:w="5" w:type="dxa"/>
              <w:bottom w:w="0" w:type="dxa"/>
              <w:right w:w="5" w:type="dxa"/>
            </w:tcMar>
            <w:vAlign w:val="center"/>
            <w:hideMark/>
          </w:tcPr>
          <w:p w14:paraId="3080C638" w14:textId="77777777" w:rsidR="004D618E" w:rsidRPr="004D618E" w:rsidRDefault="004D618E" w:rsidP="002F55CD">
            <w:pPr>
              <w:spacing w:after="0" w:line="240" w:lineRule="auto"/>
              <w:jc w:val="center"/>
              <w:rPr>
                <w:sz w:val="18"/>
                <w:szCs w:val="18"/>
                <w:lang w:val="lv-LV"/>
              </w:rPr>
            </w:pPr>
            <w:r w:rsidRPr="004D618E">
              <w:rPr>
                <w:sz w:val="18"/>
                <w:szCs w:val="18"/>
                <w:lang w:val="lv-LV"/>
              </w:rPr>
              <w:t xml:space="preserve">Lietuva/Vācija </w:t>
            </w:r>
          </w:p>
        </w:tc>
      </w:tr>
      <w:tr w:rsidR="004D618E" w:rsidRPr="004D618E" w14:paraId="2714DB80" w14:textId="77777777" w:rsidTr="002F55CD">
        <w:trPr>
          <w:trHeight w:val="51"/>
          <w:jc w:val="center"/>
        </w:trPr>
        <w:tc>
          <w:tcPr>
            <w:tcW w:w="1663" w:type="pct"/>
            <w:shd w:val="clear" w:color="auto" w:fill="D9E2F3" w:themeFill="accent5" w:themeFillTint="33"/>
            <w:tcMar>
              <w:top w:w="5" w:type="dxa"/>
              <w:left w:w="5" w:type="dxa"/>
              <w:bottom w:w="0" w:type="dxa"/>
              <w:right w:w="5" w:type="dxa"/>
            </w:tcMar>
            <w:vAlign w:val="center"/>
            <w:hideMark/>
          </w:tcPr>
          <w:p w14:paraId="793D9BC6" w14:textId="77777777" w:rsidR="004D618E" w:rsidRPr="004D618E" w:rsidRDefault="004D618E" w:rsidP="002F55CD">
            <w:pPr>
              <w:spacing w:after="0" w:line="240" w:lineRule="auto"/>
              <w:jc w:val="center"/>
              <w:rPr>
                <w:sz w:val="18"/>
                <w:szCs w:val="18"/>
                <w:lang w:val="lv-LV"/>
              </w:rPr>
            </w:pPr>
            <w:r w:rsidRPr="004D618E">
              <w:rPr>
                <w:sz w:val="18"/>
                <w:szCs w:val="18"/>
                <w:lang w:val="lv-LV"/>
              </w:rPr>
              <w:t>Brahiterapija</w:t>
            </w:r>
          </w:p>
        </w:tc>
        <w:tc>
          <w:tcPr>
            <w:tcW w:w="476" w:type="pct"/>
            <w:shd w:val="clear" w:color="auto" w:fill="D9E2F3" w:themeFill="accent5" w:themeFillTint="33"/>
            <w:tcMar>
              <w:top w:w="5" w:type="dxa"/>
              <w:left w:w="5" w:type="dxa"/>
              <w:bottom w:w="0" w:type="dxa"/>
              <w:right w:w="5" w:type="dxa"/>
            </w:tcMar>
            <w:vAlign w:val="center"/>
            <w:hideMark/>
          </w:tcPr>
          <w:p w14:paraId="4B8DF13E" w14:textId="77777777" w:rsidR="004D618E" w:rsidRPr="004D618E" w:rsidRDefault="004D618E" w:rsidP="002F55CD">
            <w:pPr>
              <w:spacing w:after="0" w:line="240" w:lineRule="auto"/>
              <w:jc w:val="center"/>
              <w:rPr>
                <w:sz w:val="18"/>
                <w:szCs w:val="18"/>
                <w:lang w:val="lv-LV"/>
              </w:rPr>
            </w:pPr>
            <w:r w:rsidRPr="004D618E">
              <w:rPr>
                <w:sz w:val="18"/>
                <w:szCs w:val="18"/>
                <w:lang w:val="lv-LV"/>
              </w:rPr>
              <w:t>- </w:t>
            </w:r>
          </w:p>
        </w:tc>
        <w:tc>
          <w:tcPr>
            <w:tcW w:w="479" w:type="pct"/>
            <w:shd w:val="clear" w:color="auto" w:fill="D9E2F3" w:themeFill="accent5" w:themeFillTint="33"/>
            <w:tcMar>
              <w:top w:w="5" w:type="dxa"/>
              <w:left w:w="5" w:type="dxa"/>
              <w:bottom w:w="0" w:type="dxa"/>
              <w:right w:w="5" w:type="dxa"/>
            </w:tcMar>
            <w:vAlign w:val="center"/>
            <w:hideMark/>
          </w:tcPr>
          <w:p w14:paraId="1F6CAA2C" w14:textId="77777777" w:rsidR="004D618E" w:rsidRPr="004D618E" w:rsidRDefault="004D618E" w:rsidP="002F55CD">
            <w:pPr>
              <w:spacing w:after="0" w:line="240" w:lineRule="auto"/>
              <w:jc w:val="center"/>
              <w:rPr>
                <w:sz w:val="18"/>
                <w:szCs w:val="18"/>
                <w:lang w:val="lv-LV"/>
              </w:rPr>
            </w:pPr>
            <w:r w:rsidRPr="004D618E">
              <w:rPr>
                <w:sz w:val="18"/>
                <w:szCs w:val="18"/>
                <w:lang w:val="lv-LV"/>
              </w:rPr>
              <w:t>- </w:t>
            </w:r>
          </w:p>
        </w:tc>
        <w:tc>
          <w:tcPr>
            <w:tcW w:w="477" w:type="pct"/>
            <w:shd w:val="clear" w:color="auto" w:fill="D9E2F3" w:themeFill="accent5" w:themeFillTint="33"/>
            <w:tcMar>
              <w:top w:w="5" w:type="dxa"/>
              <w:left w:w="5" w:type="dxa"/>
              <w:bottom w:w="0" w:type="dxa"/>
              <w:right w:w="5" w:type="dxa"/>
            </w:tcMar>
            <w:vAlign w:val="center"/>
            <w:hideMark/>
          </w:tcPr>
          <w:p w14:paraId="26C91AE0" w14:textId="77777777" w:rsidR="004D618E" w:rsidRPr="004D618E" w:rsidRDefault="004D618E" w:rsidP="002F55CD">
            <w:pPr>
              <w:spacing w:after="0" w:line="240" w:lineRule="auto"/>
              <w:jc w:val="center"/>
              <w:rPr>
                <w:sz w:val="18"/>
                <w:szCs w:val="18"/>
                <w:lang w:val="lv-LV"/>
              </w:rPr>
            </w:pPr>
            <w:r w:rsidRPr="004D618E">
              <w:rPr>
                <w:sz w:val="18"/>
                <w:szCs w:val="18"/>
                <w:lang w:val="lv-LV"/>
              </w:rPr>
              <w:t>- </w:t>
            </w:r>
          </w:p>
        </w:tc>
        <w:tc>
          <w:tcPr>
            <w:tcW w:w="476" w:type="pct"/>
            <w:shd w:val="clear" w:color="auto" w:fill="D9E2F3" w:themeFill="accent5" w:themeFillTint="33"/>
            <w:tcMar>
              <w:top w:w="5" w:type="dxa"/>
              <w:left w:w="5" w:type="dxa"/>
              <w:bottom w:w="0" w:type="dxa"/>
              <w:right w:w="5" w:type="dxa"/>
            </w:tcMar>
            <w:vAlign w:val="center"/>
            <w:hideMark/>
          </w:tcPr>
          <w:p w14:paraId="0C18C265" w14:textId="77777777" w:rsidR="004D618E" w:rsidRPr="004D618E" w:rsidRDefault="004D618E" w:rsidP="002F55CD">
            <w:pPr>
              <w:spacing w:after="0" w:line="240" w:lineRule="auto"/>
              <w:jc w:val="center"/>
              <w:rPr>
                <w:sz w:val="18"/>
                <w:szCs w:val="18"/>
                <w:lang w:val="lv-LV"/>
              </w:rPr>
            </w:pPr>
            <w:r w:rsidRPr="004D618E">
              <w:rPr>
                <w:sz w:val="18"/>
                <w:szCs w:val="18"/>
                <w:lang w:val="lv-LV"/>
              </w:rPr>
              <w:t>- </w:t>
            </w:r>
          </w:p>
        </w:tc>
        <w:tc>
          <w:tcPr>
            <w:tcW w:w="477" w:type="pct"/>
            <w:shd w:val="clear" w:color="auto" w:fill="D9E2F3" w:themeFill="accent5" w:themeFillTint="33"/>
            <w:tcMar>
              <w:top w:w="5" w:type="dxa"/>
              <w:left w:w="5" w:type="dxa"/>
              <w:bottom w:w="0" w:type="dxa"/>
              <w:right w:w="5" w:type="dxa"/>
            </w:tcMar>
            <w:vAlign w:val="center"/>
            <w:hideMark/>
          </w:tcPr>
          <w:p w14:paraId="2CE646F4" w14:textId="77777777" w:rsidR="004D618E" w:rsidRPr="004D618E" w:rsidRDefault="004D618E" w:rsidP="002F55CD">
            <w:pPr>
              <w:spacing w:after="0" w:line="240" w:lineRule="auto"/>
              <w:jc w:val="center"/>
              <w:rPr>
                <w:sz w:val="18"/>
                <w:szCs w:val="18"/>
                <w:lang w:val="lv-LV"/>
              </w:rPr>
            </w:pPr>
            <w:r w:rsidRPr="004D618E">
              <w:rPr>
                <w:sz w:val="18"/>
                <w:szCs w:val="18"/>
                <w:lang w:val="lv-LV"/>
              </w:rPr>
              <w:t>46</w:t>
            </w:r>
          </w:p>
        </w:tc>
        <w:tc>
          <w:tcPr>
            <w:tcW w:w="319" w:type="pct"/>
            <w:shd w:val="clear" w:color="auto" w:fill="D9E2F3" w:themeFill="accent5" w:themeFillTint="33"/>
            <w:tcMar>
              <w:top w:w="5" w:type="dxa"/>
              <w:left w:w="5" w:type="dxa"/>
              <w:bottom w:w="0" w:type="dxa"/>
              <w:right w:w="5" w:type="dxa"/>
            </w:tcMar>
            <w:vAlign w:val="center"/>
            <w:hideMark/>
          </w:tcPr>
          <w:p w14:paraId="193CC334" w14:textId="77777777" w:rsidR="004D618E" w:rsidRPr="004D618E" w:rsidRDefault="004D618E" w:rsidP="002F55CD">
            <w:pPr>
              <w:spacing w:after="0" w:line="240" w:lineRule="auto"/>
              <w:jc w:val="center"/>
              <w:rPr>
                <w:sz w:val="18"/>
                <w:szCs w:val="18"/>
                <w:lang w:val="lv-LV"/>
              </w:rPr>
            </w:pPr>
            <w:r w:rsidRPr="004D618E">
              <w:rPr>
                <w:sz w:val="18"/>
                <w:szCs w:val="18"/>
                <w:lang w:val="lv-LV"/>
              </w:rPr>
              <w:t>46</w:t>
            </w:r>
          </w:p>
        </w:tc>
        <w:tc>
          <w:tcPr>
            <w:tcW w:w="633" w:type="pct"/>
            <w:shd w:val="clear" w:color="auto" w:fill="D9E2F3" w:themeFill="accent5" w:themeFillTint="33"/>
            <w:tcMar>
              <w:top w:w="5" w:type="dxa"/>
              <w:left w:w="5" w:type="dxa"/>
              <w:bottom w:w="0" w:type="dxa"/>
              <w:right w:w="5" w:type="dxa"/>
            </w:tcMar>
            <w:vAlign w:val="center"/>
            <w:hideMark/>
          </w:tcPr>
          <w:p w14:paraId="4B195D15" w14:textId="77777777" w:rsidR="004D618E" w:rsidRPr="004D618E" w:rsidRDefault="004D618E" w:rsidP="002F55CD">
            <w:pPr>
              <w:spacing w:after="0" w:line="240" w:lineRule="auto"/>
              <w:jc w:val="center"/>
              <w:rPr>
                <w:sz w:val="18"/>
                <w:szCs w:val="18"/>
                <w:lang w:val="lv-LV"/>
              </w:rPr>
            </w:pPr>
            <w:r w:rsidRPr="004D618E">
              <w:rPr>
                <w:sz w:val="18"/>
                <w:szCs w:val="18"/>
                <w:lang w:val="lv-LV"/>
              </w:rPr>
              <w:t>Lietuva</w:t>
            </w:r>
          </w:p>
        </w:tc>
      </w:tr>
      <w:tr w:rsidR="004D618E" w:rsidRPr="004D618E" w14:paraId="1B0BFE99" w14:textId="77777777" w:rsidTr="002F55CD">
        <w:trPr>
          <w:trHeight w:val="245"/>
          <w:jc w:val="center"/>
        </w:trPr>
        <w:tc>
          <w:tcPr>
            <w:tcW w:w="1663" w:type="pct"/>
            <w:shd w:val="clear" w:color="auto" w:fill="D9E2F3" w:themeFill="accent5" w:themeFillTint="33"/>
            <w:tcMar>
              <w:top w:w="5" w:type="dxa"/>
              <w:left w:w="5" w:type="dxa"/>
              <w:bottom w:w="0" w:type="dxa"/>
              <w:right w:w="5" w:type="dxa"/>
            </w:tcMar>
            <w:vAlign w:val="center"/>
            <w:hideMark/>
          </w:tcPr>
          <w:p w14:paraId="6635946A" w14:textId="77777777" w:rsidR="004D618E" w:rsidRPr="004D618E" w:rsidRDefault="004D618E" w:rsidP="002F55CD">
            <w:pPr>
              <w:spacing w:after="0" w:line="240" w:lineRule="auto"/>
              <w:jc w:val="center"/>
              <w:rPr>
                <w:sz w:val="18"/>
                <w:szCs w:val="18"/>
                <w:lang w:val="lv-LV"/>
              </w:rPr>
            </w:pPr>
            <w:r w:rsidRPr="004D618E">
              <w:rPr>
                <w:sz w:val="18"/>
                <w:szCs w:val="18"/>
                <w:lang w:val="lv-LV"/>
              </w:rPr>
              <w:t>Pakalpojumu komplekss:</w:t>
            </w:r>
          </w:p>
          <w:p w14:paraId="308B9B53" w14:textId="77777777" w:rsidR="004D618E" w:rsidRPr="004D618E" w:rsidRDefault="004D618E" w:rsidP="002F55CD">
            <w:pPr>
              <w:spacing w:after="0" w:line="240" w:lineRule="auto"/>
              <w:jc w:val="center"/>
              <w:rPr>
                <w:sz w:val="18"/>
                <w:szCs w:val="18"/>
                <w:lang w:val="lv-LV"/>
              </w:rPr>
            </w:pPr>
            <w:r w:rsidRPr="004D618E">
              <w:rPr>
                <w:sz w:val="18"/>
                <w:szCs w:val="18"/>
                <w:lang w:val="lv-LV"/>
              </w:rPr>
              <w:t>cilmes šūnu donora meklēšana; donora HLA tipēšana; pacienta izmeklēšana un konsultācija; neradniecisku hemopoētisko cilmes šūnu donācija, alogēna cilmes šūnu transplantācija un pēctransplantācijas komplikāciju ārstēšana</w:t>
            </w:r>
          </w:p>
        </w:tc>
        <w:tc>
          <w:tcPr>
            <w:tcW w:w="476" w:type="pct"/>
            <w:shd w:val="clear" w:color="auto" w:fill="D9E2F3" w:themeFill="accent5" w:themeFillTint="33"/>
            <w:tcMar>
              <w:top w:w="5" w:type="dxa"/>
              <w:left w:w="5" w:type="dxa"/>
              <w:bottom w:w="0" w:type="dxa"/>
              <w:right w:w="5" w:type="dxa"/>
            </w:tcMar>
            <w:vAlign w:val="center"/>
            <w:hideMark/>
          </w:tcPr>
          <w:p w14:paraId="76D27972" w14:textId="77777777" w:rsidR="004D618E" w:rsidRPr="004D618E" w:rsidRDefault="004D618E" w:rsidP="002F55CD">
            <w:pPr>
              <w:spacing w:after="0" w:line="240" w:lineRule="auto"/>
              <w:jc w:val="center"/>
              <w:rPr>
                <w:sz w:val="18"/>
                <w:szCs w:val="18"/>
                <w:lang w:val="lv-LV"/>
              </w:rPr>
            </w:pPr>
            <w:r w:rsidRPr="004D618E">
              <w:rPr>
                <w:sz w:val="18"/>
                <w:szCs w:val="18"/>
                <w:lang w:val="lv-LV"/>
              </w:rPr>
              <w:t>6</w:t>
            </w:r>
          </w:p>
        </w:tc>
        <w:tc>
          <w:tcPr>
            <w:tcW w:w="479" w:type="pct"/>
            <w:shd w:val="clear" w:color="auto" w:fill="D9E2F3" w:themeFill="accent5" w:themeFillTint="33"/>
            <w:tcMar>
              <w:top w:w="5" w:type="dxa"/>
              <w:left w:w="5" w:type="dxa"/>
              <w:bottom w:w="0" w:type="dxa"/>
              <w:right w:w="5" w:type="dxa"/>
            </w:tcMar>
            <w:vAlign w:val="center"/>
            <w:hideMark/>
          </w:tcPr>
          <w:p w14:paraId="0389F065" w14:textId="77777777" w:rsidR="004D618E" w:rsidRPr="004D618E" w:rsidRDefault="004D618E" w:rsidP="002F55CD">
            <w:pPr>
              <w:spacing w:after="0" w:line="240" w:lineRule="auto"/>
              <w:jc w:val="center"/>
              <w:rPr>
                <w:sz w:val="18"/>
                <w:szCs w:val="18"/>
                <w:lang w:val="lv-LV"/>
              </w:rPr>
            </w:pPr>
            <w:r w:rsidRPr="004D618E">
              <w:rPr>
                <w:sz w:val="18"/>
                <w:szCs w:val="18"/>
                <w:lang w:val="lv-LV"/>
              </w:rPr>
              <w:t>6</w:t>
            </w:r>
          </w:p>
        </w:tc>
        <w:tc>
          <w:tcPr>
            <w:tcW w:w="477" w:type="pct"/>
            <w:shd w:val="clear" w:color="auto" w:fill="D9E2F3" w:themeFill="accent5" w:themeFillTint="33"/>
            <w:tcMar>
              <w:top w:w="5" w:type="dxa"/>
              <w:left w:w="5" w:type="dxa"/>
              <w:bottom w:w="0" w:type="dxa"/>
              <w:right w:w="5" w:type="dxa"/>
            </w:tcMar>
            <w:vAlign w:val="center"/>
            <w:hideMark/>
          </w:tcPr>
          <w:p w14:paraId="5DD80E68" w14:textId="77777777" w:rsidR="004D618E" w:rsidRPr="004D618E" w:rsidRDefault="004D618E" w:rsidP="002F55CD">
            <w:pPr>
              <w:spacing w:after="0" w:line="240" w:lineRule="auto"/>
              <w:jc w:val="center"/>
              <w:rPr>
                <w:sz w:val="18"/>
                <w:szCs w:val="18"/>
                <w:lang w:val="lv-LV"/>
              </w:rPr>
            </w:pPr>
            <w:r w:rsidRPr="004D618E">
              <w:rPr>
                <w:sz w:val="18"/>
                <w:szCs w:val="18"/>
                <w:lang w:val="lv-LV"/>
              </w:rPr>
              <w:t>3</w:t>
            </w:r>
          </w:p>
        </w:tc>
        <w:tc>
          <w:tcPr>
            <w:tcW w:w="476" w:type="pct"/>
            <w:shd w:val="clear" w:color="auto" w:fill="D9E2F3" w:themeFill="accent5" w:themeFillTint="33"/>
            <w:tcMar>
              <w:top w:w="5" w:type="dxa"/>
              <w:left w:w="5" w:type="dxa"/>
              <w:bottom w:w="0" w:type="dxa"/>
              <w:right w:w="5" w:type="dxa"/>
            </w:tcMar>
            <w:vAlign w:val="center"/>
            <w:hideMark/>
          </w:tcPr>
          <w:p w14:paraId="44ADA311" w14:textId="77777777" w:rsidR="004D618E" w:rsidRPr="004D618E" w:rsidRDefault="004D618E" w:rsidP="002F55CD">
            <w:pPr>
              <w:spacing w:after="0" w:line="240" w:lineRule="auto"/>
              <w:jc w:val="center"/>
              <w:rPr>
                <w:sz w:val="18"/>
                <w:szCs w:val="18"/>
                <w:lang w:val="lv-LV"/>
              </w:rPr>
            </w:pPr>
            <w:r w:rsidRPr="004D618E">
              <w:rPr>
                <w:sz w:val="18"/>
                <w:szCs w:val="18"/>
                <w:lang w:val="lv-LV"/>
              </w:rPr>
              <w:t>4</w:t>
            </w:r>
          </w:p>
        </w:tc>
        <w:tc>
          <w:tcPr>
            <w:tcW w:w="477" w:type="pct"/>
            <w:shd w:val="clear" w:color="auto" w:fill="D9E2F3" w:themeFill="accent5" w:themeFillTint="33"/>
            <w:tcMar>
              <w:top w:w="5" w:type="dxa"/>
              <w:left w:w="5" w:type="dxa"/>
              <w:bottom w:w="0" w:type="dxa"/>
              <w:right w:w="5" w:type="dxa"/>
            </w:tcMar>
            <w:vAlign w:val="center"/>
            <w:hideMark/>
          </w:tcPr>
          <w:p w14:paraId="5455A39C" w14:textId="77777777" w:rsidR="004D618E" w:rsidRPr="004D618E" w:rsidRDefault="004D618E" w:rsidP="002F55CD">
            <w:pPr>
              <w:spacing w:after="0" w:line="240" w:lineRule="auto"/>
              <w:jc w:val="center"/>
              <w:rPr>
                <w:sz w:val="18"/>
                <w:szCs w:val="18"/>
                <w:lang w:val="lv-LV"/>
              </w:rPr>
            </w:pPr>
            <w:r w:rsidRPr="004D618E">
              <w:rPr>
                <w:sz w:val="18"/>
                <w:szCs w:val="18"/>
                <w:lang w:val="lv-LV"/>
              </w:rPr>
              <w:t>0</w:t>
            </w:r>
          </w:p>
        </w:tc>
        <w:tc>
          <w:tcPr>
            <w:tcW w:w="319" w:type="pct"/>
            <w:shd w:val="clear" w:color="auto" w:fill="D9E2F3" w:themeFill="accent5" w:themeFillTint="33"/>
            <w:tcMar>
              <w:top w:w="5" w:type="dxa"/>
              <w:left w:w="5" w:type="dxa"/>
              <w:bottom w:w="0" w:type="dxa"/>
              <w:right w:w="5" w:type="dxa"/>
            </w:tcMar>
            <w:vAlign w:val="center"/>
            <w:hideMark/>
          </w:tcPr>
          <w:p w14:paraId="747268BE" w14:textId="77777777" w:rsidR="004D618E" w:rsidRPr="004D618E" w:rsidRDefault="004D618E" w:rsidP="002F55CD">
            <w:pPr>
              <w:spacing w:after="0" w:line="240" w:lineRule="auto"/>
              <w:jc w:val="center"/>
              <w:rPr>
                <w:sz w:val="18"/>
                <w:szCs w:val="18"/>
                <w:lang w:val="lv-LV"/>
              </w:rPr>
            </w:pPr>
            <w:r w:rsidRPr="004D618E">
              <w:rPr>
                <w:sz w:val="18"/>
                <w:szCs w:val="18"/>
                <w:lang w:val="lv-LV"/>
              </w:rPr>
              <w:t>19</w:t>
            </w:r>
          </w:p>
        </w:tc>
        <w:tc>
          <w:tcPr>
            <w:tcW w:w="633" w:type="pct"/>
            <w:shd w:val="clear" w:color="auto" w:fill="D9E2F3" w:themeFill="accent5" w:themeFillTint="33"/>
            <w:tcMar>
              <w:top w:w="5" w:type="dxa"/>
              <w:left w:w="5" w:type="dxa"/>
              <w:bottom w:w="0" w:type="dxa"/>
              <w:right w:w="5" w:type="dxa"/>
            </w:tcMar>
            <w:vAlign w:val="center"/>
            <w:hideMark/>
          </w:tcPr>
          <w:p w14:paraId="64292F64" w14:textId="77777777" w:rsidR="004D618E" w:rsidRPr="004D618E" w:rsidRDefault="004D618E" w:rsidP="002F55CD">
            <w:pPr>
              <w:spacing w:after="0" w:line="240" w:lineRule="auto"/>
              <w:jc w:val="center"/>
              <w:rPr>
                <w:sz w:val="18"/>
                <w:szCs w:val="18"/>
                <w:lang w:val="lv-LV"/>
              </w:rPr>
            </w:pPr>
            <w:r w:rsidRPr="004D618E">
              <w:rPr>
                <w:sz w:val="18"/>
                <w:szCs w:val="18"/>
                <w:lang w:val="lv-LV"/>
              </w:rPr>
              <w:t>Lietuva/Vācija</w:t>
            </w:r>
          </w:p>
        </w:tc>
      </w:tr>
      <w:tr w:rsidR="004D618E" w:rsidRPr="004D618E" w14:paraId="6B4E9087" w14:textId="77777777" w:rsidTr="002F55CD">
        <w:trPr>
          <w:trHeight w:val="299"/>
          <w:jc w:val="center"/>
        </w:trPr>
        <w:tc>
          <w:tcPr>
            <w:tcW w:w="1663" w:type="pct"/>
            <w:shd w:val="clear" w:color="auto" w:fill="D9E2F3" w:themeFill="accent5" w:themeFillTint="33"/>
            <w:tcMar>
              <w:top w:w="5" w:type="dxa"/>
              <w:left w:w="5" w:type="dxa"/>
              <w:bottom w:w="0" w:type="dxa"/>
              <w:right w:w="5" w:type="dxa"/>
            </w:tcMar>
            <w:vAlign w:val="center"/>
            <w:hideMark/>
          </w:tcPr>
          <w:p w14:paraId="3633034F" w14:textId="77777777" w:rsidR="004D618E" w:rsidRPr="004D618E" w:rsidRDefault="004D618E" w:rsidP="002F55CD">
            <w:pPr>
              <w:spacing w:after="0" w:line="240" w:lineRule="auto"/>
              <w:jc w:val="center"/>
              <w:rPr>
                <w:sz w:val="18"/>
                <w:szCs w:val="18"/>
                <w:lang w:val="lv-LV"/>
              </w:rPr>
            </w:pPr>
            <w:r w:rsidRPr="004D618E">
              <w:rPr>
                <w:sz w:val="18"/>
                <w:szCs w:val="18"/>
                <w:lang w:val="lv-LV"/>
              </w:rPr>
              <w:t>Minimālas reziduālas slimības (MRD) kontrole (dažādi kontroles ilgumi)</w:t>
            </w:r>
          </w:p>
        </w:tc>
        <w:tc>
          <w:tcPr>
            <w:tcW w:w="476" w:type="pct"/>
            <w:shd w:val="clear" w:color="auto" w:fill="D9E2F3" w:themeFill="accent5" w:themeFillTint="33"/>
            <w:tcMar>
              <w:top w:w="5" w:type="dxa"/>
              <w:left w:w="5" w:type="dxa"/>
              <w:bottom w:w="0" w:type="dxa"/>
              <w:right w:w="5" w:type="dxa"/>
            </w:tcMar>
            <w:vAlign w:val="center"/>
            <w:hideMark/>
          </w:tcPr>
          <w:p w14:paraId="5E12AB5D" w14:textId="77777777" w:rsidR="004D618E" w:rsidRPr="004D618E" w:rsidRDefault="004D618E" w:rsidP="002F55CD">
            <w:pPr>
              <w:spacing w:after="0" w:line="240" w:lineRule="auto"/>
              <w:jc w:val="center"/>
              <w:rPr>
                <w:sz w:val="18"/>
                <w:szCs w:val="18"/>
                <w:lang w:val="lv-LV"/>
              </w:rPr>
            </w:pPr>
            <w:r w:rsidRPr="004D618E">
              <w:rPr>
                <w:sz w:val="18"/>
                <w:szCs w:val="18"/>
                <w:lang w:val="lv-LV"/>
              </w:rPr>
              <w:t>4</w:t>
            </w:r>
          </w:p>
        </w:tc>
        <w:tc>
          <w:tcPr>
            <w:tcW w:w="479" w:type="pct"/>
            <w:shd w:val="clear" w:color="auto" w:fill="D9E2F3" w:themeFill="accent5" w:themeFillTint="33"/>
            <w:tcMar>
              <w:top w:w="5" w:type="dxa"/>
              <w:left w:w="5" w:type="dxa"/>
              <w:bottom w:w="0" w:type="dxa"/>
              <w:right w:w="5" w:type="dxa"/>
            </w:tcMar>
            <w:vAlign w:val="center"/>
            <w:hideMark/>
          </w:tcPr>
          <w:p w14:paraId="0D44FB6F" w14:textId="77777777" w:rsidR="004D618E" w:rsidRPr="004D618E" w:rsidRDefault="004D618E" w:rsidP="002F55CD">
            <w:pPr>
              <w:spacing w:after="0" w:line="240" w:lineRule="auto"/>
              <w:jc w:val="center"/>
              <w:rPr>
                <w:sz w:val="18"/>
                <w:szCs w:val="18"/>
                <w:lang w:val="lv-LV"/>
              </w:rPr>
            </w:pPr>
            <w:r w:rsidRPr="004D618E">
              <w:rPr>
                <w:sz w:val="18"/>
                <w:szCs w:val="18"/>
                <w:lang w:val="lv-LV"/>
              </w:rPr>
              <w:t>1</w:t>
            </w:r>
          </w:p>
        </w:tc>
        <w:tc>
          <w:tcPr>
            <w:tcW w:w="477" w:type="pct"/>
            <w:shd w:val="clear" w:color="auto" w:fill="D9E2F3" w:themeFill="accent5" w:themeFillTint="33"/>
            <w:tcMar>
              <w:top w:w="5" w:type="dxa"/>
              <w:left w:w="5" w:type="dxa"/>
              <w:bottom w:w="0" w:type="dxa"/>
              <w:right w:w="5" w:type="dxa"/>
            </w:tcMar>
            <w:vAlign w:val="center"/>
            <w:hideMark/>
          </w:tcPr>
          <w:p w14:paraId="2A6E9356" w14:textId="77777777" w:rsidR="004D618E" w:rsidRPr="004D618E" w:rsidRDefault="004D618E" w:rsidP="002F55CD">
            <w:pPr>
              <w:spacing w:after="0" w:line="240" w:lineRule="auto"/>
              <w:jc w:val="center"/>
              <w:rPr>
                <w:sz w:val="18"/>
                <w:szCs w:val="18"/>
                <w:lang w:val="lv-LV"/>
              </w:rPr>
            </w:pPr>
            <w:r w:rsidRPr="004D618E">
              <w:rPr>
                <w:sz w:val="18"/>
                <w:szCs w:val="18"/>
                <w:lang w:val="lv-LV"/>
              </w:rPr>
              <w:t>0</w:t>
            </w:r>
          </w:p>
        </w:tc>
        <w:tc>
          <w:tcPr>
            <w:tcW w:w="476" w:type="pct"/>
            <w:shd w:val="clear" w:color="auto" w:fill="D9E2F3" w:themeFill="accent5" w:themeFillTint="33"/>
            <w:tcMar>
              <w:top w:w="5" w:type="dxa"/>
              <w:left w:w="5" w:type="dxa"/>
              <w:bottom w:w="0" w:type="dxa"/>
              <w:right w:w="5" w:type="dxa"/>
            </w:tcMar>
            <w:vAlign w:val="center"/>
            <w:hideMark/>
          </w:tcPr>
          <w:p w14:paraId="6F17250D" w14:textId="77777777" w:rsidR="004D618E" w:rsidRPr="004D618E" w:rsidRDefault="004D618E" w:rsidP="002F55CD">
            <w:pPr>
              <w:spacing w:after="0" w:line="240" w:lineRule="auto"/>
              <w:jc w:val="center"/>
              <w:rPr>
                <w:sz w:val="18"/>
                <w:szCs w:val="18"/>
                <w:lang w:val="lv-LV"/>
              </w:rPr>
            </w:pPr>
            <w:r w:rsidRPr="004D618E">
              <w:rPr>
                <w:sz w:val="18"/>
                <w:szCs w:val="18"/>
                <w:lang w:val="lv-LV"/>
              </w:rPr>
              <w:t>4</w:t>
            </w:r>
          </w:p>
        </w:tc>
        <w:tc>
          <w:tcPr>
            <w:tcW w:w="477" w:type="pct"/>
            <w:shd w:val="clear" w:color="auto" w:fill="D9E2F3" w:themeFill="accent5" w:themeFillTint="33"/>
            <w:tcMar>
              <w:top w:w="5" w:type="dxa"/>
              <w:left w:w="5" w:type="dxa"/>
              <w:bottom w:w="0" w:type="dxa"/>
              <w:right w:w="5" w:type="dxa"/>
            </w:tcMar>
            <w:vAlign w:val="center"/>
            <w:hideMark/>
          </w:tcPr>
          <w:p w14:paraId="65F5699E" w14:textId="77777777" w:rsidR="004D618E" w:rsidRPr="004D618E" w:rsidRDefault="004D618E" w:rsidP="002F55CD">
            <w:pPr>
              <w:spacing w:after="0" w:line="240" w:lineRule="auto"/>
              <w:jc w:val="center"/>
              <w:rPr>
                <w:sz w:val="18"/>
                <w:szCs w:val="18"/>
                <w:lang w:val="lv-LV"/>
              </w:rPr>
            </w:pPr>
            <w:r w:rsidRPr="004D618E">
              <w:rPr>
                <w:sz w:val="18"/>
                <w:szCs w:val="18"/>
                <w:lang w:val="lv-LV"/>
              </w:rPr>
              <w:t>8</w:t>
            </w:r>
          </w:p>
        </w:tc>
        <w:tc>
          <w:tcPr>
            <w:tcW w:w="319" w:type="pct"/>
            <w:shd w:val="clear" w:color="auto" w:fill="D9E2F3" w:themeFill="accent5" w:themeFillTint="33"/>
            <w:tcMar>
              <w:top w:w="5" w:type="dxa"/>
              <w:left w:w="5" w:type="dxa"/>
              <w:bottom w:w="0" w:type="dxa"/>
              <w:right w:w="5" w:type="dxa"/>
            </w:tcMar>
            <w:vAlign w:val="center"/>
            <w:hideMark/>
          </w:tcPr>
          <w:p w14:paraId="12E1C305" w14:textId="77777777" w:rsidR="004D618E" w:rsidRPr="004D618E" w:rsidRDefault="004D618E" w:rsidP="002F55CD">
            <w:pPr>
              <w:spacing w:after="0" w:line="240" w:lineRule="auto"/>
              <w:jc w:val="center"/>
              <w:rPr>
                <w:sz w:val="18"/>
                <w:szCs w:val="18"/>
                <w:lang w:val="lv-LV"/>
              </w:rPr>
            </w:pPr>
            <w:r w:rsidRPr="004D618E">
              <w:rPr>
                <w:sz w:val="18"/>
                <w:szCs w:val="18"/>
                <w:lang w:val="lv-LV"/>
              </w:rPr>
              <w:t>17</w:t>
            </w:r>
          </w:p>
        </w:tc>
        <w:tc>
          <w:tcPr>
            <w:tcW w:w="633" w:type="pct"/>
            <w:shd w:val="clear" w:color="auto" w:fill="D9E2F3" w:themeFill="accent5" w:themeFillTint="33"/>
            <w:tcMar>
              <w:top w:w="5" w:type="dxa"/>
              <w:left w:w="5" w:type="dxa"/>
              <w:bottom w:w="0" w:type="dxa"/>
              <w:right w:w="5" w:type="dxa"/>
            </w:tcMar>
            <w:vAlign w:val="center"/>
            <w:hideMark/>
          </w:tcPr>
          <w:p w14:paraId="7A034A84" w14:textId="77777777" w:rsidR="004D618E" w:rsidRPr="004D618E" w:rsidRDefault="004D618E" w:rsidP="002F55CD">
            <w:pPr>
              <w:spacing w:after="0" w:line="240" w:lineRule="auto"/>
              <w:jc w:val="center"/>
              <w:rPr>
                <w:sz w:val="18"/>
                <w:szCs w:val="18"/>
                <w:lang w:val="lv-LV"/>
              </w:rPr>
            </w:pPr>
            <w:r w:rsidRPr="004D618E">
              <w:rPr>
                <w:sz w:val="18"/>
                <w:szCs w:val="18"/>
                <w:lang w:val="lv-LV"/>
              </w:rPr>
              <w:t>Lietuva</w:t>
            </w:r>
          </w:p>
        </w:tc>
      </w:tr>
    </w:tbl>
    <w:p w14:paraId="400B7E82" w14:textId="2A3E6468" w:rsidR="004D618E" w:rsidRDefault="004D618E" w:rsidP="004D618E">
      <w:pPr>
        <w:spacing w:before="120"/>
        <w:ind w:firstLine="720"/>
        <w:rPr>
          <w:rFonts w:eastAsia="Times New Roman"/>
          <w:color w:val="000000"/>
          <w:lang w:val="lv-LV"/>
        </w:rPr>
      </w:pPr>
      <w:r w:rsidRPr="004D618E">
        <w:rPr>
          <w:lang w:val="lv-LV"/>
        </w:rPr>
        <w:t xml:space="preserve">NVD ir norādījis, ka ir gadījumi, kad tas ir pieņēmis labvēlīgu lēmumu, bet S2 veidlapa netiek izmantota, lielākoties skaidrojami ar to, ka rēķinu par sniegto pakalpojumu NVD saņem 1 – 3 gadus vēlāk. Attiecīgi pēc VM iesniegtās informācijas FM analīzē norādītas NVD apmaksāto rēķinu summas laika periodā no 2016. – 2019. gadam, jo rēķini par 2020. gadā sniegtajiem pakalpojumiem uz informācijas iesniegšanas brīdi vēl netika saņemti (Tabula Nr. 3.1.7.). Papildus jāņem vērā, ka katra pakalpojuma nodrošināšanas izmaksas var būt dažādas, līdz ar to FM analīzē norādīts apmaksāto pakalpojumu intervāls. Tā piemēram cilmes šūnu un ar to saistīto pārējo pakalpojumu nodrošināšanas komplekss ir izmaksājis no 179 – 121 937 </w:t>
      </w:r>
      <w:r w:rsidRPr="004D618E">
        <w:rPr>
          <w:i/>
          <w:iCs/>
          <w:lang w:val="lv-LV"/>
        </w:rPr>
        <w:t>euro</w:t>
      </w:r>
      <w:r w:rsidRPr="004D618E">
        <w:rPr>
          <w:lang w:val="lv-LV"/>
        </w:rPr>
        <w:t xml:space="preserve">, ārpusģimenes cilmes šūnu meklēšana un ar to saistītie pakalpojumi no 460 – 173 193 </w:t>
      </w:r>
      <w:r w:rsidRPr="004D618E">
        <w:rPr>
          <w:i/>
          <w:iCs/>
          <w:lang w:val="lv-LV"/>
        </w:rPr>
        <w:t>euro</w:t>
      </w:r>
      <w:r w:rsidRPr="004D618E">
        <w:rPr>
          <w:lang w:val="lv-LV"/>
        </w:rPr>
        <w:t xml:space="preserve">, </w:t>
      </w:r>
      <w:r w:rsidRPr="004D618E">
        <w:rPr>
          <w:rFonts w:eastAsia="Times New Roman"/>
          <w:color w:val="000000"/>
          <w:lang w:val="lv-LV"/>
        </w:rPr>
        <w:t xml:space="preserve">Beta aplikatora brahioterapija labajai vai kreisajai acij no 1 710 – 2 865 </w:t>
      </w:r>
      <w:r w:rsidRPr="004D618E">
        <w:rPr>
          <w:rFonts w:eastAsia="Times New Roman"/>
          <w:i/>
          <w:iCs/>
          <w:color w:val="000000"/>
          <w:lang w:val="lv-LV"/>
        </w:rPr>
        <w:t>euro</w:t>
      </w:r>
      <w:r w:rsidRPr="004D618E">
        <w:rPr>
          <w:rFonts w:eastAsia="Times New Roman"/>
          <w:color w:val="000000"/>
          <w:lang w:val="lv-LV"/>
        </w:rPr>
        <w:t xml:space="preserve">, dažādas himērisma analīzes no 460 – 153 088 </w:t>
      </w:r>
      <w:r w:rsidRPr="004D618E">
        <w:rPr>
          <w:rFonts w:eastAsia="Times New Roman"/>
          <w:i/>
          <w:iCs/>
          <w:color w:val="000000"/>
          <w:lang w:val="lv-LV"/>
        </w:rPr>
        <w:t>euro</w:t>
      </w:r>
      <w:r w:rsidRPr="004D618E">
        <w:rPr>
          <w:rFonts w:eastAsia="Times New Roman"/>
          <w:color w:val="000000"/>
          <w:lang w:val="lv-LV"/>
        </w:rPr>
        <w:t xml:space="preserve">, Minimālas reziduālas slimības (MRD) kontrole no 82 – 185 317 </w:t>
      </w:r>
      <w:r w:rsidRPr="004D618E">
        <w:rPr>
          <w:rFonts w:eastAsia="Times New Roman"/>
          <w:i/>
          <w:iCs/>
          <w:color w:val="000000"/>
          <w:lang w:val="lv-LV"/>
        </w:rPr>
        <w:t>euro</w:t>
      </w:r>
      <w:r w:rsidRPr="004D618E">
        <w:rPr>
          <w:rFonts w:eastAsia="Times New Roman"/>
          <w:color w:val="000000"/>
          <w:lang w:val="lv-LV"/>
        </w:rPr>
        <w:t xml:space="preserve"> (Tabula Nr. 3.1.8.).</w:t>
      </w:r>
    </w:p>
    <w:p w14:paraId="19816F44" w14:textId="1E734B43" w:rsidR="00B66244" w:rsidRDefault="00B66244" w:rsidP="00105C87">
      <w:pPr>
        <w:spacing w:before="120"/>
        <w:rPr>
          <w:rFonts w:eastAsia="Times New Roman"/>
          <w:color w:val="000000"/>
          <w:lang w:val="lv-LV"/>
        </w:rPr>
      </w:pPr>
    </w:p>
    <w:p w14:paraId="1401179F" w14:textId="77777777" w:rsidR="004D618E" w:rsidRPr="004D618E" w:rsidRDefault="004D618E" w:rsidP="004D618E">
      <w:pPr>
        <w:spacing w:before="120"/>
        <w:jc w:val="center"/>
        <w:rPr>
          <w:sz w:val="18"/>
          <w:szCs w:val="18"/>
          <w:lang w:val="lv-LV"/>
        </w:rPr>
      </w:pPr>
      <w:r w:rsidRPr="004D618E">
        <w:rPr>
          <w:b/>
          <w:bCs/>
          <w:i/>
          <w:iCs/>
          <w:sz w:val="22"/>
          <w:szCs w:val="20"/>
          <w:lang w:val="lv-LV"/>
        </w:rPr>
        <w:lastRenderedPageBreak/>
        <w:t>3.1.8. tabula</w:t>
      </w:r>
      <w:r w:rsidRPr="004D618E">
        <w:rPr>
          <w:b/>
          <w:bCs/>
          <w:sz w:val="22"/>
          <w:szCs w:val="20"/>
          <w:lang w:val="lv-LV"/>
        </w:rPr>
        <w:t xml:space="preserve"> Visbiežāk pieprasīto</w:t>
      </w:r>
      <w:r w:rsidRPr="004D618E">
        <w:rPr>
          <w:sz w:val="22"/>
          <w:szCs w:val="20"/>
          <w:lang w:val="lv-LV"/>
        </w:rPr>
        <w:t xml:space="preserve"> </w:t>
      </w:r>
      <w:r w:rsidRPr="004D618E">
        <w:rPr>
          <w:rFonts w:eastAsia="Verdana"/>
          <w:b/>
          <w:bCs/>
          <w:color w:val="000000"/>
          <w:kern w:val="24"/>
          <w:sz w:val="22"/>
          <w:szCs w:val="20"/>
          <w:lang w:val="lv-LV"/>
        </w:rPr>
        <w:t xml:space="preserve">plānveida veselības aprūpes pakalpojumu nodrošināšanai </w:t>
      </w:r>
      <w:r w:rsidRPr="004D618E">
        <w:rPr>
          <w:rFonts w:eastAsia="Verdana"/>
          <w:b/>
          <w:bCs/>
          <w:color w:val="000000" w:themeColor="text1"/>
          <w:kern w:val="24"/>
          <w:sz w:val="22"/>
          <w:szCs w:val="20"/>
          <w:lang w:val="lv-LV"/>
        </w:rPr>
        <w:t>ārvalstīs</w:t>
      </w:r>
      <w:r w:rsidRPr="004D618E">
        <w:rPr>
          <w:rFonts w:eastAsia="Verdana"/>
          <w:b/>
          <w:bCs/>
          <w:color w:val="000000"/>
          <w:kern w:val="24"/>
          <w:sz w:val="22"/>
          <w:szCs w:val="20"/>
          <w:lang w:val="lv-LV"/>
        </w:rPr>
        <w:t xml:space="preserve"> apmaksāto rēķinu intervāls no 2016. – 2019. gadam</w:t>
      </w:r>
    </w:p>
    <w:tbl>
      <w:tblPr>
        <w:tblW w:w="5000" w:type="pct"/>
        <w:tblLook w:val="04A0" w:firstRow="1" w:lastRow="0" w:firstColumn="1" w:lastColumn="0" w:noHBand="0" w:noVBand="1"/>
      </w:tblPr>
      <w:tblGrid>
        <w:gridCol w:w="5767"/>
        <w:gridCol w:w="3294"/>
      </w:tblGrid>
      <w:tr w:rsidR="004D618E" w:rsidRPr="004D618E" w14:paraId="38D88B9B" w14:textId="77777777" w:rsidTr="002F55CD">
        <w:trPr>
          <w:trHeight w:val="282"/>
          <w:tblHeader/>
        </w:trPr>
        <w:tc>
          <w:tcPr>
            <w:tcW w:w="3283"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08F3F2CD" w14:textId="77777777" w:rsidR="004D618E" w:rsidRPr="004D618E" w:rsidRDefault="004D618E" w:rsidP="004D618E">
            <w:pPr>
              <w:jc w:val="center"/>
              <w:rPr>
                <w:rFonts w:eastAsia="Times New Roman"/>
                <w:b/>
                <w:bCs/>
                <w:color w:val="000000"/>
                <w:sz w:val="20"/>
                <w:szCs w:val="20"/>
                <w:lang w:val="lv-LV"/>
              </w:rPr>
            </w:pPr>
            <w:r w:rsidRPr="004D618E">
              <w:rPr>
                <w:rFonts w:eastAsia="Times New Roman"/>
                <w:b/>
                <w:bCs/>
                <w:color w:val="000000"/>
                <w:sz w:val="20"/>
                <w:szCs w:val="20"/>
                <w:lang w:val="lv-LV"/>
              </w:rPr>
              <w:t>Apmaksātais pakalpojums/epizode/manipulācija</w:t>
            </w:r>
          </w:p>
        </w:tc>
        <w:tc>
          <w:tcPr>
            <w:tcW w:w="1717" w:type="pct"/>
            <w:tcBorders>
              <w:top w:val="single" w:sz="4" w:space="0" w:color="auto"/>
              <w:left w:val="nil"/>
              <w:bottom w:val="single" w:sz="4" w:space="0" w:color="auto"/>
              <w:right w:val="single" w:sz="4" w:space="0" w:color="auto"/>
            </w:tcBorders>
            <w:shd w:val="clear" w:color="auto" w:fill="8EAADB" w:themeFill="accent5" w:themeFillTint="99"/>
            <w:noWrap/>
            <w:vAlign w:val="center"/>
            <w:hideMark/>
          </w:tcPr>
          <w:p w14:paraId="11B65341" w14:textId="77777777" w:rsidR="004D618E" w:rsidRPr="004D618E" w:rsidRDefault="004D618E" w:rsidP="002F55CD">
            <w:pPr>
              <w:spacing w:after="0" w:line="240" w:lineRule="auto"/>
              <w:jc w:val="center"/>
              <w:rPr>
                <w:rFonts w:eastAsia="Times New Roman"/>
                <w:b/>
                <w:bCs/>
                <w:color w:val="000000"/>
                <w:sz w:val="20"/>
                <w:szCs w:val="20"/>
                <w:lang w:val="lv-LV"/>
              </w:rPr>
            </w:pPr>
            <w:r w:rsidRPr="004D618E">
              <w:rPr>
                <w:rFonts w:eastAsia="Times New Roman"/>
                <w:b/>
                <w:bCs/>
                <w:color w:val="000000"/>
                <w:sz w:val="20"/>
                <w:szCs w:val="20"/>
                <w:lang w:val="lv-LV"/>
              </w:rPr>
              <w:t>NVD apmaksātā rēķina intervāls no</w:t>
            </w:r>
          </w:p>
          <w:p w14:paraId="1AA4A19C" w14:textId="77777777" w:rsidR="004D618E" w:rsidRPr="004D618E" w:rsidRDefault="004D618E" w:rsidP="002F55CD">
            <w:pPr>
              <w:spacing w:after="0" w:line="240" w:lineRule="auto"/>
              <w:jc w:val="center"/>
              <w:rPr>
                <w:rFonts w:eastAsia="Times New Roman"/>
                <w:b/>
                <w:bCs/>
                <w:color w:val="000000"/>
                <w:sz w:val="20"/>
                <w:szCs w:val="20"/>
                <w:lang w:val="lv-LV"/>
              </w:rPr>
            </w:pPr>
            <w:r w:rsidRPr="004D618E">
              <w:rPr>
                <w:rFonts w:eastAsia="Times New Roman"/>
                <w:b/>
                <w:bCs/>
                <w:color w:val="000000"/>
                <w:sz w:val="20"/>
                <w:szCs w:val="20"/>
                <w:lang w:val="lv-LV"/>
              </w:rPr>
              <w:t xml:space="preserve"> 2016. – 2019. gadam</w:t>
            </w:r>
          </w:p>
        </w:tc>
      </w:tr>
      <w:tr w:rsidR="004D618E" w:rsidRPr="004D618E" w14:paraId="1A109257" w14:textId="77777777" w:rsidTr="002F55CD">
        <w:trPr>
          <w:trHeight w:val="1021"/>
        </w:trPr>
        <w:tc>
          <w:tcPr>
            <w:tcW w:w="3283" w:type="pct"/>
            <w:tcBorders>
              <w:top w:val="nil"/>
              <w:left w:val="single" w:sz="4" w:space="0" w:color="auto"/>
              <w:bottom w:val="single" w:sz="4" w:space="0" w:color="auto"/>
              <w:right w:val="single" w:sz="4" w:space="0" w:color="auto"/>
            </w:tcBorders>
            <w:shd w:val="clear" w:color="auto" w:fill="D9E2F3" w:themeFill="accent5" w:themeFillTint="33"/>
            <w:vAlign w:val="bottom"/>
            <w:hideMark/>
          </w:tcPr>
          <w:p w14:paraId="66707A0B" w14:textId="77777777" w:rsidR="004D618E" w:rsidRPr="004D618E" w:rsidRDefault="004D618E" w:rsidP="002F55CD">
            <w:pPr>
              <w:spacing w:after="0" w:line="240" w:lineRule="auto"/>
              <w:jc w:val="center"/>
              <w:rPr>
                <w:rFonts w:eastAsia="Times New Roman"/>
                <w:color w:val="000000"/>
                <w:sz w:val="20"/>
                <w:szCs w:val="20"/>
                <w:lang w:val="lv-LV"/>
              </w:rPr>
            </w:pPr>
            <w:r w:rsidRPr="004D618E">
              <w:rPr>
                <w:rFonts w:eastAsia="Times New Roman"/>
                <w:color w:val="000000"/>
                <w:sz w:val="20"/>
                <w:szCs w:val="20"/>
                <w:lang w:val="lv-LV"/>
              </w:rPr>
              <w:t>Pakalpojumu komplekss:</w:t>
            </w:r>
            <w:r w:rsidRPr="004D618E">
              <w:rPr>
                <w:rFonts w:eastAsia="Times New Roman"/>
                <w:color w:val="000000"/>
                <w:sz w:val="20"/>
                <w:szCs w:val="20"/>
                <w:lang w:val="lv-LV"/>
              </w:rPr>
              <w:br/>
              <w:t>cilmes šūnu donora meklēšana; donora HLA tipēšana; pacienta izmeklēšana un konsultācija; neradniecisku hemopoētisko cilmes šūnu donācija, alogēna cilmes šūnu transplantācija un pēctransplantācijas komplikāciju ārstēšana</w:t>
            </w:r>
          </w:p>
        </w:tc>
        <w:tc>
          <w:tcPr>
            <w:tcW w:w="1717" w:type="pct"/>
            <w:tcBorders>
              <w:top w:val="nil"/>
              <w:left w:val="nil"/>
              <w:bottom w:val="single" w:sz="4" w:space="0" w:color="auto"/>
              <w:right w:val="single" w:sz="4" w:space="0" w:color="auto"/>
            </w:tcBorders>
            <w:shd w:val="clear" w:color="auto" w:fill="D9E2F3" w:themeFill="accent5" w:themeFillTint="33"/>
            <w:noWrap/>
            <w:vAlign w:val="center"/>
            <w:hideMark/>
          </w:tcPr>
          <w:p w14:paraId="0406F5CE" w14:textId="77777777" w:rsidR="004D618E" w:rsidRPr="004D618E" w:rsidRDefault="004D618E" w:rsidP="004D618E">
            <w:pPr>
              <w:jc w:val="center"/>
              <w:rPr>
                <w:rFonts w:eastAsia="Times New Roman"/>
                <w:b/>
                <w:bCs/>
                <w:color w:val="000000"/>
                <w:sz w:val="20"/>
                <w:szCs w:val="20"/>
                <w:lang w:val="lv-LV"/>
              </w:rPr>
            </w:pPr>
            <w:r w:rsidRPr="004D618E">
              <w:rPr>
                <w:rFonts w:eastAsia="Times New Roman"/>
                <w:b/>
                <w:bCs/>
                <w:color w:val="000000"/>
                <w:sz w:val="20"/>
                <w:szCs w:val="20"/>
                <w:lang w:val="lv-LV"/>
              </w:rPr>
              <w:t>no 179 – 121 937</w:t>
            </w:r>
            <w:r w:rsidRPr="004D618E">
              <w:rPr>
                <w:rFonts w:eastAsia="Times New Roman"/>
                <w:b/>
                <w:bCs/>
                <w:i/>
                <w:iCs/>
                <w:color w:val="000000"/>
                <w:sz w:val="20"/>
                <w:szCs w:val="20"/>
                <w:lang w:val="lv-LV"/>
              </w:rPr>
              <w:t xml:space="preserve"> euro</w:t>
            </w:r>
          </w:p>
        </w:tc>
      </w:tr>
      <w:tr w:rsidR="004D618E" w:rsidRPr="004D618E" w14:paraId="4BA68987" w14:textId="77777777" w:rsidTr="002F55CD">
        <w:trPr>
          <w:trHeight w:val="583"/>
        </w:trPr>
        <w:tc>
          <w:tcPr>
            <w:tcW w:w="3283" w:type="pct"/>
            <w:tcBorders>
              <w:top w:val="nil"/>
              <w:left w:val="single" w:sz="4" w:space="0" w:color="auto"/>
              <w:bottom w:val="single" w:sz="4" w:space="0" w:color="auto"/>
              <w:right w:val="single" w:sz="4" w:space="0" w:color="auto"/>
            </w:tcBorders>
            <w:shd w:val="clear" w:color="auto" w:fill="D9E2F3" w:themeFill="accent5" w:themeFillTint="33"/>
            <w:vAlign w:val="bottom"/>
            <w:hideMark/>
          </w:tcPr>
          <w:p w14:paraId="08CAD76B" w14:textId="77777777" w:rsidR="004D618E" w:rsidRPr="004D618E" w:rsidRDefault="004D618E" w:rsidP="002F55CD">
            <w:pPr>
              <w:spacing w:after="0" w:line="240" w:lineRule="auto"/>
              <w:jc w:val="center"/>
              <w:rPr>
                <w:rFonts w:eastAsia="Times New Roman"/>
                <w:color w:val="000000"/>
                <w:sz w:val="20"/>
                <w:szCs w:val="20"/>
                <w:lang w:val="lv-LV"/>
              </w:rPr>
            </w:pPr>
            <w:r w:rsidRPr="004D618E">
              <w:rPr>
                <w:rFonts w:eastAsia="Times New Roman"/>
                <w:color w:val="000000"/>
                <w:sz w:val="20"/>
                <w:szCs w:val="20"/>
                <w:lang w:val="lv-LV"/>
              </w:rPr>
              <w:t>Ārpusģimenes cilmes šūnu donora meklēšana, alogēna perifēro asiņu cilmes šūnu transplantācija, komplikāciju gadījumā - donora limfocītu infūzija un komplikāciju ārstēšana</w:t>
            </w:r>
          </w:p>
        </w:tc>
        <w:tc>
          <w:tcPr>
            <w:tcW w:w="1717" w:type="pct"/>
            <w:tcBorders>
              <w:top w:val="nil"/>
              <w:left w:val="nil"/>
              <w:bottom w:val="single" w:sz="4" w:space="0" w:color="auto"/>
              <w:right w:val="single" w:sz="4" w:space="0" w:color="auto"/>
            </w:tcBorders>
            <w:shd w:val="clear" w:color="auto" w:fill="D9E2F3" w:themeFill="accent5" w:themeFillTint="33"/>
            <w:noWrap/>
            <w:vAlign w:val="center"/>
            <w:hideMark/>
          </w:tcPr>
          <w:p w14:paraId="68B6E61B" w14:textId="77777777" w:rsidR="004D618E" w:rsidRPr="004D618E" w:rsidRDefault="004D618E" w:rsidP="002F55CD">
            <w:pPr>
              <w:spacing w:after="0" w:line="240" w:lineRule="auto"/>
              <w:jc w:val="center"/>
              <w:rPr>
                <w:rFonts w:eastAsia="Times New Roman"/>
                <w:b/>
                <w:bCs/>
                <w:color w:val="000000"/>
                <w:sz w:val="20"/>
                <w:szCs w:val="20"/>
                <w:lang w:val="lv-LV"/>
              </w:rPr>
            </w:pPr>
            <w:r w:rsidRPr="004D618E">
              <w:rPr>
                <w:rFonts w:eastAsia="Times New Roman"/>
                <w:b/>
                <w:bCs/>
                <w:color w:val="000000"/>
                <w:sz w:val="20"/>
                <w:szCs w:val="20"/>
                <w:lang w:val="lv-LV"/>
              </w:rPr>
              <w:t xml:space="preserve">no 460 – 173 193 </w:t>
            </w:r>
            <w:r w:rsidRPr="004D618E">
              <w:rPr>
                <w:rFonts w:eastAsia="Times New Roman"/>
                <w:b/>
                <w:bCs/>
                <w:i/>
                <w:iCs/>
                <w:color w:val="000000"/>
                <w:sz w:val="20"/>
                <w:szCs w:val="20"/>
                <w:lang w:val="lv-LV"/>
              </w:rPr>
              <w:t>euro</w:t>
            </w:r>
          </w:p>
        </w:tc>
      </w:tr>
      <w:tr w:rsidR="004D618E" w:rsidRPr="004D618E" w14:paraId="37A4A90D" w14:textId="77777777" w:rsidTr="002F55CD">
        <w:trPr>
          <w:trHeight w:val="56"/>
        </w:trPr>
        <w:tc>
          <w:tcPr>
            <w:tcW w:w="3283"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4EF6D336" w14:textId="77777777" w:rsidR="004D618E" w:rsidRPr="004D618E" w:rsidRDefault="004D618E" w:rsidP="002F55CD">
            <w:pPr>
              <w:spacing w:after="0" w:line="240" w:lineRule="auto"/>
              <w:jc w:val="center"/>
              <w:rPr>
                <w:rFonts w:eastAsia="Times New Roman"/>
                <w:color w:val="000000"/>
                <w:sz w:val="20"/>
                <w:szCs w:val="20"/>
                <w:lang w:val="lv-LV"/>
              </w:rPr>
            </w:pPr>
            <w:r w:rsidRPr="004D618E">
              <w:rPr>
                <w:rFonts w:eastAsia="Times New Roman"/>
                <w:color w:val="000000"/>
                <w:sz w:val="20"/>
                <w:szCs w:val="20"/>
                <w:lang w:val="lv-LV"/>
              </w:rPr>
              <w:t>Beta aplikatora brahioterapija labajai un kreisajai acij</w:t>
            </w:r>
          </w:p>
        </w:tc>
        <w:tc>
          <w:tcPr>
            <w:tcW w:w="1717" w:type="pct"/>
            <w:tcBorders>
              <w:top w:val="nil"/>
              <w:left w:val="nil"/>
              <w:bottom w:val="single" w:sz="4" w:space="0" w:color="auto"/>
              <w:right w:val="single" w:sz="4" w:space="0" w:color="auto"/>
            </w:tcBorders>
            <w:shd w:val="clear" w:color="auto" w:fill="D9E2F3" w:themeFill="accent5" w:themeFillTint="33"/>
            <w:noWrap/>
            <w:vAlign w:val="center"/>
            <w:hideMark/>
          </w:tcPr>
          <w:p w14:paraId="6E11B048" w14:textId="77777777" w:rsidR="004D618E" w:rsidRPr="004D618E" w:rsidRDefault="004D618E" w:rsidP="002F55CD">
            <w:pPr>
              <w:spacing w:after="0" w:line="240" w:lineRule="auto"/>
              <w:jc w:val="center"/>
              <w:rPr>
                <w:rFonts w:eastAsia="Times New Roman"/>
                <w:b/>
                <w:bCs/>
                <w:color w:val="000000"/>
                <w:sz w:val="20"/>
                <w:szCs w:val="20"/>
                <w:lang w:val="lv-LV"/>
              </w:rPr>
            </w:pPr>
            <w:r w:rsidRPr="004D618E">
              <w:rPr>
                <w:rFonts w:eastAsia="Times New Roman"/>
                <w:b/>
                <w:bCs/>
                <w:color w:val="000000"/>
                <w:sz w:val="20"/>
                <w:szCs w:val="20"/>
                <w:lang w:val="lv-LV"/>
              </w:rPr>
              <w:t xml:space="preserve">no 1 710 – 2 865 </w:t>
            </w:r>
            <w:r w:rsidRPr="004D618E">
              <w:rPr>
                <w:rFonts w:eastAsia="Times New Roman"/>
                <w:b/>
                <w:bCs/>
                <w:i/>
                <w:iCs/>
                <w:color w:val="000000"/>
                <w:sz w:val="20"/>
                <w:szCs w:val="20"/>
                <w:lang w:val="lv-LV"/>
              </w:rPr>
              <w:t>euro</w:t>
            </w:r>
          </w:p>
        </w:tc>
      </w:tr>
      <w:tr w:rsidR="004D618E" w:rsidRPr="004D618E" w14:paraId="0DF46090" w14:textId="77777777" w:rsidTr="002F55CD">
        <w:trPr>
          <w:trHeight w:val="651"/>
        </w:trPr>
        <w:tc>
          <w:tcPr>
            <w:tcW w:w="3283" w:type="pct"/>
            <w:tcBorders>
              <w:top w:val="nil"/>
              <w:left w:val="single" w:sz="4" w:space="0" w:color="auto"/>
              <w:bottom w:val="single" w:sz="4" w:space="0" w:color="auto"/>
              <w:right w:val="single" w:sz="4" w:space="0" w:color="auto"/>
            </w:tcBorders>
            <w:shd w:val="clear" w:color="auto" w:fill="D9E2F3" w:themeFill="accent5" w:themeFillTint="33"/>
            <w:vAlign w:val="bottom"/>
            <w:hideMark/>
          </w:tcPr>
          <w:p w14:paraId="42F62AF8" w14:textId="77777777" w:rsidR="004D618E" w:rsidRPr="004D618E" w:rsidRDefault="004D618E" w:rsidP="002F55CD">
            <w:pPr>
              <w:spacing w:after="0" w:line="240" w:lineRule="auto"/>
              <w:jc w:val="center"/>
              <w:rPr>
                <w:rFonts w:eastAsia="Times New Roman"/>
                <w:color w:val="000000"/>
                <w:sz w:val="20"/>
                <w:szCs w:val="20"/>
                <w:lang w:val="lv-LV"/>
              </w:rPr>
            </w:pPr>
            <w:r w:rsidRPr="004D618E">
              <w:rPr>
                <w:rFonts w:eastAsia="Times New Roman"/>
                <w:color w:val="000000"/>
                <w:sz w:val="20"/>
                <w:szCs w:val="20"/>
                <w:lang w:val="lv-LV"/>
              </w:rPr>
              <w:t>Himērisma analīzes (piemēram, Himērisma analīze pēc real time PRC (faktiskā laika polimerāzes ķēdes reakcija) metodes, donora limfocītu infūzija un komplikāciju ārstēšana)</w:t>
            </w:r>
          </w:p>
        </w:tc>
        <w:tc>
          <w:tcPr>
            <w:tcW w:w="1717" w:type="pct"/>
            <w:tcBorders>
              <w:top w:val="nil"/>
              <w:left w:val="nil"/>
              <w:bottom w:val="single" w:sz="4" w:space="0" w:color="auto"/>
              <w:right w:val="single" w:sz="4" w:space="0" w:color="auto"/>
            </w:tcBorders>
            <w:shd w:val="clear" w:color="auto" w:fill="D9E2F3" w:themeFill="accent5" w:themeFillTint="33"/>
            <w:noWrap/>
            <w:vAlign w:val="center"/>
            <w:hideMark/>
          </w:tcPr>
          <w:p w14:paraId="78DB3E5D" w14:textId="77777777" w:rsidR="004D618E" w:rsidRPr="004D618E" w:rsidRDefault="004D618E" w:rsidP="002F55CD">
            <w:pPr>
              <w:spacing w:after="0" w:line="240" w:lineRule="auto"/>
              <w:jc w:val="center"/>
              <w:rPr>
                <w:rFonts w:eastAsia="Times New Roman"/>
                <w:b/>
                <w:bCs/>
                <w:color w:val="000000"/>
                <w:sz w:val="20"/>
                <w:szCs w:val="20"/>
                <w:lang w:val="lv-LV"/>
              </w:rPr>
            </w:pPr>
            <w:r w:rsidRPr="004D618E">
              <w:rPr>
                <w:rFonts w:eastAsia="Times New Roman"/>
                <w:b/>
                <w:bCs/>
                <w:color w:val="000000"/>
                <w:sz w:val="20"/>
                <w:szCs w:val="20"/>
                <w:lang w:val="lv-LV"/>
              </w:rPr>
              <w:t xml:space="preserve">no 460 – 153 088 </w:t>
            </w:r>
            <w:r w:rsidRPr="004D618E">
              <w:rPr>
                <w:rFonts w:eastAsia="Times New Roman"/>
                <w:b/>
                <w:bCs/>
                <w:i/>
                <w:iCs/>
                <w:color w:val="000000"/>
                <w:sz w:val="20"/>
                <w:szCs w:val="20"/>
                <w:lang w:val="lv-LV"/>
              </w:rPr>
              <w:t>euro</w:t>
            </w:r>
          </w:p>
        </w:tc>
      </w:tr>
      <w:tr w:rsidR="004D618E" w:rsidRPr="004D618E" w14:paraId="72AD0170" w14:textId="77777777" w:rsidTr="002F55CD">
        <w:trPr>
          <w:trHeight w:val="65"/>
        </w:trPr>
        <w:tc>
          <w:tcPr>
            <w:tcW w:w="3283" w:type="pct"/>
            <w:tcBorders>
              <w:top w:val="nil"/>
              <w:left w:val="single" w:sz="4" w:space="0" w:color="auto"/>
              <w:bottom w:val="single" w:sz="4" w:space="0" w:color="auto"/>
              <w:right w:val="single" w:sz="4" w:space="0" w:color="auto"/>
            </w:tcBorders>
            <w:shd w:val="clear" w:color="auto" w:fill="D9E2F3" w:themeFill="accent5" w:themeFillTint="33"/>
            <w:noWrap/>
            <w:vAlign w:val="bottom"/>
            <w:hideMark/>
          </w:tcPr>
          <w:p w14:paraId="732921A4" w14:textId="77777777" w:rsidR="004D618E" w:rsidRPr="004D618E" w:rsidRDefault="004D618E" w:rsidP="002F55CD">
            <w:pPr>
              <w:spacing w:after="0" w:line="240" w:lineRule="auto"/>
              <w:jc w:val="center"/>
              <w:rPr>
                <w:rFonts w:eastAsia="Times New Roman"/>
                <w:color w:val="000000"/>
                <w:sz w:val="20"/>
                <w:szCs w:val="20"/>
                <w:lang w:val="lv-LV"/>
              </w:rPr>
            </w:pPr>
            <w:r w:rsidRPr="004D618E">
              <w:rPr>
                <w:rFonts w:eastAsia="Times New Roman"/>
                <w:color w:val="000000"/>
                <w:sz w:val="20"/>
                <w:szCs w:val="20"/>
                <w:lang w:val="lv-LV"/>
              </w:rPr>
              <w:t>Minimālas reziduālas slimības (MRD) kontrole</w:t>
            </w:r>
          </w:p>
        </w:tc>
        <w:tc>
          <w:tcPr>
            <w:tcW w:w="1717" w:type="pct"/>
            <w:tcBorders>
              <w:top w:val="nil"/>
              <w:left w:val="nil"/>
              <w:bottom w:val="single" w:sz="4" w:space="0" w:color="auto"/>
              <w:right w:val="single" w:sz="4" w:space="0" w:color="auto"/>
            </w:tcBorders>
            <w:shd w:val="clear" w:color="auto" w:fill="D9E2F3" w:themeFill="accent5" w:themeFillTint="33"/>
            <w:noWrap/>
            <w:vAlign w:val="center"/>
            <w:hideMark/>
          </w:tcPr>
          <w:p w14:paraId="0BFC8CAA" w14:textId="77777777" w:rsidR="004D618E" w:rsidRPr="004D618E" w:rsidRDefault="004D618E" w:rsidP="002F55CD">
            <w:pPr>
              <w:spacing w:after="0" w:line="240" w:lineRule="auto"/>
              <w:jc w:val="center"/>
              <w:rPr>
                <w:rFonts w:eastAsia="Times New Roman"/>
                <w:b/>
                <w:bCs/>
                <w:color w:val="000000"/>
                <w:sz w:val="20"/>
                <w:szCs w:val="20"/>
                <w:lang w:val="lv-LV"/>
              </w:rPr>
            </w:pPr>
            <w:r w:rsidRPr="004D618E">
              <w:rPr>
                <w:rFonts w:eastAsia="Times New Roman"/>
                <w:b/>
                <w:bCs/>
                <w:color w:val="000000"/>
                <w:sz w:val="20"/>
                <w:szCs w:val="20"/>
                <w:lang w:val="lv-LV"/>
              </w:rPr>
              <w:t xml:space="preserve">no 82 – 185 317 </w:t>
            </w:r>
            <w:r w:rsidRPr="004D618E">
              <w:rPr>
                <w:rFonts w:eastAsia="Times New Roman"/>
                <w:b/>
                <w:bCs/>
                <w:i/>
                <w:iCs/>
                <w:color w:val="000000"/>
                <w:sz w:val="20"/>
                <w:szCs w:val="20"/>
                <w:lang w:val="lv-LV"/>
              </w:rPr>
              <w:t>euro</w:t>
            </w:r>
          </w:p>
        </w:tc>
      </w:tr>
    </w:tbl>
    <w:p w14:paraId="721D21EA" w14:textId="7C065DC3" w:rsidR="004D618E" w:rsidRDefault="004D618E" w:rsidP="004D618E">
      <w:pPr>
        <w:spacing w:before="120"/>
        <w:ind w:firstLine="720"/>
        <w:rPr>
          <w:rFonts w:eastAsia="Times New Roman"/>
          <w:color w:val="000000"/>
          <w:lang w:val="lv-LV"/>
        </w:rPr>
      </w:pPr>
      <w:r w:rsidRPr="004D618E">
        <w:rPr>
          <w:rFonts w:eastAsia="Times New Roman"/>
          <w:color w:val="000000"/>
          <w:lang w:val="lv-LV"/>
        </w:rPr>
        <w:t>Līdz ar to, ņemot vērā pakalpojumu nepieciešamību un to izmaksas, FM aicināja VM izvērtēt iespēju visbiežāk pieprasītos plānveida veselības aprūpes pakalpojumus, kuri šobrīd tiek nodrošināti citā ES, EZZ dalībvalstī vai Šveicē, nodrošināt Latvijā.</w:t>
      </w:r>
    </w:p>
    <w:p w14:paraId="67D8D2A9" w14:textId="77777777" w:rsidR="00A60406" w:rsidRPr="00A60406" w:rsidRDefault="00A60406" w:rsidP="00A60406">
      <w:pPr>
        <w:spacing w:before="120"/>
        <w:rPr>
          <w:rFonts w:eastAsia="Times New Roman"/>
          <w:b/>
          <w:i/>
          <w:color w:val="000000"/>
          <w:lang w:val="lv-LV"/>
        </w:rPr>
      </w:pPr>
      <w:r w:rsidRPr="00A60406">
        <w:rPr>
          <w:rFonts w:eastAsia="Times New Roman"/>
          <w:b/>
          <w:i/>
          <w:color w:val="000000"/>
          <w:lang w:val="lv-LV"/>
        </w:rPr>
        <w:t>VM izvērtējums</w:t>
      </w:r>
    </w:p>
    <w:p w14:paraId="6CDBB3ED" w14:textId="6928F02D" w:rsidR="00A60406" w:rsidRPr="00E04386" w:rsidRDefault="00A60406" w:rsidP="00E04386">
      <w:pPr>
        <w:ind w:firstLine="720"/>
        <w:rPr>
          <w:lang w:val="lv-LV"/>
        </w:rPr>
      </w:pPr>
      <w:r w:rsidRPr="00E04386">
        <w:rPr>
          <w:lang w:val="lv-LV"/>
        </w:rPr>
        <w:t xml:space="preserve">Atbilstoši Eiropas Parlamenta un Padomes 2004. gada 29. aprīļa Regulas (EK) Nr.883/2004 par sociālās nodrošināšanas sistēmu koordinēšanu un Eiropas Parlamenta un Padomes 2009. gada 16. septembra Regulas (EK) Nr.987/2009 ar ko nosaka īstenošanas kārtību Regulai (EK) Nr. 883/2004 par sociālās nodrošināšanas sistēmu koordinēšanu prasībām, </w:t>
      </w:r>
      <w:r w:rsidR="005D7EA5">
        <w:rPr>
          <w:lang w:val="lv-LV"/>
        </w:rPr>
        <w:t>MK</w:t>
      </w:r>
      <w:r w:rsidRPr="00E04386">
        <w:rPr>
          <w:lang w:val="lv-LV"/>
        </w:rPr>
        <w:t xml:space="preserve"> 2018.</w:t>
      </w:r>
      <w:r w:rsidR="005D7EA5">
        <w:rPr>
          <w:lang w:val="lv-LV"/>
        </w:rPr>
        <w:t xml:space="preserve"> </w:t>
      </w:r>
      <w:r w:rsidRPr="00E04386">
        <w:rPr>
          <w:lang w:val="lv-LV"/>
        </w:rPr>
        <w:t>gada 28.</w:t>
      </w:r>
      <w:r w:rsidR="005D7EA5">
        <w:rPr>
          <w:lang w:val="lv-LV"/>
        </w:rPr>
        <w:t xml:space="preserve"> </w:t>
      </w:r>
      <w:r w:rsidRPr="00E04386">
        <w:rPr>
          <w:lang w:val="lv-LV"/>
        </w:rPr>
        <w:t>augusta noteikumos</w:t>
      </w:r>
      <w:r w:rsidR="00FF342C">
        <w:rPr>
          <w:lang w:val="lv-LV"/>
        </w:rPr>
        <w:t xml:space="preserve"> </w:t>
      </w:r>
      <w:r w:rsidRPr="00E04386">
        <w:rPr>
          <w:lang w:val="lv-LV"/>
        </w:rPr>
        <w:t>Nr.</w:t>
      </w:r>
      <w:r w:rsidR="005D7EA5">
        <w:rPr>
          <w:lang w:val="lv-LV"/>
        </w:rPr>
        <w:t xml:space="preserve"> </w:t>
      </w:r>
      <w:r w:rsidRPr="00E04386">
        <w:rPr>
          <w:lang w:val="lv-LV"/>
        </w:rPr>
        <w:t>555 “Veselības aprūpes pakalpojumu organizēšanas un samaksas kārtība” ir noteikta kārtība, kādā ir iespējams saņemt plānveida veselības aprūpes pakalpojumus citā ES/EEZ dalībvalstī vai Šveicē (turpmāk – Dalībvalsts), ja šādu pakalpojumu nav iespējams nodrošināt Latvijā un attiecīgais pakalpojums ietilpst valsts apmaksājamo veselības aprūpes pakalpojumu klāstā.</w:t>
      </w:r>
    </w:p>
    <w:p w14:paraId="4C86FA8A" w14:textId="2E1E940E" w:rsidR="00C83418" w:rsidRPr="00E04386" w:rsidRDefault="00C83418" w:rsidP="00E04386">
      <w:pPr>
        <w:shd w:val="clear" w:color="auto" w:fill="FFFFFF"/>
        <w:ind w:firstLine="709"/>
        <w:rPr>
          <w:szCs w:val="24"/>
          <w:shd w:val="clear" w:color="auto" w:fill="FFFFFF"/>
          <w:lang w:val="lv-LV"/>
        </w:rPr>
      </w:pPr>
      <w:r w:rsidRPr="00E04386">
        <w:rPr>
          <w:rFonts w:cs="Times New Roman"/>
          <w:szCs w:val="24"/>
          <w:lang w:val="lv-LV"/>
        </w:rPr>
        <w:t xml:space="preserve">Visbiežāk pieprasītākie plānveida veselības aprūpes pakalpojumi ārvalstīs, kurus nevar nodrošināt Latvijā ir saistīti ar </w:t>
      </w:r>
      <w:r w:rsidRPr="00E04386">
        <w:rPr>
          <w:szCs w:val="24"/>
          <w:shd w:val="clear" w:color="auto" w:fill="FFFFFF"/>
          <w:lang w:val="lv-LV"/>
        </w:rPr>
        <w:t xml:space="preserve">cilmes šūnu donora un ārpusģimenes cilmes šūnu donora meklēšanu, </w:t>
      </w:r>
      <w:r w:rsidRPr="00E04386">
        <w:rPr>
          <w:rFonts w:eastAsia="Times New Roman" w:cs="Times New Roman"/>
          <w:szCs w:val="24"/>
          <w:lang w:val="lv-LV" w:eastAsia="lv-LV"/>
        </w:rPr>
        <w:t>transplantāciju un pēctransplantācijas komplikāciju ārstēšanu (Tabula Nr.</w:t>
      </w:r>
      <w:r w:rsidR="00E04386">
        <w:rPr>
          <w:rFonts w:eastAsia="Times New Roman" w:cs="Times New Roman"/>
          <w:szCs w:val="24"/>
          <w:lang w:val="lv-LV" w:eastAsia="lv-LV"/>
        </w:rPr>
        <w:t xml:space="preserve"> </w:t>
      </w:r>
      <w:r w:rsidRPr="00E04386">
        <w:rPr>
          <w:rFonts w:eastAsia="Times New Roman" w:cs="Times New Roman"/>
          <w:szCs w:val="24"/>
          <w:lang w:val="lv-LV" w:eastAsia="lv-LV"/>
        </w:rPr>
        <w:t>3.1.9.)</w:t>
      </w:r>
      <w:r w:rsidRPr="00E04386">
        <w:rPr>
          <w:szCs w:val="24"/>
          <w:shd w:val="clear" w:color="auto" w:fill="FFFFFF"/>
          <w:lang w:val="lv-LV"/>
        </w:rPr>
        <w:t xml:space="preserve">. </w:t>
      </w:r>
    </w:p>
    <w:p w14:paraId="71465A6B" w14:textId="11E8949D" w:rsidR="00C83418" w:rsidRPr="00E04386" w:rsidRDefault="00C83418" w:rsidP="00E04386">
      <w:pPr>
        <w:pStyle w:val="justifyfull"/>
        <w:shd w:val="clear" w:color="auto" w:fill="FFFFFF"/>
        <w:spacing w:before="0" w:beforeAutospacing="0" w:after="120" w:afterAutospacing="0" w:line="259" w:lineRule="auto"/>
        <w:ind w:firstLine="709"/>
        <w:jc w:val="both"/>
        <w:rPr>
          <w:shd w:val="clear" w:color="auto" w:fill="FFFFFF"/>
        </w:rPr>
      </w:pPr>
      <w:r w:rsidRPr="00E04386">
        <w:rPr>
          <w:shd w:val="clear" w:color="auto" w:fill="FFFFFF"/>
        </w:rPr>
        <w:t xml:space="preserve">Asins cilmes šūnu transplantācija kā ārstēšanas metode pasaulē tiek lietota vairāk kā 15 gadus. Šo metodi lieto to onkoloģisko un hematoloģisko slimnieku ārstēšanas procesā, kuriem citas ārstēšanas metodes, piemēram, standarta devu ķīmijterapija, nedod ārstēšanas efektu. Perifērisko asins cilmes šūnu transplantācija var būt divu veidu: autologa – ja transplantējamās cilmes šūnas tiek ņemtas no paša slimnieka un allogēna – ja šūnas tiek ņemtas no kāda cita – donora asinīm. Šobrīd ir zinātniski pierādīts, kuru hematoloģisko slimību gadījumā labāk izdarīt autologu, kuru – allogēno transplantāciju. </w:t>
      </w:r>
      <w:r w:rsidRPr="00E04386">
        <w:t>Šobrīd ir noteiktas indikācijas konkrētām onkoloģiskām slimībām, kuru ārstēšanā konkrētu indikāciju gadījumos jālieto augstu devu ķīmijterapija ar sekojošu perifērisko asins cilmes šūnu transplantāciju. Vislielākais autologo transplantāciju skaits ir sekojošu slimību gadījumos: ne Hodžkina limfomas, Hodžkina slimība, mielomas slimība, akūta limfoīda leikoze, hroniska mieloleikoze, hroniska limfoleikoze, akūta mieloīda leikoze.</w:t>
      </w:r>
    </w:p>
    <w:p w14:paraId="2BC77916" w14:textId="5EC83A3E" w:rsidR="002F55CD" w:rsidRPr="0062608D" w:rsidRDefault="00C83418" w:rsidP="0062608D">
      <w:pPr>
        <w:pStyle w:val="justifyfull"/>
        <w:shd w:val="clear" w:color="auto" w:fill="FFFFFF"/>
        <w:spacing w:before="0" w:beforeAutospacing="0" w:after="120" w:afterAutospacing="0" w:line="259" w:lineRule="auto"/>
        <w:ind w:firstLine="709"/>
        <w:jc w:val="both"/>
      </w:pPr>
      <w:r w:rsidRPr="00E04386">
        <w:t xml:space="preserve">Latvijā šobrīd slimniekiem ar onkohematoloģiskām slimībām, kā tas ir arī Eiropā, visplašāk pielietotā ārstēšanas metode ir ķīmijterapija. Ja audzējs ir primāri rezistents pret ķīmijterapiju, notiek tā progresēšana ķīmijterapijas saņemšanas laikā vai novēro agrīnus </w:t>
      </w:r>
      <w:r w:rsidRPr="00E04386">
        <w:lastRenderedPageBreak/>
        <w:t>recidīvus, slimniekiem kā izvēles terapija jālieto lielu devu ķīmijterapija ar sekojošu autologu perifērisko asins cilmes šūnu transplantāciju. Līdz šim Latvijā šī metode nav pieejama. Autologā cilmes šūnu transplantācija ļaus ārstēt minētās grupas slimniekus, palielinās viņu kopējo ilgdzīvi, no slimības brīvu dzīvi, remisiju un izārstēšanas procentu.</w:t>
      </w:r>
      <w:r w:rsidRPr="00E04386">
        <w:rPr>
          <w:rStyle w:val="FootnoteReference"/>
        </w:rPr>
        <w:footnoteReference w:id="33"/>
      </w:r>
    </w:p>
    <w:p w14:paraId="245BFE33" w14:textId="01A18066" w:rsidR="00C83418" w:rsidRPr="00E04386" w:rsidRDefault="00C83418" w:rsidP="00C83418">
      <w:pPr>
        <w:pStyle w:val="ListParagraph"/>
        <w:spacing w:before="120"/>
        <w:ind w:left="1077"/>
        <w:contextualSpacing w:val="0"/>
        <w:rPr>
          <w:rFonts w:cs="Times New Roman"/>
          <w:b/>
          <w:szCs w:val="24"/>
          <w:lang w:val="lv-LV"/>
        </w:rPr>
      </w:pPr>
      <w:r w:rsidRPr="00E04386">
        <w:rPr>
          <w:rFonts w:cs="Times New Roman"/>
          <w:b/>
          <w:i/>
          <w:sz w:val="22"/>
          <w:szCs w:val="24"/>
          <w:lang w:val="lv-LV"/>
        </w:rPr>
        <w:t>3.1.9.tabula</w:t>
      </w:r>
      <w:r w:rsidRPr="00E04386">
        <w:rPr>
          <w:rFonts w:cs="Times New Roman"/>
          <w:b/>
          <w:sz w:val="22"/>
          <w:szCs w:val="24"/>
          <w:lang w:val="lv-LV"/>
        </w:rPr>
        <w:t xml:space="preserve"> S2 izsniegto veidlapu skaits no 2018.</w:t>
      </w:r>
      <w:r w:rsidR="00FF342C">
        <w:rPr>
          <w:rFonts w:cs="Times New Roman"/>
          <w:b/>
          <w:sz w:val="22"/>
          <w:szCs w:val="24"/>
          <w:lang w:val="lv-LV"/>
        </w:rPr>
        <w:t xml:space="preserve"> </w:t>
      </w:r>
      <w:r w:rsidRPr="00E04386">
        <w:rPr>
          <w:rFonts w:cs="Times New Roman"/>
          <w:b/>
          <w:sz w:val="22"/>
          <w:szCs w:val="24"/>
          <w:lang w:val="lv-LV"/>
        </w:rPr>
        <w:t>gada līdz 2020.</w:t>
      </w:r>
      <w:r w:rsidR="00FF342C">
        <w:rPr>
          <w:rFonts w:cs="Times New Roman"/>
          <w:b/>
          <w:sz w:val="22"/>
          <w:szCs w:val="24"/>
          <w:lang w:val="lv-LV"/>
        </w:rPr>
        <w:t xml:space="preserve"> </w:t>
      </w:r>
      <w:r w:rsidRPr="00E04386">
        <w:rPr>
          <w:rFonts w:cs="Times New Roman"/>
          <w:b/>
          <w:sz w:val="22"/>
          <w:szCs w:val="24"/>
          <w:lang w:val="lv-LV"/>
        </w:rPr>
        <w:t>gadam</w:t>
      </w:r>
      <w:r w:rsidRPr="00E04386">
        <w:rPr>
          <w:rFonts w:cs="Times New Roman"/>
          <w:b/>
          <w:szCs w:val="24"/>
          <w:lang w:val="lv-LV"/>
        </w:rPr>
        <w:t>.</w:t>
      </w:r>
    </w:p>
    <w:tbl>
      <w:tblPr>
        <w:tblStyle w:val="TableGrid"/>
        <w:tblW w:w="0" w:type="auto"/>
        <w:tblLook w:val="04A0" w:firstRow="1" w:lastRow="0" w:firstColumn="1" w:lastColumn="0" w:noHBand="0" w:noVBand="1"/>
      </w:tblPr>
      <w:tblGrid>
        <w:gridCol w:w="4390"/>
        <w:gridCol w:w="1642"/>
        <w:gridCol w:w="1152"/>
        <w:gridCol w:w="891"/>
        <w:gridCol w:w="941"/>
      </w:tblGrid>
      <w:tr w:rsidR="00C83418" w:rsidRPr="00E04386" w14:paraId="6A219D59" w14:textId="77777777" w:rsidTr="002F55CD">
        <w:trPr>
          <w:tblHeader/>
        </w:trPr>
        <w:tc>
          <w:tcPr>
            <w:tcW w:w="4390" w:type="dxa"/>
            <w:vMerge w:val="restart"/>
            <w:shd w:val="clear" w:color="auto" w:fill="8EAADB" w:themeFill="accent5" w:themeFillTint="99"/>
          </w:tcPr>
          <w:p w14:paraId="7833AE09" w14:textId="77777777" w:rsidR="00C83418" w:rsidRPr="00E04386" w:rsidRDefault="00C83418" w:rsidP="002F55CD">
            <w:pPr>
              <w:spacing w:after="0"/>
              <w:jc w:val="center"/>
              <w:rPr>
                <w:b/>
                <w:bCs/>
                <w:sz w:val="20"/>
                <w:szCs w:val="20"/>
                <w:lang w:val="lv-LV"/>
              </w:rPr>
            </w:pPr>
            <w:r w:rsidRPr="00E04386">
              <w:rPr>
                <w:b/>
                <w:bCs/>
                <w:sz w:val="20"/>
                <w:szCs w:val="20"/>
                <w:lang w:val="lv-LV"/>
              </w:rPr>
              <w:t>Pieprasītais plānveida veselības aprūpes pakalpojums/epizode/manipulācija nodrošināšanai citā ES, EEZ dalībvalstī vai Šveicē</w:t>
            </w:r>
          </w:p>
        </w:tc>
        <w:tc>
          <w:tcPr>
            <w:tcW w:w="1642" w:type="dxa"/>
            <w:vMerge w:val="restart"/>
            <w:shd w:val="clear" w:color="auto" w:fill="8EAADB" w:themeFill="accent5" w:themeFillTint="99"/>
          </w:tcPr>
          <w:p w14:paraId="71A8825B" w14:textId="77777777" w:rsidR="00C83418" w:rsidRPr="00E04386" w:rsidRDefault="00C83418" w:rsidP="002F55CD">
            <w:pPr>
              <w:spacing w:after="0"/>
              <w:jc w:val="center"/>
              <w:rPr>
                <w:b/>
                <w:bCs/>
                <w:sz w:val="20"/>
                <w:szCs w:val="20"/>
                <w:lang w:val="lv-LV"/>
              </w:rPr>
            </w:pPr>
            <w:r w:rsidRPr="00E04386">
              <w:rPr>
                <w:b/>
                <w:bCs/>
                <w:sz w:val="20"/>
                <w:szCs w:val="20"/>
                <w:lang w:val="lv-LV"/>
              </w:rPr>
              <w:t>Valsts, kas nodrošina pakalpojumu</w:t>
            </w:r>
          </w:p>
        </w:tc>
        <w:tc>
          <w:tcPr>
            <w:tcW w:w="2984" w:type="dxa"/>
            <w:gridSpan w:val="3"/>
            <w:shd w:val="clear" w:color="auto" w:fill="8EAADB" w:themeFill="accent5" w:themeFillTint="99"/>
          </w:tcPr>
          <w:p w14:paraId="689DDD42" w14:textId="77777777" w:rsidR="00C83418" w:rsidRPr="00E04386" w:rsidRDefault="00C83418" w:rsidP="002F55CD">
            <w:pPr>
              <w:spacing w:after="0"/>
              <w:jc w:val="center"/>
              <w:rPr>
                <w:b/>
                <w:bCs/>
                <w:sz w:val="20"/>
                <w:szCs w:val="20"/>
                <w:lang w:val="lv-LV"/>
              </w:rPr>
            </w:pPr>
            <w:r w:rsidRPr="00E04386">
              <w:rPr>
                <w:b/>
                <w:bCs/>
                <w:sz w:val="20"/>
                <w:szCs w:val="20"/>
                <w:lang w:val="lv-LV"/>
              </w:rPr>
              <w:t>S2 izsniegto veidlapu skaits</w:t>
            </w:r>
          </w:p>
          <w:p w14:paraId="0B3E2517" w14:textId="77777777" w:rsidR="00C83418" w:rsidRPr="00E04386" w:rsidRDefault="00C83418" w:rsidP="002F55CD">
            <w:pPr>
              <w:spacing w:after="0"/>
              <w:jc w:val="center"/>
              <w:rPr>
                <w:b/>
                <w:bCs/>
                <w:sz w:val="20"/>
                <w:szCs w:val="20"/>
                <w:lang w:val="lv-LV"/>
              </w:rPr>
            </w:pPr>
          </w:p>
        </w:tc>
      </w:tr>
      <w:tr w:rsidR="00C83418" w:rsidRPr="00E04386" w14:paraId="405E207C" w14:textId="77777777" w:rsidTr="002F55CD">
        <w:trPr>
          <w:tblHeader/>
        </w:trPr>
        <w:tc>
          <w:tcPr>
            <w:tcW w:w="4390" w:type="dxa"/>
            <w:vMerge/>
            <w:shd w:val="clear" w:color="auto" w:fill="8EAADB" w:themeFill="accent5" w:themeFillTint="99"/>
          </w:tcPr>
          <w:p w14:paraId="269E4FCD" w14:textId="77777777" w:rsidR="00C83418" w:rsidRPr="00E04386" w:rsidRDefault="00C83418" w:rsidP="002F55CD">
            <w:pPr>
              <w:spacing w:after="0"/>
              <w:rPr>
                <w:b/>
                <w:bCs/>
                <w:sz w:val="20"/>
                <w:szCs w:val="20"/>
                <w:lang w:val="lv-LV"/>
              </w:rPr>
            </w:pPr>
          </w:p>
        </w:tc>
        <w:tc>
          <w:tcPr>
            <w:tcW w:w="1642" w:type="dxa"/>
            <w:vMerge/>
            <w:shd w:val="clear" w:color="auto" w:fill="8EAADB" w:themeFill="accent5" w:themeFillTint="99"/>
          </w:tcPr>
          <w:p w14:paraId="2268379A" w14:textId="77777777" w:rsidR="00C83418" w:rsidRPr="00E04386" w:rsidRDefault="00C83418" w:rsidP="002F55CD">
            <w:pPr>
              <w:spacing w:after="0"/>
              <w:rPr>
                <w:b/>
                <w:bCs/>
                <w:sz w:val="20"/>
                <w:szCs w:val="20"/>
                <w:lang w:val="lv-LV"/>
              </w:rPr>
            </w:pPr>
          </w:p>
        </w:tc>
        <w:tc>
          <w:tcPr>
            <w:tcW w:w="1152"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1329D767" w14:textId="594C6DC3" w:rsidR="00C83418" w:rsidRPr="00E04386" w:rsidRDefault="00C83418" w:rsidP="002F55CD">
            <w:pPr>
              <w:spacing w:after="0"/>
              <w:jc w:val="center"/>
              <w:rPr>
                <w:b/>
                <w:bCs/>
                <w:sz w:val="20"/>
                <w:szCs w:val="20"/>
                <w:lang w:val="lv-LV"/>
              </w:rPr>
            </w:pPr>
            <w:r w:rsidRPr="00E04386">
              <w:rPr>
                <w:b/>
                <w:bCs/>
                <w:sz w:val="20"/>
                <w:szCs w:val="20"/>
                <w:lang w:val="lv-LV"/>
              </w:rPr>
              <w:t>2018.</w:t>
            </w:r>
            <w:r w:rsidR="00FF342C">
              <w:rPr>
                <w:b/>
                <w:bCs/>
                <w:sz w:val="20"/>
                <w:szCs w:val="20"/>
                <w:lang w:val="lv-LV"/>
              </w:rPr>
              <w:t xml:space="preserve"> g</w:t>
            </w:r>
          </w:p>
        </w:tc>
        <w:tc>
          <w:tcPr>
            <w:tcW w:w="891" w:type="dxa"/>
            <w:tcBorders>
              <w:top w:val="single" w:sz="4" w:space="0" w:color="auto"/>
              <w:left w:val="nil"/>
              <w:bottom w:val="single" w:sz="4" w:space="0" w:color="auto"/>
              <w:right w:val="single" w:sz="4" w:space="0" w:color="auto"/>
            </w:tcBorders>
            <w:shd w:val="clear" w:color="auto" w:fill="8EAADB" w:themeFill="accent5" w:themeFillTint="99"/>
            <w:vAlign w:val="center"/>
          </w:tcPr>
          <w:p w14:paraId="473956B2" w14:textId="1EDE8CE1" w:rsidR="00C83418" w:rsidRPr="00E04386" w:rsidRDefault="00C83418" w:rsidP="002F55CD">
            <w:pPr>
              <w:spacing w:after="0"/>
              <w:jc w:val="center"/>
              <w:rPr>
                <w:b/>
                <w:bCs/>
                <w:sz w:val="20"/>
                <w:szCs w:val="20"/>
                <w:lang w:val="lv-LV"/>
              </w:rPr>
            </w:pPr>
            <w:r w:rsidRPr="00E04386">
              <w:rPr>
                <w:b/>
                <w:bCs/>
                <w:sz w:val="20"/>
                <w:szCs w:val="20"/>
                <w:lang w:val="lv-LV"/>
              </w:rPr>
              <w:t>2019.</w:t>
            </w:r>
            <w:r w:rsidR="00FF342C">
              <w:rPr>
                <w:b/>
                <w:bCs/>
                <w:sz w:val="20"/>
                <w:szCs w:val="20"/>
                <w:lang w:val="lv-LV"/>
              </w:rPr>
              <w:t xml:space="preserve"> </w:t>
            </w:r>
            <w:r w:rsidRPr="00E04386">
              <w:rPr>
                <w:b/>
                <w:bCs/>
                <w:sz w:val="20"/>
                <w:szCs w:val="20"/>
                <w:lang w:val="lv-LV"/>
              </w:rPr>
              <w:t>g</w:t>
            </w:r>
          </w:p>
        </w:tc>
        <w:tc>
          <w:tcPr>
            <w:tcW w:w="941" w:type="dxa"/>
            <w:tcBorders>
              <w:top w:val="single" w:sz="4" w:space="0" w:color="auto"/>
              <w:left w:val="nil"/>
              <w:bottom w:val="single" w:sz="4" w:space="0" w:color="auto"/>
              <w:right w:val="single" w:sz="4" w:space="0" w:color="auto"/>
            </w:tcBorders>
            <w:shd w:val="clear" w:color="auto" w:fill="8EAADB" w:themeFill="accent5" w:themeFillTint="99"/>
            <w:vAlign w:val="center"/>
          </w:tcPr>
          <w:p w14:paraId="7DBFC10E" w14:textId="4530B93D" w:rsidR="00C83418" w:rsidRPr="00E04386" w:rsidRDefault="00C83418" w:rsidP="002F55CD">
            <w:pPr>
              <w:spacing w:after="0"/>
              <w:jc w:val="center"/>
              <w:rPr>
                <w:b/>
                <w:bCs/>
                <w:sz w:val="20"/>
                <w:szCs w:val="20"/>
                <w:lang w:val="lv-LV"/>
              </w:rPr>
            </w:pPr>
            <w:r w:rsidRPr="00E04386">
              <w:rPr>
                <w:b/>
                <w:bCs/>
                <w:sz w:val="20"/>
                <w:szCs w:val="20"/>
                <w:lang w:val="lv-LV"/>
              </w:rPr>
              <w:t>2020.</w:t>
            </w:r>
            <w:r w:rsidR="00FF342C">
              <w:rPr>
                <w:b/>
                <w:bCs/>
                <w:sz w:val="20"/>
                <w:szCs w:val="20"/>
                <w:lang w:val="lv-LV"/>
              </w:rPr>
              <w:t xml:space="preserve"> </w:t>
            </w:r>
            <w:r w:rsidRPr="00E04386">
              <w:rPr>
                <w:b/>
                <w:bCs/>
                <w:sz w:val="20"/>
                <w:szCs w:val="20"/>
                <w:lang w:val="lv-LV"/>
              </w:rPr>
              <w:t>g</w:t>
            </w:r>
          </w:p>
        </w:tc>
      </w:tr>
      <w:tr w:rsidR="00C83418" w:rsidRPr="00E04386" w14:paraId="4B96A8EE" w14:textId="77777777" w:rsidTr="002F55CD">
        <w:trPr>
          <w:trHeight w:val="1119"/>
        </w:trPr>
        <w:tc>
          <w:tcPr>
            <w:tcW w:w="4390" w:type="dxa"/>
            <w:shd w:val="clear" w:color="auto" w:fill="D9E2F3" w:themeFill="accent5" w:themeFillTint="33"/>
            <w:hideMark/>
          </w:tcPr>
          <w:p w14:paraId="23C7028D" w14:textId="77777777" w:rsidR="00016D17" w:rsidRDefault="00C83418" w:rsidP="004C1C06">
            <w:pPr>
              <w:pStyle w:val="ListParagraph"/>
              <w:numPr>
                <w:ilvl w:val="0"/>
                <w:numId w:val="41"/>
              </w:numPr>
              <w:spacing w:after="0"/>
              <w:ind w:left="311"/>
              <w:rPr>
                <w:rFonts w:eastAsia="Times New Roman"/>
                <w:color w:val="000000"/>
                <w:sz w:val="20"/>
                <w:szCs w:val="20"/>
                <w:lang w:val="lv-LV" w:eastAsia="lv-LV"/>
              </w:rPr>
            </w:pPr>
            <w:r w:rsidRPr="00016D17">
              <w:rPr>
                <w:rFonts w:eastAsia="Times New Roman"/>
                <w:color w:val="000000"/>
                <w:sz w:val="20"/>
                <w:szCs w:val="20"/>
                <w:lang w:val="lv-LV" w:eastAsia="lv-LV"/>
              </w:rPr>
              <w:t>c</w:t>
            </w:r>
            <w:r w:rsidR="00016D17">
              <w:rPr>
                <w:rFonts w:eastAsia="Times New Roman"/>
                <w:color w:val="000000"/>
                <w:sz w:val="20"/>
                <w:szCs w:val="20"/>
                <w:lang w:val="lv-LV" w:eastAsia="lv-LV"/>
              </w:rPr>
              <w:t>ilmes šūnu donora meklēšana;</w:t>
            </w:r>
          </w:p>
          <w:p w14:paraId="678EA91F" w14:textId="17AD1524" w:rsidR="00016D17" w:rsidRDefault="00016D17" w:rsidP="004C1C06">
            <w:pPr>
              <w:pStyle w:val="ListParagraph"/>
              <w:numPr>
                <w:ilvl w:val="0"/>
                <w:numId w:val="41"/>
              </w:numPr>
              <w:spacing w:after="0"/>
              <w:ind w:left="311"/>
              <w:rPr>
                <w:rFonts w:eastAsia="Times New Roman"/>
                <w:color w:val="000000"/>
                <w:sz w:val="20"/>
                <w:szCs w:val="20"/>
                <w:lang w:val="lv-LV" w:eastAsia="lv-LV"/>
              </w:rPr>
            </w:pPr>
            <w:r>
              <w:rPr>
                <w:rFonts w:eastAsia="Times New Roman"/>
                <w:color w:val="000000"/>
                <w:sz w:val="20"/>
                <w:szCs w:val="20"/>
                <w:lang w:val="lv-LV" w:eastAsia="lv-LV"/>
              </w:rPr>
              <w:t>donora HLA tipēšana;</w:t>
            </w:r>
          </w:p>
          <w:p w14:paraId="57D0A1FC" w14:textId="4F5AC043" w:rsidR="00016D17" w:rsidRPr="00016D17" w:rsidRDefault="00C83418" w:rsidP="004C1C06">
            <w:pPr>
              <w:pStyle w:val="ListParagraph"/>
              <w:numPr>
                <w:ilvl w:val="0"/>
                <w:numId w:val="41"/>
              </w:numPr>
              <w:spacing w:after="0"/>
              <w:ind w:left="311"/>
              <w:rPr>
                <w:rFonts w:eastAsia="Times New Roman"/>
                <w:color w:val="000000"/>
                <w:sz w:val="20"/>
                <w:szCs w:val="20"/>
                <w:lang w:val="lv-LV" w:eastAsia="lv-LV"/>
              </w:rPr>
            </w:pPr>
            <w:r w:rsidRPr="00016D17">
              <w:rPr>
                <w:rFonts w:eastAsia="Times New Roman"/>
                <w:color w:val="000000"/>
                <w:sz w:val="20"/>
                <w:szCs w:val="20"/>
                <w:lang w:val="lv-LV" w:eastAsia="lv-LV"/>
              </w:rPr>
              <w:t xml:space="preserve">pacienta </w:t>
            </w:r>
            <w:r w:rsidR="00016D17" w:rsidRPr="00016D17">
              <w:rPr>
                <w:rFonts w:eastAsia="Times New Roman"/>
                <w:color w:val="000000"/>
                <w:sz w:val="20"/>
                <w:szCs w:val="20"/>
                <w:lang w:val="lv-LV" w:eastAsia="lv-LV"/>
              </w:rPr>
              <w:t>izmeklēšana un konsultācija;</w:t>
            </w:r>
          </w:p>
          <w:p w14:paraId="76110C2F" w14:textId="2D573F83" w:rsidR="00C83418" w:rsidRPr="00016D17" w:rsidRDefault="00C83418" w:rsidP="004C1C06">
            <w:pPr>
              <w:pStyle w:val="ListParagraph"/>
              <w:numPr>
                <w:ilvl w:val="0"/>
                <w:numId w:val="41"/>
              </w:numPr>
              <w:spacing w:after="0"/>
              <w:ind w:left="311"/>
              <w:rPr>
                <w:rFonts w:eastAsia="Times New Roman"/>
                <w:color w:val="000000"/>
                <w:sz w:val="20"/>
                <w:szCs w:val="20"/>
                <w:lang w:val="lv-LV" w:eastAsia="lv-LV"/>
              </w:rPr>
            </w:pPr>
            <w:r w:rsidRPr="00016D17">
              <w:rPr>
                <w:rFonts w:eastAsia="Times New Roman"/>
                <w:color w:val="000000"/>
                <w:sz w:val="20"/>
                <w:szCs w:val="20"/>
                <w:lang w:val="lv-LV" w:eastAsia="lv-LV"/>
              </w:rPr>
              <w:t>neradniecisku hemopoētisko cilmes šūnu donācija, alogēna cilmes šūnu transplantācija un pēctransplantācijas komplikāciju ārstēšana</w:t>
            </w:r>
          </w:p>
        </w:tc>
        <w:tc>
          <w:tcPr>
            <w:tcW w:w="1642" w:type="dxa"/>
            <w:shd w:val="clear" w:color="auto" w:fill="D9E2F3" w:themeFill="accent5" w:themeFillTint="33"/>
            <w:noWrap/>
            <w:hideMark/>
          </w:tcPr>
          <w:p w14:paraId="070D70CC"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Lietuva/Vācija</w:t>
            </w:r>
          </w:p>
        </w:tc>
        <w:tc>
          <w:tcPr>
            <w:tcW w:w="1152" w:type="dxa"/>
            <w:shd w:val="clear" w:color="auto" w:fill="D9E2F3" w:themeFill="accent5" w:themeFillTint="33"/>
            <w:hideMark/>
          </w:tcPr>
          <w:p w14:paraId="29ACF031"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3</w:t>
            </w:r>
          </w:p>
        </w:tc>
        <w:tc>
          <w:tcPr>
            <w:tcW w:w="891" w:type="dxa"/>
            <w:shd w:val="clear" w:color="auto" w:fill="D9E2F3" w:themeFill="accent5" w:themeFillTint="33"/>
            <w:hideMark/>
          </w:tcPr>
          <w:p w14:paraId="6A875679"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6</w:t>
            </w:r>
          </w:p>
        </w:tc>
        <w:tc>
          <w:tcPr>
            <w:tcW w:w="941" w:type="dxa"/>
            <w:shd w:val="clear" w:color="auto" w:fill="D9E2F3" w:themeFill="accent5" w:themeFillTint="33"/>
            <w:noWrap/>
            <w:hideMark/>
          </w:tcPr>
          <w:p w14:paraId="650D5585"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3</w:t>
            </w:r>
          </w:p>
        </w:tc>
      </w:tr>
      <w:tr w:rsidR="00C83418" w:rsidRPr="00E04386" w14:paraId="4E1C6D18" w14:textId="77777777" w:rsidTr="002F55CD">
        <w:trPr>
          <w:trHeight w:val="713"/>
        </w:trPr>
        <w:tc>
          <w:tcPr>
            <w:tcW w:w="4390" w:type="dxa"/>
            <w:shd w:val="clear" w:color="auto" w:fill="D9E2F3" w:themeFill="accent5" w:themeFillTint="33"/>
            <w:hideMark/>
          </w:tcPr>
          <w:p w14:paraId="6DDB9597" w14:textId="77777777" w:rsidR="00C83418" w:rsidRPr="00E04386" w:rsidRDefault="00C83418" w:rsidP="002F55CD">
            <w:pPr>
              <w:spacing w:after="0"/>
              <w:rPr>
                <w:rFonts w:eastAsia="Times New Roman"/>
                <w:color w:val="000000"/>
                <w:sz w:val="20"/>
                <w:szCs w:val="20"/>
                <w:lang w:val="lv-LV" w:eastAsia="lv-LV"/>
              </w:rPr>
            </w:pPr>
            <w:r w:rsidRPr="00E04386">
              <w:rPr>
                <w:rFonts w:eastAsia="Times New Roman"/>
                <w:color w:val="000000"/>
                <w:sz w:val="20"/>
                <w:szCs w:val="20"/>
                <w:lang w:val="lv-LV" w:eastAsia="lv-LV"/>
              </w:rPr>
              <w:t>Ārpusģimenes cilmes šūnu donora meklēšana, alogēna perifēro asins cilmes šūnu transplantācija, komplikāciju gadījumā - donora limfocītu infūzija un komplikāciju ārstēšana</w:t>
            </w:r>
          </w:p>
        </w:tc>
        <w:tc>
          <w:tcPr>
            <w:tcW w:w="1642" w:type="dxa"/>
            <w:shd w:val="clear" w:color="auto" w:fill="D9E2F3" w:themeFill="accent5" w:themeFillTint="33"/>
            <w:hideMark/>
          </w:tcPr>
          <w:p w14:paraId="1C06A79C"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 xml:space="preserve">Lietuva/Vācija </w:t>
            </w:r>
          </w:p>
        </w:tc>
        <w:tc>
          <w:tcPr>
            <w:tcW w:w="1152" w:type="dxa"/>
            <w:shd w:val="clear" w:color="auto" w:fill="D9E2F3" w:themeFill="accent5" w:themeFillTint="33"/>
            <w:hideMark/>
          </w:tcPr>
          <w:p w14:paraId="4658D8EC"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22</w:t>
            </w:r>
          </w:p>
        </w:tc>
        <w:tc>
          <w:tcPr>
            <w:tcW w:w="891" w:type="dxa"/>
            <w:shd w:val="clear" w:color="auto" w:fill="D9E2F3" w:themeFill="accent5" w:themeFillTint="33"/>
            <w:hideMark/>
          </w:tcPr>
          <w:p w14:paraId="5986B9FD"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18</w:t>
            </w:r>
          </w:p>
        </w:tc>
        <w:tc>
          <w:tcPr>
            <w:tcW w:w="941" w:type="dxa"/>
            <w:shd w:val="clear" w:color="auto" w:fill="D9E2F3" w:themeFill="accent5" w:themeFillTint="33"/>
            <w:hideMark/>
          </w:tcPr>
          <w:p w14:paraId="2099FA1A"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5</w:t>
            </w:r>
          </w:p>
        </w:tc>
      </w:tr>
      <w:tr w:rsidR="00C83418" w:rsidRPr="00E04386" w14:paraId="716EFDC5" w14:textId="77777777" w:rsidTr="003D0B10">
        <w:trPr>
          <w:trHeight w:val="310"/>
        </w:trPr>
        <w:tc>
          <w:tcPr>
            <w:tcW w:w="4390" w:type="dxa"/>
            <w:shd w:val="clear" w:color="auto" w:fill="D9E2F3" w:themeFill="accent5" w:themeFillTint="33"/>
            <w:noWrap/>
            <w:hideMark/>
          </w:tcPr>
          <w:p w14:paraId="33920DA8" w14:textId="77777777" w:rsidR="00C83418" w:rsidRPr="00E04386" w:rsidRDefault="00C83418" w:rsidP="002F55CD">
            <w:pPr>
              <w:spacing w:after="0"/>
              <w:rPr>
                <w:rFonts w:eastAsia="Times New Roman"/>
                <w:color w:val="000000"/>
                <w:sz w:val="20"/>
                <w:szCs w:val="20"/>
                <w:lang w:val="lv-LV" w:eastAsia="lv-LV"/>
              </w:rPr>
            </w:pPr>
            <w:r w:rsidRPr="00E04386">
              <w:rPr>
                <w:rFonts w:eastAsia="Times New Roman"/>
                <w:color w:val="000000"/>
                <w:sz w:val="20"/>
                <w:szCs w:val="20"/>
                <w:lang w:val="lv-LV" w:eastAsia="lv-LV"/>
              </w:rPr>
              <w:t>Beta aplikatora brahioterapija labajai un kreisajai acij</w:t>
            </w:r>
          </w:p>
        </w:tc>
        <w:tc>
          <w:tcPr>
            <w:tcW w:w="1642" w:type="dxa"/>
            <w:shd w:val="clear" w:color="auto" w:fill="D9E2F3" w:themeFill="accent5" w:themeFillTint="33"/>
            <w:hideMark/>
          </w:tcPr>
          <w:p w14:paraId="0522BB01"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Igaunija</w:t>
            </w:r>
          </w:p>
        </w:tc>
        <w:tc>
          <w:tcPr>
            <w:tcW w:w="1152" w:type="dxa"/>
            <w:shd w:val="clear" w:color="auto" w:fill="D9E2F3" w:themeFill="accent5" w:themeFillTint="33"/>
            <w:hideMark/>
          </w:tcPr>
          <w:p w14:paraId="206CC818"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15</w:t>
            </w:r>
          </w:p>
        </w:tc>
        <w:tc>
          <w:tcPr>
            <w:tcW w:w="891" w:type="dxa"/>
            <w:shd w:val="clear" w:color="auto" w:fill="D9E2F3" w:themeFill="accent5" w:themeFillTint="33"/>
            <w:hideMark/>
          </w:tcPr>
          <w:p w14:paraId="0844F313"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18</w:t>
            </w:r>
          </w:p>
        </w:tc>
        <w:tc>
          <w:tcPr>
            <w:tcW w:w="941" w:type="dxa"/>
            <w:shd w:val="clear" w:color="auto" w:fill="D9E2F3" w:themeFill="accent5" w:themeFillTint="33"/>
            <w:hideMark/>
          </w:tcPr>
          <w:p w14:paraId="582DD5C6"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16</w:t>
            </w:r>
          </w:p>
        </w:tc>
      </w:tr>
      <w:tr w:rsidR="00C83418" w:rsidRPr="00E04386" w14:paraId="5C03E86B" w14:textId="77777777" w:rsidTr="002F55CD">
        <w:trPr>
          <w:trHeight w:val="70"/>
        </w:trPr>
        <w:tc>
          <w:tcPr>
            <w:tcW w:w="4390" w:type="dxa"/>
            <w:shd w:val="clear" w:color="auto" w:fill="D9E2F3" w:themeFill="accent5" w:themeFillTint="33"/>
            <w:hideMark/>
          </w:tcPr>
          <w:p w14:paraId="4A0A5D89" w14:textId="77777777" w:rsidR="00C83418" w:rsidRPr="00E04386" w:rsidRDefault="00C83418" w:rsidP="002F55CD">
            <w:pPr>
              <w:spacing w:after="0"/>
              <w:rPr>
                <w:rFonts w:eastAsia="Times New Roman"/>
                <w:color w:val="000000"/>
                <w:sz w:val="20"/>
                <w:szCs w:val="20"/>
                <w:lang w:val="lv-LV" w:eastAsia="lv-LV"/>
              </w:rPr>
            </w:pPr>
            <w:r w:rsidRPr="00E04386">
              <w:rPr>
                <w:rFonts w:eastAsia="Times New Roman"/>
                <w:color w:val="000000"/>
                <w:sz w:val="20"/>
                <w:szCs w:val="20"/>
                <w:lang w:val="lv-LV" w:eastAsia="lv-LV"/>
              </w:rPr>
              <w:t xml:space="preserve">Himērisma analīzes </w:t>
            </w:r>
          </w:p>
        </w:tc>
        <w:tc>
          <w:tcPr>
            <w:tcW w:w="1642" w:type="dxa"/>
            <w:shd w:val="clear" w:color="auto" w:fill="D9E2F3" w:themeFill="accent5" w:themeFillTint="33"/>
            <w:hideMark/>
          </w:tcPr>
          <w:p w14:paraId="0AB32B10"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 xml:space="preserve">Lietuva/Vācija </w:t>
            </w:r>
          </w:p>
        </w:tc>
        <w:tc>
          <w:tcPr>
            <w:tcW w:w="1152" w:type="dxa"/>
            <w:shd w:val="clear" w:color="auto" w:fill="D9E2F3" w:themeFill="accent5" w:themeFillTint="33"/>
            <w:hideMark/>
          </w:tcPr>
          <w:p w14:paraId="1687B392"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14</w:t>
            </w:r>
          </w:p>
        </w:tc>
        <w:tc>
          <w:tcPr>
            <w:tcW w:w="891" w:type="dxa"/>
            <w:shd w:val="clear" w:color="auto" w:fill="D9E2F3" w:themeFill="accent5" w:themeFillTint="33"/>
            <w:hideMark/>
          </w:tcPr>
          <w:p w14:paraId="6F00A8B3"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10</w:t>
            </w:r>
          </w:p>
        </w:tc>
        <w:tc>
          <w:tcPr>
            <w:tcW w:w="941" w:type="dxa"/>
            <w:shd w:val="clear" w:color="auto" w:fill="D9E2F3" w:themeFill="accent5" w:themeFillTint="33"/>
            <w:hideMark/>
          </w:tcPr>
          <w:p w14:paraId="0754D1DE"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12</w:t>
            </w:r>
          </w:p>
        </w:tc>
      </w:tr>
      <w:tr w:rsidR="00C83418" w:rsidRPr="00E04386" w14:paraId="038F6F2C" w14:textId="77777777" w:rsidTr="002F55CD">
        <w:trPr>
          <w:trHeight w:val="70"/>
        </w:trPr>
        <w:tc>
          <w:tcPr>
            <w:tcW w:w="4390" w:type="dxa"/>
            <w:shd w:val="clear" w:color="auto" w:fill="D9E2F3" w:themeFill="accent5" w:themeFillTint="33"/>
            <w:noWrap/>
            <w:hideMark/>
          </w:tcPr>
          <w:p w14:paraId="1CF8489C" w14:textId="77777777" w:rsidR="00C83418" w:rsidRPr="00E04386" w:rsidRDefault="00C83418" w:rsidP="002F55CD">
            <w:pPr>
              <w:spacing w:after="0"/>
              <w:rPr>
                <w:rFonts w:eastAsia="Times New Roman"/>
                <w:color w:val="000000"/>
                <w:sz w:val="20"/>
                <w:szCs w:val="20"/>
                <w:lang w:val="lv-LV" w:eastAsia="lv-LV"/>
              </w:rPr>
            </w:pPr>
            <w:r w:rsidRPr="00E04386">
              <w:rPr>
                <w:rFonts w:eastAsia="Times New Roman"/>
                <w:color w:val="000000"/>
                <w:sz w:val="20"/>
                <w:szCs w:val="20"/>
                <w:lang w:val="lv-LV" w:eastAsia="lv-LV"/>
              </w:rPr>
              <w:t>Minimālas reziduālas slimības (MRD) kontrole</w:t>
            </w:r>
          </w:p>
        </w:tc>
        <w:tc>
          <w:tcPr>
            <w:tcW w:w="1642" w:type="dxa"/>
            <w:shd w:val="clear" w:color="auto" w:fill="D9E2F3" w:themeFill="accent5" w:themeFillTint="33"/>
            <w:hideMark/>
          </w:tcPr>
          <w:p w14:paraId="7C06462F"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Lietuva</w:t>
            </w:r>
          </w:p>
        </w:tc>
        <w:tc>
          <w:tcPr>
            <w:tcW w:w="1152" w:type="dxa"/>
            <w:shd w:val="clear" w:color="auto" w:fill="D9E2F3" w:themeFill="accent5" w:themeFillTint="33"/>
            <w:hideMark/>
          </w:tcPr>
          <w:p w14:paraId="17BF7E26"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0</w:t>
            </w:r>
          </w:p>
        </w:tc>
        <w:tc>
          <w:tcPr>
            <w:tcW w:w="891" w:type="dxa"/>
            <w:shd w:val="clear" w:color="auto" w:fill="D9E2F3" w:themeFill="accent5" w:themeFillTint="33"/>
            <w:hideMark/>
          </w:tcPr>
          <w:p w14:paraId="2857420F"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4</w:t>
            </w:r>
          </w:p>
        </w:tc>
        <w:tc>
          <w:tcPr>
            <w:tcW w:w="941" w:type="dxa"/>
            <w:shd w:val="clear" w:color="auto" w:fill="D9E2F3" w:themeFill="accent5" w:themeFillTint="33"/>
            <w:hideMark/>
          </w:tcPr>
          <w:p w14:paraId="368E1384"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8</w:t>
            </w:r>
          </w:p>
        </w:tc>
      </w:tr>
      <w:tr w:rsidR="00C83418" w:rsidRPr="00E04386" w14:paraId="0BBA9F40" w14:textId="77777777" w:rsidTr="002F55CD">
        <w:trPr>
          <w:trHeight w:val="70"/>
        </w:trPr>
        <w:tc>
          <w:tcPr>
            <w:tcW w:w="4390" w:type="dxa"/>
            <w:shd w:val="clear" w:color="auto" w:fill="D9E2F3" w:themeFill="accent5" w:themeFillTint="33"/>
            <w:noWrap/>
            <w:hideMark/>
          </w:tcPr>
          <w:p w14:paraId="30A891A6" w14:textId="77777777" w:rsidR="00C83418" w:rsidRPr="00E04386" w:rsidRDefault="00C83418" w:rsidP="002F55CD">
            <w:pPr>
              <w:spacing w:after="0"/>
              <w:rPr>
                <w:rFonts w:eastAsia="Times New Roman"/>
                <w:color w:val="000000"/>
                <w:sz w:val="20"/>
                <w:szCs w:val="20"/>
                <w:lang w:val="lv-LV" w:eastAsia="lv-LV"/>
              </w:rPr>
            </w:pPr>
            <w:r w:rsidRPr="00E04386">
              <w:rPr>
                <w:rFonts w:eastAsia="Times New Roman"/>
                <w:color w:val="000000"/>
                <w:sz w:val="20"/>
                <w:szCs w:val="20"/>
                <w:lang w:val="lv-LV" w:eastAsia="lv-LV"/>
              </w:rPr>
              <w:t>Izotopu terapija/izotopu terapijas turpināšana</w:t>
            </w:r>
          </w:p>
        </w:tc>
        <w:tc>
          <w:tcPr>
            <w:tcW w:w="1642" w:type="dxa"/>
            <w:shd w:val="clear" w:color="auto" w:fill="D9E2F3" w:themeFill="accent5" w:themeFillTint="33"/>
            <w:hideMark/>
          </w:tcPr>
          <w:p w14:paraId="4DE85CA7"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Vācija</w:t>
            </w:r>
          </w:p>
        </w:tc>
        <w:tc>
          <w:tcPr>
            <w:tcW w:w="1152" w:type="dxa"/>
            <w:shd w:val="clear" w:color="auto" w:fill="D9E2F3" w:themeFill="accent5" w:themeFillTint="33"/>
            <w:hideMark/>
          </w:tcPr>
          <w:p w14:paraId="66375A38"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2</w:t>
            </w:r>
          </w:p>
        </w:tc>
        <w:tc>
          <w:tcPr>
            <w:tcW w:w="891" w:type="dxa"/>
            <w:shd w:val="clear" w:color="auto" w:fill="D9E2F3" w:themeFill="accent5" w:themeFillTint="33"/>
            <w:hideMark/>
          </w:tcPr>
          <w:p w14:paraId="748CF13B"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3</w:t>
            </w:r>
          </w:p>
        </w:tc>
        <w:tc>
          <w:tcPr>
            <w:tcW w:w="941" w:type="dxa"/>
            <w:shd w:val="clear" w:color="auto" w:fill="D9E2F3" w:themeFill="accent5" w:themeFillTint="33"/>
            <w:hideMark/>
          </w:tcPr>
          <w:p w14:paraId="5E0F4AEF" w14:textId="77777777" w:rsidR="00C83418" w:rsidRPr="00E04386" w:rsidRDefault="00C83418" w:rsidP="002F55CD">
            <w:pPr>
              <w:spacing w:after="0"/>
              <w:jc w:val="center"/>
              <w:rPr>
                <w:rFonts w:eastAsia="Times New Roman"/>
                <w:color w:val="000000"/>
                <w:sz w:val="20"/>
                <w:szCs w:val="20"/>
                <w:lang w:val="lv-LV" w:eastAsia="lv-LV"/>
              </w:rPr>
            </w:pPr>
            <w:r w:rsidRPr="00E04386">
              <w:rPr>
                <w:rFonts w:eastAsia="Times New Roman"/>
                <w:color w:val="000000"/>
                <w:sz w:val="20"/>
                <w:szCs w:val="20"/>
                <w:lang w:val="lv-LV" w:eastAsia="lv-LV"/>
              </w:rPr>
              <w:t>1</w:t>
            </w:r>
          </w:p>
        </w:tc>
      </w:tr>
    </w:tbl>
    <w:p w14:paraId="5E33153C" w14:textId="72705E4D" w:rsidR="00C83418" w:rsidRPr="00E04386" w:rsidRDefault="00C83418" w:rsidP="002F55CD">
      <w:pPr>
        <w:spacing w:before="120"/>
        <w:ind w:firstLine="709"/>
        <w:rPr>
          <w:rFonts w:cs="Times New Roman"/>
          <w:szCs w:val="24"/>
          <w:lang w:val="lv-LV"/>
        </w:rPr>
      </w:pPr>
      <w:r w:rsidRPr="00E04386">
        <w:rPr>
          <w:rFonts w:cs="Times New Roman"/>
          <w:szCs w:val="24"/>
          <w:lang w:val="lv-LV"/>
        </w:rPr>
        <w:t xml:space="preserve">Ārpusģimenes donora meklēšanu var veikt tikai tas centrs, kurā tiks veikta šūnu transplantācija. Latvijā pacients tiek informēts par nepieciešamību veikt transplantāciju no ārpusģimenes donora. Cilmes šūnu donācija no ārpusģimenes donora notiek tikai šī donora pastāvīgās uzturēšanās valstī. Pati transplantācija no ārpusģimenes donora notiek šobrīd Lietuvā, atsevišķos gadījumos Vācijā, ja medicīnisku indikāciju dēļ Lietuva neuzņemas pacienta ārstēšanu. </w:t>
      </w:r>
    </w:p>
    <w:p w14:paraId="68C27D34" w14:textId="5A31D850" w:rsidR="00C83418" w:rsidRPr="00E04386" w:rsidRDefault="00C83418" w:rsidP="00CC3B42">
      <w:pPr>
        <w:ind w:firstLine="709"/>
        <w:rPr>
          <w:rFonts w:cs="Times New Roman"/>
          <w:szCs w:val="24"/>
          <w:lang w:val="lv-LV"/>
        </w:rPr>
      </w:pPr>
      <w:r w:rsidRPr="00E04386">
        <w:rPr>
          <w:rFonts w:cs="Times New Roman"/>
          <w:szCs w:val="24"/>
          <w:lang w:val="lv-LV"/>
        </w:rPr>
        <w:t xml:space="preserve">Latvijā nav cilmes šūnu donoru reģistra, kā arī nav pieejas Pasaules cilmes šūnu donoru reģistram. Lai cilmes šūnu transplantāciju varētu veikt Latvijā, būtu nepieciešami </w:t>
      </w:r>
      <w:r w:rsidRPr="00E04386">
        <w:rPr>
          <w:color w:val="212529"/>
          <w:szCs w:val="24"/>
          <w:shd w:val="clear" w:color="auto" w:fill="FFFFFF"/>
          <w:lang w:val="lv-LV"/>
        </w:rPr>
        <w:t xml:space="preserve">ne tikai finansiāli ieguldījumi, bet arī personāla apmācība un </w:t>
      </w:r>
      <w:r w:rsidRPr="00E04386">
        <w:rPr>
          <w:rFonts w:cs="Times New Roman"/>
          <w:szCs w:val="24"/>
          <w:lang w:val="lv-LV"/>
        </w:rPr>
        <w:t>stažēšanās kādā no Eiropas klīnikām, kur veic transplantācijas no ārpusģimenes donoriem. Nodrošinot cilmes šūnu transplantāciju Latvijā, daudz lielākam pacientu skaitam būtu iespējams saņemt šos pakalpojumus, jo ne visi pacienti, kam pakalpojums ir nepieciešams var segt ceļa izdevumus un uzturēšanās izmaksas citā valstī. Vidēji gadā šāds pakalpojums būtu nepieciešams 40 pacientiem. Pakalpojuma izmaksas Latvijai nodrošinot pakalpojumu citā ES, EEZ dalībvalstī vai Šveicē ir līdz 184,7 tūkst. </w:t>
      </w:r>
      <w:r w:rsidRPr="00E04386">
        <w:rPr>
          <w:rFonts w:cs="Times New Roman"/>
          <w:i/>
          <w:szCs w:val="24"/>
          <w:lang w:val="lv-LV"/>
        </w:rPr>
        <w:t>euro</w:t>
      </w:r>
      <w:r w:rsidRPr="00E04386">
        <w:rPr>
          <w:rFonts w:cs="Times New Roman"/>
          <w:szCs w:val="24"/>
          <w:lang w:val="lv-LV"/>
        </w:rPr>
        <w:t xml:space="preserve">. Apzinoties pakalpojuma nozīmīgumu, </w:t>
      </w:r>
      <w:r w:rsidR="003D0B10" w:rsidRPr="00E04386">
        <w:rPr>
          <w:rFonts w:cs="Times New Roman"/>
          <w:szCs w:val="24"/>
          <w:lang w:val="lv-LV"/>
        </w:rPr>
        <w:t>VM</w:t>
      </w:r>
      <w:r w:rsidRPr="00E04386">
        <w:rPr>
          <w:rFonts w:cs="Times New Roman"/>
          <w:szCs w:val="24"/>
          <w:lang w:val="lv-LV"/>
        </w:rPr>
        <w:t xml:space="preserve"> cilmes šūnu transplantāciju ir iekļāvusi Veselības aprūpes pakalpojumu onkoloģijas jomā uzlabošanas plānā 2022.–2024. gadam. Plāna ietvaros ir definēti uzdevumi, kas jāveic, lai šos pakalpojumus varētu nodrošināt Latvijā, tai skaitā donoru reģistra izveide.</w:t>
      </w:r>
    </w:p>
    <w:p w14:paraId="084A2F00" w14:textId="77777777" w:rsidR="00C83418" w:rsidRPr="00E04386" w:rsidRDefault="00C83418" w:rsidP="00CC3B42">
      <w:pPr>
        <w:ind w:firstLine="720"/>
        <w:rPr>
          <w:szCs w:val="24"/>
          <w:lang w:val="lv-LV"/>
        </w:rPr>
      </w:pPr>
      <w:r w:rsidRPr="00E04386">
        <w:rPr>
          <w:szCs w:val="24"/>
          <w:lang w:val="lv-LV"/>
        </w:rPr>
        <w:t xml:space="preserve">Šobrīd ārstu konsīlijs lemj par nepieciešamību pacientiem saņemt veselības aprūpes pakalpojumu kādā no ES, EEZ dalībvalstī vai Šveicē situācijās, kad pacientu skaits ir ļoti mazs, kā rezultātā speciālistiem nav iespējams attīstīt un uzturēt nepieciešamās kompetences, lai būtu </w:t>
      </w:r>
      <w:r w:rsidRPr="00E04386">
        <w:rPr>
          <w:szCs w:val="24"/>
          <w:lang w:val="lv-LV"/>
        </w:rPr>
        <w:lastRenderedPageBreak/>
        <w:t>iespējam nodrošināt drošu un kvalitatīvu veselības aprūpes pakalpojumu Latvijā. No pakalpojuma drošības un kvalitātes viedokļa šādiem pacientiem arī turpmāk būtu jāparedz iespēja saņemt ārstēšanu kādā no lielajiem centriem ārvalstīs.</w:t>
      </w:r>
    </w:p>
    <w:p w14:paraId="5121B528" w14:textId="77777777" w:rsidR="004805E5" w:rsidRDefault="00C83418" w:rsidP="004805E5">
      <w:pPr>
        <w:ind w:firstLine="720"/>
        <w:rPr>
          <w:szCs w:val="24"/>
          <w:shd w:val="clear" w:color="auto" w:fill="FFFFFF"/>
          <w:lang w:val="lv-LV"/>
        </w:rPr>
      </w:pPr>
      <w:r w:rsidRPr="00E04386">
        <w:rPr>
          <w:rFonts w:cs="Times New Roman"/>
          <w:szCs w:val="24"/>
          <w:lang w:val="lv-LV"/>
        </w:rPr>
        <w:t xml:space="preserve">Izvērtējot </w:t>
      </w:r>
      <w:r w:rsidR="003D0B10" w:rsidRPr="00E04386">
        <w:rPr>
          <w:szCs w:val="24"/>
          <w:bdr w:val="none" w:sz="0" w:space="0" w:color="auto" w:frame="1"/>
          <w:shd w:val="clear" w:color="auto" w:fill="FFFFFF"/>
          <w:lang w:val="lv-LV"/>
        </w:rPr>
        <w:t>VM</w:t>
      </w:r>
      <w:r w:rsidRPr="00E04386">
        <w:rPr>
          <w:szCs w:val="24"/>
          <w:bdr w:val="none" w:sz="0" w:space="0" w:color="auto" w:frame="1"/>
          <w:shd w:val="clear" w:color="auto" w:fill="FFFFFF"/>
          <w:lang w:val="lv-LV"/>
        </w:rPr>
        <w:t xml:space="preserve"> kapitālsabiedrību</w:t>
      </w:r>
      <w:r w:rsidRPr="00E04386">
        <w:rPr>
          <w:rFonts w:cs="Times New Roman"/>
          <w:szCs w:val="24"/>
          <w:lang w:val="lv-LV"/>
        </w:rPr>
        <w:t xml:space="preserve"> iespējas pie attiecīgiem ieguldījumiem nodrošināt Latvijā plānveida veselības aprūpes pakalpojumus, </w:t>
      </w:r>
      <w:r w:rsidR="003D0B10" w:rsidRPr="00E04386">
        <w:rPr>
          <w:rFonts w:cs="Times New Roman"/>
          <w:szCs w:val="24"/>
          <w:lang w:val="lv-LV"/>
        </w:rPr>
        <w:t>VM</w:t>
      </w:r>
      <w:r w:rsidRPr="00E04386">
        <w:rPr>
          <w:rFonts w:cs="Times New Roman"/>
          <w:szCs w:val="24"/>
          <w:lang w:val="lv-LV"/>
        </w:rPr>
        <w:t xml:space="preserve"> atbalsta vairākus veselības aprūpes pakalpojumu, kurus šobrīd slimnīcas nodrošina daļēji vai no dažādu fondu līdzekļiem, jo tie nav iekļauti </w:t>
      </w:r>
      <w:r w:rsidRPr="00E04386">
        <w:rPr>
          <w:rFonts w:eastAsia="Times New Roman" w:cs="Times New Roman"/>
          <w:szCs w:val="24"/>
          <w:lang w:val="lv-LV" w:eastAsia="lv-LV"/>
        </w:rPr>
        <w:t>valsts apmaksāto veselības aprūpes pakalpojumu klāstā</w:t>
      </w:r>
      <w:r w:rsidRPr="00E04386">
        <w:rPr>
          <w:rFonts w:cs="Times New Roman"/>
          <w:szCs w:val="24"/>
          <w:lang w:val="lv-LV"/>
        </w:rPr>
        <w:t xml:space="preserve"> </w:t>
      </w:r>
      <w:r w:rsidR="00E04386">
        <w:rPr>
          <w:rFonts w:eastAsia="Times New Roman" w:cs="Times New Roman"/>
          <w:szCs w:val="24"/>
          <w:lang w:val="lv-LV" w:eastAsia="lv-LV"/>
        </w:rPr>
        <w:t>(</w:t>
      </w:r>
      <w:r w:rsidRPr="00E04386">
        <w:rPr>
          <w:rFonts w:eastAsia="Times New Roman" w:cs="Times New Roman"/>
          <w:szCs w:val="24"/>
          <w:lang w:val="lv-LV" w:eastAsia="lv-LV"/>
        </w:rPr>
        <w:t>Tabula Nr.</w:t>
      </w:r>
      <w:r w:rsidR="00E04386">
        <w:rPr>
          <w:rFonts w:eastAsia="Times New Roman" w:cs="Times New Roman"/>
          <w:szCs w:val="24"/>
          <w:lang w:val="lv-LV" w:eastAsia="lv-LV"/>
        </w:rPr>
        <w:t xml:space="preserve"> </w:t>
      </w:r>
      <w:r w:rsidR="003D0B10" w:rsidRPr="00E04386">
        <w:rPr>
          <w:rFonts w:eastAsia="Times New Roman" w:cs="Times New Roman"/>
          <w:szCs w:val="24"/>
          <w:lang w:val="lv-LV" w:eastAsia="lv-LV"/>
        </w:rPr>
        <w:t>3.1.10.</w:t>
      </w:r>
      <w:r w:rsidRPr="00E04386">
        <w:rPr>
          <w:rFonts w:eastAsia="Times New Roman" w:cs="Times New Roman"/>
          <w:szCs w:val="24"/>
          <w:lang w:val="lv-LV" w:eastAsia="lv-LV"/>
        </w:rPr>
        <w:t>)</w:t>
      </w:r>
      <w:r w:rsidRPr="00E04386">
        <w:rPr>
          <w:szCs w:val="24"/>
          <w:shd w:val="clear" w:color="auto" w:fill="FFFFFF"/>
          <w:lang w:val="lv-LV"/>
        </w:rPr>
        <w:t>.</w:t>
      </w:r>
    </w:p>
    <w:p w14:paraId="3FAC45DB" w14:textId="682B9EA9" w:rsidR="003D0B10" w:rsidRPr="004805E5" w:rsidRDefault="003D0B10" w:rsidP="004C1C06">
      <w:pPr>
        <w:pStyle w:val="ListParagraph"/>
        <w:numPr>
          <w:ilvl w:val="2"/>
          <w:numId w:val="54"/>
        </w:numPr>
        <w:jc w:val="center"/>
        <w:rPr>
          <w:b/>
          <w:sz w:val="22"/>
          <w:szCs w:val="24"/>
          <w:lang w:val="lv-LV"/>
        </w:rPr>
      </w:pPr>
      <w:r w:rsidRPr="004805E5">
        <w:rPr>
          <w:b/>
          <w:i/>
          <w:sz w:val="22"/>
          <w:szCs w:val="24"/>
          <w:lang w:val="lv-LV"/>
        </w:rPr>
        <w:t>tabula</w:t>
      </w:r>
      <w:r w:rsidRPr="004805E5">
        <w:rPr>
          <w:b/>
          <w:sz w:val="22"/>
          <w:szCs w:val="24"/>
          <w:lang w:val="lv-LV"/>
        </w:rPr>
        <w:t xml:space="preserve"> Plānveida veselības aprūpes pakalpojumu nodrošināšanai nepieciešamie ieguldījumi</w:t>
      </w:r>
    </w:p>
    <w:tbl>
      <w:tblPr>
        <w:tblStyle w:val="TableGrid"/>
        <w:tblW w:w="9073" w:type="dxa"/>
        <w:jc w:val="center"/>
        <w:tblLayout w:type="fixed"/>
        <w:tblLook w:val="04A0" w:firstRow="1" w:lastRow="0" w:firstColumn="1" w:lastColumn="0" w:noHBand="0" w:noVBand="1"/>
      </w:tblPr>
      <w:tblGrid>
        <w:gridCol w:w="1985"/>
        <w:gridCol w:w="992"/>
        <w:gridCol w:w="993"/>
        <w:gridCol w:w="850"/>
        <w:gridCol w:w="851"/>
        <w:gridCol w:w="708"/>
        <w:gridCol w:w="993"/>
        <w:gridCol w:w="708"/>
        <w:gridCol w:w="993"/>
      </w:tblGrid>
      <w:tr w:rsidR="002D2660" w:rsidRPr="00D57D2C" w14:paraId="3060B68D" w14:textId="77777777" w:rsidTr="00AF00DB">
        <w:trPr>
          <w:jc w:val="center"/>
        </w:trPr>
        <w:tc>
          <w:tcPr>
            <w:tcW w:w="1985" w:type="dxa"/>
            <w:vMerge w:val="restart"/>
            <w:shd w:val="clear" w:color="auto" w:fill="8EAADB" w:themeFill="accent5" w:themeFillTint="99"/>
            <w:vAlign w:val="center"/>
          </w:tcPr>
          <w:p w14:paraId="00D331BD" w14:textId="0DA2DC75" w:rsidR="002D2660" w:rsidRPr="00016D17" w:rsidRDefault="002D2660" w:rsidP="002D2660">
            <w:pPr>
              <w:spacing w:after="0"/>
              <w:jc w:val="center"/>
              <w:rPr>
                <w:sz w:val="16"/>
                <w:szCs w:val="14"/>
                <w:lang w:val="lv-LV"/>
              </w:rPr>
            </w:pPr>
            <w:r w:rsidRPr="00016D17">
              <w:rPr>
                <w:sz w:val="16"/>
                <w:szCs w:val="14"/>
                <w:lang w:val="lv-LV"/>
              </w:rPr>
              <w:t>Pieprasītais plānveida veselības aprūpes pakalpojums/epizode/manipulācija nodrošināšanai citā ES, EEZ dalībvalstī vai Šveicē</w:t>
            </w:r>
          </w:p>
        </w:tc>
        <w:tc>
          <w:tcPr>
            <w:tcW w:w="992" w:type="dxa"/>
            <w:vMerge w:val="restart"/>
            <w:shd w:val="clear" w:color="auto" w:fill="8EAADB" w:themeFill="accent5" w:themeFillTint="99"/>
            <w:vAlign w:val="center"/>
          </w:tcPr>
          <w:p w14:paraId="4127D05D" w14:textId="2E072962" w:rsidR="002D2660" w:rsidRPr="00E04386" w:rsidRDefault="002D2660" w:rsidP="00AF00DB">
            <w:pPr>
              <w:spacing w:after="0"/>
              <w:ind w:left="-106" w:right="-112"/>
              <w:jc w:val="center"/>
              <w:rPr>
                <w:sz w:val="14"/>
                <w:szCs w:val="14"/>
                <w:lang w:val="lv-LV"/>
              </w:rPr>
            </w:pPr>
            <w:r w:rsidRPr="00E04386">
              <w:rPr>
                <w:sz w:val="14"/>
                <w:szCs w:val="14"/>
                <w:lang w:val="lv-LV"/>
              </w:rPr>
              <w:t>Izpildes valsts pakalpojumu nodrošināšanai</w:t>
            </w:r>
          </w:p>
        </w:tc>
        <w:tc>
          <w:tcPr>
            <w:tcW w:w="993" w:type="dxa"/>
            <w:vMerge w:val="restart"/>
            <w:shd w:val="clear" w:color="auto" w:fill="8EAADB" w:themeFill="accent5" w:themeFillTint="99"/>
            <w:vAlign w:val="center"/>
          </w:tcPr>
          <w:p w14:paraId="650A03FC" w14:textId="346EEC98" w:rsidR="002D2660" w:rsidRPr="00E04386" w:rsidRDefault="002D2660" w:rsidP="002D2660">
            <w:pPr>
              <w:spacing w:after="0"/>
              <w:jc w:val="center"/>
              <w:rPr>
                <w:sz w:val="14"/>
                <w:szCs w:val="14"/>
                <w:lang w:val="lv-LV"/>
              </w:rPr>
            </w:pPr>
            <w:r w:rsidRPr="00E04386">
              <w:rPr>
                <w:sz w:val="14"/>
                <w:szCs w:val="14"/>
                <w:lang w:val="lv-LV"/>
              </w:rPr>
              <w:t>Pakalpojuma nodrošinātājs Latvijā</w:t>
            </w:r>
          </w:p>
        </w:tc>
        <w:tc>
          <w:tcPr>
            <w:tcW w:w="5103" w:type="dxa"/>
            <w:gridSpan w:val="6"/>
            <w:shd w:val="clear" w:color="auto" w:fill="8EAADB" w:themeFill="accent5" w:themeFillTint="99"/>
            <w:vAlign w:val="center"/>
          </w:tcPr>
          <w:p w14:paraId="7972B4FB" w14:textId="2CFD0C2A" w:rsidR="002D2660" w:rsidRPr="00E04386" w:rsidRDefault="002D2660" w:rsidP="002D2660">
            <w:pPr>
              <w:spacing w:after="0"/>
              <w:jc w:val="center"/>
              <w:rPr>
                <w:sz w:val="14"/>
                <w:szCs w:val="14"/>
                <w:lang w:val="lv-LV"/>
              </w:rPr>
            </w:pPr>
            <w:r w:rsidRPr="00E04386">
              <w:rPr>
                <w:sz w:val="14"/>
                <w:szCs w:val="14"/>
                <w:lang w:val="lv-LV"/>
              </w:rPr>
              <w:t>Pakalpojuma ieviešana Latvijā (indikatīvais izmaksu novērtējums)</w:t>
            </w:r>
          </w:p>
        </w:tc>
      </w:tr>
      <w:tr w:rsidR="00223E9E" w:rsidRPr="00E04386" w14:paraId="4234E138" w14:textId="77777777" w:rsidTr="00AF00DB">
        <w:trPr>
          <w:jc w:val="center"/>
        </w:trPr>
        <w:tc>
          <w:tcPr>
            <w:tcW w:w="1985" w:type="dxa"/>
            <w:vMerge/>
            <w:shd w:val="clear" w:color="auto" w:fill="8EAADB" w:themeFill="accent5" w:themeFillTint="99"/>
          </w:tcPr>
          <w:p w14:paraId="0948006A" w14:textId="77777777" w:rsidR="002D2660" w:rsidRPr="00016D17" w:rsidRDefault="002D2660" w:rsidP="003D0B10">
            <w:pPr>
              <w:spacing w:after="0"/>
              <w:rPr>
                <w:sz w:val="16"/>
                <w:szCs w:val="14"/>
                <w:lang w:val="lv-LV"/>
              </w:rPr>
            </w:pPr>
          </w:p>
        </w:tc>
        <w:tc>
          <w:tcPr>
            <w:tcW w:w="992" w:type="dxa"/>
            <w:vMerge/>
            <w:shd w:val="clear" w:color="auto" w:fill="8EAADB" w:themeFill="accent5" w:themeFillTint="99"/>
          </w:tcPr>
          <w:p w14:paraId="2A449709" w14:textId="77777777" w:rsidR="002D2660" w:rsidRPr="00E04386" w:rsidRDefault="002D2660" w:rsidP="003D0B10">
            <w:pPr>
              <w:spacing w:after="0"/>
              <w:rPr>
                <w:sz w:val="14"/>
                <w:szCs w:val="14"/>
                <w:lang w:val="lv-LV"/>
              </w:rPr>
            </w:pPr>
          </w:p>
        </w:tc>
        <w:tc>
          <w:tcPr>
            <w:tcW w:w="993" w:type="dxa"/>
            <w:vMerge/>
            <w:shd w:val="clear" w:color="auto" w:fill="8EAADB" w:themeFill="accent5" w:themeFillTint="99"/>
          </w:tcPr>
          <w:p w14:paraId="7824B182" w14:textId="77777777" w:rsidR="002D2660" w:rsidRPr="00E04386" w:rsidRDefault="002D2660" w:rsidP="003D0B10">
            <w:pPr>
              <w:spacing w:after="0"/>
              <w:rPr>
                <w:sz w:val="14"/>
                <w:szCs w:val="14"/>
                <w:lang w:val="lv-LV"/>
              </w:rPr>
            </w:pPr>
          </w:p>
        </w:tc>
        <w:tc>
          <w:tcPr>
            <w:tcW w:w="850" w:type="dxa"/>
            <w:shd w:val="clear" w:color="auto" w:fill="8EAADB" w:themeFill="accent5" w:themeFillTint="99"/>
            <w:vAlign w:val="center"/>
          </w:tcPr>
          <w:p w14:paraId="2462F469" w14:textId="743609D0" w:rsidR="002D2660" w:rsidRPr="00E04386" w:rsidRDefault="002D2660" w:rsidP="002D2660">
            <w:pPr>
              <w:spacing w:after="0"/>
              <w:jc w:val="center"/>
              <w:rPr>
                <w:sz w:val="14"/>
                <w:szCs w:val="14"/>
                <w:lang w:val="lv-LV"/>
              </w:rPr>
            </w:pPr>
            <w:r w:rsidRPr="00E04386">
              <w:rPr>
                <w:sz w:val="14"/>
                <w:szCs w:val="14"/>
                <w:lang w:val="lv-LV"/>
              </w:rPr>
              <w:t>Iek</w:t>
            </w:r>
            <w:r w:rsidR="00223E9E" w:rsidRPr="00E04386">
              <w:rPr>
                <w:sz w:val="14"/>
                <w:szCs w:val="14"/>
                <w:lang w:val="lv-LV"/>
              </w:rPr>
              <w:t>ārtu izmaksas</w:t>
            </w:r>
            <w:r w:rsidRPr="00E04386">
              <w:rPr>
                <w:sz w:val="14"/>
                <w:szCs w:val="14"/>
                <w:lang w:val="lv-LV"/>
              </w:rPr>
              <w:t xml:space="preserve">, </w:t>
            </w:r>
            <w:r w:rsidRPr="00E04386">
              <w:rPr>
                <w:i/>
                <w:sz w:val="14"/>
                <w:szCs w:val="14"/>
                <w:lang w:val="lv-LV"/>
              </w:rPr>
              <w:t>euro</w:t>
            </w:r>
          </w:p>
        </w:tc>
        <w:tc>
          <w:tcPr>
            <w:tcW w:w="851" w:type="dxa"/>
            <w:shd w:val="clear" w:color="auto" w:fill="8EAADB" w:themeFill="accent5" w:themeFillTint="99"/>
            <w:vAlign w:val="center"/>
          </w:tcPr>
          <w:p w14:paraId="03472635" w14:textId="52AADF46" w:rsidR="002D2660" w:rsidRPr="00E04386" w:rsidRDefault="002D2660" w:rsidP="002D2660">
            <w:pPr>
              <w:spacing w:after="0"/>
              <w:jc w:val="center"/>
              <w:rPr>
                <w:sz w:val="14"/>
                <w:szCs w:val="14"/>
                <w:lang w:val="lv-LV"/>
              </w:rPr>
            </w:pPr>
            <w:r w:rsidRPr="00E04386">
              <w:rPr>
                <w:sz w:val="14"/>
                <w:szCs w:val="14"/>
                <w:lang w:val="lv-LV"/>
              </w:rPr>
              <w:t xml:space="preserve">Telpu nodrošinājuma izmaksas, </w:t>
            </w:r>
            <w:r w:rsidRPr="00E04386">
              <w:rPr>
                <w:i/>
                <w:sz w:val="14"/>
                <w:szCs w:val="14"/>
                <w:lang w:val="lv-LV"/>
              </w:rPr>
              <w:t>euro</w:t>
            </w:r>
          </w:p>
        </w:tc>
        <w:tc>
          <w:tcPr>
            <w:tcW w:w="708" w:type="dxa"/>
            <w:shd w:val="clear" w:color="auto" w:fill="8EAADB" w:themeFill="accent5" w:themeFillTint="99"/>
            <w:vAlign w:val="center"/>
          </w:tcPr>
          <w:p w14:paraId="5B916C5C" w14:textId="6AACD43F" w:rsidR="002D2660" w:rsidRPr="00E04386" w:rsidRDefault="002D2660" w:rsidP="00AF00DB">
            <w:pPr>
              <w:spacing w:after="0"/>
              <w:ind w:left="-110" w:right="-109"/>
              <w:jc w:val="center"/>
              <w:rPr>
                <w:sz w:val="14"/>
                <w:szCs w:val="14"/>
                <w:lang w:val="lv-LV"/>
              </w:rPr>
            </w:pPr>
            <w:r w:rsidRPr="00E04386">
              <w:rPr>
                <w:sz w:val="14"/>
                <w:szCs w:val="14"/>
                <w:lang w:val="lv-LV"/>
              </w:rPr>
              <w:t>Person</w:t>
            </w:r>
            <w:r w:rsidR="00223E9E" w:rsidRPr="00E04386">
              <w:rPr>
                <w:sz w:val="14"/>
                <w:szCs w:val="14"/>
                <w:lang w:val="lv-LV"/>
              </w:rPr>
              <w:t>āla izmaksas</w:t>
            </w:r>
            <w:r w:rsidRPr="00E04386">
              <w:rPr>
                <w:sz w:val="14"/>
                <w:szCs w:val="14"/>
                <w:lang w:val="lv-LV"/>
              </w:rPr>
              <w:t xml:space="preserve">, </w:t>
            </w:r>
            <w:r w:rsidRPr="00E04386">
              <w:rPr>
                <w:i/>
                <w:sz w:val="14"/>
                <w:szCs w:val="14"/>
                <w:lang w:val="lv-LV"/>
              </w:rPr>
              <w:t>euro</w:t>
            </w:r>
          </w:p>
        </w:tc>
        <w:tc>
          <w:tcPr>
            <w:tcW w:w="993" w:type="dxa"/>
            <w:shd w:val="clear" w:color="auto" w:fill="8EAADB" w:themeFill="accent5" w:themeFillTint="99"/>
            <w:vAlign w:val="center"/>
          </w:tcPr>
          <w:p w14:paraId="74F6EC99" w14:textId="46C8C5E9" w:rsidR="002D2660" w:rsidRPr="00E04386" w:rsidRDefault="002D2660" w:rsidP="00AF00DB">
            <w:pPr>
              <w:spacing w:after="0"/>
              <w:ind w:left="-107"/>
              <w:jc w:val="center"/>
              <w:rPr>
                <w:sz w:val="14"/>
                <w:szCs w:val="14"/>
                <w:lang w:val="lv-LV"/>
              </w:rPr>
            </w:pPr>
            <w:r w:rsidRPr="00E04386">
              <w:rPr>
                <w:sz w:val="14"/>
                <w:szCs w:val="14"/>
                <w:lang w:val="lv-LV"/>
              </w:rPr>
              <w:t>Medikamentu un medicīnas preču izmaksa</w:t>
            </w:r>
            <w:r w:rsidR="00223E9E" w:rsidRPr="00E04386">
              <w:rPr>
                <w:sz w:val="14"/>
                <w:szCs w:val="14"/>
                <w:lang w:val="lv-LV"/>
              </w:rPr>
              <w:t>s</w:t>
            </w:r>
            <w:r w:rsidRPr="00E04386">
              <w:rPr>
                <w:sz w:val="14"/>
                <w:szCs w:val="14"/>
                <w:lang w:val="lv-LV"/>
              </w:rPr>
              <w:t xml:space="preserve">, </w:t>
            </w:r>
            <w:r w:rsidRPr="00E04386">
              <w:rPr>
                <w:i/>
                <w:sz w:val="14"/>
                <w:szCs w:val="14"/>
                <w:lang w:val="lv-LV"/>
              </w:rPr>
              <w:t>euro</w:t>
            </w:r>
          </w:p>
        </w:tc>
        <w:tc>
          <w:tcPr>
            <w:tcW w:w="708" w:type="dxa"/>
            <w:shd w:val="clear" w:color="auto" w:fill="8EAADB" w:themeFill="accent5" w:themeFillTint="99"/>
            <w:vAlign w:val="center"/>
          </w:tcPr>
          <w:p w14:paraId="3FDF9EFF" w14:textId="33AEF087" w:rsidR="002D2660" w:rsidRPr="00E04386" w:rsidRDefault="00223E9E" w:rsidP="00AF00DB">
            <w:pPr>
              <w:spacing w:after="0"/>
              <w:ind w:left="-104" w:right="-108"/>
              <w:jc w:val="center"/>
              <w:rPr>
                <w:sz w:val="14"/>
                <w:szCs w:val="14"/>
                <w:lang w:val="lv-LV"/>
              </w:rPr>
            </w:pPr>
            <w:r w:rsidRPr="00E04386">
              <w:rPr>
                <w:sz w:val="14"/>
                <w:szCs w:val="14"/>
                <w:lang w:val="lv-LV"/>
              </w:rPr>
              <w:t>Citas izmaksas</w:t>
            </w:r>
            <w:r w:rsidR="002D2660" w:rsidRPr="00E04386">
              <w:rPr>
                <w:sz w:val="14"/>
                <w:szCs w:val="14"/>
                <w:lang w:val="lv-LV"/>
              </w:rPr>
              <w:t xml:space="preserve">, </w:t>
            </w:r>
            <w:r w:rsidR="002D2660" w:rsidRPr="00E04386">
              <w:rPr>
                <w:i/>
                <w:sz w:val="14"/>
                <w:szCs w:val="14"/>
                <w:lang w:val="lv-LV"/>
              </w:rPr>
              <w:t>euro</w:t>
            </w:r>
          </w:p>
        </w:tc>
        <w:tc>
          <w:tcPr>
            <w:tcW w:w="993" w:type="dxa"/>
            <w:shd w:val="clear" w:color="auto" w:fill="8EAADB" w:themeFill="accent5" w:themeFillTint="99"/>
            <w:vAlign w:val="center"/>
          </w:tcPr>
          <w:p w14:paraId="00E36865" w14:textId="7A6A35C7" w:rsidR="002D2660" w:rsidRPr="00E04386" w:rsidRDefault="002D2660" w:rsidP="002D2660">
            <w:pPr>
              <w:spacing w:after="0"/>
              <w:jc w:val="center"/>
              <w:rPr>
                <w:sz w:val="14"/>
                <w:szCs w:val="14"/>
                <w:lang w:val="lv-LV"/>
              </w:rPr>
            </w:pPr>
            <w:r w:rsidRPr="00E04386">
              <w:rPr>
                <w:sz w:val="14"/>
                <w:szCs w:val="14"/>
                <w:lang w:val="lv-LV"/>
              </w:rPr>
              <w:t xml:space="preserve">Pakalpojuma iespējamā cena Latvijā, </w:t>
            </w:r>
            <w:r w:rsidRPr="00E04386">
              <w:rPr>
                <w:i/>
                <w:sz w:val="14"/>
                <w:szCs w:val="14"/>
                <w:lang w:val="lv-LV"/>
              </w:rPr>
              <w:t>euro</w:t>
            </w:r>
          </w:p>
        </w:tc>
      </w:tr>
      <w:tr w:rsidR="00223E9E" w:rsidRPr="00E04386" w14:paraId="44757148" w14:textId="77777777" w:rsidTr="00AF00DB">
        <w:trPr>
          <w:jc w:val="center"/>
        </w:trPr>
        <w:tc>
          <w:tcPr>
            <w:tcW w:w="1985" w:type="dxa"/>
            <w:vMerge w:val="restart"/>
            <w:shd w:val="clear" w:color="auto" w:fill="D9E2F3" w:themeFill="accent5" w:themeFillTint="33"/>
            <w:vAlign w:val="center"/>
          </w:tcPr>
          <w:p w14:paraId="01B1015E" w14:textId="76A2E8F9" w:rsidR="00223E9E" w:rsidRPr="00016D17" w:rsidRDefault="00223E9E" w:rsidP="00223E9E">
            <w:pPr>
              <w:spacing w:after="0"/>
              <w:jc w:val="left"/>
              <w:rPr>
                <w:sz w:val="16"/>
                <w:szCs w:val="14"/>
                <w:lang w:val="lv-LV"/>
              </w:rPr>
            </w:pPr>
            <w:r w:rsidRPr="00016D17">
              <w:rPr>
                <w:sz w:val="16"/>
                <w:szCs w:val="14"/>
                <w:lang w:val="lv-LV"/>
              </w:rPr>
              <w:t>Beta aplikatora brahi terapija labajai un kreisajai acij</w:t>
            </w:r>
          </w:p>
        </w:tc>
        <w:tc>
          <w:tcPr>
            <w:tcW w:w="992" w:type="dxa"/>
            <w:shd w:val="clear" w:color="auto" w:fill="D9E2F3" w:themeFill="accent5" w:themeFillTint="33"/>
            <w:vAlign w:val="center"/>
          </w:tcPr>
          <w:p w14:paraId="7E8E3109" w14:textId="063F8780" w:rsidR="00223E9E" w:rsidRPr="00E04386" w:rsidRDefault="00223E9E" w:rsidP="000003CF">
            <w:pPr>
              <w:spacing w:after="0"/>
              <w:jc w:val="center"/>
              <w:rPr>
                <w:sz w:val="14"/>
                <w:szCs w:val="14"/>
                <w:lang w:val="lv-LV"/>
              </w:rPr>
            </w:pPr>
            <w:r w:rsidRPr="00E04386">
              <w:rPr>
                <w:sz w:val="14"/>
                <w:szCs w:val="14"/>
                <w:lang w:val="lv-LV"/>
              </w:rPr>
              <w:t>Igaunija</w:t>
            </w:r>
          </w:p>
        </w:tc>
        <w:tc>
          <w:tcPr>
            <w:tcW w:w="993" w:type="dxa"/>
            <w:shd w:val="clear" w:color="auto" w:fill="D9E2F3" w:themeFill="accent5" w:themeFillTint="33"/>
            <w:vAlign w:val="center"/>
          </w:tcPr>
          <w:p w14:paraId="44516291" w14:textId="6B8162B8" w:rsidR="00223E9E" w:rsidRPr="00E04386" w:rsidRDefault="00223E9E" w:rsidP="000003CF">
            <w:pPr>
              <w:spacing w:after="0"/>
              <w:jc w:val="center"/>
              <w:rPr>
                <w:sz w:val="14"/>
                <w:szCs w:val="14"/>
                <w:lang w:val="lv-LV"/>
              </w:rPr>
            </w:pPr>
            <w:r w:rsidRPr="00E04386">
              <w:rPr>
                <w:sz w:val="14"/>
                <w:szCs w:val="14"/>
                <w:lang w:val="lv-LV"/>
              </w:rPr>
              <w:t>SIA “Rīgas Austrumu klīniskā universitātes slimnīca”</w:t>
            </w:r>
          </w:p>
        </w:tc>
        <w:tc>
          <w:tcPr>
            <w:tcW w:w="850" w:type="dxa"/>
            <w:shd w:val="clear" w:color="auto" w:fill="D9E2F3" w:themeFill="accent5" w:themeFillTint="33"/>
            <w:vAlign w:val="center"/>
          </w:tcPr>
          <w:p w14:paraId="2FFC27D3" w14:textId="3DC4E063" w:rsidR="00223E9E" w:rsidRPr="00E04386" w:rsidRDefault="00223E9E" w:rsidP="00223E9E">
            <w:pPr>
              <w:spacing w:after="0"/>
              <w:jc w:val="center"/>
              <w:rPr>
                <w:sz w:val="14"/>
                <w:szCs w:val="14"/>
                <w:lang w:val="lv-LV"/>
              </w:rPr>
            </w:pPr>
            <w:r w:rsidRPr="00E04386">
              <w:rPr>
                <w:sz w:val="14"/>
                <w:szCs w:val="14"/>
                <w:lang w:val="lv-LV"/>
              </w:rPr>
              <w:t>131 100</w:t>
            </w:r>
          </w:p>
        </w:tc>
        <w:tc>
          <w:tcPr>
            <w:tcW w:w="851" w:type="dxa"/>
            <w:shd w:val="clear" w:color="auto" w:fill="D9E2F3" w:themeFill="accent5" w:themeFillTint="33"/>
            <w:vAlign w:val="center"/>
          </w:tcPr>
          <w:p w14:paraId="7790964D" w14:textId="6E33E19C" w:rsidR="00223E9E" w:rsidRPr="00E04386" w:rsidRDefault="00223E9E" w:rsidP="00223E9E">
            <w:pPr>
              <w:spacing w:after="0"/>
              <w:jc w:val="center"/>
              <w:rPr>
                <w:sz w:val="14"/>
                <w:szCs w:val="14"/>
                <w:lang w:val="lv-LV"/>
              </w:rPr>
            </w:pPr>
            <w:r w:rsidRPr="00E04386">
              <w:rPr>
                <w:sz w:val="14"/>
                <w:szCs w:val="14"/>
                <w:lang w:val="lv-LV"/>
              </w:rPr>
              <w:t>710</w:t>
            </w:r>
          </w:p>
        </w:tc>
        <w:tc>
          <w:tcPr>
            <w:tcW w:w="708" w:type="dxa"/>
            <w:shd w:val="clear" w:color="auto" w:fill="D9E2F3" w:themeFill="accent5" w:themeFillTint="33"/>
            <w:vAlign w:val="center"/>
          </w:tcPr>
          <w:p w14:paraId="00E30136" w14:textId="4F20AEC7" w:rsidR="00223E9E" w:rsidRPr="00E04386" w:rsidRDefault="00223E9E" w:rsidP="00223E9E">
            <w:pPr>
              <w:spacing w:after="0"/>
              <w:jc w:val="center"/>
              <w:rPr>
                <w:sz w:val="14"/>
                <w:szCs w:val="14"/>
                <w:lang w:val="lv-LV"/>
              </w:rPr>
            </w:pPr>
            <w:r w:rsidRPr="00E04386">
              <w:rPr>
                <w:sz w:val="14"/>
                <w:szCs w:val="14"/>
                <w:lang w:val="lv-LV"/>
              </w:rPr>
              <w:t>2 320</w:t>
            </w:r>
          </w:p>
        </w:tc>
        <w:tc>
          <w:tcPr>
            <w:tcW w:w="993" w:type="dxa"/>
            <w:shd w:val="clear" w:color="auto" w:fill="D9E2F3" w:themeFill="accent5" w:themeFillTint="33"/>
            <w:vAlign w:val="center"/>
          </w:tcPr>
          <w:p w14:paraId="1FB22433" w14:textId="3D256196" w:rsidR="00223E9E" w:rsidRPr="00E04386" w:rsidRDefault="00223E9E" w:rsidP="00223E9E">
            <w:pPr>
              <w:spacing w:after="0"/>
              <w:jc w:val="center"/>
              <w:rPr>
                <w:sz w:val="14"/>
                <w:szCs w:val="14"/>
                <w:lang w:val="lv-LV"/>
              </w:rPr>
            </w:pPr>
            <w:r w:rsidRPr="00E04386">
              <w:rPr>
                <w:sz w:val="14"/>
                <w:szCs w:val="14"/>
                <w:lang w:val="lv-LV"/>
              </w:rPr>
              <w:t>5 300</w:t>
            </w:r>
          </w:p>
        </w:tc>
        <w:tc>
          <w:tcPr>
            <w:tcW w:w="708" w:type="dxa"/>
            <w:shd w:val="clear" w:color="auto" w:fill="D9E2F3" w:themeFill="accent5" w:themeFillTint="33"/>
            <w:vAlign w:val="center"/>
          </w:tcPr>
          <w:p w14:paraId="1023791F" w14:textId="768DAD30" w:rsidR="00223E9E" w:rsidRPr="00E04386" w:rsidRDefault="00223E9E" w:rsidP="00223E9E">
            <w:pPr>
              <w:spacing w:after="0"/>
              <w:jc w:val="center"/>
              <w:rPr>
                <w:sz w:val="14"/>
                <w:szCs w:val="14"/>
                <w:lang w:val="lv-LV"/>
              </w:rPr>
            </w:pPr>
            <w:r w:rsidRPr="00E04386">
              <w:rPr>
                <w:sz w:val="14"/>
                <w:szCs w:val="14"/>
                <w:lang w:val="lv-LV"/>
              </w:rPr>
              <w:t>20 758</w:t>
            </w:r>
          </w:p>
        </w:tc>
        <w:tc>
          <w:tcPr>
            <w:tcW w:w="993" w:type="dxa"/>
            <w:shd w:val="clear" w:color="auto" w:fill="D9E2F3" w:themeFill="accent5" w:themeFillTint="33"/>
            <w:vAlign w:val="center"/>
          </w:tcPr>
          <w:p w14:paraId="3BEA48E8" w14:textId="45BF208A" w:rsidR="00223E9E" w:rsidRPr="00E04386" w:rsidRDefault="00223E9E" w:rsidP="00223E9E">
            <w:pPr>
              <w:spacing w:after="0"/>
              <w:jc w:val="center"/>
              <w:rPr>
                <w:sz w:val="14"/>
                <w:szCs w:val="14"/>
                <w:lang w:val="lv-LV"/>
              </w:rPr>
            </w:pPr>
            <w:r w:rsidRPr="00E04386">
              <w:rPr>
                <w:sz w:val="14"/>
                <w:szCs w:val="14"/>
                <w:lang w:val="lv-LV"/>
              </w:rPr>
              <w:t>1 898</w:t>
            </w:r>
          </w:p>
        </w:tc>
      </w:tr>
      <w:tr w:rsidR="00223E9E" w:rsidRPr="00E04386" w14:paraId="182B0D31" w14:textId="77777777" w:rsidTr="00AF00DB">
        <w:trPr>
          <w:jc w:val="center"/>
        </w:trPr>
        <w:tc>
          <w:tcPr>
            <w:tcW w:w="1985" w:type="dxa"/>
            <w:vMerge/>
            <w:shd w:val="clear" w:color="auto" w:fill="D9E2F3" w:themeFill="accent5" w:themeFillTint="33"/>
          </w:tcPr>
          <w:p w14:paraId="6887C347" w14:textId="77777777" w:rsidR="00223E9E" w:rsidRPr="00016D17" w:rsidRDefault="00223E9E" w:rsidP="003D0B10">
            <w:pPr>
              <w:spacing w:after="0"/>
              <w:rPr>
                <w:sz w:val="16"/>
                <w:szCs w:val="14"/>
                <w:lang w:val="lv-LV"/>
              </w:rPr>
            </w:pPr>
          </w:p>
        </w:tc>
        <w:tc>
          <w:tcPr>
            <w:tcW w:w="992" w:type="dxa"/>
            <w:shd w:val="clear" w:color="auto" w:fill="D9E2F3" w:themeFill="accent5" w:themeFillTint="33"/>
            <w:vAlign w:val="center"/>
          </w:tcPr>
          <w:p w14:paraId="3B5B58C1" w14:textId="6D7073FD" w:rsidR="00223E9E" w:rsidRPr="00E04386" w:rsidRDefault="00223E9E" w:rsidP="000003CF">
            <w:pPr>
              <w:spacing w:after="0"/>
              <w:jc w:val="center"/>
              <w:rPr>
                <w:sz w:val="14"/>
                <w:szCs w:val="14"/>
                <w:lang w:val="lv-LV"/>
              </w:rPr>
            </w:pPr>
            <w:r w:rsidRPr="00E04386">
              <w:rPr>
                <w:sz w:val="14"/>
                <w:szCs w:val="14"/>
                <w:lang w:val="lv-LV"/>
              </w:rPr>
              <w:t>Igaunija</w:t>
            </w:r>
          </w:p>
        </w:tc>
        <w:tc>
          <w:tcPr>
            <w:tcW w:w="993" w:type="dxa"/>
            <w:shd w:val="clear" w:color="auto" w:fill="D9E2F3" w:themeFill="accent5" w:themeFillTint="33"/>
            <w:vAlign w:val="center"/>
          </w:tcPr>
          <w:p w14:paraId="7177DDA5" w14:textId="4E7C4C65" w:rsidR="00223E9E" w:rsidRPr="00E04386" w:rsidRDefault="00223E9E" w:rsidP="000003CF">
            <w:pPr>
              <w:spacing w:after="0"/>
              <w:jc w:val="center"/>
              <w:rPr>
                <w:sz w:val="14"/>
                <w:szCs w:val="14"/>
                <w:lang w:val="lv-LV"/>
              </w:rPr>
            </w:pPr>
            <w:r w:rsidRPr="00E04386">
              <w:rPr>
                <w:sz w:val="14"/>
                <w:szCs w:val="14"/>
                <w:lang w:val="lv-LV"/>
              </w:rPr>
              <w:t>VSIA “Paula Stradiņa klīniskā universitātes slimnīca”</w:t>
            </w:r>
          </w:p>
        </w:tc>
        <w:tc>
          <w:tcPr>
            <w:tcW w:w="850" w:type="dxa"/>
            <w:shd w:val="clear" w:color="auto" w:fill="D9E2F3" w:themeFill="accent5" w:themeFillTint="33"/>
            <w:vAlign w:val="center"/>
          </w:tcPr>
          <w:p w14:paraId="3A68B569" w14:textId="483F7832" w:rsidR="00223E9E" w:rsidRPr="00E04386" w:rsidRDefault="00223E9E" w:rsidP="00223E9E">
            <w:pPr>
              <w:spacing w:after="0"/>
              <w:jc w:val="center"/>
              <w:rPr>
                <w:sz w:val="14"/>
                <w:szCs w:val="14"/>
                <w:lang w:val="lv-LV"/>
              </w:rPr>
            </w:pPr>
            <w:r w:rsidRPr="00E04386">
              <w:rPr>
                <w:sz w:val="14"/>
                <w:szCs w:val="14"/>
                <w:lang w:val="lv-LV"/>
              </w:rPr>
              <w:t>129 620</w:t>
            </w:r>
          </w:p>
        </w:tc>
        <w:tc>
          <w:tcPr>
            <w:tcW w:w="851" w:type="dxa"/>
            <w:shd w:val="clear" w:color="auto" w:fill="D9E2F3" w:themeFill="accent5" w:themeFillTint="33"/>
            <w:vAlign w:val="center"/>
          </w:tcPr>
          <w:p w14:paraId="5E045A0E" w14:textId="0714680F" w:rsidR="00223E9E" w:rsidRPr="00E04386" w:rsidRDefault="00223E9E" w:rsidP="00223E9E">
            <w:pPr>
              <w:spacing w:after="0"/>
              <w:jc w:val="center"/>
              <w:rPr>
                <w:sz w:val="14"/>
                <w:szCs w:val="14"/>
                <w:lang w:val="lv-LV"/>
              </w:rPr>
            </w:pPr>
            <w:r w:rsidRPr="00E04386">
              <w:rPr>
                <w:sz w:val="14"/>
                <w:szCs w:val="14"/>
                <w:lang w:val="lv-LV"/>
              </w:rPr>
              <w:t>-</w:t>
            </w:r>
          </w:p>
        </w:tc>
        <w:tc>
          <w:tcPr>
            <w:tcW w:w="708" w:type="dxa"/>
            <w:shd w:val="clear" w:color="auto" w:fill="D9E2F3" w:themeFill="accent5" w:themeFillTint="33"/>
            <w:vAlign w:val="center"/>
          </w:tcPr>
          <w:p w14:paraId="67FFADEA" w14:textId="7E66FDBD" w:rsidR="00223E9E" w:rsidRPr="00E04386" w:rsidRDefault="00223E9E" w:rsidP="00223E9E">
            <w:pPr>
              <w:spacing w:after="0"/>
              <w:jc w:val="center"/>
              <w:rPr>
                <w:sz w:val="14"/>
                <w:szCs w:val="14"/>
                <w:lang w:val="lv-LV"/>
              </w:rPr>
            </w:pPr>
            <w:r w:rsidRPr="00E04386">
              <w:rPr>
                <w:sz w:val="14"/>
                <w:szCs w:val="14"/>
                <w:lang w:val="lv-LV"/>
              </w:rPr>
              <w:t>-</w:t>
            </w:r>
          </w:p>
        </w:tc>
        <w:tc>
          <w:tcPr>
            <w:tcW w:w="993" w:type="dxa"/>
            <w:shd w:val="clear" w:color="auto" w:fill="D9E2F3" w:themeFill="accent5" w:themeFillTint="33"/>
            <w:vAlign w:val="center"/>
          </w:tcPr>
          <w:p w14:paraId="56BFDA40" w14:textId="4D855770" w:rsidR="00223E9E" w:rsidRPr="00E04386" w:rsidRDefault="00223E9E" w:rsidP="00223E9E">
            <w:pPr>
              <w:spacing w:after="0"/>
              <w:jc w:val="center"/>
              <w:rPr>
                <w:sz w:val="14"/>
                <w:szCs w:val="14"/>
                <w:lang w:val="lv-LV"/>
              </w:rPr>
            </w:pPr>
            <w:r w:rsidRPr="00E04386">
              <w:rPr>
                <w:sz w:val="14"/>
                <w:szCs w:val="14"/>
                <w:lang w:val="lv-LV"/>
              </w:rPr>
              <w:t>5 830</w:t>
            </w:r>
          </w:p>
        </w:tc>
        <w:tc>
          <w:tcPr>
            <w:tcW w:w="708" w:type="dxa"/>
            <w:shd w:val="clear" w:color="auto" w:fill="D9E2F3" w:themeFill="accent5" w:themeFillTint="33"/>
            <w:vAlign w:val="center"/>
          </w:tcPr>
          <w:p w14:paraId="1924A6D7" w14:textId="4AF6907B" w:rsidR="00223E9E" w:rsidRPr="00E04386" w:rsidRDefault="00223E9E" w:rsidP="00223E9E">
            <w:pPr>
              <w:spacing w:after="0"/>
              <w:jc w:val="center"/>
              <w:rPr>
                <w:sz w:val="14"/>
                <w:szCs w:val="14"/>
                <w:lang w:val="lv-LV"/>
              </w:rPr>
            </w:pPr>
            <w:r w:rsidRPr="00E04386">
              <w:rPr>
                <w:sz w:val="14"/>
                <w:szCs w:val="14"/>
                <w:lang w:val="lv-LV"/>
              </w:rPr>
              <w:t>6 908</w:t>
            </w:r>
          </w:p>
        </w:tc>
        <w:tc>
          <w:tcPr>
            <w:tcW w:w="993" w:type="dxa"/>
            <w:shd w:val="clear" w:color="auto" w:fill="D9E2F3" w:themeFill="accent5" w:themeFillTint="33"/>
            <w:vAlign w:val="center"/>
          </w:tcPr>
          <w:p w14:paraId="2E213490" w14:textId="765E81CD" w:rsidR="00223E9E" w:rsidRPr="00E04386" w:rsidRDefault="00223E9E" w:rsidP="00223E9E">
            <w:pPr>
              <w:spacing w:after="0"/>
              <w:jc w:val="center"/>
              <w:rPr>
                <w:sz w:val="14"/>
                <w:szCs w:val="14"/>
                <w:lang w:val="lv-LV"/>
              </w:rPr>
            </w:pPr>
            <w:r w:rsidRPr="00E04386">
              <w:rPr>
                <w:sz w:val="14"/>
                <w:szCs w:val="14"/>
                <w:lang w:val="lv-LV"/>
              </w:rPr>
              <w:t>600</w:t>
            </w:r>
          </w:p>
        </w:tc>
      </w:tr>
      <w:tr w:rsidR="002D2660" w:rsidRPr="00E04386" w14:paraId="32966B9E" w14:textId="77777777" w:rsidTr="00AF00DB">
        <w:trPr>
          <w:jc w:val="center"/>
        </w:trPr>
        <w:tc>
          <w:tcPr>
            <w:tcW w:w="1985" w:type="dxa"/>
            <w:shd w:val="clear" w:color="auto" w:fill="D9E2F3" w:themeFill="accent5" w:themeFillTint="33"/>
          </w:tcPr>
          <w:p w14:paraId="46A5C5ED" w14:textId="094B3BE7" w:rsidR="002D2660" w:rsidRPr="00016D17" w:rsidRDefault="00223E9E" w:rsidP="003D0B10">
            <w:pPr>
              <w:spacing w:after="0"/>
              <w:rPr>
                <w:sz w:val="16"/>
                <w:szCs w:val="14"/>
                <w:lang w:val="lv-LV"/>
              </w:rPr>
            </w:pPr>
            <w:r w:rsidRPr="00016D17">
              <w:rPr>
                <w:sz w:val="16"/>
                <w:szCs w:val="14"/>
                <w:lang w:val="lv-LV"/>
              </w:rPr>
              <w:t>VNS terapija</w:t>
            </w:r>
          </w:p>
        </w:tc>
        <w:tc>
          <w:tcPr>
            <w:tcW w:w="992" w:type="dxa"/>
            <w:shd w:val="clear" w:color="auto" w:fill="D9E2F3" w:themeFill="accent5" w:themeFillTint="33"/>
            <w:vAlign w:val="center"/>
          </w:tcPr>
          <w:p w14:paraId="60A6E69E" w14:textId="025392AA" w:rsidR="002D2660" w:rsidRPr="00E04386" w:rsidRDefault="00223E9E" w:rsidP="000003CF">
            <w:pPr>
              <w:spacing w:after="0"/>
              <w:jc w:val="center"/>
              <w:rPr>
                <w:sz w:val="14"/>
                <w:szCs w:val="14"/>
                <w:lang w:val="lv-LV"/>
              </w:rPr>
            </w:pPr>
            <w:r w:rsidRPr="00E04386">
              <w:rPr>
                <w:sz w:val="14"/>
                <w:szCs w:val="14"/>
                <w:lang w:val="lv-LV"/>
              </w:rPr>
              <w:t>Vācija</w:t>
            </w:r>
          </w:p>
        </w:tc>
        <w:tc>
          <w:tcPr>
            <w:tcW w:w="993" w:type="dxa"/>
            <w:shd w:val="clear" w:color="auto" w:fill="D9E2F3" w:themeFill="accent5" w:themeFillTint="33"/>
            <w:vAlign w:val="center"/>
          </w:tcPr>
          <w:p w14:paraId="09FBDBE8" w14:textId="7BAE2F5B" w:rsidR="002D2660" w:rsidRPr="00E04386" w:rsidRDefault="00223E9E" w:rsidP="000003CF">
            <w:pPr>
              <w:spacing w:after="0"/>
              <w:jc w:val="center"/>
              <w:rPr>
                <w:sz w:val="14"/>
                <w:szCs w:val="14"/>
                <w:lang w:val="lv-LV"/>
              </w:rPr>
            </w:pPr>
            <w:r w:rsidRPr="00E04386">
              <w:rPr>
                <w:sz w:val="14"/>
                <w:szCs w:val="14"/>
                <w:lang w:val="lv-LV"/>
              </w:rPr>
              <w:t>VSIA “Bērnu klīniskā universitātes slimnīca”</w:t>
            </w:r>
          </w:p>
        </w:tc>
        <w:tc>
          <w:tcPr>
            <w:tcW w:w="850" w:type="dxa"/>
            <w:shd w:val="clear" w:color="auto" w:fill="D9E2F3" w:themeFill="accent5" w:themeFillTint="33"/>
            <w:vAlign w:val="center"/>
          </w:tcPr>
          <w:p w14:paraId="7DEA2D36" w14:textId="713B758E" w:rsidR="002D2660" w:rsidRPr="00E04386" w:rsidRDefault="00223E9E" w:rsidP="000003CF">
            <w:pPr>
              <w:spacing w:after="0"/>
              <w:jc w:val="center"/>
              <w:rPr>
                <w:sz w:val="14"/>
                <w:szCs w:val="14"/>
                <w:lang w:val="lv-LV"/>
              </w:rPr>
            </w:pPr>
            <w:r w:rsidRPr="00E04386">
              <w:rPr>
                <w:sz w:val="14"/>
                <w:szCs w:val="14"/>
                <w:lang w:val="lv-LV"/>
              </w:rPr>
              <w:t>10 000</w:t>
            </w:r>
          </w:p>
        </w:tc>
        <w:tc>
          <w:tcPr>
            <w:tcW w:w="851" w:type="dxa"/>
            <w:shd w:val="clear" w:color="auto" w:fill="D9E2F3" w:themeFill="accent5" w:themeFillTint="33"/>
            <w:vAlign w:val="center"/>
          </w:tcPr>
          <w:p w14:paraId="1BD56D73" w14:textId="2181E062" w:rsidR="002D2660" w:rsidRPr="00E04386" w:rsidRDefault="00223E9E" w:rsidP="000003CF">
            <w:pPr>
              <w:spacing w:after="0"/>
              <w:jc w:val="center"/>
              <w:rPr>
                <w:sz w:val="14"/>
                <w:szCs w:val="14"/>
                <w:lang w:val="lv-LV"/>
              </w:rPr>
            </w:pPr>
            <w:r w:rsidRPr="00E04386">
              <w:rPr>
                <w:sz w:val="14"/>
                <w:szCs w:val="14"/>
                <w:lang w:val="lv-LV"/>
              </w:rPr>
              <w:t>-</w:t>
            </w:r>
          </w:p>
        </w:tc>
        <w:tc>
          <w:tcPr>
            <w:tcW w:w="708" w:type="dxa"/>
            <w:shd w:val="clear" w:color="auto" w:fill="D9E2F3" w:themeFill="accent5" w:themeFillTint="33"/>
            <w:vAlign w:val="center"/>
          </w:tcPr>
          <w:p w14:paraId="65D49FEE" w14:textId="1E14FCB9" w:rsidR="002D2660" w:rsidRPr="00E04386" w:rsidRDefault="00223E9E" w:rsidP="000003CF">
            <w:pPr>
              <w:spacing w:after="0"/>
              <w:jc w:val="center"/>
              <w:rPr>
                <w:sz w:val="14"/>
                <w:szCs w:val="14"/>
                <w:lang w:val="lv-LV"/>
              </w:rPr>
            </w:pPr>
            <w:r w:rsidRPr="00E04386">
              <w:rPr>
                <w:sz w:val="14"/>
                <w:szCs w:val="14"/>
                <w:lang w:val="lv-LV"/>
              </w:rPr>
              <w:t>1 005</w:t>
            </w:r>
          </w:p>
        </w:tc>
        <w:tc>
          <w:tcPr>
            <w:tcW w:w="993" w:type="dxa"/>
            <w:shd w:val="clear" w:color="auto" w:fill="D9E2F3" w:themeFill="accent5" w:themeFillTint="33"/>
            <w:vAlign w:val="center"/>
          </w:tcPr>
          <w:p w14:paraId="29084E6B" w14:textId="372C2682" w:rsidR="002D2660" w:rsidRPr="00E04386" w:rsidRDefault="00223E9E" w:rsidP="000003CF">
            <w:pPr>
              <w:spacing w:after="0"/>
              <w:jc w:val="center"/>
              <w:rPr>
                <w:sz w:val="14"/>
                <w:szCs w:val="14"/>
                <w:lang w:val="lv-LV"/>
              </w:rPr>
            </w:pPr>
            <w:r w:rsidRPr="00E04386">
              <w:rPr>
                <w:sz w:val="14"/>
                <w:szCs w:val="14"/>
                <w:lang w:val="lv-LV"/>
              </w:rPr>
              <w:t>300 696</w:t>
            </w:r>
          </w:p>
        </w:tc>
        <w:tc>
          <w:tcPr>
            <w:tcW w:w="708" w:type="dxa"/>
            <w:shd w:val="clear" w:color="auto" w:fill="D9E2F3" w:themeFill="accent5" w:themeFillTint="33"/>
            <w:vAlign w:val="center"/>
          </w:tcPr>
          <w:p w14:paraId="3EB53A5C" w14:textId="6D180602" w:rsidR="002D2660" w:rsidRPr="00E04386" w:rsidRDefault="00223E9E" w:rsidP="000003CF">
            <w:pPr>
              <w:spacing w:after="0"/>
              <w:jc w:val="center"/>
              <w:rPr>
                <w:sz w:val="14"/>
                <w:szCs w:val="14"/>
                <w:lang w:val="lv-LV"/>
              </w:rPr>
            </w:pPr>
            <w:r w:rsidRPr="00E04386">
              <w:rPr>
                <w:sz w:val="14"/>
                <w:szCs w:val="14"/>
                <w:lang w:val="lv-LV"/>
              </w:rPr>
              <w:t>2 977</w:t>
            </w:r>
          </w:p>
        </w:tc>
        <w:tc>
          <w:tcPr>
            <w:tcW w:w="993" w:type="dxa"/>
            <w:shd w:val="clear" w:color="auto" w:fill="D9E2F3" w:themeFill="accent5" w:themeFillTint="33"/>
            <w:vAlign w:val="center"/>
          </w:tcPr>
          <w:p w14:paraId="498CACF2" w14:textId="1777916F" w:rsidR="002D2660" w:rsidRPr="00E04386" w:rsidRDefault="00223E9E" w:rsidP="000003CF">
            <w:pPr>
              <w:spacing w:after="0"/>
              <w:jc w:val="center"/>
              <w:rPr>
                <w:sz w:val="14"/>
                <w:szCs w:val="14"/>
                <w:lang w:val="lv-LV"/>
              </w:rPr>
            </w:pPr>
            <w:r w:rsidRPr="00E04386">
              <w:rPr>
                <w:sz w:val="14"/>
                <w:szCs w:val="14"/>
                <w:lang w:val="lv-LV"/>
              </w:rPr>
              <w:t>25 400</w:t>
            </w:r>
          </w:p>
        </w:tc>
      </w:tr>
      <w:tr w:rsidR="000003CF" w:rsidRPr="00E04386" w14:paraId="3FF7127C" w14:textId="77777777" w:rsidTr="00AF00DB">
        <w:trPr>
          <w:jc w:val="center"/>
        </w:trPr>
        <w:tc>
          <w:tcPr>
            <w:tcW w:w="1985" w:type="dxa"/>
            <w:shd w:val="clear" w:color="auto" w:fill="D9E2F3" w:themeFill="accent5" w:themeFillTint="33"/>
          </w:tcPr>
          <w:p w14:paraId="4FAB5767" w14:textId="05A996C3" w:rsidR="000003CF" w:rsidRPr="00016D17" w:rsidRDefault="000003CF" w:rsidP="000003CF">
            <w:pPr>
              <w:spacing w:after="0"/>
              <w:rPr>
                <w:sz w:val="16"/>
                <w:szCs w:val="14"/>
                <w:lang w:val="lv-LV"/>
              </w:rPr>
            </w:pPr>
            <w:r w:rsidRPr="00016D17">
              <w:rPr>
                <w:sz w:val="16"/>
                <w:szCs w:val="14"/>
                <w:lang w:val="lv-LV"/>
              </w:rPr>
              <w:t>Intraoperatīva elektrokortikogrāfija</w:t>
            </w:r>
          </w:p>
        </w:tc>
        <w:tc>
          <w:tcPr>
            <w:tcW w:w="992" w:type="dxa"/>
            <w:shd w:val="clear" w:color="auto" w:fill="D9E2F3" w:themeFill="accent5" w:themeFillTint="33"/>
            <w:vAlign w:val="center"/>
          </w:tcPr>
          <w:p w14:paraId="7B44DD6F" w14:textId="34C89AAB" w:rsidR="000003CF" w:rsidRPr="00E04386" w:rsidRDefault="000003CF" w:rsidP="000003CF">
            <w:pPr>
              <w:spacing w:after="0"/>
              <w:jc w:val="center"/>
              <w:rPr>
                <w:sz w:val="14"/>
                <w:szCs w:val="14"/>
                <w:lang w:val="lv-LV"/>
              </w:rPr>
            </w:pPr>
            <w:r w:rsidRPr="00E04386">
              <w:rPr>
                <w:sz w:val="14"/>
                <w:szCs w:val="14"/>
                <w:lang w:val="lv-LV"/>
              </w:rPr>
              <w:t>Vācija</w:t>
            </w:r>
          </w:p>
        </w:tc>
        <w:tc>
          <w:tcPr>
            <w:tcW w:w="993" w:type="dxa"/>
            <w:shd w:val="clear" w:color="auto" w:fill="D9E2F3" w:themeFill="accent5" w:themeFillTint="33"/>
            <w:vAlign w:val="center"/>
          </w:tcPr>
          <w:p w14:paraId="329CFC5E" w14:textId="7D9612AE" w:rsidR="000003CF" w:rsidRPr="00E04386" w:rsidRDefault="000003CF" w:rsidP="000003CF">
            <w:pPr>
              <w:spacing w:after="0"/>
              <w:jc w:val="center"/>
              <w:rPr>
                <w:sz w:val="14"/>
                <w:szCs w:val="14"/>
                <w:lang w:val="lv-LV"/>
              </w:rPr>
            </w:pPr>
            <w:r w:rsidRPr="00E04386">
              <w:rPr>
                <w:sz w:val="14"/>
                <w:szCs w:val="14"/>
                <w:lang w:val="lv-LV"/>
              </w:rPr>
              <w:t>VSIA “Bērnu klīniskā universitātes slimnīca”</w:t>
            </w:r>
          </w:p>
        </w:tc>
        <w:tc>
          <w:tcPr>
            <w:tcW w:w="850" w:type="dxa"/>
            <w:shd w:val="clear" w:color="auto" w:fill="D9E2F3" w:themeFill="accent5" w:themeFillTint="33"/>
            <w:vAlign w:val="center"/>
          </w:tcPr>
          <w:p w14:paraId="1BEFF56B" w14:textId="7C607ECF" w:rsidR="000003CF" w:rsidRPr="00E04386" w:rsidRDefault="000003CF" w:rsidP="000003CF">
            <w:pPr>
              <w:spacing w:after="0"/>
              <w:jc w:val="center"/>
              <w:rPr>
                <w:sz w:val="14"/>
                <w:szCs w:val="14"/>
                <w:lang w:val="lv-LV"/>
              </w:rPr>
            </w:pPr>
            <w:r w:rsidRPr="00E04386">
              <w:rPr>
                <w:sz w:val="14"/>
                <w:szCs w:val="14"/>
                <w:lang w:val="lv-LV"/>
              </w:rPr>
              <w:t>-</w:t>
            </w:r>
          </w:p>
        </w:tc>
        <w:tc>
          <w:tcPr>
            <w:tcW w:w="851" w:type="dxa"/>
            <w:shd w:val="clear" w:color="auto" w:fill="D9E2F3" w:themeFill="accent5" w:themeFillTint="33"/>
            <w:vAlign w:val="center"/>
          </w:tcPr>
          <w:p w14:paraId="5FA6DAB8" w14:textId="17496C25" w:rsidR="000003CF" w:rsidRPr="00E04386" w:rsidRDefault="000003CF" w:rsidP="000003CF">
            <w:pPr>
              <w:spacing w:after="0"/>
              <w:jc w:val="center"/>
              <w:rPr>
                <w:sz w:val="14"/>
                <w:szCs w:val="14"/>
                <w:lang w:val="lv-LV"/>
              </w:rPr>
            </w:pPr>
            <w:r w:rsidRPr="00E04386">
              <w:rPr>
                <w:sz w:val="14"/>
                <w:szCs w:val="14"/>
                <w:lang w:val="lv-LV"/>
              </w:rPr>
              <w:t>-</w:t>
            </w:r>
          </w:p>
        </w:tc>
        <w:tc>
          <w:tcPr>
            <w:tcW w:w="708" w:type="dxa"/>
            <w:shd w:val="clear" w:color="auto" w:fill="D9E2F3" w:themeFill="accent5" w:themeFillTint="33"/>
            <w:vAlign w:val="center"/>
          </w:tcPr>
          <w:p w14:paraId="1F219E4F" w14:textId="0A747F20" w:rsidR="000003CF" w:rsidRPr="00E04386" w:rsidRDefault="000003CF" w:rsidP="000003CF">
            <w:pPr>
              <w:spacing w:after="0"/>
              <w:jc w:val="center"/>
              <w:rPr>
                <w:sz w:val="14"/>
                <w:szCs w:val="14"/>
                <w:lang w:val="lv-LV"/>
              </w:rPr>
            </w:pPr>
            <w:r w:rsidRPr="00E04386">
              <w:rPr>
                <w:sz w:val="14"/>
                <w:szCs w:val="14"/>
                <w:lang w:val="lv-LV"/>
              </w:rPr>
              <w:t>722</w:t>
            </w:r>
          </w:p>
        </w:tc>
        <w:tc>
          <w:tcPr>
            <w:tcW w:w="993" w:type="dxa"/>
            <w:shd w:val="clear" w:color="auto" w:fill="D9E2F3" w:themeFill="accent5" w:themeFillTint="33"/>
            <w:vAlign w:val="center"/>
          </w:tcPr>
          <w:p w14:paraId="67C311E4" w14:textId="446D8349" w:rsidR="000003CF" w:rsidRPr="00E04386" w:rsidRDefault="000003CF" w:rsidP="000003CF">
            <w:pPr>
              <w:spacing w:after="0"/>
              <w:jc w:val="center"/>
              <w:rPr>
                <w:sz w:val="14"/>
                <w:szCs w:val="14"/>
                <w:lang w:val="lv-LV"/>
              </w:rPr>
            </w:pPr>
            <w:r w:rsidRPr="00E04386">
              <w:rPr>
                <w:sz w:val="14"/>
                <w:szCs w:val="14"/>
                <w:lang w:val="lv-LV"/>
              </w:rPr>
              <w:t>13 580</w:t>
            </w:r>
          </w:p>
        </w:tc>
        <w:tc>
          <w:tcPr>
            <w:tcW w:w="708" w:type="dxa"/>
            <w:shd w:val="clear" w:color="auto" w:fill="D9E2F3" w:themeFill="accent5" w:themeFillTint="33"/>
            <w:vAlign w:val="center"/>
          </w:tcPr>
          <w:p w14:paraId="419245D3" w14:textId="63BD79BB" w:rsidR="000003CF" w:rsidRPr="00E04386" w:rsidRDefault="000003CF" w:rsidP="000003CF">
            <w:pPr>
              <w:spacing w:after="0"/>
              <w:jc w:val="center"/>
              <w:rPr>
                <w:sz w:val="14"/>
                <w:szCs w:val="14"/>
                <w:lang w:val="lv-LV"/>
              </w:rPr>
            </w:pPr>
            <w:r w:rsidRPr="00E04386">
              <w:rPr>
                <w:sz w:val="14"/>
                <w:szCs w:val="14"/>
                <w:lang w:val="lv-LV"/>
              </w:rPr>
              <w:t>581</w:t>
            </w:r>
          </w:p>
        </w:tc>
        <w:tc>
          <w:tcPr>
            <w:tcW w:w="993" w:type="dxa"/>
            <w:shd w:val="clear" w:color="auto" w:fill="D9E2F3" w:themeFill="accent5" w:themeFillTint="33"/>
            <w:vAlign w:val="center"/>
          </w:tcPr>
          <w:p w14:paraId="238D7C02" w14:textId="16E1A4EF" w:rsidR="000003CF" w:rsidRPr="00E04386" w:rsidRDefault="000003CF" w:rsidP="000003CF">
            <w:pPr>
              <w:spacing w:after="0"/>
              <w:jc w:val="center"/>
              <w:rPr>
                <w:sz w:val="14"/>
                <w:szCs w:val="14"/>
                <w:lang w:val="lv-LV"/>
              </w:rPr>
            </w:pPr>
            <w:r w:rsidRPr="00E04386">
              <w:rPr>
                <w:sz w:val="14"/>
                <w:szCs w:val="14"/>
                <w:lang w:val="lv-LV"/>
              </w:rPr>
              <w:t>1 500</w:t>
            </w:r>
          </w:p>
        </w:tc>
      </w:tr>
      <w:tr w:rsidR="000003CF" w:rsidRPr="00E04386" w14:paraId="2A20C0BA" w14:textId="77777777" w:rsidTr="00AF00DB">
        <w:trPr>
          <w:jc w:val="center"/>
        </w:trPr>
        <w:tc>
          <w:tcPr>
            <w:tcW w:w="1985" w:type="dxa"/>
            <w:shd w:val="clear" w:color="auto" w:fill="D9E2F3" w:themeFill="accent5" w:themeFillTint="33"/>
          </w:tcPr>
          <w:p w14:paraId="048CF691" w14:textId="02D5CF22" w:rsidR="000003CF" w:rsidRPr="00016D17" w:rsidRDefault="000003CF" w:rsidP="000003CF">
            <w:pPr>
              <w:spacing w:after="0"/>
              <w:rPr>
                <w:sz w:val="16"/>
                <w:szCs w:val="14"/>
                <w:lang w:val="lv-LV"/>
              </w:rPr>
            </w:pPr>
            <w:r w:rsidRPr="00016D17">
              <w:rPr>
                <w:sz w:val="16"/>
                <w:szCs w:val="14"/>
                <w:lang w:val="lv-LV"/>
              </w:rPr>
              <w:t>StereoEEG</w:t>
            </w:r>
          </w:p>
        </w:tc>
        <w:tc>
          <w:tcPr>
            <w:tcW w:w="992" w:type="dxa"/>
            <w:shd w:val="clear" w:color="auto" w:fill="D9E2F3" w:themeFill="accent5" w:themeFillTint="33"/>
            <w:vAlign w:val="center"/>
          </w:tcPr>
          <w:p w14:paraId="2EDBD226" w14:textId="4D669050" w:rsidR="000003CF" w:rsidRPr="00E04386" w:rsidRDefault="000003CF" w:rsidP="00EC24B4">
            <w:pPr>
              <w:spacing w:after="0"/>
              <w:jc w:val="center"/>
              <w:rPr>
                <w:sz w:val="14"/>
                <w:szCs w:val="14"/>
                <w:lang w:val="lv-LV"/>
              </w:rPr>
            </w:pPr>
            <w:r w:rsidRPr="00E04386">
              <w:rPr>
                <w:sz w:val="14"/>
                <w:szCs w:val="14"/>
                <w:lang w:val="lv-LV"/>
              </w:rPr>
              <w:t>Vācija</w:t>
            </w:r>
          </w:p>
        </w:tc>
        <w:tc>
          <w:tcPr>
            <w:tcW w:w="993" w:type="dxa"/>
            <w:shd w:val="clear" w:color="auto" w:fill="D9E2F3" w:themeFill="accent5" w:themeFillTint="33"/>
            <w:vAlign w:val="center"/>
          </w:tcPr>
          <w:p w14:paraId="17BE2D60" w14:textId="3F22E2D6" w:rsidR="000003CF" w:rsidRPr="00E04386" w:rsidRDefault="000003CF" w:rsidP="00EC24B4">
            <w:pPr>
              <w:spacing w:after="0"/>
              <w:jc w:val="center"/>
              <w:rPr>
                <w:sz w:val="14"/>
                <w:szCs w:val="14"/>
                <w:lang w:val="lv-LV"/>
              </w:rPr>
            </w:pPr>
            <w:r w:rsidRPr="00E04386">
              <w:rPr>
                <w:sz w:val="14"/>
                <w:szCs w:val="14"/>
                <w:lang w:val="lv-LV"/>
              </w:rPr>
              <w:t>VSIA “Bērnu klīniskā universitātes slimnīca”</w:t>
            </w:r>
          </w:p>
        </w:tc>
        <w:tc>
          <w:tcPr>
            <w:tcW w:w="850" w:type="dxa"/>
            <w:shd w:val="clear" w:color="auto" w:fill="D9E2F3" w:themeFill="accent5" w:themeFillTint="33"/>
            <w:vAlign w:val="center"/>
          </w:tcPr>
          <w:p w14:paraId="4219BB7E" w14:textId="183A8386" w:rsidR="000003CF" w:rsidRPr="00E04386" w:rsidRDefault="000003CF" w:rsidP="000003CF">
            <w:pPr>
              <w:spacing w:after="0"/>
              <w:jc w:val="center"/>
              <w:rPr>
                <w:sz w:val="14"/>
                <w:szCs w:val="14"/>
                <w:lang w:val="lv-LV"/>
              </w:rPr>
            </w:pPr>
            <w:r w:rsidRPr="00E04386">
              <w:rPr>
                <w:sz w:val="14"/>
                <w:szCs w:val="14"/>
                <w:lang w:val="lv-LV"/>
              </w:rPr>
              <w:t>955 900</w:t>
            </w:r>
          </w:p>
        </w:tc>
        <w:tc>
          <w:tcPr>
            <w:tcW w:w="851" w:type="dxa"/>
            <w:shd w:val="clear" w:color="auto" w:fill="D9E2F3" w:themeFill="accent5" w:themeFillTint="33"/>
            <w:vAlign w:val="center"/>
          </w:tcPr>
          <w:p w14:paraId="703AB9BF" w14:textId="4A141D4B" w:rsidR="000003CF" w:rsidRPr="00E04386" w:rsidRDefault="000003CF" w:rsidP="000003CF">
            <w:pPr>
              <w:spacing w:after="0"/>
              <w:jc w:val="center"/>
              <w:rPr>
                <w:sz w:val="14"/>
                <w:szCs w:val="14"/>
                <w:lang w:val="lv-LV"/>
              </w:rPr>
            </w:pPr>
            <w:r w:rsidRPr="00E04386">
              <w:rPr>
                <w:sz w:val="14"/>
                <w:szCs w:val="14"/>
                <w:lang w:val="lv-LV"/>
              </w:rPr>
              <w:t>-</w:t>
            </w:r>
          </w:p>
        </w:tc>
        <w:tc>
          <w:tcPr>
            <w:tcW w:w="708" w:type="dxa"/>
            <w:shd w:val="clear" w:color="auto" w:fill="D9E2F3" w:themeFill="accent5" w:themeFillTint="33"/>
            <w:vAlign w:val="center"/>
          </w:tcPr>
          <w:p w14:paraId="17F4C096" w14:textId="1670E654" w:rsidR="000003CF" w:rsidRPr="00E04386" w:rsidRDefault="000003CF" w:rsidP="000003CF">
            <w:pPr>
              <w:spacing w:after="0"/>
              <w:jc w:val="center"/>
              <w:rPr>
                <w:sz w:val="14"/>
                <w:szCs w:val="14"/>
                <w:lang w:val="lv-LV"/>
              </w:rPr>
            </w:pPr>
            <w:r w:rsidRPr="00E04386">
              <w:rPr>
                <w:sz w:val="14"/>
                <w:szCs w:val="14"/>
                <w:lang w:val="lv-LV"/>
              </w:rPr>
              <w:t>880</w:t>
            </w:r>
          </w:p>
        </w:tc>
        <w:tc>
          <w:tcPr>
            <w:tcW w:w="993" w:type="dxa"/>
            <w:shd w:val="clear" w:color="auto" w:fill="D9E2F3" w:themeFill="accent5" w:themeFillTint="33"/>
            <w:vAlign w:val="center"/>
          </w:tcPr>
          <w:p w14:paraId="238CF90F" w14:textId="6137F27F" w:rsidR="000003CF" w:rsidRPr="00E04386" w:rsidRDefault="000003CF" w:rsidP="000003CF">
            <w:pPr>
              <w:spacing w:after="0"/>
              <w:jc w:val="center"/>
              <w:rPr>
                <w:sz w:val="14"/>
                <w:szCs w:val="14"/>
                <w:lang w:val="lv-LV"/>
              </w:rPr>
            </w:pPr>
            <w:r w:rsidRPr="00E04386">
              <w:rPr>
                <w:sz w:val="14"/>
                <w:szCs w:val="14"/>
                <w:lang w:val="lv-LV"/>
              </w:rPr>
              <w:t>40 000</w:t>
            </w:r>
          </w:p>
        </w:tc>
        <w:tc>
          <w:tcPr>
            <w:tcW w:w="708" w:type="dxa"/>
            <w:shd w:val="clear" w:color="auto" w:fill="D9E2F3" w:themeFill="accent5" w:themeFillTint="33"/>
            <w:vAlign w:val="center"/>
          </w:tcPr>
          <w:p w14:paraId="723B819F" w14:textId="63CFEA42" w:rsidR="000003CF" w:rsidRPr="00E04386" w:rsidRDefault="000003CF" w:rsidP="000003CF">
            <w:pPr>
              <w:spacing w:after="0"/>
              <w:jc w:val="center"/>
              <w:rPr>
                <w:sz w:val="14"/>
                <w:szCs w:val="14"/>
                <w:lang w:val="lv-LV"/>
              </w:rPr>
            </w:pPr>
            <w:r w:rsidRPr="00E04386">
              <w:rPr>
                <w:sz w:val="14"/>
                <w:szCs w:val="14"/>
                <w:lang w:val="lv-LV"/>
              </w:rPr>
              <w:t>1 940</w:t>
            </w:r>
          </w:p>
        </w:tc>
        <w:tc>
          <w:tcPr>
            <w:tcW w:w="993" w:type="dxa"/>
            <w:shd w:val="clear" w:color="auto" w:fill="D9E2F3" w:themeFill="accent5" w:themeFillTint="33"/>
            <w:vAlign w:val="center"/>
          </w:tcPr>
          <w:p w14:paraId="6FE8B468" w14:textId="626B8EE6" w:rsidR="000003CF" w:rsidRPr="00E04386" w:rsidRDefault="000003CF" w:rsidP="000003CF">
            <w:pPr>
              <w:spacing w:after="0"/>
              <w:jc w:val="center"/>
              <w:rPr>
                <w:sz w:val="14"/>
                <w:szCs w:val="14"/>
                <w:lang w:val="lv-LV"/>
              </w:rPr>
            </w:pPr>
            <w:r w:rsidRPr="00E04386">
              <w:rPr>
                <w:sz w:val="14"/>
                <w:szCs w:val="14"/>
                <w:lang w:val="lv-LV"/>
              </w:rPr>
              <w:t>11 000 – 12 000</w:t>
            </w:r>
          </w:p>
        </w:tc>
      </w:tr>
      <w:tr w:rsidR="000003CF" w:rsidRPr="00E04386" w14:paraId="633EFB51" w14:textId="77777777" w:rsidTr="00AF00DB">
        <w:trPr>
          <w:jc w:val="center"/>
        </w:trPr>
        <w:tc>
          <w:tcPr>
            <w:tcW w:w="1985" w:type="dxa"/>
            <w:shd w:val="clear" w:color="auto" w:fill="D9E2F3" w:themeFill="accent5" w:themeFillTint="33"/>
          </w:tcPr>
          <w:p w14:paraId="6D1F11D7" w14:textId="7C710521" w:rsidR="000003CF" w:rsidRPr="00016D17" w:rsidRDefault="004805E5" w:rsidP="000003CF">
            <w:pPr>
              <w:spacing w:after="0"/>
              <w:rPr>
                <w:sz w:val="16"/>
                <w:szCs w:val="14"/>
                <w:lang w:val="lv-LV"/>
              </w:rPr>
            </w:pPr>
            <w:r>
              <w:rPr>
                <w:sz w:val="16"/>
                <w:szCs w:val="14"/>
                <w:lang w:val="lv-LV"/>
              </w:rPr>
              <w:t xml:space="preserve">Mugurkaulāja </w:t>
            </w:r>
            <w:r w:rsidR="000003CF" w:rsidRPr="00016D17">
              <w:rPr>
                <w:sz w:val="16"/>
                <w:szCs w:val="14"/>
                <w:lang w:val="lv-LV"/>
              </w:rPr>
              <w:t>k</w:t>
            </w:r>
            <w:r>
              <w:rPr>
                <w:sz w:val="16"/>
                <w:szCs w:val="14"/>
                <w:lang w:val="lv-LV"/>
              </w:rPr>
              <w:t xml:space="preserve">oriģējošas operācijas ar neirālo </w:t>
            </w:r>
            <w:r w:rsidR="000003CF" w:rsidRPr="00016D17">
              <w:rPr>
                <w:sz w:val="16"/>
                <w:szCs w:val="14"/>
                <w:lang w:val="lv-LV"/>
              </w:rPr>
              <w:t>struktūru atbrīvošanu un stabilizāciju (TOS)</w:t>
            </w:r>
          </w:p>
        </w:tc>
        <w:tc>
          <w:tcPr>
            <w:tcW w:w="992" w:type="dxa"/>
            <w:vMerge w:val="restart"/>
            <w:shd w:val="clear" w:color="auto" w:fill="D9E2F3" w:themeFill="accent5" w:themeFillTint="33"/>
            <w:vAlign w:val="center"/>
          </w:tcPr>
          <w:p w14:paraId="5BFC659B" w14:textId="52FE8C59" w:rsidR="000003CF" w:rsidRPr="00E04386" w:rsidRDefault="000003CF" w:rsidP="000003CF">
            <w:pPr>
              <w:spacing w:after="0"/>
              <w:jc w:val="center"/>
              <w:rPr>
                <w:sz w:val="14"/>
                <w:szCs w:val="14"/>
                <w:lang w:val="lv-LV"/>
              </w:rPr>
            </w:pPr>
            <w:r w:rsidRPr="00E04386">
              <w:rPr>
                <w:sz w:val="14"/>
                <w:szCs w:val="14"/>
                <w:lang w:val="lv-LV"/>
              </w:rPr>
              <w:t>Lietuva, Igaunija u.c. ES valstis</w:t>
            </w:r>
          </w:p>
        </w:tc>
        <w:tc>
          <w:tcPr>
            <w:tcW w:w="993" w:type="dxa"/>
            <w:vMerge w:val="restart"/>
            <w:shd w:val="clear" w:color="auto" w:fill="D9E2F3" w:themeFill="accent5" w:themeFillTint="33"/>
            <w:vAlign w:val="center"/>
          </w:tcPr>
          <w:p w14:paraId="7CD2D8ED" w14:textId="7A62F7AF" w:rsidR="000003CF" w:rsidRPr="00E04386" w:rsidRDefault="000003CF" w:rsidP="000003CF">
            <w:pPr>
              <w:spacing w:after="0"/>
              <w:jc w:val="center"/>
              <w:rPr>
                <w:sz w:val="14"/>
                <w:szCs w:val="14"/>
                <w:lang w:val="lv-LV"/>
              </w:rPr>
            </w:pPr>
            <w:r w:rsidRPr="00E04386">
              <w:rPr>
                <w:sz w:val="14"/>
                <w:szCs w:val="14"/>
                <w:lang w:val="lv-LV"/>
              </w:rPr>
              <w:t>VSIA “Traum</w:t>
            </w:r>
            <w:r w:rsidR="002F55CD">
              <w:rPr>
                <w:sz w:val="14"/>
                <w:szCs w:val="14"/>
                <w:lang w:val="lv-LV"/>
              </w:rPr>
              <w:t>a</w:t>
            </w:r>
            <w:r w:rsidRPr="00E04386">
              <w:rPr>
                <w:sz w:val="14"/>
                <w:szCs w:val="14"/>
                <w:lang w:val="lv-LV"/>
              </w:rPr>
              <w:t>toloģijas un ortopēdijas slimnīca”</w:t>
            </w:r>
          </w:p>
        </w:tc>
        <w:tc>
          <w:tcPr>
            <w:tcW w:w="850" w:type="dxa"/>
            <w:shd w:val="clear" w:color="auto" w:fill="D9E2F3" w:themeFill="accent5" w:themeFillTint="33"/>
            <w:vAlign w:val="center"/>
          </w:tcPr>
          <w:p w14:paraId="3FD8F256" w14:textId="70AEC9C8" w:rsidR="000003CF" w:rsidRPr="00E04386" w:rsidRDefault="000003CF" w:rsidP="000003CF">
            <w:pPr>
              <w:spacing w:after="0"/>
              <w:jc w:val="center"/>
              <w:rPr>
                <w:sz w:val="14"/>
                <w:szCs w:val="14"/>
                <w:lang w:val="lv-LV"/>
              </w:rPr>
            </w:pPr>
            <w:r w:rsidRPr="00E04386">
              <w:rPr>
                <w:sz w:val="14"/>
                <w:szCs w:val="14"/>
                <w:lang w:val="lv-LV"/>
              </w:rPr>
              <w:t>750 000</w:t>
            </w:r>
          </w:p>
        </w:tc>
        <w:tc>
          <w:tcPr>
            <w:tcW w:w="851" w:type="dxa"/>
            <w:vMerge w:val="restart"/>
            <w:shd w:val="clear" w:color="auto" w:fill="D9E2F3" w:themeFill="accent5" w:themeFillTint="33"/>
            <w:vAlign w:val="center"/>
          </w:tcPr>
          <w:p w14:paraId="00D59900" w14:textId="725F1547" w:rsidR="000003CF" w:rsidRPr="00E04386" w:rsidRDefault="000003CF" w:rsidP="000003CF">
            <w:pPr>
              <w:spacing w:after="0"/>
              <w:jc w:val="center"/>
              <w:rPr>
                <w:sz w:val="14"/>
                <w:szCs w:val="14"/>
                <w:lang w:val="lv-LV"/>
              </w:rPr>
            </w:pPr>
            <w:r w:rsidRPr="00E04386">
              <w:rPr>
                <w:sz w:val="14"/>
                <w:szCs w:val="14"/>
                <w:lang w:val="lv-LV"/>
              </w:rPr>
              <w:t>800 000</w:t>
            </w:r>
          </w:p>
        </w:tc>
        <w:tc>
          <w:tcPr>
            <w:tcW w:w="708" w:type="dxa"/>
            <w:vMerge w:val="restart"/>
            <w:shd w:val="clear" w:color="auto" w:fill="D9E2F3" w:themeFill="accent5" w:themeFillTint="33"/>
            <w:vAlign w:val="center"/>
          </w:tcPr>
          <w:p w14:paraId="1D5B3A9E" w14:textId="65488CA1" w:rsidR="000003CF" w:rsidRPr="00E04386" w:rsidRDefault="000003CF" w:rsidP="000003CF">
            <w:pPr>
              <w:spacing w:after="0"/>
              <w:jc w:val="center"/>
              <w:rPr>
                <w:sz w:val="14"/>
                <w:szCs w:val="14"/>
                <w:lang w:val="lv-LV"/>
              </w:rPr>
            </w:pPr>
            <w:r w:rsidRPr="00E04386">
              <w:rPr>
                <w:sz w:val="14"/>
                <w:szCs w:val="14"/>
                <w:lang w:val="lv-LV"/>
              </w:rPr>
              <w:t>120 000</w:t>
            </w:r>
          </w:p>
        </w:tc>
        <w:tc>
          <w:tcPr>
            <w:tcW w:w="993" w:type="dxa"/>
            <w:vMerge w:val="restart"/>
            <w:shd w:val="clear" w:color="auto" w:fill="D9E2F3" w:themeFill="accent5" w:themeFillTint="33"/>
            <w:vAlign w:val="center"/>
          </w:tcPr>
          <w:p w14:paraId="4FE479EB" w14:textId="4A33008B" w:rsidR="000003CF" w:rsidRPr="00E04386" w:rsidRDefault="000003CF" w:rsidP="000003CF">
            <w:pPr>
              <w:spacing w:after="0"/>
              <w:jc w:val="center"/>
              <w:rPr>
                <w:sz w:val="14"/>
                <w:szCs w:val="14"/>
                <w:lang w:val="lv-LV"/>
              </w:rPr>
            </w:pPr>
            <w:r w:rsidRPr="00E04386">
              <w:rPr>
                <w:sz w:val="14"/>
                <w:szCs w:val="14"/>
                <w:lang w:val="lv-LV"/>
              </w:rPr>
              <w:t>60 000</w:t>
            </w:r>
          </w:p>
        </w:tc>
        <w:tc>
          <w:tcPr>
            <w:tcW w:w="708" w:type="dxa"/>
            <w:vMerge w:val="restart"/>
            <w:shd w:val="clear" w:color="auto" w:fill="D9E2F3" w:themeFill="accent5" w:themeFillTint="33"/>
            <w:vAlign w:val="center"/>
          </w:tcPr>
          <w:p w14:paraId="0B260C65" w14:textId="7A369828" w:rsidR="000003CF" w:rsidRPr="00E04386" w:rsidRDefault="000003CF" w:rsidP="000003CF">
            <w:pPr>
              <w:spacing w:after="0"/>
              <w:jc w:val="center"/>
              <w:rPr>
                <w:sz w:val="14"/>
                <w:szCs w:val="14"/>
                <w:lang w:val="lv-LV"/>
              </w:rPr>
            </w:pPr>
            <w:r w:rsidRPr="00E04386">
              <w:rPr>
                <w:sz w:val="14"/>
                <w:szCs w:val="14"/>
                <w:lang w:val="lv-LV"/>
              </w:rPr>
              <w:t>-</w:t>
            </w:r>
          </w:p>
        </w:tc>
        <w:tc>
          <w:tcPr>
            <w:tcW w:w="993" w:type="dxa"/>
            <w:vMerge w:val="restart"/>
            <w:shd w:val="clear" w:color="auto" w:fill="D9E2F3" w:themeFill="accent5" w:themeFillTint="33"/>
            <w:vAlign w:val="center"/>
          </w:tcPr>
          <w:p w14:paraId="4DB63C95" w14:textId="637B96C1" w:rsidR="000003CF" w:rsidRPr="00E04386" w:rsidRDefault="000003CF" w:rsidP="000003CF">
            <w:pPr>
              <w:spacing w:after="0"/>
              <w:jc w:val="center"/>
              <w:rPr>
                <w:sz w:val="14"/>
                <w:szCs w:val="14"/>
                <w:lang w:val="lv-LV"/>
              </w:rPr>
            </w:pPr>
            <w:r w:rsidRPr="00E04386">
              <w:rPr>
                <w:sz w:val="14"/>
                <w:szCs w:val="14"/>
                <w:lang w:val="lv-LV"/>
              </w:rPr>
              <w:t>20 000 – 25 000</w:t>
            </w:r>
          </w:p>
        </w:tc>
      </w:tr>
      <w:tr w:rsidR="000003CF" w:rsidRPr="00E04386" w14:paraId="5FB07C8C" w14:textId="77777777" w:rsidTr="00AF00DB">
        <w:trPr>
          <w:jc w:val="center"/>
        </w:trPr>
        <w:tc>
          <w:tcPr>
            <w:tcW w:w="1985" w:type="dxa"/>
            <w:shd w:val="clear" w:color="auto" w:fill="D9E2F3" w:themeFill="accent5" w:themeFillTint="33"/>
          </w:tcPr>
          <w:p w14:paraId="023C2E71" w14:textId="40E98390" w:rsidR="000003CF" w:rsidRPr="00016D17" w:rsidRDefault="000003CF" w:rsidP="000003CF">
            <w:pPr>
              <w:spacing w:after="0"/>
              <w:rPr>
                <w:sz w:val="16"/>
                <w:szCs w:val="14"/>
                <w:lang w:val="lv-LV"/>
              </w:rPr>
            </w:pPr>
            <w:r w:rsidRPr="00016D17">
              <w:rPr>
                <w:sz w:val="16"/>
                <w:szCs w:val="14"/>
                <w:lang w:val="lv-LV"/>
              </w:rPr>
              <w:t>Radikāla vertebrektomija onkoloģiskiem pacientiem ar primāriem mugurkaula audzējiem vai solitārām metastāzēm (TOS)</w:t>
            </w:r>
          </w:p>
        </w:tc>
        <w:tc>
          <w:tcPr>
            <w:tcW w:w="992" w:type="dxa"/>
            <w:vMerge/>
          </w:tcPr>
          <w:p w14:paraId="59CE5AA0" w14:textId="77777777" w:rsidR="000003CF" w:rsidRPr="00E04386" w:rsidRDefault="000003CF" w:rsidP="000003CF">
            <w:pPr>
              <w:spacing w:after="0"/>
              <w:rPr>
                <w:sz w:val="14"/>
                <w:szCs w:val="14"/>
                <w:lang w:val="lv-LV"/>
              </w:rPr>
            </w:pPr>
          </w:p>
        </w:tc>
        <w:tc>
          <w:tcPr>
            <w:tcW w:w="993" w:type="dxa"/>
            <w:vMerge/>
          </w:tcPr>
          <w:p w14:paraId="5C778118" w14:textId="77777777" w:rsidR="000003CF" w:rsidRPr="00E04386" w:rsidRDefault="000003CF" w:rsidP="000003CF">
            <w:pPr>
              <w:spacing w:after="0"/>
              <w:rPr>
                <w:sz w:val="14"/>
                <w:szCs w:val="14"/>
                <w:lang w:val="lv-LV"/>
              </w:rPr>
            </w:pPr>
          </w:p>
        </w:tc>
        <w:tc>
          <w:tcPr>
            <w:tcW w:w="850" w:type="dxa"/>
            <w:shd w:val="clear" w:color="auto" w:fill="D9E2F3" w:themeFill="accent5" w:themeFillTint="33"/>
            <w:vAlign w:val="center"/>
          </w:tcPr>
          <w:p w14:paraId="6FA065CF" w14:textId="607AA267" w:rsidR="000003CF" w:rsidRPr="00E04386" w:rsidRDefault="000003CF" w:rsidP="000003CF">
            <w:pPr>
              <w:spacing w:after="0"/>
              <w:jc w:val="center"/>
              <w:rPr>
                <w:sz w:val="14"/>
                <w:szCs w:val="14"/>
                <w:lang w:val="lv-LV"/>
              </w:rPr>
            </w:pPr>
            <w:r w:rsidRPr="00E04386">
              <w:rPr>
                <w:sz w:val="14"/>
                <w:szCs w:val="14"/>
                <w:lang w:val="lv-LV"/>
              </w:rPr>
              <w:t>750 000</w:t>
            </w:r>
          </w:p>
        </w:tc>
        <w:tc>
          <w:tcPr>
            <w:tcW w:w="851" w:type="dxa"/>
            <w:vMerge/>
            <w:vAlign w:val="center"/>
          </w:tcPr>
          <w:p w14:paraId="776EAC35" w14:textId="77777777" w:rsidR="000003CF" w:rsidRPr="00E04386" w:rsidRDefault="000003CF" w:rsidP="000003CF">
            <w:pPr>
              <w:spacing w:after="0"/>
              <w:jc w:val="center"/>
              <w:rPr>
                <w:sz w:val="14"/>
                <w:szCs w:val="14"/>
                <w:lang w:val="lv-LV"/>
              </w:rPr>
            </w:pPr>
          </w:p>
        </w:tc>
        <w:tc>
          <w:tcPr>
            <w:tcW w:w="708" w:type="dxa"/>
            <w:vMerge/>
            <w:vAlign w:val="center"/>
          </w:tcPr>
          <w:p w14:paraId="6BD170C0" w14:textId="77777777" w:rsidR="000003CF" w:rsidRPr="00E04386" w:rsidRDefault="000003CF" w:rsidP="000003CF">
            <w:pPr>
              <w:spacing w:after="0"/>
              <w:jc w:val="center"/>
              <w:rPr>
                <w:sz w:val="14"/>
                <w:szCs w:val="14"/>
                <w:lang w:val="lv-LV"/>
              </w:rPr>
            </w:pPr>
          </w:p>
        </w:tc>
        <w:tc>
          <w:tcPr>
            <w:tcW w:w="993" w:type="dxa"/>
            <w:vMerge/>
            <w:vAlign w:val="center"/>
          </w:tcPr>
          <w:p w14:paraId="5CDF6D8F" w14:textId="77777777" w:rsidR="000003CF" w:rsidRPr="00E04386" w:rsidRDefault="000003CF" w:rsidP="000003CF">
            <w:pPr>
              <w:spacing w:after="0"/>
              <w:jc w:val="center"/>
              <w:rPr>
                <w:sz w:val="14"/>
                <w:szCs w:val="14"/>
                <w:lang w:val="lv-LV"/>
              </w:rPr>
            </w:pPr>
          </w:p>
        </w:tc>
        <w:tc>
          <w:tcPr>
            <w:tcW w:w="708" w:type="dxa"/>
            <w:vMerge/>
            <w:vAlign w:val="center"/>
          </w:tcPr>
          <w:p w14:paraId="027AF1E0" w14:textId="77777777" w:rsidR="000003CF" w:rsidRPr="00E04386" w:rsidRDefault="000003CF" w:rsidP="000003CF">
            <w:pPr>
              <w:spacing w:after="0"/>
              <w:jc w:val="center"/>
              <w:rPr>
                <w:sz w:val="14"/>
                <w:szCs w:val="14"/>
                <w:lang w:val="lv-LV"/>
              </w:rPr>
            </w:pPr>
          </w:p>
        </w:tc>
        <w:tc>
          <w:tcPr>
            <w:tcW w:w="993" w:type="dxa"/>
            <w:vMerge/>
            <w:vAlign w:val="center"/>
          </w:tcPr>
          <w:p w14:paraId="419DD992" w14:textId="77777777" w:rsidR="000003CF" w:rsidRPr="00E04386" w:rsidRDefault="000003CF" w:rsidP="000003CF">
            <w:pPr>
              <w:spacing w:after="0"/>
              <w:jc w:val="center"/>
              <w:rPr>
                <w:sz w:val="14"/>
                <w:szCs w:val="14"/>
                <w:lang w:val="lv-LV"/>
              </w:rPr>
            </w:pPr>
          </w:p>
        </w:tc>
      </w:tr>
      <w:tr w:rsidR="000003CF" w:rsidRPr="00E04386" w14:paraId="7CE6B008" w14:textId="77777777" w:rsidTr="00AF00DB">
        <w:trPr>
          <w:jc w:val="center"/>
        </w:trPr>
        <w:tc>
          <w:tcPr>
            <w:tcW w:w="1985" w:type="dxa"/>
            <w:shd w:val="clear" w:color="auto" w:fill="D9E2F3" w:themeFill="accent5" w:themeFillTint="33"/>
          </w:tcPr>
          <w:p w14:paraId="6C6F04C4" w14:textId="41EE28C2" w:rsidR="000003CF" w:rsidRPr="00016D17" w:rsidRDefault="000003CF" w:rsidP="000003CF">
            <w:pPr>
              <w:spacing w:after="0"/>
              <w:rPr>
                <w:sz w:val="16"/>
                <w:szCs w:val="14"/>
                <w:lang w:val="lv-LV"/>
              </w:rPr>
            </w:pPr>
            <w:r w:rsidRPr="00016D17">
              <w:rPr>
                <w:sz w:val="16"/>
                <w:szCs w:val="14"/>
                <w:lang w:val="lv-LV"/>
              </w:rPr>
              <w:t>Tēmēta un precīza kaulu biopsijaspaņemšana CT (o-arm) kontrolē (TOS)</w:t>
            </w:r>
          </w:p>
        </w:tc>
        <w:tc>
          <w:tcPr>
            <w:tcW w:w="992" w:type="dxa"/>
            <w:vMerge/>
          </w:tcPr>
          <w:p w14:paraId="7A16BAE7" w14:textId="77777777" w:rsidR="000003CF" w:rsidRPr="00E04386" w:rsidRDefault="000003CF" w:rsidP="000003CF">
            <w:pPr>
              <w:spacing w:after="0"/>
              <w:rPr>
                <w:sz w:val="14"/>
                <w:szCs w:val="14"/>
                <w:lang w:val="lv-LV"/>
              </w:rPr>
            </w:pPr>
          </w:p>
        </w:tc>
        <w:tc>
          <w:tcPr>
            <w:tcW w:w="993" w:type="dxa"/>
            <w:vMerge/>
          </w:tcPr>
          <w:p w14:paraId="550D18BE" w14:textId="77777777" w:rsidR="000003CF" w:rsidRPr="00E04386" w:rsidRDefault="000003CF" w:rsidP="000003CF">
            <w:pPr>
              <w:spacing w:after="0"/>
              <w:rPr>
                <w:sz w:val="14"/>
                <w:szCs w:val="14"/>
                <w:lang w:val="lv-LV"/>
              </w:rPr>
            </w:pPr>
          </w:p>
        </w:tc>
        <w:tc>
          <w:tcPr>
            <w:tcW w:w="850" w:type="dxa"/>
            <w:shd w:val="clear" w:color="auto" w:fill="D9E2F3" w:themeFill="accent5" w:themeFillTint="33"/>
            <w:vAlign w:val="center"/>
          </w:tcPr>
          <w:p w14:paraId="727B0F5B" w14:textId="003209ED" w:rsidR="000003CF" w:rsidRPr="00E04386" w:rsidRDefault="000003CF" w:rsidP="000003CF">
            <w:pPr>
              <w:spacing w:after="0"/>
              <w:jc w:val="center"/>
              <w:rPr>
                <w:sz w:val="14"/>
                <w:szCs w:val="14"/>
                <w:lang w:val="lv-LV"/>
              </w:rPr>
            </w:pPr>
            <w:r w:rsidRPr="00E04386">
              <w:rPr>
                <w:sz w:val="14"/>
                <w:szCs w:val="14"/>
                <w:lang w:val="lv-LV"/>
              </w:rPr>
              <w:t>80 000</w:t>
            </w:r>
          </w:p>
        </w:tc>
        <w:tc>
          <w:tcPr>
            <w:tcW w:w="851" w:type="dxa"/>
            <w:vMerge/>
            <w:vAlign w:val="center"/>
          </w:tcPr>
          <w:p w14:paraId="76090A32" w14:textId="77777777" w:rsidR="000003CF" w:rsidRPr="00E04386" w:rsidRDefault="000003CF" w:rsidP="000003CF">
            <w:pPr>
              <w:spacing w:after="0"/>
              <w:jc w:val="center"/>
              <w:rPr>
                <w:sz w:val="14"/>
                <w:szCs w:val="14"/>
                <w:lang w:val="lv-LV"/>
              </w:rPr>
            </w:pPr>
          </w:p>
        </w:tc>
        <w:tc>
          <w:tcPr>
            <w:tcW w:w="708" w:type="dxa"/>
            <w:vMerge/>
            <w:vAlign w:val="center"/>
          </w:tcPr>
          <w:p w14:paraId="53D90EFB" w14:textId="77777777" w:rsidR="000003CF" w:rsidRPr="00E04386" w:rsidRDefault="000003CF" w:rsidP="000003CF">
            <w:pPr>
              <w:spacing w:after="0"/>
              <w:jc w:val="center"/>
              <w:rPr>
                <w:sz w:val="14"/>
                <w:szCs w:val="14"/>
                <w:lang w:val="lv-LV"/>
              </w:rPr>
            </w:pPr>
          </w:p>
        </w:tc>
        <w:tc>
          <w:tcPr>
            <w:tcW w:w="993" w:type="dxa"/>
            <w:vMerge/>
            <w:vAlign w:val="center"/>
          </w:tcPr>
          <w:p w14:paraId="4920A5E6" w14:textId="77777777" w:rsidR="000003CF" w:rsidRPr="00E04386" w:rsidRDefault="000003CF" w:rsidP="000003CF">
            <w:pPr>
              <w:spacing w:after="0"/>
              <w:jc w:val="center"/>
              <w:rPr>
                <w:sz w:val="14"/>
                <w:szCs w:val="14"/>
                <w:lang w:val="lv-LV"/>
              </w:rPr>
            </w:pPr>
          </w:p>
        </w:tc>
        <w:tc>
          <w:tcPr>
            <w:tcW w:w="708" w:type="dxa"/>
            <w:vMerge/>
            <w:vAlign w:val="center"/>
          </w:tcPr>
          <w:p w14:paraId="048945EB" w14:textId="77777777" w:rsidR="000003CF" w:rsidRPr="00E04386" w:rsidRDefault="000003CF" w:rsidP="000003CF">
            <w:pPr>
              <w:spacing w:after="0"/>
              <w:jc w:val="center"/>
              <w:rPr>
                <w:sz w:val="14"/>
                <w:szCs w:val="14"/>
                <w:lang w:val="lv-LV"/>
              </w:rPr>
            </w:pPr>
          </w:p>
        </w:tc>
        <w:tc>
          <w:tcPr>
            <w:tcW w:w="993" w:type="dxa"/>
            <w:vMerge/>
            <w:vAlign w:val="center"/>
          </w:tcPr>
          <w:p w14:paraId="214C084A" w14:textId="77777777" w:rsidR="000003CF" w:rsidRPr="00E04386" w:rsidRDefault="000003CF" w:rsidP="000003CF">
            <w:pPr>
              <w:spacing w:after="0"/>
              <w:jc w:val="center"/>
              <w:rPr>
                <w:sz w:val="14"/>
                <w:szCs w:val="14"/>
                <w:lang w:val="lv-LV"/>
              </w:rPr>
            </w:pPr>
          </w:p>
        </w:tc>
      </w:tr>
      <w:tr w:rsidR="000003CF" w:rsidRPr="00E04386" w14:paraId="5EBB2815" w14:textId="77777777" w:rsidTr="00AF00DB">
        <w:trPr>
          <w:jc w:val="center"/>
        </w:trPr>
        <w:tc>
          <w:tcPr>
            <w:tcW w:w="1985" w:type="dxa"/>
            <w:shd w:val="clear" w:color="auto" w:fill="D9E2F3" w:themeFill="accent5" w:themeFillTint="33"/>
          </w:tcPr>
          <w:p w14:paraId="38FC291B" w14:textId="48655F35" w:rsidR="000003CF" w:rsidRPr="00016D17" w:rsidRDefault="000003CF" w:rsidP="000003CF">
            <w:pPr>
              <w:spacing w:after="0"/>
              <w:rPr>
                <w:sz w:val="16"/>
                <w:szCs w:val="14"/>
                <w:lang w:val="lv-LV"/>
              </w:rPr>
            </w:pPr>
            <w:r w:rsidRPr="00016D17">
              <w:rPr>
                <w:sz w:val="16"/>
                <w:szCs w:val="14"/>
                <w:lang w:val="lv-LV"/>
              </w:rPr>
              <w:t>Hronisku muguras sāpju pacienti, kuriem nepieciešama intratekālo sūkņu vai muguras smadzeņu stimulatoru implantācija (TOS)</w:t>
            </w:r>
          </w:p>
        </w:tc>
        <w:tc>
          <w:tcPr>
            <w:tcW w:w="992" w:type="dxa"/>
            <w:vMerge/>
          </w:tcPr>
          <w:p w14:paraId="3CC1B093" w14:textId="77777777" w:rsidR="000003CF" w:rsidRPr="00E04386" w:rsidRDefault="000003CF" w:rsidP="000003CF">
            <w:pPr>
              <w:spacing w:after="0"/>
              <w:rPr>
                <w:sz w:val="14"/>
                <w:szCs w:val="14"/>
                <w:lang w:val="lv-LV"/>
              </w:rPr>
            </w:pPr>
          </w:p>
        </w:tc>
        <w:tc>
          <w:tcPr>
            <w:tcW w:w="993" w:type="dxa"/>
            <w:vMerge/>
          </w:tcPr>
          <w:p w14:paraId="6D9FC0FB" w14:textId="77777777" w:rsidR="000003CF" w:rsidRPr="00E04386" w:rsidRDefault="000003CF" w:rsidP="000003CF">
            <w:pPr>
              <w:spacing w:after="0"/>
              <w:rPr>
                <w:sz w:val="14"/>
                <w:szCs w:val="14"/>
                <w:lang w:val="lv-LV"/>
              </w:rPr>
            </w:pPr>
          </w:p>
        </w:tc>
        <w:tc>
          <w:tcPr>
            <w:tcW w:w="850" w:type="dxa"/>
            <w:shd w:val="clear" w:color="auto" w:fill="D9E2F3" w:themeFill="accent5" w:themeFillTint="33"/>
            <w:vAlign w:val="center"/>
          </w:tcPr>
          <w:p w14:paraId="24BB4543" w14:textId="45AF0233" w:rsidR="000003CF" w:rsidRPr="00E04386" w:rsidRDefault="000003CF" w:rsidP="000003CF">
            <w:pPr>
              <w:spacing w:after="0"/>
              <w:jc w:val="center"/>
              <w:rPr>
                <w:sz w:val="14"/>
                <w:szCs w:val="14"/>
                <w:lang w:val="lv-LV"/>
              </w:rPr>
            </w:pPr>
            <w:r w:rsidRPr="00E04386">
              <w:rPr>
                <w:sz w:val="14"/>
                <w:szCs w:val="14"/>
                <w:lang w:val="lv-LV"/>
              </w:rPr>
              <w:t>160 000</w:t>
            </w:r>
          </w:p>
        </w:tc>
        <w:tc>
          <w:tcPr>
            <w:tcW w:w="851" w:type="dxa"/>
            <w:vMerge/>
            <w:vAlign w:val="center"/>
          </w:tcPr>
          <w:p w14:paraId="3F5CDA5B" w14:textId="77777777" w:rsidR="000003CF" w:rsidRPr="00E04386" w:rsidRDefault="000003CF" w:rsidP="000003CF">
            <w:pPr>
              <w:spacing w:after="0"/>
              <w:jc w:val="center"/>
              <w:rPr>
                <w:sz w:val="14"/>
                <w:szCs w:val="14"/>
                <w:lang w:val="lv-LV"/>
              </w:rPr>
            </w:pPr>
          </w:p>
        </w:tc>
        <w:tc>
          <w:tcPr>
            <w:tcW w:w="708" w:type="dxa"/>
            <w:vMerge/>
            <w:vAlign w:val="center"/>
          </w:tcPr>
          <w:p w14:paraId="6831A5AE" w14:textId="77777777" w:rsidR="000003CF" w:rsidRPr="00E04386" w:rsidRDefault="000003CF" w:rsidP="000003CF">
            <w:pPr>
              <w:spacing w:after="0"/>
              <w:jc w:val="center"/>
              <w:rPr>
                <w:sz w:val="14"/>
                <w:szCs w:val="14"/>
                <w:lang w:val="lv-LV"/>
              </w:rPr>
            </w:pPr>
          </w:p>
        </w:tc>
        <w:tc>
          <w:tcPr>
            <w:tcW w:w="993" w:type="dxa"/>
            <w:vMerge/>
            <w:vAlign w:val="center"/>
          </w:tcPr>
          <w:p w14:paraId="53ADEF22" w14:textId="77777777" w:rsidR="000003CF" w:rsidRPr="00E04386" w:rsidRDefault="000003CF" w:rsidP="000003CF">
            <w:pPr>
              <w:spacing w:after="0"/>
              <w:jc w:val="center"/>
              <w:rPr>
                <w:sz w:val="14"/>
                <w:szCs w:val="14"/>
                <w:lang w:val="lv-LV"/>
              </w:rPr>
            </w:pPr>
          </w:p>
        </w:tc>
        <w:tc>
          <w:tcPr>
            <w:tcW w:w="708" w:type="dxa"/>
            <w:vMerge/>
            <w:vAlign w:val="center"/>
          </w:tcPr>
          <w:p w14:paraId="52BBCCE8" w14:textId="77777777" w:rsidR="000003CF" w:rsidRPr="00E04386" w:rsidRDefault="000003CF" w:rsidP="000003CF">
            <w:pPr>
              <w:spacing w:after="0"/>
              <w:jc w:val="center"/>
              <w:rPr>
                <w:sz w:val="14"/>
                <w:szCs w:val="14"/>
                <w:lang w:val="lv-LV"/>
              </w:rPr>
            </w:pPr>
          </w:p>
        </w:tc>
        <w:tc>
          <w:tcPr>
            <w:tcW w:w="993" w:type="dxa"/>
            <w:vMerge/>
            <w:vAlign w:val="center"/>
          </w:tcPr>
          <w:p w14:paraId="09B0CD28" w14:textId="77777777" w:rsidR="000003CF" w:rsidRPr="00E04386" w:rsidRDefault="000003CF" w:rsidP="000003CF">
            <w:pPr>
              <w:spacing w:after="0"/>
              <w:jc w:val="center"/>
              <w:rPr>
                <w:sz w:val="14"/>
                <w:szCs w:val="14"/>
                <w:lang w:val="lv-LV"/>
              </w:rPr>
            </w:pPr>
          </w:p>
        </w:tc>
      </w:tr>
    </w:tbl>
    <w:p w14:paraId="69EDB410" w14:textId="15B429E9" w:rsidR="00C83418" w:rsidRPr="00E04386" w:rsidRDefault="00C83418" w:rsidP="00AF00DB">
      <w:pPr>
        <w:spacing w:before="120"/>
        <w:ind w:firstLine="709"/>
        <w:rPr>
          <w:lang w:val="lv-LV"/>
        </w:rPr>
      </w:pPr>
      <w:r w:rsidRPr="00E04386">
        <w:rPr>
          <w:rFonts w:cs="Times New Roman"/>
          <w:b/>
          <w:bCs/>
          <w:szCs w:val="24"/>
          <w:lang w:val="lv-LV"/>
        </w:rPr>
        <w:t>Beta aplikatoru brahioterapija</w:t>
      </w:r>
      <w:r w:rsidRPr="00E04386">
        <w:rPr>
          <w:rFonts w:cs="Times New Roman"/>
          <w:szCs w:val="24"/>
          <w:lang w:val="lv-LV"/>
        </w:rPr>
        <w:t xml:space="preserve"> tiek pielietota dzīslenes melanomu ārstēšanai. Latvijas iedzīvotājiem šo pakalpojumu ir iespējams saņemt Igaunijā. Gadā šāda terapija nepieciešama apmēram 40-60 pacientiem. Pakalpojumu iespējamā cena Latvijā vienam pacientam aptuveni būtu </w:t>
      </w:r>
      <w:r w:rsidR="00CC3B42" w:rsidRPr="00E04386">
        <w:rPr>
          <w:rFonts w:cs="Times New Roman"/>
          <w:szCs w:val="24"/>
          <w:lang w:val="lv-LV"/>
        </w:rPr>
        <w:t xml:space="preserve">1 900 </w:t>
      </w:r>
      <w:r w:rsidR="00CC3B42" w:rsidRPr="00E04386">
        <w:rPr>
          <w:rFonts w:cs="Times New Roman"/>
          <w:i/>
          <w:szCs w:val="24"/>
          <w:lang w:val="lv-LV"/>
        </w:rPr>
        <w:t>euro</w:t>
      </w:r>
      <w:r w:rsidRPr="00E04386">
        <w:rPr>
          <w:rFonts w:cs="Times New Roman"/>
          <w:szCs w:val="24"/>
          <w:lang w:val="lv-LV"/>
        </w:rPr>
        <w:t xml:space="preserve">. </w:t>
      </w:r>
    </w:p>
    <w:p w14:paraId="5F21CC43" w14:textId="77777777" w:rsidR="00C83418" w:rsidRPr="00E04386" w:rsidRDefault="00C83418" w:rsidP="00AF00DB">
      <w:pPr>
        <w:shd w:val="clear" w:color="auto" w:fill="FFFFFF"/>
        <w:ind w:firstLine="709"/>
        <w:rPr>
          <w:rFonts w:eastAsia="Times New Roman" w:cs="Times New Roman"/>
          <w:szCs w:val="24"/>
          <w:lang w:val="lv-LV" w:eastAsia="lv-LV"/>
        </w:rPr>
      </w:pPr>
      <w:r w:rsidRPr="00E04386">
        <w:rPr>
          <w:rFonts w:eastAsia="Times New Roman" w:cs="Times New Roman"/>
          <w:szCs w:val="24"/>
          <w:lang w:val="lv-LV" w:eastAsia="lv-LV"/>
        </w:rPr>
        <w:t xml:space="preserve">Epilepsija ir viena no biežākajām hroniskajām neiroloģiskajām slimībām gan bērniem, gan pieaugušajiem, kas ne tikai būtiski ietekmē pacientu darba spējas un dzīves kvalitāti, bet arī būtiski ietekmē veselības aprūpes sistēmu. Aptuveni 70% epilepsijas pacientu, krampju </w:t>
      </w:r>
      <w:r w:rsidRPr="00E04386">
        <w:rPr>
          <w:rFonts w:eastAsia="Times New Roman" w:cs="Times New Roman"/>
          <w:szCs w:val="24"/>
          <w:lang w:val="lv-LV" w:eastAsia="lv-LV"/>
        </w:rPr>
        <w:lastRenderedPageBreak/>
        <w:t>lēkmes tiek kontrolētas, pareizi lietojot medikamentus</w:t>
      </w:r>
      <w:r w:rsidRPr="00E04386">
        <w:rPr>
          <w:rStyle w:val="FootnoteReference"/>
          <w:rFonts w:eastAsia="Times New Roman" w:cs="Times New Roman"/>
          <w:szCs w:val="24"/>
          <w:lang w:val="lv-LV" w:eastAsia="lv-LV"/>
        </w:rPr>
        <w:footnoteReference w:id="34"/>
      </w:r>
      <w:r w:rsidRPr="00E04386">
        <w:rPr>
          <w:rFonts w:eastAsia="Times New Roman" w:cs="Times New Roman"/>
          <w:szCs w:val="24"/>
          <w:lang w:val="lv-LV" w:eastAsia="lv-LV"/>
        </w:rPr>
        <w:t>, tomēr trešdaļai pacientu lēkmes ir medikamentu rezistentas un saglabājas, pat ja tiek saņemta augsta vairāku medikamentu deva</w:t>
      </w:r>
      <w:r w:rsidRPr="00E04386">
        <w:rPr>
          <w:rStyle w:val="FootnoteReference"/>
          <w:rFonts w:cs="Times New Roman"/>
          <w:szCs w:val="24"/>
          <w:shd w:val="clear" w:color="auto" w:fill="FFFFFF"/>
          <w:lang w:val="lv-LV"/>
        </w:rPr>
        <w:footnoteReference w:id="35"/>
      </w:r>
      <w:r w:rsidRPr="00E04386">
        <w:rPr>
          <w:rFonts w:eastAsia="Times New Roman" w:cs="Times New Roman"/>
          <w:szCs w:val="24"/>
          <w:lang w:val="lv-LV" w:eastAsia="lv-LV"/>
        </w:rPr>
        <w:t>.</w:t>
      </w:r>
    </w:p>
    <w:p w14:paraId="2EA6093F" w14:textId="4A24CD46" w:rsidR="00C83418" w:rsidRPr="00E04386" w:rsidRDefault="00C83418" w:rsidP="00CC3B42">
      <w:pPr>
        <w:ind w:firstLine="709"/>
        <w:rPr>
          <w:rFonts w:cs="Times New Roman"/>
          <w:szCs w:val="24"/>
          <w:lang w:val="lv-LV"/>
        </w:rPr>
      </w:pPr>
      <w:r w:rsidRPr="00E04386">
        <w:rPr>
          <w:rFonts w:cs="Times New Roman"/>
          <w:b/>
          <w:bCs/>
          <w:szCs w:val="24"/>
          <w:lang w:val="lv-LV"/>
        </w:rPr>
        <w:t>Klejotājnerva stimulācijas terapija jeb VNS terapija</w:t>
      </w:r>
      <w:r w:rsidRPr="00E04386">
        <w:rPr>
          <w:rFonts w:cs="Times New Roman"/>
          <w:szCs w:val="24"/>
          <w:lang w:val="lv-LV"/>
        </w:rPr>
        <w:t xml:space="preserve"> tiek pielietota epilepsijas ārstēšanā.</w:t>
      </w:r>
      <w:r w:rsidRPr="00E04386">
        <w:rPr>
          <w:rFonts w:cs="Times New Roman"/>
          <w:szCs w:val="24"/>
          <w:shd w:val="clear" w:color="auto" w:fill="FFFFFF"/>
          <w:lang w:val="lv-LV"/>
        </w:rPr>
        <w:t xml:space="preserve"> Klejotājnerva stimulācijas terapija ir efektīva ārstēšana daudziem krampju veidiem un medikamentu rezistentas epilepsijas ārstēšanā. Pacientam krūškurvja priekšējā sienā aiz krūšu muskuļa implantē stimulatoru, kas ar elektrodu tiek savienots ar klejotājnervu un rada galvas smadzeņu elektrisku stimulāciju. Šāda terapija izjauc patoloģisko elektrisko neironu tīklu sinhronizāciju un pakāpeniski samazina epilepsijas lēkmju smagumu un intensitāti, kā arī uzlabo pacienta veselības stāvokli un dzīves kvalitāti.</w:t>
      </w:r>
      <w:r w:rsidRPr="00E04386">
        <w:rPr>
          <w:rStyle w:val="FootnoteReference"/>
          <w:rFonts w:cs="Times New Roman"/>
          <w:szCs w:val="24"/>
          <w:shd w:val="clear" w:color="auto" w:fill="FFFFFF"/>
          <w:lang w:val="lv-LV"/>
        </w:rPr>
        <w:footnoteReference w:id="36"/>
      </w:r>
      <w:r w:rsidRPr="00E04386">
        <w:rPr>
          <w:rFonts w:cs="Times New Roman"/>
          <w:szCs w:val="24"/>
          <w:shd w:val="clear" w:color="auto" w:fill="FFFFFF"/>
          <w:lang w:val="lv-LV"/>
        </w:rPr>
        <w:t xml:space="preserve"> VNS terapija ir atzīta epilepsijas ārstēšanas metode, bet Latvijā tā netiek apmaksāta no veselības aprūpes budžeta. </w:t>
      </w:r>
      <w:r w:rsidR="00CC3B42" w:rsidRPr="00E04386">
        <w:rPr>
          <w:rFonts w:cs="Times New Roman"/>
          <w:szCs w:val="24"/>
          <w:shd w:val="clear" w:color="auto" w:fill="FFFFFF"/>
          <w:lang w:val="lv-LV"/>
        </w:rPr>
        <w:t>Šobrīd VNS terapija VSIA “</w:t>
      </w:r>
      <w:r w:rsidRPr="00E04386">
        <w:rPr>
          <w:rFonts w:cs="Times New Roman"/>
          <w:szCs w:val="24"/>
          <w:shd w:val="clear" w:color="auto" w:fill="FFFFFF"/>
          <w:lang w:val="lv-LV"/>
        </w:rPr>
        <w:t>Bērnu klīniskā universitātes slimnīca</w:t>
      </w:r>
      <w:r w:rsidR="00CC3B42" w:rsidRPr="00E04386">
        <w:rPr>
          <w:rFonts w:cs="Times New Roman"/>
          <w:szCs w:val="24"/>
          <w:shd w:val="clear" w:color="auto" w:fill="FFFFFF"/>
          <w:lang w:val="lv-LV"/>
        </w:rPr>
        <w:t>”</w:t>
      </w:r>
      <w:r w:rsidRPr="00E04386">
        <w:rPr>
          <w:rFonts w:cs="Times New Roman"/>
          <w:szCs w:val="24"/>
          <w:shd w:val="clear" w:color="auto" w:fill="FFFFFF"/>
          <w:lang w:val="lv-LV"/>
        </w:rPr>
        <w:t xml:space="preserve"> tiek nodrošināta par maksu vai Bērnu slimnīcas fonda līdzekļiem.</w:t>
      </w:r>
      <w:r w:rsidRPr="00E04386">
        <w:rPr>
          <w:rFonts w:cs="Times New Roman"/>
          <w:szCs w:val="24"/>
          <w:lang w:val="lv-LV"/>
        </w:rPr>
        <w:t xml:space="preserve"> </w:t>
      </w:r>
      <w:r w:rsidR="00514E7C" w:rsidRPr="00E04386">
        <w:rPr>
          <w:rFonts w:cs="Times New Roman"/>
          <w:szCs w:val="24"/>
          <w:lang w:val="lv-LV"/>
        </w:rPr>
        <w:t>NVD</w:t>
      </w:r>
      <w:r w:rsidRPr="00E04386">
        <w:rPr>
          <w:rFonts w:cs="Times New Roman"/>
          <w:szCs w:val="24"/>
          <w:lang w:val="lv-LV"/>
        </w:rPr>
        <w:t xml:space="preserve"> 2018.</w:t>
      </w:r>
      <w:r w:rsidR="00FF342C">
        <w:rPr>
          <w:rFonts w:cs="Times New Roman"/>
          <w:szCs w:val="24"/>
          <w:lang w:val="lv-LV"/>
        </w:rPr>
        <w:t xml:space="preserve"> </w:t>
      </w:r>
      <w:r w:rsidRPr="00E04386">
        <w:rPr>
          <w:rFonts w:cs="Times New Roman"/>
          <w:szCs w:val="24"/>
          <w:lang w:val="lv-LV"/>
        </w:rPr>
        <w:t>gadā aprēķināja pakalpojumu tarifu 25</w:t>
      </w:r>
      <w:r w:rsidR="00CC3B42" w:rsidRPr="00E04386">
        <w:rPr>
          <w:rFonts w:cs="Times New Roman"/>
          <w:szCs w:val="24"/>
          <w:lang w:val="lv-LV"/>
        </w:rPr>
        <w:t xml:space="preserve"> </w:t>
      </w:r>
      <w:r w:rsidRPr="00E04386">
        <w:rPr>
          <w:rFonts w:cs="Times New Roman"/>
          <w:szCs w:val="24"/>
          <w:lang w:val="lv-LV"/>
        </w:rPr>
        <w:t xml:space="preserve">181,62 </w:t>
      </w:r>
      <w:r w:rsidRPr="00E04386">
        <w:rPr>
          <w:rFonts w:cs="Times New Roman"/>
          <w:i/>
          <w:szCs w:val="24"/>
          <w:lang w:val="lv-LV"/>
        </w:rPr>
        <w:t>euro</w:t>
      </w:r>
      <w:r w:rsidRPr="00E04386">
        <w:rPr>
          <w:rFonts w:cs="Times New Roman"/>
          <w:szCs w:val="24"/>
          <w:lang w:val="lv-LV"/>
        </w:rPr>
        <w:t>. Plānotais pacientu skaits gadā ir 12. Kopējā summa gadā 302</w:t>
      </w:r>
      <w:r w:rsidR="00CC3B42" w:rsidRPr="00E04386">
        <w:rPr>
          <w:rFonts w:cs="Times New Roman"/>
          <w:szCs w:val="24"/>
          <w:lang w:val="lv-LV"/>
        </w:rPr>
        <w:t xml:space="preserve"> </w:t>
      </w:r>
      <w:r w:rsidRPr="00E04386">
        <w:rPr>
          <w:rFonts w:cs="Times New Roman"/>
          <w:szCs w:val="24"/>
          <w:lang w:val="lv-LV"/>
        </w:rPr>
        <w:t xml:space="preserve">179 </w:t>
      </w:r>
      <w:r w:rsidRPr="00E04386">
        <w:rPr>
          <w:rFonts w:cs="Times New Roman"/>
          <w:i/>
          <w:szCs w:val="24"/>
          <w:lang w:val="lv-LV"/>
        </w:rPr>
        <w:t>euro</w:t>
      </w:r>
      <w:r w:rsidRPr="00E04386">
        <w:rPr>
          <w:rFonts w:cs="Times New Roman"/>
          <w:szCs w:val="24"/>
          <w:lang w:val="lv-LV"/>
        </w:rPr>
        <w:t>, bet finansējums netika piešķirts.</w:t>
      </w:r>
    </w:p>
    <w:p w14:paraId="32BD86BC" w14:textId="65122771" w:rsidR="00C83418" w:rsidRPr="00E04386" w:rsidRDefault="00C83418" w:rsidP="00CC3B42">
      <w:pPr>
        <w:ind w:firstLine="709"/>
        <w:rPr>
          <w:rFonts w:cs="Times New Roman"/>
          <w:szCs w:val="24"/>
          <w:lang w:val="lv-LV"/>
        </w:rPr>
      </w:pPr>
      <w:r w:rsidRPr="00E04386">
        <w:rPr>
          <w:rFonts w:cs="Times New Roman"/>
          <w:b/>
          <w:bCs/>
          <w:szCs w:val="24"/>
          <w:lang w:val="lv-LV"/>
        </w:rPr>
        <w:t>Intraoperatīva (EKoG) elektrokortikogrāfija</w:t>
      </w:r>
      <w:r w:rsidR="00FF342C">
        <w:rPr>
          <w:rFonts w:cs="Times New Roman"/>
          <w:b/>
          <w:bCs/>
          <w:szCs w:val="24"/>
          <w:lang w:val="lv-LV"/>
        </w:rPr>
        <w:t xml:space="preserve"> </w:t>
      </w:r>
      <w:r w:rsidRPr="00E04386">
        <w:rPr>
          <w:rFonts w:cs="Times New Roman"/>
          <w:szCs w:val="24"/>
          <w:lang w:val="lv-LV"/>
        </w:rPr>
        <w:t xml:space="preserve">tiek pielietota epilepsijas ārstēšanā, lai uzlabotu epilepsijas ķirurģiskas ārstēšanas iznākumu. Šobrīd pakalpojums tiek nodrošināts par </w:t>
      </w:r>
      <w:r w:rsidRPr="00E04386">
        <w:rPr>
          <w:rFonts w:cs="Times New Roman"/>
          <w:szCs w:val="24"/>
          <w:shd w:val="clear" w:color="auto" w:fill="FFFFFF"/>
          <w:lang w:val="lv-LV"/>
        </w:rPr>
        <w:t>Bērnu slimnīcas fonda</w:t>
      </w:r>
      <w:r w:rsidRPr="00E04386">
        <w:rPr>
          <w:rFonts w:cs="Times New Roman"/>
          <w:szCs w:val="24"/>
          <w:lang w:val="lv-LV"/>
        </w:rPr>
        <w:t xml:space="preserve"> līdzekļiem. </w:t>
      </w:r>
      <w:r w:rsidR="00CC3B42" w:rsidRPr="00E04386">
        <w:rPr>
          <w:rFonts w:cs="Times New Roman"/>
          <w:szCs w:val="24"/>
          <w:shd w:val="clear" w:color="auto" w:fill="FFFFFF"/>
          <w:lang w:val="lv-LV"/>
        </w:rPr>
        <w:t>VSIA “</w:t>
      </w:r>
      <w:r w:rsidRPr="00E04386">
        <w:rPr>
          <w:rFonts w:cs="Times New Roman"/>
          <w:szCs w:val="24"/>
          <w:shd w:val="clear" w:color="auto" w:fill="FFFFFF"/>
          <w:lang w:val="lv-LV"/>
        </w:rPr>
        <w:t>Bērnu klīniskā universitātes slimnīca</w:t>
      </w:r>
      <w:r w:rsidR="00CC3B42" w:rsidRPr="00E04386">
        <w:rPr>
          <w:rFonts w:cs="Times New Roman"/>
          <w:szCs w:val="24"/>
          <w:shd w:val="clear" w:color="auto" w:fill="FFFFFF"/>
          <w:lang w:val="lv-LV"/>
        </w:rPr>
        <w:t>”</w:t>
      </w:r>
      <w:r w:rsidRPr="00E04386">
        <w:rPr>
          <w:rFonts w:cs="Times New Roman"/>
          <w:szCs w:val="24"/>
          <w:shd w:val="clear" w:color="auto" w:fill="FFFFFF"/>
          <w:lang w:val="lv-LV"/>
        </w:rPr>
        <w:t xml:space="preserve"> </w:t>
      </w:r>
      <w:r w:rsidRPr="00E04386">
        <w:rPr>
          <w:rFonts w:cs="Times New Roman"/>
          <w:szCs w:val="24"/>
          <w:lang w:val="lv-LV"/>
        </w:rPr>
        <w:t>2021.</w:t>
      </w:r>
      <w:r w:rsidR="00CC3B42" w:rsidRPr="00E04386">
        <w:rPr>
          <w:rFonts w:cs="Times New Roman"/>
          <w:szCs w:val="24"/>
          <w:lang w:val="lv-LV"/>
        </w:rPr>
        <w:t xml:space="preserve"> </w:t>
      </w:r>
      <w:r w:rsidRPr="00E04386">
        <w:rPr>
          <w:rFonts w:cs="Times New Roman"/>
          <w:szCs w:val="24"/>
          <w:lang w:val="lv-LV"/>
        </w:rPr>
        <w:t xml:space="preserve">gada martā ir aprēķināts pakalpojuma tarifs un iesniegts </w:t>
      </w:r>
      <w:r w:rsidR="00514E7C" w:rsidRPr="00E04386">
        <w:rPr>
          <w:rFonts w:cs="Times New Roman"/>
          <w:szCs w:val="24"/>
          <w:lang w:val="lv-LV"/>
        </w:rPr>
        <w:t>NVD</w:t>
      </w:r>
      <w:r w:rsidRPr="00E04386">
        <w:rPr>
          <w:rFonts w:cs="Times New Roman"/>
          <w:szCs w:val="24"/>
          <w:lang w:val="lv-LV"/>
        </w:rPr>
        <w:t xml:space="preserve"> izskatīšanai. Aprēķinātais pakalpojuma tarifs ir 1 465,89 </w:t>
      </w:r>
      <w:r w:rsidRPr="00E04386">
        <w:rPr>
          <w:rFonts w:cs="Times New Roman"/>
          <w:i/>
          <w:szCs w:val="24"/>
          <w:lang w:val="lv-LV"/>
        </w:rPr>
        <w:t>euro</w:t>
      </w:r>
      <w:r w:rsidRPr="00E04386">
        <w:rPr>
          <w:rFonts w:cs="Times New Roman"/>
          <w:szCs w:val="24"/>
          <w:lang w:val="lv-LV"/>
        </w:rPr>
        <w:t xml:space="preserve"> vienam pacientam. Plānotais pacientu skaits gadā 10. Kopējā summa gadā 14</w:t>
      </w:r>
      <w:r w:rsidR="00CC3B42" w:rsidRPr="00E04386">
        <w:rPr>
          <w:rFonts w:cs="Times New Roman"/>
          <w:szCs w:val="24"/>
          <w:lang w:val="lv-LV"/>
        </w:rPr>
        <w:t xml:space="preserve"> </w:t>
      </w:r>
      <w:r w:rsidRPr="00E04386">
        <w:rPr>
          <w:rFonts w:cs="Times New Roman"/>
          <w:szCs w:val="24"/>
          <w:lang w:val="lv-LV"/>
        </w:rPr>
        <w:t>660-15</w:t>
      </w:r>
      <w:r w:rsidR="00CC3B42" w:rsidRPr="00E04386">
        <w:rPr>
          <w:rFonts w:cs="Times New Roman"/>
          <w:szCs w:val="24"/>
          <w:lang w:val="lv-LV"/>
        </w:rPr>
        <w:t xml:space="preserve"> </w:t>
      </w:r>
      <w:r w:rsidRPr="00E04386">
        <w:rPr>
          <w:rFonts w:cs="Times New Roman"/>
          <w:szCs w:val="24"/>
          <w:lang w:val="lv-LV"/>
        </w:rPr>
        <w:t xml:space="preserve">000 </w:t>
      </w:r>
      <w:r w:rsidRPr="00E04386">
        <w:rPr>
          <w:rFonts w:cs="Times New Roman"/>
          <w:i/>
          <w:szCs w:val="24"/>
          <w:lang w:val="lv-LV"/>
        </w:rPr>
        <w:t>euro</w:t>
      </w:r>
      <w:r w:rsidRPr="00E04386">
        <w:rPr>
          <w:rFonts w:cs="Times New Roman"/>
          <w:szCs w:val="24"/>
          <w:lang w:val="lv-LV"/>
        </w:rPr>
        <w:t>.</w:t>
      </w:r>
    </w:p>
    <w:p w14:paraId="2BE6B3C3" w14:textId="4710A62A" w:rsidR="00C83418" w:rsidRPr="00E04386" w:rsidRDefault="00C83418" w:rsidP="00CC3B42">
      <w:pPr>
        <w:ind w:firstLine="709"/>
        <w:rPr>
          <w:rFonts w:cs="Times New Roman"/>
          <w:szCs w:val="24"/>
          <w:lang w:val="lv-LV"/>
        </w:rPr>
      </w:pPr>
      <w:r w:rsidRPr="00E04386">
        <w:rPr>
          <w:rFonts w:cs="Times New Roman"/>
          <w:b/>
          <w:bCs/>
          <w:szCs w:val="24"/>
          <w:lang w:val="lv-LV"/>
        </w:rPr>
        <w:t xml:space="preserve">Stereo elektroencefalogrāfija (EEG) – epilepsijas ārstēšanā izmantota </w:t>
      </w:r>
      <w:r w:rsidRPr="00E04386">
        <w:rPr>
          <w:rFonts w:cs="Times New Roman"/>
          <w:szCs w:val="24"/>
          <w:lang w:val="lv-LV"/>
        </w:rPr>
        <w:t>diagnostikas metode, kas ļauj atšķirt epilepsijas lēkmes no cita veida lēkmēm līdzīgiem stāvokļiem. </w:t>
      </w:r>
      <w:r w:rsidR="00514E7C" w:rsidRPr="00E04386">
        <w:rPr>
          <w:rFonts w:cs="Times New Roman"/>
          <w:szCs w:val="24"/>
          <w:shd w:val="clear" w:color="auto" w:fill="FFFFFF"/>
          <w:lang w:val="lv-LV"/>
        </w:rPr>
        <w:t>VSIA “</w:t>
      </w:r>
      <w:r w:rsidRPr="00E04386">
        <w:rPr>
          <w:rFonts w:cs="Times New Roman"/>
          <w:szCs w:val="24"/>
          <w:shd w:val="clear" w:color="auto" w:fill="FFFFFF"/>
          <w:lang w:val="lv-LV"/>
        </w:rPr>
        <w:t>Bērnu klīniskā universitātes slimnīca</w:t>
      </w:r>
      <w:r w:rsidR="00514E7C" w:rsidRPr="00E04386">
        <w:rPr>
          <w:rFonts w:cs="Times New Roman"/>
          <w:szCs w:val="24"/>
          <w:shd w:val="clear" w:color="auto" w:fill="FFFFFF"/>
          <w:lang w:val="lv-LV"/>
        </w:rPr>
        <w:t>”</w:t>
      </w:r>
      <w:r w:rsidRPr="00E04386">
        <w:rPr>
          <w:rFonts w:cs="Times New Roman"/>
          <w:szCs w:val="24"/>
          <w:shd w:val="clear" w:color="auto" w:fill="FFFFFF"/>
          <w:lang w:val="lv-LV"/>
        </w:rPr>
        <w:t xml:space="preserve"> </w:t>
      </w:r>
      <w:r w:rsidRPr="00E04386">
        <w:rPr>
          <w:rFonts w:cs="Times New Roman"/>
          <w:szCs w:val="24"/>
          <w:lang w:val="lv-LV"/>
        </w:rPr>
        <w:t>pakalpojums nepieciešams, lai nodrošinātu pilnvērtīgu epilepsijas ķirurģijas attīstību un slimnīca varētu kļūt par Eiropas references tīkla Epicare pilnvērtīgu locekli.</w:t>
      </w:r>
      <w:r w:rsidRPr="00E04386">
        <w:rPr>
          <w:lang w:val="lv-LV"/>
        </w:rPr>
        <w:t xml:space="preserve"> P</w:t>
      </w:r>
      <w:r w:rsidRPr="00E04386">
        <w:rPr>
          <w:rFonts w:cs="Times New Roman"/>
          <w:szCs w:val="24"/>
          <w:lang w:val="lv-LV"/>
        </w:rPr>
        <w:t>rognozējamais</w:t>
      </w:r>
      <w:r w:rsidR="00FF342C">
        <w:rPr>
          <w:rFonts w:cs="Times New Roman"/>
          <w:szCs w:val="24"/>
          <w:lang w:val="lv-LV"/>
        </w:rPr>
        <w:t xml:space="preserve"> </w:t>
      </w:r>
      <w:r w:rsidR="00514E7C" w:rsidRPr="00E04386">
        <w:rPr>
          <w:rFonts w:cs="Times New Roman"/>
          <w:szCs w:val="24"/>
          <w:lang w:val="lv-LV"/>
        </w:rPr>
        <w:t>pakalpojuma tarifs</w:t>
      </w:r>
      <w:r w:rsidRPr="00E04386">
        <w:rPr>
          <w:rFonts w:cs="Times New Roman"/>
          <w:szCs w:val="24"/>
          <w:lang w:val="lv-LV"/>
        </w:rPr>
        <w:t xml:space="preserve"> 11 000 -12 000 </w:t>
      </w:r>
      <w:r w:rsidRPr="00E04386">
        <w:rPr>
          <w:rFonts w:cs="Times New Roman"/>
          <w:i/>
          <w:szCs w:val="24"/>
          <w:lang w:val="lv-LV"/>
        </w:rPr>
        <w:t>euro</w:t>
      </w:r>
      <w:r w:rsidRPr="00E04386">
        <w:rPr>
          <w:rFonts w:cs="Times New Roman"/>
          <w:szCs w:val="24"/>
          <w:lang w:val="lv-LV"/>
        </w:rPr>
        <w:t xml:space="preserve"> vienam pacientam. Prognozējamais pacientu skaits – 4. Kopējā summa gadā 44 000 - 48 000 </w:t>
      </w:r>
      <w:r w:rsidRPr="00E04386">
        <w:rPr>
          <w:rFonts w:cs="Times New Roman"/>
          <w:i/>
          <w:szCs w:val="24"/>
          <w:lang w:val="lv-LV"/>
        </w:rPr>
        <w:t>euro</w:t>
      </w:r>
      <w:r w:rsidRPr="00E04386">
        <w:rPr>
          <w:rFonts w:cs="Times New Roman"/>
          <w:szCs w:val="24"/>
          <w:lang w:val="lv-LV"/>
        </w:rPr>
        <w:t>.</w:t>
      </w:r>
    </w:p>
    <w:p w14:paraId="4C8B1508" w14:textId="77777777" w:rsidR="00C83418" w:rsidRPr="00E04386" w:rsidRDefault="00C83418" w:rsidP="00CC3B42">
      <w:pPr>
        <w:ind w:firstLine="709"/>
        <w:rPr>
          <w:rFonts w:cs="Times New Roman"/>
          <w:szCs w:val="24"/>
          <w:shd w:val="clear" w:color="auto" w:fill="FFFFFF"/>
          <w:lang w:val="lv-LV"/>
        </w:rPr>
      </w:pPr>
      <w:r w:rsidRPr="00E04386">
        <w:rPr>
          <w:rFonts w:cs="Times New Roman"/>
          <w:szCs w:val="24"/>
          <w:lang w:val="lv-LV"/>
        </w:rPr>
        <w:t xml:space="preserve">VSIA “Traumatoloģijas un ortopēdijas slimnīca” </w:t>
      </w:r>
      <w:r w:rsidRPr="00E04386">
        <w:rPr>
          <w:rFonts w:cs="Times New Roman"/>
          <w:szCs w:val="24"/>
          <w:shd w:val="clear" w:color="auto" w:fill="FFFFFF"/>
          <w:lang w:val="lv-LV"/>
        </w:rPr>
        <w:t>ir V līmeņa specializēta ārstniecības iestāde, kas sniedz augsti kvalificētu ārstniecības pakalpojumu primāru un sekundāru palīdzību skeleta traumu gadījumos, kompli</w:t>
      </w:r>
      <w:r w:rsidRPr="00E04386">
        <w:rPr>
          <w:rFonts w:cs="Times New Roman"/>
          <w:szCs w:val="24"/>
          <w:shd w:val="clear" w:color="auto" w:fill="FFFFFF"/>
          <w:lang w:val="lv-LV"/>
        </w:rPr>
        <w:softHyphen/>
        <w:t>cētu traumu seku novēršanā, veic ortopēdiskas un rekonstruktīvas operācijas dažādu skeleta un locītavu slimību gadījumos. </w:t>
      </w:r>
    </w:p>
    <w:p w14:paraId="0EB2C1E8" w14:textId="77777777" w:rsidR="00C83418" w:rsidRPr="00E04386" w:rsidRDefault="00C83418" w:rsidP="00CC3B42">
      <w:pPr>
        <w:ind w:firstLine="720"/>
        <w:rPr>
          <w:rFonts w:eastAsia="Calibri" w:cs="Times New Roman"/>
          <w:szCs w:val="24"/>
          <w:lang w:val="lv-LV"/>
        </w:rPr>
      </w:pPr>
      <w:r w:rsidRPr="00E04386">
        <w:rPr>
          <w:rFonts w:cs="Times New Roman"/>
          <w:szCs w:val="24"/>
          <w:shd w:val="clear" w:color="auto" w:fill="FFFFFF"/>
          <w:lang w:val="lv-LV"/>
        </w:rPr>
        <w:t xml:space="preserve">Mugurkaula ķirurģija ir specifiska apakšspecialitāte, kas novērš būtiskus cilvēka funkcionēšanas traucējumus. Slimnīca ir vienīgā, kas sniedz augsti kvalificētu medicīnisko palīdzību smagu mugurkaula traumu seku gadījumos un veic ortopēdiskas mugurkaula operācijas. Ik gadus slimnīcā ķirurģisku ārstēšanu saņem apmēram 580 Latvijas iedzīvotāji. </w:t>
      </w:r>
      <w:r w:rsidRPr="00E04386">
        <w:rPr>
          <w:rFonts w:eastAsia="Calibri" w:cs="Times New Roman"/>
          <w:szCs w:val="24"/>
          <w:lang w:val="lv-LV"/>
        </w:rPr>
        <w:t xml:space="preserve">Slimnīca veic valstī lielāko mugurkaula traumu stabilizējošu operāciju apjomu. Nodrošinot savlaicīgu, individuālu, kompleksu un kvalitatīvu </w:t>
      </w:r>
      <w:r w:rsidRPr="00E04386">
        <w:rPr>
          <w:rFonts w:cs="Times New Roman"/>
          <w:szCs w:val="24"/>
          <w:lang w:val="lv-LV"/>
        </w:rPr>
        <w:t xml:space="preserve">muguras saslimšanu ārstēšanu, lai novērstu indivīdu priekšlaicīgu invaliditāti, kuras sliktākais iznākums var būt pilnīgs darbspēju zudums, sociālā izolācija un neatgriezeniska invaliditāte, kas sekojoši ir slogs pacientam, ģimenei un valstij. Šajā kontekstā </w:t>
      </w:r>
      <w:r w:rsidRPr="00E04386">
        <w:rPr>
          <w:rFonts w:eastAsia="Calibri" w:cs="Times New Roman"/>
          <w:szCs w:val="24"/>
          <w:lang w:val="lv-LV"/>
        </w:rPr>
        <w:t xml:space="preserve">Slimnīca ir vienīgā valsts veselības aprūpes iestāde, kurā sertificēti mugurkaula ķirurģijas speciālisti nodrošina deģeneratīvu muguras saslimšanu ķirurģisku ārstēšanu un kurā veic mugurkaula ķirurgu konsīlijus trīs speciālistu sastāvā. </w:t>
      </w:r>
      <w:r w:rsidRPr="00E04386">
        <w:rPr>
          <w:rStyle w:val="FootnoteReference"/>
          <w:rFonts w:eastAsia="Calibri" w:cs="Times New Roman"/>
          <w:szCs w:val="24"/>
          <w:lang w:val="lv-LV"/>
        </w:rPr>
        <w:footnoteReference w:id="37"/>
      </w:r>
    </w:p>
    <w:p w14:paraId="7AC58744" w14:textId="06FCF96B" w:rsidR="00C83418" w:rsidRPr="00E04386" w:rsidRDefault="00C83418" w:rsidP="00CC3B42">
      <w:pPr>
        <w:ind w:firstLine="720"/>
        <w:rPr>
          <w:rFonts w:cs="Times New Roman"/>
          <w:color w:val="FF0000"/>
          <w:szCs w:val="24"/>
          <w:lang w:val="lv-LV"/>
        </w:rPr>
      </w:pPr>
      <w:r w:rsidRPr="00E04386">
        <w:rPr>
          <w:rFonts w:cs="Times New Roman"/>
          <w:szCs w:val="24"/>
          <w:lang w:val="lv-LV"/>
        </w:rPr>
        <w:lastRenderedPageBreak/>
        <w:t>Šobrīd mugurkaula koriģējošas operācijas tiek nodrošinātas daļēji un neatbilstoši st</w:t>
      </w:r>
      <w:r w:rsidR="00AF00DB">
        <w:rPr>
          <w:rFonts w:cs="Times New Roman"/>
          <w:szCs w:val="24"/>
          <w:lang w:val="lv-LV"/>
        </w:rPr>
        <w:t>ar</w:t>
      </w:r>
      <w:r w:rsidRPr="00E04386">
        <w:rPr>
          <w:rFonts w:cs="Times New Roman"/>
          <w:szCs w:val="24"/>
          <w:lang w:val="lv-LV"/>
        </w:rPr>
        <w:t>ptautiskajām vadlīnijām un pacientu drošības prasībām, jo ilgstoši nav veikti ieguldījumi pakalpojumu attīstībā un modernizācijā.</w:t>
      </w:r>
      <w:r w:rsidRPr="00E04386">
        <w:rPr>
          <w:szCs w:val="24"/>
          <w:lang w:val="lv-LV"/>
        </w:rPr>
        <w:t xml:space="preserve"> </w:t>
      </w:r>
      <w:r w:rsidRPr="00E04386">
        <w:rPr>
          <w:rFonts w:cs="Times New Roman"/>
          <w:szCs w:val="24"/>
          <w:lang w:val="lv-LV"/>
        </w:rPr>
        <w:t xml:space="preserve">Slimnīcai ir nepieciešamas investīcijas mugurkaula ķirurģijā (Intraoperatī-vās neironavigāci-jas iekārta (apvienota ar 3D radioloģisku skeneri) 750 000 </w:t>
      </w:r>
      <w:r w:rsidRPr="00E04386">
        <w:rPr>
          <w:rFonts w:cs="Times New Roman"/>
          <w:i/>
          <w:szCs w:val="24"/>
          <w:lang w:val="lv-LV"/>
        </w:rPr>
        <w:t>euro</w:t>
      </w:r>
      <w:r w:rsidRPr="00E04386">
        <w:rPr>
          <w:rFonts w:cs="Times New Roman"/>
          <w:szCs w:val="24"/>
          <w:lang w:val="lv-LV"/>
        </w:rPr>
        <w:t>, 3 - dimensiju radio</w:t>
      </w:r>
      <w:r w:rsidR="00CC3B42" w:rsidRPr="00E04386">
        <w:rPr>
          <w:rFonts w:cs="Times New Roman"/>
          <w:szCs w:val="24"/>
          <w:lang w:val="lv-LV"/>
        </w:rPr>
        <w:t>loģiska vizualizācijas iekārta “</w:t>
      </w:r>
      <w:r w:rsidRPr="00E04386">
        <w:rPr>
          <w:rFonts w:cs="Times New Roman"/>
          <w:szCs w:val="24"/>
          <w:lang w:val="lv-LV"/>
        </w:rPr>
        <w:t>O arm</w:t>
      </w:r>
      <w:r w:rsidR="00CC3B42" w:rsidRPr="00E04386">
        <w:rPr>
          <w:rFonts w:cs="Times New Roman"/>
          <w:szCs w:val="24"/>
          <w:lang w:val="lv-LV"/>
        </w:rPr>
        <w:t>”</w:t>
      </w:r>
      <w:r w:rsidRPr="00E04386">
        <w:rPr>
          <w:rFonts w:cs="Times New Roman"/>
          <w:szCs w:val="24"/>
          <w:lang w:val="lv-LV"/>
        </w:rPr>
        <w:t xml:space="preserve"> 750 000 </w:t>
      </w:r>
      <w:r w:rsidRPr="00E04386">
        <w:rPr>
          <w:rFonts w:cs="Times New Roman"/>
          <w:i/>
          <w:szCs w:val="24"/>
          <w:lang w:val="lv-LV"/>
        </w:rPr>
        <w:t>euro</w:t>
      </w:r>
      <w:r w:rsidRPr="00E04386">
        <w:rPr>
          <w:rFonts w:cs="Times New Roman"/>
          <w:szCs w:val="24"/>
          <w:lang w:val="lv-LV"/>
        </w:rPr>
        <w:t xml:space="preserve">, Intraoperatī-vā neiromonito-ringa iekārta 80 000 euro, specializēts operāciju galds 160 000 </w:t>
      </w:r>
      <w:r w:rsidRPr="00E04386">
        <w:rPr>
          <w:rFonts w:cs="Times New Roman"/>
          <w:i/>
          <w:szCs w:val="24"/>
          <w:lang w:val="lv-LV"/>
        </w:rPr>
        <w:t>euro</w:t>
      </w:r>
      <w:r w:rsidRPr="00E04386">
        <w:rPr>
          <w:rFonts w:cs="Times New Roman"/>
          <w:szCs w:val="24"/>
          <w:lang w:val="lv-LV"/>
        </w:rPr>
        <w:t xml:space="preserve">, uperācijas zāles rekonstrukcijas izmaksas 80 000 </w:t>
      </w:r>
      <w:r w:rsidRPr="00E04386">
        <w:rPr>
          <w:rFonts w:cs="Times New Roman"/>
          <w:i/>
          <w:szCs w:val="24"/>
          <w:lang w:val="lv-LV"/>
        </w:rPr>
        <w:t>euro</w:t>
      </w:r>
      <w:r w:rsidRPr="00E04386">
        <w:rPr>
          <w:rFonts w:cs="Times New Roman"/>
          <w:szCs w:val="24"/>
          <w:lang w:val="lv-LV"/>
        </w:rPr>
        <w:t>) bez kurām nav iespējams sniegt kvalitatīvus un drošus pakalpojumus atbilstoši mūsdienu tehnoloģiju iespējām. Bez atbilstošām investīcijām pakalpojuma sniegšana Latvijā ir apdraudēta.</w:t>
      </w:r>
    </w:p>
    <w:p w14:paraId="06E33F6E" w14:textId="45B70643" w:rsidR="00C83418" w:rsidRPr="00E04386" w:rsidRDefault="00C83418" w:rsidP="00CC3B42">
      <w:pPr>
        <w:autoSpaceDE w:val="0"/>
        <w:autoSpaceDN w:val="0"/>
        <w:adjustRightInd w:val="0"/>
        <w:ind w:firstLine="720"/>
        <w:rPr>
          <w:rFonts w:cs="Times New Roman"/>
          <w:szCs w:val="24"/>
          <w:shd w:val="clear" w:color="auto" w:fill="FFFFFF"/>
          <w:lang w:val="lv-LV"/>
        </w:rPr>
      </w:pPr>
      <w:r w:rsidRPr="00E04386">
        <w:rPr>
          <w:rFonts w:cs="Times New Roman"/>
          <w:szCs w:val="24"/>
          <w:shd w:val="clear" w:color="auto" w:fill="FFFFFF"/>
          <w:lang w:val="lv-LV"/>
        </w:rPr>
        <w:t xml:space="preserve">Ārvalstīs nodrošinātie pakalpojumi kā himērisma analīzes (piemēram, Himērisma analīze pēc real time PRC (faktiskā laika polimerāzes ķēdes reakcija) metodes, donora limfocītu infūzija un komplikāciju ārstēšana) un minimālas reziduālas slimības (MRD) kontrole ir veselības aprūpes pakalpojumi, kurus šobrīd pie attiecīgiem ieguldījumiem nevar nodrošināt neviena no valsts kapitālsabiedrībām, jo prasa ne tikai finanšu ieguldījumus, bet arī medicīnas personāla apmācību un profesionālo pilnveidi. </w:t>
      </w:r>
      <w:r w:rsidR="00514E7C" w:rsidRPr="00E04386">
        <w:rPr>
          <w:rFonts w:cs="Times New Roman"/>
          <w:szCs w:val="24"/>
          <w:shd w:val="clear" w:color="auto" w:fill="FFFFFF"/>
          <w:lang w:val="lv-LV"/>
        </w:rPr>
        <w:t>VM</w:t>
      </w:r>
      <w:r w:rsidRPr="00E04386">
        <w:rPr>
          <w:rFonts w:cs="Times New Roman"/>
          <w:szCs w:val="24"/>
          <w:shd w:val="clear" w:color="auto" w:fill="FFFFFF"/>
          <w:lang w:val="lv-LV"/>
        </w:rPr>
        <w:t xml:space="preserve"> ieskatā šo pakalpojumu nodrošināšana Latvijā ir atbalstāma nākotnē.</w:t>
      </w:r>
    </w:p>
    <w:p w14:paraId="17EA798E" w14:textId="77777777" w:rsidR="00514E7C" w:rsidRPr="00E04386" w:rsidRDefault="00514E7C" w:rsidP="00514E7C">
      <w:pPr>
        <w:spacing w:before="120"/>
        <w:ind w:firstLine="720"/>
        <w:rPr>
          <w:rFonts w:eastAsia="Times New Roman"/>
          <w:color w:val="000000"/>
          <w:lang w:val="lv-LV"/>
        </w:rPr>
      </w:pPr>
      <w:r w:rsidRPr="00E04386">
        <w:rPr>
          <w:rFonts w:eastAsia="Times New Roman"/>
          <w:color w:val="000000"/>
          <w:lang w:val="lv-LV"/>
        </w:rPr>
        <w:t>Atsaucoties uz FM aicinājumu VM ir izvērtējusi iespējas nodrošināt šajā ziņojumā minēto (Tabula Nr. 3.1.8.), kā arī atsevišķu citu medicīnisko pakalpojumu sniegšanu Latvijā, vairumu no tiem atzīstot par atbalstāmiem, bet atsevišķus pakalpojumus par konceptuāli atbalstāmiem vai atbalstāmiem nākotnē. Detalizētāka informācija par VM veikto analīzi pieejama informatīvā ziņojuma pielikumā Nr. 5.</w:t>
      </w:r>
    </w:p>
    <w:p w14:paraId="583E7480" w14:textId="77777777" w:rsidR="004D618E" w:rsidRPr="004D618E" w:rsidRDefault="004D618E" w:rsidP="00F92FF0">
      <w:pPr>
        <w:spacing w:before="120"/>
        <w:jc w:val="center"/>
        <w:rPr>
          <w:b/>
          <w:bCs/>
          <w:lang w:val="lv-LV"/>
        </w:rPr>
      </w:pPr>
      <w:r w:rsidRPr="004D618E">
        <w:rPr>
          <w:b/>
          <w:bCs/>
          <w:lang w:val="lv-LV"/>
        </w:rPr>
        <w:t>No valsts budžeta kompensējamie medikamenti</w:t>
      </w:r>
    </w:p>
    <w:p w14:paraId="7B2B280E" w14:textId="549CD71E" w:rsidR="00B66244" w:rsidRDefault="004D618E" w:rsidP="00B66244">
      <w:pPr>
        <w:spacing w:before="120"/>
        <w:ind w:firstLine="709"/>
        <w:rPr>
          <w:rFonts w:cs="Times New Roman"/>
          <w:lang w:val="lv-LV"/>
        </w:rPr>
      </w:pPr>
      <w:r w:rsidRPr="004D618E">
        <w:rPr>
          <w:rFonts w:cs="Times New Roman"/>
          <w:lang w:val="lv-LV"/>
        </w:rPr>
        <w:t>VM, analizējot diagnozes, kuru gadījumā tiek kompensēti zāļu iegādes izdevumi ambulatorai ārstēšanai, konstatējusi, ka vairāku diagnožu gadījumā (asinsrites sistēmas slimības, audzēji, elpošanas sistēmas slimības, endokrīnās, uztura un vienmaiņas slimības, kā arī muskuļu, skeleta un saistaudu slimības) ir izdevies rast ietaupījumu, palielinot medikamentu terapiju saņēmušo pacientu skaitu, samazinot medikamentu cenu vai samazinot pacienta līdzmaksājumu, tādējādi paaugstinot zāļu iegādes izdevumu kompensācijas sistēmas efektivitāti un sasniedzot augstākus rezultatīvos rādītājus (Attēls Nr. 3.1.5.).</w:t>
      </w:r>
    </w:p>
    <w:p w14:paraId="1FF58679" w14:textId="0E5390C7" w:rsidR="00B66244" w:rsidRDefault="00B66244" w:rsidP="00B66244">
      <w:pPr>
        <w:spacing w:before="120"/>
        <w:ind w:firstLine="709"/>
        <w:rPr>
          <w:rFonts w:cs="Times New Roman"/>
          <w:lang w:val="lv-LV"/>
        </w:rPr>
      </w:pPr>
    </w:p>
    <w:p w14:paraId="36E5D133" w14:textId="54864D41" w:rsidR="00B66244" w:rsidRDefault="00B66244" w:rsidP="00B66244">
      <w:pPr>
        <w:spacing w:before="120"/>
        <w:ind w:firstLine="709"/>
        <w:rPr>
          <w:rFonts w:cs="Times New Roman"/>
          <w:lang w:val="lv-LV"/>
        </w:rPr>
      </w:pPr>
    </w:p>
    <w:p w14:paraId="3F4EABBA" w14:textId="523FBE65" w:rsidR="00B66244" w:rsidRDefault="00B66244" w:rsidP="00B66244">
      <w:pPr>
        <w:spacing w:before="120"/>
        <w:ind w:firstLine="709"/>
        <w:rPr>
          <w:rFonts w:cs="Times New Roman"/>
          <w:lang w:val="lv-LV"/>
        </w:rPr>
      </w:pPr>
    </w:p>
    <w:p w14:paraId="727807FF" w14:textId="76F31B1A" w:rsidR="00B66244" w:rsidRDefault="00B66244" w:rsidP="00B66244">
      <w:pPr>
        <w:spacing w:before="120"/>
        <w:ind w:firstLine="709"/>
        <w:rPr>
          <w:rFonts w:cs="Times New Roman"/>
          <w:lang w:val="lv-LV"/>
        </w:rPr>
      </w:pPr>
    </w:p>
    <w:p w14:paraId="6763A9A2" w14:textId="761E9C10" w:rsidR="00B66244" w:rsidRDefault="00B66244" w:rsidP="00B66244">
      <w:pPr>
        <w:spacing w:before="120"/>
        <w:ind w:firstLine="709"/>
        <w:rPr>
          <w:rFonts w:cs="Times New Roman"/>
          <w:lang w:val="lv-LV"/>
        </w:rPr>
      </w:pPr>
    </w:p>
    <w:p w14:paraId="0F56025C" w14:textId="0D2DE5DB" w:rsidR="00B66244" w:rsidRDefault="00B66244" w:rsidP="00B66244">
      <w:pPr>
        <w:spacing w:before="120"/>
        <w:ind w:firstLine="709"/>
        <w:rPr>
          <w:rFonts w:cs="Times New Roman"/>
          <w:lang w:val="lv-LV"/>
        </w:rPr>
      </w:pPr>
    </w:p>
    <w:p w14:paraId="34D7BCDB" w14:textId="64E15B25" w:rsidR="00B66244" w:rsidRDefault="00B66244" w:rsidP="00B66244">
      <w:pPr>
        <w:spacing w:before="120"/>
        <w:ind w:firstLine="709"/>
        <w:rPr>
          <w:rFonts w:cs="Times New Roman"/>
          <w:lang w:val="lv-LV"/>
        </w:rPr>
      </w:pPr>
    </w:p>
    <w:p w14:paraId="347287B0" w14:textId="1611E266" w:rsidR="00B66244" w:rsidRDefault="00B66244" w:rsidP="00B66244">
      <w:pPr>
        <w:spacing w:before="120"/>
        <w:ind w:firstLine="709"/>
        <w:rPr>
          <w:rFonts w:cs="Times New Roman"/>
          <w:lang w:val="lv-LV"/>
        </w:rPr>
      </w:pPr>
    </w:p>
    <w:p w14:paraId="47272358" w14:textId="6F918069" w:rsidR="00B66244" w:rsidRDefault="00B66244" w:rsidP="00B66244">
      <w:pPr>
        <w:spacing w:before="120"/>
        <w:ind w:firstLine="709"/>
        <w:rPr>
          <w:rFonts w:cs="Times New Roman"/>
          <w:lang w:val="lv-LV"/>
        </w:rPr>
      </w:pPr>
    </w:p>
    <w:p w14:paraId="3BF82F63" w14:textId="7B90F669" w:rsidR="00B66244" w:rsidRDefault="00B66244" w:rsidP="00B66244">
      <w:pPr>
        <w:spacing w:before="120"/>
        <w:ind w:firstLine="709"/>
        <w:rPr>
          <w:rFonts w:cs="Times New Roman"/>
          <w:lang w:val="lv-LV"/>
        </w:rPr>
      </w:pPr>
    </w:p>
    <w:p w14:paraId="034A06CB" w14:textId="4CB6475E" w:rsidR="00B66244" w:rsidRDefault="00B66244" w:rsidP="00B66244">
      <w:pPr>
        <w:spacing w:before="120"/>
        <w:ind w:firstLine="709"/>
        <w:rPr>
          <w:rFonts w:cs="Times New Roman"/>
          <w:lang w:val="lv-LV"/>
        </w:rPr>
      </w:pPr>
    </w:p>
    <w:p w14:paraId="07DCBB4A" w14:textId="77777777" w:rsidR="00B66244" w:rsidRPr="004D618E" w:rsidRDefault="00B66244" w:rsidP="00B66244">
      <w:pPr>
        <w:spacing w:before="120"/>
        <w:ind w:firstLine="709"/>
        <w:rPr>
          <w:rFonts w:cs="Times New Roman"/>
          <w:lang w:val="lv-LV"/>
        </w:rPr>
      </w:pPr>
    </w:p>
    <w:p w14:paraId="28716D94" w14:textId="77777777" w:rsidR="004D618E" w:rsidRPr="004D618E" w:rsidRDefault="004D618E" w:rsidP="004D618E">
      <w:pPr>
        <w:spacing w:before="120"/>
        <w:jc w:val="center"/>
        <w:rPr>
          <w:rFonts w:eastAsia="Verdana"/>
          <w:b/>
          <w:bCs/>
          <w:color w:val="000000"/>
          <w:kern w:val="24"/>
          <w:sz w:val="22"/>
          <w:szCs w:val="20"/>
          <w:lang w:val="lv-LV"/>
        </w:rPr>
      </w:pPr>
      <w:r w:rsidRPr="004D618E">
        <w:rPr>
          <w:rFonts w:eastAsia="Verdana"/>
          <w:b/>
          <w:bCs/>
          <w:i/>
          <w:iCs/>
          <w:color w:val="000000"/>
          <w:kern w:val="24"/>
          <w:sz w:val="22"/>
          <w:szCs w:val="20"/>
          <w:lang w:val="lv-LV"/>
        </w:rPr>
        <w:lastRenderedPageBreak/>
        <w:t>3.1.5. attēls</w:t>
      </w:r>
      <w:r w:rsidRPr="004D618E">
        <w:rPr>
          <w:rFonts w:eastAsia="Verdana"/>
          <w:b/>
          <w:bCs/>
          <w:color w:val="000000"/>
          <w:kern w:val="24"/>
          <w:sz w:val="22"/>
          <w:szCs w:val="20"/>
          <w:lang w:val="lv-LV"/>
        </w:rPr>
        <w:t xml:space="preserve"> Zāļu cenu samazinājums pa diagnožu veidiem</w:t>
      </w:r>
    </w:p>
    <w:p w14:paraId="22859E0F" w14:textId="77777777" w:rsidR="004D618E" w:rsidRPr="004D618E" w:rsidRDefault="004D618E" w:rsidP="004D618E">
      <w:pPr>
        <w:spacing w:before="120"/>
        <w:jc w:val="center"/>
        <w:rPr>
          <w:lang w:val="lv-LV"/>
        </w:rPr>
      </w:pPr>
      <w:r w:rsidRPr="004D618E">
        <w:rPr>
          <w:noProof/>
          <w:lang w:val="lv-LV" w:eastAsia="lv-LV"/>
        </w:rPr>
        <w:drawing>
          <wp:inline distT="0" distB="0" distL="0" distR="0" wp14:anchorId="0F240080" wp14:editId="134554B2">
            <wp:extent cx="5705856" cy="4161790"/>
            <wp:effectExtent l="0" t="0" r="0" b="0"/>
            <wp:docPr id="74" name="Chart 74">
              <a:extLst xmlns:a="http://schemas.openxmlformats.org/drawingml/2006/main">
                <a:ext uri="{FF2B5EF4-FFF2-40B4-BE49-F238E27FC236}">
                  <a16:creationId xmlns:a16="http://schemas.microsoft.com/office/drawing/2014/main" id="{EF927634-184C-4EAA-A40E-F3596A100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B0D7060" w14:textId="77777777" w:rsidR="004D618E" w:rsidRPr="004D618E" w:rsidRDefault="004D618E" w:rsidP="004D618E">
      <w:pPr>
        <w:ind w:firstLine="720"/>
        <w:rPr>
          <w:rFonts w:cs="Times New Roman"/>
          <w:lang w:val="lv-LV"/>
        </w:rPr>
      </w:pPr>
      <w:r w:rsidRPr="004D618E">
        <w:rPr>
          <w:rFonts w:cs="Times New Roman"/>
          <w:lang w:val="lv-LV"/>
        </w:rPr>
        <w:t>Pašreiz diagnožu grupā “Infekciju slimības” C hepatīta ārstēšanai ietaupījums netiek prognozēts, jo 2020. gada vidū jaunākās paaudzes medikamenti, kuru terapijas efektivitāte sasniedz gandrīz 100%, tika iekļauti Kompensējamo zāļu B sarakstā, tādējādi nodrošinot ātrāku terapijas pieejamību pacientiem</w:t>
      </w:r>
      <w:r w:rsidRPr="004D618E">
        <w:rPr>
          <w:rFonts w:cs="Times New Roman"/>
          <w:color w:val="000000" w:themeColor="text1"/>
          <w:lang w:val="lv-LV"/>
        </w:rPr>
        <w:t xml:space="preserve"> bez ietekmes uz budžeta līdzekļiem un vienlaikus samazinot administratīvo slogu. Papildus iepriekš minētajam šobrīd notiek pārrunas ar zāļu ražotājiem vai viņu pilnvarotajiem pārstāvjiem par iespējām paplašināt pacientu grupu, nodrošinot </w:t>
      </w:r>
      <w:r w:rsidRPr="004D618E">
        <w:rPr>
          <w:rFonts w:cs="Times New Roman"/>
          <w:lang w:val="lv-LV"/>
        </w:rPr>
        <w:t>jaunās paaudzes terapiju arī akūta C vīrusa hepatīta pacientiem esošā finansējuma ietvaros.</w:t>
      </w:r>
    </w:p>
    <w:p w14:paraId="4D9D054A" w14:textId="321B9568" w:rsidR="004D618E" w:rsidRPr="004D618E" w:rsidRDefault="004D618E" w:rsidP="00F05019">
      <w:pPr>
        <w:ind w:firstLine="720"/>
        <w:rPr>
          <w:rFonts w:eastAsia="Calibri" w:cs="Times New Roman"/>
          <w:lang w:val="lv-LV"/>
        </w:rPr>
      </w:pPr>
      <w:r w:rsidRPr="004D618E">
        <w:rPr>
          <w:rFonts w:cs="Times New Roman"/>
          <w:lang w:val="lv-LV"/>
        </w:rPr>
        <w:t xml:space="preserve">NVD 2020. gadā un 2021. gada 1. ceturksnī veikto pasākumu </w:t>
      </w:r>
      <w:r w:rsidR="000732F2">
        <w:rPr>
          <w:rFonts w:cs="Times New Roman"/>
          <w:lang w:val="lv-LV"/>
        </w:rPr>
        <w:t>KZS</w:t>
      </w:r>
      <w:r w:rsidRPr="004D618E">
        <w:rPr>
          <w:rFonts w:cs="Times New Roman"/>
          <w:lang w:val="lv-LV"/>
        </w:rPr>
        <w:t xml:space="preserve"> iekļauto cenu samazināšanā un šī saraksta papildināšanas ar lētākām patentbrīvām zālēm rezultātā</w:t>
      </w:r>
      <w:r w:rsidRPr="004D618E">
        <w:rPr>
          <w:rFonts w:cs="Times New Roman"/>
          <w:b/>
          <w:lang w:val="lv-LV"/>
        </w:rPr>
        <w:t xml:space="preserve"> </w:t>
      </w:r>
      <w:r w:rsidRPr="004D618E">
        <w:rPr>
          <w:rFonts w:cs="Times New Roman"/>
          <w:lang w:val="lv-LV"/>
        </w:rPr>
        <w:t xml:space="preserve">diagnožu grupā “Audzēji” kopējais ietaupījums KZS iekļauto zāļu cenu samazināšanas rezultātā ir 1,07 milj. </w:t>
      </w:r>
      <w:r w:rsidRPr="004D618E">
        <w:rPr>
          <w:rFonts w:cs="Times New Roman"/>
          <w:i/>
          <w:lang w:val="lv-LV"/>
        </w:rPr>
        <w:t>euro</w:t>
      </w:r>
      <w:r w:rsidRPr="004D618E">
        <w:rPr>
          <w:rFonts w:cs="Times New Roman"/>
          <w:lang w:val="lv-LV"/>
        </w:rPr>
        <w:t xml:space="preserve">. Ņemot vērā cenu samazināšanu un zāļu ražotāju līdzdalību zāļu izmaksu segšanā, tika rasta iespēja KZS </w:t>
      </w:r>
      <w:r w:rsidRPr="004D618E">
        <w:rPr>
          <w:rFonts w:eastAsia="Calibri" w:cs="Times New Roman"/>
          <w:lang w:val="lv-LV"/>
        </w:rPr>
        <w:t xml:space="preserve">iekļaut jaunās inovatīvās mērķterapijas zāles, kā rezultātā tiek iegūts būtisks dzīvildzes bez progresijas vai kopējās dzīvildzes pagarinājums, salīdzinot ar standarta vai biežāk lietoto terapiju. Nesīkšūnu plaušu vēža gadījumā pacientiem ir </w:t>
      </w:r>
      <w:r w:rsidRPr="004D618E">
        <w:rPr>
          <w:rFonts w:eastAsia="Calibri" w:cs="Times New Roman"/>
          <w:color w:val="000000" w:themeColor="text1"/>
          <w:lang w:val="lv-LV"/>
        </w:rPr>
        <w:t xml:space="preserve">iekļautas gan mērķterapijas, gan imūnterapijas zāles, </w:t>
      </w:r>
      <w:r w:rsidRPr="004D618E">
        <w:rPr>
          <w:rFonts w:eastAsia="Calibri" w:cs="Times New Roman"/>
          <w:lang w:val="lv-LV"/>
        </w:rPr>
        <w:t>kā rezultātā 10 pacientiem ar ALK mutāciju un 18 pacientiem ar PD-L1 ekspresiju ≥1% ir iespējams saņemt terapiju, kopā nodrošinot papildus</w:t>
      </w:r>
      <w:r w:rsidRPr="004D618E">
        <w:rPr>
          <w:rFonts w:eastAsia="Calibri" w:cs="Times New Roman"/>
          <w:color w:val="000000" w:themeColor="text1"/>
          <w:lang w:val="lv-LV"/>
        </w:rPr>
        <w:t xml:space="preserve"> iegūtus </w:t>
      </w:r>
      <w:r w:rsidRPr="004D618E">
        <w:rPr>
          <w:rFonts w:eastAsia="Calibri" w:cs="Times New Roman"/>
          <w:lang w:val="lv-LV"/>
        </w:rPr>
        <w:t>29,55 dzīves gadus bez slimības progresijas. Onkohematoloģijas pacientiem ar Akūtu mieloleikozi un Hodžkina limfomu, kuriem līdz šim KZS nebija atbilstošās terapijas, tika iekļautas zāles akūtas mieloleikozes</w:t>
      </w:r>
      <w:r w:rsidRPr="004D618E">
        <w:rPr>
          <w:rFonts w:cs="Times New Roman"/>
          <w:lang w:val="lv-LV"/>
        </w:rPr>
        <w:t xml:space="preserve"> ar FLT3 mutāciju un zāles</w:t>
      </w:r>
      <w:r w:rsidRPr="004D618E">
        <w:rPr>
          <w:rFonts w:cs="Times New Roman"/>
          <w:i/>
          <w:iCs/>
          <w:lang w:val="lv-LV"/>
        </w:rPr>
        <w:t xml:space="preserve"> </w:t>
      </w:r>
      <w:r w:rsidRPr="004D618E">
        <w:rPr>
          <w:rFonts w:cs="Times New Roman"/>
          <w:lang w:val="lv-LV"/>
        </w:rPr>
        <w:t xml:space="preserve">recidivējošas vai refraktāras CD30+ Hodžkina limfomas pacientiem pēc autologo cilmes šūnu transplantācijas vai pēc vismaz divām iepriekšējām terapijām, kad autologā cilmes šūnu transplantācija vai ķīmijterapija ar vairākiem līdzekļiem nav izmantojama, tādejādi nodrošinot terapijas iespējas </w:t>
      </w:r>
      <w:r w:rsidRPr="004D618E">
        <w:rPr>
          <w:rFonts w:cs="Times New Roman"/>
          <w:lang w:val="lv-LV"/>
        </w:rPr>
        <w:lastRenderedPageBreak/>
        <w:t>12 pacientiem, kopā nodrošinot papildus</w:t>
      </w:r>
      <w:r w:rsidRPr="004D618E">
        <w:rPr>
          <w:rFonts w:cs="Times New Roman"/>
          <w:color w:val="000000" w:themeColor="text1"/>
          <w:lang w:val="lv-LV"/>
        </w:rPr>
        <w:t xml:space="preserve"> iegūtus </w:t>
      </w:r>
      <w:r w:rsidRPr="004D618E">
        <w:rPr>
          <w:rFonts w:cs="Times New Roman"/>
          <w:lang w:val="lv-LV"/>
        </w:rPr>
        <w:t>24,80 dzīves gadus bez slimības progresijas (Tabula Nr. 3.1.9.).</w:t>
      </w:r>
    </w:p>
    <w:p w14:paraId="1BE0CFD0" w14:textId="77777777" w:rsidR="004D618E" w:rsidRPr="004D618E" w:rsidRDefault="004D618E" w:rsidP="004D618E">
      <w:pPr>
        <w:spacing w:before="120"/>
        <w:ind w:firstLine="709"/>
        <w:rPr>
          <w:rFonts w:eastAsia="Calibri" w:cs="Times New Roman"/>
          <w:lang w:val="lv-LV"/>
        </w:rPr>
      </w:pPr>
      <w:r w:rsidRPr="004D618E">
        <w:rPr>
          <w:rFonts w:eastAsia="Calibri" w:cs="Times New Roman"/>
          <w:lang w:val="lv-LV"/>
        </w:rPr>
        <w:t xml:space="preserve">Pacientiem ar prostatas vēzi ir paplašinātas terapijas iespējas metastātiska, pret hormoniem jutīga, pirmreizēji diagnosticēta vēža gadījumā, kuriem </w:t>
      </w:r>
      <w:r w:rsidRPr="004D618E">
        <w:rPr>
          <w:rFonts w:eastAsia="Calibri" w:cs="Times New Roman"/>
          <w:color w:val="000000" w:themeColor="text1"/>
          <w:lang w:val="lv-LV"/>
        </w:rPr>
        <w:t xml:space="preserve">inovatīvā terapija </w:t>
      </w:r>
      <w:r w:rsidRPr="004D618E">
        <w:rPr>
          <w:rFonts w:eastAsia="Calibri" w:cs="Times New Roman"/>
          <w:lang w:val="lv-LV"/>
        </w:rPr>
        <w:t>līdz šim nebija pieejama.</w:t>
      </w:r>
    </w:p>
    <w:p w14:paraId="1A910F91" w14:textId="77777777" w:rsidR="004D618E" w:rsidRPr="004D618E" w:rsidRDefault="004D618E" w:rsidP="00F05019">
      <w:pPr>
        <w:spacing w:before="120"/>
        <w:jc w:val="center"/>
        <w:rPr>
          <w:rFonts w:cs="Times New Roman"/>
          <w:b/>
          <w:sz w:val="22"/>
          <w:lang w:val="lv-LV"/>
        </w:rPr>
      </w:pPr>
      <w:r w:rsidRPr="004D618E">
        <w:rPr>
          <w:b/>
          <w:bCs/>
          <w:i/>
          <w:iCs/>
          <w:sz w:val="22"/>
          <w:lang w:val="lv-LV"/>
        </w:rPr>
        <w:t>3.1.9. tabula</w:t>
      </w:r>
      <w:r w:rsidRPr="004D618E">
        <w:rPr>
          <w:b/>
          <w:bCs/>
          <w:sz w:val="22"/>
          <w:lang w:val="lv-LV"/>
        </w:rPr>
        <w:t xml:space="preserve"> </w:t>
      </w:r>
      <w:r w:rsidRPr="004D618E">
        <w:rPr>
          <w:rFonts w:cs="Times New Roman"/>
          <w:b/>
          <w:sz w:val="22"/>
          <w:lang w:val="lv-LV"/>
        </w:rPr>
        <w:t>Kompensējamo zāļu sarakstā iekļauto jauno onkoloģijas zāļu efektivitātes mērījumi</w:t>
      </w:r>
    </w:p>
    <w:tbl>
      <w:tblPr>
        <w:tblStyle w:val="TableGrid11"/>
        <w:tblpPr w:leftFromText="180" w:rightFromText="180" w:vertAnchor="text" w:horzAnchor="margin" w:tblpXSpec="center" w:tblpY="47"/>
        <w:tblW w:w="8931" w:type="dxa"/>
        <w:tblLayout w:type="fixed"/>
        <w:tblLook w:val="04A0" w:firstRow="1" w:lastRow="0" w:firstColumn="1" w:lastColumn="0" w:noHBand="0" w:noVBand="1"/>
      </w:tblPr>
      <w:tblGrid>
        <w:gridCol w:w="2405"/>
        <w:gridCol w:w="856"/>
        <w:gridCol w:w="1701"/>
        <w:gridCol w:w="1276"/>
        <w:gridCol w:w="1270"/>
        <w:gridCol w:w="1423"/>
      </w:tblGrid>
      <w:tr w:rsidR="004D618E" w:rsidRPr="004D618E" w14:paraId="3E6273C4" w14:textId="77777777" w:rsidTr="00F05019">
        <w:trPr>
          <w:trHeight w:val="555"/>
        </w:trPr>
        <w:tc>
          <w:tcPr>
            <w:tcW w:w="2405"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14:paraId="4A0EFF92" w14:textId="77777777" w:rsidR="004D618E" w:rsidRPr="004D618E" w:rsidRDefault="004D618E" w:rsidP="00F05019">
            <w:pPr>
              <w:spacing w:after="0"/>
              <w:jc w:val="center"/>
              <w:rPr>
                <w:rFonts w:cs="Times New Roman"/>
                <w:sz w:val="20"/>
                <w:szCs w:val="20"/>
                <w:lang w:val="lv-LV"/>
              </w:rPr>
            </w:pPr>
          </w:p>
        </w:tc>
        <w:tc>
          <w:tcPr>
            <w:tcW w:w="856"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3C6F7256" w14:textId="77777777" w:rsidR="004D618E" w:rsidRPr="004D618E" w:rsidRDefault="004D618E" w:rsidP="00F05019">
            <w:pPr>
              <w:spacing w:after="0"/>
              <w:jc w:val="center"/>
              <w:rPr>
                <w:rFonts w:cs="Times New Roman"/>
                <w:b/>
                <w:sz w:val="20"/>
                <w:szCs w:val="20"/>
                <w:lang w:val="lv-LV"/>
              </w:rPr>
            </w:pPr>
            <w:r w:rsidRPr="004D618E">
              <w:rPr>
                <w:rFonts w:cs="Times New Roman"/>
                <w:b/>
                <w:sz w:val="20"/>
                <w:szCs w:val="20"/>
                <w:lang w:val="lv-LV"/>
              </w:rPr>
              <w:t>Zāles</w:t>
            </w:r>
          </w:p>
        </w:tc>
        <w:tc>
          <w:tcPr>
            <w:tcW w:w="1701"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1A820F1B" w14:textId="77777777" w:rsidR="004D618E" w:rsidRPr="004D618E" w:rsidRDefault="004D618E" w:rsidP="00F05019">
            <w:pPr>
              <w:spacing w:after="0"/>
              <w:jc w:val="center"/>
              <w:rPr>
                <w:rFonts w:cs="Times New Roman"/>
                <w:b/>
                <w:sz w:val="20"/>
                <w:szCs w:val="20"/>
                <w:lang w:val="lv-LV"/>
              </w:rPr>
            </w:pPr>
            <w:r w:rsidRPr="004D618E">
              <w:rPr>
                <w:rFonts w:cs="Times New Roman"/>
                <w:b/>
                <w:sz w:val="20"/>
                <w:szCs w:val="20"/>
                <w:lang w:val="lv-LV"/>
              </w:rPr>
              <w:t>Klīniskās efektivitātes rādītājs</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0A8A4BB0" w14:textId="77777777" w:rsidR="004D618E" w:rsidRPr="004D618E" w:rsidRDefault="004D618E" w:rsidP="00F05019">
            <w:pPr>
              <w:spacing w:after="0"/>
              <w:jc w:val="center"/>
              <w:rPr>
                <w:rFonts w:cs="Times New Roman"/>
                <w:b/>
                <w:sz w:val="20"/>
                <w:szCs w:val="20"/>
                <w:lang w:val="lv-LV"/>
              </w:rPr>
            </w:pPr>
            <w:r w:rsidRPr="004D618E">
              <w:rPr>
                <w:rFonts w:cs="Times New Roman"/>
                <w:b/>
                <w:sz w:val="20"/>
                <w:szCs w:val="20"/>
                <w:lang w:val="lv-LV"/>
              </w:rPr>
              <w:t>Jaunās terapijas efektivitāte</w:t>
            </w:r>
          </w:p>
        </w:tc>
        <w:tc>
          <w:tcPr>
            <w:tcW w:w="1270"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76866059" w14:textId="77777777" w:rsidR="004D618E" w:rsidRPr="004D618E" w:rsidRDefault="004D618E" w:rsidP="00F05019">
            <w:pPr>
              <w:spacing w:after="0"/>
              <w:jc w:val="center"/>
              <w:rPr>
                <w:rFonts w:cs="Times New Roman"/>
                <w:b/>
                <w:sz w:val="20"/>
                <w:szCs w:val="20"/>
                <w:lang w:val="lv-LV"/>
              </w:rPr>
            </w:pPr>
            <w:r w:rsidRPr="004D618E">
              <w:rPr>
                <w:rFonts w:cs="Times New Roman"/>
                <w:b/>
                <w:sz w:val="20"/>
                <w:szCs w:val="20"/>
                <w:lang w:val="lv-LV"/>
              </w:rPr>
              <w:t>Salīdzinošās terapijas efektivitāte</w:t>
            </w:r>
          </w:p>
        </w:tc>
        <w:tc>
          <w:tcPr>
            <w:tcW w:w="1423"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14:paraId="1C2B2621" w14:textId="77777777" w:rsidR="004D618E" w:rsidRPr="004D618E" w:rsidRDefault="004D618E" w:rsidP="00F05019">
            <w:pPr>
              <w:spacing w:after="0"/>
              <w:jc w:val="center"/>
              <w:rPr>
                <w:rFonts w:cs="Times New Roman"/>
                <w:b/>
                <w:sz w:val="20"/>
                <w:szCs w:val="20"/>
                <w:lang w:val="lv-LV"/>
              </w:rPr>
            </w:pPr>
            <w:r w:rsidRPr="004D618E">
              <w:rPr>
                <w:rFonts w:cs="Times New Roman"/>
                <w:b/>
                <w:sz w:val="20"/>
                <w:szCs w:val="20"/>
                <w:lang w:val="lv-LV"/>
              </w:rPr>
              <w:t>Ieguvums, lietojot jauno terapiju</w:t>
            </w:r>
          </w:p>
        </w:tc>
      </w:tr>
      <w:tr w:rsidR="004D618E" w:rsidRPr="004D618E" w14:paraId="506412DC" w14:textId="77777777" w:rsidTr="004D618E">
        <w:trPr>
          <w:trHeight w:val="80"/>
        </w:trPr>
        <w:tc>
          <w:tcPr>
            <w:tcW w:w="24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1FFED62"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Nesīkšūnu plaušu vēzis ar ALK mutāciju</w:t>
            </w:r>
          </w:p>
        </w:tc>
        <w:tc>
          <w:tcPr>
            <w:tcW w:w="85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242B7DF"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A</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494B5BC"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Dzīvildze bez progresijas</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80CD154"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25,7 mēn.</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EC749CC"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10,4 mēn.</w:t>
            </w:r>
          </w:p>
        </w:tc>
        <w:tc>
          <w:tcPr>
            <w:tcW w:w="142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E66FF7B"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15,3 mēn.</w:t>
            </w:r>
          </w:p>
        </w:tc>
      </w:tr>
      <w:tr w:rsidR="004D618E" w:rsidRPr="004D618E" w14:paraId="6FF67A06" w14:textId="77777777" w:rsidTr="004D618E">
        <w:trPr>
          <w:trHeight w:val="80"/>
        </w:trPr>
        <w:tc>
          <w:tcPr>
            <w:tcW w:w="24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A346175"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Nesīkšūnu plaušu vēzis ar PD-L1 ekspresiju ≥1%</w:t>
            </w:r>
          </w:p>
        </w:tc>
        <w:tc>
          <w:tcPr>
            <w:tcW w:w="85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68B8FAF"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B</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313FFAC"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Dzīvildze bez progresijas</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1442DD1"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16,8 mēn.</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9E9DF1"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5,6 mēn.</w:t>
            </w:r>
          </w:p>
        </w:tc>
        <w:tc>
          <w:tcPr>
            <w:tcW w:w="142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31DF96C"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11,2 mēn.</w:t>
            </w:r>
          </w:p>
        </w:tc>
      </w:tr>
      <w:tr w:rsidR="004D618E" w:rsidRPr="004D618E" w14:paraId="5941E81E" w14:textId="77777777" w:rsidTr="004D618E">
        <w:trPr>
          <w:trHeight w:val="80"/>
        </w:trPr>
        <w:tc>
          <w:tcPr>
            <w:tcW w:w="24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DB4378E"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Akūta mieloleikoze</w:t>
            </w:r>
          </w:p>
        </w:tc>
        <w:tc>
          <w:tcPr>
            <w:tcW w:w="85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5C43AB2"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C</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40C9F06"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Kopējā dzīvildze</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33D7348"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74,7 mēn.</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77C83A6"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25,7 mēn.</w:t>
            </w:r>
          </w:p>
        </w:tc>
        <w:tc>
          <w:tcPr>
            <w:tcW w:w="142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ED33FC4"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49,1 mēn.</w:t>
            </w:r>
          </w:p>
        </w:tc>
      </w:tr>
      <w:tr w:rsidR="004D618E" w:rsidRPr="004D618E" w14:paraId="06A19762" w14:textId="77777777" w:rsidTr="00F05019">
        <w:trPr>
          <w:trHeight w:val="193"/>
        </w:trPr>
        <w:tc>
          <w:tcPr>
            <w:tcW w:w="24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0729D4A"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Hodžkina limfoma</w:t>
            </w:r>
          </w:p>
        </w:tc>
        <w:tc>
          <w:tcPr>
            <w:tcW w:w="85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8090A48"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D</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DDC434C"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Dzīvildze bez progresijas</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60E9DF7"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42,9 mēn.</w:t>
            </w:r>
          </w:p>
        </w:tc>
        <w:tc>
          <w:tcPr>
            <w:tcW w:w="12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9CEE12C"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24,1 mēn.</w:t>
            </w:r>
          </w:p>
        </w:tc>
        <w:tc>
          <w:tcPr>
            <w:tcW w:w="142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0A14A06" w14:textId="77777777" w:rsidR="004D618E" w:rsidRPr="004D618E" w:rsidRDefault="004D618E" w:rsidP="00F05019">
            <w:pPr>
              <w:spacing w:after="0"/>
              <w:jc w:val="center"/>
              <w:rPr>
                <w:rFonts w:cs="Times New Roman"/>
                <w:sz w:val="20"/>
                <w:szCs w:val="20"/>
                <w:lang w:val="lv-LV"/>
              </w:rPr>
            </w:pPr>
            <w:r w:rsidRPr="004D618E">
              <w:rPr>
                <w:rFonts w:cs="Times New Roman"/>
                <w:sz w:val="20"/>
                <w:szCs w:val="20"/>
                <w:lang w:val="lv-LV"/>
              </w:rPr>
              <w:t>18,8 mēn.</w:t>
            </w:r>
          </w:p>
        </w:tc>
      </w:tr>
    </w:tbl>
    <w:p w14:paraId="00393DDB" w14:textId="5B6B5332" w:rsidR="004D618E" w:rsidRPr="004D618E" w:rsidRDefault="004D618E" w:rsidP="004D618E">
      <w:pPr>
        <w:spacing w:before="120"/>
        <w:ind w:firstLine="709"/>
        <w:rPr>
          <w:rFonts w:cs="Times New Roman"/>
          <w:lang w:val="lv-LV"/>
        </w:rPr>
      </w:pPr>
      <w:r w:rsidRPr="004D618E">
        <w:rPr>
          <w:rFonts w:cs="Times New Roman"/>
          <w:bCs/>
          <w:lang w:val="lv-LV"/>
        </w:rPr>
        <w:t xml:space="preserve">Diagnožu grupā “Endokrīnās, uztura un vielmaiņas slimības”, </w:t>
      </w:r>
      <w:r w:rsidRPr="004D618E">
        <w:rPr>
          <w:rFonts w:cs="Times New Roman"/>
          <w:lang w:val="lv-LV"/>
        </w:rPr>
        <w:t>ņemot vērā panākto cenu samazinājumu par 2 – 37% zālēm cukura diabēta ārstēšanai (ietaupījums ~0,72</w:t>
      </w:r>
      <w:r w:rsidRPr="004D618E">
        <w:rPr>
          <w:rFonts w:cs="Times New Roman"/>
          <w:color w:val="FF0000"/>
          <w:lang w:val="lv-LV"/>
        </w:rPr>
        <w:t xml:space="preserve"> </w:t>
      </w:r>
      <w:r w:rsidRPr="004D618E">
        <w:rPr>
          <w:rFonts w:cs="Times New Roman"/>
          <w:lang w:val="lv-LV"/>
        </w:rPr>
        <w:t xml:space="preserve">milj. </w:t>
      </w:r>
      <w:r w:rsidRPr="004D618E">
        <w:rPr>
          <w:rFonts w:cs="Times New Roman"/>
          <w:i/>
          <w:color w:val="000000"/>
          <w:lang w:val="lv-LV"/>
        </w:rPr>
        <w:t>euro</w:t>
      </w:r>
      <w:r w:rsidRPr="004D618E">
        <w:rPr>
          <w:rFonts w:cs="Times New Roman"/>
          <w:lang w:val="lv-LV"/>
        </w:rPr>
        <w:t>), provizoriski 2022. gadā tiks nosegtas terapijas izmaksas papildus 2 793 pacientiem un paplašināta terapijas pieejamība, kā arī, lai uzlabotu hronisko pacientu veselības aprūpi un atbilstošas medikamentozas ārstēšanas pieejamību, vienlaikus tiks nodrošināta pieejama veselības aprūpe maksimāli tuvu pacienta dzīves vietai un samazināts nepamatots ārstu speciālistu apmeklējumu skaits. Pacientiem ar 2. tipa cukura diabētu terapijas ar DPP-4 inhibitoriem un to kombinācijām un SGLT2 inhibitoriem un to kombinācijām terapijas uzsākšana ir atļauta arī ar ģimenes ārsta rīkojumu, kas ir īpaši svarīgi C</w:t>
      </w:r>
      <w:r w:rsidR="00F05019">
        <w:rPr>
          <w:rFonts w:cs="Times New Roman"/>
          <w:lang w:val="lv-LV"/>
        </w:rPr>
        <w:t>ovid</w:t>
      </w:r>
      <w:r w:rsidRPr="004D618E">
        <w:rPr>
          <w:rFonts w:cs="Times New Roman"/>
          <w:lang w:val="lv-LV"/>
        </w:rPr>
        <w:t>-19 pandēmijas laikā. Insulta un sistēmiskas embolijas profilaksei pacientiem ar NVAF un cukura diabētu tika iekļauts jaunākās paaudzes antikoagulants, kā rezultātā no 2022. gada 519 pacientiem būs iespējams saņemt terapiju.</w:t>
      </w:r>
    </w:p>
    <w:p w14:paraId="2F06B754" w14:textId="77777777" w:rsidR="004D618E" w:rsidRPr="004D618E" w:rsidRDefault="004D618E" w:rsidP="004D618E">
      <w:pPr>
        <w:spacing w:before="120"/>
        <w:ind w:firstLine="709"/>
        <w:rPr>
          <w:rFonts w:cs="Times New Roman"/>
          <w:lang w:val="lv-LV"/>
        </w:rPr>
      </w:pPr>
      <w:r w:rsidRPr="004D618E">
        <w:rPr>
          <w:rFonts w:cs="Times New Roman"/>
          <w:lang w:val="lv-LV"/>
        </w:rPr>
        <w:t>Diagnožu grupā “Elpošanas sistēmas slimības”, ņemot vērā panākto cenu samazinājumu par 5 – 19% zālēm cukura diabēta ārstēšanai (ietaupījums ~0,22</w:t>
      </w:r>
      <w:r w:rsidRPr="004D618E">
        <w:rPr>
          <w:rFonts w:cs="Times New Roman"/>
          <w:color w:val="FF0000"/>
          <w:lang w:val="lv-LV"/>
        </w:rPr>
        <w:t xml:space="preserve"> </w:t>
      </w:r>
      <w:r w:rsidRPr="004D618E">
        <w:rPr>
          <w:rFonts w:cs="Times New Roman"/>
          <w:lang w:val="lv-LV"/>
        </w:rPr>
        <w:t xml:space="preserve">milj. </w:t>
      </w:r>
      <w:r w:rsidRPr="004D618E">
        <w:rPr>
          <w:rFonts w:cs="Times New Roman"/>
          <w:i/>
          <w:color w:val="000000"/>
          <w:lang w:val="lv-LV"/>
        </w:rPr>
        <w:t>euro</w:t>
      </w:r>
      <w:r w:rsidRPr="004D618E">
        <w:rPr>
          <w:rFonts w:cs="Times New Roman"/>
          <w:lang w:val="lv-LV"/>
        </w:rPr>
        <w:t>), provizoriski 2022. gadā tiks nosegtas terapijas izmaksas papildus 4 016 pacientiem.</w:t>
      </w:r>
    </w:p>
    <w:p w14:paraId="2FB3D0E8" w14:textId="1896C8B9" w:rsidR="004D618E" w:rsidRPr="004D618E" w:rsidRDefault="004D618E" w:rsidP="004D618E">
      <w:pPr>
        <w:spacing w:before="120"/>
        <w:ind w:firstLine="709"/>
        <w:rPr>
          <w:rFonts w:cs="Times New Roman"/>
          <w:lang w:val="lv-LV"/>
        </w:rPr>
      </w:pPr>
      <w:r w:rsidRPr="004D618E">
        <w:rPr>
          <w:rFonts w:cs="Times New Roman"/>
          <w:lang w:val="lv-LV"/>
        </w:rPr>
        <w:t xml:space="preserve">Diagnožu grupā “Psihiski un uzvedības traucējumi” izlietotais finansējums 2021. gada pirmajā ceturksnī, salīdzinot ar 2020. gada pirmo ceturksni, ir samazinājies par 1%. KZS iekļauto zāļu cenu samazināšanas rezultātā samazinājušās viena pacienta vidējās izmaksas par 3% jeb 1,29 </w:t>
      </w:r>
      <w:r w:rsidRPr="004D618E">
        <w:rPr>
          <w:rFonts w:cs="Times New Roman"/>
          <w:i/>
          <w:lang w:val="lv-LV"/>
        </w:rPr>
        <w:t>euro</w:t>
      </w:r>
      <w:r w:rsidRPr="004D618E">
        <w:rPr>
          <w:rFonts w:cs="Times New Roman"/>
          <w:lang w:val="lv-LV"/>
        </w:rPr>
        <w:t xml:space="preserve"> un, neskatoties uz nelielu pacientu skaita pieaugumu par ~2%, kopējās izmaksas samazinājušās par 5% (ietaupījums – 0,02 milj. </w:t>
      </w:r>
      <w:r w:rsidRPr="004D618E">
        <w:rPr>
          <w:rFonts w:cs="Times New Roman"/>
          <w:i/>
          <w:lang w:val="lv-LV"/>
        </w:rPr>
        <w:t>euro</w:t>
      </w:r>
      <w:r w:rsidRPr="004D618E">
        <w:rPr>
          <w:rFonts w:cs="Times New Roman"/>
          <w:lang w:val="lv-LV"/>
        </w:rPr>
        <w:t>). Šo ietaupījumu paredzēts novirzīt pacientu skaita pieauguma, kas pēdējo gadu laikā ir novērojams šajā diagnožu grupā, izmaksu segšanai (2020. gadā, salīdzinot ar 2019. gadu, unikālo pacientu skaits pieauga par 6% jeb gandrīz 2 000 pacientiem un tiek prognozēts, ka C</w:t>
      </w:r>
      <w:r w:rsidR="00F05019">
        <w:rPr>
          <w:rFonts w:cs="Times New Roman"/>
          <w:lang w:val="lv-LV"/>
        </w:rPr>
        <w:t>ovid</w:t>
      </w:r>
      <w:r w:rsidRPr="004D618E">
        <w:rPr>
          <w:rFonts w:cs="Times New Roman"/>
          <w:lang w:val="lv-LV"/>
        </w:rPr>
        <w:t>-19 pandēmijas rezultātā šim skaitam būs tendence palielināties arī turpmākajos gados).</w:t>
      </w:r>
    </w:p>
    <w:p w14:paraId="20622FC5" w14:textId="77777777" w:rsidR="004D618E" w:rsidRPr="004D618E" w:rsidRDefault="004D618E" w:rsidP="004D618E">
      <w:pPr>
        <w:ind w:firstLine="709"/>
        <w:rPr>
          <w:rFonts w:cs="Times New Roman"/>
          <w:b/>
          <w:bCs/>
          <w:highlight w:val="cyan"/>
          <w:lang w:val="lv-LV"/>
        </w:rPr>
      </w:pPr>
      <w:r w:rsidRPr="004D618E">
        <w:rPr>
          <w:rFonts w:cs="Times New Roman"/>
          <w:lang w:val="lv-LV"/>
        </w:rPr>
        <w:t xml:space="preserve">Diagnožu grupā “Asinsrites sistēmas slimības” tika panākts viena pacienta terapijas izmaksu samazinājums vidēji par 30% diagnozes </w:t>
      </w:r>
      <w:r w:rsidRPr="004D618E">
        <w:rPr>
          <w:rFonts w:cs="Times New Roman"/>
          <w:i/>
          <w:iCs/>
          <w:lang w:val="lv-LV"/>
        </w:rPr>
        <w:t>Priekškambaru mirdzēšana un plandīšanās</w:t>
      </w:r>
      <w:r w:rsidRPr="004D618E">
        <w:rPr>
          <w:rFonts w:cs="Times New Roman"/>
          <w:lang w:val="lv-LV"/>
        </w:rPr>
        <w:t xml:space="preserve"> </w:t>
      </w:r>
      <w:r w:rsidRPr="004D618E">
        <w:rPr>
          <w:rFonts w:cs="Times New Roman"/>
          <w:i/>
          <w:iCs/>
          <w:lang w:val="lv-LV"/>
        </w:rPr>
        <w:t xml:space="preserve">(I48.0-I48.4, I48.9) </w:t>
      </w:r>
      <w:r w:rsidRPr="004D618E">
        <w:rPr>
          <w:rFonts w:cs="Times New Roman"/>
          <w:lang w:val="lv-LV"/>
        </w:rPr>
        <w:t xml:space="preserve">gadījumā, kā rezultātā esošā finansējuma ietvaros tika rasta iespēja nodrošināt terapiju 28 200 pacientiem ar jaunākās paaudzes antikoagulantiem. KZS iekļauto zāļu cenu samazināšanas rezultātā KZS iekļauto </w:t>
      </w:r>
      <w:r w:rsidRPr="004D618E">
        <w:rPr>
          <w:bCs/>
          <w:color w:val="000000"/>
          <w:lang w:val="lv-LV"/>
        </w:rPr>
        <w:t xml:space="preserve">angiotensīna receptoru blokatoru izmaksas samazinājās, līdz ar to, pārskatot kompensācijas nosacījumus, pacientiem </w:t>
      </w:r>
      <w:r w:rsidRPr="004D618E">
        <w:rPr>
          <w:lang w:val="lv-LV"/>
        </w:rPr>
        <w:t xml:space="preserve">hipertensīvo slimību </w:t>
      </w:r>
      <w:r w:rsidRPr="004D618E">
        <w:rPr>
          <w:lang w:val="lv-LV"/>
        </w:rPr>
        <w:lastRenderedPageBreak/>
        <w:t xml:space="preserve">ārstēšanā ir iespējams uzreiz saņemt </w:t>
      </w:r>
      <w:r w:rsidRPr="004D618E">
        <w:rPr>
          <w:bCs/>
          <w:color w:val="000000"/>
          <w:lang w:val="lv-LV"/>
        </w:rPr>
        <w:t xml:space="preserve">angiotensīna receptoru blokatoru (iepriekš tos varēja saņemt tikai </w:t>
      </w:r>
      <w:r w:rsidRPr="004D618E">
        <w:rPr>
          <w:iCs/>
          <w:lang w:val="lv-LV"/>
        </w:rPr>
        <w:t xml:space="preserve">pacienti, kuriem ir efektīva un indicēta </w:t>
      </w:r>
      <w:r w:rsidRPr="004D618E">
        <w:rPr>
          <w:iCs/>
          <w:color w:val="000000"/>
          <w:lang w:val="lv-LV"/>
        </w:rPr>
        <w:t xml:space="preserve">angiotensīnu konvertējošā enzīma (AKE) inhibitoru </w:t>
      </w:r>
      <w:r w:rsidRPr="004D618E">
        <w:rPr>
          <w:iCs/>
          <w:lang w:val="lv-LV"/>
        </w:rPr>
        <w:t>lietošana, bet ir to nepanesība klepus dēļ), kā rezultātā pacientiem tika palielinātas terapijas izvēles iespējas.</w:t>
      </w:r>
    </w:p>
    <w:p w14:paraId="71CF6A16" w14:textId="77777777" w:rsidR="004D618E" w:rsidRPr="004D618E" w:rsidRDefault="004D618E" w:rsidP="004D618E">
      <w:pPr>
        <w:ind w:firstLine="709"/>
        <w:rPr>
          <w:rFonts w:cs="Times New Roman"/>
          <w:lang w:val="lv-LV"/>
        </w:rPr>
      </w:pPr>
      <w:r w:rsidRPr="004D618E">
        <w:rPr>
          <w:rFonts w:cs="Times New Roman"/>
          <w:lang w:val="lv-LV"/>
        </w:rPr>
        <w:t xml:space="preserve">Iekļaujot KZS lētākas Stomas aprūpes preces, tādējādi palielinot pacientu izvēles iespējas, kā arī jaunu preču veidu, izsmidzināmu līdzekli, adhezīva noņemšanai, kā rezultātā diagnožu grupā “Faktori, kas ietekmē veselību un saskari ar veselības aprūpes” izmaksas tiek samazinātas par 1 – 27% (ietaupījums – 0,11 milj. </w:t>
      </w:r>
      <w:r w:rsidRPr="004D618E">
        <w:rPr>
          <w:rFonts w:cs="Times New Roman"/>
          <w:i/>
          <w:iCs/>
          <w:lang w:val="lv-LV"/>
        </w:rPr>
        <w:t>euro</w:t>
      </w:r>
      <w:r w:rsidRPr="004D618E">
        <w:rPr>
          <w:rFonts w:cs="Times New Roman"/>
          <w:lang w:val="lv-LV"/>
        </w:rPr>
        <w:t>).</w:t>
      </w:r>
    </w:p>
    <w:p w14:paraId="3D25BFCF" w14:textId="77777777" w:rsidR="004D618E" w:rsidRPr="004D618E" w:rsidRDefault="004D618E" w:rsidP="004D618E">
      <w:pPr>
        <w:ind w:firstLine="709"/>
        <w:rPr>
          <w:rFonts w:cs="Times New Roman"/>
          <w:lang w:val="lv-LV"/>
        </w:rPr>
      </w:pPr>
      <w:r w:rsidRPr="004D618E">
        <w:rPr>
          <w:rFonts w:cs="Times New Roman"/>
          <w:lang w:val="lv-LV"/>
        </w:rPr>
        <w:t xml:space="preserve">Diagnožu grupā “Muskuļu, skeleta un saistaudu slimības” panākta ražotāja finansiālā līdzdalība terapijas nodrošināšanā, KZS bez papildus ietekmes uz budžetu iekļaujot jaunas zāles multiplās sklerozes pacientu ārstēšanai. 2020. gadā KZS iekļaujot lētākas ģenēriskās zāles, vidējās izmaksas uz vienu pacientu salīdzinājumā ar 2019. gadu samazinājās par 13% jeb par 36,33 </w:t>
      </w:r>
      <w:r w:rsidRPr="004D618E">
        <w:rPr>
          <w:rFonts w:cs="Times New Roman"/>
          <w:i/>
          <w:iCs/>
          <w:lang w:val="lv-LV"/>
        </w:rPr>
        <w:t>euro</w:t>
      </w:r>
      <w:r w:rsidRPr="004D618E">
        <w:rPr>
          <w:rFonts w:cs="Times New Roman"/>
          <w:lang w:val="lv-LV"/>
        </w:rPr>
        <w:t xml:space="preserve">, radot ietaupījumu 0,55 milj. </w:t>
      </w:r>
      <w:r w:rsidRPr="004D618E">
        <w:rPr>
          <w:rFonts w:cs="Times New Roman"/>
          <w:i/>
          <w:iCs/>
          <w:lang w:val="lv-LV"/>
        </w:rPr>
        <w:t>euro</w:t>
      </w:r>
      <w:r w:rsidRPr="004D618E">
        <w:rPr>
          <w:rFonts w:cs="Times New Roman"/>
          <w:lang w:val="lv-LV"/>
        </w:rPr>
        <w:t xml:space="preserve"> apmērā, kas ļāva paplašināt terapijas iespējas vismaz 22 multiplās sklerozes pacientiem ar aktīvu recidivējoši-remitējošu multiplo sklerozi, savukārt atlikušie 0,25 milj. </w:t>
      </w:r>
      <w:r w:rsidRPr="004D618E">
        <w:rPr>
          <w:rFonts w:cs="Times New Roman"/>
          <w:i/>
          <w:lang w:val="lv-LV"/>
        </w:rPr>
        <w:t>euro</w:t>
      </w:r>
      <w:r w:rsidRPr="004D618E">
        <w:rPr>
          <w:rFonts w:cs="Times New Roman"/>
          <w:lang w:val="lv-LV"/>
        </w:rPr>
        <w:t xml:space="preserve"> novirzīti pacientu skaita pieauguma segšanai visas kompensācijas sistēmas ietvaros.</w:t>
      </w:r>
    </w:p>
    <w:p w14:paraId="6C3C3EBD" w14:textId="77777777" w:rsidR="004D618E" w:rsidRPr="004D618E" w:rsidRDefault="004D618E" w:rsidP="00A65D3D">
      <w:pPr>
        <w:ind w:firstLine="720"/>
        <w:rPr>
          <w:rFonts w:cs="Times New Roman"/>
          <w:lang w:val="lv-LV"/>
        </w:rPr>
      </w:pPr>
      <w:r w:rsidRPr="004D618E">
        <w:rPr>
          <w:rFonts w:cs="Times New Roman"/>
          <w:lang w:val="lv-LV"/>
        </w:rPr>
        <w:t xml:space="preserve">Kopējais ietaupījums </w:t>
      </w:r>
      <w:r w:rsidRPr="004D618E">
        <w:rPr>
          <w:rFonts w:eastAsia="Times New Roman" w:cs="Times New Roman"/>
          <w:lang w:val="lv-LV" w:eastAsia="lv-LV"/>
        </w:rPr>
        <w:t xml:space="preserve">KZS iekļauto zāļu cenu samazināšanas un lētāku ģenērisko zāļu iekļaušanas rezultātā veido 3,18 milj. </w:t>
      </w:r>
      <w:r w:rsidRPr="004D618E">
        <w:rPr>
          <w:rFonts w:eastAsia="Times New Roman" w:cs="Times New Roman"/>
          <w:i/>
          <w:lang w:val="lv-LV" w:eastAsia="lv-LV"/>
        </w:rPr>
        <w:t>euro</w:t>
      </w:r>
      <w:r w:rsidRPr="004D618E">
        <w:rPr>
          <w:rFonts w:eastAsia="Times New Roman" w:cs="Times New Roman"/>
          <w:lang w:val="lv-LV" w:eastAsia="lv-LV"/>
        </w:rPr>
        <w:t xml:space="preserve">. </w:t>
      </w:r>
      <w:r w:rsidRPr="004D618E">
        <w:rPr>
          <w:rFonts w:cs="Times New Roman"/>
          <w:lang w:val="lv-LV"/>
        </w:rPr>
        <w:t>Ietaupījums ļauj nodrošināt ārstēšanu papildus pacientiem zemāk minēto diagnožu grupu ietvaros, nelielu daļu finansējuma novirzīt pacientu skaita pieauguma segšanai visas kompensācijas sistēmas ietvaros, paaugstināt valsts apmaksāto daļu un samazināt pacienta līdzmaksājumu, kā arī segt pacientu terapijas izmaksu pieaugumu.</w:t>
      </w:r>
    </w:p>
    <w:p w14:paraId="5E3FD0FE" w14:textId="77777777" w:rsidR="004D618E" w:rsidRPr="004D618E" w:rsidRDefault="004D618E" w:rsidP="00A65D3D">
      <w:pPr>
        <w:ind w:firstLine="720"/>
        <w:rPr>
          <w:rFonts w:cs="Times New Roman"/>
          <w:b/>
          <w:sz w:val="28"/>
          <w:szCs w:val="28"/>
          <w:lang w:val="lv-LV"/>
        </w:rPr>
      </w:pPr>
      <w:r w:rsidRPr="004D618E">
        <w:rPr>
          <w:rFonts w:eastAsia="Times New Roman" w:cs="Times New Roman"/>
          <w:lang w:val="lv-LV" w:eastAsia="lv-LV"/>
        </w:rPr>
        <w:t>Ietaupījuma proporcionālais sadalījums:</w:t>
      </w:r>
    </w:p>
    <w:p w14:paraId="514195AF" w14:textId="7267FF5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34% (1,07 milj. </w:t>
      </w:r>
      <w:r w:rsidRPr="004D618E">
        <w:rPr>
          <w:rFonts w:cs="Times New Roman"/>
          <w:i/>
          <w:lang w:val="lv-LV"/>
        </w:rPr>
        <w:t>euro</w:t>
      </w:r>
      <w:r w:rsidRPr="004D618E">
        <w:rPr>
          <w:rFonts w:cs="Times New Roman"/>
          <w:lang w:val="lv-LV"/>
        </w:rPr>
        <w:t>) no onkoloģijas zālēm (cenas samazinātas 14 zāļu grupām/zāļu vispārīgajiem nosaukumiem).</w:t>
      </w:r>
    </w:p>
    <w:p w14:paraId="5C184C9D" w14:textId="77777777" w:rsidR="004D618E" w:rsidRPr="004D618E" w:rsidRDefault="004D618E" w:rsidP="0005194E">
      <w:pPr>
        <w:numPr>
          <w:ilvl w:val="0"/>
          <w:numId w:val="30"/>
        </w:numPr>
        <w:ind w:left="993" w:hanging="284"/>
        <w:rPr>
          <w:rFonts w:cs="Times New Roman"/>
          <w:lang w:val="lv-LV"/>
        </w:rPr>
      </w:pPr>
      <w:r w:rsidRPr="004D618E">
        <w:rPr>
          <w:rFonts w:cs="Times New Roman"/>
          <w:lang w:val="lv-LV"/>
        </w:rPr>
        <w:t>23% (0,72 milj.</w:t>
      </w:r>
      <w:r w:rsidRPr="004D618E">
        <w:rPr>
          <w:rFonts w:cs="Times New Roman"/>
          <w:i/>
          <w:lang w:val="lv-LV"/>
        </w:rPr>
        <w:t xml:space="preserve"> euro</w:t>
      </w:r>
      <w:r w:rsidRPr="004D618E">
        <w:rPr>
          <w:rFonts w:cs="Times New Roman"/>
          <w:lang w:val="lv-LV"/>
        </w:rPr>
        <w:t>) no zālēm cukura diabēta ārstēšanai (cenas samazinātas 10 zāļu grupām/zāļu vispārīgajiem nosaukumiem);</w:t>
      </w:r>
    </w:p>
    <w:p w14:paraId="2B400E69"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17% (0,55 milj. </w:t>
      </w:r>
      <w:r w:rsidRPr="004D618E">
        <w:rPr>
          <w:rFonts w:cs="Times New Roman"/>
          <w:i/>
          <w:lang w:val="lv-LV"/>
        </w:rPr>
        <w:t>euro</w:t>
      </w:r>
      <w:r w:rsidRPr="004D618E">
        <w:rPr>
          <w:rFonts w:cs="Times New Roman"/>
          <w:lang w:val="lv-LV"/>
        </w:rPr>
        <w:t>) no bioloģiskajām zālēm skeleta, muskuļu un saistaudu slimību ārstēšanai (cenas samazinātas 3 zāļu grupām/zāļu vispārīgajiem nosaukumiem);</w:t>
      </w:r>
    </w:p>
    <w:p w14:paraId="537590C9"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10% (0,33 milj. </w:t>
      </w:r>
      <w:r w:rsidRPr="004D618E">
        <w:rPr>
          <w:rFonts w:cs="Times New Roman"/>
          <w:i/>
          <w:lang w:val="lv-LV"/>
        </w:rPr>
        <w:t>euro</w:t>
      </w:r>
      <w:r w:rsidRPr="004D618E">
        <w:rPr>
          <w:rFonts w:cs="Times New Roman"/>
          <w:lang w:val="lv-LV"/>
        </w:rPr>
        <w:t>) no zālēm Asinsrites sistēmas slimību ārstēšanai (cenas samazinātas 13 zāļu grupām/zāļu vispārīgajiem nosaukumiem);</w:t>
      </w:r>
    </w:p>
    <w:p w14:paraId="6040432A"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7% (0,22 milj. </w:t>
      </w:r>
      <w:r w:rsidRPr="004D618E">
        <w:rPr>
          <w:rFonts w:cs="Times New Roman"/>
          <w:i/>
          <w:lang w:val="lv-LV"/>
        </w:rPr>
        <w:t>euro</w:t>
      </w:r>
      <w:r w:rsidRPr="004D618E">
        <w:rPr>
          <w:rFonts w:cs="Times New Roman"/>
          <w:lang w:val="lv-LV"/>
        </w:rPr>
        <w:t>) no zālēm elpošanas sistēmu slimību ārstēšanai (cenas samazinātas 6 zāļu vispārīgajiem nosaukumiem);</w:t>
      </w:r>
    </w:p>
    <w:p w14:paraId="1C5D7B6D"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4% (0,12 milj. </w:t>
      </w:r>
      <w:r w:rsidRPr="004D618E">
        <w:rPr>
          <w:rFonts w:cs="Times New Roman"/>
          <w:i/>
          <w:lang w:val="lv-LV"/>
        </w:rPr>
        <w:t>euro</w:t>
      </w:r>
      <w:r w:rsidRPr="004D618E">
        <w:rPr>
          <w:rFonts w:cs="Times New Roman"/>
          <w:lang w:val="lv-LV"/>
        </w:rPr>
        <w:t>) no zālēm faktoriem, kas ietekmē veselību un saskari ar veselības aprūpes darbiniekiem (cenas samazinātas 1 zāļu vispārīgajiem nosaukumiem un 2 medicīnisko ierīču grupai);</w:t>
      </w:r>
    </w:p>
    <w:p w14:paraId="4954BDEB"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3% (0,09 milj. </w:t>
      </w:r>
      <w:r w:rsidRPr="004D618E">
        <w:rPr>
          <w:rFonts w:cs="Times New Roman"/>
          <w:i/>
          <w:lang w:val="lv-LV"/>
        </w:rPr>
        <w:t>euro</w:t>
      </w:r>
      <w:r w:rsidRPr="004D618E">
        <w:rPr>
          <w:rFonts w:cs="Times New Roman"/>
          <w:lang w:val="lv-LV"/>
        </w:rPr>
        <w:t>) no zālēm nervu sistēmas slimību ārstēšanai (cenas samazinātas 7 zāļu vispārīgajiem nosaukumiem);</w:t>
      </w:r>
    </w:p>
    <w:p w14:paraId="5306B87C"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1,3% (0,04 milj. </w:t>
      </w:r>
      <w:r w:rsidRPr="004D618E">
        <w:rPr>
          <w:rFonts w:cs="Times New Roman"/>
          <w:i/>
          <w:lang w:val="lv-LV"/>
        </w:rPr>
        <w:t>euro</w:t>
      </w:r>
      <w:r w:rsidRPr="004D618E">
        <w:rPr>
          <w:rFonts w:cs="Times New Roman"/>
          <w:lang w:val="lv-LV"/>
        </w:rPr>
        <w:t>) no zālēm acu un to palīgorgānu slimību ārstēšanai (cenas samazinātas 6 zāļu vispārīgajiem nosaukumiem);</w:t>
      </w:r>
    </w:p>
    <w:p w14:paraId="43E05E43"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t xml:space="preserve">0,6% (0,02 milj. </w:t>
      </w:r>
      <w:r w:rsidRPr="004D618E">
        <w:rPr>
          <w:rFonts w:cs="Times New Roman"/>
          <w:i/>
          <w:lang w:val="lv-LV"/>
        </w:rPr>
        <w:t>euro</w:t>
      </w:r>
      <w:r w:rsidRPr="004D618E">
        <w:rPr>
          <w:rFonts w:cs="Times New Roman"/>
          <w:lang w:val="lv-LV"/>
        </w:rPr>
        <w:t>) no psihisko un uzvedības traucējumu ārstēšanaiārstēšanai (cenas samazinātas 3 zāļu vispārīgajiem nosaukumiem);</w:t>
      </w:r>
    </w:p>
    <w:p w14:paraId="118D1BCA" w14:textId="77777777" w:rsidR="004D618E" w:rsidRPr="004D618E" w:rsidRDefault="004D618E" w:rsidP="0005194E">
      <w:pPr>
        <w:numPr>
          <w:ilvl w:val="0"/>
          <w:numId w:val="30"/>
        </w:numPr>
        <w:ind w:left="993" w:hanging="284"/>
        <w:rPr>
          <w:rFonts w:cs="Times New Roman"/>
          <w:color w:val="FF0000"/>
          <w:lang w:val="lv-LV"/>
        </w:rPr>
      </w:pPr>
      <w:r w:rsidRPr="004D618E">
        <w:rPr>
          <w:rFonts w:cs="Times New Roman"/>
          <w:lang w:val="lv-LV"/>
        </w:rPr>
        <w:lastRenderedPageBreak/>
        <w:t xml:space="preserve">0,3% (jeb 0,01 milj. </w:t>
      </w:r>
      <w:r w:rsidRPr="004D618E">
        <w:rPr>
          <w:rFonts w:cs="Times New Roman"/>
          <w:i/>
          <w:lang w:val="lv-LV"/>
        </w:rPr>
        <w:t>euro</w:t>
      </w:r>
      <w:r w:rsidRPr="004D618E">
        <w:rPr>
          <w:rFonts w:cs="Times New Roman"/>
          <w:lang w:val="lv-LV"/>
        </w:rPr>
        <w:t>) no zālēm uroģenitālās sistēmas slimību ārstēšanai (cenas samazinātas 6 zāļu vispārīgajiem nosaukumiem).</w:t>
      </w:r>
    </w:p>
    <w:p w14:paraId="70D9FE25" w14:textId="6179DD10" w:rsidR="004D618E" w:rsidRPr="00A65D3D" w:rsidRDefault="004D618E" w:rsidP="00A65D3D">
      <w:pPr>
        <w:ind w:firstLine="709"/>
        <w:rPr>
          <w:rFonts w:cs="Times New Roman"/>
          <w:lang w:val="lv-LV"/>
        </w:rPr>
      </w:pPr>
      <w:r w:rsidRPr="004D618E">
        <w:rPr>
          <w:rFonts w:cs="Times New Roman"/>
          <w:lang w:val="lv-LV"/>
        </w:rPr>
        <w:t xml:space="preserve">2019. gadā pacienta brīvprātīgais maksājums veidoja 25,07 milj. </w:t>
      </w:r>
      <w:r w:rsidRPr="004D618E">
        <w:rPr>
          <w:rFonts w:cs="Times New Roman"/>
          <w:i/>
          <w:lang w:val="lv-LV"/>
        </w:rPr>
        <w:t>euro</w:t>
      </w:r>
      <w:r w:rsidRPr="004D618E">
        <w:rPr>
          <w:rFonts w:cs="Times New Roman"/>
          <w:lang w:val="lv-LV"/>
        </w:rPr>
        <w:t xml:space="preserve"> jeb 58% no kopējiem pacientu izdevumiem par kompensējamām zālēm. Pēc INN obligātas izrakstīšanas receptē un atbilstoša lētākā medikamenta izsniegšanas aptiekā ieviešanas no 2020. gada 1. aprīļa, pacienta brīvprātīgais maksājums 2020. gadā, salīdzinot ar 2019. gadu, samazinājās par 32 %</w:t>
      </w:r>
      <w:r w:rsidR="00FF342C">
        <w:rPr>
          <w:rFonts w:cs="Times New Roman"/>
          <w:lang w:val="lv-LV"/>
        </w:rPr>
        <w:t xml:space="preserve"> </w:t>
      </w:r>
      <w:r w:rsidRPr="004D618E">
        <w:rPr>
          <w:rFonts w:cs="Times New Roman"/>
          <w:lang w:val="lv-LV"/>
        </w:rPr>
        <w:t xml:space="preserve">jeb 8,13 milj. </w:t>
      </w:r>
      <w:r w:rsidRPr="004D618E">
        <w:rPr>
          <w:rFonts w:cs="Times New Roman"/>
          <w:i/>
          <w:iCs/>
          <w:lang w:val="lv-LV"/>
        </w:rPr>
        <w:t>euro</w:t>
      </w:r>
      <w:r w:rsidR="00A65D3D">
        <w:rPr>
          <w:rFonts w:cs="Times New Roman"/>
          <w:lang w:val="lv-LV"/>
        </w:rPr>
        <w:t xml:space="preserve"> (Attēls Nr. 3.1.6.).</w:t>
      </w:r>
    </w:p>
    <w:p w14:paraId="75F7D40A" w14:textId="77777777" w:rsidR="004D618E" w:rsidRPr="004D618E" w:rsidRDefault="004D618E" w:rsidP="004D618E">
      <w:pPr>
        <w:jc w:val="center"/>
        <w:rPr>
          <w:rFonts w:eastAsia="Times New Roman" w:cs="Times New Roman"/>
          <w:b/>
          <w:sz w:val="22"/>
          <w:lang w:val="lv-LV"/>
        </w:rPr>
      </w:pPr>
      <w:r w:rsidRPr="004D618E">
        <w:rPr>
          <w:rFonts w:eastAsia="Verdana"/>
          <w:b/>
          <w:bCs/>
          <w:i/>
          <w:iCs/>
          <w:color w:val="000000"/>
          <w:kern w:val="24"/>
          <w:sz w:val="22"/>
          <w:szCs w:val="20"/>
          <w:lang w:val="lv-LV"/>
        </w:rPr>
        <w:t xml:space="preserve">3.1.6. </w:t>
      </w:r>
      <w:r w:rsidRPr="004D618E">
        <w:rPr>
          <w:rFonts w:eastAsia="Verdana"/>
          <w:b/>
          <w:bCs/>
          <w:i/>
          <w:iCs/>
          <w:color w:val="000000"/>
          <w:kern w:val="24"/>
          <w:sz w:val="22"/>
          <w:lang w:val="lv-LV"/>
        </w:rPr>
        <w:t>attēls</w:t>
      </w:r>
      <w:r w:rsidRPr="004D618E">
        <w:rPr>
          <w:rFonts w:eastAsia="Verdana"/>
          <w:b/>
          <w:bCs/>
          <w:color w:val="000000"/>
          <w:kern w:val="24"/>
          <w:sz w:val="22"/>
          <w:lang w:val="lv-LV"/>
        </w:rPr>
        <w:t xml:space="preserve"> </w:t>
      </w:r>
      <w:r w:rsidRPr="004D618E">
        <w:rPr>
          <w:rFonts w:eastAsia="Times New Roman" w:cs="Times New Roman"/>
          <w:b/>
          <w:sz w:val="22"/>
          <w:lang w:val="lv-LV"/>
        </w:rPr>
        <w:t>Pacientu brīvprātīgā maksājuma dinamika</w:t>
      </w:r>
    </w:p>
    <w:p w14:paraId="3F8E748D" w14:textId="77777777" w:rsidR="004D618E" w:rsidRPr="004D618E" w:rsidRDefault="004D618E" w:rsidP="004D618E">
      <w:pPr>
        <w:jc w:val="center"/>
        <w:rPr>
          <w:rFonts w:ascii="Calibri" w:eastAsia="Times New Roman" w:hAnsi="Calibri" w:cs="Calibri"/>
          <w:bCs/>
          <w:color w:val="000000"/>
          <w:sz w:val="22"/>
          <w:lang w:val="lv-LV"/>
        </w:rPr>
      </w:pPr>
      <w:r w:rsidRPr="004D618E">
        <w:rPr>
          <w:noProof/>
          <w:lang w:val="lv-LV" w:eastAsia="lv-LV"/>
        </w:rPr>
        <w:drawing>
          <wp:inline distT="0" distB="0" distL="0" distR="0" wp14:anchorId="2993586F" wp14:editId="14B45333">
            <wp:extent cx="4572000" cy="2743200"/>
            <wp:effectExtent l="0" t="0" r="0" b="0"/>
            <wp:docPr id="75" name="Chart 75">
              <a:extLst xmlns:a="http://schemas.openxmlformats.org/drawingml/2006/main">
                <a:ext uri="{FF2B5EF4-FFF2-40B4-BE49-F238E27FC236}">
                  <a16:creationId xmlns:a16="http://schemas.microsoft.com/office/drawing/2014/main" id="{E00DC5A3-50E1-4166-B693-C7BC99B9DE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9CD7F4E" w14:textId="5F20D4C9" w:rsidR="004D618E" w:rsidRPr="00A65D3D" w:rsidRDefault="004D618E" w:rsidP="00A65D3D">
      <w:pPr>
        <w:spacing w:before="120"/>
        <w:ind w:firstLine="709"/>
        <w:rPr>
          <w:lang w:val="lv-LV"/>
        </w:rPr>
      </w:pPr>
      <w:r w:rsidRPr="004D618E">
        <w:rPr>
          <w:rFonts w:cs="Times New Roman"/>
          <w:lang w:val="lv-LV"/>
        </w:rPr>
        <w:t xml:space="preserve">2022. gadā līdzdalības atmaksas maksājumiem saistībā ar vienošanos līgumiem par zāļu ražotāja finansiālo līdzdalību būs tendence samazināties. Vienošanās ir noslēgtas ilgtermiņā, tajās iekļaujot nosacījumus attiecībā uz aptiekās izsniegto medikamentu daudzumu un pacientu skaitu. </w:t>
      </w:r>
      <w:r w:rsidRPr="004D618E">
        <w:rPr>
          <w:lang w:val="lv-LV"/>
        </w:rPr>
        <w:t xml:space="preserve">Pašu ieņēmumu apjoma izmaiņas ietekmē sarunu/vienošanās rezultāti, jo gadījumos, kad zāļu ražotājs samazina cenu vai piedāvā citu apmaksas shēmu, piemēram, nodrošina bezmaksas zāļu iepakojumus, vai kompensējamo zāļu sarakstā tiek iekļautas </w:t>
      </w:r>
      <w:r w:rsidRPr="004D618E">
        <w:rPr>
          <w:rFonts w:cs="Times New Roman"/>
          <w:lang w:val="lv-LV"/>
        </w:rPr>
        <w:t>lētākas patentbrīvās zāles,</w:t>
      </w:r>
      <w:r w:rsidRPr="004D618E">
        <w:rPr>
          <w:lang w:val="lv-LV"/>
        </w:rPr>
        <w:t xml:space="preserve"> atmaksas maksājumi samazinās. Līdz ar to prognozēt pašu ieņēmumus trīs gadu periodam ir sarežģīti, bet </w:t>
      </w:r>
      <w:r w:rsidRPr="004D618E">
        <w:rPr>
          <w:b/>
          <w:bCs/>
          <w:lang w:val="lv-LV"/>
        </w:rPr>
        <w:t xml:space="preserve">potenciālie ieguvumi no vienošanās līguma nosacījumiem ar ražotājiem 2022. gadā varētu būt 12 milj. </w:t>
      </w:r>
      <w:r w:rsidRPr="004D618E">
        <w:rPr>
          <w:b/>
          <w:bCs/>
          <w:i/>
          <w:iCs/>
          <w:lang w:val="lv-LV"/>
        </w:rPr>
        <w:t>euro</w:t>
      </w:r>
      <w:r w:rsidR="00A65D3D">
        <w:rPr>
          <w:lang w:val="lv-LV"/>
        </w:rPr>
        <w:t>.</w:t>
      </w:r>
    </w:p>
    <w:p w14:paraId="0B99BB57" w14:textId="794F20B6" w:rsidR="004D618E" w:rsidRPr="00A65D3D" w:rsidRDefault="004D618E" w:rsidP="004D618E">
      <w:pPr>
        <w:spacing w:before="120"/>
        <w:rPr>
          <w:b/>
          <w:iCs/>
          <w:lang w:val="lv-LV"/>
        </w:rPr>
      </w:pPr>
      <w:r w:rsidRPr="00A65D3D">
        <w:rPr>
          <w:b/>
          <w:iCs/>
          <w:lang w:val="lv-LV"/>
        </w:rPr>
        <w:t>Secinājumi</w:t>
      </w:r>
      <w:r w:rsidR="00A65D3D">
        <w:rPr>
          <w:b/>
          <w:iCs/>
          <w:lang w:val="lv-LV"/>
        </w:rPr>
        <w:t>:</w:t>
      </w:r>
    </w:p>
    <w:p w14:paraId="23B4B094" w14:textId="77777777" w:rsidR="004D618E" w:rsidRPr="004D618E" w:rsidRDefault="004D618E" w:rsidP="0092778C">
      <w:pPr>
        <w:pStyle w:val="ListParagraph"/>
        <w:numPr>
          <w:ilvl w:val="0"/>
          <w:numId w:val="31"/>
        </w:numPr>
        <w:spacing w:before="120"/>
        <w:ind w:left="1066" w:hanging="357"/>
        <w:contextualSpacing w:val="0"/>
        <w:rPr>
          <w:lang w:val="lv-LV"/>
        </w:rPr>
      </w:pPr>
      <w:r w:rsidRPr="004D618E">
        <w:rPr>
          <w:lang w:val="lv-LV"/>
        </w:rPr>
        <w:t xml:space="preserve">Tā kā VM nespēj nodrošināt budžeta vietas visiem rezidentiem, nepieciešams rast risinājumu finansējuma palielinājumam rezidentūras nodrošināšanai. FM finansējuma iegūšanai piedāvā pārskatīt studiju ilgumu tajās ārstu specialitāšu grupās, kurās mācību ilgums Latvijā ir lielāks nekā ES direktīvā noteiktais minimālais studiju ilgums. Īstenojot šādu pieeju, aprēķināts potenciālais iekšējais resurss </w:t>
      </w:r>
      <w:r w:rsidRPr="004D618E">
        <w:rPr>
          <w:rFonts w:eastAsia="Verdana"/>
          <w:color w:val="000000" w:themeColor="dark1"/>
          <w:kern w:val="24"/>
          <w:lang w:val="lv-LV"/>
        </w:rPr>
        <w:t xml:space="preserve">2 604 086,40 </w:t>
      </w:r>
      <w:r w:rsidRPr="004D618E">
        <w:rPr>
          <w:rFonts w:eastAsia="Verdana"/>
          <w:i/>
          <w:iCs/>
          <w:color w:val="000000" w:themeColor="dark1"/>
          <w:kern w:val="24"/>
          <w:lang w:val="lv-LV"/>
        </w:rPr>
        <w:t xml:space="preserve">euro </w:t>
      </w:r>
      <w:r w:rsidRPr="004D618E">
        <w:rPr>
          <w:rFonts w:eastAsia="Verdana"/>
          <w:color w:val="000000" w:themeColor="dark1"/>
          <w:kern w:val="24"/>
          <w:lang w:val="lv-LV"/>
        </w:rPr>
        <w:t>apmērā.</w:t>
      </w:r>
    </w:p>
    <w:p w14:paraId="65E6EB8A" w14:textId="77777777" w:rsidR="004D618E" w:rsidRPr="004D618E" w:rsidRDefault="004D618E" w:rsidP="0092778C">
      <w:pPr>
        <w:pStyle w:val="ListParagraph"/>
        <w:numPr>
          <w:ilvl w:val="0"/>
          <w:numId w:val="31"/>
        </w:numPr>
        <w:spacing w:before="120"/>
        <w:ind w:left="1066" w:hanging="357"/>
        <w:contextualSpacing w:val="0"/>
        <w:rPr>
          <w:lang w:val="lv-LV"/>
        </w:rPr>
      </w:pPr>
      <w:r w:rsidRPr="004D618E">
        <w:rPr>
          <w:lang w:val="lv-LV"/>
        </w:rPr>
        <w:t>Konstatējami vairāki plānveida veselības aprūpes pakalpojumi, kuri netiek nodrošināti Latvijā, taču ar speciālu NVD atļauju tiek veikti ārzemēs, tos apmaksājot no valsts budžeta līdzekļiem. Pēc FM aicinājuma VM ir izvērtējusi šajā sadaļā identificēto veselības aprūpes pakalpojumu sniegšanas iespējas Latvijā, vairumu no tiem atzīstot par realizējamiem.</w:t>
      </w:r>
    </w:p>
    <w:p w14:paraId="66E6FBCD" w14:textId="77777777" w:rsidR="004D618E" w:rsidRPr="004D618E" w:rsidRDefault="004D618E" w:rsidP="0092778C">
      <w:pPr>
        <w:pStyle w:val="ListParagraph"/>
        <w:numPr>
          <w:ilvl w:val="0"/>
          <w:numId w:val="31"/>
        </w:numPr>
        <w:spacing w:before="120"/>
        <w:ind w:left="1066" w:hanging="357"/>
        <w:contextualSpacing w:val="0"/>
        <w:rPr>
          <w:lang w:val="lv-LV"/>
        </w:rPr>
      </w:pPr>
      <w:r w:rsidRPr="004D618E">
        <w:rPr>
          <w:lang w:val="lv-LV"/>
        </w:rPr>
        <w:lastRenderedPageBreak/>
        <w:t xml:space="preserve">VM izdevies rast ietaupījumu no medikamentu cenas vai pacienta līdzmaksājuma samazināšanas, tādējādi paaugstinot zāļu iegādes izdevumu kompensācijas sistēmas efektivitāti, palielinot medikamentus saņemošo pacientu skaitu un sasniedzot augstākus rezultatīvos rādītājus. Pārskatot līgumus ar zāļu ražotājiem 2022. gadā potenciāli paredzams ietaupījums 12 milj. </w:t>
      </w:r>
      <w:r w:rsidRPr="004D618E">
        <w:rPr>
          <w:i/>
          <w:iCs/>
          <w:lang w:val="lv-LV"/>
        </w:rPr>
        <w:t>euro</w:t>
      </w:r>
      <w:r w:rsidRPr="004D618E">
        <w:rPr>
          <w:lang w:val="lv-LV"/>
        </w:rPr>
        <w:t xml:space="preserve"> apmērā.</w:t>
      </w:r>
    </w:p>
    <w:p w14:paraId="68E5BA06" w14:textId="77777777" w:rsidR="004D618E" w:rsidRPr="00F05019" w:rsidRDefault="004D618E" w:rsidP="004D618E">
      <w:pPr>
        <w:rPr>
          <w:sz w:val="6"/>
          <w:szCs w:val="4"/>
          <w:lang w:val="lv-LV"/>
        </w:rPr>
      </w:pPr>
    </w:p>
    <w:p w14:paraId="796A7BB1" w14:textId="650539E4" w:rsidR="00DD5C0D" w:rsidRDefault="00DD5C0D" w:rsidP="004C1C06">
      <w:pPr>
        <w:pStyle w:val="Heading2"/>
        <w:numPr>
          <w:ilvl w:val="1"/>
          <w:numId w:val="52"/>
        </w:numPr>
        <w:ind w:left="0" w:firstLine="0"/>
      </w:pPr>
      <w:bookmarkStart w:id="34" w:name="_Toc80178417"/>
      <w:r w:rsidRPr="007F4A72">
        <w:t>Kultūras nozares izvērtējums: digitalizācija, kultūras mantojums, funkciju pārklāšanās</w:t>
      </w:r>
      <w:bookmarkEnd w:id="34"/>
    </w:p>
    <w:p w14:paraId="41A45533" w14:textId="77777777" w:rsidR="006B3086" w:rsidRPr="009228DF" w:rsidRDefault="006B3086" w:rsidP="006B3086">
      <w:pPr>
        <w:spacing w:before="120"/>
        <w:ind w:firstLine="709"/>
        <w:rPr>
          <w:lang w:val="lv-LV"/>
        </w:rPr>
      </w:pPr>
      <w:r w:rsidRPr="009228DF">
        <w:rPr>
          <w:lang w:val="lv-LV"/>
        </w:rPr>
        <w:t>KM resoram atvēlētie valsts pamatbudžeta izdevumi ir ceturtie mazākie starp visiem</w:t>
      </w:r>
      <w:r>
        <w:t xml:space="preserve"> </w:t>
      </w:r>
      <w:r w:rsidRPr="009228DF">
        <w:rPr>
          <w:lang w:val="lv-LV"/>
        </w:rPr>
        <w:t>resoriem. Atšķirībā no, piemēram, izglītības, iekšlietu vai daļēji arī veselības nozares, kultūras nozarē strādājošie lielākoties sev nepieciešamo finansējumu spēj sagādāt ar sava veikuma pārdošanu jeb tiražēšanu iekšzemē un ārvalstīs. Finansējums no valsts budžeta līdzekļiem lielākoties tiek novirzīts mērķdotācijās dažādiem kultūras konkursiem un dažādās mākslas jomās praktizējošo atbalstam, kultūras kolektīvu (koru, deju utt.) vadītāju atalgojumam, kā arī kultūrizglītības nodrošināšanai, kas tika aplūkota jau 2020. gada izdevumu pārskatīšanas ziņojumā</w:t>
      </w:r>
      <w:r w:rsidRPr="009228DF">
        <w:rPr>
          <w:rStyle w:val="FootnoteReference"/>
          <w:lang w:val="lv-LV"/>
        </w:rPr>
        <w:footnoteReference w:id="38"/>
      </w:r>
      <w:r w:rsidRPr="009228DF">
        <w:rPr>
          <w:lang w:val="lv-LV"/>
        </w:rPr>
        <w:t>.</w:t>
      </w:r>
    </w:p>
    <w:p w14:paraId="58655420" w14:textId="77777777" w:rsidR="006B3086" w:rsidRPr="009228DF" w:rsidRDefault="006B3086" w:rsidP="006B3086">
      <w:pPr>
        <w:spacing w:before="120"/>
        <w:ind w:firstLine="709"/>
        <w:rPr>
          <w:lang w:val="lv-LV"/>
        </w:rPr>
      </w:pPr>
      <w:r w:rsidRPr="009228DF">
        <w:rPr>
          <w:lang w:val="lv-LV"/>
        </w:rPr>
        <w:t>Turpmākajā sadaļas saturā tiks aplūkoti kultūras nozares izdevumi starptautiskā salīdzinājumā, Latvijas Nacionālā kultūras centra funkcijas, salīdzinot tās ar IZM padotībā esošā Valsts izglītības satura centra funkcijām, kā arī tiks veikts ieskats Latvijas Nacionālā arhīva darbībā, akcentējot vēsturisko arhīva vienību digitalizācijas jautājumu. Ziņojuma sadaļas tapšanai izmantoti vērtējamo iestāžu tobrīd pieejamie 2019. gada publiskie pārskati.</w:t>
      </w:r>
    </w:p>
    <w:p w14:paraId="42593E38" w14:textId="77777777" w:rsidR="006B3086" w:rsidRPr="009228DF" w:rsidRDefault="006B3086" w:rsidP="006B3086">
      <w:pPr>
        <w:spacing w:before="120"/>
        <w:rPr>
          <w:i/>
          <w:lang w:val="lv-LV"/>
        </w:rPr>
      </w:pPr>
      <w:r w:rsidRPr="009228DF">
        <w:rPr>
          <w:i/>
          <w:lang w:val="lv-LV"/>
        </w:rPr>
        <w:t>Kultūras nozare starptautiskā salīdzinājumā</w:t>
      </w:r>
    </w:p>
    <w:p w14:paraId="74B4C813" w14:textId="77777777" w:rsidR="006B3086" w:rsidRPr="009228DF" w:rsidRDefault="006B3086" w:rsidP="006B3086">
      <w:pPr>
        <w:spacing w:before="120"/>
        <w:ind w:firstLine="709"/>
        <w:rPr>
          <w:lang w:val="lv-LV"/>
        </w:rPr>
      </w:pPr>
      <w:r w:rsidRPr="009228DF">
        <w:rPr>
          <w:lang w:val="lv-LV"/>
        </w:rPr>
        <w:t>Apskatot Latvijas izdevumus kultūrai, atpūtai un rekreācijai uz ES dalībvalstu izdevumu fona, secināms, ka Latvija ierindojama pirmajā trijniekā ES, izdevumu apjomu vērtējot gan attiecībā pret IKP, gan vispārējiem valdības izdevumiem.</w:t>
      </w:r>
    </w:p>
    <w:p w14:paraId="566C8A05" w14:textId="77777777" w:rsidR="006B3086" w:rsidRPr="009228DF" w:rsidRDefault="006B3086" w:rsidP="006B3086">
      <w:pPr>
        <w:spacing w:before="120"/>
        <w:ind w:firstLine="709"/>
        <w:rPr>
          <w:lang w:val="lv-LV"/>
        </w:rPr>
      </w:pPr>
      <w:r w:rsidRPr="009228DF">
        <w:rPr>
          <w:lang w:val="lv-LV"/>
        </w:rPr>
        <w:t>Ja raugās uz vispārējās valdības izdevumiem tikai kultūras pakalpojumiem, kas neietver visu nozares finansēto pakalpojumu spektru, vērojams, ka Latvija ierindojama otrajā vietā ES dalībvalstu vidū (Attēls Nr. 3.2.1.). Ar 1% izdevumiem no IKP Latvija atpaliek tikai no Ungārijas un Igaunijas, kur šis rādītājs ir 1,1%. Lietuva kultūras izdevumiem atvēl 0,7% no IKP, kas arī ir vairāk nekā ES vidējie izdevumi kultūrai (0,4% no IKP).</w:t>
      </w:r>
    </w:p>
    <w:p w14:paraId="1CF7CB3E" w14:textId="77777777" w:rsidR="006B3086" w:rsidRPr="006B193E" w:rsidRDefault="006B3086" w:rsidP="006B3086">
      <w:pPr>
        <w:spacing w:before="120"/>
        <w:ind w:firstLine="709"/>
        <w:rPr>
          <w:lang w:val="lv-LV"/>
        </w:rPr>
      </w:pPr>
      <w:r w:rsidRPr="009228DF">
        <w:rPr>
          <w:lang w:val="lv-LV"/>
        </w:rPr>
        <w:t xml:space="preserve">Tajā pašā laikā attiecīgajā grafikā redzams, ka kultūras eksporta apjomā Latvija arī ir vadošajās pozīcijās uz citu ES dalībvalstu fona, proti, ar kultūras eksporta apjomu 1,08% apmērā no kopējā eksporta apjoma 2019. gadā, kas ir arī ES vidējais rādītājs. Lielāks kultūras eksporta apjoms vērojams tikai Polijā, Francijā, Itālijā un Lielbritānijā. Protams, pārvēršot šo procentuālo apjomu miljonos </w:t>
      </w:r>
      <w:r w:rsidRPr="009228DF">
        <w:rPr>
          <w:i/>
          <w:lang w:val="lv-LV"/>
        </w:rPr>
        <w:t>euro</w:t>
      </w:r>
      <w:r w:rsidRPr="009228DF">
        <w:rPr>
          <w:lang w:val="lv-LV"/>
        </w:rPr>
        <w:t xml:space="preserve">, situācija krasi mainītos, kas tiks norādīts ziņojuma turpinājumā, akcentējot detalizētāku šī eksporta </w:t>
      </w:r>
      <w:r>
        <w:rPr>
          <w:lang w:val="lv-LV"/>
        </w:rPr>
        <w:t>sadalījumu pa kultūras nozarēm.</w:t>
      </w:r>
    </w:p>
    <w:p w14:paraId="693CD2CD" w14:textId="77777777" w:rsidR="006B3086" w:rsidRDefault="006B3086" w:rsidP="006B3086">
      <w:pPr>
        <w:spacing w:line="240" w:lineRule="auto"/>
        <w:jc w:val="center"/>
        <w:rPr>
          <w:b/>
          <w:i/>
          <w:iCs/>
          <w:sz w:val="22"/>
          <w:szCs w:val="20"/>
          <w:lang w:val="lv-LV"/>
        </w:rPr>
      </w:pPr>
    </w:p>
    <w:p w14:paraId="42D80C05" w14:textId="5EFE5B81" w:rsidR="006B3086" w:rsidRDefault="006B3086" w:rsidP="006B3086">
      <w:pPr>
        <w:spacing w:line="240" w:lineRule="auto"/>
        <w:rPr>
          <w:b/>
          <w:i/>
          <w:iCs/>
          <w:sz w:val="22"/>
          <w:szCs w:val="20"/>
          <w:lang w:val="lv-LV"/>
        </w:rPr>
      </w:pPr>
    </w:p>
    <w:p w14:paraId="5F095EAC" w14:textId="77777777" w:rsidR="00B66244" w:rsidRDefault="00B66244" w:rsidP="006B3086">
      <w:pPr>
        <w:spacing w:line="240" w:lineRule="auto"/>
        <w:rPr>
          <w:b/>
          <w:i/>
          <w:iCs/>
          <w:sz w:val="22"/>
          <w:szCs w:val="20"/>
          <w:lang w:val="lv-LV"/>
        </w:rPr>
      </w:pPr>
    </w:p>
    <w:p w14:paraId="7551FC9F" w14:textId="77777777" w:rsidR="006B3086" w:rsidRPr="009228DF" w:rsidRDefault="006B3086" w:rsidP="006B3086">
      <w:pPr>
        <w:spacing w:line="240" w:lineRule="auto"/>
        <w:jc w:val="center"/>
        <w:rPr>
          <w:sz w:val="22"/>
          <w:szCs w:val="20"/>
          <w:lang w:val="lv-LV"/>
        </w:rPr>
      </w:pPr>
      <w:r w:rsidRPr="009228DF">
        <w:rPr>
          <w:b/>
          <w:i/>
          <w:iCs/>
          <w:sz w:val="22"/>
          <w:szCs w:val="20"/>
          <w:lang w:val="lv-LV"/>
        </w:rPr>
        <w:lastRenderedPageBreak/>
        <w:t>3.2.1. attēls</w:t>
      </w:r>
      <w:r w:rsidRPr="009228DF">
        <w:rPr>
          <w:b/>
          <w:sz w:val="22"/>
          <w:szCs w:val="20"/>
          <w:lang w:val="lv-LV"/>
        </w:rPr>
        <w:t xml:space="preserve"> Vispārējās valdības izdevumi kultūrai (% no IKP) un kultūras eksports (% no kopējā eksporta apjoma) 2019. gadā</w:t>
      </w:r>
      <w:r w:rsidRPr="009228DF">
        <w:rPr>
          <w:rStyle w:val="FootnoteReference"/>
          <w:b/>
          <w:sz w:val="22"/>
          <w:szCs w:val="20"/>
          <w:lang w:val="lv-LV"/>
        </w:rPr>
        <w:footnoteReference w:id="39"/>
      </w:r>
    </w:p>
    <w:p w14:paraId="655553AD" w14:textId="77777777" w:rsidR="006B3086" w:rsidRPr="009228DF" w:rsidRDefault="006B3086" w:rsidP="006B3086">
      <w:pPr>
        <w:spacing w:line="240" w:lineRule="auto"/>
        <w:jc w:val="center"/>
        <w:rPr>
          <w:lang w:val="lv-LV"/>
        </w:rPr>
      </w:pPr>
      <w:r w:rsidRPr="009228DF">
        <w:rPr>
          <w:noProof/>
          <w:lang w:val="lv-LV" w:eastAsia="lv-LV"/>
        </w:rPr>
        <w:drawing>
          <wp:inline distT="0" distB="0" distL="0" distR="0" wp14:anchorId="1DE3D427" wp14:editId="484E9351">
            <wp:extent cx="5617845" cy="3262579"/>
            <wp:effectExtent l="0" t="0" r="1905" b="0"/>
            <wp:docPr id="2" name="Chart 2">
              <a:extLst xmlns:a="http://schemas.openxmlformats.org/drawingml/2006/main">
                <a:ext uri="{FF2B5EF4-FFF2-40B4-BE49-F238E27FC236}">
                  <a16:creationId xmlns:a16="http://schemas.microsoft.com/office/drawing/2014/main" id="{044E4D6E-B6ED-49D6-A98B-0431465CE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1577EDB1" w14:textId="77777777" w:rsidR="006B3086" w:rsidRPr="009228DF" w:rsidRDefault="006B3086" w:rsidP="006B3086">
      <w:pPr>
        <w:spacing w:before="120"/>
        <w:ind w:firstLine="720"/>
        <w:rPr>
          <w:lang w:val="lv-LV"/>
        </w:rPr>
      </w:pPr>
      <w:r w:rsidRPr="006B3086">
        <w:rPr>
          <w:lang w:val="lv-LV"/>
        </w:rPr>
        <w:t>Vērtējot vispārējās valdības izdevumus procentuāli pret kopējiem izdevumiem, turklāt skatot izdevumus augstākajā funkcionālajā (COFOG) sadalījumā, Latvija saglabā vietu ES dalībvalstu trijniekā, atpaliekot vien no Ungārijas un Igaunijas (Attēls Nr. 3.2.2.). Ungārijas vispārējās valdības izdevumi atpūtai, kultūrai un reliģijai 2019. gadā bija 6,6% no kopējiem izdevumiem, Igaunijas izdevumi bija 5,2% apmērā no kopējiem izdevumiem, bet Latvijas – 3,8% no vispārējiem valdības izdevumiem. ES vidējais rādītājs tajā pašā laikā bija vien 2,3% no vispārējiem valdības izdevumiem, kā rezultātā secināms, ka Latvija kultūras nozarei no vispārējiem valdības izdevumiem atvēl teju divkārt lielāku finansējumu nekā vidēji ES.</w:t>
      </w:r>
    </w:p>
    <w:p w14:paraId="34E64A9C" w14:textId="77777777" w:rsidR="006B3086" w:rsidRPr="009228DF" w:rsidRDefault="006B3086" w:rsidP="006B3086">
      <w:pPr>
        <w:spacing w:before="120"/>
        <w:ind w:firstLine="720"/>
        <w:rPr>
          <w:lang w:val="lv-LV"/>
        </w:rPr>
      </w:pPr>
      <w:r w:rsidRPr="009228DF">
        <w:rPr>
          <w:lang w:val="lv-LV"/>
        </w:rPr>
        <w:t>Ja šos finansiālos datus analizē kopsakarā ar nozarē nodarbināto skaitu, tad novērojams, ka no šīm trim valstīm, kas nozarei sniedz lielāko finansējuma apjomu, tikai vienā no tām arī kultūras nozarē nodarbināto skaits pārsniedz ES valstu vidējo rādītāju. Proti, Igaunijā, kultūras nozarē 2019. gadā bija nodarbināts 5,1% iedzīvotāju no kopējā nodarbināto skaita, kamēr Ungārijā un Latvijā šis skaits bija attiecīgi 3,6% un 3,5%, nedaudz atpaliekot no ES vidējā rādītāja – 3,7%.</w:t>
      </w:r>
    </w:p>
    <w:p w14:paraId="01C91C11" w14:textId="77777777" w:rsidR="006B3086" w:rsidRPr="009228DF" w:rsidRDefault="006B3086" w:rsidP="006B3086">
      <w:pPr>
        <w:spacing w:before="120"/>
        <w:ind w:firstLine="720"/>
        <w:rPr>
          <w:lang w:val="lv-LV"/>
        </w:rPr>
      </w:pPr>
      <w:r w:rsidRPr="009228DF">
        <w:rPr>
          <w:lang w:val="lv-LV"/>
        </w:rPr>
        <w:t>Rezumējot redzams, ka Latvija kopā ar vēl astoņām citām ES dalībvalstīm atrodas tajā grafika kvadrantā, kurā vērojams procentuāli liels nozares finansējuma apjoms, bet vienlaikus mazs nozarē nodarbināto skaits, radot jautājumu par to, kādi ir piešķirtā finansējuma mērķi. Lielākā daļa valstu nozarei piešķir lielāku finansējumu nekā vidēji ES, bet arī nozarē nodarbinātais iedzīvotāju skaits ir lielāks nekā 3,7% no kopējā nodarbināto skaita. Tikai Lielbritānija, kas 2019. gadā vēl bija ES dalībvalsts statusā, tāpēc ir iekļauta analīzē, ar mazāku vispārējās valdības finansējumu nekā ES nozarē nodarbina 4,6% strādājošo, ko gan var izskaidrot ar valsts spēcīgo kultūras eksporta lomu (Attēls Nr. 3.2.1.), kā rezultātā valsts budžeta ieguldījums nepieciešams minimālā apjomā, jo pati nozare ar sava veikuma pārdošanu spēj nodrošināt pietiekamu finansējuma apjomu.</w:t>
      </w:r>
    </w:p>
    <w:p w14:paraId="1B46600A" w14:textId="77777777" w:rsidR="006B3086" w:rsidRPr="009228DF" w:rsidRDefault="006B3086" w:rsidP="006B3086">
      <w:pPr>
        <w:spacing w:line="240" w:lineRule="auto"/>
        <w:jc w:val="center"/>
        <w:rPr>
          <w:sz w:val="22"/>
          <w:szCs w:val="20"/>
          <w:lang w:val="lv-LV"/>
        </w:rPr>
      </w:pPr>
      <w:r w:rsidRPr="009228DF">
        <w:rPr>
          <w:b/>
          <w:i/>
          <w:iCs/>
          <w:sz w:val="22"/>
          <w:szCs w:val="20"/>
          <w:lang w:val="lv-LV"/>
        </w:rPr>
        <w:lastRenderedPageBreak/>
        <w:t>3.2.2. attēls</w:t>
      </w:r>
      <w:r w:rsidRPr="009228DF">
        <w:rPr>
          <w:b/>
          <w:sz w:val="22"/>
          <w:szCs w:val="20"/>
          <w:lang w:val="lv-LV"/>
        </w:rPr>
        <w:t xml:space="preserve"> Vispārējās valdības izdevumi atpūtai, kultūrai un reliģijai (% no kopējiem izdevumiem) un nodarbināto skaits kultūras nozarē (% no kopējā nodarbināto skaita) 2019. gadā</w:t>
      </w:r>
      <w:r w:rsidRPr="009228DF">
        <w:rPr>
          <w:rStyle w:val="FootnoteReference"/>
          <w:b/>
          <w:sz w:val="22"/>
          <w:szCs w:val="20"/>
          <w:lang w:val="lv-LV"/>
        </w:rPr>
        <w:footnoteReference w:id="40"/>
      </w:r>
    </w:p>
    <w:p w14:paraId="75DF2B62" w14:textId="77777777" w:rsidR="006B3086" w:rsidRPr="009228DF" w:rsidRDefault="006B3086" w:rsidP="006B3086">
      <w:pPr>
        <w:spacing w:line="240" w:lineRule="auto"/>
        <w:jc w:val="center"/>
        <w:rPr>
          <w:lang w:val="lv-LV"/>
        </w:rPr>
      </w:pPr>
      <w:r w:rsidRPr="009228DF">
        <w:rPr>
          <w:noProof/>
          <w:lang w:val="lv-LV" w:eastAsia="lv-LV"/>
        </w:rPr>
        <w:drawing>
          <wp:inline distT="0" distB="0" distL="0" distR="0" wp14:anchorId="09765848" wp14:editId="1C256B12">
            <wp:extent cx="5512434" cy="318135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rotWithShape="1">
                    <a:blip r:embed="rId102"/>
                    <a:srcRect l="1180" t="1318"/>
                    <a:stretch/>
                  </pic:blipFill>
                  <pic:spPr bwMode="auto">
                    <a:xfrm>
                      <a:off x="0" y="0"/>
                      <a:ext cx="5515167" cy="3182927"/>
                    </a:xfrm>
                    <a:prstGeom prst="rect">
                      <a:avLst/>
                    </a:prstGeom>
                    <a:ln>
                      <a:noFill/>
                    </a:ln>
                    <a:extLst>
                      <a:ext uri="{53640926-AAD7-44D8-BBD7-CCE9431645EC}">
                        <a14:shadowObscured xmlns:a14="http://schemas.microsoft.com/office/drawing/2010/main"/>
                      </a:ext>
                    </a:extLst>
                  </pic:spPr>
                </pic:pic>
              </a:graphicData>
            </a:graphic>
          </wp:inline>
        </w:drawing>
      </w:r>
    </w:p>
    <w:p w14:paraId="0D9057F3" w14:textId="77777777" w:rsidR="006B3086" w:rsidRPr="009228DF" w:rsidRDefault="006B3086" w:rsidP="006B3086">
      <w:pPr>
        <w:spacing w:before="120"/>
        <w:ind w:firstLine="720"/>
        <w:rPr>
          <w:lang w:val="lv-LV"/>
        </w:rPr>
      </w:pPr>
      <w:r w:rsidRPr="009228DF">
        <w:rPr>
          <w:lang w:val="lv-LV"/>
        </w:rPr>
        <w:t xml:space="preserve">Plašāk analizējot kultūras eksportu, kura kopējais apjoms minēts jau iepriekš (Attēls Nr. 3.2.1.), nepārsteidz tas, ka katras ES dalībvalsts kultūras eksporta sadalījums pa atsevišķiem kultūras veidiem ir pilnīgi atšķirīgs. Kamēr vienai valstij lielāks īpatsvars ir mākslas eksportam, citās dominē audiovizuālā materiāla vai grāmatu eksports (Attēls Nr. 3.2.3.). Piemēram, no Lielbritānijas 20,6 mljrd. </w:t>
      </w:r>
      <w:r w:rsidRPr="009228DF">
        <w:rPr>
          <w:i/>
          <w:lang w:val="lv-LV"/>
        </w:rPr>
        <w:t>euro</w:t>
      </w:r>
      <w:r w:rsidRPr="009228DF">
        <w:rPr>
          <w:lang w:val="lv-LV"/>
        </w:rPr>
        <w:t xml:space="preserve"> vērtā kultūras eksporta 2019. gadā 45,8% bija dažādi mākslas darbi, tostarp gleznas, skulptūras, dažāda veida gravējumi u.c. līdzīgi darbi. Redzams, ka Čehijas, Austrijas un Īrijas galvenais kultūras eksporta produkts ir audiovizuālie materiāli, kas sevī ietver mūziku un filmas (gan dažādos digitālos formātos, gan kā autortiesību objektus).</w:t>
      </w:r>
    </w:p>
    <w:p w14:paraId="758AB6CD" w14:textId="77777777" w:rsidR="006B3086" w:rsidRPr="009228DF" w:rsidRDefault="006B3086" w:rsidP="006B3086">
      <w:pPr>
        <w:spacing w:before="120"/>
        <w:ind w:firstLine="720"/>
        <w:rPr>
          <w:lang w:val="lv-LV"/>
        </w:rPr>
      </w:pPr>
      <w:r w:rsidRPr="009228DF">
        <w:rPr>
          <w:lang w:val="lv-LV"/>
        </w:rPr>
        <w:t xml:space="preserve">No Baltijas valstīm Latvijas kultūras eksports ir finansiāli ienesīgākais. 2019. gadā Latvija eksportēja kultūras nozares produkciju 151 milj. </w:t>
      </w:r>
      <w:r w:rsidRPr="009228DF">
        <w:rPr>
          <w:i/>
          <w:lang w:val="lv-LV"/>
        </w:rPr>
        <w:t>euro</w:t>
      </w:r>
      <w:r w:rsidRPr="009228DF">
        <w:rPr>
          <w:lang w:val="lv-LV"/>
        </w:rPr>
        <w:t xml:space="preserve"> vērtībā, kamēr Igaunijā un Lietuvā šī eksporta apjoms bija attiecīgi 82 un 114 milj. </w:t>
      </w:r>
      <w:r w:rsidRPr="009228DF">
        <w:rPr>
          <w:i/>
          <w:lang w:val="lv-LV"/>
        </w:rPr>
        <w:t>euro</w:t>
      </w:r>
      <w:r w:rsidRPr="009228DF">
        <w:rPr>
          <w:lang w:val="lv-LV"/>
        </w:rPr>
        <w:t>. Atšķiras arī galvenā eksportprece. Igaunijā procentuāli lielākie ienākumi ir no laikrakstu, žurnālu un dažādas periodikas eksporta, kamēr Latvijā un Lietuvā dominējošais ir grāmatu eksports. Latvijas uzsvars uz grāmatu eksportu ir skaitliski ļoti ievērojams, jo 2019. gadā tas ir 69,1% no kopējā kultūras eksporta. Lielāka viena kultūras produkta veida dominance vērojama tikai Itālijā, kur 78,7% no visiem kultūras eksporta ienākumiem gūti pateicoties dārglietu tirdzniecībai.</w:t>
      </w:r>
    </w:p>
    <w:p w14:paraId="6593D925" w14:textId="77777777" w:rsidR="006B3086" w:rsidRPr="009228DF" w:rsidRDefault="006B3086" w:rsidP="006B3086">
      <w:pPr>
        <w:spacing w:before="120"/>
        <w:ind w:firstLine="720"/>
        <w:rPr>
          <w:lang w:val="lv-LV"/>
        </w:rPr>
      </w:pPr>
      <w:r w:rsidRPr="009228DF">
        <w:rPr>
          <w:lang w:val="lv-LV"/>
        </w:rPr>
        <w:t>Sīkāk apskatot Latvijas piemēru, secināms, ka 10,2% no ieņēmumiem gūti no amatnieku ražojumu eksporta, bet citas nozares nepārsniedz 5% atzīmi. Pieticīgākie rādītāji Latvijas gadījumā ir mākslas eksportam – vien 0,2% no kopējā kultūras eksporta apjoma, kas ir dalīts sliktākais rezultāts starp ES dalībvalstīm. Pārrēķinot šo rezultātu finansiālā izteiksmē, kļūst zināms, ka Latvija 2019. gadā eksportējusi mākslas darbus tikai indikatīvi 300 tūkst. </w:t>
      </w:r>
      <w:r w:rsidRPr="009228DF">
        <w:rPr>
          <w:i/>
          <w:lang w:val="lv-LV"/>
        </w:rPr>
        <w:t>euro</w:t>
      </w:r>
      <w:r w:rsidRPr="009228DF">
        <w:rPr>
          <w:lang w:val="lv-LV"/>
        </w:rPr>
        <w:t xml:space="preserve"> vērtībā. Jāatzīmē, ka tik neliels mākslas eksports vērojams arī citos gados, kas tiks aplūkots ziņojuma turpinājumā, šos datus vērtējot kopsakarā ar valsts budžeta līdzekļu ieguldījumu konkrētos kultūras nozares veidos.</w:t>
      </w:r>
    </w:p>
    <w:p w14:paraId="73FE5840" w14:textId="77777777" w:rsidR="006B3086" w:rsidRPr="009228DF" w:rsidRDefault="006B3086" w:rsidP="006B3086">
      <w:pPr>
        <w:spacing w:line="240" w:lineRule="auto"/>
        <w:jc w:val="center"/>
        <w:rPr>
          <w:sz w:val="22"/>
          <w:szCs w:val="20"/>
          <w:lang w:val="lv-LV"/>
        </w:rPr>
      </w:pPr>
      <w:r w:rsidRPr="009228DF">
        <w:rPr>
          <w:b/>
          <w:i/>
          <w:iCs/>
          <w:sz w:val="22"/>
          <w:szCs w:val="20"/>
          <w:lang w:val="lv-LV"/>
        </w:rPr>
        <w:lastRenderedPageBreak/>
        <w:t>3.2.3. attēls</w:t>
      </w:r>
      <w:r w:rsidRPr="009228DF">
        <w:rPr>
          <w:b/>
          <w:sz w:val="22"/>
          <w:szCs w:val="20"/>
          <w:lang w:val="lv-LV"/>
        </w:rPr>
        <w:t xml:space="preserve"> Kultūras eksporta sadalījums pa kultūras veidiem (% no kopējā kultūras eksporta) ES dalībvalstīs 2019. gadā</w:t>
      </w:r>
      <w:r w:rsidRPr="009228DF">
        <w:rPr>
          <w:rStyle w:val="FootnoteReference"/>
          <w:b/>
          <w:sz w:val="22"/>
          <w:szCs w:val="20"/>
          <w:lang w:val="lv-LV"/>
        </w:rPr>
        <w:footnoteReference w:id="41"/>
      </w:r>
    </w:p>
    <w:p w14:paraId="7F8C7A18" w14:textId="77777777" w:rsidR="006B3086" w:rsidRPr="009228DF" w:rsidRDefault="006B3086" w:rsidP="006B3086">
      <w:pPr>
        <w:spacing w:line="240" w:lineRule="auto"/>
        <w:jc w:val="center"/>
        <w:rPr>
          <w:lang w:val="lv-LV"/>
        </w:rPr>
      </w:pPr>
      <w:r w:rsidRPr="009228DF">
        <w:rPr>
          <w:noProof/>
          <w:lang w:val="lv-LV" w:eastAsia="lv-LV"/>
        </w:rPr>
        <w:drawing>
          <wp:inline distT="0" distB="0" distL="0" distR="0" wp14:anchorId="62894BC2" wp14:editId="482C307C">
            <wp:extent cx="5410200" cy="3143250"/>
            <wp:effectExtent l="0" t="0" r="0" b="0"/>
            <wp:docPr id="8" name="Chart 8">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4B34EBD2" w14:textId="77777777" w:rsidR="006B3086" w:rsidRPr="009228DF" w:rsidRDefault="006B3086" w:rsidP="006B3086">
      <w:pPr>
        <w:spacing w:before="120"/>
        <w:rPr>
          <w:lang w:val="lv-LV"/>
        </w:rPr>
      </w:pPr>
      <w:r w:rsidRPr="009228DF">
        <w:rPr>
          <w:i/>
          <w:lang w:val="lv-LV"/>
        </w:rPr>
        <w:t>Kultūras nozares finansēšana Latvijā</w:t>
      </w:r>
    </w:p>
    <w:p w14:paraId="4847AFEE" w14:textId="77777777" w:rsidR="006B3086" w:rsidRPr="009228DF" w:rsidRDefault="006B3086" w:rsidP="006B3086">
      <w:pPr>
        <w:spacing w:before="120"/>
        <w:ind w:firstLine="709"/>
        <w:rPr>
          <w:lang w:val="lv-LV"/>
        </w:rPr>
      </w:pPr>
      <w:r w:rsidRPr="009228DF">
        <w:rPr>
          <w:lang w:val="lv-LV"/>
        </w:rPr>
        <w:t>Galvenā atbildīgā iestāde par kultūras nozari Latvijā ir KM, veidojot un koordinējot ne tikai valsts kultūrpolitiku, bet arī izstrādājot valsts politiku sabiedrības integrācijas jomā, kā arī izstrādājot masu informācijas līdzekļu politiku. KM nozares pārvaldībā palīdzību sniedz piecas KM iestādes, kā arī MK pārraudzībā esošs publisks nodibinājums</w:t>
      </w:r>
      <w:r>
        <w:rPr>
          <w:lang w:val="lv-LV"/>
        </w:rPr>
        <w:t xml:space="preserve"> (VKKF)</w:t>
      </w:r>
      <w:r w:rsidRPr="009228DF">
        <w:rPr>
          <w:lang w:val="lv-LV"/>
        </w:rPr>
        <w:t>. KM ir atbildīga par astoņiem muzejiem, divām bibliotēkām, 13 izglītības iestādēm (10 vidējās profesionālās izglītības iestādēm un 3 augstākās izglītības iestādēm), kā arī ir valsts kapitāldaļu turētāja 15 kapitālsabiedrībās</w:t>
      </w:r>
      <w:r w:rsidRPr="009228DF">
        <w:rPr>
          <w:rStyle w:val="FootnoteReference"/>
          <w:lang w:val="lv-LV"/>
        </w:rPr>
        <w:footnoteReference w:id="42"/>
      </w:r>
      <w:r w:rsidRPr="009228DF">
        <w:rPr>
          <w:lang w:val="lv-LV"/>
        </w:rPr>
        <w:t>.</w:t>
      </w:r>
    </w:p>
    <w:p w14:paraId="013512BC" w14:textId="77777777" w:rsidR="006B3086" w:rsidRPr="000C3B1B" w:rsidRDefault="006B3086" w:rsidP="006B3086">
      <w:pPr>
        <w:spacing w:line="240" w:lineRule="auto"/>
        <w:rPr>
          <w:lang w:val="lv-LV"/>
        </w:rPr>
      </w:pPr>
    </w:p>
    <w:p w14:paraId="6C1C5E88" w14:textId="77777777" w:rsidR="006B3086" w:rsidRPr="009228DF" w:rsidRDefault="006B3086" w:rsidP="006B3086">
      <w:pPr>
        <w:spacing w:line="240" w:lineRule="auto"/>
        <w:rPr>
          <w:i/>
          <w:iCs/>
          <w:lang w:val="lv-LV"/>
        </w:rPr>
      </w:pPr>
      <w:r w:rsidRPr="19F47470">
        <w:rPr>
          <w:i/>
          <w:iCs/>
          <w:lang w:val="lv-LV"/>
        </w:rPr>
        <w:t>Valsts kultūrkapitāla fonds</w:t>
      </w:r>
    </w:p>
    <w:p w14:paraId="17637601" w14:textId="77777777" w:rsidR="006B3086" w:rsidRPr="009228DF" w:rsidRDefault="006B3086" w:rsidP="006B3086">
      <w:pPr>
        <w:spacing w:before="120"/>
        <w:ind w:firstLine="709"/>
        <w:rPr>
          <w:lang w:val="lv-LV"/>
        </w:rPr>
      </w:pPr>
      <w:r w:rsidRPr="19F47470">
        <w:rPr>
          <w:lang w:val="lv-LV"/>
        </w:rPr>
        <w:t xml:space="preserve">Sabiedrībā pamanāmākā iestāde, kas piešķir finansējumu kultūras projektiem ir tieši MK pārraudzībā esošais nodibinājums VKKF. Iestādē ir 10 amata vietas un pašas iestādes uzturēšanai ik gadu nepieciešami vairāk nekā 600 tūkst. </w:t>
      </w:r>
      <w:r w:rsidRPr="19F47470">
        <w:rPr>
          <w:i/>
          <w:iCs/>
          <w:lang w:val="lv-LV"/>
        </w:rPr>
        <w:t>euro</w:t>
      </w:r>
      <w:r>
        <w:rPr>
          <w:lang w:val="lv-LV"/>
        </w:rPr>
        <w:t xml:space="preserve"> (tai skaitā ekspertu atlīdzības izmaksas, kuru apmērs noteikts MK noteikumos)</w:t>
      </w:r>
      <w:r w:rsidRPr="19F47470">
        <w:rPr>
          <w:lang w:val="lv-LV"/>
        </w:rPr>
        <w:t xml:space="preserve">. Savukārt pašiem kultūras projektiem piešķirtais finansējums pieaug gandrīz ik gadu. 2019. gadā, kura dati tiek analizēti šajā sadaļā, projektu konkursiem tika izlietoti 9,3 milj. </w:t>
      </w:r>
      <w:r w:rsidRPr="19F47470">
        <w:rPr>
          <w:i/>
          <w:iCs/>
          <w:lang w:val="lv-LV"/>
        </w:rPr>
        <w:t>euro</w:t>
      </w:r>
      <w:r w:rsidRPr="19F47470">
        <w:rPr>
          <w:lang w:val="lv-LV"/>
        </w:rPr>
        <w:t xml:space="preserve"> valsts budžeta līdzekļu, 2021. gadā paredzēta 11,6 milj. </w:t>
      </w:r>
      <w:r w:rsidRPr="19F47470">
        <w:rPr>
          <w:i/>
          <w:iCs/>
          <w:lang w:val="lv-LV"/>
        </w:rPr>
        <w:t>euro</w:t>
      </w:r>
      <w:r w:rsidRPr="19F47470">
        <w:rPr>
          <w:lang w:val="lv-LV"/>
        </w:rPr>
        <w:t xml:space="preserve"> sadale, kam papildus no valsts budžeta programmas 02.00.00 “Līdzekļi neparedzētiem gadījumiem” projektu īstenošanai piešķirti vēl papildus 9,3 milj. </w:t>
      </w:r>
      <w:r w:rsidRPr="19F47470">
        <w:rPr>
          <w:i/>
          <w:iCs/>
          <w:lang w:val="lv-LV"/>
        </w:rPr>
        <w:t>euro</w:t>
      </w:r>
      <w:r w:rsidRPr="19F47470">
        <w:rPr>
          <w:lang w:val="lv-LV"/>
        </w:rPr>
        <w:t xml:space="preserve">, 2022. gadā tiek prognozēts 11,9 milj. </w:t>
      </w:r>
      <w:r w:rsidRPr="19F47470">
        <w:rPr>
          <w:i/>
          <w:iCs/>
          <w:lang w:val="lv-LV"/>
        </w:rPr>
        <w:t>euro</w:t>
      </w:r>
      <w:r w:rsidRPr="19F47470">
        <w:rPr>
          <w:lang w:val="lv-LV"/>
        </w:rPr>
        <w:t xml:space="preserve"> piešķīrums, bet 2023. gadā šim mērķim iecerēts novirzīt jau 12,3 milj. </w:t>
      </w:r>
      <w:r w:rsidRPr="19F47470">
        <w:rPr>
          <w:i/>
          <w:iCs/>
          <w:lang w:val="lv-LV"/>
        </w:rPr>
        <w:t>euro</w:t>
      </w:r>
      <w:r w:rsidRPr="19F47470">
        <w:rPr>
          <w:lang w:val="lv-LV"/>
        </w:rPr>
        <w:t xml:space="preserve">. VKKF finansējumu ik gadu papildina arī ziedojumi un dāvinājumi. 2019. gadā ziedojumos saņemti papildus nepilni 1,2 milj. </w:t>
      </w:r>
      <w:r w:rsidRPr="19F47470">
        <w:rPr>
          <w:i/>
          <w:iCs/>
          <w:lang w:val="lv-LV"/>
        </w:rPr>
        <w:t>euro</w:t>
      </w:r>
      <w:r w:rsidRPr="19F47470">
        <w:rPr>
          <w:lang w:val="lv-LV"/>
        </w:rPr>
        <w:t>. Šī summa gan ir mērķa ziedojumi, kas paredzēti konkrēta projekta atbalstam, līdz ar to šīs finansējuma daļas sadalē VKKF ir tikai administratīva funkcija.</w:t>
      </w:r>
    </w:p>
    <w:p w14:paraId="5DB2C746" w14:textId="77777777" w:rsidR="006B3086" w:rsidRPr="009228DF" w:rsidRDefault="006B3086" w:rsidP="006B3086">
      <w:pPr>
        <w:spacing w:before="120"/>
        <w:ind w:firstLine="709"/>
        <w:rPr>
          <w:lang w:val="lv-LV"/>
        </w:rPr>
      </w:pPr>
      <w:r w:rsidRPr="009228DF">
        <w:rPr>
          <w:lang w:val="lv-LV"/>
        </w:rPr>
        <w:lastRenderedPageBreak/>
        <w:t>Finansējuma sadales mehānisms ir ļoti vienkāršs. Ir izveidotas astoņas VKKF ekspertu komisijas, proti, katrai kultūras nozarei, kuru sastāvā ir šīs nozares eksperti (pa septiņiem katrā komisijā), kas izvērtē iesniegtos projektu pieteikumus un sekojoši iesniedz atzinumu par līdzekļu sadalījumu VKKF padomei</w:t>
      </w:r>
      <w:r w:rsidRPr="009228DF">
        <w:rPr>
          <w:rStyle w:val="FootnoteReference"/>
          <w:lang w:val="lv-LV"/>
        </w:rPr>
        <w:footnoteReference w:id="43"/>
      </w:r>
      <w:r w:rsidRPr="009228DF">
        <w:rPr>
          <w:lang w:val="lv-LV"/>
        </w:rPr>
        <w:t>. Tās sastāvā ir 13 personas – bez katras VKKF ekspertu komisijas priekšsēdētāja padomes sastāvā ir arī pa pārstāvim no KM, FM, Nacionālās kultūras padomes, Radošo savienību padomes un Latvijas Pašvaldību savienības</w:t>
      </w:r>
      <w:r w:rsidRPr="009228DF">
        <w:rPr>
          <w:rStyle w:val="FootnoteReference"/>
          <w:lang w:val="lv-LV"/>
        </w:rPr>
        <w:footnoteReference w:id="44"/>
      </w:r>
      <w:r w:rsidRPr="009228DF">
        <w:rPr>
          <w:lang w:val="lv-LV"/>
        </w:rPr>
        <w:t>. VKKF padome attiecīgi pieņem gala lēmumu par finansējuma piešķiršanu konkrētu projektu īstenošanai.</w:t>
      </w:r>
    </w:p>
    <w:p w14:paraId="2E93AA23" w14:textId="77777777" w:rsidR="006B3086" w:rsidRPr="009228DF" w:rsidRDefault="006B3086" w:rsidP="006B3086">
      <w:pPr>
        <w:spacing w:before="120"/>
        <w:ind w:firstLine="709"/>
        <w:rPr>
          <w:lang w:val="lv-LV"/>
        </w:rPr>
      </w:pPr>
      <w:r w:rsidRPr="009228DF">
        <w:rPr>
          <w:lang w:val="lv-LV"/>
        </w:rPr>
        <w:t>Apskatot finansējuma sadalījumu pa nozarēm, uzskatāmi redzams, ka gandrīz trešdaļa budžeta nonāk dažādās starpdisciplinārās mērķprogrammās un kultūras programmās (Attēls Nr. 3.2.</w:t>
      </w:r>
      <w:r>
        <w:rPr>
          <w:lang w:val="lv-LV"/>
        </w:rPr>
        <w:t>4</w:t>
      </w:r>
      <w:r w:rsidRPr="009228DF">
        <w:rPr>
          <w:lang w:val="lv-LV"/>
        </w:rPr>
        <w:t xml:space="preserve">.). Lielākie finansējuma saņēmēji no konkrētām kultūras nozarēm ir mūzika un deja (10,4%), vizuālā māksla (9,8%) un kultūras mantojuma nozare (8,9%). Vismazāk atbalstīta tradicionālā kultūra (piemēram, folklora, seno tradīciju saglabāšana), kur 2019. gadā nepilni 300 tūkst. </w:t>
      </w:r>
      <w:r w:rsidRPr="009228DF">
        <w:rPr>
          <w:i/>
          <w:lang w:val="lv-LV"/>
        </w:rPr>
        <w:t>euro</w:t>
      </w:r>
      <w:r w:rsidRPr="009228DF">
        <w:rPr>
          <w:lang w:val="lv-LV"/>
        </w:rPr>
        <w:t xml:space="preserve"> lielākoties sadalīti dažādiem pasākumiem un izglītības projektiem, kopskaitā atbalstot 170 dažādus projektus.</w:t>
      </w:r>
      <w:bookmarkStart w:id="35" w:name="_Ref65578239"/>
    </w:p>
    <w:bookmarkEnd w:id="35"/>
    <w:p w14:paraId="71F2D528" w14:textId="77777777" w:rsidR="006B3086" w:rsidRPr="009228DF" w:rsidRDefault="006B3086" w:rsidP="006B3086">
      <w:pPr>
        <w:spacing w:line="240" w:lineRule="auto"/>
        <w:jc w:val="center"/>
        <w:rPr>
          <w:sz w:val="22"/>
          <w:lang w:val="lv-LV"/>
        </w:rPr>
      </w:pPr>
      <w:r w:rsidRPr="009228DF">
        <w:rPr>
          <w:b/>
          <w:i/>
          <w:iCs/>
          <w:sz w:val="22"/>
          <w:lang w:val="lv-LV"/>
        </w:rPr>
        <w:t>3.2.</w:t>
      </w:r>
      <w:r>
        <w:rPr>
          <w:b/>
          <w:i/>
          <w:iCs/>
          <w:sz w:val="22"/>
          <w:lang w:val="lv-LV"/>
        </w:rPr>
        <w:t>4</w:t>
      </w:r>
      <w:r w:rsidRPr="009228DF">
        <w:rPr>
          <w:b/>
          <w:i/>
          <w:iCs/>
          <w:sz w:val="22"/>
          <w:lang w:val="lv-LV"/>
        </w:rPr>
        <w:t>. attēls</w:t>
      </w:r>
      <w:r w:rsidRPr="009228DF">
        <w:rPr>
          <w:b/>
          <w:sz w:val="22"/>
          <w:lang w:val="lv-LV"/>
        </w:rPr>
        <w:t xml:space="preserve"> VKKF valsts budžeta finansējuma izlietojums sadalījumā pa kultūras nozarēm 2019. gadā</w:t>
      </w:r>
      <w:r w:rsidRPr="009228DF">
        <w:rPr>
          <w:rStyle w:val="FootnoteReference"/>
          <w:b/>
          <w:sz w:val="22"/>
          <w:lang w:val="lv-LV"/>
        </w:rPr>
        <w:footnoteReference w:id="45"/>
      </w:r>
    </w:p>
    <w:p w14:paraId="0BE85493" w14:textId="77777777" w:rsidR="006B3086" w:rsidRPr="009228DF" w:rsidRDefault="006B3086" w:rsidP="006B3086">
      <w:pPr>
        <w:spacing w:line="240" w:lineRule="auto"/>
        <w:jc w:val="center"/>
        <w:rPr>
          <w:lang w:val="lv-LV"/>
        </w:rPr>
      </w:pPr>
      <w:r w:rsidRPr="009228DF">
        <w:rPr>
          <w:noProof/>
          <w:lang w:val="lv-LV" w:eastAsia="lv-LV"/>
        </w:rPr>
        <w:drawing>
          <wp:inline distT="0" distB="0" distL="0" distR="0" wp14:anchorId="624CEB2C" wp14:editId="3BE6E6EE">
            <wp:extent cx="5817870" cy="2524125"/>
            <wp:effectExtent l="0" t="0" r="0" b="0"/>
            <wp:docPr id="9" name="Chart 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B013463" w14:textId="77777777" w:rsidR="006B3086" w:rsidRPr="006B3086" w:rsidRDefault="006B3086" w:rsidP="006B3086">
      <w:pPr>
        <w:spacing w:before="120"/>
        <w:ind w:firstLine="709"/>
        <w:rPr>
          <w:lang w:val="lv-LV"/>
        </w:rPr>
      </w:pPr>
      <w:r w:rsidRPr="006B3086">
        <w:rPr>
          <w:lang w:val="lv-LV"/>
        </w:rPr>
        <w:t>Vērts atzīmēt, ka atsevišķus projektus (pārsvarā pasākumus) finansē arī LNKC, kas tāpat kā VKKF lielāko daļu iestādes finansējuma saņem no valsts budžeta līdzekļiem. Tāpat jāpiezīmē, ka 2019. gadā LNKC saņēma VKKF padomes piešķirtu dotāciju projekta īstenošanai 2 066 </w:t>
      </w:r>
      <w:r w:rsidRPr="006B3086">
        <w:rPr>
          <w:i/>
          <w:iCs/>
          <w:lang w:val="lv-LV"/>
        </w:rPr>
        <w:t>euro</w:t>
      </w:r>
      <w:r w:rsidRPr="006B3086">
        <w:rPr>
          <w:lang w:val="lv-LV"/>
        </w:rPr>
        <w:t xml:space="preserve"> apmērā. Lai arī summa ir neliela, tomēr rodas jautājums, kāpēc pats VKKF, kā galvenais projektu finansējuma sadalītājs, neveica šo naudas piešķīrumu, bet novirzīja to caur LNKC, proti, vienu funkciju īsteno abas iepriekšminētās iestādes.</w:t>
      </w:r>
    </w:p>
    <w:p w14:paraId="2843A184" w14:textId="77777777" w:rsidR="006B3086" w:rsidRPr="009228DF" w:rsidRDefault="006B3086" w:rsidP="006B3086">
      <w:pPr>
        <w:spacing w:before="120"/>
        <w:ind w:firstLine="709"/>
        <w:rPr>
          <w:lang w:val="lv-LV"/>
        </w:rPr>
      </w:pPr>
      <w:r w:rsidRPr="006B3086">
        <w:rPr>
          <w:lang w:val="lv-LV"/>
        </w:rPr>
        <w:t xml:space="preserve">Ziņojumā iepriekš tika minēts, ka Latvijas galvenā kultūras eksporta prece ir grāmatniecība (Attēls Nr. 3.2.3.), bet kā redzams VKKF piešķirtajā finansējumā (Attēls Nr. 3.2.4.) literatūras projektiem atvēlēts divreiz mazāks līdzekļu apjoms nekā mūzikai un dejai vai vizuālajai mākslai. Lai arī “Eurostat” kultūras nozaru sadalījums nav precīzi salīdzināms ar VKKF akcentētajām nozarēm, jo to klasifikācija ir atšķirīga, tomēr ir iespējams akcentēt </w:t>
      </w:r>
      <w:r w:rsidRPr="006B3086">
        <w:rPr>
          <w:lang w:val="lv-LV"/>
        </w:rPr>
        <w:lastRenderedPageBreak/>
        <w:t>atsevišķus pārdomājamus secinājumus, kas saistās tieši ar piešķirto finansējumu dažādām mākslām.</w:t>
      </w:r>
    </w:p>
    <w:p w14:paraId="45981FFE" w14:textId="77777777" w:rsidR="006B3086" w:rsidRPr="000C3B1B" w:rsidRDefault="006B3086" w:rsidP="006B3086">
      <w:pPr>
        <w:spacing w:before="120"/>
        <w:ind w:firstLine="709"/>
        <w:rPr>
          <w:lang w:val="lv-LV"/>
        </w:rPr>
      </w:pPr>
      <w:r w:rsidRPr="009228DF">
        <w:rPr>
          <w:lang w:val="lv-LV"/>
        </w:rPr>
        <w:t xml:space="preserve">Kā jau tika minēts iepriekš mākslas nozares eksporta vērtība no kopējā Latvijas kultūras eksporta 2019. gadā bija tikai 0,2% jeb aptuveni 300 tūkst. </w:t>
      </w:r>
      <w:r w:rsidRPr="009228DF">
        <w:rPr>
          <w:i/>
          <w:lang w:val="lv-LV"/>
        </w:rPr>
        <w:t>euro</w:t>
      </w:r>
      <w:r w:rsidRPr="009228DF">
        <w:rPr>
          <w:lang w:val="lv-LV"/>
        </w:rPr>
        <w:t>. Apskatot tieši Latvijas datus desmit gadu griezumā, secināms, ka mākslas nozare arī iepriekš nav bijusi augstākās pozīcijās kultūras eksporta datos (Attēls Nr. 3.2.</w:t>
      </w:r>
      <w:r>
        <w:rPr>
          <w:lang w:val="lv-LV"/>
        </w:rPr>
        <w:t>5</w:t>
      </w:r>
      <w:r w:rsidRPr="009228DF">
        <w:rPr>
          <w:lang w:val="lv-LV"/>
        </w:rPr>
        <w:t>.). Mākslas nozares eksporta rādītāji attēloti tumši oranžā krāsā katras kolonnas apakšā. Secināms, ka dažādu gleznu, skulptūru, gravējumu un citu māksliniecisku izstrādājumu eksports nav bijis ievērojami lielā apjomā visā iepriekšējās desmitgades laikā. Minot konkrētus skaitļus, mākslas eksports 2010. gadā bija 0,2%, 2011. gadā – 0,5%, 2012. gadā – 0,4%, 2013. gadā – 0,4%, 2014. gadā – 0,2%, 2015. gadā – 0,6%, 2016. gadā – 0,1%, 2017. gadā – 0,2%, 2018. gadā – 0,3% un 2019. gadā iepriekšminētie 0,2% no kopējā kultūras eksporta apjoma.</w:t>
      </w:r>
    </w:p>
    <w:p w14:paraId="78102158" w14:textId="77777777" w:rsidR="006B3086" w:rsidRPr="009228DF" w:rsidRDefault="006B3086" w:rsidP="006B3086">
      <w:pPr>
        <w:spacing w:line="240" w:lineRule="auto"/>
        <w:jc w:val="center"/>
        <w:rPr>
          <w:sz w:val="22"/>
          <w:lang w:val="lv-LV"/>
        </w:rPr>
      </w:pPr>
      <w:r w:rsidRPr="009228DF">
        <w:rPr>
          <w:b/>
          <w:i/>
          <w:iCs/>
          <w:sz w:val="22"/>
          <w:lang w:val="lv-LV"/>
        </w:rPr>
        <w:t>3.2.</w:t>
      </w:r>
      <w:r>
        <w:rPr>
          <w:b/>
          <w:i/>
          <w:iCs/>
          <w:sz w:val="22"/>
          <w:lang w:val="lv-LV"/>
        </w:rPr>
        <w:t>5</w:t>
      </w:r>
      <w:r w:rsidRPr="009228DF">
        <w:rPr>
          <w:b/>
          <w:i/>
          <w:iCs/>
          <w:sz w:val="22"/>
          <w:lang w:val="lv-LV"/>
        </w:rPr>
        <w:t>. attēls</w:t>
      </w:r>
      <w:r w:rsidRPr="009228DF">
        <w:rPr>
          <w:b/>
          <w:sz w:val="22"/>
          <w:lang w:val="lv-LV"/>
        </w:rPr>
        <w:t xml:space="preserve"> Kultūras eksporta sadalījums pa kultūras veidiem (% no kopējā kultūras eksporta) Latvijā 2010. – 2019. gadā</w:t>
      </w:r>
      <w:r w:rsidRPr="009228DF">
        <w:rPr>
          <w:rStyle w:val="FootnoteReference"/>
          <w:b/>
          <w:sz w:val="22"/>
          <w:lang w:val="lv-LV"/>
        </w:rPr>
        <w:footnoteReference w:id="46"/>
      </w:r>
    </w:p>
    <w:p w14:paraId="1DDC3783" w14:textId="77777777" w:rsidR="006B3086" w:rsidRPr="009228DF" w:rsidRDefault="006B3086" w:rsidP="006B3086">
      <w:pPr>
        <w:spacing w:line="240" w:lineRule="auto"/>
        <w:jc w:val="center"/>
        <w:rPr>
          <w:lang w:val="lv-LV"/>
        </w:rPr>
      </w:pPr>
      <w:r w:rsidRPr="009228DF">
        <w:rPr>
          <w:noProof/>
          <w:lang w:val="lv-LV" w:eastAsia="lv-LV"/>
        </w:rPr>
        <w:drawing>
          <wp:inline distT="0" distB="0" distL="0" distR="0" wp14:anchorId="2435FA2D" wp14:editId="45CB4F4A">
            <wp:extent cx="5403272" cy="3314700"/>
            <wp:effectExtent l="0" t="0" r="6985" b="0"/>
            <wp:docPr id="10" name="Chart 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44A70E3" w14:textId="77777777" w:rsidR="006B3086" w:rsidRPr="009228DF" w:rsidRDefault="006B3086" w:rsidP="006B3086">
      <w:pPr>
        <w:spacing w:before="120"/>
        <w:ind w:firstLine="720"/>
        <w:rPr>
          <w:lang w:val="lv-LV"/>
        </w:rPr>
      </w:pPr>
      <w:r w:rsidRPr="009228DF">
        <w:rPr>
          <w:lang w:val="lv-LV"/>
        </w:rPr>
        <w:t>Protams, viens no būtiskiem argumentiem, kas neļauj pilnvērtīgi analizēt mākslas nozīmi kopējā kultūras nozaru piedāvājumā, ir tas, ka īsti nav zināms, cik augsti ir gleznu un skulptūru pārdošanas rādītāji iekšējā patēriņā. Tomēr pat gadījumā, ja mākslas darbi vietējā tirgū tiek pārdoti lielos apjomos, maz ticams, ka kopējie šī kultūras veida ieņēmumi uzlabotos tiktāl, lai būtu samērojami kaut vai ar laikrakstu, žurnālu un periodikas veikumu, kuru eksports ir vidēji 5% apmērā ik gadu.</w:t>
      </w:r>
    </w:p>
    <w:p w14:paraId="56D97534" w14:textId="77777777" w:rsidR="006B3086" w:rsidRPr="009228DF" w:rsidRDefault="006B3086" w:rsidP="006B3086">
      <w:pPr>
        <w:spacing w:before="120"/>
        <w:ind w:firstLine="720"/>
        <w:rPr>
          <w:lang w:val="lv-LV"/>
        </w:rPr>
      </w:pPr>
      <w:r w:rsidRPr="009228DF">
        <w:rPr>
          <w:lang w:val="lv-LV"/>
        </w:rPr>
        <w:t>Grafikā redzams, ka, lai arī grāmatniecības nozares nozīme kopējā Latvijas kultūras eksportā ir augusi 2018. un 2019. gadā, tieši grāmatniecība visu pagājušo desmitgadi bijusi galvenais Latvijas kultūras eksporta produkts. Sekojoši trijniekā iekļūst arī amatnieku darinājumi un dārglietu izgatavošana.</w:t>
      </w:r>
    </w:p>
    <w:p w14:paraId="6F722354" w14:textId="77777777" w:rsidR="006B3086" w:rsidRPr="009228DF" w:rsidRDefault="006B3086" w:rsidP="006B3086">
      <w:pPr>
        <w:spacing w:before="120"/>
        <w:ind w:firstLine="720"/>
        <w:rPr>
          <w:lang w:val="lv-LV"/>
        </w:rPr>
      </w:pPr>
      <w:r w:rsidRPr="009228DF">
        <w:rPr>
          <w:lang w:val="lv-LV"/>
        </w:rPr>
        <w:t xml:space="preserve">Mēģinot salīdzināt šos eksporta datus ar VKKF 2019. gadā piešķirto finansējumu, rodas pamatots jautājums par finansējuma apjomu mākslas nozarei. Pat ja VKKF projektu konkursos </w:t>
      </w:r>
      <w:r w:rsidRPr="009228DF">
        <w:rPr>
          <w:lang w:val="lv-LV"/>
        </w:rPr>
        <w:lastRenderedPageBreak/>
        <w:t xml:space="preserve">piešķirtā finansējuma datos ņem vērā tikai vizuālās mākslas sadaļu (papildus finansējums noteikti ir arī starpdisciplinārajā nozarē un citās VKKF izdalītajās grupās), tie ir 9,8% no kopējā projektiem atvēlētā finansējuma jeb vairāk nekā 900 tūkst. </w:t>
      </w:r>
      <w:r w:rsidRPr="009228DF">
        <w:rPr>
          <w:i/>
          <w:lang w:val="lv-LV"/>
        </w:rPr>
        <w:t>euro</w:t>
      </w:r>
      <w:r w:rsidRPr="009228DF">
        <w:rPr>
          <w:lang w:val="lv-LV"/>
        </w:rPr>
        <w:t xml:space="preserve">. Ja šo ieguldījumu salīdzina ar kultūras eksporta ienākumos redzamajiem 300 tūkst. </w:t>
      </w:r>
      <w:r w:rsidRPr="009228DF">
        <w:rPr>
          <w:i/>
          <w:lang w:val="lv-LV"/>
        </w:rPr>
        <w:t>euro</w:t>
      </w:r>
      <w:r w:rsidRPr="009228DF">
        <w:rPr>
          <w:lang w:val="lv-LV"/>
        </w:rPr>
        <w:t xml:space="preserve">, tad, pateicoties mākslas izstrādājumu pārdošanai vai izstādīšanai, šī nozare atpelna tikai trešo daļu no tajā veiktajiem ieguldījumiem. Pretstatā literatūras nozare VKKF projektu konkursos 2019. gadā sadalīja tikai 547 tūkst. </w:t>
      </w:r>
      <w:r w:rsidRPr="009228DF">
        <w:rPr>
          <w:i/>
          <w:lang w:val="lv-LV"/>
        </w:rPr>
        <w:t>euro</w:t>
      </w:r>
      <w:r w:rsidRPr="009228DF">
        <w:rPr>
          <w:lang w:val="lv-LV"/>
        </w:rPr>
        <w:t xml:space="preserve">, kamēr ieguvums no grāmatniecības eksporta 2019. gadā mērāms indikatīvi 104 milj. </w:t>
      </w:r>
      <w:r w:rsidRPr="009228DF">
        <w:rPr>
          <w:i/>
          <w:lang w:val="lv-LV"/>
        </w:rPr>
        <w:t xml:space="preserve">euro </w:t>
      </w:r>
      <w:r w:rsidRPr="009228DF">
        <w:rPr>
          <w:lang w:val="lv-LV"/>
        </w:rPr>
        <w:t>apmērā.</w:t>
      </w:r>
    </w:p>
    <w:p w14:paraId="08C24CBF" w14:textId="77777777" w:rsidR="006B3086" w:rsidRPr="009228DF" w:rsidRDefault="006B3086" w:rsidP="006B3086">
      <w:pPr>
        <w:spacing w:before="120"/>
        <w:ind w:firstLine="720"/>
        <w:rPr>
          <w:lang w:val="lv-LV"/>
        </w:rPr>
      </w:pPr>
      <w:r w:rsidRPr="19F47470">
        <w:rPr>
          <w:lang w:val="lv-LV"/>
        </w:rPr>
        <w:t xml:space="preserve">Vienlaikus jāņem vērā arī tas, ka topošajiem literātiem nav savas augstākās izglītības iestādes un pat ne savas augstākās izglītības programmas kādā no augstskolām (tikai daļēji par tādām var uzskatīt daudzās filoloģijas studiju programmas). Turpretī mākslas nozarei ir sava augstākās izglītības iestāde – Latvijas Mākslas akadēmija. Līdz ar to mākslas nozares finansiālajam atbalstam var pieskaitīt to finansējuma apjomu, kas no KM budžeta programmas 20.00.00 “Kultūrizglītība” tiek piešķirts kā dotācija Latvijas Mākslas akadēmijai – 2019. gadā tie bija 4,0 milj. </w:t>
      </w:r>
      <w:r w:rsidRPr="19F47470">
        <w:rPr>
          <w:i/>
          <w:iCs/>
          <w:lang w:val="lv-LV"/>
        </w:rPr>
        <w:t>euro</w:t>
      </w:r>
      <w:r w:rsidRPr="19F47470">
        <w:rPr>
          <w:lang w:val="lv-LV"/>
        </w:rPr>
        <w:t>.</w:t>
      </w:r>
    </w:p>
    <w:p w14:paraId="2106FF59" w14:textId="77777777" w:rsidR="006B3086" w:rsidRPr="009228DF" w:rsidRDefault="006B3086" w:rsidP="006B3086">
      <w:pPr>
        <w:spacing w:before="120"/>
        <w:ind w:firstLine="720"/>
        <w:rPr>
          <w:lang w:val="lv-LV"/>
        </w:rPr>
      </w:pPr>
      <w:r w:rsidRPr="009228DF">
        <w:rPr>
          <w:lang w:val="lv-LV"/>
        </w:rPr>
        <w:t xml:space="preserve">Ņemot vērā iepriekšminēto, KM un VKKF ir jautājams, vai tiek veikta kāda uzskaite par to, cik lielu pienesumu Latvijas tautsaimniecībā veic katra no kultūras nozarēm (proti, kādi ir ienākumi no šo preču iegādes vai pakalpojumu izmantošanas), kā arī, vai, nosakot VKKF piešķiramā finansējuma apjomu pa nozarēm, tiek ņemti vērā katras kultūras nozares patēriņa dati gan vietējā, gan starptautiskā mērogā. </w:t>
      </w:r>
    </w:p>
    <w:p w14:paraId="247EC982" w14:textId="77777777" w:rsidR="006B3086" w:rsidRPr="009228DF" w:rsidRDefault="006B3086" w:rsidP="006B3086">
      <w:pPr>
        <w:spacing w:line="240" w:lineRule="auto"/>
        <w:ind w:firstLine="720"/>
        <w:rPr>
          <w:lang w:val="lv-LV"/>
        </w:rPr>
      </w:pPr>
    </w:p>
    <w:p w14:paraId="2F054157" w14:textId="77777777" w:rsidR="006B3086" w:rsidRPr="009228DF" w:rsidRDefault="006B3086" w:rsidP="006B3086">
      <w:pPr>
        <w:spacing w:line="240" w:lineRule="auto"/>
        <w:rPr>
          <w:i/>
          <w:lang w:val="lv-LV"/>
        </w:rPr>
      </w:pPr>
      <w:r w:rsidRPr="009228DF">
        <w:rPr>
          <w:i/>
          <w:lang w:val="lv-LV"/>
        </w:rPr>
        <w:t>Latvijas Nacionālais kultūras centrs</w:t>
      </w:r>
    </w:p>
    <w:p w14:paraId="77A87A86" w14:textId="77777777" w:rsidR="006B3086" w:rsidRPr="006B3086" w:rsidRDefault="006B3086" w:rsidP="006B3086">
      <w:pPr>
        <w:spacing w:before="120"/>
        <w:ind w:firstLine="709"/>
        <w:rPr>
          <w:lang w:val="lv-LV"/>
        </w:rPr>
      </w:pPr>
      <w:r w:rsidRPr="006B3086">
        <w:rPr>
          <w:lang w:val="lv-LV"/>
        </w:rPr>
        <w:t>LNKC ir KM padotības iestāde, kura saskaņā ar iestādes publicēto gada pārskatu veic apjomīgu skaitu uzdevumu</w:t>
      </w:r>
      <w:r w:rsidRPr="006B3086">
        <w:rPr>
          <w:rStyle w:val="FootnoteReference"/>
          <w:lang w:val="lv-LV"/>
        </w:rPr>
        <w:footnoteReference w:id="47"/>
      </w:r>
      <w:r w:rsidRPr="006B3086">
        <w:rPr>
          <w:lang w:val="lv-LV"/>
        </w:rPr>
        <w:t>. LNKC struktūrā esošo trīs nodaļu veicamo uzdevumu saraksts 2019. gada publiskajā pārskatā izvērsts uz četrām lappusēm. Apskatot aprakstītās funkcijas un amatu sarakstu, secināms, ka būtu nepieciešams KM izvērtējums par LNKC veiktajām funkcijām un iespējamu to deleģēšanu KM un IZM. Jāpiezīmē, ka KM LNKC funkciju pārskatīšanu neatbalsta, plašāku pamatojumu sniedzot šīs informatīvā ziņojuma nodaļas turpinājumā, KM redzējuma sadaļā.</w:t>
      </w:r>
    </w:p>
    <w:p w14:paraId="1571514E" w14:textId="77777777" w:rsidR="006B3086" w:rsidRPr="006B3086" w:rsidRDefault="006B3086" w:rsidP="006B3086">
      <w:pPr>
        <w:spacing w:before="120"/>
        <w:ind w:firstLine="709"/>
        <w:rPr>
          <w:lang w:val="lv-LV"/>
        </w:rPr>
      </w:pPr>
      <w:r w:rsidRPr="006B3086">
        <w:rPr>
          <w:lang w:val="lv-LV"/>
        </w:rPr>
        <w:t>LNKC struktūrvienība, kuras funkcijas būtu pārskatāmas, izvērtējot daļas no tām nodošanu KM, ir Stratēģiskās plānošanas un administratīvā nodaļa. Starp šīs nodaļas funkcijām minamas dažādu pārskatu sagatavošana, informācijas un lietvedības plūsmas nodrošināšana, LNKC publiskā tēla nodrošināšana, dažādu padomju darbības nodrošināšana, kā arī grāmatvedības, personālvadības un saimnieciskā atbalsta nodrošināšana. Rodas jautājums, vai LNKC kā iestādei ar 29 amata vietām ir nepieciešami divi grāmatveži, divi juristi, sabiedrisko attiecību speciālists un mikroautobusa vadītājs. Šīs atbalsta funkcijas būtu iespējams deleģēt pašai KM, ņemot vērā, ka pašā KM starp 118 kopējām amata vietām ir 4 amata vietas Sabiedrisko attiecību nodaļā, 4 amata vietas Grāmatvedības uzskaites un atskaites nodaļā, 5 amata vietas Juridiskajā nodaļā un 4 amata vietas Saimniecības nodaļā.</w:t>
      </w:r>
    </w:p>
    <w:p w14:paraId="3748E318" w14:textId="77777777" w:rsidR="006B3086" w:rsidRPr="006B3086" w:rsidRDefault="006B3086" w:rsidP="006B3086">
      <w:pPr>
        <w:spacing w:before="120"/>
        <w:ind w:firstLine="709"/>
        <w:rPr>
          <w:lang w:val="lv-LV"/>
        </w:rPr>
      </w:pPr>
      <w:r w:rsidRPr="006B3086">
        <w:rPr>
          <w:lang w:val="lv-LV"/>
        </w:rPr>
        <w:t xml:space="preserve">Nemateriālās kultūras mantojuma nodaļas galvenajos uzdevumos ir Nacionālā kultūras mantojuma un Dziesmu un deju svētku likumā noteikto uzdevumu īstenošana, proti, Dziesmu un deju svētku organizēšana. Tāpat nodaļas pārziņā ir dažādu datu analīze, kursu un semināru </w:t>
      </w:r>
      <w:r w:rsidRPr="006B3086">
        <w:rPr>
          <w:lang w:val="lv-LV"/>
        </w:rPr>
        <w:lastRenderedPageBreak/>
        <w:t>organizēšana, digitālo materiālu izstrāde un konsultāciju sniegšana par “Latvijas digitālo kultūras karti”. Šīs struktūrvienības gadījumā redzams skaidrs KM deleģēts uzdevums, par kura īstenošanu šī nodaļa uzņemas atbildību, līdz ar to funkciju nodošana KM nav saskatāma.</w:t>
      </w:r>
    </w:p>
    <w:p w14:paraId="023CEDAF" w14:textId="77777777" w:rsidR="006B3086" w:rsidRPr="006B3086" w:rsidRDefault="006B3086" w:rsidP="006B3086">
      <w:pPr>
        <w:spacing w:before="120"/>
        <w:ind w:firstLine="709"/>
        <w:rPr>
          <w:lang w:val="lv-LV"/>
        </w:rPr>
      </w:pPr>
      <w:r w:rsidRPr="006B3086">
        <w:rPr>
          <w:lang w:val="lv-LV"/>
        </w:rPr>
        <w:t>Savukārt Kultūras un radošās industrijas izglītības nodaļas uzdevumos ietilpst atzinumu sniegšana par normatīvo aktu projektiem, izglītības iestāžu un pedagogu profesionālās pilnveides jautājumi, profesionālo izglītības programmu izvērtēšana un saskaņošana, izglītības kvalitātes kontrole un kultūras izglītības pedagogu darba samaksas tarifikācijas pārbaude un dotācijas izmaksa. FM ieskatā atsevišķi no uzdevumiem, kas skar izvērtējumu sniegšanu un normatīvo aktu gatavošanu, būtu vērtējami kā veicami KM ietvaros.</w:t>
      </w:r>
    </w:p>
    <w:p w14:paraId="7676FD81" w14:textId="77777777" w:rsidR="006B3086" w:rsidRPr="006B3086" w:rsidRDefault="006B3086" w:rsidP="006B3086">
      <w:pPr>
        <w:spacing w:before="120"/>
        <w:ind w:firstLine="709"/>
        <w:rPr>
          <w:lang w:val="lv-LV"/>
        </w:rPr>
      </w:pPr>
      <w:r w:rsidRPr="006B3086">
        <w:rPr>
          <w:lang w:val="lv-LV"/>
        </w:rPr>
        <w:t>Vienlaikus abu pēdējo LNKC struktūrvienību veicamos uzdevumus var salīdzināt ar IZM padotības iestādi – VISC. Apskatot VISC uzdevumu sarakstu</w:t>
      </w:r>
      <w:r w:rsidRPr="006B3086">
        <w:rPr>
          <w:rStyle w:val="FootnoteReference"/>
          <w:lang w:val="lv-LV"/>
        </w:rPr>
        <w:footnoteReference w:id="48"/>
      </w:r>
      <w:r w:rsidRPr="006B3086">
        <w:rPr>
          <w:lang w:val="lv-LV"/>
        </w:rPr>
        <w:t>, redzams, ka šai iestādei bez pārbaudes darbu satura izstrādes un norises organizēšanas uzdots veikt arī pedagogu tālākizglītošanu, sniegt metodisku palīdzību izglītības sistēmā nodarbinātajiem, nodrošināt interešu izglītības un audzināšanas darbu, tai skaitā nodrošināt jaunatnes Dziesmu un deju svētku norisi, kā arī kultūrizglītības jomā organizēt pasākumus jauniešiem un nodrošināt izglītojošos seminārus kultūras skolotājiem un dažādu pulciņu vadītājiem. Sadarbībā ar LNKC VISC jānodrošina arī Dziesmu svētku tradīcijas saglabāšana.</w:t>
      </w:r>
    </w:p>
    <w:p w14:paraId="4DE84124" w14:textId="77777777" w:rsidR="006B3086" w:rsidRPr="006B3086" w:rsidRDefault="006B3086" w:rsidP="006B3086">
      <w:pPr>
        <w:spacing w:before="120"/>
        <w:ind w:firstLine="709"/>
        <w:rPr>
          <w:lang w:val="lv-LV"/>
        </w:rPr>
      </w:pPr>
      <w:r w:rsidRPr="006B3086">
        <w:rPr>
          <w:lang w:val="lv-LV"/>
        </w:rPr>
        <w:t>Līdz ar to, salīdzinot atsevišķas LNKC un VISC funkcijas, pirmšķietami redzama funkciju pārklāšanās. Respektīvi abas iestādes veic atsevišķas līdzīgus uzdevumus izglītības un kultūras funkcijās. Piemēram, LNKC Kultūras un radošās industrijas izglītības nodaļa nodarbojas arī ar pedagogu profesionālās pilnveides jautājumiem, kā arī izvērtē izglītības programmu kvalitāti, bet vienlaikus arī VISC veic pedagogu izglītošanu un izglītības satura monitoringu. Tā kā pedagogu izglītošana vairāk vērtējama kā IZM atbildības sfēra, būtu nepieciešams izvērtēt to, vai izglītības nozarē strādājošo zināšanu attīstīšana, kā arī izglītības programmu satura izveide, pārvaldība un kvalitātes kontrole nebūtu veicama vienas iestādes ietvaros, proti, VISC, kas, protams, nepieciešamības gadījumā attiecībā uz kultūras nozares mācību programmām var konsultēties ar LNKC vai KM. Otrā gadījumā LNKC Nemateriālās kultūras mantojuma nodaļa ir atbildīga par Dziesmu un deju svētku organizēšanu, kamēr jaunatnes Dziesmu un deju svētku organizēšana ir VISC pārziņā. Būtu izvērtējams, vai abu Dziesmu un deju svētku nodrošināšana nevarētu tikt nodota vienas iestādes, proti, LNKC, uzraudzībā. Tāpat izvērtējams, vai VISC būtu jāorganizē kultūrizglītības pasākumi jauniešiem un jānodrošina kultūras skolotāju un pulciņu vadītāju izglītošana. Kultūras pasākumu organizēšana pirmšķietami būtu nododama LNKC pārziņā, iespējams pasākumu finansiālo nodrošinājuma funkciju uzticot VKKF. Savukārt kultūras skolotāju un pulciņu vadītāju izglītošanas funkcija varētu palikt VISC uzdevums, ja šī iestāde pārņem visu pedagogu tālākizglītošanas darbu, ko šobrīd veic LNKC.</w:t>
      </w:r>
    </w:p>
    <w:p w14:paraId="6217D59F" w14:textId="77777777" w:rsidR="006B3086" w:rsidRPr="006B3086" w:rsidRDefault="006B3086" w:rsidP="006B3086">
      <w:pPr>
        <w:spacing w:before="120"/>
        <w:ind w:firstLine="709"/>
        <w:rPr>
          <w:lang w:val="lv-LV"/>
        </w:rPr>
      </w:pPr>
      <w:r w:rsidRPr="006B3086">
        <w:rPr>
          <w:lang w:val="lv-LV"/>
        </w:rPr>
        <w:t>Rezumējot sadaļu par LNKC, jāuzsver, ka KM jāizvērtē, vai tik nelielai iestādei nepieciešams uzturēt skaitliski lielu nodaļu, kas faktiski sastāv tikai no atbalsta personāla. Tāpat secināms, ka gan KM padotībā esošais LNKC, gan IZM padotībā esošais VISC nodarbojas ar līdzīgu uzdevumu veikšanu, iesaistoties gan izglītības darbinieku profesionālajā pilnveidē un mācību programmu nodrošināšanā, gan nodrošina kultūras pasākumu norisi, līdz ar to KM kopā ar IZM nepieciešams izvērtēt, vai atsevišķas funkcijas, kuru rezultatīvie rādītāji LNKC un VISC ir ļoti līdzīgi, nebūtu izdevīgāk un efektīvāk nodot tikai vienas iestādes uzraudzībā.</w:t>
      </w:r>
    </w:p>
    <w:p w14:paraId="476B22E8" w14:textId="77777777" w:rsidR="006B3086" w:rsidRPr="006B3086" w:rsidRDefault="006B3086" w:rsidP="006B3086">
      <w:pPr>
        <w:spacing w:before="120"/>
        <w:rPr>
          <w:lang w:val="lv-LV"/>
        </w:rPr>
      </w:pPr>
      <w:r w:rsidRPr="006B3086">
        <w:rPr>
          <w:i/>
          <w:lang w:val="lv-LV"/>
        </w:rPr>
        <w:lastRenderedPageBreak/>
        <w:t>Latvijas Nacionālais arhīvs</w:t>
      </w:r>
    </w:p>
    <w:p w14:paraId="7426F891" w14:textId="77777777" w:rsidR="006B3086" w:rsidRPr="006B3086" w:rsidRDefault="006B3086" w:rsidP="006B3086">
      <w:pPr>
        <w:spacing w:before="120"/>
        <w:ind w:firstLine="709"/>
        <w:rPr>
          <w:lang w:val="lv-LV"/>
        </w:rPr>
      </w:pPr>
      <w:r w:rsidRPr="006B3086">
        <w:rPr>
          <w:lang w:val="lv-LV"/>
        </w:rPr>
        <w:t>LNA attīstības jautājumu ir aktualizējusi pati KM, 2020. gada decembrī izskatīšanai MK iesniedzot konceptuālo ziņojumu “Par Latvijas Nacionālā arhīva ēku kritisko stāvokli un turpmāko rīcību”</w:t>
      </w:r>
      <w:r w:rsidRPr="006B3086">
        <w:rPr>
          <w:rStyle w:val="FootnoteReference"/>
          <w:lang w:val="lv-LV"/>
        </w:rPr>
        <w:footnoteReference w:id="49"/>
      </w:r>
      <w:r w:rsidRPr="006B3086">
        <w:rPr>
          <w:lang w:val="lv-LV"/>
        </w:rPr>
        <w:t>. Šajā ziņojumā tiek akcentēts LNA ēku kritiskais stāvoklis un tas, ka liela daļa esošo telpu nav atbilstošas arhīva funkciju veikšanai, ko apliecina arī tas, ka tikai 40% no kopējās arhīvu platības tiek izmantotas dokumentu un citu arhīva vienību uzglabāšanai.</w:t>
      </w:r>
    </w:p>
    <w:p w14:paraId="161ACE29" w14:textId="77777777" w:rsidR="006B3086" w:rsidRPr="006B3086" w:rsidRDefault="006B3086" w:rsidP="006B3086">
      <w:pPr>
        <w:spacing w:before="120"/>
        <w:ind w:firstLine="709"/>
        <w:rPr>
          <w:lang w:val="lv-LV"/>
        </w:rPr>
      </w:pPr>
      <w:r w:rsidRPr="006B3086">
        <w:rPr>
          <w:lang w:val="lv-LV"/>
        </w:rPr>
        <w:t>Šobrīd LNA pārvalda 23 nekustamos īpašumus, kas nozīmē ļoti sadrumstalotu īpašumu pārvaldīšanu. Bez 11 reģionālajām struktūrvienībām un to filiālēm arī Rīgā LNA darbība ir sadalīta pa vairākiem nekustamajiem īpašumiem – kopumā 7 dažādām adresēm. Arī pati LNA vadība un departamenti ir sadalīti pa trīs dažādām ēkām Rīgā. Ņemot vērā sadrumstaloto LNA struktūru, tikpat sadrumstalots ir arī LNA personāla sastāvs. Saskaņā ar publiskajiem pārskatiem 2019. gadā LNA bija 419 amata vietas</w:t>
      </w:r>
      <w:r w:rsidRPr="006B3086">
        <w:rPr>
          <w:rStyle w:val="FootnoteReference"/>
          <w:lang w:val="lv-LV"/>
        </w:rPr>
        <w:footnoteReference w:id="50"/>
      </w:r>
      <w:r w:rsidRPr="006B3086">
        <w:rPr>
          <w:lang w:val="lv-LV"/>
        </w:rPr>
        <w:t>. Lielākā daļa no amatiem ir paredzēti arhīvistiem, arhīva ekspertiem, fondu glabātājiem, taču vienlaikus LNA ir 15 dažādi nodaļu vadītāji politikas ieviešanas līmenī un 15 direktori administratīvās vadības līmenī. Ja konceptuālajā ziņojumā izvēlētais LNA attīstības scenārijs, kas paredz vērienīgu nekustamā īpašuma un struktūrvienību optimizāciju, paredzot 6 esošo nekustamo īpašumu pārbūvi un 1 jauna objekta izbūvēšanu, tiks īstenots, optimizēti visticamāk tiktu arī personāla un atbalsta funkciju resursi, līdz ar to tie šajā sadaļā netiks padziļinātāk izvērtēti.</w:t>
      </w:r>
    </w:p>
    <w:p w14:paraId="0EC367CC" w14:textId="033D8EFD" w:rsidR="006B3086" w:rsidRPr="00AD55B6" w:rsidRDefault="006B3086" w:rsidP="00B66244">
      <w:pPr>
        <w:spacing w:before="120"/>
        <w:ind w:firstLine="709"/>
        <w:rPr>
          <w:lang w:val="lv-LV"/>
        </w:rPr>
      </w:pPr>
      <w:r w:rsidRPr="006B3086">
        <w:rPr>
          <w:lang w:val="lv-LV"/>
        </w:rPr>
        <w:t>LNA un tā struktūrvienībās (tostarp Zonālajos valsts arhīvos, Latvijas Valsts vēstures arhīvā, Personāla dokumentu valsts arhīvā utt.) glabājamo vienību skaits ir ievērojams – 2019. gadā valsts glabāšanā bija 45 milj. dažādu glabājamo vienību, un šis skaits pieaug ik gadu</w:t>
      </w:r>
      <w:r w:rsidRPr="006B3086">
        <w:rPr>
          <w:rStyle w:val="FootnoteReference"/>
          <w:lang w:val="lv-LV"/>
        </w:rPr>
        <w:footnoteReference w:id="51"/>
      </w:r>
      <w:r w:rsidRPr="006B3086">
        <w:rPr>
          <w:lang w:val="lv-LV"/>
        </w:rPr>
        <w:t xml:space="preserve">. Salīdzinot ar 2014. gadu glabājamo vienību skaits ir pieaudzis par 3,6%. Daudz straujāk pieaug valsts budžeta dotācijas apjoms LNA darbības nodrošināšanai. 2014. gadā no budžeta līdzekļiem LNA saņēma 5,1 milj. </w:t>
      </w:r>
      <w:r w:rsidRPr="006B3086">
        <w:rPr>
          <w:i/>
          <w:iCs/>
          <w:lang w:val="lv-LV"/>
        </w:rPr>
        <w:t>euro</w:t>
      </w:r>
      <w:r w:rsidRPr="006B3086">
        <w:rPr>
          <w:lang w:val="lv-LV"/>
        </w:rPr>
        <w:t xml:space="preserve">, bet 2020. gadā jau 8,4 milj. </w:t>
      </w:r>
      <w:r w:rsidRPr="006B3086">
        <w:rPr>
          <w:i/>
          <w:iCs/>
          <w:lang w:val="lv-LV"/>
        </w:rPr>
        <w:t>euro</w:t>
      </w:r>
      <w:r w:rsidRPr="006B3086">
        <w:rPr>
          <w:lang w:val="lv-LV"/>
        </w:rPr>
        <w:t>, kas ir pieaugums par 64% (Attēls Nr. 3.2.6.).</w:t>
      </w:r>
    </w:p>
    <w:p w14:paraId="161F2D6D" w14:textId="77777777" w:rsidR="006B3086" w:rsidRPr="009228DF" w:rsidRDefault="006B3086" w:rsidP="006B3086">
      <w:pPr>
        <w:spacing w:line="240" w:lineRule="auto"/>
        <w:jc w:val="center"/>
        <w:rPr>
          <w:sz w:val="22"/>
          <w:lang w:val="lv-LV"/>
        </w:rPr>
      </w:pPr>
      <w:r w:rsidRPr="19F47470">
        <w:rPr>
          <w:b/>
          <w:bCs/>
          <w:i/>
          <w:iCs/>
          <w:sz w:val="22"/>
          <w:lang w:val="lv-LV"/>
        </w:rPr>
        <w:t>3.2.</w:t>
      </w:r>
      <w:r>
        <w:rPr>
          <w:b/>
          <w:bCs/>
          <w:i/>
          <w:iCs/>
          <w:sz w:val="22"/>
          <w:lang w:val="lv-LV"/>
        </w:rPr>
        <w:t>6</w:t>
      </w:r>
      <w:r w:rsidRPr="19F47470">
        <w:rPr>
          <w:b/>
          <w:bCs/>
          <w:i/>
          <w:iCs/>
          <w:sz w:val="22"/>
          <w:lang w:val="lv-LV"/>
        </w:rPr>
        <w:t>. attēls</w:t>
      </w:r>
      <w:r w:rsidRPr="19F47470">
        <w:rPr>
          <w:b/>
          <w:bCs/>
          <w:sz w:val="22"/>
          <w:lang w:val="lv-LV"/>
        </w:rPr>
        <w:t xml:space="preserve"> LNA un tā </w:t>
      </w:r>
      <w:r w:rsidRPr="006B3086">
        <w:rPr>
          <w:b/>
          <w:bCs/>
          <w:sz w:val="22"/>
          <w:lang w:val="lv-LV"/>
        </w:rPr>
        <w:t>struktūrvienībās (tostarp Zonālajos valsts arhīvos, Latvijas Valsts vēstures arhīvā, Personāla dokumentu valsts arhīvā utt.)</w:t>
      </w:r>
      <w:r w:rsidRPr="00AD55B6">
        <w:rPr>
          <w:b/>
          <w:bCs/>
          <w:sz w:val="22"/>
          <w:lang w:val="lv-LV"/>
        </w:rPr>
        <w:t xml:space="preserve"> glabājamo</w:t>
      </w:r>
      <w:r w:rsidRPr="19F47470">
        <w:rPr>
          <w:b/>
          <w:bCs/>
          <w:sz w:val="22"/>
          <w:lang w:val="lv-LV"/>
        </w:rPr>
        <w:t xml:space="preserve"> vienību skaits un valsts budžeta dotācijas</w:t>
      </w:r>
      <w:r>
        <w:rPr>
          <w:b/>
          <w:bCs/>
          <w:sz w:val="22"/>
          <w:lang w:val="lv-LV"/>
        </w:rPr>
        <w:t xml:space="preserve"> </w:t>
      </w:r>
      <w:r w:rsidRPr="19F47470">
        <w:rPr>
          <w:b/>
          <w:bCs/>
          <w:sz w:val="22"/>
          <w:lang w:val="lv-LV"/>
        </w:rPr>
        <w:t>apjoms</w:t>
      </w:r>
      <w:r>
        <w:rPr>
          <w:rStyle w:val="FootnoteReference"/>
          <w:b/>
          <w:bCs/>
          <w:sz w:val="22"/>
          <w:lang w:val="lv-LV"/>
        </w:rPr>
        <w:footnoteReference w:id="52"/>
      </w:r>
    </w:p>
    <w:p w14:paraId="451E6538" w14:textId="77777777" w:rsidR="006B3086" w:rsidRPr="009228DF" w:rsidRDefault="006B3086" w:rsidP="006B3086">
      <w:pPr>
        <w:spacing w:line="240" w:lineRule="auto"/>
        <w:jc w:val="center"/>
        <w:rPr>
          <w:lang w:val="lv-LV"/>
        </w:rPr>
      </w:pPr>
      <w:r w:rsidRPr="009228DF">
        <w:rPr>
          <w:noProof/>
          <w:lang w:val="lv-LV" w:eastAsia="lv-LV"/>
        </w:rPr>
        <w:drawing>
          <wp:inline distT="0" distB="0" distL="0" distR="0" wp14:anchorId="23AD938A" wp14:editId="40C1B8F9">
            <wp:extent cx="4450080" cy="2371725"/>
            <wp:effectExtent l="0" t="0" r="7620" b="0"/>
            <wp:docPr id="3" name="Chart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A1DFF25" w14:textId="77777777" w:rsidR="006B3086" w:rsidRPr="006B3086" w:rsidRDefault="006B3086" w:rsidP="006B3086">
      <w:pPr>
        <w:spacing w:before="120"/>
        <w:ind w:firstLine="720"/>
        <w:rPr>
          <w:lang w:val="lv-LV"/>
        </w:rPr>
      </w:pPr>
      <w:r w:rsidRPr="006B3086">
        <w:rPr>
          <w:lang w:val="lv-LV"/>
        </w:rPr>
        <w:lastRenderedPageBreak/>
        <w:t>Pieminams arī tas, ka LNA izsniegto vienību skaits pēdējo gadu laikā ir teju nemainīgs, proti, ap 250 000 vienībām ik gadu</w:t>
      </w:r>
      <w:r w:rsidRPr="006B3086">
        <w:rPr>
          <w:rStyle w:val="FootnoteReference"/>
          <w:lang w:val="lv-LV"/>
        </w:rPr>
        <w:footnoteReference w:id="53"/>
      </w:r>
      <w:r w:rsidRPr="006B3086">
        <w:rPr>
          <w:lang w:val="lv-LV"/>
        </w:rPr>
        <w:t>. Piemēram, 2019. gadā no kopējā uzglabājamo vienību skaita (45 013 432) tika izsniegtas 248 318 vienības, līdz ar to aprēķināms, ka 2019. gadā LNA izmantošanai izsniedza vien 0,55% no kopējā uzglabājamo vienību skaita. Izvērtējams, vai visas LNA glabājamās vienības vai šo vienību oriģinālus, ja tās ir digitalizētas, ir nepieciešams uzglabāt, ja tās īsti netiek pieprasītas. Alternatīvā variantā būtu pārskatāms normatīvo aktu regulējums, kas uzliek par pienākumu noteiktu laika periodu uzglabāt noteiktus dokumentus. KM būtu nepieciešams izvērtēt, vai visi normatīvajos aktos noteiktie dokumenti ir uzglabājami tieši LNA un vai nebūtu samazināms šo dokumentu uzglabāšanas termiņš.</w:t>
      </w:r>
    </w:p>
    <w:p w14:paraId="2BD1F434" w14:textId="77777777" w:rsidR="006B3086" w:rsidRPr="006B3086" w:rsidRDefault="006B3086" w:rsidP="006B3086">
      <w:pPr>
        <w:spacing w:before="120"/>
        <w:ind w:firstLine="720"/>
        <w:rPr>
          <w:lang w:val="lv-LV"/>
        </w:rPr>
      </w:pPr>
      <w:r w:rsidRPr="006B3086">
        <w:rPr>
          <w:lang w:val="lv-LV"/>
        </w:rPr>
        <w:t>Iepriekšminētajā konceptuālajā ziņojumā, kurā akcentēts, ka arhīva noslodze šobrīd ir 93%, kas draud ar to, ka jau 2025. gadā daļa dokumentu no Rīgas būs jāpārved uz filiālēm reģionos, minēts arī risks, ka papildus arhīva noslodzi radīs arī administratīvi teritoriālā reforma, jo dažādu restrukturizācijas procesu rezultātā palielināsies LNA nododamo dokumentu skaits. Rodas pamatots jautājums, vai šobrīd, kad absolūts vairums dokumentu tiek sagatavoti un parakstīti elektroniskā formātā, ir nepieciešama šādu dokumentu uzglabāšana arī papīra formātā, kam nepieciešama gan ievērojama platība, gan arī glabātuves klimatiskie apstākļi (noteikta temperatūra, mitruma līmenis u.c. parametri).</w:t>
      </w:r>
    </w:p>
    <w:p w14:paraId="3092267D" w14:textId="6204FA6C" w:rsidR="006B3086" w:rsidRDefault="006B3086" w:rsidP="006B3086">
      <w:pPr>
        <w:spacing w:before="120"/>
        <w:ind w:firstLine="709"/>
        <w:rPr>
          <w:lang w:val="lv-LV"/>
        </w:rPr>
      </w:pPr>
      <w:r w:rsidRPr="006B3086">
        <w:rPr>
          <w:lang w:val="lv-LV"/>
        </w:rPr>
        <w:t>Arī valsts budžeta programmā 21.00.00 “Kultūras mantojums” kā viena no galvenajām aktivitātēm ir minēta bibliotēku, arhīvu, muzeja krājumu vienību digitalizācija, digitalizēto materiālu pieejamības nodrošināšana un veicināšana. Kā viens no darbības rezultātiem un tā rezultatīvajiem rādītājiem ir “Digitāli pieejamās krājuma vienības Latvijas Nacionālajā arhīvā (pieaugums pret iepriekšējo gadu)”, kas tātad sevī ietver vienību skaitu, kas ik gadu papildina kopējo digitalizēto vienību kopskaitu. Šajā rādītājā akcentējama gan KM (LNA) plānošana, gan digitalizēto LNA krājumā esošo vienību skaits (Attēls Nr. 3.2.7.). Piemēram, 2018. gadā tika plānots digitalizēt 900 tūkst. vienību, kamēr realitātē izpilde bija vairāk nekā 10 reizes lielāka – 10,1 milj. vienību. Šāda pati nesekmīga plānošana novērojama arī citos gados. Vienlaikus analizējot pašus skaitļus, no attiecīgā rezultatīvā rādītāja izpildes secināms, ka pēdējo četru gadu laikā LNA digitāli pieejamo vienību skaits ir pieaudzis par gandrīz 20 miljoniem vienību. KM norāda, ka attiecībā šajā rezultatīvajā rādītājā ar vienību skaitu saprotams lapu skaits, lai arī citu rezultatīvo rādītāju gadījumā kā vienība ir uzskatāms, piemēram, sējums, monogrāfija, normatīvais akts utml.</w:t>
      </w:r>
      <w:r>
        <w:rPr>
          <w:lang w:val="lv-LV"/>
        </w:rPr>
        <w:t xml:space="preserve"> </w:t>
      </w:r>
    </w:p>
    <w:p w14:paraId="7407F6A5" w14:textId="3A32C7A1" w:rsidR="00B66244" w:rsidRDefault="00B66244" w:rsidP="006B3086">
      <w:pPr>
        <w:spacing w:before="120"/>
        <w:ind w:firstLine="709"/>
        <w:rPr>
          <w:lang w:val="lv-LV"/>
        </w:rPr>
      </w:pPr>
    </w:p>
    <w:p w14:paraId="49214C98" w14:textId="1DCD2C5C" w:rsidR="00B66244" w:rsidRDefault="00B66244" w:rsidP="006B3086">
      <w:pPr>
        <w:spacing w:before="120"/>
        <w:ind w:firstLine="709"/>
        <w:rPr>
          <w:lang w:val="lv-LV"/>
        </w:rPr>
      </w:pPr>
    </w:p>
    <w:p w14:paraId="632B8BA1" w14:textId="38681290" w:rsidR="00B66244" w:rsidRDefault="00B66244" w:rsidP="006B3086">
      <w:pPr>
        <w:spacing w:before="120"/>
        <w:ind w:firstLine="709"/>
        <w:rPr>
          <w:lang w:val="lv-LV"/>
        </w:rPr>
      </w:pPr>
    </w:p>
    <w:p w14:paraId="0B9CDFBA" w14:textId="456EBCEF" w:rsidR="00B66244" w:rsidRDefault="00B66244" w:rsidP="006B3086">
      <w:pPr>
        <w:spacing w:before="120"/>
        <w:ind w:firstLine="709"/>
        <w:rPr>
          <w:lang w:val="lv-LV"/>
        </w:rPr>
      </w:pPr>
    </w:p>
    <w:p w14:paraId="4452F71D" w14:textId="4A821BFB" w:rsidR="00B66244" w:rsidRDefault="00B66244" w:rsidP="006B3086">
      <w:pPr>
        <w:spacing w:before="120"/>
        <w:ind w:firstLine="709"/>
        <w:rPr>
          <w:lang w:val="lv-LV"/>
        </w:rPr>
      </w:pPr>
    </w:p>
    <w:p w14:paraId="7C783755" w14:textId="35BF1F8D" w:rsidR="00B66244" w:rsidRDefault="00B66244" w:rsidP="006B3086">
      <w:pPr>
        <w:spacing w:before="120"/>
        <w:ind w:firstLine="709"/>
        <w:rPr>
          <w:lang w:val="lv-LV"/>
        </w:rPr>
      </w:pPr>
    </w:p>
    <w:p w14:paraId="002A40C3" w14:textId="58A4548B" w:rsidR="00B66244" w:rsidRDefault="00B66244" w:rsidP="006B3086">
      <w:pPr>
        <w:spacing w:before="120"/>
        <w:ind w:firstLine="709"/>
        <w:rPr>
          <w:lang w:val="lv-LV"/>
        </w:rPr>
      </w:pPr>
    </w:p>
    <w:p w14:paraId="334C36FB" w14:textId="304036CF" w:rsidR="00B66244" w:rsidRDefault="00B66244" w:rsidP="006B3086">
      <w:pPr>
        <w:spacing w:before="120"/>
        <w:ind w:firstLine="709"/>
        <w:rPr>
          <w:lang w:val="lv-LV"/>
        </w:rPr>
      </w:pPr>
    </w:p>
    <w:p w14:paraId="7A4D226B" w14:textId="7A0CE412" w:rsidR="00B66244" w:rsidRPr="00901871" w:rsidRDefault="00B66244" w:rsidP="006B3086">
      <w:pPr>
        <w:spacing w:before="120"/>
        <w:ind w:firstLine="709"/>
        <w:rPr>
          <w:lang w:val="lv-LV"/>
        </w:rPr>
      </w:pPr>
    </w:p>
    <w:p w14:paraId="71DB5AB4" w14:textId="77777777" w:rsidR="006B3086" w:rsidRPr="008A2A83" w:rsidRDefault="006B3086" w:rsidP="006B3086">
      <w:pPr>
        <w:spacing w:line="240" w:lineRule="auto"/>
        <w:jc w:val="center"/>
        <w:rPr>
          <w:lang w:val="lv-LV"/>
        </w:rPr>
      </w:pPr>
      <w:r w:rsidRPr="009228DF">
        <w:rPr>
          <w:b/>
          <w:i/>
          <w:iCs/>
          <w:sz w:val="22"/>
          <w:lang w:val="lv-LV"/>
        </w:rPr>
        <w:lastRenderedPageBreak/>
        <w:t>3.2.</w:t>
      </w:r>
      <w:r>
        <w:rPr>
          <w:b/>
          <w:i/>
          <w:iCs/>
          <w:sz w:val="22"/>
          <w:lang w:val="lv-LV"/>
        </w:rPr>
        <w:t>7</w:t>
      </w:r>
      <w:r w:rsidRPr="009228DF">
        <w:rPr>
          <w:b/>
          <w:i/>
          <w:iCs/>
          <w:sz w:val="22"/>
          <w:lang w:val="lv-LV"/>
        </w:rPr>
        <w:t>. attēls</w:t>
      </w:r>
      <w:r w:rsidRPr="009228DF">
        <w:rPr>
          <w:b/>
          <w:sz w:val="22"/>
          <w:lang w:val="lv-LV"/>
        </w:rPr>
        <w:t xml:space="preserve"> LNA digitāli pieejamo krājuma vienību skaita pieaugums pret iepriekšējo gadu</w:t>
      </w:r>
      <w:r>
        <w:rPr>
          <w:rStyle w:val="FootnoteReference"/>
          <w:b/>
          <w:sz w:val="22"/>
          <w:lang w:val="lv-LV"/>
        </w:rPr>
        <w:footnoteReference w:id="54"/>
      </w:r>
    </w:p>
    <w:p w14:paraId="0733AEAB" w14:textId="77777777" w:rsidR="006B3086" w:rsidRPr="009228DF" w:rsidRDefault="006B3086" w:rsidP="006B3086">
      <w:pPr>
        <w:spacing w:line="240" w:lineRule="auto"/>
        <w:jc w:val="center"/>
        <w:rPr>
          <w:lang w:val="lv-LV"/>
        </w:rPr>
      </w:pPr>
      <w:r w:rsidRPr="009228DF">
        <w:rPr>
          <w:noProof/>
          <w:lang w:val="lv-LV" w:eastAsia="lv-LV"/>
        </w:rPr>
        <w:drawing>
          <wp:inline distT="0" distB="0" distL="0" distR="0" wp14:anchorId="43A755BF" wp14:editId="1B6CFFDE">
            <wp:extent cx="4667250" cy="2314575"/>
            <wp:effectExtent l="0" t="0" r="0" b="0"/>
            <wp:docPr id="13" name="Chart 13">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64C09296" w14:textId="77777777" w:rsidR="006B3086" w:rsidRPr="009228DF" w:rsidRDefault="006B3086" w:rsidP="006B3086">
      <w:pPr>
        <w:spacing w:before="120"/>
        <w:ind w:firstLine="709"/>
        <w:rPr>
          <w:lang w:val="lv-LV"/>
        </w:rPr>
      </w:pPr>
      <w:r w:rsidRPr="009228DF">
        <w:rPr>
          <w:lang w:val="lv-LV"/>
        </w:rPr>
        <w:t>Ņemot vērā iepriekšminēto, KM sadarbībā ar LNA nepieciešams izvērtēt normatīvos aktus, kas nosaka to, kādas dokumentālas vienības ir uzglabājamas LNA un kādi glabāšanas termiņi šīm vienībām ir noteikti. Kopsakarā ar LNA glabātavu piepildījumu un bažām par telpu trūkumu jau tuvāko gadu laikā izvērtēt, vai visi dokumenti, kas saskaņā ar normatīvo aktu regulējumu, LNA jāuzglabā šobrīd, būtu uzglabājami arī turpmāk. Vienlaikus, ņemot vērā statistiskos datus par digitalizēto LNA vienību skaitu, izvērtējams, vai visas arhīvā glabājamās vienības obligāti saglabājamas papīra formā.</w:t>
      </w:r>
    </w:p>
    <w:p w14:paraId="5A500BEB" w14:textId="25A3B8D7" w:rsidR="006B3086" w:rsidRDefault="006B3086" w:rsidP="006B3086">
      <w:pPr>
        <w:spacing w:line="240" w:lineRule="auto"/>
        <w:rPr>
          <w:i/>
          <w:iCs/>
          <w:lang w:val="lv-LV"/>
        </w:rPr>
      </w:pPr>
    </w:p>
    <w:p w14:paraId="4BE627E3" w14:textId="77777777" w:rsidR="006B3086" w:rsidRPr="009228DF" w:rsidRDefault="006B3086" w:rsidP="006B3086">
      <w:pPr>
        <w:spacing w:line="240" w:lineRule="auto"/>
        <w:rPr>
          <w:i/>
          <w:iCs/>
          <w:lang w:val="lv-LV"/>
        </w:rPr>
      </w:pPr>
      <w:r w:rsidRPr="009228DF">
        <w:rPr>
          <w:i/>
          <w:iCs/>
          <w:lang w:val="lv-LV"/>
        </w:rPr>
        <w:t>KM redzējums</w:t>
      </w:r>
    </w:p>
    <w:p w14:paraId="5795106C" w14:textId="77777777" w:rsidR="006B3086" w:rsidRPr="009228DF" w:rsidRDefault="006B3086" w:rsidP="006B3086">
      <w:pPr>
        <w:spacing w:before="120"/>
        <w:ind w:firstLine="709"/>
        <w:rPr>
          <w:lang w:val="lv-LV"/>
        </w:rPr>
      </w:pPr>
      <w:r w:rsidRPr="009228DF">
        <w:rPr>
          <w:lang w:val="lv-LV"/>
        </w:rPr>
        <w:t>Izdevumu pārskatīšanas darba grupa tikās ar KM un tās padotības iestādēm 2021. gada 9. aprīlī, uzklausot resora redzējumu par šajā informatīvā ziņojuma sadaļā apskatītajām tēmām un nozares aktualitātēm kopumā. Papildus informācija tika sniegta izdevumu pārskatīšanas darba grupas sanāksmē ar KM 2021. gada 21. maijā.</w:t>
      </w:r>
    </w:p>
    <w:p w14:paraId="0CA3DABA" w14:textId="77777777" w:rsidR="006B3086" w:rsidRPr="009228DF" w:rsidRDefault="006B3086" w:rsidP="006B3086">
      <w:pPr>
        <w:spacing w:before="120"/>
        <w:ind w:firstLine="709"/>
        <w:rPr>
          <w:lang w:val="lv-LV"/>
        </w:rPr>
      </w:pPr>
      <w:r w:rsidRPr="009228DF">
        <w:rPr>
          <w:lang w:val="lv-LV"/>
        </w:rPr>
        <w:t>Attiecībā uz Dziesmu un deju svētku funkcijas pārklāšanos KM norādīja, ka Vispārējo latviešu Dziesmu un deju svētku gadījumā ar koru un deju kolektīviem strādā jomas profesionāļi, kas nav pedagogi, kamēr gatavošanās IZM pārraudzībā esošajiem Latvijas Skolu jaunatnes dziesmu un deju svētkiem ir kā daļa no mācību procesa un tieši pedagogi, kas ir reglamentētā profesija, ir šo pulciņu un kolektīvu vadītāji. Tāpat tika norādīts, ka repertuāru sarežģītības ziņā abi dziesmu un deju svētki uzskatāmi par atšķirīgiem, līdz ar to organizatoriski atsevišķi veidojamiem, proti, atstājami gan KM, gan IZM pārraudzībā.</w:t>
      </w:r>
    </w:p>
    <w:p w14:paraId="050ABCBC" w14:textId="77777777" w:rsidR="006B3086" w:rsidRPr="009228DF" w:rsidRDefault="006B3086" w:rsidP="006B3086">
      <w:pPr>
        <w:spacing w:before="120"/>
        <w:ind w:firstLine="709"/>
        <w:rPr>
          <w:lang w:val="lv-LV"/>
        </w:rPr>
      </w:pPr>
      <w:r w:rsidRPr="009228DF">
        <w:rPr>
          <w:lang w:val="lv-LV"/>
        </w:rPr>
        <w:t xml:space="preserve">Saistībā ar kultūras eksporta datiem KM skaidro, ka būtisko grāmatniecības nozares īpatsvaru veido poligrāfijas nozare kā nozare ar augstu eksportspēju, kas tiešā veidā valsts, t.sk. VKKF finansējumu, nesaņem, lai gan pastarpināti gūst labumu no KM īstenotajiem literatūras eksporta veicināšanas pakalpojumiem. KM norāda, ka VKKF darbības mērķis, atbilstoši Valsts kultūrkapitāla fonda likumam, ir veicināt līdzsvarotu visu kultūras un mākslas nozaru jaunrades attīstību un kultūras mantojuma saglabāšanu valstī, līdz ar to, vērtējot iesniegtos projektus (atšķirībā no fondiem, kuru mērķis ir saimnieciskās darbības stimulēšana) tiek vērtēts nevis projektu pienesums tautsaimniecībai, bet gan to pienesums kultūras attīstībai. Ņemot vērā VKKF darbības mērķi un apstākli, ka ne visām kultūras nozarēm ir līdzvērtīgs saimnieciskās darbības potenciāls, KM ieskatā vairāk atbalstāmas ir tieši tās nozares, kurās ir mazākas iespējas </w:t>
      </w:r>
      <w:r w:rsidRPr="009228DF">
        <w:rPr>
          <w:lang w:val="lv-LV"/>
        </w:rPr>
        <w:lastRenderedPageBreak/>
        <w:t>gūt ienākumus no saimnieciskās darbības, tostarp eksporta, tādējādi labojot esošās tirgus nepilnības kultūras nozarēs un stimulējot pilnvērtīgu attīstību arī tajās nozarēs, kurām ir zems saimnieciskās darbības ieņēmumu potenciāls un kuras nespētu pilnvērtīgi attīstīties bez valsts dotācijām.</w:t>
      </w:r>
    </w:p>
    <w:p w14:paraId="07F71D64" w14:textId="77777777" w:rsidR="006B3086" w:rsidRPr="009228DF" w:rsidRDefault="006B3086" w:rsidP="006B3086">
      <w:pPr>
        <w:spacing w:before="120"/>
        <w:ind w:firstLine="709"/>
        <w:rPr>
          <w:rFonts w:eastAsia="Times New Roman" w:cs="Times New Roman"/>
          <w:szCs w:val="24"/>
          <w:lang w:val="lv-LV"/>
        </w:rPr>
      </w:pPr>
      <w:r w:rsidRPr="19F47470">
        <w:rPr>
          <w:lang w:val="lv-LV"/>
        </w:rPr>
        <w:t xml:space="preserve">Par arhīva jautājumiem tika norādīts, ka LNA sadarbojas ar iestādēm gan nosakot īsākus dokumentu glabāšanas termiņus, kas ir ieguvums iestādēm un neietekmē LNA darbību, gan veicinot elektronisko dokumentu apriti, kā rezultātā 2023. gadā jau 43% LNA nododamo dokumentu vajadzētu būt elektroniskā formātā. Tika akcentēts, ka šobrīd tiek digitalizēti vērtīgākie un pieprasītākie dokumenti un 2030. gadā digitalizēto dokumentu kopskaitam vajadzētu sasniegt 10% no visām LNA glabātajām dokumentu vienībām. Vienlaikus izdevumu pārskatīšanas darba grupa tika informēta, ka dokumentu digitalizācija nenozīmē to uzglabāšanas izmaksu samazināšanos, jo dokumentu vēsturiskās vērtības dēļ to oriģināli ir saglabājami arī turpmāk, jo tie nepieciešami gan turpmākai vēstures izpētei, gan kā atsevišķi pierādījumi un apliecinājumi (īpašumi, raduraksti, VDK u.c.). Nākamajā posmā (pēc aptuveni pieciem gadiem), kad tiks digitalizēti padomju laika masveida dokumenti (statistika, pārskati utml.), tiek plānots lielāko daļu papīra veidā glabājamo oriģinālu iznicināt, saglabājot tikai reprezentatīvo izlasi. Saistībā ar digitalizācijas apjomu KM </w:t>
      </w:r>
      <w:r w:rsidRPr="19F47470">
        <w:rPr>
          <w:rFonts w:eastAsia="Times New Roman" w:cs="Times New Roman"/>
          <w:szCs w:val="24"/>
          <w:lang w:val="lv-LV"/>
        </w:rPr>
        <w:t xml:space="preserve">nepiekrīt secinājumam par to, ka novērojama regulāra arhīva dokumentu digitalizācijas „nesekmīga plānošana”. Kā plānotais rezultatīvais rādītājs “Digitāli pieejamās krājuma vienības Latvijas Nacionālajā arhīvā (pieaugums pret iepriekšējo gadu)” tiek norādīts tas, ko LNA plāno izpildīt ar saviem resursiem valsts dotācijas ietvaros, bet kā izpildes rādītājs </w:t>
      </w:r>
      <w:r>
        <w:rPr>
          <w:rFonts w:eastAsia="Times New Roman" w:cs="Times New Roman"/>
          <w:szCs w:val="24"/>
          <w:lang w:val="lv-LV"/>
        </w:rPr>
        <w:t>norādīts</w:t>
      </w:r>
      <w:r w:rsidRPr="19F47470">
        <w:rPr>
          <w:rFonts w:eastAsia="Times New Roman" w:cs="Times New Roman"/>
          <w:szCs w:val="24"/>
          <w:lang w:val="lv-LV"/>
        </w:rPr>
        <w:t xml:space="preserve"> apjoms, kas digitalizēts gan ar LNA resursiem, gan piesaistot sadarbības partnerus dažādo projektos. Tā piemēram,</w:t>
      </w:r>
      <w:r>
        <w:rPr>
          <w:lang w:val="lv-LV"/>
        </w:rPr>
        <w:t xml:space="preserve"> </w:t>
      </w:r>
      <w:r w:rsidRPr="19F47470">
        <w:rPr>
          <w:lang w:val="lv-LV"/>
        </w:rPr>
        <w:t>2018.</w:t>
      </w:r>
      <w:r>
        <w:rPr>
          <w:lang w:val="lv-LV"/>
        </w:rPr>
        <w:t> g</w:t>
      </w:r>
      <w:r w:rsidRPr="19F47470">
        <w:rPr>
          <w:lang w:val="lv-LV"/>
        </w:rPr>
        <w:t xml:space="preserve">adā </w:t>
      </w:r>
      <w:r w:rsidRPr="19F47470">
        <w:rPr>
          <w:rFonts w:eastAsia="Times New Roman" w:cs="Times New Roman"/>
          <w:szCs w:val="24"/>
          <w:lang w:val="lv-LV"/>
        </w:rPr>
        <w:t>liela starpība starp plānu un izpildi skaidrojama ar to, ka</w:t>
      </w:r>
      <w:r w:rsidRPr="19F47470">
        <w:rPr>
          <w:lang w:val="lv-LV"/>
        </w:rPr>
        <w:t xml:space="preserve"> LNA saņēma divu gadu sūtījumu no sadarbības partnera “Family Search” par 2017. un 2018. gadā digitalizētajiem dokumentiem un turpmākajos gados “Family Search” sūtījumi bija regulāri,</w:t>
      </w:r>
      <w:r w:rsidRPr="19F47470">
        <w:rPr>
          <w:rFonts w:eastAsia="Times New Roman" w:cs="Times New Roman"/>
          <w:szCs w:val="24"/>
          <w:lang w:val="lv-LV"/>
        </w:rPr>
        <w:t xml:space="preserve"> bet tik un tā radīja nesakritību plāna un izpildes rādītājos.</w:t>
      </w:r>
    </w:p>
    <w:p w14:paraId="2E2F356F" w14:textId="77777777" w:rsidR="006B3086" w:rsidRPr="001E1AD1" w:rsidRDefault="006B3086" w:rsidP="006B3086">
      <w:pPr>
        <w:spacing w:before="120"/>
        <w:ind w:firstLine="709"/>
        <w:rPr>
          <w:rFonts w:eastAsia="Times New Roman" w:cs="Times New Roman"/>
          <w:szCs w:val="24"/>
          <w:lang w:val="lv-LV"/>
        </w:rPr>
      </w:pPr>
      <w:r w:rsidRPr="19F47470">
        <w:rPr>
          <w:rFonts w:eastAsia="Times New Roman" w:cs="Times New Roman"/>
          <w:szCs w:val="24"/>
          <w:lang w:val="lv-LV"/>
        </w:rPr>
        <w:t xml:space="preserve">KM kategoriski nepiekrīt secinājumam, ka salīdzinoši nelielais izmantošanai izsniegto glabājamo vienību skaits liecina par to, ka lielākā daļa LNA glabāšanā esošā nacionālā dokumentārā mantojuma ir mazvērtīga un ir apsverams jautājums „vai visas LNA glabājamās vienības ir nepieciešams </w:t>
      </w:r>
      <w:r w:rsidRPr="001E1AD1">
        <w:rPr>
          <w:rFonts w:eastAsia="Times New Roman" w:cs="Times New Roman"/>
          <w:szCs w:val="24"/>
          <w:lang w:val="lv-LV"/>
        </w:rPr>
        <w:t>uzglabāt”. Pirmkārt, nepieļaujami ir mēģināt izvērtēt dokumentāro mantojumu, vadoties pēc konkrētā laika sabiedrības pieprasījuma, vērtībām vai ideoloģiskajiem uzstādījumiem. Spilgts piemērs ir Latvijas Republikas 1920. – 1930. gada zemesgrāmatas, ko padomju okupācijas laikā plānoja iznīcināt kā pierādījuma vērtību zaudējušus dokumentus. Pēc neatkarības atgūšanas tie kļuva par pamatdokumentiem nekustamo īpašumu atgūšanā. Otrkārt, izmantošanai izsniegto glabājamo vienību skaits ir tieši atkarīgs no LNA kapacitātes – lasītavās pieejamo vietu skaita un LNA darbinieku, kas nodrošina arhīva dokumentu izsniegšanu un arhīva pakalpojumu izpildi, skaita. Ar esošajiem resursiem LNA nevar būtiski palielināt arhīva dokumentu izsniegšanas apjomus, tāpēc uzsvars tiek likts uz biežāk izmantojamo dokumentu digitalizāciju un to pieejamības nodrošināšanu digitalizētā veidā, pēc iespējas tiešsaistē.</w:t>
      </w:r>
    </w:p>
    <w:p w14:paraId="6421AE53" w14:textId="77777777" w:rsidR="006B3086" w:rsidRPr="001E1AD1" w:rsidRDefault="006B3086" w:rsidP="006B3086">
      <w:pPr>
        <w:spacing w:before="120"/>
        <w:ind w:firstLine="709"/>
        <w:rPr>
          <w:lang w:val="lv-LV"/>
        </w:rPr>
      </w:pPr>
      <w:r w:rsidRPr="001E1AD1">
        <w:rPr>
          <w:lang w:val="lv-LV"/>
        </w:rPr>
        <w:t xml:space="preserve"> </w:t>
      </w:r>
      <w:r w:rsidRPr="001E1AD1">
        <w:rPr>
          <w:rFonts w:eastAsia="Times New Roman" w:cs="Times New Roman"/>
          <w:szCs w:val="24"/>
          <w:lang w:val="lv-LV"/>
        </w:rPr>
        <w:t xml:space="preserve">Lai samazinātu institūcijās radīto un valsts glabāšanā nododamo dokumentu apjomus mūsdienās, tiek sistemātiski aktualizēts </w:t>
      </w:r>
      <w:r w:rsidRPr="001E1AD1">
        <w:rPr>
          <w:lang w:val="lv-LV"/>
        </w:rPr>
        <w:t>normatīvo aktu regulējums, kas nosaka dokumentu glabāšanas termiņus, pārskatīti glabājamo dokumentu glabāšanas termiņi atsevišķās institūcijās,  novēršot dokumentu dublēšanos – primāri atlasot dokumentus no informācijas sistēmām, piemēram, tiesību aktu portāla (TAP).</w:t>
      </w:r>
    </w:p>
    <w:p w14:paraId="7B299F88" w14:textId="77777777" w:rsidR="006B3086" w:rsidRDefault="006B3086" w:rsidP="006B3086">
      <w:pPr>
        <w:spacing w:before="120"/>
        <w:ind w:firstLine="709"/>
        <w:rPr>
          <w:rFonts w:eastAsia="Times New Roman" w:cs="Times New Roman"/>
          <w:szCs w:val="24"/>
          <w:lang w:val="lv-LV"/>
        </w:rPr>
      </w:pPr>
      <w:r w:rsidRPr="19F47470">
        <w:rPr>
          <w:rFonts w:eastAsia="Times New Roman" w:cs="Times New Roman"/>
          <w:szCs w:val="24"/>
          <w:lang w:val="lv-LV"/>
        </w:rPr>
        <w:t xml:space="preserve">Analizējot valsts budžeta dotācijas pieaugumu LNA, KM papildus paskaidro, ka lielākā daļa dotācijas palielinājuma ir piešķirta atlīdzībai, palielinot kultūras nozarē strādājošo </w:t>
      </w:r>
      <w:r w:rsidRPr="19F47470">
        <w:rPr>
          <w:rFonts w:eastAsia="Times New Roman" w:cs="Times New Roman"/>
          <w:szCs w:val="24"/>
          <w:lang w:val="lv-LV"/>
        </w:rPr>
        <w:lastRenderedPageBreak/>
        <w:t>atalgojumu, lai pielīdzinātu to vidējam atalgojumam sabiedriskajā sektorā. Savukārt ievērojamais dotācijas palielinājums 2019. un 2020. gadā saistāms ar pāreju uz nomas attiecībām ar AS „Valsts nekustamie īpašumi” vairākās no LNA izmantošanā esošajām ēkām. Papildus budžets tika piešķirts nomas maksai, ko aprēķināja AS „Valsts nekustamie īpašumi”, lai varētu nodrošināt ēku uzturēšanas un apsaimniekošanas pakalpojumus. Jāpiebilst, ka nomas maksa, ko LNA maksā par 5 ēku iznomāšanu, pārsniedz tos līdzekļus, kas piešķirti pārējo 15 LNA apsaimniekošanā esošo ēku uzturēšanai.</w:t>
      </w:r>
    </w:p>
    <w:p w14:paraId="06DA2E81" w14:textId="77777777" w:rsidR="006B3086" w:rsidRDefault="006B3086" w:rsidP="006B3086">
      <w:pPr>
        <w:spacing w:line="240" w:lineRule="auto"/>
        <w:ind w:firstLine="709"/>
        <w:rPr>
          <w:lang w:val="lv-LV"/>
        </w:rPr>
      </w:pPr>
    </w:p>
    <w:p w14:paraId="7B36B558" w14:textId="77777777" w:rsidR="006B3086" w:rsidRPr="006B3086" w:rsidRDefault="006B3086" w:rsidP="006B3086">
      <w:pPr>
        <w:spacing w:before="120"/>
        <w:rPr>
          <w:b/>
          <w:lang w:val="lv-LV"/>
        </w:rPr>
      </w:pPr>
      <w:r w:rsidRPr="006B3086">
        <w:rPr>
          <w:b/>
          <w:lang w:val="lv-LV"/>
        </w:rPr>
        <w:t>Secinājumi un ieteikumi:</w:t>
      </w:r>
    </w:p>
    <w:p w14:paraId="7CD7F0CB" w14:textId="77777777" w:rsidR="006B3086" w:rsidRPr="006B3086" w:rsidRDefault="006B3086" w:rsidP="006B3086">
      <w:pPr>
        <w:pStyle w:val="ListParagraph"/>
        <w:numPr>
          <w:ilvl w:val="0"/>
          <w:numId w:val="3"/>
        </w:numPr>
        <w:spacing w:before="120"/>
        <w:ind w:left="714" w:hanging="357"/>
        <w:contextualSpacing w:val="0"/>
        <w:rPr>
          <w:lang w:val="lv-LV"/>
        </w:rPr>
      </w:pPr>
      <w:r w:rsidRPr="006B3086">
        <w:rPr>
          <w:lang w:val="lv-LV"/>
        </w:rPr>
        <w:t>Latvijas finansējums kultūras nozarei ir starp trīs lielākajiem starp ES dalībvalstīm. Saskaņā ar 2019. gada datiem šai nozarei piešķirtais finansējums Latvijā ir 1% no IKP, atpaliekot tikai no Ungārijas un Igaunijas (1,1%), un ir krietni augstāks nekā ES vidējais rādītājs – 0,4%. Savukārt skatot izdevumus augstākajā funkcionālajā (COFOG) sadalījumā atpūtai, kultūrai un reliģijai Latvija 2019. gadā piešķīra 3,8% no vispārējiem valdības izdevumiem, atpaliekot tikai no Ungārijas (6,6%) un Igaunijas (5,2%), kamēr ES vidējais rādītājs bija 2,3%.</w:t>
      </w:r>
    </w:p>
    <w:p w14:paraId="033D9775" w14:textId="77777777" w:rsidR="006B3086" w:rsidRPr="006B3086" w:rsidRDefault="006B3086" w:rsidP="006B3086">
      <w:pPr>
        <w:pStyle w:val="ListParagraph"/>
        <w:numPr>
          <w:ilvl w:val="0"/>
          <w:numId w:val="3"/>
        </w:numPr>
        <w:spacing w:before="120"/>
        <w:ind w:left="714" w:hanging="357"/>
        <w:contextualSpacing w:val="0"/>
        <w:rPr>
          <w:lang w:val="lv-LV"/>
        </w:rPr>
      </w:pPr>
      <w:r w:rsidRPr="006B3086">
        <w:rPr>
          <w:lang w:val="lv-LV"/>
        </w:rPr>
        <w:t xml:space="preserve">No Baltijas valstīm tieši Latvijas kultūras eksports ir finansiāli ienesīgākais. 2019. gadā Latvija eksportēja kultūras nozares produkciju 151 milj. </w:t>
      </w:r>
      <w:r w:rsidRPr="006B3086">
        <w:rPr>
          <w:i/>
          <w:lang w:val="lv-LV"/>
        </w:rPr>
        <w:t>euro</w:t>
      </w:r>
      <w:r w:rsidRPr="006B3086">
        <w:rPr>
          <w:lang w:val="lv-LV"/>
        </w:rPr>
        <w:t xml:space="preserve"> vērtībā, kamēr Igaunijā un Lietuvā šī eksporta apjoms bija attiecīgi 82 un 114 milj. </w:t>
      </w:r>
      <w:r w:rsidRPr="006B3086">
        <w:rPr>
          <w:i/>
          <w:lang w:val="lv-LV"/>
        </w:rPr>
        <w:t>euro</w:t>
      </w:r>
      <w:r w:rsidRPr="006B3086">
        <w:rPr>
          <w:lang w:val="lv-LV"/>
        </w:rPr>
        <w:t xml:space="preserve">. Latvijas gadījumā lielākais uzsvars likts uz grāmatu eksportu – 69,1% (indikatīvi 104 milj. </w:t>
      </w:r>
      <w:r w:rsidRPr="006B3086">
        <w:rPr>
          <w:i/>
          <w:lang w:val="lv-LV"/>
        </w:rPr>
        <w:t>euro</w:t>
      </w:r>
      <w:r w:rsidRPr="006B3086">
        <w:rPr>
          <w:lang w:val="lv-LV"/>
        </w:rPr>
        <w:t xml:space="preserve">), kamēr mākslas eksports bijis tikai 0,2% (indikatīvi 300 tūkst. </w:t>
      </w:r>
      <w:r w:rsidRPr="006B3086">
        <w:rPr>
          <w:i/>
          <w:lang w:val="lv-LV"/>
        </w:rPr>
        <w:t>euro</w:t>
      </w:r>
      <w:r w:rsidRPr="006B3086">
        <w:rPr>
          <w:lang w:val="lv-LV"/>
        </w:rPr>
        <w:t xml:space="preserve">). Lai arī literatūras eksports ir krietni vērtīgāks, tomēr VKKF piešķirtais finansējums projektu konkursos literatūrai bijis mazāks nekā mākslai – attiecīgi 547 tūkst. </w:t>
      </w:r>
      <w:r w:rsidRPr="006B3086">
        <w:rPr>
          <w:i/>
          <w:lang w:val="lv-LV"/>
        </w:rPr>
        <w:t>euro</w:t>
      </w:r>
      <w:r w:rsidRPr="006B3086">
        <w:rPr>
          <w:lang w:val="lv-LV"/>
        </w:rPr>
        <w:t xml:space="preserve"> pret 926 tūkst. </w:t>
      </w:r>
      <w:r w:rsidRPr="006B3086">
        <w:rPr>
          <w:i/>
          <w:lang w:val="lv-LV"/>
        </w:rPr>
        <w:t>euro</w:t>
      </w:r>
      <w:r w:rsidRPr="006B3086">
        <w:rPr>
          <w:lang w:val="lv-LV"/>
        </w:rPr>
        <w:t>. KM (VKKF) nepieciešams izvērtēt kultūras nozares projektiem atvēlēto finansējumu, ņemot vērā attiecīgās nozares pienesumu tautsaimniecībai, kā arī apsvērt kultūras eksportu veicinošu pasākumu nepieciešamību.</w:t>
      </w:r>
    </w:p>
    <w:p w14:paraId="6CE812C8" w14:textId="77777777" w:rsidR="006B3086" w:rsidRPr="006B3086" w:rsidRDefault="006B3086" w:rsidP="006B3086">
      <w:pPr>
        <w:pStyle w:val="ListParagraph"/>
        <w:numPr>
          <w:ilvl w:val="0"/>
          <w:numId w:val="3"/>
        </w:numPr>
        <w:spacing w:before="120"/>
        <w:ind w:left="714" w:hanging="357"/>
        <w:contextualSpacing w:val="0"/>
        <w:rPr>
          <w:lang w:val="lv-LV"/>
        </w:rPr>
      </w:pPr>
      <w:r w:rsidRPr="006B3086">
        <w:rPr>
          <w:lang w:val="lv-LV"/>
        </w:rPr>
        <w:t>Gan KM padotībā esošais LNKC, gan IZM padotībā esošais VISC nodarbojas ar līdzīgu uzdevumu veikšanu, iesaistoties gan izglītības darbinieku profesionālajā pilnveidē un mācību programmu nodrošināšanā, gan nodrošinot kultūras pasākumu norisi. Proti, kultūras jomā LNKC organizē Dziesmu un deju svētku organizēšana, kamēr VISC nodrošina Jaunatnes Dziesmu un deju svētku norisi un kultūrizglītības jomas pasākumus jauniešiem, bet izglītības jomā LNKC nodarbojas ar izglītības iestāžu un pedagogu profesionālās pilnveides jautājumi, kamēr VISC veic pedagogu tālākizglītošanu un sniedz metodisku palīdzību. KM (LNKC) sadarbībā ar IZM (VISC) jāizvērtē iespējamā funkciju pārklāšanās abu iestāžu veicamajās funkcijās. Vienlaikus KM jāizvērtē nepieciešamība pēc LNKC atbalsta personāla, veicamās funkcijas deleģējot KM atbalsta personālam.</w:t>
      </w:r>
    </w:p>
    <w:p w14:paraId="148ADBC3" w14:textId="37712149" w:rsidR="009228DF" w:rsidRPr="00B66244" w:rsidRDefault="006B3086" w:rsidP="009228DF">
      <w:pPr>
        <w:pStyle w:val="ListParagraph"/>
        <w:numPr>
          <w:ilvl w:val="0"/>
          <w:numId w:val="3"/>
        </w:numPr>
        <w:spacing w:before="120"/>
        <w:ind w:left="714" w:hanging="357"/>
        <w:contextualSpacing w:val="0"/>
        <w:rPr>
          <w:lang w:val="lv-LV"/>
        </w:rPr>
      </w:pPr>
      <w:r w:rsidRPr="006B3086">
        <w:rPr>
          <w:lang w:val="lv-LV"/>
        </w:rPr>
        <w:t>Salīdzinot ar 2014. gadu LNA uzglabājamo vienību skaits ir pieaudzis par 3,6% bet valsts budžeta dotācijas apjoma pieaugums no 2014. līdz 2020. gadam ir 64%.</w:t>
      </w:r>
      <w:r w:rsidRPr="006B3086">
        <w:rPr>
          <w:rFonts w:eastAsia="Times New Roman" w:cs="Times New Roman"/>
          <w:szCs w:val="24"/>
          <w:lang w:val="lv-LV"/>
        </w:rPr>
        <w:t xml:space="preserve"> 2019. gadā no kopējā uzglabājamo vienību skaita (45 013 432) tika izsniegtas 248 318 vienības, līdz ar to aprēķināms, ka 2019. gadā LNA izmantošanai izsniedza 0,55% no kopējā uzglabājamo vienību skaita</w:t>
      </w:r>
      <w:r w:rsidRPr="006B3086">
        <w:rPr>
          <w:lang w:val="lv-LV"/>
        </w:rPr>
        <w:t>. No KM (LNA) puses nepieciešams izvērtējums, vai visi normatīvajos aktos noteiktie dokumenti ir uzglabājami tieši LNA un vai nebūtu samazināms šo dokumentu uzglabāšanas termiņš, kā arī nosakāms, ka atsevišķi dokumenti LNA uzglabājami tikai elektroniskā formātā.</w:t>
      </w:r>
    </w:p>
    <w:p w14:paraId="33DB059F" w14:textId="7D9E395D" w:rsidR="00811CFE" w:rsidRDefault="00811CFE" w:rsidP="004C1C06">
      <w:pPr>
        <w:pStyle w:val="Heading2"/>
        <w:numPr>
          <w:ilvl w:val="1"/>
          <w:numId w:val="52"/>
        </w:numPr>
      </w:pPr>
      <w:bookmarkStart w:id="36" w:name="_Toc80178418"/>
      <w:r w:rsidRPr="00811CFE">
        <w:lastRenderedPageBreak/>
        <w:t>Diasporas pasākumu īstenošanai piešķirtā finansējuma analīze</w:t>
      </w:r>
      <w:bookmarkEnd w:id="36"/>
    </w:p>
    <w:p w14:paraId="090DD289" w14:textId="6A928AAF" w:rsidR="004C118A" w:rsidRPr="004C118A" w:rsidRDefault="004C118A" w:rsidP="001768BA">
      <w:pPr>
        <w:ind w:firstLine="720"/>
        <w:rPr>
          <w:lang w:val="lv-LV"/>
        </w:rPr>
      </w:pPr>
      <w:r w:rsidRPr="004C118A">
        <w:rPr>
          <w:lang w:val="lv-LV"/>
        </w:rPr>
        <w:t xml:space="preserve">Lai veiktu analīzi par diasporas atbalsta pasākumu mērķu sasniegšanas progresu un tiem paredzētā finansējuma izlietojumu, informācijas pieprasījums tika nosūtīts 28 resoriem. No tiem 17 resori ir snieguši atbildi, ka laika periodā no 2015. </w:t>
      </w:r>
      <w:r w:rsidRPr="004C118A">
        <w:rPr>
          <w:sz w:val="28"/>
          <w:szCs w:val="28"/>
          <w:lang w:val="lv-LV"/>
        </w:rPr>
        <w:t xml:space="preserve">– </w:t>
      </w:r>
      <w:r w:rsidRPr="004C118A">
        <w:rPr>
          <w:lang w:val="lv-LV"/>
        </w:rPr>
        <w:t>2023. gadam netika īstenoti, uzsākti vai netiek plānoti diasporas atbalsta pasākumi (</w:t>
      </w:r>
      <w:r>
        <w:rPr>
          <w:lang w:val="lv-LV"/>
        </w:rPr>
        <w:t>A</w:t>
      </w:r>
      <w:r w:rsidRPr="004C118A">
        <w:rPr>
          <w:lang w:val="lv-LV"/>
        </w:rPr>
        <w:t>ttēl</w:t>
      </w:r>
      <w:r>
        <w:rPr>
          <w:lang w:val="lv-LV"/>
        </w:rPr>
        <w:t>s</w:t>
      </w:r>
      <w:r w:rsidRPr="004C118A">
        <w:rPr>
          <w:lang w:val="lv-LV"/>
        </w:rPr>
        <w:t xml:space="preserve"> Nr. 3.3.1.).</w:t>
      </w:r>
    </w:p>
    <w:p w14:paraId="78AF2B4B" w14:textId="77777777" w:rsidR="004C118A" w:rsidRPr="004C118A" w:rsidRDefault="004C118A" w:rsidP="004C118A">
      <w:pPr>
        <w:jc w:val="center"/>
        <w:rPr>
          <w:b/>
          <w:bCs/>
          <w:sz w:val="22"/>
          <w:lang w:val="lv-LV"/>
        </w:rPr>
      </w:pPr>
      <w:r w:rsidRPr="004C118A">
        <w:rPr>
          <w:b/>
          <w:bCs/>
          <w:i/>
          <w:iCs/>
          <w:sz w:val="22"/>
          <w:lang w:val="lv-LV"/>
        </w:rPr>
        <w:t>3.3.1. attēls</w:t>
      </w:r>
      <w:r w:rsidRPr="004C118A">
        <w:rPr>
          <w:b/>
          <w:bCs/>
          <w:sz w:val="22"/>
          <w:lang w:val="lv-LV"/>
        </w:rPr>
        <w:t xml:space="preserve"> Diasporas atbalstam paredzēto pasākumu īstenošana resoros</w:t>
      </w:r>
    </w:p>
    <w:p w14:paraId="731CD3FB" w14:textId="77777777" w:rsidR="004C118A" w:rsidRPr="004C118A" w:rsidRDefault="004C118A" w:rsidP="004C118A">
      <w:pPr>
        <w:spacing w:after="0"/>
        <w:jc w:val="center"/>
        <w:rPr>
          <w:lang w:val="lv-LV"/>
        </w:rPr>
      </w:pPr>
      <w:r w:rsidRPr="004C118A">
        <w:rPr>
          <w:noProof/>
          <w:lang w:val="lv-LV" w:eastAsia="lv-LV"/>
        </w:rPr>
        <w:drawing>
          <wp:inline distT="0" distB="0" distL="0" distR="0" wp14:anchorId="0EE2E5DC" wp14:editId="3198F4E6">
            <wp:extent cx="4694491" cy="3064861"/>
            <wp:effectExtent l="0" t="0" r="0"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r="2987"/>
                    <a:stretch/>
                  </pic:blipFill>
                  <pic:spPr bwMode="auto">
                    <a:xfrm>
                      <a:off x="0" y="0"/>
                      <a:ext cx="4694491" cy="3064861"/>
                    </a:xfrm>
                    <a:prstGeom prst="rect">
                      <a:avLst/>
                    </a:prstGeom>
                    <a:noFill/>
                    <a:ln>
                      <a:noFill/>
                    </a:ln>
                    <a:extLst>
                      <a:ext uri="{53640926-AAD7-44D8-BBD7-CCE9431645EC}">
                        <a14:shadowObscured xmlns:a14="http://schemas.microsoft.com/office/drawing/2010/main"/>
                      </a:ext>
                    </a:extLst>
                  </pic:spPr>
                </pic:pic>
              </a:graphicData>
            </a:graphic>
          </wp:inline>
        </w:drawing>
      </w:r>
    </w:p>
    <w:p w14:paraId="33FD2837" w14:textId="77777777" w:rsidR="004C118A" w:rsidRPr="004C118A" w:rsidRDefault="004C118A" w:rsidP="004C118A">
      <w:pPr>
        <w:spacing w:after="0"/>
        <w:jc w:val="center"/>
        <w:rPr>
          <w:lang w:val="lv-LV"/>
        </w:rPr>
      </w:pPr>
    </w:p>
    <w:p w14:paraId="11FC8C57" w14:textId="4EA32C4A" w:rsidR="004C118A" w:rsidRPr="004C118A" w:rsidRDefault="004C118A" w:rsidP="004C118A">
      <w:pPr>
        <w:ind w:firstLine="720"/>
        <w:rPr>
          <w:lang w:val="lv-LV"/>
        </w:rPr>
      </w:pPr>
      <w:r w:rsidRPr="004C118A">
        <w:rPr>
          <w:lang w:val="lv-LV"/>
        </w:rPr>
        <w:t>LM informēja, ka saskaņā ar 2021. gada 19. janvārī MK apstiprināto Plānu darbam ar diasporu 2021. – 2023. gadam (MK rīkojums Nr. 33 (prot. Nr. 5 27. §)</w:t>
      </w:r>
      <w:r w:rsidR="00300141">
        <w:rPr>
          <w:lang w:val="lv-LV"/>
        </w:rPr>
        <w:t>)</w:t>
      </w:r>
      <w:r w:rsidRPr="004C118A">
        <w:rPr>
          <w:lang w:val="lv-LV"/>
        </w:rPr>
        <w:t xml:space="preserve"> </w:t>
      </w:r>
      <w:r w:rsidR="00D352C9">
        <w:rPr>
          <w:lang w:val="lv-LV"/>
        </w:rPr>
        <w:t>NVA</w:t>
      </w:r>
      <w:r w:rsidRPr="004C118A">
        <w:rPr>
          <w:lang w:val="lv-LV"/>
        </w:rPr>
        <w:t xml:space="preserve"> īstenotie pasākumi diasporas atbalstam (informācijas sniegšana potenciālajiem </w:t>
      </w:r>
      <w:r w:rsidR="00D352C9" w:rsidRPr="004C118A">
        <w:rPr>
          <w:lang w:val="lv-LV"/>
        </w:rPr>
        <w:t>reemigrantiem</w:t>
      </w:r>
      <w:r w:rsidRPr="004C118A">
        <w:rPr>
          <w:lang w:val="lv-LV"/>
        </w:rPr>
        <w:t xml:space="preserve"> par brīvajām darba vietām un darba tirgus situāciju Latvijā, atbalsta pasākumi </w:t>
      </w:r>
      <w:r w:rsidR="00D352C9" w:rsidRPr="004C118A">
        <w:rPr>
          <w:lang w:val="lv-LV"/>
        </w:rPr>
        <w:t>reemigrantu</w:t>
      </w:r>
      <w:r w:rsidRPr="004C118A">
        <w:rPr>
          <w:lang w:val="lv-LV"/>
        </w:rPr>
        <w:t xml:space="preserve"> nodarbinātības veicināšanai un integrācijai darba tirgū) tiek īstenoti, piesaistot ES fondu līdzekļus (EURES projekta ietvaros). Tāpat līdz 2021. gadam NVA īstenotie atbalsta pasākumi diasporai un </w:t>
      </w:r>
      <w:r w:rsidR="00D352C9" w:rsidRPr="004C118A">
        <w:rPr>
          <w:lang w:val="lv-LV"/>
        </w:rPr>
        <w:t>reemigrantiem</w:t>
      </w:r>
      <w:r w:rsidRPr="004C118A">
        <w:rPr>
          <w:lang w:val="lv-LV"/>
        </w:rPr>
        <w:t xml:space="preserve"> tika īstenoti ar ESF atbalstu. </w:t>
      </w:r>
    </w:p>
    <w:p w14:paraId="20A0AE96" w14:textId="651F7702" w:rsidR="004C118A" w:rsidRPr="004C118A" w:rsidRDefault="004C118A" w:rsidP="004C118A">
      <w:pPr>
        <w:rPr>
          <w:lang w:val="lv-LV"/>
        </w:rPr>
      </w:pPr>
      <w:r w:rsidRPr="004C118A">
        <w:rPr>
          <w:b/>
          <w:bCs/>
          <w:lang w:val="lv-LV"/>
        </w:rPr>
        <w:tab/>
      </w:r>
      <w:r w:rsidRPr="004C118A">
        <w:rPr>
          <w:lang w:val="lv-LV"/>
        </w:rPr>
        <w:t xml:space="preserve">IeM informēja, ka neīsteno diasporas atbalsta pasākumus, kuriem būtu finansiāla ietekme. Vienlaikus norādot, ka </w:t>
      </w:r>
      <w:r w:rsidR="00D352C9">
        <w:rPr>
          <w:lang w:val="lv-LV"/>
        </w:rPr>
        <w:t>PMPL</w:t>
      </w:r>
      <w:r w:rsidRPr="004C118A">
        <w:rPr>
          <w:lang w:val="lv-LV"/>
        </w:rPr>
        <w:t xml:space="preserve"> apstiprinātā valsts budžeta līdzekļu ietvaros 2021. gadā plāno nodrošināt diasporas locekļiem iespēju papildu deklarētajai dzīvesvietas adresei Latvijā vai adresei ārvalstī norādīt vienu papildu adresi Latvijā vai ārvalstīs. Šī ziņu pieejamība tiks nodrošināta, pilnveidojot Iedzīvotāju reģistra funkcionalitāti un e-pakalpojumu “Dzīvesvietas deklarācijas iesniegšana”. </w:t>
      </w:r>
      <w:r w:rsidRPr="004C118A">
        <w:rPr>
          <w:lang w:val="lv-LV"/>
        </w:rPr>
        <w:tab/>
      </w:r>
    </w:p>
    <w:p w14:paraId="4F56872F" w14:textId="2512668F" w:rsidR="004C118A" w:rsidRPr="004C118A" w:rsidRDefault="004C118A" w:rsidP="004C118A">
      <w:pPr>
        <w:ind w:firstLine="720"/>
        <w:rPr>
          <w:lang w:val="lv-LV"/>
        </w:rPr>
      </w:pPr>
      <w:r w:rsidRPr="004C118A">
        <w:rPr>
          <w:lang w:val="lv-LV"/>
        </w:rPr>
        <w:t xml:space="preserve">Jānorāda, ka, lai nodrošinātu šī pasākuma īstenošanu, IeM 2019. – 2021. gada periodam tika piešķirts papildu finansējums kā </w:t>
      </w:r>
      <w:r w:rsidR="005D7EA5">
        <w:rPr>
          <w:lang w:val="lv-LV"/>
        </w:rPr>
        <w:t>PP</w:t>
      </w:r>
      <w:r w:rsidRPr="004C118A">
        <w:rPr>
          <w:lang w:val="lv-LV"/>
        </w:rPr>
        <w:t xml:space="preserve"> “Diasporas likuma normu īstenošanai” 2019. gadam 83 056 </w:t>
      </w:r>
      <w:r w:rsidRPr="004C118A">
        <w:rPr>
          <w:i/>
          <w:iCs/>
          <w:lang w:val="lv-LV"/>
        </w:rPr>
        <w:t>euro</w:t>
      </w:r>
      <w:r w:rsidRPr="004C118A">
        <w:rPr>
          <w:lang w:val="lv-LV"/>
        </w:rPr>
        <w:t xml:space="preserve"> (saskaņā ar MK 05.11.2019. rīk. Nr.543 1.4.p. (MK 05.11.2019. prot. Nr. 51 36.§). 2019. gadā Saeimas Valsts pārvaldes un pašvaldības komisija likumprojektu “Gro</w:t>
      </w:r>
      <w:r w:rsidR="004805E5">
        <w:rPr>
          <w:lang w:val="lv-LV"/>
        </w:rPr>
        <w:t>zījumi Dzīvesvietas</w:t>
      </w:r>
      <w:r w:rsidRPr="004C118A">
        <w:rPr>
          <w:lang w:val="lv-LV"/>
        </w:rPr>
        <w:t xml:space="preserve"> deklarēšanas likumā” atbalstīja virzībai tikai 1. lasījumā, līdz ar to atbilstoši FM 2019. gada 22. novembra rīkojumam Nr.400 “Par apropriācijas izmaiņām” tika veikta apropriācijas pārdale 83 056 </w:t>
      </w:r>
      <w:r w:rsidRPr="004C118A">
        <w:rPr>
          <w:i/>
          <w:iCs/>
          <w:lang w:val="lv-LV"/>
        </w:rPr>
        <w:t>euro</w:t>
      </w:r>
      <w:r w:rsidRPr="004C118A">
        <w:rPr>
          <w:lang w:val="lv-LV"/>
        </w:rPr>
        <w:t xml:space="preserve"> apmērā no budžeta apakšprogrammas 11.01.00 “Pilsonības un migrācijas lietu pārvalde” prioritārā pasākuma “Diasporas atbalsta nodrošināšana” uz </w:t>
      </w:r>
      <w:r w:rsidRPr="004C118A">
        <w:rPr>
          <w:lang w:val="lv-LV"/>
        </w:rPr>
        <w:lastRenderedPageBreak/>
        <w:t xml:space="preserve">budžeta apakšprogrammu 38.05.00 “Veselības aprūpe un fiziskā sagatavotība”, lai amatpersonām ar speciālajām dienesta pakāpēm izmaksātu veselības aprūpes izdevumu kompensāciju. 2020. – 2021. gadam finansējums paredzēts 12 585 </w:t>
      </w:r>
      <w:r w:rsidRPr="004C118A">
        <w:rPr>
          <w:i/>
          <w:iCs/>
          <w:lang w:val="lv-LV"/>
        </w:rPr>
        <w:t>euro</w:t>
      </w:r>
      <w:r w:rsidRPr="004C118A">
        <w:rPr>
          <w:iCs/>
          <w:lang w:val="lv-LV"/>
        </w:rPr>
        <w:t xml:space="preserve"> apmērā</w:t>
      </w:r>
      <w:r w:rsidRPr="004C118A">
        <w:rPr>
          <w:lang w:val="lv-LV"/>
        </w:rPr>
        <w:t xml:space="preserve">. </w:t>
      </w:r>
    </w:p>
    <w:p w14:paraId="458CF5FB" w14:textId="2BE2BC2E" w:rsidR="004C118A" w:rsidRPr="004C118A" w:rsidRDefault="004C118A" w:rsidP="004C118A">
      <w:pPr>
        <w:ind w:firstLine="720"/>
        <w:rPr>
          <w:lang w:val="lv-LV"/>
        </w:rPr>
      </w:pPr>
      <w:r w:rsidRPr="004C118A">
        <w:rPr>
          <w:lang w:val="lv-LV"/>
        </w:rPr>
        <w:t>2020. gadā likumprojekts “Grozījumi Dzīvesvietas deklarēšanas likumā” (</w:t>
      </w:r>
      <w:r w:rsidR="004805E5">
        <w:rPr>
          <w:lang w:val="lv-LV"/>
        </w:rPr>
        <w:t xml:space="preserve">reģ. Nr. Saeimā </w:t>
      </w:r>
      <w:r w:rsidRPr="004C118A">
        <w:rPr>
          <w:lang w:val="lv-LV"/>
        </w:rPr>
        <w:t>337/Lp13)</w:t>
      </w:r>
      <w:r w:rsidR="003C1E35">
        <w:rPr>
          <w:lang w:val="lv-LV"/>
        </w:rPr>
        <w:t>, izsludināts 2020. gada 30.jūnijā</w:t>
      </w:r>
      <w:r w:rsidRPr="004C118A">
        <w:rPr>
          <w:lang w:val="lv-LV"/>
        </w:rPr>
        <w:t xml:space="preserve">, atbilstoši FM 2020. gada 26. oktobra rīkojumam Nr.420 “Par apropriācijas izmaiņām” tika veikta apropriācijas pārdale 12 585 </w:t>
      </w:r>
      <w:r w:rsidRPr="004C118A">
        <w:rPr>
          <w:i/>
          <w:iCs/>
          <w:lang w:val="lv-LV"/>
        </w:rPr>
        <w:t>euro</w:t>
      </w:r>
      <w:r w:rsidRPr="004C118A">
        <w:rPr>
          <w:lang w:val="lv-LV"/>
        </w:rPr>
        <w:t xml:space="preserve"> apmērā no budžeta apakšprogrammas 11.01.00 “Pilsonības un migrācijas lietu pārvalde” prioritārā pasākuma “Diasporas atbalsta nodrošināšana” uz budžeta resoru “74. Gadskārtējā valsts budžeta izpildes procesā pārdalāmais finansējums” programmu 02.00.00 “Līdzekļi neparedzētiem gadījumiem” Covid-19 seku novēršanas un pārvarēšanas pasākumiem. </w:t>
      </w:r>
      <w:bookmarkStart w:id="37" w:name="_Ref69895210"/>
      <w:r w:rsidRPr="004C118A">
        <w:rPr>
          <w:lang w:val="lv-LV"/>
        </w:rPr>
        <w:t xml:space="preserve">Saskaņā ar 2021. gadā IeM iesniegto pieprasījumu no budžeta resora “74. Gadskārtējā valsts budžeta izpildes procesā pārdalāmais finansējums” budžeta programmas 01.00.00 “Apropriācijas rezerve” ar FM 2021. gada 19. aprīļa rīkojumu Nr. 230 “Par apropriācijas pārdali” tika veikta apropriācijas pārdale 70 471 </w:t>
      </w:r>
      <w:r w:rsidRPr="004C118A">
        <w:rPr>
          <w:i/>
          <w:iCs/>
          <w:lang w:val="lv-LV"/>
        </w:rPr>
        <w:t>euro</w:t>
      </w:r>
      <w:r w:rsidRPr="004C118A">
        <w:rPr>
          <w:lang w:val="lv-LV"/>
        </w:rPr>
        <w:t xml:space="preserve"> apmērā, lai nodrošinātu ziņu iekļaušanu un aktualizēšanu iedzīvotāju reģistrā un saskarnes datu padošanu ārējiem lietotājiem (pašvaldībām).</w:t>
      </w:r>
    </w:p>
    <w:bookmarkEnd w:id="37"/>
    <w:p w14:paraId="3981F575" w14:textId="38E3B778" w:rsidR="00300141" w:rsidRPr="00300141" w:rsidRDefault="00300141" w:rsidP="00F15249">
      <w:pPr>
        <w:ind w:firstLine="720"/>
        <w:rPr>
          <w:color w:val="000000" w:themeColor="text1"/>
          <w:lang w:val="lv-LV"/>
        </w:rPr>
      </w:pPr>
      <w:r w:rsidRPr="00300141">
        <w:rPr>
          <w:color w:val="000000" w:themeColor="text1"/>
          <w:lang w:val="lv-LV"/>
        </w:rPr>
        <w:t>Kopējais plānotais finansējums diasporas atbalsta pasākumiem laika periodā no</w:t>
      </w:r>
      <w:r w:rsidR="00F15249">
        <w:rPr>
          <w:color w:val="000000" w:themeColor="text1"/>
          <w:lang w:val="lv-LV"/>
        </w:rPr>
        <w:t xml:space="preserve"> </w:t>
      </w:r>
      <w:r w:rsidRPr="00300141">
        <w:rPr>
          <w:color w:val="000000" w:themeColor="text1"/>
          <w:lang w:val="lv-LV"/>
        </w:rPr>
        <w:t xml:space="preserve">2015. – 2020. gadam bija 14,3 milj. </w:t>
      </w:r>
      <w:r w:rsidRPr="00F15249">
        <w:rPr>
          <w:i/>
          <w:color w:val="000000" w:themeColor="text1"/>
          <w:lang w:val="lv-LV"/>
        </w:rPr>
        <w:t>euro</w:t>
      </w:r>
      <w:r w:rsidRPr="00300141">
        <w:rPr>
          <w:color w:val="000000" w:themeColor="text1"/>
          <w:lang w:val="lv-LV"/>
        </w:rPr>
        <w:t xml:space="preserve">, no tiem neapgūtais finansējums veidoja 2,2 milj. </w:t>
      </w:r>
      <w:r w:rsidRPr="00F15249">
        <w:rPr>
          <w:i/>
          <w:color w:val="000000" w:themeColor="text1"/>
          <w:lang w:val="lv-LV"/>
        </w:rPr>
        <w:t>euro</w:t>
      </w:r>
      <w:r w:rsidRPr="00300141">
        <w:rPr>
          <w:color w:val="000000" w:themeColor="text1"/>
          <w:lang w:val="lv-LV"/>
        </w:rPr>
        <w:t xml:space="preserve">, t.sk. 2020. gadā 1,1 milj. </w:t>
      </w:r>
      <w:r w:rsidRPr="00F15249">
        <w:rPr>
          <w:i/>
          <w:color w:val="000000" w:themeColor="text1"/>
          <w:lang w:val="lv-LV"/>
        </w:rPr>
        <w:t>euro</w:t>
      </w:r>
      <w:r w:rsidRPr="00300141">
        <w:rPr>
          <w:color w:val="000000" w:themeColor="text1"/>
          <w:lang w:val="lv-LV"/>
        </w:rPr>
        <w:t>. Lai arī 2020. gadā lielāko daļa diasporas atbalsta pasākumu nebija iespējams īstenot C</w:t>
      </w:r>
      <w:r w:rsidR="00C91971">
        <w:rPr>
          <w:color w:val="000000" w:themeColor="text1"/>
          <w:lang w:val="lv-LV"/>
        </w:rPr>
        <w:t>ovid</w:t>
      </w:r>
      <w:r w:rsidRPr="00300141">
        <w:rPr>
          <w:color w:val="000000" w:themeColor="text1"/>
          <w:lang w:val="lv-LV"/>
        </w:rPr>
        <w:t>-19 pandēmijas ierobežojumu dēļ, tomēr secināms, ka paredzētais finansējums netika apgūts pilnībā arī iepriekšējos gados. Vidējā fi</w:t>
      </w:r>
      <w:r w:rsidR="00F15249">
        <w:rPr>
          <w:color w:val="000000" w:themeColor="text1"/>
          <w:lang w:val="lv-LV"/>
        </w:rPr>
        <w:t xml:space="preserve">nansējuma izpilde </w:t>
      </w:r>
      <w:r w:rsidRPr="00300141">
        <w:rPr>
          <w:color w:val="000000" w:themeColor="text1"/>
          <w:lang w:val="lv-LV"/>
        </w:rPr>
        <w:t xml:space="preserve">2015. – 2020. gadam ir 2,0 milj. </w:t>
      </w:r>
      <w:r w:rsidRPr="00F15249">
        <w:rPr>
          <w:i/>
          <w:color w:val="000000" w:themeColor="text1"/>
          <w:lang w:val="lv-LV"/>
        </w:rPr>
        <w:t>euro</w:t>
      </w:r>
      <w:r w:rsidRPr="00300141">
        <w:rPr>
          <w:color w:val="000000" w:themeColor="text1"/>
          <w:lang w:val="lv-LV"/>
        </w:rPr>
        <w:t xml:space="preserve"> jeb 87%, savukārt vidējais finansējuma atlikums šajā periodā – 0,4 milj. </w:t>
      </w:r>
      <w:r w:rsidRPr="00F15249">
        <w:rPr>
          <w:i/>
          <w:color w:val="000000" w:themeColor="text1"/>
          <w:lang w:val="lv-LV"/>
        </w:rPr>
        <w:t xml:space="preserve">euro </w:t>
      </w:r>
      <w:r w:rsidRPr="00300141">
        <w:rPr>
          <w:color w:val="000000" w:themeColor="text1"/>
          <w:lang w:val="lv-LV"/>
        </w:rPr>
        <w:t xml:space="preserve">jeb 13%. Lai arī vidēji tiek </w:t>
      </w:r>
      <w:r w:rsidR="00354454">
        <w:rPr>
          <w:color w:val="000000" w:themeColor="text1"/>
          <w:lang w:val="lv-LV"/>
        </w:rPr>
        <w:t xml:space="preserve">izlietoti </w:t>
      </w:r>
      <w:r w:rsidR="00F15249">
        <w:rPr>
          <w:color w:val="000000" w:themeColor="text1"/>
          <w:lang w:val="lv-LV"/>
        </w:rPr>
        <w:t xml:space="preserve">87% plānotā finansējuma, </w:t>
      </w:r>
      <w:r w:rsidRPr="00300141">
        <w:rPr>
          <w:color w:val="000000" w:themeColor="text1"/>
          <w:lang w:val="lv-LV"/>
        </w:rPr>
        <w:t>2021.</w:t>
      </w:r>
      <w:r w:rsidR="00F0732B">
        <w:rPr>
          <w:color w:val="000000" w:themeColor="text1"/>
          <w:lang w:val="lv-LV"/>
        </w:rPr>
        <w:t> </w:t>
      </w:r>
      <w:r w:rsidRPr="00300141">
        <w:rPr>
          <w:color w:val="000000" w:themeColor="text1"/>
          <w:lang w:val="lv-LV"/>
        </w:rPr>
        <w:t>–</w:t>
      </w:r>
      <w:r w:rsidR="00F0732B">
        <w:rPr>
          <w:color w:val="000000" w:themeColor="text1"/>
          <w:lang w:val="lv-LV"/>
        </w:rPr>
        <w:t> </w:t>
      </w:r>
      <w:r w:rsidRPr="00300141">
        <w:rPr>
          <w:color w:val="000000" w:themeColor="text1"/>
          <w:lang w:val="lv-LV"/>
        </w:rPr>
        <w:t>2023.</w:t>
      </w:r>
      <w:r w:rsidR="00F0732B">
        <w:rPr>
          <w:color w:val="000000" w:themeColor="text1"/>
          <w:lang w:val="lv-LV"/>
        </w:rPr>
        <w:t> </w:t>
      </w:r>
      <w:r w:rsidRPr="00300141">
        <w:rPr>
          <w:color w:val="000000" w:themeColor="text1"/>
          <w:lang w:val="lv-LV"/>
        </w:rPr>
        <w:t>gadam plānotais finansējums diasporas atbalsta pasākumiem pieaug, salīdzinoši 2021. gadā plānotais finansējums ir par trīs reizēm lielāks nekā 2015. gadā. Turklāt saskaņā ar Plānu darbam ar diasporu papildu kopējais nepieciešamais finansējums 2022. – 2023.</w:t>
      </w:r>
      <w:r w:rsidR="00F15249">
        <w:rPr>
          <w:color w:val="000000" w:themeColor="text1"/>
          <w:lang w:val="lv-LV"/>
        </w:rPr>
        <w:t xml:space="preserve"> gadam ir 2,1 milj.</w:t>
      </w:r>
      <w:r w:rsidR="00F15249" w:rsidRPr="00F15249">
        <w:rPr>
          <w:i/>
          <w:color w:val="000000" w:themeColor="text1"/>
          <w:lang w:val="lv-LV"/>
        </w:rPr>
        <w:t xml:space="preserve"> euro</w:t>
      </w:r>
      <w:r w:rsidR="00F15249">
        <w:rPr>
          <w:color w:val="000000" w:themeColor="text1"/>
          <w:lang w:val="lv-LV"/>
        </w:rPr>
        <w:t xml:space="preserve"> (Attēls</w:t>
      </w:r>
      <w:r w:rsidRPr="00300141">
        <w:rPr>
          <w:color w:val="000000" w:themeColor="text1"/>
          <w:lang w:val="lv-LV"/>
        </w:rPr>
        <w:t xml:space="preserve"> Nr. 3.3.2.).</w:t>
      </w:r>
    </w:p>
    <w:p w14:paraId="0E601B99" w14:textId="77777777" w:rsidR="004C118A" w:rsidRPr="004C118A" w:rsidRDefault="004C118A" w:rsidP="004C118A">
      <w:pPr>
        <w:spacing w:line="240" w:lineRule="auto"/>
        <w:jc w:val="center"/>
        <w:rPr>
          <w:b/>
          <w:bCs/>
          <w:sz w:val="22"/>
          <w:lang w:val="lv-LV"/>
        </w:rPr>
      </w:pPr>
      <w:r w:rsidRPr="004C118A">
        <w:rPr>
          <w:b/>
          <w:bCs/>
          <w:i/>
          <w:iCs/>
          <w:sz w:val="22"/>
          <w:lang w:val="lv-LV"/>
        </w:rPr>
        <w:t>3.3.2. attēls</w:t>
      </w:r>
      <w:r w:rsidRPr="004C118A">
        <w:rPr>
          <w:b/>
          <w:bCs/>
          <w:sz w:val="22"/>
          <w:lang w:val="lv-LV"/>
        </w:rPr>
        <w:t xml:space="preserve"> Finansējums diasporas atbalsta pasākumiem 2015.–2023. gadam, </w:t>
      </w:r>
      <w:r w:rsidRPr="004C118A">
        <w:rPr>
          <w:b/>
          <w:bCs/>
          <w:i/>
          <w:iCs/>
          <w:sz w:val="22"/>
          <w:lang w:val="lv-LV"/>
        </w:rPr>
        <w:t>euro</w:t>
      </w:r>
      <w:r w:rsidRPr="004C118A">
        <w:rPr>
          <w:b/>
          <w:bCs/>
          <w:sz w:val="22"/>
          <w:lang w:val="lv-LV"/>
        </w:rPr>
        <w:t>*</w:t>
      </w:r>
    </w:p>
    <w:p w14:paraId="180F77B4" w14:textId="77777777" w:rsidR="004C118A" w:rsidRPr="004C118A" w:rsidRDefault="004C118A" w:rsidP="004C118A">
      <w:pPr>
        <w:spacing w:line="240" w:lineRule="auto"/>
        <w:jc w:val="center"/>
        <w:rPr>
          <w:lang w:val="lv-LV"/>
        </w:rPr>
      </w:pPr>
      <w:r w:rsidRPr="004C118A">
        <w:rPr>
          <w:noProof/>
          <w:lang w:val="lv-LV" w:eastAsia="lv-LV"/>
        </w:rPr>
        <w:drawing>
          <wp:inline distT="0" distB="0" distL="0" distR="0" wp14:anchorId="53F7FC70" wp14:editId="6B9C2934">
            <wp:extent cx="5760085" cy="2828925"/>
            <wp:effectExtent l="0" t="0" r="12065" b="9525"/>
            <wp:docPr id="81" name="Chart 81">
              <a:extLst xmlns:a="http://schemas.openxmlformats.org/drawingml/2006/main">
                <a:ext uri="{FF2B5EF4-FFF2-40B4-BE49-F238E27FC236}">
                  <a16:creationId xmlns:a16="http://schemas.microsoft.com/office/drawing/2014/main" id="{4B9017A1-DF3E-4DEE-806E-986948FB44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46FF3EF" w14:textId="77777777" w:rsidR="004C118A" w:rsidRPr="004C118A" w:rsidRDefault="004C118A" w:rsidP="004C118A">
      <w:pPr>
        <w:rPr>
          <w:i/>
          <w:iCs/>
          <w:sz w:val="20"/>
          <w:szCs w:val="20"/>
          <w:lang w:val="lv-LV"/>
        </w:rPr>
      </w:pPr>
      <w:r w:rsidRPr="004C118A">
        <w:rPr>
          <w:sz w:val="20"/>
          <w:szCs w:val="20"/>
          <w:lang w:val="lv-LV"/>
        </w:rPr>
        <w:t>*</w:t>
      </w:r>
      <w:r w:rsidRPr="004C118A">
        <w:rPr>
          <w:i/>
          <w:iCs/>
          <w:sz w:val="20"/>
          <w:szCs w:val="20"/>
          <w:lang w:val="lv-LV"/>
        </w:rPr>
        <w:t>Resoru iesūtītā informācija</w:t>
      </w:r>
    </w:p>
    <w:p w14:paraId="448F655A" w14:textId="01B40DB6" w:rsidR="00354454" w:rsidRPr="004C118A" w:rsidRDefault="004C118A" w:rsidP="004C118A">
      <w:pPr>
        <w:rPr>
          <w:lang w:val="lv-LV"/>
        </w:rPr>
      </w:pPr>
      <w:r w:rsidRPr="004C118A">
        <w:rPr>
          <w:i/>
          <w:iCs/>
          <w:sz w:val="20"/>
          <w:szCs w:val="20"/>
          <w:lang w:val="lv-LV"/>
        </w:rPr>
        <w:tab/>
      </w:r>
      <w:r w:rsidRPr="004C118A">
        <w:rPr>
          <w:lang w:val="lv-LV"/>
        </w:rPr>
        <w:t xml:space="preserve">Diasporas atbalsta pasākumiem daļa finansējuma tiek piešķirta kā prioritārie pasākumi. Analizējot šo finansējumu atsevišķi no kopējā finansējuma, secināms, ka 2019. gadā izdevumu </w:t>
      </w:r>
      <w:r w:rsidRPr="004C118A">
        <w:rPr>
          <w:lang w:val="lv-LV"/>
        </w:rPr>
        <w:lastRenderedPageBreak/>
        <w:t>izpilde ir 80% apmērā, savukārt 2020. gada C</w:t>
      </w:r>
      <w:r w:rsidR="00C91971">
        <w:rPr>
          <w:lang w:val="lv-LV"/>
        </w:rPr>
        <w:t>ovid</w:t>
      </w:r>
      <w:r w:rsidRPr="004C118A">
        <w:rPr>
          <w:lang w:val="lv-LV"/>
        </w:rPr>
        <w:t>-19 pandēmijas apstākļos finansējuma izpilde ir tikai 36% apmērā (</w:t>
      </w:r>
      <w:r w:rsidR="00354454">
        <w:rPr>
          <w:lang w:val="lv-LV"/>
        </w:rPr>
        <w:t>Attēls</w:t>
      </w:r>
      <w:r w:rsidRPr="004C118A">
        <w:rPr>
          <w:lang w:val="lv-LV"/>
        </w:rPr>
        <w:t xml:space="preserve"> Nr. 3.3.3.). </w:t>
      </w:r>
    </w:p>
    <w:p w14:paraId="3ECB1893" w14:textId="77777777" w:rsidR="004C118A" w:rsidRPr="004C118A" w:rsidRDefault="004C118A" w:rsidP="004C118A">
      <w:pPr>
        <w:pStyle w:val="NormalWeb"/>
        <w:spacing w:before="0" w:beforeAutospacing="0" w:after="120" w:afterAutospacing="0"/>
        <w:jc w:val="center"/>
        <w:textAlignment w:val="baseline"/>
        <w:rPr>
          <w:rFonts w:eastAsia="Verdana"/>
          <w:b/>
          <w:bCs/>
          <w:color w:val="000000" w:themeColor="text1"/>
          <w:kern w:val="24"/>
          <w:sz w:val="22"/>
          <w:szCs w:val="22"/>
          <w:lang w:val="lv-LV"/>
        </w:rPr>
      </w:pPr>
      <w:r w:rsidRPr="004C118A">
        <w:rPr>
          <w:rFonts w:eastAsia="Verdana"/>
          <w:b/>
          <w:bCs/>
          <w:i/>
          <w:iCs/>
          <w:color w:val="000000" w:themeColor="text1"/>
          <w:kern w:val="24"/>
          <w:sz w:val="22"/>
          <w:szCs w:val="22"/>
          <w:lang w:val="lv-LV"/>
        </w:rPr>
        <w:t>3.3.3. attēls</w:t>
      </w:r>
      <w:r w:rsidRPr="004C118A">
        <w:rPr>
          <w:rFonts w:eastAsia="Verdana"/>
          <w:b/>
          <w:bCs/>
          <w:color w:val="000000" w:themeColor="text1"/>
          <w:kern w:val="24"/>
          <w:sz w:val="22"/>
          <w:szCs w:val="22"/>
          <w:lang w:val="lv-LV"/>
        </w:rPr>
        <w:t xml:space="preserve"> Prioritāro pasākumu ietvaros piešķirtais finansējums diasporas atbalsta pasākumiem 2019. – 2020. gadam*, </w:t>
      </w:r>
      <w:r w:rsidRPr="004C118A">
        <w:rPr>
          <w:rFonts w:eastAsia="Verdana"/>
          <w:b/>
          <w:bCs/>
          <w:i/>
          <w:iCs/>
          <w:color w:val="000000" w:themeColor="text1"/>
          <w:kern w:val="24"/>
          <w:sz w:val="22"/>
          <w:szCs w:val="22"/>
          <w:lang w:val="lv-LV"/>
        </w:rPr>
        <w:t>euro</w:t>
      </w:r>
    </w:p>
    <w:p w14:paraId="107AA3BC" w14:textId="77777777" w:rsidR="004C118A" w:rsidRPr="004C118A" w:rsidRDefault="004C118A" w:rsidP="004C118A">
      <w:pPr>
        <w:spacing w:after="0"/>
        <w:jc w:val="center"/>
        <w:rPr>
          <w:b/>
          <w:bCs/>
          <w:lang w:val="lv-LV"/>
        </w:rPr>
      </w:pPr>
      <w:r w:rsidRPr="004C118A">
        <w:rPr>
          <w:b/>
          <w:bCs/>
          <w:noProof/>
          <w:lang w:val="lv-LV" w:eastAsia="lv-LV"/>
        </w:rPr>
        <w:drawing>
          <wp:inline distT="0" distB="0" distL="0" distR="0" wp14:anchorId="60E5ABE5" wp14:editId="1204B8C6">
            <wp:extent cx="5760085" cy="2571750"/>
            <wp:effectExtent l="0" t="0" r="12065" b="0"/>
            <wp:docPr id="82" name="Chart 82">
              <a:extLst xmlns:a="http://schemas.openxmlformats.org/drawingml/2006/main">
                <a:ext uri="{FF2B5EF4-FFF2-40B4-BE49-F238E27FC236}">
                  <a16:creationId xmlns:a16="http://schemas.microsoft.com/office/drawing/2014/main" id="{C9DC382C-4803-48F5-88DA-DE65DFE695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4BE81F17" w14:textId="77777777" w:rsidR="004C118A" w:rsidRPr="004C118A" w:rsidRDefault="004C118A" w:rsidP="004C118A">
      <w:pPr>
        <w:spacing w:after="0"/>
        <w:rPr>
          <w:i/>
          <w:iCs/>
          <w:sz w:val="20"/>
          <w:szCs w:val="20"/>
          <w:lang w:val="lv-LV"/>
        </w:rPr>
      </w:pPr>
      <w:r w:rsidRPr="004C118A">
        <w:rPr>
          <w:i/>
          <w:iCs/>
          <w:sz w:val="20"/>
          <w:szCs w:val="20"/>
          <w:lang w:val="lv-LV"/>
        </w:rPr>
        <w:t>*Informācija apkopota no resoru iesūtītās Rezultatīvo rādītāju izpildes</w:t>
      </w:r>
    </w:p>
    <w:p w14:paraId="22FD8D40" w14:textId="77777777" w:rsidR="004C118A" w:rsidRPr="004C118A" w:rsidRDefault="004C118A" w:rsidP="004C118A">
      <w:pPr>
        <w:spacing w:after="0"/>
        <w:rPr>
          <w:sz w:val="16"/>
          <w:szCs w:val="16"/>
          <w:lang w:val="lv-LV"/>
        </w:rPr>
      </w:pPr>
    </w:p>
    <w:p w14:paraId="74208632" w14:textId="77777777" w:rsidR="004C118A" w:rsidRPr="004C118A" w:rsidRDefault="004C118A" w:rsidP="004C118A">
      <w:pPr>
        <w:ind w:firstLine="720"/>
        <w:rPr>
          <w:lang w:val="lv-LV"/>
        </w:rPr>
      </w:pPr>
      <w:r w:rsidRPr="004C118A">
        <w:rPr>
          <w:lang w:val="lv-LV"/>
        </w:rPr>
        <w:t xml:space="preserve">Atsevišķi analizējot resoru iesūtīto informāciju, izdevumu pārskatīšanai pakļaujas MK, CVK, RTV, ĀM, EM, VARAM, IZM, KM, SIF. </w:t>
      </w:r>
    </w:p>
    <w:p w14:paraId="1EC923FA" w14:textId="40D2717E" w:rsidR="004C118A" w:rsidRPr="004C118A" w:rsidRDefault="004C118A" w:rsidP="004C118A">
      <w:pPr>
        <w:ind w:firstLine="720"/>
        <w:rPr>
          <w:lang w:val="lv-LV"/>
        </w:rPr>
      </w:pPr>
      <w:r w:rsidRPr="004C118A">
        <w:rPr>
          <w:b/>
          <w:bCs/>
          <w:lang w:val="lv-LV"/>
        </w:rPr>
        <w:t>MK</w:t>
      </w:r>
      <w:r w:rsidRPr="004C118A">
        <w:rPr>
          <w:lang w:val="lv-LV"/>
        </w:rPr>
        <w:t xml:space="preserve"> paredzētais diasporas atbalsta pasākums tika īstenots 2014. – 2016. gadā, piešķirot finansējumu kā prioritārajam pasākumam “Reemigrācijas pasākumu īstenošana attiecībā uz Latvijas valstspiederīgo absolventu piesaisti darbam valsts tiešās pārvaldes iestādēs, komunikācija ar ārvalstīs dzīvojošiem cilvēkiem, kuri vēlas atgriezties Latvijā”. Kopā plānotais finansējums 2015. – 2016. gadam</w:t>
      </w:r>
      <w:r w:rsidR="00FF342C">
        <w:rPr>
          <w:lang w:val="lv-LV"/>
        </w:rPr>
        <w:t xml:space="preserve"> </w:t>
      </w:r>
      <w:r w:rsidRPr="004C118A">
        <w:rPr>
          <w:lang w:val="lv-LV"/>
        </w:rPr>
        <w:t xml:space="preserve">ir 261 808 </w:t>
      </w:r>
      <w:r w:rsidRPr="004C118A">
        <w:rPr>
          <w:i/>
          <w:iCs/>
          <w:lang w:val="lv-LV"/>
        </w:rPr>
        <w:t xml:space="preserve">euro, </w:t>
      </w:r>
      <w:r w:rsidRPr="004C118A">
        <w:rPr>
          <w:lang w:val="lv-LV"/>
        </w:rPr>
        <w:t xml:space="preserve">no tiem izpilde 176 867 </w:t>
      </w:r>
      <w:r w:rsidRPr="004C118A">
        <w:rPr>
          <w:i/>
          <w:iCs/>
          <w:lang w:val="lv-LV"/>
        </w:rPr>
        <w:t>euro</w:t>
      </w:r>
      <w:r w:rsidRPr="004C118A">
        <w:rPr>
          <w:lang w:val="lv-LV"/>
        </w:rPr>
        <w:t xml:space="preserve">, neizlietotais finansējums 84 941 </w:t>
      </w:r>
      <w:r w:rsidRPr="004C118A">
        <w:rPr>
          <w:i/>
          <w:iCs/>
          <w:lang w:val="lv-LV"/>
        </w:rPr>
        <w:t>euro</w:t>
      </w:r>
      <w:r w:rsidRPr="004C118A">
        <w:rPr>
          <w:lang w:val="lv-LV"/>
        </w:rPr>
        <w:t xml:space="preserve">. Ņemot vērā, ka pasākums bija plānots tikai trīs gadiem, bāzes izdevumu 2015. – 2017. gadam aprēķinā finansējums 130 904 </w:t>
      </w:r>
      <w:r w:rsidRPr="004C118A">
        <w:rPr>
          <w:i/>
          <w:iCs/>
          <w:lang w:val="lv-LV"/>
        </w:rPr>
        <w:t>euro</w:t>
      </w:r>
      <w:r w:rsidRPr="004C118A">
        <w:rPr>
          <w:lang w:val="lv-LV"/>
        </w:rPr>
        <w:t xml:space="preserve"> minētajam mērķim 2017. gadam tika samazināts.</w:t>
      </w:r>
    </w:p>
    <w:p w14:paraId="2575F262" w14:textId="77777777" w:rsidR="004C118A" w:rsidRPr="004C118A" w:rsidRDefault="004C118A" w:rsidP="004C118A">
      <w:pPr>
        <w:ind w:firstLine="720"/>
        <w:rPr>
          <w:i/>
          <w:iCs/>
          <w:lang w:val="lv-LV"/>
        </w:rPr>
      </w:pPr>
      <w:r w:rsidRPr="004C118A">
        <w:rPr>
          <w:b/>
          <w:bCs/>
          <w:lang w:val="lv-LV"/>
        </w:rPr>
        <w:t>CVK</w:t>
      </w:r>
      <w:r w:rsidRPr="004C118A">
        <w:rPr>
          <w:lang w:val="lv-LV"/>
        </w:rPr>
        <w:t xml:space="preserve"> informēja, ka resora atbalsts diasporas pasākumiem 2021. gadā ir finansējums diasporas pilsoniskās un politiskās līdzdalības veicināšanai pašvaldību vēlēšanās, pasākuma īstenošanai nepieciešamais finansējums 13 000 </w:t>
      </w:r>
      <w:r w:rsidRPr="004C118A">
        <w:rPr>
          <w:i/>
          <w:iCs/>
          <w:lang w:val="lv-LV"/>
        </w:rPr>
        <w:t xml:space="preserve">euro </w:t>
      </w:r>
      <w:r w:rsidRPr="004C118A">
        <w:rPr>
          <w:lang w:val="lv-LV"/>
        </w:rPr>
        <w:t>apmērā rasts CVK budžeta ietvaros.</w:t>
      </w:r>
    </w:p>
    <w:p w14:paraId="59AE0B09" w14:textId="23958056" w:rsidR="00354454" w:rsidRDefault="004C118A" w:rsidP="001768BA">
      <w:pPr>
        <w:ind w:firstLine="720"/>
        <w:rPr>
          <w:lang w:val="lv-LV"/>
        </w:rPr>
      </w:pPr>
      <w:r w:rsidRPr="004C118A">
        <w:rPr>
          <w:lang w:val="lv-LV"/>
        </w:rPr>
        <w:t xml:space="preserve">Vidēji laika periodā no 2015. – 2020. gadam </w:t>
      </w:r>
      <w:r w:rsidRPr="004C118A">
        <w:rPr>
          <w:b/>
          <w:bCs/>
          <w:lang w:val="lv-LV"/>
        </w:rPr>
        <w:t>RTV</w:t>
      </w:r>
      <w:r w:rsidRPr="004C118A">
        <w:rPr>
          <w:lang w:val="lv-LV"/>
        </w:rPr>
        <w:t xml:space="preserve"> finansējuma izpilde ir 99% apmērā un tā finansējums ik gadu tiek paredzēts elektronisko plašsaziņas līdzekļu un producentu atbalstam Latvijas diasporas mītnes zemēs un atbalstam Latvijas diasporas mītnes zemēs veidotu sižetu un raidījumu par diasporu sagatavošanu nolūkā padarīt tos pieejamus diasporai un Latvijas sabiedrībai Latvijas sabiedriskajos un komerciālajos elektroniskajos plašsaziņas līdzekļos, kā arī nodrošināt sižetu un raidījumu pieejamību interneta platformā. Pēc RTV sniegtās informācijas finansējums tiek izlietots projektu veidā un katru gadu mērķis tiek sasniegts. Līdz ar to secināms, ka turpmāk ik gadu </w:t>
      </w:r>
      <w:r w:rsidRPr="004C118A">
        <w:rPr>
          <w:b/>
          <w:bCs/>
          <w:lang w:val="lv-LV"/>
        </w:rPr>
        <w:t xml:space="preserve">517 </w:t>
      </w:r>
      <w:r w:rsidRPr="004C118A">
        <w:rPr>
          <w:b/>
          <w:bCs/>
          <w:i/>
          <w:iCs/>
          <w:lang w:val="lv-LV"/>
        </w:rPr>
        <w:t>euro</w:t>
      </w:r>
      <w:r w:rsidRPr="004C118A">
        <w:rPr>
          <w:lang w:val="lv-LV"/>
        </w:rPr>
        <w:t xml:space="preserve"> uzskatāmi kā iekšējie pieejamie resursi. RTV Plānā darbam ar diasporu ir paredzējuši papildu nepieciešamo finansējumu 0,8 milj. </w:t>
      </w:r>
      <w:r w:rsidRPr="004C118A">
        <w:rPr>
          <w:i/>
          <w:iCs/>
          <w:lang w:val="lv-LV"/>
        </w:rPr>
        <w:t xml:space="preserve">euro </w:t>
      </w:r>
      <w:r w:rsidRPr="004C118A">
        <w:rPr>
          <w:lang w:val="lv-LV"/>
        </w:rPr>
        <w:t xml:space="preserve">2022. gadā un 0,7 milj. </w:t>
      </w:r>
      <w:r w:rsidRPr="004C118A">
        <w:rPr>
          <w:i/>
          <w:iCs/>
          <w:lang w:val="lv-LV"/>
        </w:rPr>
        <w:t xml:space="preserve">euro </w:t>
      </w:r>
      <w:r w:rsidRPr="004C118A">
        <w:rPr>
          <w:lang w:val="lv-LV"/>
        </w:rPr>
        <w:t>2023. gadā.</w:t>
      </w:r>
    </w:p>
    <w:p w14:paraId="39691ED0" w14:textId="388DEFF1" w:rsidR="00B66244" w:rsidRDefault="00B66244" w:rsidP="001768BA">
      <w:pPr>
        <w:ind w:firstLine="720"/>
        <w:rPr>
          <w:lang w:val="lv-LV"/>
        </w:rPr>
      </w:pPr>
    </w:p>
    <w:p w14:paraId="383AB0D7" w14:textId="77777777" w:rsidR="00B66244" w:rsidRPr="004C118A" w:rsidRDefault="00B66244" w:rsidP="001768BA">
      <w:pPr>
        <w:ind w:firstLine="720"/>
        <w:rPr>
          <w:lang w:val="lv-LV"/>
        </w:rPr>
      </w:pPr>
    </w:p>
    <w:p w14:paraId="1121DC9F" w14:textId="77777777" w:rsidR="004C118A" w:rsidRPr="004C118A" w:rsidRDefault="004C118A" w:rsidP="004C118A">
      <w:pPr>
        <w:pStyle w:val="NormalWeb"/>
        <w:spacing w:before="0" w:beforeAutospacing="0" w:after="120" w:afterAutospacing="0"/>
        <w:jc w:val="center"/>
        <w:textAlignment w:val="baseline"/>
        <w:rPr>
          <w:rFonts w:eastAsia="Verdana"/>
          <w:b/>
          <w:bCs/>
          <w:i/>
          <w:iCs/>
          <w:color w:val="000000" w:themeColor="text1"/>
          <w:kern w:val="24"/>
          <w:sz w:val="22"/>
          <w:szCs w:val="22"/>
          <w:lang w:val="lv-LV"/>
        </w:rPr>
      </w:pPr>
      <w:r w:rsidRPr="004C118A">
        <w:rPr>
          <w:rFonts w:eastAsia="Verdana"/>
          <w:b/>
          <w:bCs/>
          <w:i/>
          <w:iCs/>
          <w:color w:val="000000" w:themeColor="text1"/>
          <w:kern w:val="24"/>
          <w:sz w:val="22"/>
          <w:szCs w:val="22"/>
          <w:lang w:val="lv-LV"/>
        </w:rPr>
        <w:lastRenderedPageBreak/>
        <w:t>3.3.4. attēls</w:t>
      </w:r>
      <w:r w:rsidRPr="004C118A">
        <w:rPr>
          <w:rFonts w:eastAsia="Verdana"/>
          <w:b/>
          <w:bCs/>
          <w:color w:val="000000" w:themeColor="text1"/>
          <w:kern w:val="24"/>
          <w:sz w:val="22"/>
          <w:szCs w:val="22"/>
          <w:lang w:val="lv-LV"/>
        </w:rPr>
        <w:t xml:space="preserve"> Radio un televīzijas diasporas atbalstam paredzētā finansējuma izlietojums 2015. – 2023. gadam, </w:t>
      </w:r>
      <w:r w:rsidRPr="004C118A">
        <w:rPr>
          <w:rFonts w:eastAsia="Verdana"/>
          <w:b/>
          <w:bCs/>
          <w:i/>
          <w:iCs/>
          <w:color w:val="000000" w:themeColor="text1"/>
          <w:kern w:val="24"/>
          <w:sz w:val="22"/>
          <w:szCs w:val="22"/>
          <w:lang w:val="lv-LV"/>
        </w:rPr>
        <w:t>euro</w:t>
      </w:r>
    </w:p>
    <w:p w14:paraId="5B197050" w14:textId="77777777" w:rsidR="004C118A" w:rsidRPr="004C118A" w:rsidRDefault="004C118A" w:rsidP="004C118A">
      <w:pPr>
        <w:spacing w:after="0"/>
        <w:jc w:val="center"/>
        <w:rPr>
          <w:lang w:val="lv-LV"/>
        </w:rPr>
      </w:pPr>
      <w:r w:rsidRPr="004C118A">
        <w:rPr>
          <w:noProof/>
          <w:lang w:val="lv-LV" w:eastAsia="lv-LV"/>
        </w:rPr>
        <mc:AlternateContent>
          <mc:Choice Requires="wps">
            <w:drawing>
              <wp:anchor distT="0" distB="0" distL="114300" distR="114300" simplePos="0" relativeHeight="251666432" behindDoc="0" locked="0" layoutInCell="1" allowOverlap="1" wp14:anchorId="37B13DB6" wp14:editId="25994A9B">
                <wp:simplePos x="0" y="0"/>
                <wp:positionH relativeFrom="column">
                  <wp:posOffset>4320540</wp:posOffset>
                </wp:positionH>
                <wp:positionV relativeFrom="paragraph">
                  <wp:posOffset>559435</wp:posOffset>
                </wp:positionV>
                <wp:extent cx="381000" cy="95250"/>
                <wp:effectExtent l="38100" t="0" r="19050" b="76200"/>
                <wp:wrapNone/>
                <wp:docPr id="78" name="Straight Arrow Connector 78"/>
                <wp:cNvGraphicFramePr/>
                <a:graphic xmlns:a="http://schemas.openxmlformats.org/drawingml/2006/main">
                  <a:graphicData uri="http://schemas.microsoft.com/office/word/2010/wordprocessingShape">
                    <wps:wsp>
                      <wps:cNvCnPr/>
                      <wps:spPr>
                        <a:xfrm flipH="1">
                          <a:off x="0" y="0"/>
                          <a:ext cx="381000" cy="9525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B24EFB" id="Straight Arrow Connector 78" o:spid="_x0000_s1026" type="#_x0000_t32" style="position:absolute;margin-left:340.2pt;margin-top:44.05pt;width:30pt;height: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" strokecolor="#ffc000 [3207]" strokeweight="1.5pt">
                <v:stroke endarrow="block" joinstyle="miter"/>
              </v:shape>
            </w:pict>
          </mc:Fallback>
        </mc:AlternateContent>
      </w:r>
      <w:r w:rsidRPr="004C118A">
        <w:rPr>
          <w:noProof/>
          <w:lang w:val="lv-LV" w:eastAsia="lv-LV"/>
        </w:rPr>
        <mc:AlternateContent>
          <mc:Choice Requires="wps">
            <w:drawing>
              <wp:anchor distT="0" distB="0" distL="114300" distR="114300" simplePos="0" relativeHeight="251665408" behindDoc="0" locked="0" layoutInCell="1" allowOverlap="1" wp14:anchorId="04CFEDD6" wp14:editId="37E3CFD5">
                <wp:simplePos x="0" y="0"/>
                <wp:positionH relativeFrom="margin">
                  <wp:posOffset>3796665</wp:posOffset>
                </wp:positionH>
                <wp:positionV relativeFrom="paragraph">
                  <wp:posOffset>31115</wp:posOffset>
                </wp:positionV>
                <wp:extent cx="1847850" cy="514350"/>
                <wp:effectExtent l="0" t="0" r="19050" b="19050"/>
                <wp:wrapNone/>
                <wp:docPr id="79" name="Text Box 79"/>
                <wp:cNvGraphicFramePr/>
                <a:graphic xmlns:a="http://schemas.openxmlformats.org/drawingml/2006/main">
                  <a:graphicData uri="http://schemas.microsoft.com/office/word/2010/wordprocessingShape">
                    <wps:wsp>
                      <wps:cNvSpPr txBox="1"/>
                      <wps:spPr>
                        <a:xfrm>
                          <a:off x="0" y="0"/>
                          <a:ext cx="1847850" cy="514350"/>
                        </a:xfrm>
                        <a:prstGeom prst="rect">
                          <a:avLst/>
                        </a:prstGeom>
                        <a:solidFill>
                          <a:schemeClr val="accent4">
                            <a:lumMod val="20000"/>
                            <a:lumOff val="80000"/>
                          </a:schemeClr>
                        </a:solidFill>
                        <a:ln/>
                      </wps:spPr>
                      <wps:style>
                        <a:lnRef idx="2">
                          <a:schemeClr val="accent4"/>
                        </a:lnRef>
                        <a:fillRef idx="1">
                          <a:schemeClr val="lt1"/>
                        </a:fillRef>
                        <a:effectRef idx="0">
                          <a:schemeClr val="accent4"/>
                        </a:effectRef>
                        <a:fontRef idx="minor">
                          <a:schemeClr val="dk1"/>
                        </a:fontRef>
                      </wps:style>
                      <wps:txbx>
                        <w:txbxContent>
                          <w:p w14:paraId="5E31F8D1" w14:textId="77777777" w:rsidR="002C24FA" w:rsidRPr="003F1AD9" w:rsidRDefault="002C24FA" w:rsidP="004C118A">
                            <w:pPr>
                              <w:jc w:val="center"/>
                              <w:rPr>
                                <w:sz w:val="18"/>
                                <w:szCs w:val="18"/>
                              </w:rPr>
                            </w:pPr>
                            <w:r w:rsidRPr="003F1AD9">
                              <w:rPr>
                                <w:sz w:val="18"/>
                                <w:szCs w:val="18"/>
                              </w:rPr>
                              <w:t xml:space="preserve">Papildu nepieciešamais finansējums 2022. gadam </w:t>
                            </w:r>
                            <w:r w:rsidRPr="003F1AD9">
                              <w:rPr>
                                <w:b/>
                                <w:bCs/>
                                <w:sz w:val="18"/>
                                <w:szCs w:val="18"/>
                              </w:rPr>
                              <w:t>805 979</w:t>
                            </w:r>
                            <w:r w:rsidRPr="003F1AD9">
                              <w:rPr>
                                <w:sz w:val="18"/>
                                <w:szCs w:val="18"/>
                              </w:rPr>
                              <w:t xml:space="preserve"> </w:t>
                            </w:r>
                            <w:r w:rsidRPr="003F1AD9">
                              <w:rPr>
                                <w:i/>
                                <w:iCs/>
                                <w:sz w:val="18"/>
                                <w:szCs w:val="18"/>
                              </w:rPr>
                              <w:t>euro</w:t>
                            </w:r>
                            <w:r w:rsidRPr="003F1AD9">
                              <w:rPr>
                                <w:sz w:val="18"/>
                                <w:szCs w:val="18"/>
                              </w:rPr>
                              <w:t xml:space="preserve"> un 2023. gadam </w:t>
                            </w:r>
                            <w:r w:rsidRPr="003F1AD9">
                              <w:rPr>
                                <w:b/>
                                <w:bCs/>
                                <w:sz w:val="18"/>
                                <w:szCs w:val="18"/>
                              </w:rPr>
                              <w:t>650 979</w:t>
                            </w:r>
                            <w:r w:rsidRPr="003F1AD9">
                              <w:rPr>
                                <w:sz w:val="18"/>
                                <w:szCs w:val="18"/>
                              </w:rPr>
                              <w:t xml:space="preserve"> </w:t>
                            </w:r>
                            <w:r w:rsidRPr="003F1AD9">
                              <w:rPr>
                                <w:i/>
                                <w:iCs/>
                                <w:sz w:val="18"/>
                                <w:szCs w:val="18"/>
                              </w:rPr>
                              <w:t>euro</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FEDD6" id="Text Box 79" o:spid="_x0000_s1027" type="#_x0000_t202" style="position:absolute;left:0;text-align:left;margin-left:298.95pt;margin-top:2.45pt;width:145.5pt;height:4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" fillcolor="#fff2cc [663]" strokecolor="#ffc000 [3207]" strokeweight="1pt">
                <v:textbox>
                  <w:txbxContent>
                    <w:p w14:paraId="5E31F8D1" w14:textId="77777777" w:rsidR="002C24FA" w:rsidRPr="003F1AD9" w:rsidRDefault="002C24FA" w:rsidP="004C118A">
                      <w:pPr>
                        <w:jc w:val="center"/>
                        <w:rPr>
                          <w:sz w:val="18"/>
                          <w:szCs w:val="18"/>
                        </w:rPr>
                      </w:pPr>
                      <w:r w:rsidRPr="003F1AD9">
                        <w:rPr>
                          <w:sz w:val="18"/>
                          <w:szCs w:val="18"/>
                        </w:rPr>
                        <w:t xml:space="preserve">Papildu nepieciešamais finansējums 2022. gadam </w:t>
                      </w:r>
                      <w:r w:rsidRPr="003F1AD9">
                        <w:rPr>
                          <w:b/>
                          <w:bCs/>
                          <w:sz w:val="18"/>
                          <w:szCs w:val="18"/>
                        </w:rPr>
                        <w:t>805 979</w:t>
                      </w:r>
                      <w:r w:rsidRPr="003F1AD9">
                        <w:rPr>
                          <w:sz w:val="18"/>
                          <w:szCs w:val="18"/>
                        </w:rPr>
                        <w:t xml:space="preserve"> </w:t>
                      </w:r>
                      <w:r w:rsidRPr="003F1AD9">
                        <w:rPr>
                          <w:i/>
                          <w:iCs/>
                          <w:sz w:val="18"/>
                          <w:szCs w:val="18"/>
                        </w:rPr>
                        <w:t>euro</w:t>
                      </w:r>
                      <w:r w:rsidRPr="003F1AD9">
                        <w:rPr>
                          <w:sz w:val="18"/>
                          <w:szCs w:val="18"/>
                        </w:rPr>
                        <w:t xml:space="preserve"> un 2023. gadam </w:t>
                      </w:r>
                      <w:r w:rsidRPr="003F1AD9">
                        <w:rPr>
                          <w:b/>
                          <w:bCs/>
                          <w:sz w:val="18"/>
                          <w:szCs w:val="18"/>
                        </w:rPr>
                        <w:t>650 979</w:t>
                      </w:r>
                      <w:r w:rsidRPr="003F1AD9">
                        <w:rPr>
                          <w:sz w:val="18"/>
                          <w:szCs w:val="18"/>
                        </w:rPr>
                        <w:t xml:space="preserve"> </w:t>
                      </w:r>
                      <w:r w:rsidRPr="003F1AD9">
                        <w:rPr>
                          <w:i/>
                          <w:iCs/>
                          <w:sz w:val="18"/>
                          <w:szCs w:val="18"/>
                        </w:rPr>
                        <w:t>euro</w:t>
                      </w:r>
                      <w:r>
                        <w:rPr>
                          <w:sz w:val="18"/>
                          <w:szCs w:val="18"/>
                        </w:rPr>
                        <w:t>**</w:t>
                      </w:r>
                    </w:p>
                  </w:txbxContent>
                </v:textbox>
                <w10:wrap anchorx="margin"/>
              </v:shape>
            </w:pict>
          </mc:Fallback>
        </mc:AlternateContent>
      </w:r>
      <w:r w:rsidRPr="004C118A">
        <w:rPr>
          <w:noProof/>
          <w:lang w:val="lv-LV" w:eastAsia="lv-LV"/>
        </w:rPr>
        <w:drawing>
          <wp:inline distT="0" distB="0" distL="0" distR="0" wp14:anchorId="39A8F4D9" wp14:editId="21C5F3D6">
            <wp:extent cx="5760085" cy="2971800"/>
            <wp:effectExtent l="0" t="0" r="12065" b="0"/>
            <wp:docPr id="83" name="Chart 83">
              <a:extLst xmlns:a="http://schemas.openxmlformats.org/drawingml/2006/main">
                <a:ext uri="{FF2B5EF4-FFF2-40B4-BE49-F238E27FC236}">
                  <a16:creationId xmlns:a16="http://schemas.microsoft.com/office/drawing/2014/main" id="{CDE04701-1C62-4A80-93D9-9E5D81F142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79F6A1DF" w14:textId="77777777" w:rsidR="004C118A" w:rsidRPr="004C118A" w:rsidRDefault="004C118A" w:rsidP="004C118A">
      <w:pPr>
        <w:spacing w:before="20" w:after="0" w:line="240" w:lineRule="auto"/>
        <w:rPr>
          <w:i/>
          <w:iCs/>
          <w:sz w:val="20"/>
          <w:szCs w:val="20"/>
          <w:lang w:val="lv-LV"/>
        </w:rPr>
      </w:pPr>
      <w:r w:rsidRPr="004C118A">
        <w:rPr>
          <w:i/>
          <w:iCs/>
          <w:sz w:val="20"/>
          <w:szCs w:val="20"/>
          <w:lang w:val="lv-LV"/>
        </w:rPr>
        <w:t>* Finansējums kā transferts</w:t>
      </w:r>
      <w:r w:rsidRPr="004C118A">
        <w:rPr>
          <w:b/>
          <w:bCs/>
          <w:i/>
          <w:iCs/>
          <w:sz w:val="20"/>
          <w:szCs w:val="20"/>
          <w:lang w:val="lv-LV"/>
        </w:rPr>
        <w:t xml:space="preserve"> </w:t>
      </w:r>
      <w:r w:rsidRPr="004C118A">
        <w:rPr>
          <w:i/>
          <w:iCs/>
          <w:sz w:val="20"/>
          <w:szCs w:val="20"/>
          <w:lang w:val="lv-LV"/>
        </w:rPr>
        <w:t>no ĀM programmas 01.00.00 “Nozares vadība” raidījumu un sižetu konkursa organizēšanai par diasporas jautājumiem</w:t>
      </w:r>
    </w:p>
    <w:p w14:paraId="05ACEF09" w14:textId="77777777" w:rsidR="004C118A" w:rsidRPr="004C118A" w:rsidRDefault="004C118A" w:rsidP="004C118A">
      <w:pPr>
        <w:spacing w:before="20" w:after="0" w:line="240" w:lineRule="auto"/>
        <w:rPr>
          <w:i/>
          <w:iCs/>
          <w:sz w:val="20"/>
          <w:szCs w:val="20"/>
          <w:lang w:val="lv-LV"/>
        </w:rPr>
      </w:pPr>
      <w:r w:rsidRPr="004C118A">
        <w:rPr>
          <w:i/>
          <w:iCs/>
          <w:sz w:val="20"/>
          <w:szCs w:val="20"/>
          <w:lang w:val="lv-LV"/>
        </w:rPr>
        <w:t>** Saskaņā ar Plānu darbam ar diasporu 2021. – 2023. gadam</w:t>
      </w:r>
    </w:p>
    <w:p w14:paraId="565AEC08" w14:textId="77777777" w:rsidR="004C118A" w:rsidRPr="004C118A" w:rsidRDefault="004C118A" w:rsidP="004C118A">
      <w:pPr>
        <w:spacing w:after="0" w:line="240" w:lineRule="auto"/>
        <w:rPr>
          <w:sz w:val="20"/>
          <w:szCs w:val="20"/>
          <w:lang w:val="lv-LV"/>
        </w:rPr>
      </w:pPr>
    </w:p>
    <w:p w14:paraId="09FB12E9" w14:textId="68AF920A" w:rsidR="004C118A" w:rsidRPr="006746B5" w:rsidRDefault="004C118A" w:rsidP="006746B5">
      <w:pPr>
        <w:rPr>
          <w:lang w:val="lv-LV"/>
        </w:rPr>
      </w:pPr>
      <w:r w:rsidRPr="004C118A">
        <w:rPr>
          <w:lang w:val="lv-LV"/>
        </w:rPr>
        <w:tab/>
      </w:r>
      <w:r w:rsidRPr="004C118A">
        <w:rPr>
          <w:b/>
          <w:bCs/>
          <w:lang w:val="lv-LV"/>
        </w:rPr>
        <w:t>SIF</w:t>
      </w:r>
      <w:r w:rsidRPr="004C118A">
        <w:rPr>
          <w:lang w:val="lv-LV"/>
        </w:rPr>
        <w:t xml:space="preserve"> nodrošina atbalstu projektiem, kuros tiek iesaistīti diasporas pārstāvji, t.sk. projekti bērniem, un īsteno latviešu valodas apmācības.</w:t>
      </w:r>
      <w:r w:rsidR="006746B5">
        <w:rPr>
          <w:lang w:val="lv-LV"/>
        </w:rPr>
        <w:t xml:space="preserve"> Secināms, ka laika periodā no </w:t>
      </w:r>
      <w:r w:rsidRPr="004C118A">
        <w:rPr>
          <w:lang w:val="lv-LV"/>
        </w:rPr>
        <w:t>2015. – 2020. gadam, lai arī projektu skaits ir sasniegts vai arī pārsniegts, lai īstenotu šos projektus, finansējuma izpilde vid</w:t>
      </w:r>
      <w:r w:rsidR="006746B5">
        <w:rPr>
          <w:lang w:val="lv-LV"/>
        </w:rPr>
        <w:t>ēji visā periodā ir 88% (Attēls</w:t>
      </w:r>
      <w:r w:rsidRPr="004C118A">
        <w:rPr>
          <w:lang w:val="lv-LV"/>
        </w:rPr>
        <w:t xml:space="preserve"> Nr. 3.3.5.). Par mazāku finansējumu sasniegts mērķis, līdz ar to secināms, ka turpmāk ik gadu </w:t>
      </w:r>
      <w:r w:rsidRPr="004C118A">
        <w:rPr>
          <w:b/>
          <w:bCs/>
          <w:lang w:val="lv-LV"/>
        </w:rPr>
        <w:t xml:space="preserve">39 459 </w:t>
      </w:r>
      <w:r w:rsidRPr="004C118A">
        <w:rPr>
          <w:b/>
          <w:bCs/>
          <w:i/>
          <w:iCs/>
          <w:lang w:val="lv-LV"/>
        </w:rPr>
        <w:t>euro</w:t>
      </w:r>
      <w:r w:rsidRPr="004C118A">
        <w:rPr>
          <w:lang w:val="lv-LV"/>
        </w:rPr>
        <w:t xml:space="preserve"> uzskatāmi</w:t>
      </w:r>
      <w:r w:rsidR="006746B5">
        <w:rPr>
          <w:lang w:val="lv-LV"/>
        </w:rPr>
        <w:t xml:space="preserve"> kā iekšējie pieejamie resursi.</w:t>
      </w:r>
      <w:r w:rsidR="00C128A1">
        <w:rPr>
          <w:lang w:val="lv-LV"/>
        </w:rPr>
        <w:t xml:space="preserve"> SIF sniedzis informāciju, ka tiek veidots jauns programmas dizains</w:t>
      </w:r>
      <w:r w:rsidR="00C128A1" w:rsidRPr="00C128A1">
        <w:rPr>
          <w:lang w:val="lv-LV"/>
        </w:rPr>
        <w:t xml:space="preserve">, </w:t>
      </w:r>
      <w:r w:rsidR="00AE44A5">
        <w:rPr>
          <w:lang w:val="lv-LV"/>
        </w:rPr>
        <w:t>kas tiks ieviests 2022. gadā, lai efektīvāk</w:t>
      </w:r>
      <w:r w:rsidR="00C128A1" w:rsidRPr="00C128A1">
        <w:rPr>
          <w:lang w:val="lv-LV"/>
        </w:rPr>
        <w:t xml:space="preserve"> </w:t>
      </w:r>
      <w:r w:rsidR="00AE44A5">
        <w:rPr>
          <w:lang w:val="lv-LV"/>
        </w:rPr>
        <w:t>apgūtu finansējumu.</w:t>
      </w:r>
    </w:p>
    <w:p w14:paraId="001133AA" w14:textId="77777777" w:rsidR="004C118A" w:rsidRPr="004C118A" w:rsidRDefault="004C118A" w:rsidP="004C118A">
      <w:pPr>
        <w:pStyle w:val="NormalWeb"/>
        <w:spacing w:before="0" w:beforeAutospacing="0" w:after="120" w:afterAutospacing="0"/>
        <w:jc w:val="center"/>
        <w:textAlignment w:val="baseline"/>
        <w:rPr>
          <w:rFonts w:eastAsia="Verdana"/>
          <w:b/>
          <w:bCs/>
          <w:i/>
          <w:iCs/>
          <w:color w:val="000000" w:themeColor="text1"/>
          <w:kern w:val="24"/>
          <w:sz w:val="22"/>
          <w:szCs w:val="22"/>
          <w:lang w:val="lv-LV"/>
        </w:rPr>
      </w:pPr>
      <w:r w:rsidRPr="004C118A">
        <w:rPr>
          <w:rFonts w:eastAsia="Verdana"/>
          <w:b/>
          <w:bCs/>
          <w:i/>
          <w:iCs/>
          <w:color w:val="000000" w:themeColor="text1"/>
          <w:kern w:val="24"/>
          <w:sz w:val="22"/>
          <w:szCs w:val="22"/>
          <w:lang w:val="lv-LV"/>
        </w:rPr>
        <w:t>3.3.5. attēls</w:t>
      </w:r>
      <w:r w:rsidRPr="004C118A">
        <w:rPr>
          <w:rFonts w:eastAsia="Verdana"/>
          <w:b/>
          <w:bCs/>
          <w:color w:val="000000" w:themeColor="text1"/>
          <w:kern w:val="24"/>
          <w:sz w:val="22"/>
          <w:szCs w:val="22"/>
          <w:lang w:val="lv-LV"/>
        </w:rPr>
        <w:t xml:space="preserve"> Sabiedrības integrācijas fonda diasporas atbalstam paredzētā finansējuma izlietojums 2015. – 2023. gadam, </w:t>
      </w:r>
      <w:r w:rsidRPr="004C118A">
        <w:rPr>
          <w:rFonts w:eastAsia="Verdana"/>
          <w:b/>
          <w:bCs/>
          <w:i/>
          <w:iCs/>
          <w:color w:val="000000" w:themeColor="text1"/>
          <w:kern w:val="24"/>
          <w:sz w:val="22"/>
          <w:szCs w:val="22"/>
          <w:lang w:val="lv-LV"/>
        </w:rPr>
        <w:t>euro</w:t>
      </w:r>
    </w:p>
    <w:p w14:paraId="2EF7AB05" w14:textId="77777777" w:rsidR="004C118A" w:rsidRPr="004C118A" w:rsidRDefault="004C118A" w:rsidP="004C118A">
      <w:pPr>
        <w:pStyle w:val="NormalWeb"/>
        <w:spacing w:before="0" w:beforeAutospacing="0" w:after="180" w:afterAutospacing="0"/>
        <w:jc w:val="center"/>
        <w:textAlignment w:val="baseline"/>
        <w:rPr>
          <w:b/>
          <w:bCs/>
          <w:lang w:val="lv-LV"/>
        </w:rPr>
      </w:pPr>
      <w:r w:rsidRPr="004C118A">
        <w:rPr>
          <w:noProof/>
          <w:lang w:val="lv-LV" w:eastAsia="lv-LV"/>
        </w:rPr>
        <w:drawing>
          <wp:inline distT="0" distB="0" distL="0" distR="0" wp14:anchorId="42282BC3" wp14:editId="6D0187B4">
            <wp:extent cx="5760085" cy="2952750"/>
            <wp:effectExtent l="0" t="0" r="12065" b="0"/>
            <wp:docPr id="84" name="Chart 84">
              <a:extLst xmlns:a="http://schemas.openxmlformats.org/drawingml/2006/main">
                <a:ext uri="{FF2B5EF4-FFF2-40B4-BE49-F238E27FC236}">
                  <a16:creationId xmlns:a16="http://schemas.microsoft.com/office/drawing/2014/main" id="{9857FEFD-017C-4064-8155-11025F3691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6E68A360" w14:textId="3F76A1C0" w:rsidR="004C118A" w:rsidRPr="004C118A" w:rsidRDefault="004C118A" w:rsidP="006746B5">
      <w:pPr>
        <w:pStyle w:val="NormalWeb"/>
        <w:spacing w:before="0" w:beforeAutospacing="0" w:after="120" w:afterAutospacing="0" w:line="259" w:lineRule="auto"/>
        <w:ind w:firstLine="720"/>
        <w:jc w:val="both"/>
        <w:textAlignment w:val="baseline"/>
        <w:rPr>
          <w:lang w:val="lv-LV"/>
        </w:rPr>
      </w:pPr>
      <w:r w:rsidRPr="004C118A">
        <w:rPr>
          <w:b/>
          <w:bCs/>
          <w:lang w:val="lv-LV"/>
        </w:rPr>
        <w:lastRenderedPageBreak/>
        <w:t xml:space="preserve">ĀM </w:t>
      </w:r>
      <w:r w:rsidRPr="004C118A">
        <w:rPr>
          <w:lang w:val="lv-LV"/>
        </w:rPr>
        <w:t>finansējums tiek paredzēts sadarbības ar diasporu stiprināšanai, diasporas ieguldījuma Latvijas attīstībā veicināšanai, vēstniecību sadarbības ar diasporu paplašināšanai, t.i., atbalstīt pasākumus vispasaules latviešu salidojumam, latviešu globālā ekonomikas foruma, darbības pēctecībai, ikgadējās diasporas konferences organizēšanai, vēstniecību sadarbībai, diasporu mantojuma apzināšanai, saglabāšanai un izpētei u.c.</w:t>
      </w:r>
      <w:r w:rsidRPr="004C118A">
        <w:rPr>
          <w:b/>
          <w:bCs/>
          <w:lang w:val="lv-LV"/>
        </w:rPr>
        <w:t xml:space="preserve"> </w:t>
      </w:r>
      <w:r w:rsidRPr="004C118A">
        <w:rPr>
          <w:lang w:val="lv-LV"/>
        </w:rPr>
        <w:t>Ik gadu ĀM sasniedz plānoto pasākumu skaitu (izņemot 2020. gadu), kā arī piešķir atbalstu va</w:t>
      </w:r>
      <w:r w:rsidR="006746B5">
        <w:rPr>
          <w:lang w:val="lv-LV"/>
        </w:rPr>
        <w:t xml:space="preserve">irāk pasākumiem nekā plānots. </w:t>
      </w:r>
      <w:r w:rsidRPr="004C118A">
        <w:rPr>
          <w:lang w:val="lv-LV"/>
        </w:rPr>
        <w:t xml:space="preserve">Diasporas atbalsta pasākumu īstenošanai ik gadu tiek plānoti 226 238 </w:t>
      </w:r>
      <w:r w:rsidRPr="004C118A">
        <w:rPr>
          <w:i/>
          <w:iCs/>
          <w:lang w:val="lv-LV"/>
        </w:rPr>
        <w:t>euro</w:t>
      </w:r>
      <w:r w:rsidRPr="004C118A">
        <w:rPr>
          <w:lang w:val="lv-LV"/>
        </w:rPr>
        <w:t xml:space="preserve">, tomēr redzams, ka vidējā finansējuma izpilde laika periodā no 2015. – 2020. gadam ir 171 979 </w:t>
      </w:r>
      <w:r w:rsidRPr="004C118A">
        <w:rPr>
          <w:i/>
          <w:iCs/>
          <w:lang w:val="lv-LV"/>
        </w:rPr>
        <w:t>euro</w:t>
      </w:r>
      <w:r w:rsidRPr="004C118A">
        <w:rPr>
          <w:lang w:val="lv-LV"/>
        </w:rPr>
        <w:t xml:space="preserve"> jeb 76% (</w:t>
      </w:r>
      <w:r w:rsidR="006746B5">
        <w:rPr>
          <w:lang w:val="lv-LV"/>
        </w:rPr>
        <w:t>Attēls</w:t>
      </w:r>
      <w:r w:rsidRPr="004C118A">
        <w:rPr>
          <w:lang w:val="lv-LV"/>
        </w:rPr>
        <w:t xml:space="preserve"> Nr. 3.3.6.). </w:t>
      </w:r>
      <w:r w:rsidR="00C55C96">
        <w:rPr>
          <w:lang w:val="lv-LV"/>
        </w:rPr>
        <w:t>D</w:t>
      </w:r>
      <w:r w:rsidR="00C55C96" w:rsidRPr="00C55C96">
        <w:rPr>
          <w:lang w:val="lv-LV"/>
        </w:rPr>
        <w:t>iasporas projektu vidējo neizpildi ļoti lielā mērā ir ietekmējusi 2020.</w:t>
      </w:r>
      <w:r w:rsidR="00C55C96">
        <w:rPr>
          <w:lang w:val="lv-LV"/>
        </w:rPr>
        <w:t xml:space="preserve"> </w:t>
      </w:r>
      <w:r w:rsidR="00C55C96" w:rsidRPr="00C55C96">
        <w:rPr>
          <w:lang w:val="lv-LV"/>
        </w:rPr>
        <w:t xml:space="preserve">gada neizpilde, kad visu plānoto finansējumu diasporas projektiem nevarēja izlietot no </w:t>
      </w:r>
      <w:r w:rsidR="00C55C96">
        <w:rPr>
          <w:lang w:val="lv-LV"/>
        </w:rPr>
        <w:t>ĀM</w:t>
      </w:r>
      <w:r w:rsidR="00C55C96" w:rsidRPr="00C55C96">
        <w:rPr>
          <w:lang w:val="lv-LV"/>
        </w:rPr>
        <w:t xml:space="preserve"> </w:t>
      </w:r>
      <w:r w:rsidR="00C55C96">
        <w:rPr>
          <w:lang w:val="lv-LV"/>
        </w:rPr>
        <w:t>puses neietekmējamu faktoru dēļ, t.i. s</w:t>
      </w:r>
      <w:r w:rsidR="00C55C96" w:rsidRPr="00C55C96">
        <w:rPr>
          <w:lang w:val="lv-LV"/>
        </w:rPr>
        <w:t>aistībā ar globālās pandēmijas Covid-19 noteiktajiem ierobežojumiem un drošības pasākumiem dažādās pasaules valstīs iecerētie projekti nevarēja notikt un tika atcelti.</w:t>
      </w:r>
      <w:r w:rsidR="00C55C96">
        <w:rPr>
          <w:lang w:val="lv-LV"/>
        </w:rPr>
        <w:t xml:space="preserve"> </w:t>
      </w:r>
      <w:r w:rsidR="007C0716">
        <w:rPr>
          <w:lang w:val="lv-LV"/>
        </w:rPr>
        <w:t>Tāpat d</w:t>
      </w:r>
      <w:r w:rsidR="007C0716" w:rsidRPr="007C0716">
        <w:rPr>
          <w:lang w:val="lv-LV"/>
        </w:rPr>
        <w:t>iasporas projekti tika realizēti attālināti, līdz ar to ar mazāku finansēj</w:t>
      </w:r>
      <w:r w:rsidR="007C0716">
        <w:rPr>
          <w:lang w:val="lv-LV"/>
        </w:rPr>
        <w:t xml:space="preserve">umu. ĀM norāda, ka </w:t>
      </w:r>
      <w:r w:rsidR="007C0716" w:rsidRPr="007C0716">
        <w:rPr>
          <w:lang w:val="lv-LV"/>
        </w:rPr>
        <w:t>ir ļoti svarīgi uzturēt diasporas pasākumus, tikšanos klātienē, kas būtiski sadārdzina projektu realizāciju</w:t>
      </w:r>
      <w:r w:rsidR="007C0716">
        <w:rPr>
          <w:lang w:val="lv-LV"/>
        </w:rPr>
        <w:t xml:space="preserve">. </w:t>
      </w:r>
      <w:r w:rsidRPr="004C118A">
        <w:rPr>
          <w:szCs w:val="28"/>
          <w:lang w:val="lv-LV"/>
        </w:rPr>
        <w:t xml:space="preserve">Vienlaikus jāatzīmē, ka 2020. gadā ĀM prioritārā pasākuma “Diasporas likuma normu īstenošanai” ietvaros izveidojās ekonomija 7 000 </w:t>
      </w:r>
      <w:r w:rsidRPr="004C118A">
        <w:rPr>
          <w:i/>
          <w:iCs/>
          <w:szCs w:val="28"/>
          <w:lang w:val="lv-LV"/>
        </w:rPr>
        <w:t>euro</w:t>
      </w:r>
      <w:r w:rsidRPr="004C118A">
        <w:rPr>
          <w:szCs w:val="28"/>
          <w:lang w:val="lv-LV"/>
        </w:rPr>
        <w:t xml:space="preserve"> apmērā, jo izveidotās amata vietās nodarbināto darbinieku faktiskais amats un to mēnešalgu grupa ir zemāka nekā plānots.</w:t>
      </w:r>
    </w:p>
    <w:p w14:paraId="62C514F4" w14:textId="734C4391" w:rsidR="001768BA" w:rsidRPr="006746B5" w:rsidRDefault="004C118A" w:rsidP="00B66244">
      <w:pPr>
        <w:pStyle w:val="NormalWeb"/>
        <w:spacing w:before="0" w:beforeAutospacing="0" w:after="120" w:afterAutospacing="0" w:line="259" w:lineRule="auto"/>
        <w:ind w:firstLine="720"/>
        <w:jc w:val="both"/>
        <w:textAlignment w:val="baseline"/>
        <w:rPr>
          <w:lang w:val="lv-LV"/>
        </w:rPr>
      </w:pPr>
      <w:r w:rsidRPr="004C118A">
        <w:rPr>
          <w:lang w:val="lv-LV"/>
        </w:rPr>
        <w:t xml:space="preserve">Ņemot vērā veiksmīgu pasākumu īstenošanu pie mazāka finansējuma, turpmāk ik gadu </w:t>
      </w:r>
      <w:r w:rsidRPr="004C118A">
        <w:rPr>
          <w:b/>
          <w:bCs/>
          <w:lang w:val="lv-LV"/>
        </w:rPr>
        <w:t xml:space="preserve">53 640 </w:t>
      </w:r>
      <w:r w:rsidRPr="004C118A">
        <w:rPr>
          <w:b/>
          <w:bCs/>
          <w:i/>
          <w:iCs/>
          <w:lang w:val="lv-LV"/>
        </w:rPr>
        <w:t>euro</w:t>
      </w:r>
      <w:r w:rsidRPr="004C118A">
        <w:rPr>
          <w:lang w:val="lv-LV"/>
        </w:rPr>
        <w:t xml:space="preserve">, t.sk. 7 000 </w:t>
      </w:r>
      <w:r w:rsidRPr="004C118A">
        <w:rPr>
          <w:i/>
          <w:iCs/>
          <w:lang w:val="lv-LV"/>
        </w:rPr>
        <w:t>euro</w:t>
      </w:r>
      <w:r w:rsidRPr="004C118A">
        <w:rPr>
          <w:lang w:val="lv-LV"/>
        </w:rPr>
        <w:t xml:space="preserve"> no iepriekš minētā prioritārā pasākuma uzskatāmi par ĀM potenciālajiem iekšējiem resursiem, ko varētu novirzīt citām diasporas aktivitātēm, kur</w:t>
      </w:r>
      <w:r w:rsidR="006746B5">
        <w:rPr>
          <w:lang w:val="lv-LV"/>
        </w:rPr>
        <w:t>ās finansējums ir nepietiekams.</w:t>
      </w:r>
    </w:p>
    <w:p w14:paraId="1E5A6566" w14:textId="77777777" w:rsidR="004C118A" w:rsidRPr="004C118A" w:rsidRDefault="004C118A" w:rsidP="004C118A">
      <w:pPr>
        <w:pStyle w:val="NormalWeb"/>
        <w:spacing w:before="0" w:beforeAutospacing="0" w:after="120" w:afterAutospacing="0"/>
        <w:jc w:val="center"/>
        <w:textAlignment w:val="baseline"/>
        <w:rPr>
          <w:rFonts w:eastAsia="Verdana"/>
          <w:b/>
          <w:bCs/>
          <w:i/>
          <w:iCs/>
          <w:color w:val="000000" w:themeColor="text1"/>
          <w:kern w:val="24"/>
          <w:sz w:val="22"/>
          <w:szCs w:val="22"/>
          <w:lang w:val="lv-LV"/>
        </w:rPr>
      </w:pPr>
      <w:r w:rsidRPr="004C118A">
        <w:rPr>
          <w:rFonts w:eastAsia="Verdana"/>
          <w:b/>
          <w:bCs/>
          <w:i/>
          <w:iCs/>
          <w:color w:val="000000" w:themeColor="text1"/>
          <w:kern w:val="24"/>
          <w:sz w:val="22"/>
          <w:szCs w:val="22"/>
          <w:lang w:val="lv-LV"/>
        </w:rPr>
        <w:t>3.3.6. attēls</w:t>
      </w:r>
      <w:r w:rsidRPr="004C118A">
        <w:rPr>
          <w:rFonts w:eastAsia="Verdana"/>
          <w:b/>
          <w:bCs/>
          <w:color w:val="000000" w:themeColor="text1"/>
          <w:kern w:val="24"/>
          <w:sz w:val="22"/>
          <w:szCs w:val="22"/>
          <w:lang w:val="lv-LV"/>
        </w:rPr>
        <w:t xml:space="preserve"> Ārlietu ministrijas diasporas atbalstam paredzētā finansējuma izlietojums 2015. – 2023. gadam, </w:t>
      </w:r>
      <w:r w:rsidRPr="004C118A">
        <w:rPr>
          <w:rFonts w:eastAsia="Verdana"/>
          <w:b/>
          <w:bCs/>
          <w:i/>
          <w:iCs/>
          <w:color w:val="000000" w:themeColor="text1"/>
          <w:kern w:val="24"/>
          <w:sz w:val="22"/>
          <w:szCs w:val="22"/>
          <w:lang w:val="lv-LV"/>
        </w:rPr>
        <w:t>euro</w:t>
      </w:r>
    </w:p>
    <w:p w14:paraId="0CF0BFF7" w14:textId="77777777" w:rsidR="004C118A" w:rsidRPr="004C118A" w:rsidRDefault="004C118A" w:rsidP="004C118A">
      <w:pPr>
        <w:spacing w:before="160"/>
        <w:jc w:val="center"/>
        <w:rPr>
          <w:b/>
          <w:bCs/>
          <w:noProof/>
          <w:lang w:val="lv-LV"/>
        </w:rPr>
      </w:pPr>
      <w:r w:rsidRPr="004C118A">
        <w:rPr>
          <w:noProof/>
          <w:lang w:val="lv-LV" w:eastAsia="lv-LV"/>
        </w:rPr>
        <w:drawing>
          <wp:inline distT="0" distB="0" distL="0" distR="0" wp14:anchorId="67DFA0CF" wp14:editId="2A9D91B6">
            <wp:extent cx="5760085" cy="2933700"/>
            <wp:effectExtent l="0" t="0" r="12065" b="0"/>
            <wp:docPr id="85" name="Chart 85">
              <a:extLst xmlns:a="http://schemas.openxmlformats.org/drawingml/2006/main">
                <a:ext uri="{FF2B5EF4-FFF2-40B4-BE49-F238E27FC236}">
                  <a16:creationId xmlns:a16="http://schemas.microsoft.com/office/drawing/2014/main" id="{462FEF96-4918-4A7D-9C1D-1D1C494DE6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70BF5C2" w14:textId="55C9F9B8" w:rsidR="004C118A" w:rsidRPr="004C118A" w:rsidRDefault="004C118A" w:rsidP="001768BA">
      <w:pPr>
        <w:tabs>
          <w:tab w:val="left" w:pos="1992"/>
        </w:tabs>
        <w:spacing w:before="240"/>
        <w:ind w:firstLine="709"/>
        <w:rPr>
          <w:lang w:val="lv-LV"/>
        </w:rPr>
      </w:pPr>
      <w:r w:rsidRPr="004C118A">
        <w:rPr>
          <w:b/>
          <w:bCs/>
          <w:lang w:val="lv-LV"/>
        </w:rPr>
        <w:t>EM</w:t>
      </w:r>
      <w:r w:rsidRPr="004C118A">
        <w:rPr>
          <w:lang w:val="lv-LV"/>
        </w:rPr>
        <w:t xml:space="preserve"> galvenā diasporas atbalsta aktivitāte ir diasporas uzņēmēju un nozaru profesionāļu (t.sk. studentu un zinātnieku) iesaiste Latvijas tautsaimniecības izaugsmē – eksporta pieaugumā, investīciju piesaistē, inovāciju attīstīšanā un Latvijas kā tūrisma galamērķa popularizēšanā. Secināms, ka 2019. un 2020. gadā EM sasniedz diasporas atbalsta pasākumu nodrošināšanai paredzētos rezultatīvos rādītājus. Attiecīgi 2019. – 2020. gada periodā vidējā finansējuma izpilde 109 073 </w:t>
      </w:r>
      <w:r w:rsidRPr="004C118A">
        <w:rPr>
          <w:i/>
          <w:iCs/>
          <w:lang w:val="lv-LV"/>
        </w:rPr>
        <w:t>euro</w:t>
      </w:r>
      <w:r w:rsidRPr="004C118A">
        <w:rPr>
          <w:lang w:val="lv-LV"/>
        </w:rPr>
        <w:t xml:space="preserve"> jeb 45% no plānotā finansējuma pasākumu īstenošanai </w:t>
      </w:r>
      <w:r w:rsidRPr="004C118A">
        <w:rPr>
          <w:lang w:val="lv-LV"/>
        </w:rPr>
        <w:lastRenderedPageBreak/>
        <w:t>(</w:t>
      </w:r>
      <w:r w:rsidR="006746B5">
        <w:rPr>
          <w:lang w:val="lv-LV"/>
        </w:rPr>
        <w:t>Attēls</w:t>
      </w:r>
      <w:r w:rsidRPr="004C118A">
        <w:rPr>
          <w:lang w:val="lv-LV"/>
        </w:rPr>
        <w:t xml:space="preserve"> Nr. 3.3.7.), līdz ar to turpmāk ik gadu </w:t>
      </w:r>
      <w:r w:rsidRPr="004C118A">
        <w:rPr>
          <w:b/>
          <w:bCs/>
          <w:lang w:val="lv-LV"/>
        </w:rPr>
        <w:t xml:space="preserve">135 903 </w:t>
      </w:r>
      <w:r w:rsidRPr="004C118A">
        <w:rPr>
          <w:b/>
          <w:bCs/>
          <w:i/>
          <w:iCs/>
          <w:lang w:val="lv-LV"/>
        </w:rPr>
        <w:t>euro</w:t>
      </w:r>
      <w:r w:rsidRPr="004C118A">
        <w:rPr>
          <w:lang w:val="lv-LV"/>
        </w:rPr>
        <w:t xml:space="preserve"> uzskatāmi par potenciālajiem iekšējiem resursiem. Tā kā diasporas finansējums tika piešķirts prioritāro pasākumu ietvaros kā valsts prioritāte, tad turpmākos gados tas būtu novirzāms citām diasporas aktivitātēm, kurās finansējums ir nepietiekams.</w:t>
      </w:r>
    </w:p>
    <w:p w14:paraId="30DFF123" w14:textId="77777777" w:rsidR="004C118A" w:rsidRPr="004C118A" w:rsidRDefault="004C118A" w:rsidP="004C118A">
      <w:pPr>
        <w:tabs>
          <w:tab w:val="left" w:pos="1992"/>
        </w:tabs>
        <w:spacing w:before="240"/>
        <w:jc w:val="center"/>
        <w:rPr>
          <w:b/>
          <w:bCs/>
          <w:sz w:val="22"/>
          <w:lang w:val="lv-LV"/>
        </w:rPr>
      </w:pPr>
      <w:r w:rsidRPr="004C118A">
        <w:rPr>
          <w:b/>
          <w:bCs/>
          <w:i/>
          <w:iCs/>
          <w:sz w:val="22"/>
          <w:lang w:val="lv-LV"/>
        </w:rPr>
        <w:t>3.3.1. tabula</w:t>
      </w:r>
      <w:r w:rsidRPr="004C118A">
        <w:rPr>
          <w:b/>
          <w:bCs/>
          <w:sz w:val="22"/>
          <w:lang w:val="lv-LV"/>
        </w:rPr>
        <w:t xml:space="preserve"> Ekonomikas ministrijas diasporas atbalsta pasākumu noteiktie darbības rezultatīvie rādītāji 2019. – 2020. gadam</w:t>
      </w:r>
    </w:p>
    <w:tbl>
      <w:tblPr>
        <w:tblW w:w="9072" w:type="dxa"/>
        <w:tblInd w:w="-5" w:type="dxa"/>
        <w:tblCellMar>
          <w:left w:w="0" w:type="dxa"/>
          <w:right w:w="0" w:type="dxa"/>
        </w:tblCellMar>
        <w:tblLook w:val="0600" w:firstRow="0" w:lastRow="0" w:firstColumn="0" w:lastColumn="0" w:noHBand="1" w:noVBand="1"/>
      </w:tblPr>
      <w:tblGrid>
        <w:gridCol w:w="4962"/>
        <w:gridCol w:w="992"/>
        <w:gridCol w:w="992"/>
        <w:gridCol w:w="1134"/>
        <w:gridCol w:w="992"/>
      </w:tblGrid>
      <w:tr w:rsidR="004C118A" w:rsidRPr="004C118A" w14:paraId="3EBA4D09" w14:textId="77777777" w:rsidTr="004C118A">
        <w:trPr>
          <w:trHeight w:val="195"/>
          <w:tblHeader/>
        </w:trPr>
        <w:tc>
          <w:tcPr>
            <w:tcW w:w="496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1A32A781"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Rezultatīvais Rādītājs</w:t>
            </w:r>
          </w:p>
        </w:tc>
        <w:tc>
          <w:tcPr>
            <w:tcW w:w="99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2450C6E6"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2019. gada plāns</w:t>
            </w:r>
          </w:p>
        </w:tc>
        <w:tc>
          <w:tcPr>
            <w:tcW w:w="99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49EB2086"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2019. gada izpilde</w:t>
            </w:r>
          </w:p>
        </w:tc>
        <w:tc>
          <w:tcPr>
            <w:tcW w:w="1134"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5C4B8CA5"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2020. gada plāns</w:t>
            </w:r>
          </w:p>
        </w:tc>
        <w:tc>
          <w:tcPr>
            <w:tcW w:w="992"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595F7938"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2020. gada izpilde</w:t>
            </w:r>
          </w:p>
        </w:tc>
      </w:tr>
      <w:tr w:rsidR="004C118A" w:rsidRPr="004C118A" w14:paraId="7FFA2D1F" w14:textId="77777777" w:rsidTr="004C118A">
        <w:trPr>
          <w:trHeight w:val="203"/>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2A1722"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Elektroniski uzrunāta diasporas auditorija (personu skaits)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C6240E"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60 000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D620979"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70 691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123F60"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150 000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16063C"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318 079</w:t>
            </w:r>
          </w:p>
        </w:tc>
      </w:tr>
      <w:tr w:rsidR="004C118A" w:rsidRPr="004C118A" w14:paraId="18A5F3BF" w14:textId="77777777" w:rsidTr="004C118A">
        <w:trPr>
          <w:trHeight w:val="345"/>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A1EBE2"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Noorganizēti tematiskie pasākumi ar diasporas iesaisti trīs virzienos – eksporta veicināšana, investīciju piesaiste, uzņēmējdarbība (skaits)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E30D0D"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787E4C"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91E388"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D29B8B"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25</w:t>
            </w:r>
          </w:p>
        </w:tc>
      </w:tr>
      <w:tr w:rsidR="004C118A" w:rsidRPr="004C118A" w14:paraId="0D2C91E0" w14:textId="77777777" w:rsidTr="004C118A">
        <w:trPr>
          <w:trHeight w:val="327"/>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84AE78"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Līdzdalība pasākumos, kuru mērķis ir uzrunāt diasporas pārstāvjus par darba iespējām Latvijā (pasākumu skaits)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260164"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104454"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1A0CAE"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653198"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5</w:t>
            </w:r>
          </w:p>
        </w:tc>
      </w:tr>
    </w:tbl>
    <w:p w14:paraId="052386BF" w14:textId="77777777" w:rsidR="00B66244" w:rsidRDefault="00B66244" w:rsidP="004C118A">
      <w:pPr>
        <w:pStyle w:val="NormalWeb"/>
        <w:spacing w:before="0" w:beforeAutospacing="0" w:after="180" w:afterAutospacing="0"/>
        <w:jc w:val="center"/>
        <w:textAlignment w:val="baseline"/>
        <w:rPr>
          <w:rFonts w:eastAsia="Verdana"/>
          <w:b/>
          <w:bCs/>
          <w:i/>
          <w:iCs/>
          <w:color w:val="000000" w:themeColor="text1"/>
          <w:kern w:val="24"/>
          <w:sz w:val="22"/>
          <w:szCs w:val="22"/>
          <w:lang w:val="lv-LV"/>
        </w:rPr>
      </w:pPr>
    </w:p>
    <w:p w14:paraId="4AA2C163" w14:textId="7C813D8F" w:rsidR="004C118A" w:rsidRPr="004C118A" w:rsidRDefault="004C118A" w:rsidP="004C118A">
      <w:pPr>
        <w:pStyle w:val="NormalWeb"/>
        <w:spacing w:before="0" w:beforeAutospacing="0" w:after="180" w:afterAutospacing="0"/>
        <w:jc w:val="center"/>
        <w:textAlignment w:val="baseline"/>
        <w:rPr>
          <w:rFonts w:eastAsia="Verdana"/>
          <w:b/>
          <w:bCs/>
          <w:i/>
          <w:iCs/>
          <w:color w:val="000000" w:themeColor="text1"/>
          <w:kern w:val="24"/>
          <w:sz w:val="22"/>
          <w:szCs w:val="22"/>
          <w:lang w:val="lv-LV"/>
        </w:rPr>
      </w:pPr>
      <w:r w:rsidRPr="004C118A">
        <w:rPr>
          <w:rFonts w:eastAsia="Verdana"/>
          <w:b/>
          <w:bCs/>
          <w:i/>
          <w:iCs/>
          <w:color w:val="000000" w:themeColor="text1"/>
          <w:kern w:val="24"/>
          <w:sz w:val="22"/>
          <w:szCs w:val="22"/>
          <w:lang w:val="lv-LV"/>
        </w:rPr>
        <w:t>3.3.7. attēls</w:t>
      </w:r>
      <w:r w:rsidRPr="004C118A">
        <w:rPr>
          <w:rFonts w:eastAsia="Verdana"/>
          <w:b/>
          <w:bCs/>
          <w:color w:val="000000" w:themeColor="text1"/>
          <w:kern w:val="24"/>
          <w:sz w:val="22"/>
          <w:szCs w:val="22"/>
          <w:lang w:val="lv-LV"/>
        </w:rPr>
        <w:t xml:space="preserve"> Ekonomikas ministrijas diasporas atbalstam paredzētā finansējuma izlietojums 2019. – 2023. gadam, </w:t>
      </w:r>
      <w:r w:rsidRPr="004C118A">
        <w:rPr>
          <w:rFonts w:eastAsia="Verdana"/>
          <w:b/>
          <w:bCs/>
          <w:i/>
          <w:iCs/>
          <w:color w:val="000000" w:themeColor="text1"/>
          <w:kern w:val="24"/>
          <w:sz w:val="22"/>
          <w:szCs w:val="22"/>
          <w:lang w:val="lv-LV"/>
        </w:rPr>
        <w:t>euro</w:t>
      </w:r>
    </w:p>
    <w:p w14:paraId="60E1DAD1" w14:textId="77777777" w:rsidR="004C118A" w:rsidRPr="004C118A" w:rsidRDefault="004C118A" w:rsidP="004C118A">
      <w:pPr>
        <w:pStyle w:val="NormalWeb"/>
        <w:spacing w:before="0" w:beforeAutospacing="0" w:after="180" w:afterAutospacing="0"/>
        <w:jc w:val="center"/>
        <w:textAlignment w:val="baseline"/>
        <w:rPr>
          <w:rFonts w:eastAsia="Verdana"/>
          <w:b/>
          <w:bCs/>
          <w:color w:val="000000" w:themeColor="text1"/>
          <w:kern w:val="24"/>
          <w:sz w:val="22"/>
          <w:szCs w:val="22"/>
          <w:lang w:val="lv-LV"/>
        </w:rPr>
      </w:pPr>
      <w:r w:rsidRPr="004C118A">
        <w:rPr>
          <w:noProof/>
          <w:lang w:val="lv-LV" w:eastAsia="lv-LV"/>
        </w:rPr>
        <w:drawing>
          <wp:inline distT="0" distB="0" distL="0" distR="0" wp14:anchorId="0972FEC4" wp14:editId="1BA46C76">
            <wp:extent cx="5760085" cy="2771775"/>
            <wp:effectExtent l="0" t="0" r="12065" b="9525"/>
            <wp:docPr id="86" name="Chart 86">
              <a:extLst xmlns:a="http://schemas.openxmlformats.org/drawingml/2006/main">
                <a:ext uri="{FF2B5EF4-FFF2-40B4-BE49-F238E27FC236}">
                  <a16:creationId xmlns:a16="http://schemas.microsoft.com/office/drawing/2014/main" id="{75D48640-1BEA-4952-85BE-D338ADF5C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53946B53" w14:textId="5D2DB6DB" w:rsidR="004C118A" w:rsidRPr="004C118A" w:rsidRDefault="004C118A" w:rsidP="004C118A">
      <w:pPr>
        <w:tabs>
          <w:tab w:val="left" w:pos="1992"/>
        </w:tabs>
        <w:ind w:firstLine="709"/>
        <w:rPr>
          <w:lang w:val="lv-LV"/>
        </w:rPr>
      </w:pPr>
      <w:bookmarkStart w:id="38" w:name="_Ref70420878"/>
      <w:r w:rsidRPr="004C118A">
        <w:rPr>
          <w:b/>
          <w:bCs/>
          <w:lang w:val="lv-LV"/>
        </w:rPr>
        <w:t xml:space="preserve">VARAM </w:t>
      </w:r>
      <w:r w:rsidRPr="004C118A">
        <w:rPr>
          <w:lang w:val="lv-LV"/>
        </w:rPr>
        <w:t>2018. gadā īstenoja prioritāro pasākumu “Pilotprojekts pašvaldībās reemigrācijas veicināšanai “Reģionālās reemigrācijas koordinātors”” un kopš 2019. gada īsteno prioritāro pasākumu “Diasporas likuma normu īstenošanai (Atbalsta pasākums re</w:t>
      </w:r>
      <w:r w:rsidR="006746B5">
        <w:rPr>
          <w:lang w:val="lv-LV"/>
        </w:rPr>
        <w:t>e</w:t>
      </w:r>
      <w:r w:rsidRPr="004C118A">
        <w:rPr>
          <w:lang w:val="lv-LV"/>
        </w:rPr>
        <w:t>migrācijas veicināšanai “Reģionālās remigrācijas koordinators”). Pēc darbības rezultatīvo rā</w:t>
      </w:r>
      <w:r w:rsidR="006746B5">
        <w:rPr>
          <w:lang w:val="lv-LV"/>
        </w:rPr>
        <w:t>dītāju izpildes redzams (Tabula</w:t>
      </w:r>
      <w:r w:rsidRPr="004C118A">
        <w:rPr>
          <w:lang w:val="lv-LV"/>
        </w:rPr>
        <w:t xml:space="preserve"> Nr. 3.3.2.), ka VARAM ir nodrošinājusi reģionālo koordinatoru ieviešanu, savukārt nacionālā kontaktpunkta funkcijas 2019. un 2020. gadā ir nodrošinātas ministrijas esošās struktūrvienības darba ietvaros. Vienlaikus jāņem vērā, ka šo prioritāro pasākumu ietvaros iepriekšējos gados ir veidojies finansējuma atlikums</w:t>
      </w:r>
      <w:r w:rsidRPr="004C118A">
        <w:rPr>
          <w:rFonts w:eastAsia="Times New Roman"/>
          <w:lang w:val="lv-LV"/>
        </w:rPr>
        <w:t>. Programmā 31.00.00 “Atbalsts plānošanas reģioniem” pieņemot VARAM sniegto informāciju par atbalsta īstenošanu jaunā veidā, kas jau ir paredzēts MK apstiprinātajā Plānā darbam ar diasporu (bet vēl ir jāveic grozījumi MK noteikumos Nr.496</w:t>
      </w:r>
      <w:r w:rsidRPr="004C118A">
        <w:rPr>
          <w:rStyle w:val="FootnoteReference"/>
          <w:rFonts w:eastAsia="Times New Roman"/>
          <w:lang w:val="lv-LV"/>
        </w:rPr>
        <w:footnoteReference w:id="55"/>
      </w:r>
      <w:r w:rsidRPr="004C118A">
        <w:rPr>
          <w:rFonts w:eastAsia="Times New Roman"/>
          <w:lang w:val="lv-LV"/>
        </w:rPr>
        <w:t xml:space="preserve">), finansējums </w:t>
      </w:r>
      <w:r w:rsidR="00F0732B" w:rsidRPr="00F0732B">
        <w:rPr>
          <w:rFonts w:eastAsia="Times New Roman"/>
          <w:lang w:val="lv-LV"/>
        </w:rPr>
        <w:t>230 049</w:t>
      </w:r>
      <w:r w:rsidRPr="00F0732B">
        <w:rPr>
          <w:rFonts w:eastAsia="Times New Roman"/>
          <w:lang w:val="lv-LV"/>
        </w:rPr>
        <w:t xml:space="preserve"> </w:t>
      </w:r>
      <w:r w:rsidRPr="00F0732B">
        <w:rPr>
          <w:rFonts w:eastAsia="Times New Roman"/>
          <w:i/>
          <w:iCs/>
          <w:lang w:val="lv-LV"/>
        </w:rPr>
        <w:t>euro</w:t>
      </w:r>
      <w:r w:rsidRPr="004C118A">
        <w:rPr>
          <w:rFonts w:eastAsia="Times New Roman"/>
          <w:i/>
          <w:iCs/>
          <w:lang w:val="lv-LV"/>
        </w:rPr>
        <w:t xml:space="preserve"> </w:t>
      </w:r>
      <w:r w:rsidRPr="004C118A">
        <w:rPr>
          <w:rFonts w:eastAsia="Times New Roman"/>
          <w:lang w:val="lv-LV"/>
        </w:rPr>
        <w:t xml:space="preserve">apmērā (vidējā neizpilde 2018. – 2020. gada periodā) uzskatāms par iekšējiem resursiem. Tāpat arī šī prioritārā pasākuma </w:t>
      </w:r>
      <w:r w:rsidRPr="004C118A">
        <w:rPr>
          <w:rFonts w:eastAsia="Times New Roman"/>
          <w:lang w:val="lv-LV"/>
        </w:rPr>
        <w:lastRenderedPageBreak/>
        <w:t>finansējuma izlietojums programmā 30.00.00 “Attīstības nacionālie atbalsta instrumenti” ir mazāks nekā plānots un saskaņā ar VARAM sniegto informāciju par valsts budžeta 2020. gada izpildi prioritārā pasākuma neizpilde ir Covid-19 izraisītās pandēmijas dēļ, jo nebija iespējams doties komandējumos un organizēt publiskos pasākumus. Papildus FM norāda, ka kontaktpunkta funkcijas 2021. gadā jāturpina ministrijas esošās struktūrvienības ietvaros, ņemot vērā, ka, piešķirot finansējumu, netika paredzēta jaunas amata vietas izveide, proti, tā bija jānodrošina, veicot amata vietu pārdali VARAM resorā</w:t>
      </w:r>
      <w:r w:rsidR="00F0732B">
        <w:rPr>
          <w:rFonts w:eastAsia="Times New Roman"/>
          <w:lang w:val="lv-LV"/>
        </w:rPr>
        <w:t xml:space="preserve">. </w:t>
      </w:r>
      <w:r w:rsidR="000352B3" w:rsidRPr="000352B3">
        <w:rPr>
          <w:rFonts w:eastAsia="Times New Roman"/>
          <w:lang w:val="lv-LV"/>
        </w:rPr>
        <w:t xml:space="preserve">Minētā prioritārā pasākuma vidējā neizpilde 2018. – 2020. gada periodā programmā 30.00.00 </w:t>
      </w:r>
      <w:r w:rsidR="000352B3">
        <w:rPr>
          <w:rFonts w:eastAsia="Times New Roman"/>
          <w:lang w:val="lv-LV"/>
        </w:rPr>
        <w:t>“</w:t>
      </w:r>
      <w:r w:rsidR="000352B3" w:rsidRPr="000352B3">
        <w:rPr>
          <w:rFonts w:eastAsia="Times New Roman"/>
          <w:lang w:val="lv-LV"/>
        </w:rPr>
        <w:t>Attīstības nacionālie atbalsta instrumenti”</w:t>
      </w:r>
      <w:r w:rsidR="000352B3">
        <w:rPr>
          <w:rFonts w:eastAsia="Times New Roman"/>
          <w:lang w:val="lv-LV"/>
        </w:rPr>
        <w:t xml:space="preserve"> </w:t>
      </w:r>
      <w:r w:rsidR="000352B3" w:rsidRPr="000352B3">
        <w:rPr>
          <w:rFonts w:eastAsia="Times New Roman"/>
          <w:lang w:val="lv-LV"/>
        </w:rPr>
        <w:t xml:space="preserve">ir 27 725 </w:t>
      </w:r>
      <w:r w:rsidR="000352B3" w:rsidRPr="000352B3">
        <w:rPr>
          <w:rFonts w:eastAsia="Times New Roman"/>
          <w:i/>
          <w:iCs/>
          <w:lang w:val="lv-LV"/>
        </w:rPr>
        <w:t>euro</w:t>
      </w:r>
      <w:r w:rsidR="000352B3" w:rsidRPr="000352B3">
        <w:rPr>
          <w:rFonts w:eastAsia="Times New Roman"/>
          <w:lang w:val="lv-LV"/>
        </w:rPr>
        <w:t>.</w:t>
      </w:r>
      <w:r w:rsidR="000352B3">
        <w:rPr>
          <w:rFonts w:eastAsia="Times New Roman"/>
          <w:lang w:val="lv-LV"/>
        </w:rPr>
        <w:t xml:space="preserve"> </w:t>
      </w:r>
      <w:r w:rsidR="00032E50" w:rsidRPr="00032E50">
        <w:rPr>
          <w:rFonts w:eastAsia="Times New Roman"/>
          <w:lang w:val="lv-LV"/>
        </w:rPr>
        <w:t>VARAM informē</w:t>
      </w:r>
      <w:r w:rsidR="00032E50">
        <w:rPr>
          <w:rFonts w:eastAsia="Times New Roman"/>
          <w:lang w:val="lv-LV"/>
        </w:rPr>
        <w:t>jis</w:t>
      </w:r>
      <w:r w:rsidR="00032E50" w:rsidRPr="00032E50">
        <w:rPr>
          <w:rFonts w:eastAsia="Times New Roman"/>
          <w:lang w:val="lv-LV"/>
        </w:rPr>
        <w:t xml:space="preserve">, ka </w:t>
      </w:r>
      <w:r w:rsidR="00032E50" w:rsidRPr="00032E50">
        <w:rPr>
          <w:lang w:val="lv-LV"/>
        </w:rPr>
        <w:t>programmā 30.00.00 “Attīstības nacionālie atbalsta instrumenti” 2021.</w:t>
      </w:r>
      <w:r w:rsidR="00032E50">
        <w:rPr>
          <w:lang w:val="lv-LV"/>
        </w:rPr>
        <w:t xml:space="preserve"> </w:t>
      </w:r>
      <w:r w:rsidR="00032E50" w:rsidRPr="00032E50">
        <w:rPr>
          <w:lang w:val="lv-LV"/>
        </w:rPr>
        <w:t xml:space="preserve">gadā plānota paredzētā finansējuma izlietošana pilnā apmērā. </w:t>
      </w:r>
      <w:r w:rsidRPr="00F0732B">
        <w:rPr>
          <w:lang w:val="lv-LV"/>
        </w:rPr>
        <w:t>Ņemot</w:t>
      </w:r>
      <w:r w:rsidRPr="004C118A">
        <w:rPr>
          <w:lang w:val="lv-LV"/>
        </w:rPr>
        <w:t xml:space="preserve"> vērā prioritārā pasākuma izpildes rādītājus 2018. – 2020. gada per</w:t>
      </w:r>
      <w:r w:rsidR="006746B5">
        <w:rPr>
          <w:lang w:val="lv-LV"/>
        </w:rPr>
        <w:t>iodā (Attēls</w:t>
      </w:r>
      <w:r w:rsidRPr="004C118A">
        <w:rPr>
          <w:lang w:val="lv-LV"/>
        </w:rPr>
        <w:t xml:space="preserve"> Nr. 3.3.8.) un iepriekš minēto, par potenciāli pieejamiem iekšējiem resursiem turpmāk ik gadu uzskatāmi </w:t>
      </w:r>
      <w:r w:rsidRPr="004C118A">
        <w:rPr>
          <w:b/>
          <w:bCs/>
          <w:lang w:val="lv-LV"/>
        </w:rPr>
        <w:t>257</w:t>
      </w:r>
      <w:r w:rsidR="00F0732B">
        <w:rPr>
          <w:b/>
          <w:bCs/>
          <w:lang w:val="lv-LV"/>
        </w:rPr>
        <w:t> </w:t>
      </w:r>
      <w:r w:rsidRPr="004C118A">
        <w:rPr>
          <w:b/>
          <w:bCs/>
          <w:lang w:val="lv-LV"/>
        </w:rPr>
        <w:t xml:space="preserve">774 </w:t>
      </w:r>
      <w:r w:rsidRPr="004C118A">
        <w:rPr>
          <w:b/>
          <w:bCs/>
          <w:i/>
          <w:iCs/>
          <w:lang w:val="lv-LV"/>
        </w:rPr>
        <w:t>euro</w:t>
      </w:r>
      <w:r w:rsidRPr="004C118A">
        <w:rPr>
          <w:szCs w:val="28"/>
          <w:lang w:val="lv-LV"/>
        </w:rPr>
        <w:t xml:space="preserve">. Tā kā </w:t>
      </w:r>
      <w:r w:rsidRPr="004C118A">
        <w:rPr>
          <w:rFonts w:eastAsia="Times New Roman"/>
          <w:lang w:val="lv-LV"/>
        </w:rPr>
        <w:t xml:space="preserve">diasporas finansējums tika piešķirts prioritāro pasākumu ietvaros kā valsts prioritāte, tad turpmākos gados tas būtu novirzāms citām diasporas aktivitātēm, kurās finansējums ir nepietiekams. </w:t>
      </w:r>
    </w:p>
    <w:p w14:paraId="7FE64277" w14:textId="133F9583" w:rsidR="004C118A" w:rsidRPr="004C118A" w:rsidRDefault="004C118A" w:rsidP="004C118A">
      <w:pPr>
        <w:tabs>
          <w:tab w:val="left" w:pos="1992"/>
        </w:tabs>
        <w:ind w:firstLine="709"/>
        <w:rPr>
          <w:szCs w:val="28"/>
          <w:lang w:val="lv-LV"/>
        </w:rPr>
      </w:pPr>
      <w:r w:rsidRPr="004C118A">
        <w:rPr>
          <w:szCs w:val="28"/>
          <w:lang w:val="lv-LV"/>
        </w:rPr>
        <w:t>VARAM izdevumu pārskatīšanas darba grupas sanāksmē norādīja, ka daļu re</w:t>
      </w:r>
      <w:r w:rsidR="006746B5">
        <w:rPr>
          <w:szCs w:val="28"/>
          <w:lang w:val="lv-LV"/>
        </w:rPr>
        <w:t>e</w:t>
      </w:r>
      <w:r w:rsidRPr="004C118A">
        <w:rPr>
          <w:szCs w:val="28"/>
          <w:lang w:val="lv-LV"/>
        </w:rPr>
        <w:t>migrācijas pasākumu plānots turpmāk īstenot ar SIF starpniecību un daļu novirzīt atbalsta pasākumiem, kurus administrēs plānošanas reģioni.</w:t>
      </w:r>
    </w:p>
    <w:p w14:paraId="3F90BDFA" w14:textId="77777777" w:rsidR="004C118A" w:rsidRPr="004C118A" w:rsidRDefault="004C118A" w:rsidP="004C118A">
      <w:pPr>
        <w:tabs>
          <w:tab w:val="left" w:pos="1992"/>
        </w:tabs>
        <w:spacing w:after="0"/>
        <w:ind w:firstLine="709"/>
        <w:rPr>
          <w:rFonts w:eastAsia="Times New Roman"/>
          <w:b/>
          <w:bCs/>
          <w:color w:val="000000"/>
          <w:sz w:val="16"/>
          <w:szCs w:val="16"/>
          <w:lang w:val="lv-LV"/>
        </w:rPr>
      </w:pPr>
    </w:p>
    <w:bookmarkEnd w:id="38"/>
    <w:p w14:paraId="2ED4E548" w14:textId="77777777" w:rsidR="004C118A" w:rsidRPr="004C118A" w:rsidRDefault="004C118A" w:rsidP="004C118A">
      <w:pPr>
        <w:tabs>
          <w:tab w:val="left" w:pos="1992"/>
        </w:tabs>
        <w:spacing w:after="0" w:line="240" w:lineRule="auto"/>
        <w:jc w:val="center"/>
        <w:rPr>
          <w:b/>
          <w:bCs/>
          <w:sz w:val="22"/>
          <w:lang w:val="lv-LV"/>
        </w:rPr>
      </w:pPr>
      <w:r w:rsidRPr="004C118A">
        <w:rPr>
          <w:b/>
          <w:bCs/>
          <w:i/>
          <w:iCs/>
          <w:sz w:val="22"/>
          <w:lang w:val="lv-LV"/>
        </w:rPr>
        <w:t>3.3.2. tabula</w:t>
      </w:r>
      <w:r w:rsidRPr="004C118A">
        <w:rPr>
          <w:b/>
          <w:bCs/>
          <w:sz w:val="22"/>
          <w:lang w:val="lv-LV"/>
        </w:rPr>
        <w:t xml:space="preserve"> VARAM diasporas atbalsta pasākumu noteiktie darbības rezultatīvie rādītāji 2018. – 2020. gadam</w:t>
      </w:r>
    </w:p>
    <w:tbl>
      <w:tblPr>
        <w:tblpPr w:leftFromText="180" w:rightFromText="180" w:vertAnchor="text" w:horzAnchor="page" w:tblpX="1673" w:tblpY="174"/>
        <w:tblW w:w="5000" w:type="pct"/>
        <w:tblCellMar>
          <w:left w:w="0" w:type="dxa"/>
          <w:right w:w="0" w:type="dxa"/>
        </w:tblCellMar>
        <w:tblLook w:val="0600" w:firstRow="0" w:lastRow="0" w:firstColumn="0" w:lastColumn="0" w:noHBand="1" w:noVBand="1"/>
      </w:tblPr>
      <w:tblGrid>
        <w:gridCol w:w="2605"/>
        <w:gridCol w:w="1058"/>
        <w:gridCol w:w="1058"/>
        <w:gridCol w:w="1060"/>
        <w:gridCol w:w="1058"/>
        <w:gridCol w:w="1133"/>
        <w:gridCol w:w="1089"/>
      </w:tblGrid>
      <w:tr w:rsidR="004C118A" w:rsidRPr="004C118A" w14:paraId="74AF36B2" w14:textId="77777777" w:rsidTr="004C118A">
        <w:trPr>
          <w:trHeight w:val="166"/>
          <w:tblHeader/>
        </w:trPr>
        <w:tc>
          <w:tcPr>
            <w:tcW w:w="1437"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386CBD3E"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Rezultatīvais rādītājs</w:t>
            </w:r>
          </w:p>
        </w:tc>
        <w:tc>
          <w:tcPr>
            <w:tcW w:w="584"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14:paraId="3EA4D54E" w14:textId="2E525501"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2018. gads pl</w:t>
            </w:r>
            <w:r w:rsidR="00C91971">
              <w:rPr>
                <w:b/>
                <w:bCs/>
                <w:sz w:val="20"/>
                <w:szCs w:val="20"/>
                <w:lang w:val="lv-LV"/>
              </w:rPr>
              <w:t>ā</w:t>
            </w:r>
            <w:r w:rsidRPr="004C118A">
              <w:rPr>
                <w:b/>
                <w:bCs/>
                <w:sz w:val="20"/>
                <w:szCs w:val="20"/>
                <w:lang w:val="lv-LV"/>
              </w:rPr>
              <w:t>ns</w:t>
            </w:r>
          </w:p>
        </w:tc>
        <w:tc>
          <w:tcPr>
            <w:tcW w:w="584"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Pr>
          <w:p w14:paraId="5497ECBF"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2018. gads izpilde</w:t>
            </w:r>
          </w:p>
        </w:tc>
        <w:tc>
          <w:tcPr>
            <w:tcW w:w="585"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63624C4D"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2019. gada plāns</w:t>
            </w:r>
          </w:p>
        </w:tc>
        <w:tc>
          <w:tcPr>
            <w:tcW w:w="584"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4D161BE9"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2019. gada izpilde</w:t>
            </w:r>
          </w:p>
        </w:tc>
        <w:tc>
          <w:tcPr>
            <w:tcW w:w="625"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64398FBC"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2020. gada plāns</w:t>
            </w:r>
          </w:p>
        </w:tc>
        <w:tc>
          <w:tcPr>
            <w:tcW w:w="601" w:type="pct"/>
            <w:tcBorders>
              <w:top w:val="single" w:sz="4" w:space="0" w:color="000000"/>
              <w:left w:val="single" w:sz="4" w:space="0" w:color="000000"/>
              <w:bottom w:val="single" w:sz="4" w:space="0" w:color="000000"/>
              <w:right w:val="single" w:sz="4" w:space="0" w:color="000000"/>
            </w:tcBorders>
            <w:shd w:val="clear" w:color="auto" w:fill="D9E2F3" w:themeFill="accent5" w:themeFillTint="33"/>
            <w:tcMar>
              <w:top w:w="15" w:type="dxa"/>
              <w:left w:w="15" w:type="dxa"/>
              <w:bottom w:w="0" w:type="dxa"/>
              <w:right w:w="15" w:type="dxa"/>
            </w:tcMar>
            <w:vAlign w:val="center"/>
            <w:hideMark/>
          </w:tcPr>
          <w:p w14:paraId="0F4C1430" w14:textId="77777777" w:rsidR="004C118A" w:rsidRPr="004C118A" w:rsidRDefault="004C118A" w:rsidP="004C118A">
            <w:pPr>
              <w:tabs>
                <w:tab w:val="left" w:pos="1992"/>
              </w:tabs>
              <w:spacing w:after="0" w:line="240" w:lineRule="auto"/>
              <w:jc w:val="center"/>
              <w:rPr>
                <w:b/>
                <w:bCs/>
                <w:sz w:val="20"/>
                <w:szCs w:val="20"/>
                <w:lang w:val="lv-LV"/>
              </w:rPr>
            </w:pPr>
            <w:r w:rsidRPr="004C118A">
              <w:rPr>
                <w:b/>
                <w:bCs/>
                <w:sz w:val="20"/>
                <w:szCs w:val="20"/>
                <w:lang w:val="lv-LV"/>
              </w:rPr>
              <w:t>2020. gada izpilde</w:t>
            </w:r>
          </w:p>
        </w:tc>
      </w:tr>
      <w:tr w:rsidR="004C118A" w:rsidRPr="004C118A" w14:paraId="5395F2C8" w14:textId="77777777" w:rsidTr="004C118A">
        <w:trPr>
          <w:trHeight w:val="341"/>
        </w:trPr>
        <w:tc>
          <w:tcPr>
            <w:tcW w:w="143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D252E3"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Reģionālo koordinatoru skaits</w:t>
            </w:r>
          </w:p>
        </w:tc>
        <w:tc>
          <w:tcPr>
            <w:tcW w:w="584" w:type="pct"/>
            <w:tcBorders>
              <w:top w:val="single" w:sz="4" w:space="0" w:color="000000"/>
              <w:left w:val="single" w:sz="4" w:space="0" w:color="000000"/>
              <w:bottom w:val="single" w:sz="4" w:space="0" w:color="000000"/>
              <w:right w:val="single" w:sz="4" w:space="0" w:color="000000"/>
            </w:tcBorders>
            <w:vAlign w:val="center"/>
          </w:tcPr>
          <w:p w14:paraId="1FC28AA2"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5</w:t>
            </w:r>
          </w:p>
        </w:tc>
        <w:tc>
          <w:tcPr>
            <w:tcW w:w="584" w:type="pct"/>
            <w:tcBorders>
              <w:top w:val="single" w:sz="4" w:space="0" w:color="000000"/>
              <w:left w:val="single" w:sz="4" w:space="0" w:color="000000"/>
              <w:bottom w:val="single" w:sz="4" w:space="0" w:color="000000"/>
              <w:right w:val="single" w:sz="4" w:space="0" w:color="000000"/>
            </w:tcBorders>
            <w:vAlign w:val="center"/>
          </w:tcPr>
          <w:p w14:paraId="054D3D3A"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5</w:t>
            </w: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3286E9"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5</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6EA0FA"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5</w:t>
            </w:r>
          </w:p>
        </w:tc>
        <w:tc>
          <w:tcPr>
            <w:tcW w:w="62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227083"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5</w:t>
            </w:r>
          </w:p>
        </w:tc>
        <w:tc>
          <w:tcPr>
            <w:tcW w:w="6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431554"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5</w:t>
            </w:r>
          </w:p>
        </w:tc>
      </w:tr>
      <w:tr w:rsidR="004C118A" w:rsidRPr="004C118A" w14:paraId="57A81903" w14:textId="77777777" w:rsidTr="004C118A">
        <w:trPr>
          <w:trHeight w:val="402"/>
        </w:trPr>
        <w:tc>
          <w:tcPr>
            <w:tcW w:w="143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8FD67F"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Kontaktpunktu skaits</w:t>
            </w:r>
          </w:p>
        </w:tc>
        <w:tc>
          <w:tcPr>
            <w:tcW w:w="584" w:type="pct"/>
            <w:tcBorders>
              <w:top w:val="single" w:sz="4" w:space="0" w:color="000000"/>
              <w:left w:val="single" w:sz="4" w:space="0" w:color="000000"/>
              <w:bottom w:val="single" w:sz="4" w:space="0" w:color="000000"/>
              <w:right w:val="single" w:sz="4" w:space="0" w:color="000000"/>
            </w:tcBorders>
            <w:vAlign w:val="center"/>
          </w:tcPr>
          <w:p w14:paraId="3B2498EF"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w:t>
            </w:r>
          </w:p>
        </w:tc>
        <w:tc>
          <w:tcPr>
            <w:tcW w:w="584" w:type="pct"/>
            <w:tcBorders>
              <w:top w:val="single" w:sz="4" w:space="0" w:color="000000"/>
              <w:left w:val="single" w:sz="4" w:space="0" w:color="000000"/>
              <w:bottom w:val="single" w:sz="4" w:space="0" w:color="000000"/>
              <w:right w:val="single" w:sz="4" w:space="0" w:color="000000"/>
            </w:tcBorders>
            <w:vAlign w:val="center"/>
          </w:tcPr>
          <w:p w14:paraId="060BD7A7"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w:t>
            </w:r>
          </w:p>
        </w:tc>
        <w:tc>
          <w:tcPr>
            <w:tcW w:w="58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5CD872"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1</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E8386B"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0</w:t>
            </w:r>
          </w:p>
        </w:tc>
        <w:tc>
          <w:tcPr>
            <w:tcW w:w="62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C96B1E"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1</w:t>
            </w:r>
          </w:p>
        </w:tc>
        <w:tc>
          <w:tcPr>
            <w:tcW w:w="60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1F1652" w14:textId="77777777" w:rsidR="004C118A" w:rsidRPr="004C118A" w:rsidRDefault="004C118A" w:rsidP="004C118A">
            <w:pPr>
              <w:tabs>
                <w:tab w:val="left" w:pos="1992"/>
              </w:tabs>
              <w:spacing w:after="0" w:line="240" w:lineRule="auto"/>
              <w:jc w:val="center"/>
              <w:rPr>
                <w:sz w:val="20"/>
                <w:szCs w:val="20"/>
                <w:lang w:val="lv-LV"/>
              </w:rPr>
            </w:pPr>
            <w:r w:rsidRPr="004C118A">
              <w:rPr>
                <w:sz w:val="20"/>
                <w:szCs w:val="20"/>
                <w:lang w:val="lv-LV"/>
              </w:rPr>
              <w:t>0</w:t>
            </w:r>
          </w:p>
        </w:tc>
      </w:tr>
    </w:tbl>
    <w:p w14:paraId="66D45E08" w14:textId="77777777" w:rsidR="004C118A" w:rsidRPr="004C118A" w:rsidRDefault="004C118A" w:rsidP="004C118A">
      <w:pPr>
        <w:pStyle w:val="NormalWeb"/>
        <w:spacing w:before="0" w:beforeAutospacing="0" w:after="120" w:afterAutospacing="0"/>
        <w:textAlignment w:val="baseline"/>
        <w:rPr>
          <w:rFonts w:eastAsia="Verdana"/>
          <w:b/>
          <w:bCs/>
          <w:i/>
          <w:color w:val="000000" w:themeColor="text1"/>
          <w:kern w:val="24"/>
          <w:lang w:val="lv-LV"/>
        </w:rPr>
      </w:pPr>
      <w:bookmarkStart w:id="39" w:name="_Ref70432718"/>
    </w:p>
    <w:p w14:paraId="7C283FDB" w14:textId="77777777" w:rsidR="004C118A" w:rsidRPr="004C118A" w:rsidRDefault="004C118A" w:rsidP="004C118A">
      <w:pPr>
        <w:pStyle w:val="NormalWeb"/>
        <w:spacing w:before="0" w:beforeAutospacing="0" w:after="120" w:afterAutospacing="0"/>
        <w:jc w:val="center"/>
        <w:textAlignment w:val="baseline"/>
        <w:rPr>
          <w:rFonts w:eastAsia="Verdana"/>
          <w:b/>
          <w:bCs/>
          <w:i/>
          <w:iCs/>
          <w:color w:val="000000" w:themeColor="text1"/>
          <w:kern w:val="24"/>
          <w:sz w:val="22"/>
          <w:szCs w:val="22"/>
          <w:lang w:val="lv-LV"/>
        </w:rPr>
      </w:pPr>
      <w:r w:rsidRPr="004C118A">
        <w:rPr>
          <w:rFonts w:eastAsia="Verdana"/>
          <w:b/>
          <w:bCs/>
          <w:i/>
          <w:color w:val="000000" w:themeColor="text1"/>
          <w:kern w:val="24"/>
          <w:sz w:val="22"/>
          <w:szCs w:val="22"/>
          <w:lang w:val="lv-LV"/>
        </w:rPr>
        <w:t>3.3.8. attēls</w:t>
      </w:r>
      <w:r w:rsidRPr="004C118A">
        <w:rPr>
          <w:rFonts w:eastAsia="Verdana"/>
          <w:b/>
          <w:bCs/>
          <w:color w:val="000000" w:themeColor="text1"/>
          <w:kern w:val="24"/>
          <w:sz w:val="22"/>
          <w:szCs w:val="22"/>
          <w:lang w:val="lv-LV"/>
        </w:rPr>
        <w:t xml:space="preserve"> VARAM diasporas atbalstam paredzētā finansējuma izlietojums 2018. – 2023. gadam, </w:t>
      </w:r>
      <w:r w:rsidRPr="004C118A">
        <w:rPr>
          <w:rFonts w:eastAsia="Verdana"/>
          <w:b/>
          <w:bCs/>
          <w:i/>
          <w:iCs/>
          <w:color w:val="000000" w:themeColor="text1"/>
          <w:kern w:val="24"/>
          <w:sz w:val="22"/>
          <w:szCs w:val="22"/>
          <w:lang w:val="lv-LV"/>
        </w:rPr>
        <w:t>euro</w:t>
      </w:r>
    </w:p>
    <w:p w14:paraId="2F26A46E" w14:textId="77777777" w:rsidR="004C118A" w:rsidRPr="004C118A" w:rsidRDefault="004C118A" w:rsidP="004C118A">
      <w:pPr>
        <w:pStyle w:val="NormalWeb"/>
        <w:spacing w:before="0" w:beforeAutospacing="0" w:after="120" w:afterAutospacing="0"/>
        <w:jc w:val="center"/>
        <w:textAlignment w:val="baseline"/>
        <w:rPr>
          <w:rStyle w:val="CommentReference"/>
          <w:lang w:val="lv-LV"/>
        </w:rPr>
      </w:pPr>
      <w:r w:rsidRPr="004C118A">
        <w:rPr>
          <w:noProof/>
          <w:lang w:val="lv-LV" w:eastAsia="lv-LV"/>
        </w:rPr>
        <w:drawing>
          <wp:inline distT="0" distB="0" distL="0" distR="0" wp14:anchorId="0DE1BABE" wp14:editId="27C5D6A1">
            <wp:extent cx="5760085" cy="3000375"/>
            <wp:effectExtent l="0" t="0" r="12065" b="9525"/>
            <wp:docPr id="87" name="Chart 87">
              <a:extLst xmlns:a="http://schemas.openxmlformats.org/drawingml/2006/main">
                <a:ext uri="{FF2B5EF4-FFF2-40B4-BE49-F238E27FC236}">
                  <a16:creationId xmlns:a16="http://schemas.microsoft.com/office/drawing/2014/main" id="{E9D8D774-A314-4B90-ABA6-8137A8AF3F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333624B0" w14:textId="03BF8030" w:rsidR="004C118A" w:rsidRPr="004C118A" w:rsidRDefault="004C118A" w:rsidP="006746B5">
      <w:pPr>
        <w:pStyle w:val="NormalWeb"/>
        <w:spacing w:before="0" w:beforeAutospacing="0" w:after="120" w:afterAutospacing="0" w:line="259" w:lineRule="auto"/>
        <w:ind w:firstLine="720"/>
        <w:jc w:val="both"/>
        <w:textAlignment w:val="baseline"/>
        <w:rPr>
          <w:lang w:val="lv-LV"/>
        </w:rPr>
      </w:pPr>
      <w:r w:rsidRPr="004C118A">
        <w:rPr>
          <w:b/>
          <w:bCs/>
          <w:lang w:val="lv-LV"/>
        </w:rPr>
        <w:lastRenderedPageBreak/>
        <w:t xml:space="preserve">IZM </w:t>
      </w:r>
      <w:r w:rsidRPr="004C118A">
        <w:rPr>
          <w:lang w:val="lv-LV"/>
        </w:rPr>
        <w:t>kā galvenos diasporas atbalsta pasākuma mērķus norādījusi –</w:t>
      </w:r>
      <w:r w:rsidR="00FF342C">
        <w:rPr>
          <w:lang w:val="lv-LV"/>
        </w:rPr>
        <w:t xml:space="preserve"> </w:t>
      </w:r>
      <w:r w:rsidRPr="004C118A">
        <w:rPr>
          <w:lang w:val="lv-LV"/>
        </w:rPr>
        <w:t>atbalsta sniegšana latviešu valodas un kultūras apguvei diasporā, ārvalstu augstskolās, sabiedrības informēšana, reemigrācijas veicināšana, mācību, informatīvo un metodisko materiālu nodrošināšana diasporai, atbalsta sniegšana lektoriem un skolotājiem, ārzemēs dzīvojošo Latvijai piederīgo identitātes uzturēšana u.c. Lai arī šo mērķu sasniegšanā IZM vidējā izpilde 2015. – 2020. gada periodā bija 98</w:t>
      </w:r>
      <w:r w:rsidR="006746B5">
        <w:rPr>
          <w:lang w:val="lv-LV"/>
        </w:rPr>
        <w:t>% no plānotā finansējuma (Attēls</w:t>
      </w:r>
      <w:r w:rsidRPr="004C118A">
        <w:rPr>
          <w:lang w:val="lv-LV"/>
        </w:rPr>
        <w:t xml:space="preserve"> Nr. 3.3.9.), tomēr turpmāk ik gadu </w:t>
      </w:r>
      <w:r w:rsidRPr="004C118A">
        <w:rPr>
          <w:b/>
          <w:bCs/>
          <w:lang w:val="lv-LV"/>
        </w:rPr>
        <w:t>25 164 </w:t>
      </w:r>
      <w:r w:rsidRPr="004C118A">
        <w:rPr>
          <w:b/>
          <w:bCs/>
          <w:i/>
          <w:iCs/>
          <w:lang w:val="lv-LV"/>
        </w:rPr>
        <w:t>euro</w:t>
      </w:r>
      <w:r w:rsidRPr="004C118A">
        <w:rPr>
          <w:i/>
          <w:iCs/>
          <w:lang w:val="lv-LV"/>
        </w:rPr>
        <w:t xml:space="preserve"> </w:t>
      </w:r>
      <w:r w:rsidRPr="004C118A">
        <w:rPr>
          <w:lang w:val="lv-LV"/>
        </w:rPr>
        <w:t xml:space="preserve">uzskatāmi par potenciāli pieejamiem iekšējiem resursiem. IZM izdevumu pārskatīšanas darba grupas sanāksmē norādīja, ka 2018. gada neizpildi galvenokārt saistīta ar organizēto Diasporas izglītotāju forumu, kurš tika organizēts 100 dalībniekiem, plānoto 200 dalībnieku vietā, kā arī līdzdalības līgumi par mācību materiālu par latviskām tradīcijām izstrādi tika noslēgti mazākā apmērā nekā plānots, savukārt 2020. gada neizpilde galvenokārt skaidrojama ar ārkārtas situāciju valstī un to, ka klātienes pasākumi tika pārplānoti neklātienes formā. Kā arī IZM norādīja, ka, lai organizētu dienas nometnes </w:t>
      </w:r>
      <w:r w:rsidR="006746B5" w:rsidRPr="004C118A">
        <w:rPr>
          <w:lang w:val="lv-LV"/>
        </w:rPr>
        <w:t>reemigrantu</w:t>
      </w:r>
      <w:r w:rsidRPr="004C118A">
        <w:rPr>
          <w:lang w:val="lv-LV"/>
        </w:rPr>
        <w:t xml:space="preserve"> ģimenēm, veiktu informatīvo ceļvežu pilnveidi </w:t>
      </w:r>
      <w:r w:rsidR="006746B5" w:rsidRPr="004C118A">
        <w:rPr>
          <w:lang w:val="lv-LV"/>
        </w:rPr>
        <w:t>reemigrantiem</w:t>
      </w:r>
      <w:r w:rsidRPr="004C118A">
        <w:rPr>
          <w:lang w:val="lv-LV"/>
        </w:rPr>
        <w:t xml:space="preserve"> un organizētu latviešu valodas nodarbības tiešsaistē remigrējušiem skolēniem vai skolēniem, kuru ģimenes gatavojas remigrēt, 2022. gadā nepieciešams papildu finansējums 100 136 </w:t>
      </w:r>
      <w:r w:rsidRPr="004C118A">
        <w:rPr>
          <w:i/>
          <w:iCs/>
          <w:lang w:val="lv-LV"/>
        </w:rPr>
        <w:t xml:space="preserve">euro </w:t>
      </w:r>
      <w:r w:rsidRPr="004C118A">
        <w:rPr>
          <w:lang w:val="lv-LV"/>
        </w:rPr>
        <w:t xml:space="preserve">apmērā, savukārt 2023. gadā papildu nepieciešami 88 636 </w:t>
      </w:r>
      <w:r w:rsidRPr="004C118A">
        <w:rPr>
          <w:i/>
          <w:iCs/>
          <w:lang w:val="lv-LV"/>
        </w:rPr>
        <w:t>euro</w:t>
      </w:r>
      <w:r w:rsidRPr="004C118A">
        <w:rPr>
          <w:lang w:val="lv-LV"/>
        </w:rPr>
        <w:t xml:space="preserve">. </w:t>
      </w:r>
    </w:p>
    <w:bookmarkEnd w:id="39"/>
    <w:p w14:paraId="3F2A3919" w14:textId="77777777" w:rsidR="004C118A" w:rsidRPr="004C118A" w:rsidRDefault="004C118A" w:rsidP="004C118A">
      <w:pPr>
        <w:pStyle w:val="NormalWeb"/>
        <w:spacing w:before="0" w:beforeAutospacing="0" w:after="120" w:afterAutospacing="0"/>
        <w:jc w:val="center"/>
        <w:textAlignment w:val="baseline"/>
        <w:rPr>
          <w:rFonts w:eastAsia="Verdana"/>
          <w:b/>
          <w:bCs/>
          <w:i/>
          <w:iCs/>
          <w:color w:val="000000" w:themeColor="text1"/>
          <w:kern w:val="24"/>
          <w:sz w:val="22"/>
          <w:szCs w:val="22"/>
          <w:lang w:val="lv-LV"/>
        </w:rPr>
      </w:pPr>
      <w:r w:rsidRPr="004C118A">
        <w:rPr>
          <w:rFonts w:eastAsia="Verdana"/>
          <w:b/>
          <w:bCs/>
          <w:i/>
          <w:iCs/>
          <w:color w:val="000000" w:themeColor="text1"/>
          <w:kern w:val="24"/>
          <w:sz w:val="22"/>
          <w:szCs w:val="22"/>
          <w:lang w:val="lv-LV"/>
        </w:rPr>
        <w:t>3.3.9. attēls</w:t>
      </w:r>
      <w:r w:rsidRPr="004C118A">
        <w:rPr>
          <w:rFonts w:eastAsia="Verdana"/>
          <w:b/>
          <w:bCs/>
          <w:color w:val="000000" w:themeColor="text1"/>
          <w:kern w:val="24"/>
          <w:sz w:val="22"/>
          <w:szCs w:val="22"/>
          <w:lang w:val="lv-LV"/>
        </w:rPr>
        <w:t xml:space="preserve"> Izglītības un zinātnes ministrijas diasporas atbalstam paredzētā finansējuma izlietojums 2015. – 2023. gadam, </w:t>
      </w:r>
      <w:r w:rsidRPr="004C118A">
        <w:rPr>
          <w:rFonts w:eastAsia="Verdana"/>
          <w:b/>
          <w:bCs/>
          <w:i/>
          <w:iCs/>
          <w:color w:val="000000" w:themeColor="text1"/>
          <w:kern w:val="24"/>
          <w:sz w:val="22"/>
          <w:szCs w:val="22"/>
          <w:lang w:val="lv-LV"/>
        </w:rPr>
        <w:t>euro</w:t>
      </w:r>
    </w:p>
    <w:p w14:paraId="51DD40A8" w14:textId="77777777" w:rsidR="004C118A" w:rsidRPr="004C118A" w:rsidRDefault="004C118A" w:rsidP="004C118A">
      <w:pPr>
        <w:pStyle w:val="NormalWeb"/>
        <w:spacing w:before="0" w:beforeAutospacing="0" w:after="120" w:afterAutospacing="0"/>
        <w:jc w:val="center"/>
        <w:textAlignment w:val="baseline"/>
        <w:rPr>
          <w:rFonts w:eastAsia="Verdana"/>
          <w:b/>
          <w:bCs/>
          <w:color w:val="000000" w:themeColor="text1"/>
          <w:kern w:val="24"/>
          <w:sz w:val="22"/>
          <w:szCs w:val="22"/>
          <w:lang w:val="lv-LV"/>
        </w:rPr>
      </w:pPr>
      <w:r w:rsidRPr="004C118A">
        <w:rPr>
          <w:noProof/>
          <w:lang w:val="lv-LV" w:eastAsia="lv-LV"/>
        </w:rPr>
        <w:drawing>
          <wp:inline distT="0" distB="0" distL="0" distR="0" wp14:anchorId="6BC79C87" wp14:editId="63CCD02A">
            <wp:extent cx="5760085" cy="3543300"/>
            <wp:effectExtent l="0" t="0" r="12065" b="0"/>
            <wp:docPr id="88" name="Chart 88">
              <a:extLst xmlns:a="http://schemas.openxmlformats.org/drawingml/2006/main">
                <a:ext uri="{FF2B5EF4-FFF2-40B4-BE49-F238E27FC236}">
                  <a16:creationId xmlns:a16="http://schemas.microsoft.com/office/drawing/2014/main" id="{AE1D9911-4AF1-46A6-9F2D-9E4E9EDFF8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133895EC" w14:textId="4A88C0CC" w:rsidR="00534237" w:rsidRPr="00B66244" w:rsidRDefault="004C118A" w:rsidP="00B66244">
      <w:pPr>
        <w:spacing w:before="120"/>
        <w:ind w:firstLine="709"/>
        <w:rPr>
          <w:lang w:val="lv-LV"/>
        </w:rPr>
      </w:pPr>
      <w:r w:rsidRPr="004C118A">
        <w:rPr>
          <w:b/>
          <w:bCs/>
          <w:lang w:val="lv-LV"/>
        </w:rPr>
        <w:t xml:space="preserve">KM </w:t>
      </w:r>
      <w:r w:rsidRPr="004C118A">
        <w:rPr>
          <w:lang w:val="lv-LV"/>
        </w:rPr>
        <w:t>atbalsta dažādu diasporas kultūras pasākumu norisi, t.sk. diasporas saietus Latvijā, Eiropā, ASV un Austrālijā, diasporas kopienu centrus, diasporas un Latvijas bērnu kopējās nometnes u.c.</w:t>
      </w:r>
      <w:r w:rsidRPr="004C118A">
        <w:rPr>
          <w:b/>
          <w:bCs/>
          <w:lang w:val="lv-LV"/>
        </w:rPr>
        <w:t xml:space="preserve"> </w:t>
      </w:r>
      <w:r w:rsidRPr="004C118A">
        <w:rPr>
          <w:lang w:val="lv-LV"/>
        </w:rPr>
        <w:t>Lai nodrošinātu diasporas pasākumu atbalstu, laika periodā no</w:t>
      </w:r>
      <w:r w:rsidR="006746B5">
        <w:rPr>
          <w:lang w:val="lv-LV"/>
        </w:rPr>
        <w:t xml:space="preserve"> </w:t>
      </w:r>
      <w:r w:rsidRPr="004C118A">
        <w:rPr>
          <w:lang w:val="lv-LV"/>
        </w:rPr>
        <w:t>2015. – 2020. gadam vidēji KM ir izlietojusi 94% no plānotā finansējuma (</w:t>
      </w:r>
      <w:r w:rsidR="006746B5">
        <w:rPr>
          <w:lang w:val="lv-LV"/>
        </w:rPr>
        <w:t>Attēls</w:t>
      </w:r>
      <w:r w:rsidRPr="004C118A">
        <w:rPr>
          <w:lang w:val="lv-LV"/>
        </w:rPr>
        <w:t xml:space="preserve"> Nr. 3.3.10), vairums pasākumu nodrošināts ar mazāku finansējuma apjomu, turklāt Plānā darbam ar diasporu 2022. gadā, norādot papildu nepieciešamo finansējumu 81 000 </w:t>
      </w:r>
      <w:r w:rsidRPr="004C118A">
        <w:rPr>
          <w:i/>
          <w:iCs/>
          <w:lang w:val="lv-LV"/>
        </w:rPr>
        <w:t>euro</w:t>
      </w:r>
      <w:r w:rsidRPr="004C118A">
        <w:rPr>
          <w:lang w:val="lv-LV"/>
        </w:rPr>
        <w:t xml:space="preserve"> un 2023. gadā 366 000 </w:t>
      </w:r>
      <w:r w:rsidRPr="004C118A">
        <w:rPr>
          <w:i/>
          <w:iCs/>
          <w:lang w:val="lv-LV"/>
        </w:rPr>
        <w:t>euro</w:t>
      </w:r>
      <w:r w:rsidRPr="004C118A">
        <w:rPr>
          <w:lang w:val="lv-LV"/>
        </w:rPr>
        <w:t xml:space="preserve"> apmērā. Ņemot vērā finansējuma atlikumu laika periodā no 2015. – 2020. gadam, 2022. – 2023. gadam potenciāli pieejamie iekšējie resursi </w:t>
      </w:r>
      <w:r w:rsidRPr="004C118A">
        <w:rPr>
          <w:b/>
          <w:bCs/>
          <w:lang w:val="lv-LV"/>
        </w:rPr>
        <w:t xml:space="preserve">53 590 </w:t>
      </w:r>
      <w:r w:rsidRPr="004C118A">
        <w:rPr>
          <w:b/>
          <w:bCs/>
          <w:i/>
          <w:iCs/>
          <w:lang w:val="lv-LV"/>
        </w:rPr>
        <w:t>euro</w:t>
      </w:r>
      <w:r w:rsidRPr="004C118A">
        <w:rPr>
          <w:lang w:val="lv-LV"/>
        </w:rPr>
        <w:t xml:space="preserve"> ik gadu.</w:t>
      </w:r>
      <w:r w:rsidR="006B3086">
        <w:rPr>
          <w:lang w:val="lv-LV"/>
        </w:rPr>
        <w:t xml:space="preserve"> </w:t>
      </w:r>
      <w:r w:rsidR="006B3086" w:rsidRPr="006B3086">
        <w:rPr>
          <w:lang w:val="lv-LV"/>
        </w:rPr>
        <w:t xml:space="preserve">Tā kā diasporas finansējums </w:t>
      </w:r>
      <w:r w:rsidR="006B3086" w:rsidRPr="006B3086">
        <w:rPr>
          <w:lang w:val="lv-LV"/>
        </w:rPr>
        <w:lastRenderedPageBreak/>
        <w:t>tika piešķirts prioritāro pasākumu ietvaros kā valsts prioritāte, tad turpmākos gados tas būtu novirzāms citām diasporas aktivitātēm, kurās finansējums ir nepietiekams.</w:t>
      </w:r>
    </w:p>
    <w:p w14:paraId="5A48F2D8" w14:textId="77777777" w:rsidR="004C118A" w:rsidRPr="004C118A" w:rsidRDefault="004C118A" w:rsidP="004C118A">
      <w:pPr>
        <w:jc w:val="center"/>
        <w:rPr>
          <w:rFonts w:eastAsia="Verdana"/>
          <w:b/>
          <w:bCs/>
          <w:i/>
          <w:iCs/>
          <w:color w:val="000000" w:themeColor="text1"/>
          <w:kern w:val="24"/>
          <w:sz w:val="22"/>
          <w:lang w:val="lv-LV"/>
        </w:rPr>
      </w:pPr>
      <w:r w:rsidRPr="004C118A">
        <w:rPr>
          <w:rFonts w:eastAsia="Verdana"/>
          <w:b/>
          <w:bCs/>
          <w:i/>
          <w:iCs/>
          <w:color w:val="000000" w:themeColor="text1"/>
          <w:kern w:val="24"/>
          <w:sz w:val="22"/>
          <w:lang w:val="lv-LV"/>
        </w:rPr>
        <w:t>3.3.10. attēls</w:t>
      </w:r>
      <w:r w:rsidRPr="004C118A">
        <w:rPr>
          <w:rFonts w:eastAsia="Verdana"/>
          <w:b/>
          <w:bCs/>
          <w:color w:val="000000" w:themeColor="text1"/>
          <w:kern w:val="24"/>
          <w:sz w:val="22"/>
          <w:lang w:val="lv-LV"/>
        </w:rPr>
        <w:t xml:space="preserve"> Kultūras ministrijas diasporas atbalstam paredzētā finansējuma izlietojums 2015. – 2023. gadam, </w:t>
      </w:r>
      <w:r w:rsidRPr="004C118A">
        <w:rPr>
          <w:rFonts w:eastAsia="Verdana"/>
          <w:b/>
          <w:bCs/>
          <w:i/>
          <w:iCs/>
          <w:color w:val="000000" w:themeColor="text1"/>
          <w:kern w:val="24"/>
          <w:sz w:val="22"/>
          <w:lang w:val="lv-LV"/>
        </w:rPr>
        <w:t>euro</w:t>
      </w:r>
    </w:p>
    <w:p w14:paraId="3B992695" w14:textId="77777777" w:rsidR="004C118A" w:rsidRPr="004C118A" w:rsidRDefault="004C118A" w:rsidP="004C118A">
      <w:pPr>
        <w:jc w:val="center"/>
        <w:rPr>
          <w:sz w:val="22"/>
          <w:highlight w:val="yellow"/>
          <w:lang w:val="lv-LV"/>
        </w:rPr>
      </w:pPr>
      <w:r w:rsidRPr="004C118A">
        <w:rPr>
          <w:noProof/>
          <w:lang w:val="lv-LV" w:eastAsia="lv-LV"/>
        </w:rPr>
        <w:drawing>
          <wp:inline distT="0" distB="0" distL="0" distR="0" wp14:anchorId="435AD577" wp14:editId="342332A8">
            <wp:extent cx="5760085" cy="3133725"/>
            <wp:effectExtent l="0" t="0" r="12065" b="9525"/>
            <wp:docPr id="89" name="Chart 89">
              <a:extLst xmlns:a="http://schemas.openxmlformats.org/drawingml/2006/main">
                <a:ext uri="{FF2B5EF4-FFF2-40B4-BE49-F238E27FC236}">
                  <a16:creationId xmlns:a16="http://schemas.microsoft.com/office/drawing/2014/main" id="{2A67C580-3BFD-4BFD-8F9C-5AEA7AAB9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7D69E962" w14:textId="77777777" w:rsidR="004C118A" w:rsidRPr="004C118A" w:rsidRDefault="004C118A" w:rsidP="004C118A">
      <w:pPr>
        <w:spacing w:before="240"/>
        <w:ind w:firstLine="709"/>
        <w:rPr>
          <w:b/>
          <w:lang w:val="lv-LV"/>
        </w:rPr>
      </w:pPr>
      <w:r w:rsidRPr="004C118A">
        <w:rPr>
          <w:lang w:val="lv-LV"/>
        </w:rPr>
        <w:tab/>
      </w:r>
      <w:r w:rsidRPr="004C118A">
        <w:rPr>
          <w:b/>
          <w:lang w:val="lv-LV"/>
        </w:rPr>
        <w:t>Secinājums:</w:t>
      </w:r>
    </w:p>
    <w:p w14:paraId="632B4AD6" w14:textId="77777777" w:rsidR="004C118A" w:rsidRPr="004C118A" w:rsidRDefault="004C118A" w:rsidP="006746B5">
      <w:pPr>
        <w:ind w:firstLine="709"/>
        <w:rPr>
          <w:b/>
          <w:bCs/>
          <w:lang w:val="lv-LV"/>
        </w:rPr>
      </w:pPr>
      <w:r w:rsidRPr="004C118A">
        <w:rPr>
          <w:lang w:val="lv-LV"/>
        </w:rPr>
        <w:t xml:space="preserve">Kopumā veiktās diasporas pasākumu īstenošanai piešķirtā finansējuma analīzes ietvaros konstatēts potenciālais pieejamais iekšējais resurss 2022. – 2023. gadam </w:t>
      </w:r>
      <w:r w:rsidRPr="004C118A">
        <w:rPr>
          <w:b/>
          <w:bCs/>
          <w:lang w:val="lv-LV"/>
        </w:rPr>
        <w:t>566 047</w:t>
      </w:r>
      <w:r w:rsidRPr="004C118A">
        <w:rPr>
          <w:lang w:val="lv-LV"/>
        </w:rPr>
        <w:t xml:space="preserve"> </w:t>
      </w:r>
      <w:r w:rsidRPr="004C118A">
        <w:rPr>
          <w:b/>
          <w:bCs/>
          <w:i/>
          <w:iCs/>
          <w:lang w:val="lv-LV"/>
        </w:rPr>
        <w:t>euro</w:t>
      </w:r>
      <w:r w:rsidRPr="004C118A">
        <w:rPr>
          <w:lang w:val="lv-LV"/>
        </w:rPr>
        <w:t xml:space="preserve"> apmērā ik gadu.</w:t>
      </w:r>
    </w:p>
    <w:p w14:paraId="3A0B983F" w14:textId="2BC9B995" w:rsidR="004C118A" w:rsidRDefault="004C118A" w:rsidP="004C118A">
      <w:pPr>
        <w:rPr>
          <w:lang w:val="lv-LV"/>
        </w:rPr>
      </w:pPr>
    </w:p>
    <w:p w14:paraId="74E14717" w14:textId="50726D2A" w:rsidR="00471534" w:rsidRPr="00DB34D6" w:rsidRDefault="00DB34D6" w:rsidP="004C1C06">
      <w:pPr>
        <w:pStyle w:val="Heading2"/>
        <w:numPr>
          <w:ilvl w:val="1"/>
          <w:numId w:val="52"/>
        </w:numPr>
      </w:pPr>
      <w:bookmarkStart w:id="40" w:name="_Toc80178419"/>
      <w:r w:rsidRPr="00DB34D6">
        <w:t>Izdienas pensiju</w:t>
      </w:r>
      <w:r>
        <w:t xml:space="preserve"> sistēmas ilgtspējas analīze</w:t>
      </w:r>
      <w:bookmarkEnd w:id="40"/>
    </w:p>
    <w:p w14:paraId="2F55D632" w14:textId="77777777" w:rsidR="00DB34D6" w:rsidRDefault="00DB34D6" w:rsidP="00DB34D6">
      <w:pPr>
        <w:spacing w:before="120"/>
        <w:ind w:firstLine="720"/>
        <w:rPr>
          <w:lang w:val="lv-LV"/>
        </w:rPr>
      </w:pPr>
      <w:r w:rsidRPr="00DB34D6">
        <w:rPr>
          <w:lang w:val="lv-LV"/>
        </w:rPr>
        <w:t>No 1998.</w:t>
      </w:r>
      <w:r>
        <w:rPr>
          <w:lang w:val="lv-LV"/>
        </w:rPr>
        <w:t xml:space="preserve"> </w:t>
      </w:r>
      <w:r w:rsidRPr="00DB34D6">
        <w:rPr>
          <w:lang w:val="lv-LV"/>
        </w:rPr>
        <w:t xml:space="preserve">gada, kad faktiski tika ieviesta esošā izdienas pensiju sistēma ir notikušas būtiskas pārmaiņas Latvijas tautsaimniecībā un sociālās apdrošināšanas sistēmā. Latvija ir saskārusies ar darbaspēka iztrūkumu plašā spektrā tautsaimniecības nozaru un, ņemot vērā demogrāfijas tendences, nav pamata uzskatīt, ka šie riski nepastāvēs arī nākotnē, līdz ar to ir nepieciešams veidot vairākas politikas formā, kas iespējami veicina personu iesaisti darba tirgū un darba mūža pagarināšanu. </w:t>
      </w:r>
    </w:p>
    <w:p w14:paraId="4D109567" w14:textId="77777777" w:rsidR="0085361E" w:rsidRDefault="00DB34D6" w:rsidP="00DB34D6">
      <w:pPr>
        <w:spacing w:before="120"/>
        <w:ind w:firstLine="720"/>
        <w:rPr>
          <w:lang w:val="lv-LV"/>
        </w:rPr>
      </w:pPr>
      <w:r w:rsidRPr="00DB34D6">
        <w:rPr>
          <w:lang w:val="lv-LV"/>
        </w:rPr>
        <w:t xml:space="preserve">Lai novērstu un mazinātu dažādus riskus, ar ko var saskarties strādājošie, t.sk. profesionālo iemaņu zudums un mainīga tautsaimniecības struktūra, Latvijā ir būtiski attīstījusies gan sociālās apdrošināšanas sistēma, gan nodarbinātības atbalsta mehānismi, piemēram, pārkvalifikācijas iespējas un mūžizglītības pasākumi, apdrošināšana pret nelaimes gadījumiem darbā un arodslimībām, zaudēto ienākumu kompensēšana, ja iestājas nepārejošs darbspēju zudums vai invaliditāte, pensiju sistēmas attīstība un iespēja uzkrāt līdzekļus pensiju 3.līmenī. </w:t>
      </w:r>
    </w:p>
    <w:p w14:paraId="6BDCF36C" w14:textId="44E03491" w:rsidR="00DB34D6" w:rsidRPr="00DB34D6" w:rsidRDefault="0085361E" w:rsidP="00DB34D6">
      <w:pPr>
        <w:spacing w:before="120"/>
        <w:ind w:firstLine="720"/>
        <w:rPr>
          <w:lang w:val="lv-LV"/>
        </w:rPr>
      </w:pPr>
      <w:r>
        <w:rPr>
          <w:lang w:val="lv-LV"/>
        </w:rPr>
        <w:t xml:space="preserve">Tāpat, </w:t>
      </w:r>
      <w:r w:rsidR="00DB34D6" w:rsidRPr="00DB34D6">
        <w:rPr>
          <w:lang w:val="lv-LV"/>
        </w:rPr>
        <w:t xml:space="preserve">atbilstoši </w:t>
      </w:r>
      <w:r w:rsidR="003C1E35">
        <w:rPr>
          <w:lang w:val="lv-LV"/>
        </w:rPr>
        <w:t>VKo</w:t>
      </w:r>
      <w:r w:rsidR="00DB34D6" w:rsidRPr="00DB34D6">
        <w:rPr>
          <w:lang w:val="lv-LV"/>
        </w:rPr>
        <w:t xml:space="preserve"> aplēsēm, ikgadējie valsts budžeta izdevumi izdienas pensijām pārsniedz 75 miljonus </w:t>
      </w:r>
      <w:r w:rsidR="00DB34D6" w:rsidRPr="00DB34D6">
        <w:rPr>
          <w:i/>
          <w:lang w:val="lv-LV"/>
        </w:rPr>
        <w:t>euro</w:t>
      </w:r>
      <w:r w:rsidR="00DB34D6" w:rsidRPr="00DB34D6">
        <w:rPr>
          <w:lang w:val="lv-LV"/>
        </w:rPr>
        <w:t xml:space="preserve"> gadā, savukārt nākotnes saistības, kuras valsts ir uzņēmusies izdienas pensiju nodrošināšanai, sasniedz 4,5 miljardus </w:t>
      </w:r>
      <w:r w:rsidR="00DB34D6" w:rsidRPr="00DB34D6">
        <w:rPr>
          <w:i/>
          <w:lang w:val="lv-LV"/>
        </w:rPr>
        <w:t>euro</w:t>
      </w:r>
      <w:r w:rsidR="00DB34D6" w:rsidRPr="00DB34D6">
        <w:rPr>
          <w:lang w:val="lv-LV"/>
        </w:rPr>
        <w:t xml:space="preserve">. Līdz ar to, lai nodrošinātu </w:t>
      </w:r>
      <w:r w:rsidR="00DB34D6" w:rsidRPr="00DB34D6">
        <w:rPr>
          <w:lang w:val="lv-LV"/>
        </w:rPr>
        <w:lastRenderedPageBreak/>
        <w:t>ilgtspējīgu, taisnīgu un fiskāli atbildīgu izdienas pensiju sistēmu, ir nepieciešams pilnībā pārskatīt esošo sistēmu un nodrošināt centralizētu pieeju izdienas pensiju politikas un normatīvā regulējuma izstrādē, ievērojot šādus principus:</w:t>
      </w:r>
    </w:p>
    <w:p w14:paraId="1BDCEC9F" w14:textId="24A27982" w:rsidR="0085361E" w:rsidRPr="0085361E" w:rsidRDefault="00DB34D6" w:rsidP="004C1C06">
      <w:pPr>
        <w:pStyle w:val="ListParagraph"/>
        <w:numPr>
          <w:ilvl w:val="0"/>
          <w:numId w:val="50"/>
        </w:numPr>
        <w:spacing w:before="120"/>
        <w:ind w:left="426" w:hanging="426"/>
        <w:contextualSpacing w:val="0"/>
        <w:rPr>
          <w:lang w:val="lv-LV"/>
        </w:rPr>
      </w:pPr>
      <w:r w:rsidRPr="0085361E">
        <w:rPr>
          <w:lang w:val="lv-LV"/>
        </w:rPr>
        <w:t>nodrošināt izdienas pensiju sistēmai pakļauto profesiju pārstāvjiem, kas šobrīd saņem izdienas pensiju vai ir uzkrājuši būtisku izdienas stāžu, tiesisko paļāvību, neattiecinot uz tiem jauno izdienas pensiju sistēmu, un paredzot jaunās sistēmas ieviešanai taisnīgu un pietiekamu pārejas periodu;</w:t>
      </w:r>
    </w:p>
    <w:p w14:paraId="630FC0FD" w14:textId="1B6F675C" w:rsidR="00DB34D6" w:rsidRPr="0085361E" w:rsidRDefault="00DB34D6" w:rsidP="004C1C06">
      <w:pPr>
        <w:pStyle w:val="ListParagraph"/>
        <w:numPr>
          <w:ilvl w:val="0"/>
          <w:numId w:val="50"/>
        </w:numPr>
        <w:spacing w:before="120"/>
        <w:ind w:left="426" w:hanging="426"/>
        <w:contextualSpacing w:val="0"/>
        <w:rPr>
          <w:lang w:val="lv-LV"/>
        </w:rPr>
      </w:pPr>
      <w:r w:rsidRPr="0085361E">
        <w:rPr>
          <w:lang w:val="lv-LV"/>
        </w:rPr>
        <w:t>definēt izdienas pensiju piešķiršanas mērķus, dalot izdienas pensijas saņēmējus divās grupās:</w:t>
      </w:r>
    </w:p>
    <w:p w14:paraId="6E6B82C6" w14:textId="77777777" w:rsidR="00DB34D6" w:rsidRPr="00DB34D6" w:rsidRDefault="00DB34D6" w:rsidP="0085361E">
      <w:pPr>
        <w:spacing w:before="120"/>
        <w:ind w:left="851" w:hanging="426"/>
        <w:rPr>
          <w:lang w:val="lv-LV"/>
        </w:rPr>
      </w:pPr>
      <w:r w:rsidRPr="00DB34D6">
        <w:rPr>
          <w:lang w:val="lv-LV"/>
        </w:rPr>
        <w:t>a.</w:t>
      </w:r>
      <w:r w:rsidRPr="00DB34D6">
        <w:rPr>
          <w:lang w:val="lv-LV"/>
        </w:rPr>
        <w:tab/>
        <w:t>personas, kurām nepieciešams nodrošināt iespēju pārkvalificēties no profesijām, kurām ir īss profesionālais mūžs (paredz profesionālo uzdevumu izpildei nepieciešamo spēju būtisku samazinājumu vai zudumu);</w:t>
      </w:r>
    </w:p>
    <w:p w14:paraId="2D84D01B" w14:textId="77777777" w:rsidR="00DB34D6" w:rsidRPr="00DB34D6" w:rsidRDefault="00DB34D6" w:rsidP="0085361E">
      <w:pPr>
        <w:spacing w:before="120"/>
        <w:ind w:left="851" w:hanging="426"/>
        <w:rPr>
          <w:lang w:val="lv-LV"/>
        </w:rPr>
      </w:pPr>
      <w:r w:rsidRPr="00DB34D6">
        <w:rPr>
          <w:lang w:val="lv-LV"/>
        </w:rPr>
        <w:t>b.</w:t>
      </w:r>
      <w:r w:rsidRPr="00DB34D6">
        <w:rPr>
          <w:lang w:val="lv-LV"/>
        </w:rPr>
        <w:tab/>
        <w:t>personas, kurām nepieciešams nodrošināt iespēju pārkvalificēties un kompensēt paaugstinātu risku dzīvībai un veselībai jomās, kurās, pildot dienesta pienākumus, personas ir pakļautas reālam dzīvības un veselības apdraudējumam.</w:t>
      </w:r>
    </w:p>
    <w:p w14:paraId="50DEDBF9" w14:textId="77777777" w:rsidR="0085361E" w:rsidRDefault="00DB34D6" w:rsidP="004C1C06">
      <w:pPr>
        <w:pStyle w:val="ListParagraph"/>
        <w:numPr>
          <w:ilvl w:val="0"/>
          <w:numId w:val="50"/>
        </w:numPr>
        <w:spacing w:before="120"/>
        <w:ind w:left="426" w:hanging="426"/>
        <w:contextualSpacing w:val="0"/>
        <w:rPr>
          <w:lang w:val="lv-LV"/>
        </w:rPr>
      </w:pPr>
      <w:r w:rsidRPr="0085361E">
        <w:rPr>
          <w:lang w:val="lv-LV"/>
        </w:rPr>
        <w:t>atbilstoši definētajiem izdienas pensiju piešķiršanas mērķiem, pārskatīt esošo izdienas pensiju saņēmēju loku, to sadalot pa minētajām divām grupām, kā arī izslēdzot no saņēmēju loka personas, kuras atbilstoši to darba pienākumu specifikai neatbilst minētajiem mērķiem;</w:t>
      </w:r>
    </w:p>
    <w:p w14:paraId="69979B95" w14:textId="259B4626" w:rsidR="00DB34D6" w:rsidRPr="0085361E" w:rsidRDefault="00DB34D6" w:rsidP="004C1C06">
      <w:pPr>
        <w:pStyle w:val="ListParagraph"/>
        <w:numPr>
          <w:ilvl w:val="0"/>
          <w:numId w:val="50"/>
        </w:numPr>
        <w:spacing w:before="120"/>
        <w:ind w:left="426" w:hanging="426"/>
        <w:contextualSpacing w:val="0"/>
        <w:rPr>
          <w:lang w:val="lv-LV"/>
        </w:rPr>
      </w:pPr>
      <w:r w:rsidRPr="0085361E">
        <w:rPr>
          <w:lang w:val="lv-LV"/>
        </w:rPr>
        <w:t>visām izdienas pensijām ir jābūt terminētām. Abām izdienas pensiju grupām ir jābūt ekonomiski motivētām iesaistīties darba tirgū arī pēc izdienas pensijas saņemšanas perioda sākuma, tai skaitā ar skaidru fiskālo mērķi veidot papildus pensiju kapitālu pirmajā, otrajā un trešajā pensiju līmenī, lai iekļaujoties vispārējā pensiju sistēmā saņemtu vecuma pensiju ar relatīvi augstu pensiju aizvietošanas koeficientu:</w:t>
      </w:r>
    </w:p>
    <w:p w14:paraId="7838988A" w14:textId="77777777" w:rsidR="00DB34D6" w:rsidRPr="00DB34D6" w:rsidRDefault="00DB34D6" w:rsidP="0085361E">
      <w:pPr>
        <w:spacing w:before="120"/>
        <w:ind w:left="851" w:hanging="426"/>
        <w:rPr>
          <w:lang w:val="lv-LV"/>
        </w:rPr>
      </w:pPr>
      <w:r w:rsidRPr="00DB34D6">
        <w:rPr>
          <w:lang w:val="lv-LV"/>
        </w:rPr>
        <w:t>a.</w:t>
      </w:r>
      <w:r w:rsidRPr="00DB34D6">
        <w:rPr>
          <w:lang w:val="lv-LV"/>
        </w:rPr>
        <w:tab/>
        <w:t>profesijās (amatos) ar īsu profesionālo mūžu, nodrošinot pietiekošu laiku, lai personas spētu pārkvalificēties uz citām profesijām, tai skaitā iegūtu valsts  atbalstu jaunas izglītības vai profesionālo prasmju iegūšanai;</w:t>
      </w:r>
    </w:p>
    <w:p w14:paraId="2E40D82D" w14:textId="77777777" w:rsidR="00DB34D6" w:rsidRPr="00DB34D6" w:rsidRDefault="00DB34D6" w:rsidP="0085361E">
      <w:pPr>
        <w:spacing w:before="120"/>
        <w:ind w:left="851" w:hanging="426"/>
        <w:rPr>
          <w:lang w:val="lv-LV"/>
        </w:rPr>
      </w:pPr>
      <w:r w:rsidRPr="00DB34D6">
        <w:rPr>
          <w:lang w:val="lv-LV"/>
        </w:rPr>
        <w:t>b.</w:t>
      </w:r>
      <w:r w:rsidRPr="00DB34D6">
        <w:rPr>
          <w:lang w:val="lv-LV"/>
        </w:rPr>
        <w:tab/>
        <w:t>profesijās (amatos), kuros personas ir pakļautas reālam dzīvības apdraudējumam, nepārsniedzot valstī noteikto pensionēšanās vecumu. Izdienas pensijas saņēmējiem, iestājoties valstī noteiktajam pensionēšanās vecumam, ir jāintegrējas kopējā pensiju sistēmā.</w:t>
      </w:r>
    </w:p>
    <w:p w14:paraId="1D2E33AB" w14:textId="18A540AD" w:rsidR="00471534" w:rsidRPr="0085361E" w:rsidRDefault="00DB34D6" w:rsidP="004C1C06">
      <w:pPr>
        <w:pStyle w:val="ListParagraph"/>
        <w:numPr>
          <w:ilvl w:val="0"/>
          <w:numId w:val="50"/>
        </w:numPr>
        <w:spacing w:before="120"/>
        <w:ind w:left="426" w:hanging="426"/>
        <w:contextualSpacing w:val="0"/>
        <w:rPr>
          <w:lang w:val="lv-LV"/>
        </w:rPr>
      </w:pPr>
      <w:r w:rsidRPr="0085361E">
        <w:rPr>
          <w:lang w:val="lv-LV"/>
        </w:rPr>
        <w:t>katrai profesiju (amatu) grupai ir jānosaka vienoti izdienas pensijas ieguves un aprēķina kritēriji – izdienas stāžs, izdienas pensijas piešķiršanas minimālais vecums, pensijas apmērs no mēneša vidējās darba samaksas, periods, par kuru tiek aprēķināta izdienas pensija, pielīdzināto periodu ieskaitīšana izdienā, izdienas pensijas izmaksas pārtraukšana un citi kritēriji.</w:t>
      </w:r>
    </w:p>
    <w:p w14:paraId="6CE5591D" w14:textId="40C5D863" w:rsidR="00471534" w:rsidRDefault="00471534" w:rsidP="004C118A">
      <w:pPr>
        <w:rPr>
          <w:lang w:val="lv-LV"/>
        </w:rPr>
      </w:pPr>
    </w:p>
    <w:p w14:paraId="010B1EBE" w14:textId="0BD4E22E" w:rsidR="00471534" w:rsidRDefault="00471534" w:rsidP="004C118A">
      <w:pPr>
        <w:rPr>
          <w:lang w:val="lv-LV"/>
        </w:rPr>
      </w:pPr>
    </w:p>
    <w:p w14:paraId="00F5A96D" w14:textId="599D04FC" w:rsidR="00471534" w:rsidRDefault="00471534" w:rsidP="004C118A">
      <w:pPr>
        <w:rPr>
          <w:lang w:val="lv-LV"/>
        </w:rPr>
      </w:pPr>
    </w:p>
    <w:p w14:paraId="23C69942" w14:textId="5894176C" w:rsidR="00471534" w:rsidRPr="004C118A" w:rsidRDefault="00471534" w:rsidP="004C118A">
      <w:pPr>
        <w:rPr>
          <w:lang w:val="lv-LV"/>
        </w:rPr>
      </w:pPr>
    </w:p>
    <w:p w14:paraId="60C2EA70" w14:textId="20EA0CE0" w:rsidR="000837FF" w:rsidRDefault="00DD5C0D" w:rsidP="004C1C06">
      <w:pPr>
        <w:pStyle w:val="Heading1"/>
        <w:numPr>
          <w:ilvl w:val="0"/>
          <w:numId w:val="52"/>
        </w:numPr>
        <w:spacing w:after="240"/>
        <w:ind w:left="714" w:hanging="357"/>
        <w:rPr>
          <w:caps/>
        </w:rPr>
      </w:pPr>
      <w:bookmarkStart w:id="41" w:name="_Toc80178420"/>
      <w:r w:rsidRPr="00707F68">
        <w:rPr>
          <w:caps/>
        </w:rPr>
        <w:lastRenderedPageBreak/>
        <w:t>Procesu un sistēmu pilnveidošana</w:t>
      </w:r>
      <w:bookmarkEnd w:id="41"/>
    </w:p>
    <w:p w14:paraId="72B06DB5" w14:textId="0C77F221" w:rsidR="00811CFE" w:rsidRPr="00811CFE" w:rsidRDefault="00FD6F12" w:rsidP="004C1C06">
      <w:pPr>
        <w:pStyle w:val="Heading2"/>
        <w:numPr>
          <w:ilvl w:val="1"/>
          <w:numId w:val="52"/>
        </w:numPr>
      </w:pPr>
      <w:bookmarkStart w:id="42" w:name="_Toc80178421"/>
      <w:r>
        <w:t>Finanšu vadības sistēmas un procesu pilnveide</w:t>
      </w:r>
      <w:bookmarkEnd w:id="42"/>
    </w:p>
    <w:p w14:paraId="464E5A88" w14:textId="77777777" w:rsidR="00B12135" w:rsidRDefault="00B12135" w:rsidP="002C6F72">
      <w:pPr>
        <w:ind w:firstLine="709"/>
        <w:rPr>
          <w:rFonts w:cs="Times New Roman"/>
          <w:lang w:val="lv-LV"/>
        </w:rPr>
      </w:pPr>
      <w:r>
        <w:rPr>
          <w:rFonts w:cs="Times New Roman"/>
          <w:lang w:val="lv-LV"/>
        </w:rPr>
        <w:t>P</w:t>
      </w:r>
      <w:r w:rsidRPr="001D6798">
        <w:rPr>
          <w:rFonts w:cs="Times New Roman"/>
          <w:lang w:val="lv-LV"/>
        </w:rPr>
        <w:t xml:space="preserve">ēdējo gadu laikā </w:t>
      </w:r>
      <w:r>
        <w:rPr>
          <w:rFonts w:cs="Times New Roman"/>
          <w:lang w:val="lv-LV"/>
        </w:rPr>
        <w:t>EK</w:t>
      </w:r>
      <w:r w:rsidRPr="001D6798">
        <w:rPr>
          <w:rFonts w:cs="Times New Roman"/>
          <w:lang w:val="lv-LV"/>
        </w:rPr>
        <w:t xml:space="preserve"> savās specifiskajās rekomendācijās vairākkārt ieteikusi Latvijai palielināt publiskā sektora efektivitāti</w:t>
      </w:r>
      <w:r>
        <w:rPr>
          <w:rFonts w:cs="Times New Roman"/>
          <w:lang w:val="lv-LV"/>
        </w:rPr>
        <w:t>, ko iespējams sasniegt, tai skaitā pilnveidojot budžeta plānošanas procesus. FM</w:t>
      </w:r>
      <w:r w:rsidRPr="00A51195">
        <w:rPr>
          <w:rFonts w:cs="Times New Roman"/>
          <w:lang w:val="lv-LV"/>
        </w:rPr>
        <w:t xml:space="preserve">, strādājot pie valsts budžeta izdevumu pārskatīšanas, ik gadu pievērš būtisku uzmanību procesu un sistēmu pilnveidošanai. Piemēram, </w:t>
      </w:r>
      <w:r>
        <w:rPr>
          <w:rFonts w:cs="Times New Roman"/>
          <w:lang w:val="lv-LV"/>
        </w:rPr>
        <w:t>2019. gada izdevumu pārskatīšanas ietvaros</w:t>
      </w:r>
      <w:r>
        <w:rPr>
          <w:rStyle w:val="FootnoteReference"/>
          <w:rFonts w:cs="Times New Roman"/>
          <w:lang w:val="lv-LV"/>
        </w:rPr>
        <w:footnoteReference w:id="56"/>
      </w:r>
      <w:r>
        <w:rPr>
          <w:rFonts w:cs="Times New Roman"/>
          <w:lang w:val="lv-LV"/>
        </w:rPr>
        <w:t xml:space="preserve"> </w:t>
      </w:r>
      <w:r w:rsidRPr="00A51195">
        <w:rPr>
          <w:rFonts w:cs="Times New Roman"/>
          <w:lang w:val="lv-LV"/>
        </w:rPr>
        <w:t xml:space="preserve">tika uzsāktas izmaiņas Vienotajā valsts budžeta plānošanas un izpildes informācijas sistēmā, lai pilnveidotu un efektivizētu valsts budžeta bāzes izdevumu un maksimāli pieļaujamo valsts budžeta izdevumu sagatavošanas procesa funkcionalitāti. Savukārt </w:t>
      </w:r>
      <w:r>
        <w:rPr>
          <w:rFonts w:cs="Times New Roman"/>
          <w:lang w:val="lv-LV"/>
        </w:rPr>
        <w:t xml:space="preserve">2020. gada izdevumu pārskatīšanas </w:t>
      </w:r>
      <w:r w:rsidRPr="00A51195">
        <w:rPr>
          <w:rFonts w:cs="Times New Roman"/>
          <w:lang w:val="lv-LV"/>
        </w:rPr>
        <w:t>informatīvajā ziņojumā</w:t>
      </w:r>
      <w:r>
        <w:rPr>
          <w:rStyle w:val="FootnoteReference"/>
          <w:rFonts w:cs="Times New Roman"/>
          <w:lang w:val="lv-LV"/>
        </w:rPr>
        <w:footnoteReference w:id="57"/>
      </w:r>
      <w:r>
        <w:rPr>
          <w:rFonts w:cs="Times New Roman"/>
          <w:lang w:val="lv-LV"/>
        </w:rPr>
        <w:t xml:space="preserve"> </w:t>
      </w:r>
      <w:r w:rsidRPr="00A51195">
        <w:rPr>
          <w:rFonts w:cs="Times New Roman"/>
          <w:lang w:val="lv-LV"/>
        </w:rPr>
        <w:t>tika definēti un nosprausti jau visaptverošāki un tālejošāki nepieciešamie budžeta procesu sistēmas uzlabojamie elementi, ka</w:t>
      </w:r>
      <w:r>
        <w:rPr>
          <w:rFonts w:cs="Times New Roman"/>
          <w:lang w:val="lv-LV"/>
        </w:rPr>
        <w:t>s</w:t>
      </w:r>
      <w:r w:rsidRPr="00A51195">
        <w:rPr>
          <w:rFonts w:cs="Times New Roman"/>
          <w:lang w:val="lv-LV"/>
        </w:rPr>
        <w:t xml:space="preserve"> nodrošinās efektīvāku valsts budžeta līdzekļu pārvaldību.</w:t>
      </w:r>
    </w:p>
    <w:p w14:paraId="46F3E8F9" w14:textId="77777777" w:rsidR="00B12135" w:rsidRDefault="00B12135" w:rsidP="002C6F72">
      <w:pPr>
        <w:ind w:firstLine="709"/>
        <w:rPr>
          <w:rFonts w:cs="Times New Roman"/>
          <w:lang w:val="lv-LV"/>
        </w:rPr>
      </w:pPr>
      <w:r>
        <w:rPr>
          <w:rFonts w:cs="Times New Roman"/>
          <w:lang w:val="lv-LV"/>
        </w:rPr>
        <w:t>L</w:t>
      </w:r>
      <w:r w:rsidRPr="004C7ABE">
        <w:rPr>
          <w:rFonts w:cs="Times New Roman"/>
          <w:lang w:val="lv-LV"/>
        </w:rPr>
        <w:t>ai izveidotu, attīstītu un ieviestu reformas</w:t>
      </w:r>
      <w:r w:rsidRPr="00605D41">
        <w:rPr>
          <w:rFonts w:cs="Times New Roman"/>
          <w:lang w:val="lv-LV"/>
        </w:rPr>
        <w:t xml:space="preserve"> </w:t>
      </w:r>
      <w:r w:rsidRPr="00E37D68">
        <w:rPr>
          <w:rFonts w:cs="Times New Roman"/>
          <w:lang w:val="lv-LV"/>
        </w:rPr>
        <w:t>budžeta plānošan</w:t>
      </w:r>
      <w:r>
        <w:rPr>
          <w:rFonts w:cs="Times New Roman"/>
          <w:lang w:val="lv-LV"/>
        </w:rPr>
        <w:t>ā</w:t>
      </w:r>
      <w:r w:rsidRPr="00E37D68">
        <w:rPr>
          <w:rFonts w:cs="Times New Roman"/>
          <w:lang w:val="lv-LV"/>
        </w:rPr>
        <w:t xml:space="preserve"> un izpildes procesu analīz</w:t>
      </w:r>
      <w:r>
        <w:rPr>
          <w:rFonts w:cs="Times New Roman"/>
          <w:lang w:val="lv-LV"/>
        </w:rPr>
        <w:t>ē</w:t>
      </w:r>
      <w:r w:rsidRPr="00E37D68">
        <w:rPr>
          <w:rFonts w:cs="Times New Roman"/>
          <w:lang w:val="lv-LV"/>
        </w:rPr>
        <w:t xml:space="preserve"> atbilstoši </w:t>
      </w:r>
      <w:r>
        <w:rPr>
          <w:rFonts w:cs="Times New Roman"/>
          <w:lang w:val="lv-LV"/>
        </w:rPr>
        <w:t>FM</w:t>
      </w:r>
      <w:r w:rsidRPr="00E37D68">
        <w:rPr>
          <w:rFonts w:cs="Times New Roman"/>
          <w:lang w:val="lv-LV"/>
        </w:rPr>
        <w:t xml:space="preserve"> stratēģijai</w:t>
      </w:r>
      <w:r>
        <w:rPr>
          <w:rFonts w:cs="Times New Roman"/>
          <w:lang w:val="lv-LV"/>
        </w:rPr>
        <w:t xml:space="preserve"> un nospraustajiem mērķiem,</w:t>
      </w:r>
      <w:r w:rsidRPr="00605D41">
        <w:rPr>
          <w:rFonts w:cs="Times New Roman"/>
          <w:lang w:val="lv-LV"/>
        </w:rPr>
        <w:t xml:space="preserve"> </w:t>
      </w:r>
      <w:r>
        <w:rPr>
          <w:rFonts w:cs="Times New Roman"/>
          <w:lang w:val="lv-LV"/>
        </w:rPr>
        <w:t>FM</w:t>
      </w:r>
      <w:r w:rsidRPr="004C7ABE">
        <w:rPr>
          <w:rFonts w:cs="Times New Roman"/>
          <w:lang w:val="lv-LV"/>
        </w:rPr>
        <w:t xml:space="preserve"> </w:t>
      </w:r>
      <w:r>
        <w:rPr>
          <w:rFonts w:cs="Times New Roman"/>
          <w:lang w:val="lv-LV"/>
        </w:rPr>
        <w:t xml:space="preserve">sadarbībā ar EK un OECD ir sākusi īstenot </w:t>
      </w:r>
      <w:r w:rsidRPr="004C7ABE">
        <w:rPr>
          <w:rFonts w:cs="Times New Roman"/>
          <w:lang w:val="lv-LV"/>
        </w:rPr>
        <w:t>tehniskās palīdzības projekt</w:t>
      </w:r>
      <w:r>
        <w:rPr>
          <w:rFonts w:cs="Times New Roman"/>
          <w:lang w:val="lv-LV"/>
        </w:rPr>
        <w:t xml:space="preserve">u </w:t>
      </w:r>
      <w:r w:rsidRPr="00D616AE">
        <w:rPr>
          <w:rFonts w:cs="Times New Roman"/>
          <w:i/>
          <w:lang w:val="lv-LV"/>
        </w:rPr>
        <w:t>“Improving the functioning of public financial management in Latvia – budget preparation and implementation”</w:t>
      </w:r>
      <w:r>
        <w:rPr>
          <w:rFonts w:cs="Times New Roman"/>
          <w:lang w:val="lv-LV"/>
        </w:rPr>
        <w:t>, tādējādi uzlabojot</w:t>
      </w:r>
      <w:r>
        <w:rPr>
          <w:rFonts w:cs="Times New Roman"/>
          <w:b/>
          <w:bCs/>
          <w:lang w:val="lv-LV"/>
        </w:rPr>
        <w:t xml:space="preserve"> </w:t>
      </w:r>
      <w:r w:rsidRPr="004C7ABE">
        <w:rPr>
          <w:rFonts w:cs="Times New Roman"/>
          <w:lang w:val="lv-LV"/>
        </w:rPr>
        <w:t>budžeta proces</w:t>
      </w:r>
      <w:r>
        <w:rPr>
          <w:rFonts w:cs="Times New Roman"/>
          <w:lang w:val="lv-LV"/>
        </w:rPr>
        <w:t>us</w:t>
      </w:r>
      <w:r w:rsidRPr="004C7ABE">
        <w:rPr>
          <w:rFonts w:cs="Times New Roman"/>
          <w:lang w:val="lv-LV"/>
        </w:rPr>
        <w:t xml:space="preserve">, lai </w:t>
      </w:r>
      <w:r>
        <w:rPr>
          <w:rFonts w:cs="Times New Roman"/>
          <w:lang w:val="lv-LV"/>
        </w:rPr>
        <w:t xml:space="preserve">padarītu </w:t>
      </w:r>
      <w:r w:rsidRPr="004C7ABE">
        <w:rPr>
          <w:rFonts w:cs="Times New Roman"/>
          <w:lang w:val="lv-LV"/>
        </w:rPr>
        <w:t>t</w:t>
      </w:r>
      <w:r>
        <w:rPr>
          <w:rFonts w:cs="Times New Roman"/>
          <w:lang w:val="lv-LV"/>
        </w:rPr>
        <w:t>os</w:t>
      </w:r>
      <w:r w:rsidRPr="004C7ABE">
        <w:rPr>
          <w:rFonts w:cs="Times New Roman"/>
          <w:lang w:val="lv-LV"/>
        </w:rPr>
        <w:t xml:space="preserve"> </w:t>
      </w:r>
      <w:r>
        <w:rPr>
          <w:rFonts w:cs="Times New Roman"/>
          <w:lang w:val="lv-LV"/>
        </w:rPr>
        <w:t>atbilstošākus</w:t>
      </w:r>
      <w:r w:rsidRPr="004C7ABE">
        <w:rPr>
          <w:rFonts w:cs="Times New Roman"/>
          <w:lang w:val="lv-LV"/>
        </w:rPr>
        <w:t xml:space="preserve"> starptautiskajai efektīvas finanšu vadības praksei</w:t>
      </w:r>
      <w:r>
        <w:rPr>
          <w:rFonts w:cs="Times New Roman"/>
          <w:lang w:val="lv-LV"/>
        </w:rPr>
        <w:t>.</w:t>
      </w:r>
      <w:r w:rsidRPr="00EF5696">
        <w:rPr>
          <w:rFonts w:cs="Times New Roman"/>
          <w:lang w:val="lv-LV"/>
        </w:rPr>
        <w:t xml:space="preserve"> </w:t>
      </w:r>
      <w:r>
        <w:rPr>
          <w:rFonts w:cs="Times New Roman"/>
          <w:lang w:val="lv-LV"/>
        </w:rPr>
        <w:t>Paredzamais</w:t>
      </w:r>
      <w:r w:rsidRPr="004C7ABE">
        <w:rPr>
          <w:rFonts w:cs="Times New Roman"/>
          <w:lang w:val="lv-LV"/>
        </w:rPr>
        <w:t xml:space="preserve"> projekta īstenošanas ilgums ir 18 mēneši, </w:t>
      </w:r>
      <w:r>
        <w:rPr>
          <w:rFonts w:cs="Times New Roman"/>
          <w:lang w:val="lv-LV"/>
        </w:rPr>
        <w:t>attiecīgi</w:t>
      </w:r>
      <w:r w:rsidRPr="004C7ABE">
        <w:rPr>
          <w:rFonts w:cs="Times New Roman"/>
          <w:lang w:val="lv-LV"/>
        </w:rPr>
        <w:t xml:space="preserve"> rezultāti varētu būt pieejami līdz 2022.</w:t>
      </w:r>
      <w:r>
        <w:rPr>
          <w:rFonts w:cs="Times New Roman"/>
          <w:lang w:val="lv-LV"/>
        </w:rPr>
        <w:t> </w:t>
      </w:r>
      <w:r w:rsidRPr="004C7ABE">
        <w:rPr>
          <w:rFonts w:cs="Times New Roman"/>
          <w:lang w:val="lv-LV"/>
        </w:rPr>
        <w:t>gada beigām.</w:t>
      </w:r>
    </w:p>
    <w:p w14:paraId="163D82EF" w14:textId="77777777" w:rsidR="00B12135" w:rsidRDefault="00B12135" w:rsidP="002C6F72">
      <w:pPr>
        <w:ind w:firstLine="720"/>
        <w:rPr>
          <w:rFonts w:cs="Times New Roman"/>
          <w:lang w:val="lv-LV"/>
        </w:rPr>
      </w:pPr>
      <w:r>
        <w:rPr>
          <w:rFonts w:cs="Times New Roman"/>
          <w:lang w:val="lv-LV"/>
        </w:rPr>
        <w:t>Lai ilgtermiņā veidotu efektīvu budžeta struktūru, ir plānots:</w:t>
      </w:r>
    </w:p>
    <w:p w14:paraId="50D4C292" w14:textId="77777777" w:rsidR="00B12135" w:rsidRDefault="00B12135" w:rsidP="0005194E">
      <w:pPr>
        <w:pStyle w:val="ListParagraph"/>
        <w:numPr>
          <w:ilvl w:val="0"/>
          <w:numId w:val="13"/>
        </w:numPr>
        <w:contextualSpacing w:val="0"/>
        <w:rPr>
          <w:rFonts w:cs="Times New Roman"/>
          <w:lang w:val="lv-LV"/>
        </w:rPr>
      </w:pPr>
      <w:r>
        <w:rPr>
          <w:rFonts w:cs="Times New Roman"/>
          <w:lang w:val="lv-LV"/>
        </w:rPr>
        <w:t>balstoties uz ārvalstu ekspertu ieteikumiem,</w:t>
      </w:r>
      <w:r w:rsidRPr="006C72BF">
        <w:rPr>
          <w:rFonts w:cs="Times New Roman"/>
          <w:lang w:val="lv-LV"/>
        </w:rPr>
        <w:t xml:space="preserve"> </w:t>
      </w:r>
      <w:r w:rsidRPr="00B84A8C">
        <w:rPr>
          <w:rFonts w:cs="Times New Roman"/>
          <w:lang w:val="lv-LV"/>
        </w:rPr>
        <w:t>modernizēt valsts finanšu pārvaldības tiesisk</w:t>
      </w:r>
      <w:r>
        <w:rPr>
          <w:rFonts w:cs="Times New Roman"/>
          <w:lang w:val="lv-LV"/>
        </w:rPr>
        <w:t>o</w:t>
      </w:r>
      <w:r w:rsidRPr="00B84A8C">
        <w:rPr>
          <w:rFonts w:cs="Times New Roman"/>
          <w:lang w:val="lv-LV"/>
        </w:rPr>
        <w:t xml:space="preserve"> regulējum</w:t>
      </w:r>
      <w:r>
        <w:rPr>
          <w:rFonts w:cs="Times New Roman"/>
          <w:lang w:val="lv-LV"/>
        </w:rPr>
        <w:t>u,</w:t>
      </w:r>
      <w:r w:rsidRPr="006C72BF">
        <w:rPr>
          <w:rFonts w:cs="Times New Roman"/>
          <w:lang w:val="lv-LV"/>
        </w:rPr>
        <w:t xml:space="preserve"> izstrādā</w:t>
      </w:r>
      <w:r>
        <w:rPr>
          <w:rFonts w:cs="Times New Roman"/>
          <w:lang w:val="lv-LV"/>
        </w:rPr>
        <w:t>jot</w:t>
      </w:r>
      <w:r w:rsidRPr="006C72BF">
        <w:rPr>
          <w:rFonts w:cs="Times New Roman"/>
          <w:lang w:val="lv-LV"/>
        </w:rPr>
        <w:t xml:space="preserve"> bud</w:t>
      </w:r>
      <w:r>
        <w:rPr>
          <w:rFonts w:cs="Times New Roman"/>
          <w:lang w:val="lv-LV"/>
        </w:rPr>
        <w:t>ž</w:t>
      </w:r>
      <w:r w:rsidRPr="006C72BF">
        <w:rPr>
          <w:rFonts w:cs="Times New Roman"/>
          <w:lang w:val="lv-LV"/>
        </w:rPr>
        <w:t>eta vadības likumu</w:t>
      </w:r>
      <w:r>
        <w:rPr>
          <w:rFonts w:cs="Times New Roman"/>
          <w:lang w:val="lv-LV"/>
        </w:rPr>
        <w:t>;</w:t>
      </w:r>
    </w:p>
    <w:p w14:paraId="0D393A47" w14:textId="77777777" w:rsidR="00B12135" w:rsidRPr="006C72BF" w:rsidRDefault="00B12135" w:rsidP="0005194E">
      <w:pPr>
        <w:pStyle w:val="ListParagraph"/>
        <w:numPr>
          <w:ilvl w:val="0"/>
          <w:numId w:val="13"/>
        </w:numPr>
        <w:contextualSpacing w:val="0"/>
        <w:rPr>
          <w:rFonts w:cs="Times New Roman"/>
          <w:lang w:val="lv-LV"/>
        </w:rPr>
      </w:pPr>
      <w:r>
        <w:rPr>
          <w:rFonts w:cs="Times New Roman"/>
          <w:lang w:val="lv-LV"/>
        </w:rPr>
        <w:t xml:space="preserve">formulēt rekomendācijas </w:t>
      </w:r>
      <w:r w:rsidRPr="006C72BF">
        <w:rPr>
          <w:rFonts w:cs="Times New Roman"/>
          <w:lang w:val="lv-LV"/>
        </w:rPr>
        <w:t>funkcionāl</w:t>
      </w:r>
      <w:r>
        <w:rPr>
          <w:rFonts w:cs="Times New Roman"/>
          <w:lang w:val="lv-LV"/>
        </w:rPr>
        <w:t>ajām</w:t>
      </w:r>
      <w:r w:rsidRPr="006C72BF">
        <w:rPr>
          <w:rFonts w:cs="Times New Roman"/>
          <w:lang w:val="lv-LV"/>
        </w:rPr>
        <w:t xml:space="preserve"> prasī</w:t>
      </w:r>
      <w:r>
        <w:rPr>
          <w:rFonts w:cs="Times New Roman"/>
          <w:lang w:val="lv-LV"/>
        </w:rPr>
        <w:t>bām</w:t>
      </w:r>
      <w:r w:rsidRPr="006C72BF">
        <w:rPr>
          <w:rFonts w:cs="Times New Roman"/>
          <w:lang w:val="lv-LV"/>
        </w:rPr>
        <w:t xml:space="preserve"> budžeta plānošanas un izpildes informācijas sistēmai, kas būs jāņem vērā</w:t>
      </w:r>
      <w:r>
        <w:rPr>
          <w:rFonts w:cs="Times New Roman"/>
          <w:lang w:val="lv-LV"/>
        </w:rPr>
        <w:t>,</w:t>
      </w:r>
      <w:r w:rsidRPr="006C72BF">
        <w:rPr>
          <w:rFonts w:cs="Times New Roman"/>
          <w:lang w:val="lv-LV"/>
        </w:rPr>
        <w:t xml:space="preserve"> veicot minētās sistēmas modernizēšanu;</w:t>
      </w:r>
    </w:p>
    <w:p w14:paraId="677D6419" w14:textId="77777777" w:rsidR="00B12135" w:rsidRPr="006C72BF" w:rsidRDefault="00B12135" w:rsidP="0005194E">
      <w:pPr>
        <w:pStyle w:val="ListParagraph"/>
        <w:numPr>
          <w:ilvl w:val="0"/>
          <w:numId w:val="13"/>
        </w:numPr>
        <w:contextualSpacing w:val="0"/>
        <w:rPr>
          <w:rFonts w:cs="Times New Roman"/>
          <w:lang w:val="lv-LV"/>
        </w:rPr>
      </w:pPr>
      <w:r>
        <w:rPr>
          <w:rFonts w:cs="Times New Roman"/>
          <w:lang w:val="lv-LV"/>
        </w:rPr>
        <w:t xml:space="preserve">virzīties uz </w:t>
      </w:r>
      <w:r w:rsidRPr="006C72BF">
        <w:rPr>
          <w:rFonts w:cs="Times New Roman"/>
          <w:lang w:val="lv-LV"/>
        </w:rPr>
        <w:t>efektīvu resursu vadības un kontroles institucionālo struktūru un atbildības sadalījumu, veicinot aktīvu nozaru ministriju iesaisti budžeta un snieguma vadības procesā.</w:t>
      </w:r>
    </w:p>
    <w:p w14:paraId="6A793930" w14:textId="6217F095" w:rsidR="00B12135" w:rsidRDefault="00B12135" w:rsidP="002C6F72">
      <w:pPr>
        <w:ind w:firstLine="709"/>
        <w:rPr>
          <w:rFonts w:cs="Times New Roman"/>
          <w:b/>
          <w:bCs/>
          <w:i/>
          <w:szCs w:val="20"/>
          <w:lang w:val="lv-LV"/>
        </w:rPr>
      </w:pPr>
      <w:r>
        <w:rPr>
          <w:rFonts w:cs="Times New Roman"/>
          <w:bCs/>
          <w:lang w:val="lv-LV"/>
        </w:rPr>
        <w:t>Iepriekšminētais nodrošinātu kvalitatīvākas un pārskatāmākas budžeta struktūras ieviešanu, kā rezultātā procesi dažādos budžeta līmeņos tiktu padarīti efektīvāki (</w:t>
      </w:r>
      <w:r>
        <w:rPr>
          <w:rFonts w:cs="Times New Roman"/>
          <w:lang w:val="lv-LV"/>
        </w:rPr>
        <w:t>Attēls Nr. 4.1.1.).</w:t>
      </w:r>
      <w:r w:rsidRPr="00F2757D">
        <w:rPr>
          <w:rFonts w:cs="Times New Roman"/>
          <w:b/>
          <w:bCs/>
          <w:i/>
          <w:szCs w:val="20"/>
          <w:lang w:val="lv-LV"/>
        </w:rPr>
        <w:t xml:space="preserve"> </w:t>
      </w:r>
    </w:p>
    <w:p w14:paraId="4B75696E" w14:textId="77777777" w:rsidR="002C6F72" w:rsidRDefault="002C6F72" w:rsidP="002C6F72">
      <w:pPr>
        <w:spacing w:line="240" w:lineRule="auto"/>
        <w:ind w:firstLine="709"/>
        <w:contextualSpacing/>
        <w:rPr>
          <w:rFonts w:cs="Times New Roman"/>
          <w:b/>
          <w:bCs/>
          <w:i/>
          <w:szCs w:val="20"/>
          <w:lang w:val="lv-LV"/>
        </w:rPr>
      </w:pPr>
    </w:p>
    <w:p w14:paraId="4793C6A5" w14:textId="7CD37D3A" w:rsidR="00B12135" w:rsidRDefault="00FD6F12" w:rsidP="002C6F72">
      <w:pPr>
        <w:spacing w:line="240" w:lineRule="auto"/>
        <w:contextualSpacing/>
        <w:jc w:val="center"/>
        <w:rPr>
          <w:rFonts w:cs="Times New Roman"/>
          <w:b/>
          <w:bCs/>
          <w:i/>
          <w:szCs w:val="20"/>
          <w:lang w:val="lv-LV"/>
        </w:rPr>
      </w:pPr>
      <w:r>
        <w:rPr>
          <w:noProof/>
          <w:lang w:val="lv-LV" w:eastAsia="lv-LV"/>
        </w:rPr>
        <w:lastRenderedPageBreak/>
        <w:drawing>
          <wp:anchor distT="0" distB="0" distL="114300" distR="114300" simplePos="0" relativeHeight="251663360" behindDoc="0" locked="0" layoutInCell="1" allowOverlap="1" wp14:anchorId="6091B6DC" wp14:editId="1EDFB050">
            <wp:simplePos x="0" y="0"/>
            <wp:positionH relativeFrom="column">
              <wp:posOffset>53340</wp:posOffset>
            </wp:positionH>
            <wp:positionV relativeFrom="paragraph">
              <wp:posOffset>332740</wp:posOffset>
            </wp:positionV>
            <wp:extent cx="5848350" cy="293751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extLst>
                        <a:ext uri="{28A0092B-C50C-407E-A947-70E740481C1C}">
                          <a14:useLocalDpi xmlns:a14="http://schemas.microsoft.com/office/drawing/2010/main" val="0"/>
                        </a:ext>
                      </a:extLst>
                    </a:blip>
                    <a:stretch>
                      <a:fillRect/>
                    </a:stretch>
                  </pic:blipFill>
                  <pic:spPr>
                    <a:xfrm>
                      <a:off x="0" y="0"/>
                      <a:ext cx="5848350" cy="2937510"/>
                    </a:xfrm>
                    <a:prstGeom prst="rect">
                      <a:avLst/>
                    </a:prstGeom>
                  </pic:spPr>
                </pic:pic>
              </a:graphicData>
            </a:graphic>
            <wp14:sizeRelH relativeFrom="margin">
              <wp14:pctWidth>0</wp14:pctWidth>
            </wp14:sizeRelH>
            <wp14:sizeRelV relativeFrom="margin">
              <wp14:pctHeight>0</wp14:pctHeight>
            </wp14:sizeRelV>
          </wp:anchor>
        </w:drawing>
      </w:r>
      <w:r w:rsidR="002C6F72" w:rsidRPr="002C6F72">
        <w:rPr>
          <w:rFonts w:cs="Times New Roman"/>
          <w:b/>
          <w:bCs/>
          <w:i/>
          <w:sz w:val="22"/>
          <w:szCs w:val="20"/>
          <w:lang w:val="lv-LV"/>
        </w:rPr>
        <w:t>4.1.1. attēls</w:t>
      </w:r>
      <w:r w:rsidR="002C6F72" w:rsidRPr="002C6F72">
        <w:rPr>
          <w:rFonts w:cs="Times New Roman"/>
          <w:b/>
          <w:bCs/>
          <w:sz w:val="22"/>
          <w:szCs w:val="20"/>
          <w:lang w:val="lv-LV"/>
        </w:rPr>
        <w:t xml:space="preserve"> Budžeta struktūras iespējamais modelis ar procesa elementiem</w:t>
      </w:r>
    </w:p>
    <w:p w14:paraId="13251854" w14:textId="7FB5CF02" w:rsidR="00B12135" w:rsidRPr="002C6F72" w:rsidRDefault="00B12135" w:rsidP="002C6F72">
      <w:pPr>
        <w:spacing w:line="240" w:lineRule="auto"/>
        <w:ind w:firstLine="709"/>
        <w:contextualSpacing/>
        <w:jc w:val="center"/>
        <w:rPr>
          <w:rFonts w:cs="Times New Roman"/>
          <w:lang w:val="lv-LV"/>
        </w:rPr>
      </w:pPr>
    </w:p>
    <w:p w14:paraId="1123163A" w14:textId="566A0BB0" w:rsidR="00B12135" w:rsidRPr="002C6F72" w:rsidRDefault="00B12135" w:rsidP="002C6F72">
      <w:pPr>
        <w:spacing w:before="120"/>
        <w:ind w:firstLine="720"/>
        <w:rPr>
          <w:rFonts w:cs="Times New Roman"/>
          <w:lang w:val="lv-LV"/>
        </w:rPr>
      </w:pPr>
      <w:r w:rsidRPr="002C6F72">
        <w:rPr>
          <w:rFonts w:cs="Times New Roman"/>
          <w:lang w:val="lv-LV"/>
        </w:rPr>
        <w:t>Konceptuālie elementi, kam tiks pievērsta pastiprināta uzmanība finanšu vadības sistēmas un procesu pilnveidē</w:t>
      </w:r>
      <w:r w:rsidR="002C6F72">
        <w:rPr>
          <w:rFonts w:cs="Times New Roman"/>
          <w:lang w:val="lv-LV"/>
        </w:rPr>
        <w:t>:</w:t>
      </w:r>
    </w:p>
    <w:p w14:paraId="0A185C08" w14:textId="77777777" w:rsidR="00B12135" w:rsidRPr="008D20B1" w:rsidRDefault="00B12135" w:rsidP="0005194E">
      <w:pPr>
        <w:pStyle w:val="ListParagraph"/>
        <w:numPr>
          <w:ilvl w:val="0"/>
          <w:numId w:val="14"/>
        </w:numPr>
        <w:tabs>
          <w:tab w:val="left" w:pos="993"/>
        </w:tabs>
        <w:ind w:left="0" w:firstLine="720"/>
        <w:contextualSpacing w:val="0"/>
        <w:rPr>
          <w:rFonts w:cs="Times New Roman"/>
          <w:lang w:val="lv-LV"/>
        </w:rPr>
      </w:pPr>
      <w:r w:rsidRPr="00484D23">
        <w:rPr>
          <w:rFonts w:cs="Times New Roman"/>
          <w:b/>
          <w:bCs/>
          <w:lang w:val="lv-LV"/>
        </w:rPr>
        <w:t>Stiprināt ilgtermiņa plānošanu caur vidējā termiņa budžetu.</w:t>
      </w:r>
    </w:p>
    <w:p w14:paraId="638F51C8" w14:textId="236AB018" w:rsidR="00B12135" w:rsidRPr="00484D23" w:rsidRDefault="00B12135" w:rsidP="002C6F72">
      <w:pPr>
        <w:pStyle w:val="ListParagraph"/>
        <w:ind w:left="0" w:firstLine="720"/>
        <w:contextualSpacing w:val="0"/>
        <w:rPr>
          <w:rFonts w:cs="Times New Roman"/>
          <w:lang w:val="lv-LV"/>
        </w:rPr>
      </w:pPr>
      <w:r w:rsidRPr="00484D23">
        <w:rPr>
          <w:rFonts w:cs="Times New Roman"/>
          <w:lang w:val="lv-LV"/>
        </w:rPr>
        <w:t>Šobrīd vidēja termiņa budžeta ietvaru</w:t>
      </w:r>
      <w:r w:rsidR="00FF342C">
        <w:rPr>
          <w:rFonts w:cs="Times New Roman"/>
          <w:lang w:val="lv-LV"/>
        </w:rPr>
        <w:t xml:space="preserve"> </w:t>
      </w:r>
      <w:r w:rsidRPr="00484D23">
        <w:rPr>
          <w:rFonts w:cs="Times New Roman"/>
          <w:lang w:val="lv-LV"/>
        </w:rPr>
        <w:t>izmanto gadskārtējā valsts budžeta likumprojekta sagatavošanai un pagaidu budžeta sagatavošanai, bet ilgtermiņa redzējumu būtu nepieciešams integrēt visā budžetā un tā pieņemšanas procesā kopumā. Diskusijas nozaru starpā par papildus līdzekļu piešķīrumiem veicina finansiālajā apjomā nesamērīgu prioritāro pasākumu iesniegšanu, kas būtiski pārsniedz nākamajā gadā un vidējā ietvarā pieejamos finanšu resursus. Vidēja termiņa budžeta izdevumu ietvaram būtu jākļūst ierobežojošākam, un tas savukārt mudinātu nozares aktīvāk pārskatīt to rīcībā esošos resursus.</w:t>
      </w:r>
    </w:p>
    <w:p w14:paraId="0C414C50" w14:textId="77777777" w:rsidR="00B12135" w:rsidRPr="00484D23" w:rsidRDefault="00B12135" w:rsidP="0005194E">
      <w:pPr>
        <w:pStyle w:val="ListParagraph"/>
        <w:numPr>
          <w:ilvl w:val="0"/>
          <w:numId w:val="14"/>
        </w:numPr>
        <w:tabs>
          <w:tab w:val="left" w:pos="993"/>
        </w:tabs>
        <w:ind w:left="0" w:firstLine="720"/>
        <w:contextualSpacing w:val="0"/>
        <w:rPr>
          <w:rFonts w:cs="Times New Roman"/>
          <w:b/>
          <w:bCs/>
          <w:iCs/>
          <w:lang w:val="lv-LV"/>
        </w:rPr>
      </w:pPr>
      <w:r w:rsidRPr="00484D23">
        <w:rPr>
          <w:rFonts w:cs="Times New Roman"/>
          <w:b/>
          <w:bCs/>
          <w:lang w:val="lv-LV"/>
        </w:rPr>
        <w:t>Samazināt budžeta likuma detalizācijas pakāpi.</w:t>
      </w:r>
    </w:p>
    <w:p w14:paraId="401946B2" w14:textId="77777777" w:rsidR="00B12135" w:rsidRDefault="00B12135" w:rsidP="002C6F72">
      <w:pPr>
        <w:pStyle w:val="ListParagraph"/>
        <w:ind w:left="0" w:firstLine="720"/>
        <w:contextualSpacing w:val="0"/>
        <w:rPr>
          <w:rFonts w:cs="Times New Roman"/>
          <w:lang w:val="lv-LV"/>
        </w:rPr>
      </w:pPr>
      <w:r>
        <w:rPr>
          <w:rFonts w:cs="Times New Roman"/>
          <w:lang w:val="lv-LV"/>
        </w:rPr>
        <w:t>Šis elements paredz sam</w:t>
      </w:r>
      <w:r w:rsidRPr="001967F4">
        <w:rPr>
          <w:rFonts w:cs="Times New Roman"/>
          <w:lang w:val="lv-LV"/>
        </w:rPr>
        <w:t>az</w:t>
      </w:r>
      <w:r>
        <w:rPr>
          <w:rFonts w:cs="Times New Roman"/>
          <w:lang w:val="lv-LV"/>
        </w:rPr>
        <w:t>ināt</w:t>
      </w:r>
      <w:r w:rsidRPr="001967F4">
        <w:rPr>
          <w:rFonts w:cs="Times New Roman"/>
          <w:lang w:val="lv-LV"/>
        </w:rPr>
        <w:t xml:space="preserve"> budžeta likuma detalizācijas pakāp</w:t>
      </w:r>
      <w:r>
        <w:rPr>
          <w:rFonts w:cs="Times New Roman"/>
          <w:lang w:val="lv-LV"/>
        </w:rPr>
        <w:t>i</w:t>
      </w:r>
      <w:r w:rsidRPr="001967F4">
        <w:rPr>
          <w:rFonts w:cs="Times New Roman"/>
          <w:lang w:val="lv-LV"/>
        </w:rPr>
        <w:t>, finansējumu nosakot tikai politiku jomām. Budžeta izdevumu daļu Saeima apstiprin</w:t>
      </w:r>
      <w:r>
        <w:rPr>
          <w:rFonts w:cs="Times New Roman"/>
          <w:lang w:val="lv-LV"/>
        </w:rPr>
        <w:t>ātu</w:t>
      </w:r>
      <w:r w:rsidRPr="001967F4">
        <w:rPr>
          <w:rFonts w:cs="Times New Roman"/>
          <w:lang w:val="lv-LV"/>
        </w:rPr>
        <w:t xml:space="preserve"> politiku līmenī, nevis programmu un apakšprogrammu līmenī, kā tas ir šobrīd (kopā aptuveni 550 programmas un apakšprogrammas). Finanšu līdzekļus piešķir</w:t>
      </w:r>
      <w:r>
        <w:rPr>
          <w:rFonts w:cs="Times New Roman"/>
          <w:lang w:val="lv-LV"/>
        </w:rPr>
        <w:t>tu</w:t>
      </w:r>
      <w:r w:rsidRPr="001967F4">
        <w:rPr>
          <w:rFonts w:cs="Times New Roman"/>
          <w:lang w:val="lv-LV"/>
        </w:rPr>
        <w:t xml:space="preserve"> saskaņā ar vispārējiem politikas mērķiem</w:t>
      </w:r>
      <w:r>
        <w:rPr>
          <w:rFonts w:cs="Times New Roman"/>
          <w:lang w:val="lv-LV"/>
        </w:rPr>
        <w:t xml:space="preserve">, kas </w:t>
      </w:r>
      <w:r w:rsidRPr="001967F4">
        <w:rPr>
          <w:rFonts w:cs="Times New Roman"/>
          <w:lang w:val="lv-LV"/>
        </w:rPr>
        <w:t>ti</w:t>
      </w:r>
      <w:r>
        <w:rPr>
          <w:rFonts w:cs="Times New Roman"/>
          <w:lang w:val="lv-LV"/>
        </w:rPr>
        <w:t>ktu</w:t>
      </w:r>
      <w:r w:rsidRPr="001967F4">
        <w:rPr>
          <w:rFonts w:cs="Times New Roman"/>
          <w:lang w:val="lv-LV"/>
        </w:rPr>
        <w:t xml:space="preserve"> apspoguļoti budžeta paskaidrojumos un </w:t>
      </w:r>
      <w:r>
        <w:rPr>
          <w:rFonts w:cs="Times New Roman"/>
          <w:lang w:val="lv-LV"/>
        </w:rPr>
        <w:t>kuriem</w:t>
      </w:r>
      <w:r w:rsidRPr="001967F4">
        <w:rPr>
          <w:rFonts w:cs="Times New Roman"/>
          <w:lang w:val="lv-LV"/>
        </w:rPr>
        <w:t xml:space="preserve"> </w:t>
      </w:r>
      <w:r>
        <w:rPr>
          <w:rFonts w:cs="Times New Roman"/>
          <w:lang w:val="lv-LV"/>
        </w:rPr>
        <w:t>būtu</w:t>
      </w:r>
      <w:r w:rsidRPr="001967F4">
        <w:rPr>
          <w:rFonts w:cs="Times New Roman"/>
          <w:lang w:val="lv-LV"/>
        </w:rPr>
        <w:t xml:space="preserve"> jāatbilst konkrētās ministrijas lomai un iesaistei konkrētās politikas jomas īstenošan</w:t>
      </w:r>
      <w:r>
        <w:rPr>
          <w:rFonts w:cs="Times New Roman"/>
          <w:lang w:val="lv-LV"/>
        </w:rPr>
        <w:t>ā.</w:t>
      </w:r>
    </w:p>
    <w:p w14:paraId="24B9E5E5" w14:textId="77777777" w:rsidR="00B12135" w:rsidRPr="00484D23" w:rsidRDefault="00B12135" w:rsidP="0005194E">
      <w:pPr>
        <w:pStyle w:val="ListParagraph"/>
        <w:numPr>
          <w:ilvl w:val="0"/>
          <w:numId w:val="14"/>
        </w:numPr>
        <w:tabs>
          <w:tab w:val="left" w:pos="993"/>
        </w:tabs>
        <w:ind w:left="0" w:firstLine="720"/>
        <w:contextualSpacing w:val="0"/>
        <w:rPr>
          <w:rFonts w:cs="Times New Roman"/>
          <w:b/>
          <w:bCs/>
          <w:iCs/>
          <w:lang w:val="lv-LV"/>
        </w:rPr>
      </w:pPr>
      <w:r w:rsidRPr="00484D23">
        <w:rPr>
          <w:rFonts w:cs="Times New Roman"/>
          <w:b/>
          <w:bCs/>
          <w:lang w:val="lv-LV"/>
        </w:rPr>
        <w:t>Stiprināt finanšu elastību, kā arī resoru pastāvību un atbildību rezultātu sasniegšanā. Pārskatīt atbildības lomas</w:t>
      </w:r>
      <w:r>
        <w:rPr>
          <w:rFonts w:cs="Times New Roman"/>
          <w:b/>
          <w:bCs/>
          <w:lang w:val="lv-LV"/>
        </w:rPr>
        <w:t xml:space="preserve"> finanšu vadībā,</w:t>
      </w:r>
      <w:r w:rsidRPr="00484D23">
        <w:rPr>
          <w:rFonts w:cs="Times New Roman"/>
          <w:b/>
          <w:bCs/>
          <w:lang w:val="lv-LV"/>
        </w:rPr>
        <w:t xml:space="preserve"> </w:t>
      </w:r>
      <w:r>
        <w:rPr>
          <w:rFonts w:cs="Times New Roman"/>
          <w:b/>
          <w:bCs/>
          <w:lang w:val="lv-LV"/>
        </w:rPr>
        <w:t>p</w:t>
      </w:r>
      <w:r w:rsidRPr="00484D23">
        <w:rPr>
          <w:rFonts w:cs="Times New Roman"/>
          <w:b/>
          <w:bCs/>
          <w:lang w:val="lv-LV"/>
        </w:rPr>
        <w:t>aredz</w:t>
      </w:r>
      <w:r>
        <w:rPr>
          <w:rFonts w:cs="Times New Roman"/>
          <w:b/>
          <w:bCs/>
          <w:lang w:val="lv-LV"/>
        </w:rPr>
        <w:t>o</w:t>
      </w:r>
      <w:r w:rsidRPr="00484D23">
        <w:rPr>
          <w:rFonts w:cs="Times New Roman"/>
          <w:b/>
          <w:bCs/>
          <w:lang w:val="lv-LV"/>
        </w:rPr>
        <w:t>t lielākas pilnvaras nozares ministram sadalīt (pārdalīt) līdzekļus resora budžeta ietvaros, akcentējot ministra un iestāžu vadītāju atbildību par savu prioritāšu un rezultātu sasniegšanu.</w:t>
      </w:r>
    </w:p>
    <w:p w14:paraId="0AB543C2" w14:textId="77777777" w:rsidR="00B12135" w:rsidRDefault="00B12135" w:rsidP="002C6F72">
      <w:pPr>
        <w:pStyle w:val="ListParagraph"/>
        <w:ind w:left="0" w:firstLine="720"/>
        <w:contextualSpacing w:val="0"/>
        <w:rPr>
          <w:rFonts w:cs="Times New Roman"/>
          <w:lang w:val="lv-LV"/>
        </w:rPr>
      </w:pPr>
      <w:r w:rsidRPr="001967F4">
        <w:rPr>
          <w:rFonts w:cs="Times New Roman"/>
          <w:lang w:val="lv-LV"/>
        </w:rPr>
        <w:t xml:space="preserve">Šobrīd gadskārtējā budžeta veidošanas procesā nozaru ministrijas daudz lielāku uzsvaru liek uz papildus finansējuma piešķīrumu, tādējādi </w:t>
      </w:r>
      <w:r>
        <w:rPr>
          <w:rFonts w:cs="Times New Roman"/>
          <w:lang w:val="lv-LV"/>
        </w:rPr>
        <w:t xml:space="preserve">neveltot pietiekošu uzmanību </w:t>
      </w:r>
      <w:r w:rsidRPr="001967F4">
        <w:rPr>
          <w:rFonts w:cs="Times New Roman"/>
          <w:lang w:val="lv-LV"/>
        </w:rPr>
        <w:t>esošo resursu efektivitātes izvērtēšan</w:t>
      </w:r>
      <w:r>
        <w:rPr>
          <w:rFonts w:cs="Times New Roman"/>
          <w:lang w:val="lv-LV"/>
        </w:rPr>
        <w:t>ai</w:t>
      </w:r>
      <w:r w:rsidRPr="001967F4">
        <w:rPr>
          <w:rFonts w:cs="Times New Roman"/>
          <w:lang w:val="lv-LV"/>
        </w:rPr>
        <w:t xml:space="preserve">. Papildus finansējuma pieprasījumi vienlaicīgi pārklājas gan ar finansējuma palielinājumu esošo funkciju nodrošināšanai, </w:t>
      </w:r>
      <w:r>
        <w:rPr>
          <w:rFonts w:cs="Times New Roman"/>
          <w:lang w:val="lv-LV"/>
        </w:rPr>
        <w:t xml:space="preserve">gan ar </w:t>
      </w:r>
      <w:r w:rsidRPr="001967F4">
        <w:rPr>
          <w:rFonts w:cs="Times New Roman"/>
          <w:lang w:val="lv-LV"/>
        </w:rPr>
        <w:t>jaunām prioritātēm un funkcijām. Nozaru ministrijas ir tās, kas vislabāk pārzin</w:t>
      </w:r>
      <w:r>
        <w:rPr>
          <w:rFonts w:cs="Times New Roman"/>
          <w:lang w:val="lv-LV"/>
        </w:rPr>
        <w:t>a</w:t>
      </w:r>
      <w:r w:rsidRPr="001967F4">
        <w:rPr>
          <w:rFonts w:cs="Times New Roman"/>
          <w:lang w:val="lv-LV"/>
        </w:rPr>
        <w:t xml:space="preserve"> savas nozares funkcijas un to </w:t>
      </w:r>
      <w:r w:rsidRPr="001967F4">
        <w:rPr>
          <w:rFonts w:cs="Times New Roman"/>
          <w:lang w:val="lv-LV"/>
        </w:rPr>
        <w:lastRenderedPageBreak/>
        <w:t xml:space="preserve">specifiku, un, </w:t>
      </w:r>
      <w:r>
        <w:rPr>
          <w:rFonts w:cs="Times New Roman"/>
          <w:lang w:val="lv-LV"/>
        </w:rPr>
        <w:t>lai</w:t>
      </w:r>
      <w:r w:rsidRPr="001967F4">
        <w:rPr>
          <w:rFonts w:cs="Times New Roman"/>
          <w:lang w:val="lv-LV"/>
        </w:rPr>
        <w:t xml:space="preserve"> arī ir iespējami funkciju efektivi</w:t>
      </w:r>
      <w:r>
        <w:rPr>
          <w:rFonts w:cs="Times New Roman"/>
          <w:lang w:val="lv-LV"/>
        </w:rPr>
        <w:t>zēšanas</w:t>
      </w:r>
      <w:r w:rsidRPr="001967F4">
        <w:rPr>
          <w:rFonts w:cs="Times New Roman"/>
          <w:lang w:val="lv-LV"/>
        </w:rPr>
        <w:t xml:space="preserve"> uzlabojumi, piemēram, piesaistot jomas ekspertus un citas ieinteresētās institūcijas, bez pašas nozaru ministrijas iniciatīvas jebkuras ārējo faktoru ierosinātās funkcionālās izmaiņas saskarsies ar pretestību, kur nozares ministrija būs savas nozares aizstāvja lomā.</w:t>
      </w:r>
    </w:p>
    <w:p w14:paraId="66F51A7A" w14:textId="77777777" w:rsidR="00B12135" w:rsidRDefault="00B12135" w:rsidP="002C6F72">
      <w:pPr>
        <w:pStyle w:val="ListParagraph"/>
        <w:ind w:left="0" w:firstLine="709"/>
        <w:contextualSpacing w:val="0"/>
        <w:rPr>
          <w:rFonts w:cs="Times New Roman"/>
          <w:lang w:val="lv-LV"/>
        </w:rPr>
      </w:pPr>
      <w:r w:rsidRPr="001967F4">
        <w:rPr>
          <w:rFonts w:cs="Times New Roman"/>
          <w:lang w:val="lv-LV"/>
        </w:rPr>
        <w:t>Esošajā budžeta procesā ir nepieciešami uzlabojumi, kas ļautu izpildvarai gūt pienācīgu pārliecību par valsts resursu efektīvu izmantošanu, savukārt nozaru ministrijām veicinātu paškritisku ieinteresētību attiecībā uz tām piešķirto resursu nepārtrauktu uz sniegum</w:t>
      </w:r>
      <w:r>
        <w:rPr>
          <w:rFonts w:cs="Times New Roman"/>
          <w:lang w:val="lv-LV"/>
        </w:rPr>
        <w:t>u</w:t>
      </w:r>
      <w:r w:rsidRPr="001967F4">
        <w:rPr>
          <w:rFonts w:cs="Times New Roman"/>
          <w:lang w:val="lv-LV"/>
        </w:rPr>
        <w:t xml:space="preserve"> un efektivitāt</w:t>
      </w:r>
      <w:r>
        <w:rPr>
          <w:rFonts w:cs="Times New Roman"/>
          <w:lang w:val="lv-LV"/>
        </w:rPr>
        <w:t>i</w:t>
      </w:r>
      <w:r w:rsidRPr="001967F4">
        <w:rPr>
          <w:rFonts w:cs="Times New Roman"/>
          <w:lang w:val="lv-LV"/>
        </w:rPr>
        <w:t xml:space="preserve"> balstītu pārvaldību.</w:t>
      </w:r>
    </w:p>
    <w:p w14:paraId="6405B294" w14:textId="77777777" w:rsidR="00B12135" w:rsidRDefault="00B12135" w:rsidP="002C6F72">
      <w:pPr>
        <w:pStyle w:val="ListParagraph"/>
        <w:ind w:left="0" w:firstLine="709"/>
        <w:contextualSpacing w:val="0"/>
        <w:rPr>
          <w:rFonts w:cs="Times New Roman"/>
          <w:lang w:val="lv-LV"/>
        </w:rPr>
      </w:pPr>
      <w:r>
        <w:rPr>
          <w:rFonts w:cs="Times New Roman"/>
          <w:lang w:val="lv-LV"/>
        </w:rPr>
        <w:t xml:space="preserve">Attiecīgi būtu jāpārskata budžeta plānošanas un izpildes procesā iesaistīto pušu atbildības lomas </w:t>
      </w:r>
      <w:r w:rsidRPr="00062C67">
        <w:rPr>
          <w:rFonts w:cs="Times New Roman"/>
          <w:lang w:val="lv-LV"/>
        </w:rPr>
        <w:t>finanšu vadīb</w:t>
      </w:r>
      <w:r>
        <w:rPr>
          <w:rFonts w:cs="Times New Roman"/>
          <w:lang w:val="lv-LV"/>
        </w:rPr>
        <w:t>ā:</w:t>
      </w:r>
    </w:p>
    <w:p w14:paraId="49A0C60F" w14:textId="77777777" w:rsidR="00B12135" w:rsidRDefault="00B12135" w:rsidP="0005194E">
      <w:pPr>
        <w:pStyle w:val="ListParagraph"/>
        <w:numPr>
          <w:ilvl w:val="0"/>
          <w:numId w:val="13"/>
        </w:numPr>
        <w:ind w:left="992" w:hanging="272"/>
        <w:contextualSpacing w:val="0"/>
        <w:rPr>
          <w:rFonts w:cs="Times New Roman"/>
          <w:lang w:val="lv-LV"/>
        </w:rPr>
      </w:pPr>
      <w:r>
        <w:rPr>
          <w:rFonts w:cs="Times New Roman"/>
          <w:lang w:val="lv-LV"/>
        </w:rPr>
        <w:t>n</w:t>
      </w:r>
      <w:r w:rsidRPr="00604035">
        <w:rPr>
          <w:rFonts w:cs="Times New Roman"/>
          <w:lang w:val="lv-LV"/>
        </w:rPr>
        <w:t>ozaru ministrijas – tiesīgas veikt finansējuma pārdali savas nozares politikas līmenī, vienlaicīgi informējot par to Saeimas budžeta komisiju attiecībā par finansējuma pārdalēm un pēc darbības jomas piekritīgo Saeimas komisiju par attīstības plānos veiktajām izmaiņām</w:t>
      </w:r>
      <w:r>
        <w:rPr>
          <w:rFonts w:cs="Times New Roman"/>
          <w:lang w:val="lv-LV"/>
        </w:rPr>
        <w:t>;</w:t>
      </w:r>
    </w:p>
    <w:p w14:paraId="37DB15AD" w14:textId="77777777" w:rsidR="00B12135" w:rsidRDefault="00B12135" w:rsidP="0005194E">
      <w:pPr>
        <w:pStyle w:val="ListParagraph"/>
        <w:numPr>
          <w:ilvl w:val="0"/>
          <w:numId w:val="13"/>
        </w:numPr>
        <w:ind w:left="992" w:hanging="272"/>
        <w:contextualSpacing w:val="0"/>
        <w:rPr>
          <w:rFonts w:cs="Times New Roman"/>
          <w:lang w:val="lv-LV"/>
        </w:rPr>
      </w:pPr>
      <w:r>
        <w:rPr>
          <w:rFonts w:cs="Times New Roman"/>
          <w:lang w:val="lv-LV"/>
        </w:rPr>
        <w:t>FM</w:t>
      </w:r>
      <w:r w:rsidRPr="001967F4">
        <w:rPr>
          <w:rFonts w:cs="Times New Roman"/>
          <w:lang w:val="lv-LV"/>
        </w:rPr>
        <w:t xml:space="preserve"> – veic sākotnējo diskusiju ar katru nozares ministriju </w:t>
      </w:r>
      <w:r>
        <w:rPr>
          <w:rFonts w:cs="Times New Roman"/>
          <w:lang w:val="lv-LV"/>
        </w:rPr>
        <w:t xml:space="preserve">par attiecīgās ministrijas attīstības plānošanas dokumentiem </w:t>
      </w:r>
      <w:r w:rsidRPr="001967F4">
        <w:rPr>
          <w:rFonts w:cs="Times New Roman"/>
          <w:lang w:val="lv-LV"/>
        </w:rPr>
        <w:t xml:space="preserve">un kopā ar </w:t>
      </w:r>
      <w:r w:rsidRPr="001967F4">
        <w:rPr>
          <w:rFonts w:cs="Times New Roman"/>
          <w:i/>
          <w:iCs/>
          <w:lang w:val="lv-LV"/>
        </w:rPr>
        <w:t>evidence-based</w:t>
      </w:r>
      <w:r w:rsidRPr="001967F4">
        <w:rPr>
          <w:rFonts w:cs="Times New Roman"/>
          <w:lang w:val="lv-LV"/>
        </w:rPr>
        <w:t xml:space="preserve"> izmaksu ieguvumu novērtējumu iesniedz to</w:t>
      </w:r>
      <w:r>
        <w:rPr>
          <w:rFonts w:cs="Times New Roman"/>
          <w:lang w:val="lv-LV"/>
        </w:rPr>
        <w:t>s</w:t>
      </w:r>
      <w:r w:rsidRPr="001967F4">
        <w:rPr>
          <w:rFonts w:cs="Times New Roman"/>
          <w:lang w:val="lv-LV"/>
        </w:rPr>
        <w:t xml:space="preserve"> valdībai</w:t>
      </w:r>
      <w:r>
        <w:rPr>
          <w:rFonts w:cs="Times New Roman"/>
          <w:lang w:val="lv-LV"/>
        </w:rPr>
        <w:t>;</w:t>
      </w:r>
    </w:p>
    <w:p w14:paraId="6ADB5AB9" w14:textId="77777777" w:rsidR="00B12135" w:rsidRPr="001967F4" w:rsidRDefault="00B12135" w:rsidP="0005194E">
      <w:pPr>
        <w:pStyle w:val="ListParagraph"/>
        <w:numPr>
          <w:ilvl w:val="0"/>
          <w:numId w:val="13"/>
        </w:numPr>
        <w:ind w:left="992" w:hanging="272"/>
        <w:contextualSpacing w:val="0"/>
        <w:rPr>
          <w:rFonts w:cs="Times New Roman"/>
          <w:lang w:val="lv-LV"/>
        </w:rPr>
      </w:pPr>
      <w:r>
        <w:rPr>
          <w:rFonts w:cs="Times New Roman"/>
          <w:lang w:val="lv-LV"/>
        </w:rPr>
        <w:t>m</w:t>
      </w:r>
      <w:r w:rsidRPr="001967F4">
        <w:rPr>
          <w:rFonts w:cs="Times New Roman"/>
          <w:lang w:val="lv-LV"/>
        </w:rPr>
        <w:t>inistru prezidents – vada diskusijas par katras politikas nozares</w:t>
      </w:r>
      <w:r>
        <w:rPr>
          <w:rFonts w:cs="Times New Roman"/>
          <w:lang w:val="lv-LV"/>
        </w:rPr>
        <w:t xml:space="preserve"> attīstības plānošanas dokumentiem;</w:t>
      </w:r>
    </w:p>
    <w:p w14:paraId="7C3452FB" w14:textId="77777777" w:rsidR="00B12135" w:rsidRPr="00276FE6" w:rsidRDefault="00B12135" w:rsidP="0005194E">
      <w:pPr>
        <w:pStyle w:val="ListParagraph"/>
        <w:numPr>
          <w:ilvl w:val="0"/>
          <w:numId w:val="13"/>
        </w:numPr>
        <w:ind w:left="992" w:hanging="272"/>
        <w:contextualSpacing w:val="0"/>
        <w:rPr>
          <w:rFonts w:cs="Times New Roman"/>
          <w:lang w:val="lv-LV"/>
        </w:rPr>
      </w:pPr>
      <w:r w:rsidRPr="001967F4">
        <w:rPr>
          <w:rFonts w:cs="Times New Roman"/>
          <w:lang w:val="lv-LV"/>
        </w:rPr>
        <w:t>Saeima – iesaistās Saeimas komisijas piekritīgās nozares politikas attīstības plānu apstiprināšanas procesā, savukārt budžet</w:t>
      </w:r>
      <w:r>
        <w:rPr>
          <w:rFonts w:cs="Times New Roman"/>
          <w:lang w:val="lv-LV"/>
        </w:rPr>
        <w:t>a</w:t>
      </w:r>
      <w:r w:rsidRPr="001967F4">
        <w:rPr>
          <w:rFonts w:cs="Times New Roman"/>
          <w:lang w:val="lv-LV"/>
        </w:rPr>
        <w:t xml:space="preserve"> likumu pieņem bez izvērstas izmaksu pozīciju detalizācijas</w:t>
      </w:r>
      <w:r>
        <w:rPr>
          <w:rFonts w:cs="Times New Roman"/>
          <w:lang w:val="lv-LV"/>
        </w:rPr>
        <w:t>.</w:t>
      </w:r>
    </w:p>
    <w:p w14:paraId="7E60570C" w14:textId="77777777" w:rsidR="00B12135" w:rsidRDefault="00B12135" w:rsidP="0005194E">
      <w:pPr>
        <w:pStyle w:val="ListParagraph"/>
        <w:numPr>
          <w:ilvl w:val="0"/>
          <w:numId w:val="14"/>
        </w:numPr>
        <w:tabs>
          <w:tab w:val="left" w:pos="993"/>
        </w:tabs>
        <w:ind w:left="0" w:firstLine="720"/>
        <w:contextualSpacing w:val="0"/>
        <w:rPr>
          <w:rFonts w:cs="Times New Roman"/>
          <w:b/>
          <w:bCs/>
          <w:lang w:val="lv-LV"/>
        </w:rPr>
      </w:pPr>
      <w:r w:rsidRPr="00604035">
        <w:rPr>
          <w:rFonts w:cs="Times New Roman"/>
          <w:b/>
          <w:bCs/>
          <w:lang w:val="lv-LV"/>
        </w:rPr>
        <w:t xml:space="preserve">Konkretizēt rezultātu sasniegšanas izmaksas, </w:t>
      </w:r>
      <w:r>
        <w:rPr>
          <w:rFonts w:cs="Times New Roman"/>
          <w:b/>
          <w:bCs/>
          <w:lang w:val="lv-LV"/>
        </w:rPr>
        <w:t>formulējot</w:t>
      </w:r>
      <w:r w:rsidRPr="00604035">
        <w:rPr>
          <w:rFonts w:cs="Times New Roman"/>
          <w:b/>
          <w:bCs/>
          <w:lang w:val="lv-LV"/>
        </w:rPr>
        <w:t xml:space="preserve"> sasniedzamus un jēgpilnus rezultātus valsts finansētajām aktivitātēm.</w:t>
      </w:r>
    </w:p>
    <w:p w14:paraId="50F86EE7" w14:textId="77777777" w:rsidR="00B12135" w:rsidRDefault="00B12135" w:rsidP="002C6F72">
      <w:pPr>
        <w:ind w:firstLine="720"/>
        <w:rPr>
          <w:rFonts w:cs="Times New Roman"/>
          <w:lang w:val="lv-LV"/>
        </w:rPr>
      </w:pPr>
      <w:r w:rsidRPr="001967F4">
        <w:rPr>
          <w:rFonts w:cs="Times New Roman"/>
          <w:lang w:val="lv-LV"/>
        </w:rPr>
        <w:t xml:space="preserve">Svarīga </w:t>
      </w:r>
      <w:r>
        <w:rPr>
          <w:rFonts w:cs="Times New Roman"/>
          <w:lang w:val="lv-LV"/>
        </w:rPr>
        <w:t xml:space="preserve">ir </w:t>
      </w:r>
      <w:r w:rsidRPr="001967F4">
        <w:rPr>
          <w:rFonts w:cs="Times New Roman"/>
          <w:lang w:val="lv-LV"/>
        </w:rPr>
        <w:t xml:space="preserve">rezultatīvo rādītāju un finanšu rādītāju cieša sasaiste. Koncentrēšanās uz rezultātu un resoru savstarpējo sadarbību programmu īstenošanā nozīmē budžeta izpildītāju atbildību par saviem pieņemtajiem lēmumiem un to sekām. Rezultatīvajiem rādītājiem jābūt skaidri definētiem, neiekļaujot tajos darbības aprakstu, </w:t>
      </w:r>
      <w:r>
        <w:rPr>
          <w:rFonts w:cs="Times New Roman"/>
          <w:lang w:val="lv-LV"/>
        </w:rPr>
        <w:t xml:space="preserve">bet </w:t>
      </w:r>
      <w:r w:rsidRPr="001967F4">
        <w:rPr>
          <w:rFonts w:cs="Times New Roman"/>
          <w:lang w:val="lv-LV"/>
        </w:rPr>
        <w:t xml:space="preserve">norādot konkrētu vērtību, kas iegūstama par tam piešķirtajiem finanšu resursiem. Šo rezultātu nesasniegšanai vai </w:t>
      </w:r>
      <w:r>
        <w:rPr>
          <w:rFonts w:cs="Times New Roman"/>
          <w:lang w:val="lv-LV"/>
        </w:rPr>
        <w:t xml:space="preserve">nepilnīgai </w:t>
      </w:r>
      <w:r w:rsidRPr="001967F4">
        <w:rPr>
          <w:rFonts w:cs="Times New Roman"/>
          <w:lang w:val="lv-LV"/>
        </w:rPr>
        <w:t xml:space="preserve">sasniegšanai vajadzētu kļūt par pamatu diskusijām par </w:t>
      </w:r>
      <w:r>
        <w:rPr>
          <w:rFonts w:cs="Times New Roman"/>
          <w:lang w:val="lv-LV"/>
        </w:rPr>
        <w:t>resoru budžeta izpildi</w:t>
      </w:r>
      <w:r w:rsidRPr="001967F4">
        <w:rPr>
          <w:rFonts w:cs="Times New Roman"/>
          <w:lang w:val="lv-LV"/>
        </w:rPr>
        <w:t>.</w:t>
      </w:r>
    </w:p>
    <w:p w14:paraId="65C38462" w14:textId="77777777" w:rsidR="00B12135" w:rsidRDefault="00B12135" w:rsidP="0005194E">
      <w:pPr>
        <w:pStyle w:val="ListParagraph"/>
        <w:numPr>
          <w:ilvl w:val="0"/>
          <w:numId w:val="14"/>
        </w:numPr>
        <w:tabs>
          <w:tab w:val="left" w:pos="993"/>
        </w:tabs>
        <w:ind w:left="0" w:firstLine="720"/>
        <w:contextualSpacing w:val="0"/>
        <w:rPr>
          <w:rFonts w:cs="Times New Roman"/>
          <w:b/>
          <w:bCs/>
          <w:lang w:val="lv-LV"/>
        </w:rPr>
      </w:pPr>
      <w:r w:rsidRPr="008273BA">
        <w:rPr>
          <w:rFonts w:cs="Times New Roman"/>
          <w:b/>
          <w:bCs/>
          <w:lang w:val="lv-LV"/>
        </w:rPr>
        <w:t>Samazināt tehnisko darbu (visu veidu uzskaites maksimāla automatizācija). Virzība uz vienotu IT sistēmu, kurā esošie dati tiek izmantoti valsts budžeta plānošanā, izpildē, grāmatvedības uzskaitē un pārskatu sagatavošanā.</w:t>
      </w:r>
    </w:p>
    <w:p w14:paraId="684ECE59" w14:textId="3C0E2163" w:rsidR="006B193E" w:rsidRDefault="00B12135" w:rsidP="004426B8">
      <w:pPr>
        <w:pStyle w:val="ListParagraph"/>
        <w:ind w:left="0" w:firstLine="709"/>
        <w:contextualSpacing w:val="0"/>
        <w:rPr>
          <w:rFonts w:cs="Times New Roman"/>
          <w:bCs/>
          <w:lang w:val="lv-LV"/>
        </w:rPr>
      </w:pPr>
      <w:r w:rsidRPr="00B84A8C">
        <w:rPr>
          <w:rFonts w:cs="Times New Roman"/>
          <w:bCs/>
          <w:lang w:val="lv-LV"/>
        </w:rPr>
        <w:t xml:space="preserve">Katrs darījums (saimnieciskais notikums) </w:t>
      </w:r>
      <w:r>
        <w:rPr>
          <w:rFonts w:cs="Times New Roman"/>
          <w:bCs/>
          <w:lang w:val="lv-LV"/>
        </w:rPr>
        <w:t>tiktu</w:t>
      </w:r>
      <w:r w:rsidRPr="00B84A8C">
        <w:rPr>
          <w:rFonts w:cs="Times New Roman"/>
          <w:bCs/>
          <w:lang w:val="lv-LV"/>
        </w:rPr>
        <w:t xml:space="preserve"> ievadīts (reģistrēts) </w:t>
      </w:r>
      <w:r>
        <w:rPr>
          <w:rFonts w:cs="Times New Roman"/>
          <w:bCs/>
          <w:lang w:val="lv-LV"/>
        </w:rPr>
        <w:t xml:space="preserve">informācijas sistēmā tikai </w:t>
      </w:r>
      <w:r w:rsidRPr="00B84A8C">
        <w:rPr>
          <w:rFonts w:cs="Times New Roman"/>
          <w:bCs/>
          <w:lang w:val="lv-LV"/>
        </w:rPr>
        <w:t xml:space="preserve">vienreiz </w:t>
      </w:r>
      <w:r>
        <w:rPr>
          <w:rFonts w:cs="Times New Roman"/>
          <w:bCs/>
          <w:lang w:val="lv-LV"/>
        </w:rPr>
        <w:t xml:space="preserve">un </w:t>
      </w:r>
      <w:r w:rsidRPr="00B84A8C">
        <w:rPr>
          <w:rFonts w:cs="Times New Roman"/>
          <w:bCs/>
          <w:lang w:val="lv-LV"/>
        </w:rPr>
        <w:t xml:space="preserve">ar iespējami </w:t>
      </w:r>
      <w:r>
        <w:rPr>
          <w:rFonts w:cs="Times New Roman"/>
          <w:bCs/>
          <w:lang w:val="lv-LV"/>
        </w:rPr>
        <w:t>lielāku</w:t>
      </w:r>
      <w:r w:rsidRPr="00B84A8C">
        <w:rPr>
          <w:rFonts w:cs="Times New Roman"/>
          <w:bCs/>
          <w:lang w:val="lv-LV"/>
        </w:rPr>
        <w:t xml:space="preserve"> raksturojoš</w:t>
      </w:r>
      <w:r>
        <w:rPr>
          <w:rFonts w:cs="Times New Roman"/>
          <w:bCs/>
          <w:lang w:val="lv-LV"/>
        </w:rPr>
        <w:t>o</w:t>
      </w:r>
      <w:r w:rsidRPr="00B84A8C">
        <w:rPr>
          <w:rFonts w:cs="Times New Roman"/>
          <w:bCs/>
          <w:lang w:val="lv-LV"/>
        </w:rPr>
        <w:t xml:space="preserve"> pazīm</w:t>
      </w:r>
      <w:r>
        <w:rPr>
          <w:rFonts w:cs="Times New Roman"/>
          <w:bCs/>
          <w:lang w:val="lv-LV"/>
        </w:rPr>
        <w:t xml:space="preserve">ju skaitu, tādējādi veidojot </w:t>
      </w:r>
      <w:r w:rsidRPr="00B84A8C">
        <w:rPr>
          <w:rFonts w:cs="Times New Roman"/>
          <w:bCs/>
          <w:lang w:val="lv-LV"/>
        </w:rPr>
        <w:t>“datu ezer</w:t>
      </w:r>
      <w:r>
        <w:rPr>
          <w:rFonts w:cs="Times New Roman"/>
          <w:bCs/>
          <w:lang w:val="lv-LV"/>
        </w:rPr>
        <w:t>u</w:t>
      </w:r>
      <w:r w:rsidRPr="00B84A8C">
        <w:rPr>
          <w:rFonts w:cs="Times New Roman"/>
          <w:bCs/>
          <w:lang w:val="lv-LV"/>
        </w:rPr>
        <w:t>”</w:t>
      </w:r>
      <w:r>
        <w:rPr>
          <w:rFonts w:cs="Times New Roman"/>
          <w:bCs/>
          <w:lang w:val="lv-LV"/>
        </w:rPr>
        <w:t>,</w:t>
      </w:r>
      <w:r w:rsidRPr="00B84A8C">
        <w:rPr>
          <w:rFonts w:cs="Times New Roman"/>
          <w:bCs/>
          <w:lang w:val="lv-LV"/>
        </w:rPr>
        <w:t xml:space="preserve"> </w:t>
      </w:r>
      <w:r>
        <w:rPr>
          <w:rFonts w:cs="Times New Roman"/>
          <w:bCs/>
          <w:lang w:val="lv-LV"/>
        </w:rPr>
        <w:t>kas</w:t>
      </w:r>
      <w:r w:rsidRPr="00B84A8C">
        <w:rPr>
          <w:rFonts w:cs="Times New Roman"/>
          <w:bCs/>
          <w:lang w:val="lv-LV"/>
        </w:rPr>
        <w:t xml:space="preserve"> turpmāk </w:t>
      </w:r>
      <w:r>
        <w:rPr>
          <w:rFonts w:cs="Times New Roman"/>
          <w:bCs/>
          <w:lang w:val="lv-LV"/>
        </w:rPr>
        <w:t>tiktu</w:t>
      </w:r>
      <w:r w:rsidRPr="00B84A8C">
        <w:rPr>
          <w:rFonts w:cs="Times New Roman"/>
          <w:bCs/>
          <w:lang w:val="lv-LV"/>
        </w:rPr>
        <w:t xml:space="preserve"> maksimāli automātiski izmantots dažādu veidu budžeta pārskatu un atskaišu sagatavošanai, lai pēc iespējas efektīvi izmantotu pieejamo informāciju un taupītu iestāžu resursus dažādu veidu uzskaites nodrošināšanai</w:t>
      </w:r>
      <w:r>
        <w:rPr>
          <w:rFonts w:cs="Times New Roman"/>
          <w:bCs/>
          <w:lang w:val="lv-LV"/>
        </w:rPr>
        <w:t xml:space="preserve"> (Attēls Nr. 4.1.2.)</w:t>
      </w:r>
      <w:r w:rsidRPr="00B84A8C">
        <w:rPr>
          <w:rFonts w:cs="Times New Roman"/>
          <w:bCs/>
          <w:lang w:val="lv-LV"/>
        </w:rPr>
        <w:t>.</w:t>
      </w:r>
    </w:p>
    <w:p w14:paraId="0523B893" w14:textId="5061899C" w:rsidR="00471534" w:rsidRDefault="00471534" w:rsidP="004426B8">
      <w:pPr>
        <w:pStyle w:val="ListParagraph"/>
        <w:ind w:left="0" w:firstLine="709"/>
        <w:contextualSpacing w:val="0"/>
        <w:rPr>
          <w:rFonts w:cs="Times New Roman"/>
          <w:bCs/>
          <w:lang w:val="lv-LV"/>
        </w:rPr>
      </w:pPr>
    </w:p>
    <w:p w14:paraId="48E9074E" w14:textId="2718CD8E" w:rsidR="00471534" w:rsidRDefault="00471534" w:rsidP="004426B8">
      <w:pPr>
        <w:pStyle w:val="ListParagraph"/>
        <w:ind w:left="0" w:firstLine="709"/>
        <w:contextualSpacing w:val="0"/>
        <w:rPr>
          <w:rFonts w:cs="Times New Roman"/>
          <w:bCs/>
          <w:lang w:val="lv-LV"/>
        </w:rPr>
      </w:pPr>
    </w:p>
    <w:p w14:paraId="7D927AF4" w14:textId="77777777" w:rsidR="00471534" w:rsidRPr="004426B8" w:rsidRDefault="00471534" w:rsidP="004426B8">
      <w:pPr>
        <w:pStyle w:val="ListParagraph"/>
        <w:ind w:left="0" w:firstLine="709"/>
        <w:contextualSpacing w:val="0"/>
        <w:rPr>
          <w:rFonts w:cs="Times New Roman"/>
          <w:bCs/>
          <w:lang w:val="lv-LV"/>
        </w:rPr>
      </w:pPr>
    </w:p>
    <w:p w14:paraId="3D900C43" w14:textId="5423465A" w:rsidR="00B12135" w:rsidRPr="002C6F72" w:rsidRDefault="00B12135" w:rsidP="002C6F72">
      <w:pPr>
        <w:pStyle w:val="ListParagraph"/>
        <w:spacing w:line="240" w:lineRule="auto"/>
        <w:ind w:left="0"/>
        <w:jc w:val="center"/>
        <w:rPr>
          <w:rFonts w:cs="Times New Roman"/>
          <w:bCs/>
          <w:sz w:val="22"/>
          <w:szCs w:val="20"/>
          <w:lang w:val="lv-LV"/>
        </w:rPr>
      </w:pPr>
      <w:r w:rsidRPr="002C6F72">
        <w:rPr>
          <w:rFonts w:cs="Times New Roman"/>
          <w:b/>
          <w:bCs/>
          <w:i/>
          <w:sz w:val="22"/>
          <w:szCs w:val="20"/>
          <w:lang w:val="lv-LV"/>
        </w:rPr>
        <w:lastRenderedPageBreak/>
        <w:t>4.1.2. attēls</w:t>
      </w:r>
      <w:r w:rsidRPr="002C6F72">
        <w:rPr>
          <w:rFonts w:cs="Times New Roman"/>
          <w:b/>
          <w:bCs/>
          <w:sz w:val="22"/>
          <w:szCs w:val="20"/>
          <w:lang w:val="lv-LV"/>
        </w:rPr>
        <w:t xml:space="preserve"> Nodrošināta uz vienotiem datiem balstīta budžeta un finanšu vadības procesu integritāte</w:t>
      </w:r>
    </w:p>
    <w:p w14:paraId="5A334E1D" w14:textId="77777777" w:rsidR="00B12135" w:rsidRPr="008273BA" w:rsidRDefault="00B12135" w:rsidP="00B12135">
      <w:pPr>
        <w:tabs>
          <w:tab w:val="left" w:pos="6237"/>
        </w:tabs>
        <w:spacing w:line="240" w:lineRule="auto"/>
        <w:ind w:left="720"/>
        <w:jc w:val="center"/>
        <w:rPr>
          <w:rFonts w:cs="Times New Roman"/>
          <w:bCs/>
          <w:lang w:val="lv-LV"/>
        </w:rPr>
      </w:pPr>
      <w:r>
        <w:rPr>
          <w:noProof/>
          <w:lang w:val="lv-LV" w:eastAsia="lv-LV"/>
        </w:rPr>
        <w:drawing>
          <wp:inline distT="0" distB="0" distL="0" distR="0" wp14:anchorId="7CA2A392" wp14:editId="6977CB70">
            <wp:extent cx="4189228" cy="3274291"/>
            <wp:effectExtent l="0" t="0" r="1905" b="254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4195856" cy="3279471"/>
                    </a:xfrm>
                    <a:prstGeom prst="rect">
                      <a:avLst/>
                    </a:prstGeom>
                  </pic:spPr>
                </pic:pic>
              </a:graphicData>
            </a:graphic>
          </wp:inline>
        </w:drawing>
      </w:r>
    </w:p>
    <w:p w14:paraId="7D489E53" w14:textId="77777777" w:rsidR="00B12135" w:rsidRPr="005C5E32" w:rsidRDefault="00B12135" w:rsidP="00FD6F12">
      <w:pPr>
        <w:ind w:firstLine="709"/>
        <w:rPr>
          <w:rFonts w:eastAsia="Times New Roman" w:cs="Times New Roman"/>
          <w:bCs/>
          <w:color w:val="000000"/>
          <w:szCs w:val="24"/>
          <w:lang w:val="lv-LV" w:eastAsia="lv-LV"/>
        </w:rPr>
      </w:pPr>
      <w:r w:rsidRPr="005C5E32">
        <w:rPr>
          <w:rFonts w:cs="Times New Roman"/>
          <w:bCs/>
          <w:lang w:val="lv-LV"/>
        </w:rPr>
        <w:t>Šajā procesā būtiska nozīme ir datu uzkrāšanas un apstrādes centralizācijas iespējām, jo viens no lielākajiem katras iestādes datu avotiem ir grāmatvedības uzskaite, kurā reģistrēti un dokumentāri pamatoti visi institucionālās vienības notikumi, tādējādi vispusīgi atspoguļojot institucionālās vienības saimniecisko darbību un finansiālo stāvokli. Grāmatvedības uzskaites informācija, uzkrāta dažādos griezumos un pēc nepieciešamības lielākā detalizācijā, var tālāk tikt izmantota dažādu datu iegūšanai. Tāpēc, realizējot valsts budžeta plānošanas un izpildes procesu vadības pilnveidi, ir nepieciešama arī valsts iestāžu grāmatvedības uzskaites metodoloģijas pilnveide, tai skaitā nodrošinot savstarpējo uzskaites veidu integrāciju, kā arī pārskatu informācijas savākšanas, iesniegšanas un uzskaites kārtošanas pilnveidi</w:t>
      </w:r>
      <w:r>
        <w:rPr>
          <w:rFonts w:cs="Times New Roman"/>
          <w:bCs/>
          <w:lang w:val="lv-LV"/>
        </w:rPr>
        <w:t>. Pie iepriekšminēto procesu pilnveides Valsts kase jau šobrīd veic aktīvu darbu un ilgtermiņā plāno vēl citu pasākumu īstenošanu iestāžu datu sekmīgākai apstrādei, atbalsta personāla centralizācijai un citu mērķu izpildei</w:t>
      </w:r>
      <w:r w:rsidRPr="005C5E32">
        <w:rPr>
          <w:rFonts w:cs="Times New Roman"/>
          <w:bCs/>
          <w:szCs w:val="24"/>
          <w:lang w:val="lv-LV"/>
        </w:rPr>
        <w:t>.</w:t>
      </w:r>
    </w:p>
    <w:p w14:paraId="65EED6A7" w14:textId="77777777" w:rsidR="00B12135" w:rsidRDefault="00B12135" w:rsidP="00FD6F12">
      <w:pPr>
        <w:rPr>
          <w:rFonts w:eastAsia="Times New Roman" w:cs="Times New Roman"/>
          <w:b/>
          <w:color w:val="000000"/>
          <w:szCs w:val="24"/>
          <w:lang w:val="lv-LV" w:eastAsia="lv-LV"/>
        </w:rPr>
      </w:pPr>
      <w:r>
        <w:rPr>
          <w:rFonts w:eastAsia="Times New Roman" w:cs="Times New Roman"/>
          <w:b/>
          <w:color w:val="000000"/>
          <w:szCs w:val="24"/>
          <w:lang w:val="lv-LV" w:eastAsia="lv-LV"/>
        </w:rPr>
        <w:t>Centralizētās grāmatvedības risinājumu ieguvumi un ieviešanas gaita</w:t>
      </w:r>
    </w:p>
    <w:p w14:paraId="16ADB24A" w14:textId="77777777" w:rsidR="00B12135" w:rsidRPr="006303C7" w:rsidRDefault="00B12135" w:rsidP="00FD6F12">
      <w:pPr>
        <w:ind w:firstLine="709"/>
        <w:rPr>
          <w:szCs w:val="24"/>
          <w:lang w:val="lv-LV"/>
        </w:rPr>
      </w:pPr>
      <w:r w:rsidRPr="006303C7">
        <w:rPr>
          <w:rFonts w:cs="Times New Roman"/>
          <w:szCs w:val="24"/>
          <w:lang w:val="lv-LV"/>
        </w:rPr>
        <w:t>OECD rekomendācijas</w:t>
      </w:r>
      <w:r w:rsidRPr="006303C7">
        <w:rPr>
          <w:rStyle w:val="FootnoteReference"/>
          <w:rFonts w:cs="Times New Roman"/>
          <w:szCs w:val="24"/>
          <w:lang w:val="lv-LV"/>
        </w:rPr>
        <w:footnoteReference w:id="58"/>
      </w:r>
      <w:r w:rsidRPr="006303C7">
        <w:rPr>
          <w:rFonts w:cs="Times New Roman"/>
          <w:szCs w:val="24"/>
          <w:lang w:val="lv-LV"/>
        </w:rPr>
        <w:t xml:space="preserve">, ko realizē arī vairākas </w:t>
      </w:r>
      <w:r>
        <w:rPr>
          <w:rFonts w:cs="Times New Roman"/>
          <w:szCs w:val="24"/>
          <w:lang w:val="lv-LV"/>
        </w:rPr>
        <w:t>ES</w:t>
      </w:r>
      <w:r w:rsidRPr="006303C7">
        <w:rPr>
          <w:rFonts w:cs="Times New Roman"/>
          <w:szCs w:val="24"/>
          <w:lang w:val="lv-LV"/>
        </w:rPr>
        <w:t xml:space="preserve"> dalībvalstis, kā būtiskus valsts publiskā sektora </w:t>
      </w:r>
      <w:r>
        <w:rPr>
          <w:rFonts w:cs="Times New Roman"/>
          <w:szCs w:val="24"/>
          <w:lang w:val="lv-LV"/>
        </w:rPr>
        <w:t xml:space="preserve">labas </w:t>
      </w:r>
      <w:r w:rsidRPr="006303C7">
        <w:rPr>
          <w:rFonts w:cs="Times New Roman"/>
          <w:szCs w:val="24"/>
          <w:lang w:val="lv-LV"/>
        </w:rPr>
        <w:t>pārvaldības elementus nosaka caurskatāmu budžeta veidošanu un atbilstošu grāmatvedības uzskaiti.</w:t>
      </w:r>
    </w:p>
    <w:p w14:paraId="209D90C2" w14:textId="77777777" w:rsidR="00B12135" w:rsidRPr="006303C7" w:rsidRDefault="00B12135" w:rsidP="00FD6F12">
      <w:pPr>
        <w:ind w:firstLine="709"/>
        <w:rPr>
          <w:rFonts w:cs="Times New Roman"/>
          <w:szCs w:val="24"/>
          <w:lang w:val="lv-LV"/>
        </w:rPr>
      </w:pPr>
      <w:r w:rsidRPr="006303C7">
        <w:rPr>
          <w:rFonts w:cs="Times New Roman"/>
          <w:szCs w:val="24"/>
          <w:lang w:val="lv-LV"/>
        </w:rPr>
        <w:t xml:space="preserve">Latvijā </w:t>
      </w:r>
      <w:r>
        <w:rPr>
          <w:rFonts w:cs="Times New Roman"/>
          <w:szCs w:val="24"/>
          <w:lang w:val="lv-LV"/>
        </w:rPr>
        <w:t>sasniegta</w:t>
      </w:r>
      <w:r w:rsidRPr="006303C7">
        <w:rPr>
          <w:rFonts w:cs="Times New Roman"/>
          <w:szCs w:val="24"/>
          <w:lang w:val="lv-LV"/>
        </w:rPr>
        <w:t xml:space="preserve"> 89% atbilstīb</w:t>
      </w:r>
      <w:r>
        <w:rPr>
          <w:rFonts w:cs="Times New Roman"/>
          <w:szCs w:val="24"/>
          <w:lang w:val="lv-LV"/>
        </w:rPr>
        <w:t>a</w:t>
      </w:r>
      <w:r w:rsidRPr="006303C7">
        <w:rPr>
          <w:rFonts w:cs="Times New Roman"/>
          <w:szCs w:val="24"/>
          <w:lang w:val="lv-LV"/>
        </w:rPr>
        <w:t xml:space="preserve"> starptautiskiem publiskā sektora grāmatvedības standartiem (IPSAS), izveido</w:t>
      </w:r>
      <w:r>
        <w:rPr>
          <w:rFonts w:cs="Times New Roman"/>
          <w:szCs w:val="24"/>
          <w:lang w:val="lv-LV"/>
        </w:rPr>
        <w:t>ts</w:t>
      </w:r>
      <w:r w:rsidRPr="006303C7">
        <w:rPr>
          <w:rFonts w:cs="Times New Roman"/>
          <w:szCs w:val="24"/>
          <w:lang w:val="lv-LV"/>
        </w:rPr>
        <w:t xml:space="preserve"> vienoto kontu plān</w:t>
      </w:r>
      <w:r>
        <w:rPr>
          <w:rFonts w:cs="Times New Roman"/>
          <w:szCs w:val="24"/>
          <w:lang w:val="lv-LV"/>
        </w:rPr>
        <w:t>s</w:t>
      </w:r>
      <w:r w:rsidRPr="006303C7">
        <w:rPr>
          <w:rFonts w:cs="Times New Roman"/>
          <w:szCs w:val="24"/>
          <w:lang w:val="lv-LV"/>
        </w:rPr>
        <w:t xml:space="preserve"> un valsts budžeta finanšu likviditāt</w:t>
      </w:r>
      <w:r>
        <w:rPr>
          <w:rFonts w:cs="Times New Roman"/>
          <w:szCs w:val="24"/>
          <w:lang w:val="lv-LV"/>
        </w:rPr>
        <w:t>e tiek</w:t>
      </w:r>
      <w:r w:rsidRPr="006303C7">
        <w:rPr>
          <w:rFonts w:cs="Times New Roman"/>
          <w:szCs w:val="24"/>
          <w:lang w:val="lv-LV"/>
        </w:rPr>
        <w:t xml:space="preserve"> pārvald</w:t>
      </w:r>
      <w:r>
        <w:rPr>
          <w:rFonts w:cs="Times New Roman"/>
          <w:szCs w:val="24"/>
          <w:lang w:val="lv-LV"/>
        </w:rPr>
        <w:t>īta</w:t>
      </w:r>
      <w:r w:rsidRPr="006303C7">
        <w:rPr>
          <w:rFonts w:cs="Times New Roman"/>
          <w:szCs w:val="24"/>
          <w:lang w:val="lv-LV"/>
        </w:rPr>
        <w:t xml:space="preserve"> kases vienotā konta (TAS) ietvaros, </w:t>
      </w:r>
      <w:r>
        <w:rPr>
          <w:rFonts w:cs="Times New Roman"/>
          <w:szCs w:val="24"/>
          <w:lang w:val="lv-LV"/>
        </w:rPr>
        <w:t>tomēr</w:t>
      </w:r>
      <w:r w:rsidRPr="006303C7">
        <w:rPr>
          <w:rFonts w:cs="Times New Roman"/>
          <w:szCs w:val="24"/>
          <w:lang w:val="lv-LV"/>
        </w:rPr>
        <w:t xml:space="preserve"> vēl </w:t>
      </w:r>
      <w:r>
        <w:rPr>
          <w:rFonts w:cs="Times New Roman"/>
          <w:szCs w:val="24"/>
          <w:lang w:val="lv-LV"/>
        </w:rPr>
        <w:t xml:space="preserve">veicamas </w:t>
      </w:r>
      <w:r w:rsidRPr="006303C7">
        <w:rPr>
          <w:rFonts w:cs="Times New Roman"/>
          <w:szCs w:val="24"/>
          <w:lang w:val="lv-LV"/>
        </w:rPr>
        <w:t>reformas, kas virzītu Latviju:</w:t>
      </w:r>
    </w:p>
    <w:p w14:paraId="57C72E14" w14:textId="77777777" w:rsidR="00B12135" w:rsidRPr="006303C7" w:rsidRDefault="00B12135" w:rsidP="0005194E">
      <w:pPr>
        <w:pStyle w:val="ListParagraph"/>
        <w:numPr>
          <w:ilvl w:val="0"/>
          <w:numId w:val="15"/>
        </w:numPr>
        <w:ind w:left="993" w:hanging="284"/>
        <w:contextualSpacing w:val="0"/>
        <w:rPr>
          <w:rFonts w:cs="Times New Roman"/>
          <w:szCs w:val="24"/>
          <w:lang w:val="lv-LV"/>
        </w:rPr>
      </w:pPr>
      <w:r w:rsidRPr="006303C7">
        <w:rPr>
          <w:rFonts w:cs="Times New Roman"/>
          <w:szCs w:val="24"/>
          <w:lang w:val="lv-LV"/>
        </w:rPr>
        <w:t xml:space="preserve">uz rezultātu </w:t>
      </w:r>
      <w:r>
        <w:rPr>
          <w:rFonts w:cs="Times New Roman"/>
          <w:szCs w:val="24"/>
          <w:lang w:val="lv-LV"/>
        </w:rPr>
        <w:t>orientētu</w:t>
      </w:r>
      <w:r w:rsidRPr="006303C7">
        <w:rPr>
          <w:rFonts w:cs="Times New Roman"/>
          <w:szCs w:val="24"/>
          <w:lang w:val="lv-LV"/>
        </w:rPr>
        <w:t xml:space="preserve"> valsts budžeta plānošanu un izpildes uzraudzību (</w:t>
      </w:r>
      <w:r w:rsidRPr="006303C7">
        <w:rPr>
          <w:rFonts w:cs="Times New Roman"/>
          <w:i/>
          <w:szCs w:val="24"/>
          <w:lang w:val="lv-LV"/>
        </w:rPr>
        <w:t>performance budgeting</w:t>
      </w:r>
      <w:r w:rsidRPr="006303C7">
        <w:rPr>
          <w:rFonts w:cs="Times New Roman"/>
          <w:szCs w:val="24"/>
          <w:lang w:val="lv-LV"/>
        </w:rPr>
        <w:t>);</w:t>
      </w:r>
    </w:p>
    <w:p w14:paraId="0F3F99AC" w14:textId="77777777" w:rsidR="00B12135" w:rsidRDefault="00B12135" w:rsidP="0005194E">
      <w:pPr>
        <w:pStyle w:val="ListParagraph"/>
        <w:numPr>
          <w:ilvl w:val="0"/>
          <w:numId w:val="15"/>
        </w:numPr>
        <w:ind w:left="993" w:hanging="284"/>
        <w:contextualSpacing w:val="0"/>
        <w:rPr>
          <w:rFonts w:cs="Times New Roman"/>
          <w:szCs w:val="24"/>
          <w:lang w:val="lv-LV"/>
        </w:rPr>
      </w:pPr>
      <w:r w:rsidRPr="006303C7">
        <w:rPr>
          <w:rFonts w:cs="Times New Roman"/>
          <w:szCs w:val="24"/>
          <w:lang w:val="lv-LV"/>
        </w:rPr>
        <w:lastRenderedPageBreak/>
        <w:t>uz budžeta un sasniegto rezultātu reāla laika datu pārvaldību un biznesa inteliģences (BI) attīstību;</w:t>
      </w:r>
    </w:p>
    <w:p w14:paraId="52814BB7" w14:textId="740B719F" w:rsidR="00B12135" w:rsidRPr="00FD6F12" w:rsidRDefault="00B12135" w:rsidP="0005194E">
      <w:pPr>
        <w:pStyle w:val="ListParagraph"/>
        <w:numPr>
          <w:ilvl w:val="0"/>
          <w:numId w:val="15"/>
        </w:numPr>
        <w:ind w:left="993" w:hanging="284"/>
        <w:contextualSpacing w:val="0"/>
        <w:rPr>
          <w:rFonts w:cs="Times New Roman"/>
          <w:szCs w:val="24"/>
          <w:lang w:val="lv-LV"/>
        </w:rPr>
      </w:pPr>
      <w:r w:rsidRPr="00693E36">
        <w:rPr>
          <w:rFonts w:cs="Times New Roman"/>
          <w:szCs w:val="24"/>
          <w:lang w:val="lv-LV"/>
        </w:rPr>
        <w:t xml:space="preserve">uz grāmatvedības un personāla vadības funkcijas centralizāciju, nodrošinot </w:t>
      </w:r>
      <w:r>
        <w:rPr>
          <w:rFonts w:cs="Times New Roman"/>
          <w:szCs w:val="24"/>
          <w:lang w:val="lv-LV"/>
        </w:rPr>
        <w:t>vienota formāta</w:t>
      </w:r>
      <w:r w:rsidRPr="00693E36">
        <w:rPr>
          <w:rFonts w:cs="Times New Roman"/>
          <w:szCs w:val="24"/>
          <w:lang w:val="lv-LV"/>
        </w:rPr>
        <w:t>, izsekojamus un caurskatāmus datus politikas veidotājiem.</w:t>
      </w:r>
    </w:p>
    <w:p w14:paraId="45429FC5" w14:textId="77777777" w:rsidR="00B12135" w:rsidRDefault="00B12135" w:rsidP="00FD6F12">
      <w:pPr>
        <w:rPr>
          <w:rFonts w:cs="Times New Roman"/>
          <w:i/>
          <w:szCs w:val="24"/>
          <w:lang w:val="lv-LV"/>
        </w:rPr>
      </w:pPr>
      <w:r>
        <w:rPr>
          <w:rFonts w:cs="Times New Roman"/>
          <w:i/>
          <w:szCs w:val="24"/>
          <w:lang w:val="lv-LV"/>
        </w:rPr>
        <w:t>Līdzšinēji veikto pasākumu apkopojums</w:t>
      </w:r>
    </w:p>
    <w:p w14:paraId="694C542D" w14:textId="4A2CEE95" w:rsidR="0033137E" w:rsidRPr="00BB127A" w:rsidRDefault="00B12135" w:rsidP="00713439">
      <w:pPr>
        <w:ind w:firstLine="709"/>
        <w:rPr>
          <w:rFonts w:cs="Times New Roman"/>
          <w:szCs w:val="24"/>
          <w:lang w:val="lv-LV"/>
        </w:rPr>
      </w:pPr>
      <w:r>
        <w:rPr>
          <w:rFonts w:cs="Times New Roman"/>
          <w:szCs w:val="24"/>
          <w:lang w:val="lv-LV"/>
        </w:rPr>
        <w:t>FM</w:t>
      </w:r>
      <w:r w:rsidRPr="006303C7">
        <w:rPr>
          <w:rFonts w:cs="Times New Roman"/>
          <w:szCs w:val="24"/>
          <w:lang w:val="lv-LV"/>
        </w:rPr>
        <w:t xml:space="preserve"> un Valsts kase </w:t>
      </w:r>
      <w:r>
        <w:rPr>
          <w:rFonts w:cs="Times New Roman"/>
          <w:szCs w:val="24"/>
          <w:lang w:val="lv-LV"/>
        </w:rPr>
        <w:t>kopš</w:t>
      </w:r>
      <w:r w:rsidRPr="006303C7">
        <w:rPr>
          <w:rFonts w:cs="Times New Roman"/>
          <w:szCs w:val="24"/>
          <w:lang w:val="lv-LV"/>
        </w:rPr>
        <w:t xml:space="preserve"> 2011.</w:t>
      </w:r>
      <w:r>
        <w:rPr>
          <w:rFonts w:cs="Times New Roman"/>
          <w:szCs w:val="24"/>
          <w:lang w:val="lv-LV"/>
        </w:rPr>
        <w:t> </w:t>
      </w:r>
      <w:r w:rsidRPr="006303C7">
        <w:rPr>
          <w:rFonts w:cs="Times New Roman"/>
          <w:szCs w:val="24"/>
          <w:lang w:val="lv-LV"/>
        </w:rPr>
        <w:t>gada ir attīstījusi un centralizējusi grāmatvedības uzskaites pakalpojumu gan resora iestādēm, gan daļai no centrālajām valsts iestādēm (</w:t>
      </w:r>
      <w:r w:rsidR="007D00BC">
        <w:rPr>
          <w:rFonts w:cs="Times New Roman"/>
          <w:color w:val="000000"/>
          <w:szCs w:val="24"/>
          <w:lang w:val="lv-LV"/>
        </w:rPr>
        <w:t>VK</w:t>
      </w:r>
      <w:r w:rsidRPr="006303C7">
        <w:rPr>
          <w:rFonts w:cs="Times New Roman"/>
          <w:color w:val="000000"/>
          <w:szCs w:val="24"/>
          <w:lang w:val="lv-LV"/>
        </w:rPr>
        <w:t xml:space="preserve">, </w:t>
      </w:r>
      <w:r>
        <w:rPr>
          <w:rFonts w:cs="Times New Roman"/>
          <w:color w:val="000000"/>
          <w:szCs w:val="24"/>
          <w:lang w:val="lv-LV"/>
        </w:rPr>
        <w:t>PKC</w:t>
      </w:r>
      <w:r w:rsidRPr="006303C7">
        <w:rPr>
          <w:rFonts w:cs="Times New Roman"/>
          <w:color w:val="000000"/>
          <w:szCs w:val="24"/>
          <w:lang w:val="lv-LV"/>
        </w:rPr>
        <w:t>, Valsts administrācijas skolai un Nacionālajai elektronisko plašsaziņas līdzekļu padomei)</w:t>
      </w:r>
      <w:r>
        <w:rPr>
          <w:rFonts w:cs="Times New Roman"/>
          <w:szCs w:val="24"/>
          <w:lang w:val="lv-LV"/>
        </w:rPr>
        <w:t xml:space="preserve"> (Attēls Nr. 4.1.3.).</w:t>
      </w:r>
    </w:p>
    <w:p w14:paraId="74C2C7A8" w14:textId="77777777" w:rsidR="00B12135" w:rsidRPr="00FD6F12" w:rsidRDefault="00B12135" w:rsidP="00B12135">
      <w:pPr>
        <w:spacing w:line="240" w:lineRule="auto"/>
        <w:jc w:val="center"/>
        <w:rPr>
          <w:rFonts w:cs="Times New Roman"/>
          <w:b/>
          <w:sz w:val="22"/>
          <w:lang w:val="lv-LV"/>
        </w:rPr>
      </w:pPr>
      <w:r w:rsidRPr="00FD6F12">
        <w:rPr>
          <w:rFonts w:cs="Times New Roman"/>
          <w:b/>
          <w:bCs/>
          <w:i/>
          <w:sz w:val="22"/>
          <w:szCs w:val="20"/>
          <w:lang w:val="lv-LV"/>
        </w:rPr>
        <w:t>4.1.3. attēls</w:t>
      </w:r>
      <w:r w:rsidRPr="00FD6F12">
        <w:rPr>
          <w:rFonts w:cs="Times New Roman"/>
          <w:b/>
          <w:bCs/>
          <w:sz w:val="22"/>
          <w:szCs w:val="20"/>
          <w:lang w:val="lv-LV"/>
        </w:rPr>
        <w:t xml:space="preserve"> Grāmatvedības uzskaites pakalpojuma sniegšana FM resorā un centrālajās valsts iestādēs</w:t>
      </w:r>
    </w:p>
    <w:p w14:paraId="6F727DC7" w14:textId="77777777" w:rsidR="00B12135" w:rsidRPr="00276FE6" w:rsidRDefault="00B12135" w:rsidP="00B12135">
      <w:pPr>
        <w:spacing w:line="240" w:lineRule="auto"/>
        <w:jc w:val="center"/>
        <w:rPr>
          <w:color w:val="1F497D"/>
          <w:lang w:val="lv-LV"/>
        </w:rPr>
      </w:pPr>
      <w:r w:rsidRPr="006303C7">
        <w:rPr>
          <w:noProof/>
          <w:lang w:val="lv-LV" w:eastAsia="lv-LV"/>
        </w:rPr>
        <w:drawing>
          <wp:inline distT="0" distB="0" distL="0" distR="0" wp14:anchorId="2E679D53" wp14:editId="580B4714">
            <wp:extent cx="5422900" cy="2997835"/>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422900" cy="2997835"/>
                    </a:xfrm>
                    <a:prstGeom prst="rect">
                      <a:avLst/>
                    </a:prstGeom>
                  </pic:spPr>
                </pic:pic>
              </a:graphicData>
            </a:graphic>
          </wp:inline>
        </w:drawing>
      </w:r>
    </w:p>
    <w:p w14:paraId="16501DFA" w14:textId="77777777" w:rsidR="00B12135" w:rsidRPr="006303C7" w:rsidRDefault="00B12135" w:rsidP="001D7A9E">
      <w:pPr>
        <w:spacing w:before="120"/>
        <w:ind w:firstLine="709"/>
        <w:rPr>
          <w:rFonts w:cs="Times New Roman"/>
          <w:szCs w:val="24"/>
          <w:lang w:val="lv-LV"/>
        </w:rPr>
      </w:pPr>
      <w:r>
        <w:rPr>
          <w:rFonts w:cs="Times New Roman"/>
          <w:szCs w:val="24"/>
          <w:lang w:val="lv-LV"/>
        </w:rPr>
        <w:t>Grāmatvedības uzskaites centralizēšanas rezultātā konstatējami vairāki ieguvumi iestāžu darba pilnveidei un uzlabošanai</w:t>
      </w:r>
      <w:r w:rsidRPr="006303C7">
        <w:rPr>
          <w:rFonts w:cs="Times New Roman"/>
          <w:bCs/>
          <w:szCs w:val="24"/>
          <w:lang w:val="lv-LV"/>
        </w:rPr>
        <w:t>:</w:t>
      </w:r>
    </w:p>
    <w:p w14:paraId="1A9ABBD7" w14:textId="77777777" w:rsidR="00B12135" w:rsidRPr="006303C7" w:rsidRDefault="00B12135" w:rsidP="001D7A9E">
      <w:pPr>
        <w:pStyle w:val="ListParagraph"/>
        <w:numPr>
          <w:ilvl w:val="0"/>
          <w:numId w:val="16"/>
        </w:numPr>
        <w:spacing w:before="120"/>
        <w:ind w:left="992" w:hanging="272"/>
        <w:contextualSpacing w:val="0"/>
        <w:rPr>
          <w:rFonts w:cs="Times New Roman"/>
          <w:szCs w:val="24"/>
          <w:lang w:val="lv-LV"/>
        </w:rPr>
      </w:pPr>
      <w:r w:rsidRPr="006303C7">
        <w:rPr>
          <w:rFonts w:cs="Times New Roman"/>
          <w:szCs w:val="24"/>
          <w:lang w:val="lv-LV"/>
        </w:rPr>
        <w:t>efektīva grāmatvedības funkcijas realizācija un kvalitatīvi uzskaites dati;</w:t>
      </w:r>
    </w:p>
    <w:p w14:paraId="3D24ED8A" w14:textId="77777777" w:rsidR="00B12135" w:rsidRPr="006303C7" w:rsidRDefault="00B12135" w:rsidP="001D7A9E">
      <w:pPr>
        <w:pStyle w:val="ListParagraph"/>
        <w:numPr>
          <w:ilvl w:val="0"/>
          <w:numId w:val="16"/>
        </w:numPr>
        <w:spacing w:before="120"/>
        <w:ind w:left="992" w:hanging="272"/>
        <w:contextualSpacing w:val="0"/>
        <w:rPr>
          <w:rFonts w:cs="Times New Roman"/>
          <w:lang w:val="lv-LV"/>
        </w:rPr>
      </w:pPr>
      <w:r w:rsidRPr="006303C7">
        <w:rPr>
          <w:rFonts w:cs="Times New Roman"/>
          <w:lang w:val="lv-LV"/>
        </w:rPr>
        <w:t>savlaicīgi sagatavoti un iesniegti finanšu pārskati;</w:t>
      </w:r>
    </w:p>
    <w:p w14:paraId="4CB99715" w14:textId="5C5779BD" w:rsidR="00B12135" w:rsidRPr="006303C7" w:rsidRDefault="00B12135" w:rsidP="001D7A9E">
      <w:pPr>
        <w:pStyle w:val="ListParagraph"/>
        <w:numPr>
          <w:ilvl w:val="0"/>
          <w:numId w:val="16"/>
        </w:numPr>
        <w:spacing w:before="120"/>
        <w:ind w:left="992" w:hanging="272"/>
        <w:contextualSpacing w:val="0"/>
        <w:rPr>
          <w:rFonts w:cs="Times New Roman"/>
          <w:lang w:val="lv-LV"/>
        </w:rPr>
      </w:pPr>
      <w:r w:rsidRPr="006303C7">
        <w:rPr>
          <w:rFonts w:cs="Times New Roman"/>
          <w:lang w:val="lv-LV"/>
        </w:rPr>
        <w:t xml:space="preserve">centralizēta komunikācija ar auditoriem, neiesaistot iestādes resursus finanšu revīzijas jautājumos. Centralizēta sadarbība ar </w:t>
      </w:r>
      <w:r>
        <w:rPr>
          <w:rFonts w:cs="Times New Roman"/>
          <w:lang w:val="lv-LV"/>
        </w:rPr>
        <w:t>VKo</w:t>
      </w:r>
      <w:r w:rsidRPr="006303C7">
        <w:rPr>
          <w:rFonts w:cs="Times New Roman"/>
          <w:lang w:val="lv-LV"/>
        </w:rPr>
        <w:t xml:space="preserve"> palīdz ātrāk identificēt problēmjautājumus un</w:t>
      </w:r>
      <w:r>
        <w:rPr>
          <w:rFonts w:cs="Times New Roman"/>
          <w:lang w:val="lv-LV"/>
        </w:rPr>
        <w:t>, ja nepieciešams,</w:t>
      </w:r>
      <w:r w:rsidRPr="006303C7">
        <w:rPr>
          <w:rFonts w:cs="Times New Roman"/>
          <w:lang w:val="lv-LV"/>
        </w:rPr>
        <w:t xml:space="preserve"> veikt operatīvus labojumus, vienlaikus pārbaudot arī pārējo iestāžu uzskaites datus, tādējādi nodrošinot </w:t>
      </w:r>
      <w:r>
        <w:rPr>
          <w:rFonts w:cs="Times New Roman"/>
          <w:lang w:val="lv-LV"/>
        </w:rPr>
        <w:t>to korektumu</w:t>
      </w:r>
      <w:r w:rsidRPr="006303C7">
        <w:rPr>
          <w:rFonts w:cs="Times New Roman"/>
          <w:lang w:val="lv-LV"/>
        </w:rPr>
        <w:t xml:space="preserve"> visu iestāžu grāmatvedībā;</w:t>
      </w:r>
    </w:p>
    <w:p w14:paraId="06E5D334" w14:textId="77777777" w:rsidR="00B12135" w:rsidRPr="006303C7" w:rsidRDefault="00B12135" w:rsidP="001D7A9E">
      <w:pPr>
        <w:pStyle w:val="ListParagraph"/>
        <w:numPr>
          <w:ilvl w:val="0"/>
          <w:numId w:val="16"/>
        </w:numPr>
        <w:spacing w:before="120"/>
        <w:ind w:left="992" w:hanging="272"/>
        <w:contextualSpacing w:val="0"/>
        <w:rPr>
          <w:rFonts w:cs="Times New Roman"/>
          <w:lang w:val="lv-LV"/>
        </w:rPr>
      </w:pPr>
      <w:r w:rsidRPr="006303C7">
        <w:rPr>
          <w:rFonts w:cs="Times New Roman"/>
          <w:lang w:val="lv-LV"/>
        </w:rPr>
        <w:t>integrētas personāla uzskaites informācijas sistēmas izmantošana personāla datu uzskaitei un elektroniskai informācijas apritei (atvaļinājuma pieteikumi, darba laika uzskaites tabeles, rīkojumi u.c.);</w:t>
      </w:r>
    </w:p>
    <w:p w14:paraId="39E42BD0" w14:textId="77777777" w:rsidR="00B12135" w:rsidRPr="006303C7" w:rsidRDefault="00B12135" w:rsidP="001D7A9E">
      <w:pPr>
        <w:pStyle w:val="ListParagraph"/>
        <w:numPr>
          <w:ilvl w:val="0"/>
          <w:numId w:val="16"/>
        </w:numPr>
        <w:spacing w:before="120"/>
        <w:ind w:left="992" w:hanging="272"/>
        <w:contextualSpacing w:val="0"/>
        <w:rPr>
          <w:rFonts w:cs="Times New Roman"/>
          <w:lang w:val="lv-LV"/>
        </w:rPr>
      </w:pPr>
      <w:r w:rsidRPr="006303C7">
        <w:rPr>
          <w:rFonts w:cs="Times New Roman"/>
          <w:lang w:val="lv-LV"/>
        </w:rPr>
        <w:t>centralizētas personāla uzskaites informācijas sistēmas izmantošana;</w:t>
      </w:r>
    </w:p>
    <w:p w14:paraId="01718DB4" w14:textId="77777777" w:rsidR="00B12135" w:rsidRPr="006303C7" w:rsidRDefault="00B12135" w:rsidP="001D7A9E">
      <w:pPr>
        <w:pStyle w:val="ListParagraph"/>
        <w:numPr>
          <w:ilvl w:val="0"/>
          <w:numId w:val="16"/>
        </w:numPr>
        <w:spacing w:before="120"/>
        <w:ind w:left="993" w:hanging="273"/>
        <w:contextualSpacing w:val="0"/>
        <w:rPr>
          <w:rFonts w:cs="Times New Roman"/>
          <w:lang w:val="lv-LV"/>
        </w:rPr>
      </w:pPr>
      <w:r>
        <w:rPr>
          <w:rFonts w:cs="Times New Roman"/>
          <w:lang w:val="lv-LV"/>
        </w:rPr>
        <w:t>iestādes</w:t>
      </w:r>
      <w:r w:rsidRPr="006303C7">
        <w:rPr>
          <w:rFonts w:cs="Times New Roman"/>
          <w:lang w:val="lv-LV"/>
        </w:rPr>
        <w:t xml:space="preserve"> rīcībā esošo cilvēkresursu un piešķirto budžeta līdzekļu </w:t>
      </w:r>
      <w:r>
        <w:rPr>
          <w:rFonts w:cs="Times New Roman"/>
          <w:lang w:val="lv-LV"/>
        </w:rPr>
        <w:t xml:space="preserve">efektīva izmantošana </w:t>
      </w:r>
      <w:r w:rsidRPr="006303C7">
        <w:rPr>
          <w:rFonts w:cs="Times New Roman"/>
          <w:lang w:val="lv-LV"/>
        </w:rPr>
        <w:t xml:space="preserve">iestādes pamata funkciju īstenošanai. </w:t>
      </w:r>
    </w:p>
    <w:p w14:paraId="7C55DC46" w14:textId="77777777" w:rsidR="00B12135" w:rsidRPr="006303C7" w:rsidRDefault="00B12135" w:rsidP="001D7A9E">
      <w:pPr>
        <w:pStyle w:val="NormalWeb"/>
        <w:spacing w:before="120" w:beforeAutospacing="0" w:after="120" w:afterAutospacing="0" w:line="259" w:lineRule="auto"/>
        <w:ind w:firstLine="709"/>
        <w:jc w:val="both"/>
        <w:rPr>
          <w:color w:val="000000"/>
          <w:lang w:val="lv-LV"/>
        </w:rPr>
      </w:pPr>
      <w:r w:rsidRPr="006303C7">
        <w:rPr>
          <w:color w:val="000000"/>
          <w:lang w:val="lv-LV"/>
        </w:rPr>
        <w:lastRenderedPageBreak/>
        <w:t>2020.</w:t>
      </w:r>
      <w:r>
        <w:rPr>
          <w:color w:val="000000"/>
          <w:lang w:val="lv-LV"/>
        </w:rPr>
        <w:t> un </w:t>
      </w:r>
      <w:r w:rsidRPr="006303C7">
        <w:rPr>
          <w:color w:val="000000"/>
          <w:lang w:val="lv-LV"/>
        </w:rPr>
        <w:t>2021.</w:t>
      </w:r>
      <w:r>
        <w:rPr>
          <w:color w:val="000000"/>
          <w:lang w:val="lv-LV"/>
        </w:rPr>
        <w:t> </w:t>
      </w:r>
      <w:r w:rsidRPr="006303C7">
        <w:rPr>
          <w:color w:val="000000"/>
          <w:lang w:val="lv-LV"/>
        </w:rPr>
        <w:t xml:space="preserve">gadā ir veikti Valsts kases sniegtā grāmatvedības uzskaites pakalpojuma pilnveidošanas darbi, virzoties uz automatizāciju un manuālā darba </w:t>
      </w:r>
      <w:r>
        <w:rPr>
          <w:color w:val="000000"/>
          <w:lang w:val="lv-LV"/>
        </w:rPr>
        <w:t>sa</w:t>
      </w:r>
      <w:r w:rsidRPr="006303C7">
        <w:rPr>
          <w:color w:val="000000"/>
          <w:lang w:val="lv-LV"/>
        </w:rPr>
        <w:t>mazināšanu, kā arī maksimāli efektīvu informācijas sistēmas iespēju izmantošanu</w:t>
      </w:r>
      <w:r>
        <w:rPr>
          <w:color w:val="000000"/>
          <w:lang w:val="lv-LV"/>
        </w:rPr>
        <w:t>. Kā uzlabojumi minami:</w:t>
      </w:r>
    </w:p>
    <w:p w14:paraId="04F057E1"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 xml:space="preserve">maksimāli automatizēta atlīdzības, ceturkšņa un gada pārskata izveide </w:t>
      </w:r>
      <w:r>
        <w:rPr>
          <w:lang w:val="lv-LV"/>
        </w:rPr>
        <w:t>“</w:t>
      </w:r>
      <w:r w:rsidRPr="006303C7">
        <w:rPr>
          <w:lang w:val="lv-LV"/>
        </w:rPr>
        <w:t>Microstrategy BI</w:t>
      </w:r>
      <w:r>
        <w:rPr>
          <w:lang w:val="lv-LV"/>
        </w:rPr>
        <w:t>”</w:t>
      </w:r>
      <w:r w:rsidRPr="006303C7">
        <w:rPr>
          <w:lang w:val="lv-LV"/>
        </w:rPr>
        <w:t>, kas nodrošina, ka liela daļa normatīvajos aktos noteikto pārskatu izveidei nepieciešamās kvantitatīvās informācija</w:t>
      </w:r>
      <w:r>
        <w:rPr>
          <w:lang w:val="lv-LV"/>
        </w:rPr>
        <w:t>s</w:t>
      </w:r>
      <w:r w:rsidRPr="006303C7">
        <w:rPr>
          <w:lang w:val="lv-LV"/>
        </w:rPr>
        <w:t xml:space="preserve"> tiek automātiski sagatavota no grāmatvedības uzskaites sistēmas datiem;</w:t>
      </w:r>
    </w:p>
    <w:p w14:paraId="136807B7"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 xml:space="preserve">veikta </w:t>
      </w:r>
      <w:r>
        <w:rPr>
          <w:lang w:val="lv-LV"/>
        </w:rPr>
        <w:t>savstarpējo norēķinu salīdzināšana</w:t>
      </w:r>
      <w:r w:rsidRPr="006303C7">
        <w:rPr>
          <w:lang w:val="lv-LV"/>
        </w:rPr>
        <w:t xml:space="preserve"> ar debitoriem un kreditoriem (ārpus valsts sektora)</w:t>
      </w:r>
      <w:r>
        <w:rPr>
          <w:lang w:val="lv-LV"/>
        </w:rPr>
        <w:t>,</w:t>
      </w:r>
      <w:r w:rsidRPr="006303C7">
        <w:rPr>
          <w:lang w:val="lv-LV"/>
        </w:rPr>
        <w:t xml:space="preserve"> aktu automatizēta izveide un nosūtīšana no </w:t>
      </w:r>
      <w:r>
        <w:rPr>
          <w:lang w:val="lv-LV"/>
        </w:rPr>
        <w:t>“</w:t>
      </w:r>
      <w:r w:rsidRPr="006303C7">
        <w:rPr>
          <w:lang w:val="lv-LV"/>
        </w:rPr>
        <w:t>Horizon</w:t>
      </w:r>
      <w:r>
        <w:rPr>
          <w:lang w:val="lv-LV"/>
        </w:rPr>
        <w:t>”</w:t>
      </w:r>
      <w:r w:rsidRPr="006303C7">
        <w:rPr>
          <w:lang w:val="lv-LV"/>
        </w:rPr>
        <w:t xml:space="preserve">, tādējādi ir nodrošināta šim procesam nepieciešamo datu atkalizmantošana </w:t>
      </w:r>
      <w:r>
        <w:rPr>
          <w:lang w:val="lv-LV"/>
        </w:rPr>
        <w:t>(</w:t>
      </w:r>
      <w:r w:rsidRPr="006303C7">
        <w:rPr>
          <w:lang w:val="lv-LV"/>
        </w:rPr>
        <w:t xml:space="preserve">nav nepieciešama datu </w:t>
      </w:r>
      <w:r>
        <w:rPr>
          <w:lang w:val="lv-LV"/>
        </w:rPr>
        <w:t>atkārtota ievade</w:t>
      </w:r>
      <w:r w:rsidRPr="006303C7">
        <w:rPr>
          <w:lang w:val="lv-LV"/>
        </w:rPr>
        <w:t xml:space="preserve"> manuāl</w:t>
      </w:r>
      <w:r>
        <w:rPr>
          <w:lang w:val="lv-LV"/>
        </w:rPr>
        <w:t>ā veidā)</w:t>
      </w:r>
      <w:r w:rsidRPr="006303C7">
        <w:rPr>
          <w:lang w:val="lv-LV"/>
        </w:rPr>
        <w:t>, kā arī ir ietaupīts laiks salīdzināšanās aktu nosūtīšanai;</w:t>
      </w:r>
    </w:p>
    <w:p w14:paraId="18FCBB12"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ieviesta automatizēta PVN atskaišu izveidošana, tādējādi mazinot kļūdu risku un atskaišu izveidei nepieciešamo laiku;</w:t>
      </w:r>
    </w:p>
    <w:p w14:paraId="32A14EDF"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ieviesta debitoru un kreditoru analītikas salīdzināšana ar virsgrāmatu, izmantojot Excel spraudni, tādējādi samazin</w:t>
      </w:r>
      <w:r>
        <w:rPr>
          <w:lang w:val="lv-LV"/>
        </w:rPr>
        <w:t>ot</w:t>
      </w:r>
      <w:r w:rsidRPr="006303C7">
        <w:rPr>
          <w:lang w:val="lv-LV"/>
        </w:rPr>
        <w:t xml:space="preserve"> manuālā darba un pārbaudei nepieciešam</w:t>
      </w:r>
      <w:r>
        <w:rPr>
          <w:lang w:val="lv-LV"/>
        </w:rPr>
        <w:t>o</w:t>
      </w:r>
      <w:r w:rsidRPr="006303C7">
        <w:rPr>
          <w:lang w:val="lv-LV"/>
        </w:rPr>
        <w:t xml:space="preserve"> laik</w:t>
      </w:r>
      <w:r>
        <w:rPr>
          <w:lang w:val="lv-LV"/>
        </w:rPr>
        <w:t>u</w:t>
      </w:r>
      <w:r w:rsidRPr="006303C7">
        <w:rPr>
          <w:lang w:val="lv-LV"/>
        </w:rPr>
        <w:t>;</w:t>
      </w:r>
    </w:p>
    <w:p w14:paraId="715B96BA"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veikta kontu inventarizācijas sarakstu izveide ar Excel spraudni, tādējādi nodrošin</w:t>
      </w:r>
      <w:r>
        <w:rPr>
          <w:lang w:val="lv-LV"/>
        </w:rPr>
        <w:t>ot</w:t>
      </w:r>
      <w:r w:rsidRPr="006303C7">
        <w:rPr>
          <w:lang w:val="lv-LV"/>
        </w:rPr>
        <w:t xml:space="preserve"> šim procesam nepieciešamo datu atkalizmantošan</w:t>
      </w:r>
      <w:r>
        <w:rPr>
          <w:lang w:val="lv-LV"/>
        </w:rPr>
        <w:t>u</w:t>
      </w:r>
      <w:r w:rsidRPr="006303C7">
        <w:rPr>
          <w:lang w:val="lv-LV"/>
        </w:rPr>
        <w:t xml:space="preserve"> </w:t>
      </w:r>
      <w:r>
        <w:rPr>
          <w:lang w:val="lv-LV"/>
        </w:rPr>
        <w:t>(</w:t>
      </w:r>
      <w:r w:rsidRPr="006303C7">
        <w:rPr>
          <w:lang w:val="lv-LV"/>
        </w:rPr>
        <w:t xml:space="preserve">nav nepieciešama datu </w:t>
      </w:r>
      <w:r>
        <w:rPr>
          <w:lang w:val="lv-LV"/>
        </w:rPr>
        <w:t>atkārtota ievade</w:t>
      </w:r>
      <w:r w:rsidRPr="006303C7">
        <w:rPr>
          <w:lang w:val="lv-LV"/>
        </w:rPr>
        <w:t xml:space="preserve"> manuāl</w:t>
      </w:r>
      <w:r>
        <w:rPr>
          <w:lang w:val="lv-LV"/>
        </w:rPr>
        <w:t>ā veidā)</w:t>
      </w:r>
      <w:r w:rsidRPr="006303C7">
        <w:rPr>
          <w:lang w:val="lv-LV"/>
        </w:rPr>
        <w:t>;</w:t>
      </w:r>
    </w:p>
    <w:p w14:paraId="61B255FA"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vienādots inventarizācijas process iestādēs – ieviesta inventarizācija ar elektronisko kodu lasītāju un standartizēta inventarizācijas sarakstu sagatavošana;</w:t>
      </w:r>
    </w:p>
    <w:p w14:paraId="11995421"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ieviesta sistēmas analītiskās uzskaites un virsgrāmatas automatizēta</w:t>
      </w:r>
      <w:r>
        <w:rPr>
          <w:lang w:val="lv-LV"/>
        </w:rPr>
        <w:t>i</w:t>
      </w:r>
      <w:r w:rsidRPr="006303C7">
        <w:rPr>
          <w:lang w:val="lv-LV"/>
        </w:rPr>
        <w:t xml:space="preserve"> salīdzināšana</w:t>
      </w:r>
      <w:r>
        <w:rPr>
          <w:lang w:val="lv-LV"/>
        </w:rPr>
        <w:t>i</w:t>
      </w:r>
      <w:r w:rsidRPr="006303C7">
        <w:rPr>
          <w:lang w:val="lv-LV"/>
        </w:rPr>
        <w:t>, nodrošinot operatīvu datu pārbaudi un samazinot kļūdu risku uzskaitē;</w:t>
      </w:r>
    </w:p>
    <w:p w14:paraId="423D3694" w14:textId="77777777" w:rsidR="00B12135" w:rsidRPr="006303C7"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ieviests jauninātais komandējumu un saimniecisko izdevumu uzskaites modulis, kas nodrošina iestāžu darbiniekiem automatizētu un standartizētu komandējumu pieteik</w:t>
      </w:r>
      <w:r>
        <w:rPr>
          <w:lang w:val="lv-LV"/>
        </w:rPr>
        <w:t>šanas procesu</w:t>
      </w:r>
      <w:r w:rsidRPr="006303C7">
        <w:rPr>
          <w:lang w:val="lv-LV"/>
        </w:rPr>
        <w:t xml:space="preserve"> un ērtu attaisnojuma izdevumu dokumentu iesniegšanu, nodrošinot iestādēm ātru un ērtu komandējuma rīkojumu sagatavošanu, tādējādi </w:t>
      </w:r>
      <w:r>
        <w:rPr>
          <w:lang w:val="lv-LV"/>
        </w:rPr>
        <w:t>samazinot</w:t>
      </w:r>
      <w:r w:rsidRPr="006303C7">
        <w:rPr>
          <w:lang w:val="lv-LV"/>
        </w:rPr>
        <w:t xml:space="preserve"> procesam nepieciešamo laiku;</w:t>
      </w:r>
    </w:p>
    <w:p w14:paraId="41639545" w14:textId="77777777" w:rsidR="00B12135"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303C7">
        <w:rPr>
          <w:lang w:val="lv-LV"/>
        </w:rPr>
        <w:t xml:space="preserve">nodrošināts informācijas imports no VID EDS (par darbnespējas lapām un algas nodokļu grāmatiņām), līdz ar to </w:t>
      </w:r>
      <w:r>
        <w:rPr>
          <w:lang w:val="lv-LV"/>
        </w:rPr>
        <w:t>samazinot</w:t>
      </w:r>
      <w:r w:rsidRPr="006303C7">
        <w:rPr>
          <w:lang w:val="lv-LV"/>
        </w:rPr>
        <w:t xml:space="preserve"> manuāl</w:t>
      </w:r>
      <w:r>
        <w:rPr>
          <w:lang w:val="lv-LV"/>
        </w:rPr>
        <w:t>o</w:t>
      </w:r>
      <w:r w:rsidRPr="006303C7">
        <w:rPr>
          <w:lang w:val="lv-LV"/>
        </w:rPr>
        <w:t xml:space="preserve"> darb</w:t>
      </w:r>
      <w:r>
        <w:rPr>
          <w:lang w:val="lv-LV"/>
        </w:rPr>
        <w:t>u</w:t>
      </w:r>
      <w:r w:rsidRPr="006303C7">
        <w:rPr>
          <w:lang w:val="lv-LV"/>
        </w:rPr>
        <w:t xml:space="preserve"> </w:t>
      </w:r>
      <w:r w:rsidRPr="00E04D04">
        <w:rPr>
          <w:lang w:val="lv-LV"/>
        </w:rPr>
        <w:t>to apstrādē;</w:t>
      </w:r>
    </w:p>
    <w:p w14:paraId="2462592D" w14:textId="77777777" w:rsidR="00B12135" w:rsidRPr="00693E36" w:rsidRDefault="00B12135" w:rsidP="001D7A9E">
      <w:pPr>
        <w:pStyle w:val="NormalWeb"/>
        <w:numPr>
          <w:ilvl w:val="0"/>
          <w:numId w:val="17"/>
        </w:numPr>
        <w:spacing w:before="120" w:beforeAutospacing="0" w:after="120" w:afterAutospacing="0" w:line="259" w:lineRule="auto"/>
        <w:ind w:left="993" w:hanging="284"/>
        <w:jc w:val="both"/>
        <w:rPr>
          <w:lang w:val="lv-LV"/>
        </w:rPr>
      </w:pPr>
      <w:r w:rsidRPr="00693E36">
        <w:rPr>
          <w:lang w:val="lv-LV"/>
        </w:rPr>
        <w:t>visām iestādēm ir ieviests pilns pašapkalpošanās moduļa klāsts.</w:t>
      </w:r>
    </w:p>
    <w:p w14:paraId="6C03D668" w14:textId="77777777" w:rsidR="00B12135" w:rsidRPr="006303C7" w:rsidRDefault="00B12135" w:rsidP="001D7A9E">
      <w:pPr>
        <w:spacing w:before="120"/>
        <w:ind w:firstLine="709"/>
        <w:rPr>
          <w:rFonts w:cs="Times New Roman"/>
          <w:lang w:val="lv-LV"/>
        </w:rPr>
      </w:pPr>
      <w:r w:rsidRPr="006303C7">
        <w:rPr>
          <w:rFonts w:cs="Times New Roman"/>
          <w:lang w:val="lv-LV"/>
        </w:rPr>
        <w:t xml:space="preserve">2020. gadā Valsts kase ir uzsākusi darbu pie elektronisko rēķinu (eRēķinu) izmantošanas ieviešanas un realizējusi </w:t>
      </w:r>
      <w:r>
        <w:rPr>
          <w:rFonts w:cs="Times New Roman"/>
          <w:lang w:val="lv-LV"/>
        </w:rPr>
        <w:t>“</w:t>
      </w:r>
      <w:r w:rsidRPr="006303C7">
        <w:rPr>
          <w:rFonts w:cs="Times New Roman"/>
          <w:lang w:val="lv-LV"/>
        </w:rPr>
        <w:t>Horizon</w:t>
      </w:r>
      <w:r>
        <w:rPr>
          <w:rFonts w:cs="Times New Roman"/>
          <w:lang w:val="lv-LV"/>
        </w:rPr>
        <w:t>”</w:t>
      </w:r>
      <w:r w:rsidRPr="006303C7">
        <w:rPr>
          <w:rFonts w:cs="Times New Roman"/>
          <w:lang w:val="lv-LV"/>
        </w:rPr>
        <w:t xml:space="preserve"> integrāciju ar </w:t>
      </w:r>
      <w:r>
        <w:rPr>
          <w:rFonts w:cs="Times New Roman"/>
          <w:lang w:val="lv-LV"/>
        </w:rPr>
        <w:t>“</w:t>
      </w:r>
      <w:r w:rsidRPr="006303C7">
        <w:rPr>
          <w:rFonts w:cs="Times New Roman"/>
          <w:lang w:val="lv-LV"/>
        </w:rPr>
        <w:t>Unifiedpost</w:t>
      </w:r>
      <w:r>
        <w:rPr>
          <w:rFonts w:cs="Times New Roman"/>
          <w:lang w:val="lv-LV"/>
        </w:rPr>
        <w:t>”</w:t>
      </w:r>
      <w:r w:rsidRPr="006303C7">
        <w:rPr>
          <w:rFonts w:cs="Times New Roman"/>
          <w:lang w:val="lv-LV"/>
        </w:rPr>
        <w:t xml:space="preserve"> e-rēķinu platformu. Risinājums ar salīdzinoši zemām izmaksām nodrošina elektronisko rēķinu nosūtīšanu un saņemšanu tiešsaistes režīmā. Valsts kase ir noslēgusi sadarbības līgumu ar </w:t>
      </w:r>
      <w:r>
        <w:rPr>
          <w:rFonts w:cs="Times New Roman"/>
          <w:lang w:val="lv-LV"/>
        </w:rPr>
        <w:t>“</w:t>
      </w:r>
      <w:r w:rsidRPr="006303C7">
        <w:rPr>
          <w:rFonts w:cs="Times New Roman"/>
          <w:lang w:val="lv-LV"/>
        </w:rPr>
        <w:t>Unifiedpost</w:t>
      </w:r>
      <w:r>
        <w:rPr>
          <w:rFonts w:cs="Times New Roman"/>
          <w:lang w:val="lv-LV"/>
        </w:rPr>
        <w:t>”</w:t>
      </w:r>
      <w:r w:rsidRPr="006303C7">
        <w:rPr>
          <w:rFonts w:cs="Times New Roman"/>
          <w:lang w:val="lv-LV"/>
        </w:rPr>
        <w:t xml:space="preserve"> par e-rēķinu piegādi un automātisku </w:t>
      </w:r>
      <w:r>
        <w:rPr>
          <w:rFonts w:cs="Times New Roman"/>
          <w:lang w:val="lv-LV"/>
        </w:rPr>
        <w:t>augšup</w:t>
      </w:r>
      <w:r w:rsidRPr="006303C7">
        <w:rPr>
          <w:rFonts w:cs="Times New Roman"/>
          <w:lang w:val="lv-LV"/>
        </w:rPr>
        <w:t xml:space="preserve">ielādi grāmatvedības uzskaites sistēmā, un ir saņemti pirmie eRēķini. </w:t>
      </w:r>
    </w:p>
    <w:p w14:paraId="6A45436C" w14:textId="77777777" w:rsidR="00B12135" w:rsidRPr="006303C7" w:rsidRDefault="00B12135" w:rsidP="001D7A9E">
      <w:pPr>
        <w:spacing w:before="120"/>
        <w:ind w:firstLine="709"/>
        <w:rPr>
          <w:color w:val="000000"/>
          <w:lang w:val="lv-LV"/>
        </w:rPr>
      </w:pPr>
      <w:r w:rsidRPr="006303C7">
        <w:rPr>
          <w:rFonts w:cs="Times New Roman"/>
          <w:lang w:val="lv-LV"/>
        </w:rPr>
        <w:t>2021.</w:t>
      </w:r>
      <w:r>
        <w:rPr>
          <w:rFonts w:cs="Times New Roman"/>
          <w:lang w:val="lv-LV"/>
        </w:rPr>
        <w:t> </w:t>
      </w:r>
      <w:r w:rsidRPr="006303C7">
        <w:rPr>
          <w:rFonts w:cs="Times New Roman"/>
          <w:lang w:val="lv-LV"/>
        </w:rPr>
        <w:t xml:space="preserve">gadā tiek turpināts eRēķinu ieviešanas projekts ar mērķi līdz </w:t>
      </w:r>
      <w:r>
        <w:rPr>
          <w:rFonts w:cs="Times New Roman"/>
          <w:lang w:val="lv-LV"/>
        </w:rPr>
        <w:t xml:space="preserve">attiecīgā </w:t>
      </w:r>
      <w:r w:rsidRPr="006303C7">
        <w:rPr>
          <w:rFonts w:cs="Times New Roman"/>
          <w:lang w:val="lv-LV"/>
        </w:rPr>
        <w:t xml:space="preserve">gada beigām visām grāmatvedības uzskaites pakalpojumu saņemošajām iestādēm </w:t>
      </w:r>
      <w:r>
        <w:rPr>
          <w:rFonts w:cs="Times New Roman"/>
          <w:lang w:val="lv-LV"/>
        </w:rPr>
        <w:t xml:space="preserve">nodrošināt </w:t>
      </w:r>
      <w:r w:rsidRPr="006303C7">
        <w:rPr>
          <w:rFonts w:cs="Times New Roman"/>
          <w:lang w:val="lv-LV"/>
        </w:rPr>
        <w:t>iespēju saņemt un izrakstīt eRēķinus</w:t>
      </w:r>
      <w:r>
        <w:rPr>
          <w:rFonts w:cs="Times New Roman"/>
          <w:lang w:val="lv-LV"/>
        </w:rPr>
        <w:t xml:space="preserve">, kuru </w:t>
      </w:r>
      <w:r w:rsidRPr="006303C7">
        <w:rPr>
          <w:rFonts w:cs="Times New Roman"/>
          <w:lang w:val="lv-LV"/>
        </w:rPr>
        <w:t>izmantošana veicinās turpmākās procesa</w:t>
      </w:r>
      <w:r w:rsidRPr="006303C7">
        <w:rPr>
          <w:color w:val="000000"/>
          <w:lang w:val="lv-LV"/>
        </w:rPr>
        <w:t xml:space="preserve"> </w:t>
      </w:r>
      <w:r w:rsidRPr="006303C7">
        <w:rPr>
          <w:rFonts w:cs="Times New Roman"/>
          <w:lang w:val="lv-LV"/>
        </w:rPr>
        <w:t>automatizācijas iespējas</w:t>
      </w:r>
      <w:r>
        <w:rPr>
          <w:rFonts w:cs="Times New Roman"/>
          <w:lang w:val="lv-LV"/>
        </w:rPr>
        <w:t xml:space="preserve">, kā arī </w:t>
      </w:r>
      <w:r w:rsidRPr="006303C7">
        <w:rPr>
          <w:rFonts w:cs="Times New Roman"/>
          <w:lang w:val="lv-LV"/>
        </w:rPr>
        <w:t>dokumentu aprites un saskaņošanas procesa vienkāršošanu iestādē.</w:t>
      </w:r>
    </w:p>
    <w:p w14:paraId="7E3878F2" w14:textId="77777777" w:rsidR="00B12135" w:rsidRPr="00D616AE" w:rsidRDefault="00B12135" w:rsidP="001D7A9E">
      <w:pPr>
        <w:spacing w:before="120"/>
        <w:rPr>
          <w:rFonts w:cs="Times New Roman"/>
          <w:i/>
          <w:color w:val="1F4E79" w:themeColor="accent1" w:themeShade="80"/>
          <w:szCs w:val="24"/>
          <w:lang w:val="lv-LV"/>
        </w:rPr>
      </w:pPr>
      <w:r w:rsidRPr="00D616AE">
        <w:rPr>
          <w:rFonts w:cs="Times New Roman"/>
          <w:i/>
          <w:szCs w:val="24"/>
          <w:lang w:val="lv-LV"/>
        </w:rPr>
        <w:t>Nākotnes vīzija par reformu publisko finanšu vadībā</w:t>
      </w:r>
    </w:p>
    <w:p w14:paraId="5784DFA3" w14:textId="04A02922" w:rsidR="00B12135" w:rsidRPr="006303C7" w:rsidRDefault="00B12135" w:rsidP="001D7A9E">
      <w:pPr>
        <w:spacing w:before="120"/>
        <w:ind w:firstLine="709"/>
        <w:rPr>
          <w:rFonts w:cs="Times New Roman"/>
          <w:szCs w:val="24"/>
          <w:lang w:val="lv-LV"/>
        </w:rPr>
      </w:pPr>
      <w:r w:rsidRPr="006303C7">
        <w:rPr>
          <w:rFonts w:cs="Times New Roman"/>
          <w:szCs w:val="24"/>
          <w:lang w:val="lv-LV"/>
        </w:rPr>
        <w:lastRenderedPageBreak/>
        <w:t>Lai pilnveidotu un attīstītu</w:t>
      </w:r>
      <w:r w:rsidRPr="006303C7">
        <w:rPr>
          <w:rFonts w:cs="Times New Roman"/>
          <w:b/>
          <w:szCs w:val="24"/>
          <w:lang w:val="lv-LV"/>
        </w:rPr>
        <w:t xml:space="preserve"> </w:t>
      </w:r>
      <w:r w:rsidRPr="006303C7">
        <w:rPr>
          <w:rFonts w:cs="Times New Roman"/>
          <w:szCs w:val="24"/>
          <w:lang w:val="lv-LV"/>
        </w:rPr>
        <w:t xml:space="preserve">uz rezultātu </w:t>
      </w:r>
      <w:r>
        <w:rPr>
          <w:rFonts w:cs="Times New Roman"/>
          <w:szCs w:val="24"/>
          <w:lang w:val="lv-LV"/>
        </w:rPr>
        <w:t>orientētu</w:t>
      </w:r>
      <w:r w:rsidRPr="006303C7">
        <w:rPr>
          <w:rFonts w:cs="Times New Roman"/>
          <w:szCs w:val="24"/>
          <w:lang w:val="lv-LV"/>
        </w:rPr>
        <w:t xml:space="preserve"> valsts budžeta plānošanu un kontroli (</w:t>
      </w:r>
      <w:r w:rsidRPr="006303C7">
        <w:rPr>
          <w:rFonts w:cs="Times New Roman"/>
          <w:i/>
          <w:szCs w:val="24"/>
          <w:lang w:val="lv-LV"/>
        </w:rPr>
        <w:t>performance budgeting</w:t>
      </w:r>
      <w:r w:rsidRPr="006303C7">
        <w:rPr>
          <w:rFonts w:cs="Times New Roman"/>
          <w:szCs w:val="24"/>
          <w:lang w:val="lv-LV"/>
        </w:rPr>
        <w:t>), biznesa inteliģences (BI) attīstību un rastu optimālu grāmatvedības un personāla vadības funkcijas centralizācijas modeli, 2021.</w:t>
      </w:r>
      <w:r>
        <w:rPr>
          <w:rFonts w:cs="Times New Roman"/>
          <w:szCs w:val="24"/>
          <w:lang w:val="lv-LV"/>
        </w:rPr>
        <w:t> </w:t>
      </w:r>
      <w:r w:rsidRPr="006303C7">
        <w:rPr>
          <w:rFonts w:cs="Times New Roman"/>
          <w:szCs w:val="24"/>
          <w:lang w:val="lv-LV"/>
        </w:rPr>
        <w:t xml:space="preserve">gada III ceturksnī </w:t>
      </w:r>
      <w:r>
        <w:rPr>
          <w:rFonts w:cs="Times New Roman"/>
          <w:szCs w:val="24"/>
          <w:lang w:val="lv-LV"/>
        </w:rPr>
        <w:t xml:space="preserve">sadarbībā ar </w:t>
      </w:r>
      <w:r w:rsidR="007D00BC">
        <w:rPr>
          <w:rFonts w:cs="Times New Roman"/>
          <w:szCs w:val="24"/>
          <w:lang w:val="lv-LV"/>
        </w:rPr>
        <w:t>VK</w:t>
      </w:r>
      <w:r>
        <w:rPr>
          <w:rFonts w:cs="Times New Roman"/>
          <w:szCs w:val="24"/>
          <w:lang w:val="lv-LV"/>
        </w:rPr>
        <w:t xml:space="preserve"> </w:t>
      </w:r>
      <w:r w:rsidRPr="006303C7">
        <w:rPr>
          <w:rFonts w:cs="Times New Roman"/>
          <w:szCs w:val="24"/>
          <w:lang w:val="lv-LV"/>
        </w:rPr>
        <w:t>tiks uzsākts Eiropas Tehniskā atbalsta instrumenta projekts, kas paredz:</w:t>
      </w:r>
    </w:p>
    <w:p w14:paraId="1F8456A5" w14:textId="77777777" w:rsidR="00B12135" w:rsidRPr="006303C7" w:rsidRDefault="00B12135" w:rsidP="001D7A9E">
      <w:pPr>
        <w:numPr>
          <w:ilvl w:val="0"/>
          <w:numId w:val="18"/>
        </w:numPr>
        <w:tabs>
          <w:tab w:val="clear" w:pos="720"/>
          <w:tab w:val="num" w:pos="993"/>
        </w:tabs>
        <w:spacing w:before="120"/>
        <w:ind w:left="993" w:hanging="284"/>
        <w:rPr>
          <w:rFonts w:cs="Times New Roman"/>
          <w:szCs w:val="24"/>
          <w:lang w:val="lv-LV"/>
        </w:rPr>
      </w:pPr>
      <w:r w:rsidRPr="006303C7">
        <w:rPr>
          <w:rFonts w:cs="Times New Roman"/>
          <w:szCs w:val="24"/>
          <w:lang w:val="lv-LV"/>
        </w:rPr>
        <w:t>vienotu grāmatvedības uzskaites un personāla vadības procesu izstrādi visā valsts pārvaldē, definētus nepieciešamos izejas datus, apzinātas nepieciešamās normatīvo aktu izmaiņas;</w:t>
      </w:r>
    </w:p>
    <w:p w14:paraId="32FCB708" w14:textId="77777777" w:rsidR="00B12135" w:rsidRPr="006303C7" w:rsidRDefault="00B12135" w:rsidP="001D7A9E">
      <w:pPr>
        <w:numPr>
          <w:ilvl w:val="0"/>
          <w:numId w:val="18"/>
        </w:numPr>
        <w:tabs>
          <w:tab w:val="clear" w:pos="720"/>
          <w:tab w:val="num" w:pos="993"/>
        </w:tabs>
        <w:spacing w:before="120"/>
        <w:ind w:left="993" w:hanging="284"/>
        <w:rPr>
          <w:rFonts w:cs="Times New Roman"/>
          <w:szCs w:val="24"/>
          <w:lang w:val="lv-LV"/>
        </w:rPr>
      </w:pPr>
      <w:r w:rsidRPr="006303C7">
        <w:rPr>
          <w:rFonts w:cs="Times New Roman"/>
          <w:szCs w:val="24"/>
          <w:lang w:val="lv-LV"/>
        </w:rPr>
        <w:t>galvenās tehniskās specifikācijas un novērtēšanas vadlīnijas kopējai informācijas sistēmu arhitektūras izstrādei;</w:t>
      </w:r>
    </w:p>
    <w:p w14:paraId="24068580" w14:textId="77777777" w:rsidR="00B12135" w:rsidRPr="006303C7" w:rsidRDefault="00B12135" w:rsidP="001D7A9E">
      <w:pPr>
        <w:numPr>
          <w:ilvl w:val="0"/>
          <w:numId w:val="18"/>
        </w:numPr>
        <w:tabs>
          <w:tab w:val="clear" w:pos="720"/>
          <w:tab w:val="num" w:pos="993"/>
        </w:tabs>
        <w:spacing w:before="120"/>
        <w:ind w:left="993" w:hanging="284"/>
        <w:rPr>
          <w:rFonts w:cs="Times New Roman"/>
          <w:szCs w:val="24"/>
          <w:lang w:val="lv-LV"/>
        </w:rPr>
      </w:pPr>
      <w:r w:rsidRPr="006303C7">
        <w:rPr>
          <w:rFonts w:cs="Times New Roman"/>
          <w:szCs w:val="24"/>
          <w:lang w:val="lv-LV"/>
        </w:rPr>
        <w:t>valsts pārvaldes Vienotā pakalpojuma centra izveides koncepta un pārmaiņu vadības ieviešanas plāna izstrādi.</w:t>
      </w:r>
    </w:p>
    <w:p w14:paraId="293C3FF1" w14:textId="6F833168" w:rsidR="00B12135" w:rsidRPr="00CB4543" w:rsidRDefault="00B12135" w:rsidP="001D7A9E">
      <w:pPr>
        <w:spacing w:before="120"/>
        <w:ind w:firstLine="709"/>
        <w:rPr>
          <w:rFonts w:cs="Times New Roman"/>
          <w:szCs w:val="24"/>
          <w:lang w:val="lv-LV"/>
        </w:rPr>
      </w:pPr>
      <w:r w:rsidRPr="006303C7">
        <w:rPr>
          <w:rFonts w:cs="Times New Roman"/>
          <w:szCs w:val="24"/>
          <w:lang w:val="lv-LV"/>
        </w:rPr>
        <w:t xml:space="preserve">Reformas mērķis </w:t>
      </w:r>
      <w:r>
        <w:rPr>
          <w:rFonts w:cs="Times New Roman"/>
          <w:szCs w:val="24"/>
          <w:lang w:val="lv-LV"/>
        </w:rPr>
        <w:t>paredz</w:t>
      </w:r>
      <w:r w:rsidRPr="006303C7">
        <w:rPr>
          <w:rFonts w:cs="Times New Roman"/>
          <w:szCs w:val="24"/>
          <w:lang w:val="lv-LV"/>
        </w:rPr>
        <w:t xml:space="preserve"> publiskās finanšu un cilvēkresursu vadības procesu centralizācij</w:t>
      </w:r>
      <w:r>
        <w:rPr>
          <w:rFonts w:cs="Times New Roman"/>
          <w:szCs w:val="24"/>
          <w:lang w:val="lv-LV"/>
        </w:rPr>
        <w:t>u</w:t>
      </w:r>
      <w:r w:rsidRPr="006303C7">
        <w:rPr>
          <w:rFonts w:cs="Times New Roman"/>
          <w:szCs w:val="24"/>
          <w:lang w:val="lv-LV"/>
        </w:rPr>
        <w:t xml:space="preserve"> un transformācij</w:t>
      </w:r>
      <w:r>
        <w:rPr>
          <w:rFonts w:cs="Times New Roman"/>
          <w:szCs w:val="24"/>
          <w:lang w:val="lv-LV"/>
        </w:rPr>
        <w:t>u</w:t>
      </w:r>
      <w:r w:rsidRPr="006303C7">
        <w:rPr>
          <w:rFonts w:cs="Times New Roman"/>
          <w:szCs w:val="24"/>
          <w:lang w:val="lv-LV"/>
        </w:rPr>
        <w:t>, attīstot vērtību ķēdes un reāllaika datu integrāciju un izveidojot sabiedrībai caurskatāmāku, saprotamāku valsts budžeta pārvaldību</w:t>
      </w:r>
      <w:r w:rsidR="00A87C8A">
        <w:rPr>
          <w:rFonts w:cs="Times New Roman"/>
          <w:szCs w:val="24"/>
          <w:lang w:val="lv-LV"/>
        </w:rPr>
        <w:t>.</w:t>
      </w:r>
    </w:p>
    <w:p w14:paraId="103DDB63" w14:textId="61FFD828" w:rsidR="004426B8" w:rsidRPr="0033137E" w:rsidRDefault="00B12135" w:rsidP="001D7A9E">
      <w:pPr>
        <w:spacing w:before="120"/>
        <w:ind w:firstLine="709"/>
        <w:rPr>
          <w:rFonts w:cs="Times New Roman"/>
          <w:szCs w:val="24"/>
          <w:lang w:val="lv-LV"/>
        </w:rPr>
      </w:pPr>
      <w:r w:rsidRPr="006303C7">
        <w:rPr>
          <w:rFonts w:cs="Times New Roman"/>
          <w:szCs w:val="24"/>
          <w:lang w:val="lv-LV"/>
        </w:rPr>
        <w:t>Tehniskā atbalsta projekta ietvaros sadarbībā ar neatkarīgu konsultantu tiks vērtēts</w:t>
      </w:r>
      <w:r>
        <w:rPr>
          <w:rFonts w:cs="Times New Roman"/>
          <w:szCs w:val="24"/>
          <w:lang w:val="lv-LV"/>
        </w:rPr>
        <w:t xml:space="preserve">, </w:t>
      </w:r>
      <w:r w:rsidRPr="006303C7">
        <w:rPr>
          <w:rFonts w:cs="Times New Roman"/>
          <w:szCs w:val="24"/>
          <w:lang w:val="lv-LV"/>
        </w:rPr>
        <w:t>kā Latvijā optimāli pāriet no decentralizēta modeļa</w:t>
      </w:r>
      <w:r>
        <w:rPr>
          <w:rFonts w:cs="Times New Roman"/>
          <w:szCs w:val="24"/>
          <w:lang w:val="lv-LV"/>
        </w:rPr>
        <w:t xml:space="preserve">, kurā </w:t>
      </w:r>
      <w:r w:rsidRPr="006303C7">
        <w:rPr>
          <w:rFonts w:cs="Times New Roman"/>
          <w:szCs w:val="24"/>
          <w:lang w:val="lv-LV"/>
        </w:rPr>
        <w:t xml:space="preserve">grāmatvedība un personālvadība </w:t>
      </w:r>
      <w:r>
        <w:rPr>
          <w:rFonts w:cs="Times New Roman"/>
          <w:szCs w:val="24"/>
          <w:lang w:val="lv-LV"/>
        </w:rPr>
        <w:t xml:space="preserve">pēc atšķirīgiem procesiem </w:t>
      </w:r>
      <w:r w:rsidRPr="006303C7">
        <w:rPr>
          <w:rFonts w:cs="Times New Roman"/>
          <w:szCs w:val="24"/>
          <w:lang w:val="lv-LV"/>
        </w:rPr>
        <w:t>tiek veikta vairāk nekā 160 iestādēs</w:t>
      </w:r>
      <w:r>
        <w:rPr>
          <w:rFonts w:cs="Times New Roman"/>
          <w:szCs w:val="24"/>
          <w:lang w:val="lv-LV"/>
        </w:rPr>
        <w:t>,</w:t>
      </w:r>
      <w:r w:rsidRPr="006303C7">
        <w:rPr>
          <w:rFonts w:cs="Times New Roman"/>
          <w:szCs w:val="24"/>
          <w:lang w:val="lv-LV"/>
        </w:rPr>
        <w:t xml:space="preserve"> uz centralizētu modeli, attīstot vienotu biznesa inteliģenci un uz rezultātu virzītu valsts budžeta līdzekļu vadību. Saskaņā ar </w:t>
      </w:r>
      <w:r>
        <w:rPr>
          <w:rFonts w:cs="Times New Roman"/>
          <w:szCs w:val="24"/>
          <w:lang w:val="lv-LV"/>
        </w:rPr>
        <w:t>“</w:t>
      </w:r>
      <w:r w:rsidRPr="006303C7">
        <w:rPr>
          <w:rFonts w:cs="Times New Roman"/>
          <w:szCs w:val="24"/>
          <w:lang w:val="lv-LV"/>
        </w:rPr>
        <w:t>Digitālās transformācijas pamatnostādnēm 2021.-2027.</w:t>
      </w:r>
      <w:r>
        <w:rPr>
          <w:rFonts w:cs="Times New Roman"/>
          <w:szCs w:val="24"/>
          <w:lang w:val="lv-LV"/>
        </w:rPr>
        <w:t> </w:t>
      </w:r>
      <w:r w:rsidRPr="006303C7">
        <w:rPr>
          <w:rFonts w:cs="Times New Roman"/>
          <w:szCs w:val="24"/>
          <w:lang w:val="lv-LV"/>
        </w:rPr>
        <w:t>gadam</w:t>
      </w:r>
      <w:r>
        <w:rPr>
          <w:rFonts w:cs="Times New Roman"/>
          <w:szCs w:val="24"/>
          <w:lang w:val="lv-LV"/>
        </w:rPr>
        <w:t>”</w:t>
      </w:r>
      <w:r w:rsidRPr="006303C7">
        <w:rPr>
          <w:rFonts w:cs="Times New Roman"/>
          <w:szCs w:val="24"/>
          <w:lang w:val="lv-LV"/>
        </w:rPr>
        <w:t xml:space="preserve"> reformas ieviešana paredzēta ar daļēju Atjaunošanās un noturības mehānisma atbalstu (provizoriski 2023.-2026.</w:t>
      </w:r>
      <w:r>
        <w:rPr>
          <w:rFonts w:cs="Times New Roman"/>
          <w:szCs w:val="24"/>
          <w:lang w:val="lv-LV"/>
        </w:rPr>
        <w:t> </w:t>
      </w:r>
      <w:r w:rsidRPr="006303C7">
        <w:rPr>
          <w:rFonts w:cs="Times New Roman"/>
          <w:szCs w:val="24"/>
          <w:lang w:val="lv-LV"/>
        </w:rPr>
        <w:t>gads</w:t>
      </w:r>
      <w:r w:rsidRPr="006303C7">
        <w:rPr>
          <w:rStyle w:val="FootnoteReference"/>
          <w:rFonts w:cs="Times New Roman"/>
          <w:szCs w:val="24"/>
          <w:lang w:val="lv-LV"/>
        </w:rPr>
        <w:footnoteReference w:id="59"/>
      </w:r>
      <w:r w:rsidRPr="006303C7">
        <w:rPr>
          <w:rFonts w:cs="Times New Roman"/>
          <w:szCs w:val="24"/>
          <w:lang w:val="lv-LV"/>
        </w:rPr>
        <w:t>)</w:t>
      </w:r>
      <w:r w:rsidR="00A87C8A">
        <w:rPr>
          <w:rFonts w:cs="Times New Roman"/>
          <w:szCs w:val="24"/>
          <w:lang w:val="lv-LV"/>
        </w:rPr>
        <w:t xml:space="preserve"> (Attēls Nr. 4.1.4</w:t>
      </w:r>
      <w:r>
        <w:rPr>
          <w:rFonts w:cs="Times New Roman"/>
          <w:szCs w:val="24"/>
          <w:lang w:val="lv-LV"/>
        </w:rPr>
        <w:t>.)</w:t>
      </w:r>
      <w:r w:rsidRPr="006303C7">
        <w:rPr>
          <w:rFonts w:cs="Times New Roman"/>
          <w:szCs w:val="24"/>
          <w:lang w:val="lv-LV"/>
        </w:rPr>
        <w:t>.</w:t>
      </w:r>
    </w:p>
    <w:p w14:paraId="49EE0DA3" w14:textId="4CAD0935" w:rsidR="00B12135" w:rsidRPr="00FD6F12" w:rsidRDefault="00B12135" w:rsidP="00B12135">
      <w:pPr>
        <w:spacing w:line="240" w:lineRule="auto"/>
        <w:ind w:firstLine="709"/>
        <w:jc w:val="center"/>
        <w:rPr>
          <w:rFonts w:cs="Times New Roman"/>
          <w:sz w:val="22"/>
          <w:szCs w:val="24"/>
          <w:lang w:val="lv-LV"/>
        </w:rPr>
      </w:pPr>
      <w:r w:rsidRPr="00FD6F12">
        <w:rPr>
          <w:rFonts w:cs="Times New Roman"/>
          <w:b/>
          <w:bCs/>
          <w:i/>
          <w:sz w:val="22"/>
          <w:szCs w:val="20"/>
          <w:lang w:val="lv-LV"/>
        </w:rPr>
        <w:t>4.1.</w:t>
      </w:r>
      <w:r w:rsidR="00A87C8A">
        <w:rPr>
          <w:rFonts w:cs="Times New Roman"/>
          <w:b/>
          <w:bCs/>
          <w:i/>
          <w:sz w:val="22"/>
          <w:szCs w:val="20"/>
          <w:lang w:val="lv-LV"/>
        </w:rPr>
        <w:t>4</w:t>
      </w:r>
      <w:r w:rsidRPr="00FD6F12">
        <w:rPr>
          <w:rFonts w:cs="Times New Roman"/>
          <w:b/>
          <w:bCs/>
          <w:i/>
          <w:sz w:val="22"/>
          <w:szCs w:val="20"/>
          <w:lang w:val="lv-LV"/>
        </w:rPr>
        <w:t>. attēls</w:t>
      </w:r>
      <w:r w:rsidRPr="00FD6F12">
        <w:rPr>
          <w:rFonts w:cs="Times New Roman"/>
          <w:b/>
          <w:bCs/>
          <w:sz w:val="22"/>
          <w:szCs w:val="20"/>
          <w:lang w:val="lv-LV"/>
        </w:rPr>
        <w:t xml:space="preserve"> Reformas ieviešanas plāns un laika grafiks</w:t>
      </w:r>
    </w:p>
    <w:p w14:paraId="4C8DF544" w14:textId="77777777" w:rsidR="00B12135" w:rsidRPr="006303C7" w:rsidRDefault="00B12135" w:rsidP="00B12135">
      <w:pPr>
        <w:spacing w:line="240" w:lineRule="auto"/>
        <w:jc w:val="center"/>
        <w:rPr>
          <w:color w:val="000000"/>
          <w:szCs w:val="24"/>
          <w:lang w:val="lv-LV"/>
        </w:rPr>
      </w:pPr>
      <w:r w:rsidRPr="006303C7">
        <w:rPr>
          <w:rFonts w:ascii="Arial" w:hAnsi="Arial" w:cs="Arial"/>
          <w:noProof/>
          <w:szCs w:val="24"/>
          <w:lang w:val="lv-LV" w:eastAsia="lv-LV"/>
        </w:rPr>
        <w:drawing>
          <wp:inline distT="0" distB="0" distL="0" distR="0" wp14:anchorId="2A307A53" wp14:editId="20D17E66">
            <wp:extent cx="5261212" cy="27820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276169" cy="2789949"/>
                    </a:xfrm>
                    <a:prstGeom prst="rect">
                      <a:avLst/>
                    </a:prstGeom>
                    <a:noFill/>
                  </pic:spPr>
                </pic:pic>
              </a:graphicData>
            </a:graphic>
          </wp:inline>
        </w:drawing>
      </w:r>
    </w:p>
    <w:p w14:paraId="7D06FD61" w14:textId="77777777" w:rsidR="00B12135" w:rsidRPr="006303C7" w:rsidRDefault="00B12135" w:rsidP="00B12135">
      <w:pPr>
        <w:spacing w:line="240" w:lineRule="auto"/>
        <w:rPr>
          <w:color w:val="000000"/>
          <w:szCs w:val="24"/>
          <w:lang w:val="lv-LV"/>
        </w:rPr>
      </w:pPr>
    </w:p>
    <w:p w14:paraId="10335D9D" w14:textId="77777777" w:rsidR="00B12135" w:rsidRPr="00FD6F12" w:rsidRDefault="00B12135" w:rsidP="001D7A9E">
      <w:pPr>
        <w:ind w:firstLine="709"/>
        <w:rPr>
          <w:rFonts w:cs="Times New Roman"/>
          <w:szCs w:val="24"/>
          <w:lang w:val="lv-LV"/>
        </w:rPr>
      </w:pPr>
      <w:r w:rsidRPr="00FD6F12">
        <w:rPr>
          <w:rFonts w:cs="Times New Roman"/>
          <w:szCs w:val="24"/>
          <w:lang w:val="lv-LV"/>
        </w:rPr>
        <w:t>Ieguvumu vadība un iestāžu pievienošana centralizētajam modelim piemērojama pēc risinājumu ieviešanas, kas provizoriski paredzams 2026. gadā. Par reformas būtiskāko ieguvumu uzskatāma kvalitatīvu reāllaika datu iegūšana un salīdzināma datu analītika politikas veidotājiem stratēģisku lēmumu atbalstam.</w:t>
      </w:r>
    </w:p>
    <w:p w14:paraId="53F2BBBA" w14:textId="6A48EAEB" w:rsidR="00D2674E" w:rsidRPr="003D6A2D" w:rsidRDefault="00B12135" w:rsidP="001D7A9E">
      <w:pPr>
        <w:ind w:firstLine="709"/>
        <w:rPr>
          <w:rFonts w:cs="Times New Roman"/>
          <w:szCs w:val="24"/>
          <w:lang w:val="lv-LV"/>
        </w:rPr>
      </w:pPr>
      <w:r w:rsidRPr="00FD6F12">
        <w:rPr>
          <w:rFonts w:cs="Times New Roman"/>
          <w:iCs/>
          <w:lang w:val="lv-LV"/>
        </w:rPr>
        <w:lastRenderedPageBreak/>
        <w:t>Rezumējot šajā nodaļā minēto, lai ieviestu FM un Valsts kases plānotos reformu virzienus</w:t>
      </w:r>
      <w:r w:rsidRPr="00FD6F12">
        <w:rPr>
          <w:rFonts w:cs="Times New Roman"/>
          <w:lang w:val="lv-LV"/>
        </w:rPr>
        <w:t xml:space="preserve"> budžeta plānošanā un izpildes procesu analīzē, kā arī stiprinātu </w:t>
      </w:r>
      <w:r w:rsidRPr="00FD6F12">
        <w:rPr>
          <w:rFonts w:cs="Times New Roman"/>
          <w:i/>
          <w:lang w:val="lv-LV"/>
        </w:rPr>
        <w:t>performance budgeting</w:t>
      </w:r>
      <w:r w:rsidRPr="00FD6F12">
        <w:rPr>
          <w:rFonts w:cs="Times New Roman"/>
          <w:lang w:val="lv-LV"/>
        </w:rPr>
        <w:t xml:space="preserve"> un </w:t>
      </w:r>
      <w:r w:rsidRPr="00FD6F12">
        <w:rPr>
          <w:rFonts w:cs="Times New Roman"/>
          <w:i/>
          <w:lang w:val="lv-LV"/>
        </w:rPr>
        <w:t>business intelligence</w:t>
      </w:r>
      <w:r w:rsidRPr="00FD6F12">
        <w:rPr>
          <w:rFonts w:cs="Times New Roman"/>
          <w:lang w:val="lv-LV"/>
        </w:rPr>
        <w:t xml:space="preserve"> principu iedzīvināšanu </w:t>
      </w:r>
      <w:r w:rsidRPr="00FD6F12">
        <w:rPr>
          <w:rFonts w:cs="Times New Roman"/>
          <w:iCs/>
          <w:lang w:val="lv-LV"/>
        </w:rPr>
        <w:t xml:space="preserve">budžeta procesos, reformu procesā jāņem vērā un jāiestrādā ne tikai jau izteiktās un iepriekšminētās OECD un EK rekomendācijas, bet arī tās, kas vēl tiks saņemtas abu iepriekšminēto </w:t>
      </w:r>
      <w:r w:rsidRPr="00FD6F12">
        <w:rPr>
          <w:rFonts w:cs="Times New Roman"/>
          <w:szCs w:val="24"/>
          <w:lang w:val="lv-LV"/>
        </w:rPr>
        <w:t>Eiropas Tehniskā atbalsta instrumenta projektu ietvaros. A</w:t>
      </w:r>
      <w:r w:rsidRPr="00FD6F12">
        <w:rPr>
          <w:rFonts w:cs="Times New Roman"/>
          <w:iCs/>
          <w:lang w:val="lv-LV"/>
        </w:rPr>
        <w:t>ttiecīgi FM un Valsts kasei jāturpina kopīgs darbs, lai pilnveidotu budžeta plānošanas un izpildes procesus saskaņā ar šajā informatīvā ziņojuma sadaļā nospraustajiem mērķiem.</w:t>
      </w:r>
    </w:p>
    <w:p w14:paraId="2165EE6F" w14:textId="68EEC848" w:rsidR="00A87C8A" w:rsidRPr="00A87C8A" w:rsidRDefault="00A87C8A" w:rsidP="004C1C06">
      <w:pPr>
        <w:pStyle w:val="Heading2"/>
        <w:numPr>
          <w:ilvl w:val="1"/>
          <w:numId w:val="52"/>
        </w:numPr>
      </w:pPr>
      <w:bookmarkStart w:id="43" w:name="_Toc80178422"/>
      <w:r w:rsidRPr="00A87C8A">
        <w:t>Atbalsta funkciju centralizācijas iespējas</w:t>
      </w:r>
      <w:bookmarkEnd w:id="43"/>
    </w:p>
    <w:p w14:paraId="5E78D038" w14:textId="278357F4" w:rsidR="00A87C8A" w:rsidRPr="00A87C8A" w:rsidRDefault="00A87C8A" w:rsidP="001D7A9E">
      <w:pPr>
        <w:spacing w:before="120"/>
        <w:ind w:firstLine="720"/>
        <w:rPr>
          <w:rFonts w:cs="Times New Roman"/>
          <w:color w:val="000000" w:themeColor="text1"/>
          <w:szCs w:val="24"/>
          <w:lang w:val="lv-LV"/>
        </w:rPr>
      </w:pPr>
      <w:r w:rsidRPr="00A87C8A">
        <w:rPr>
          <w:rFonts w:cs="Times New Roman"/>
          <w:szCs w:val="24"/>
          <w:lang w:val="lv-LV"/>
        </w:rPr>
        <w:t xml:space="preserve">Lai nodrošinātu </w:t>
      </w:r>
      <w:r w:rsidRPr="00A87C8A">
        <w:rPr>
          <w:rFonts w:cs="Times New Roman"/>
          <w:color w:val="000000" w:themeColor="text1"/>
          <w:szCs w:val="24"/>
          <w:lang w:val="lv-LV"/>
        </w:rPr>
        <w:t>valsts budžeta līdzekļu ekonomisku un racionālu izlietošanu, VK regulāri vērtē atbalsta funkciju veicēju īpatsvaru valsts pārvaldes iestādēs</w:t>
      </w:r>
      <w:r w:rsidR="007F4D1A">
        <w:rPr>
          <w:rFonts w:cs="Times New Roman"/>
          <w:color w:val="000000" w:themeColor="text1"/>
          <w:szCs w:val="24"/>
          <w:lang w:val="lv-LV"/>
        </w:rPr>
        <w:t xml:space="preserve"> un šajā sadaļā informē par vērtējuma rezultātiem</w:t>
      </w:r>
      <w:r w:rsidRPr="00A87C8A">
        <w:rPr>
          <w:rFonts w:cs="Times New Roman"/>
          <w:color w:val="000000" w:themeColor="text1"/>
          <w:szCs w:val="24"/>
          <w:lang w:val="lv-LV"/>
        </w:rPr>
        <w:t>. Datu analīzē ir izmantota informācija par 2020. gadu, kad saskaņā ar MK 2017. gada 7. novembra noteikumos Nr.</w:t>
      </w:r>
      <w:r w:rsidR="007F4D1A">
        <w:rPr>
          <w:rFonts w:cs="Times New Roman"/>
          <w:color w:val="000000" w:themeColor="text1"/>
          <w:szCs w:val="24"/>
          <w:lang w:val="lv-LV"/>
        </w:rPr>
        <w:t xml:space="preserve"> </w:t>
      </w:r>
      <w:r w:rsidRPr="00A87C8A">
        <w:rPr>
          <w:rFonts w:cs="Times New Roman"/>
          <w:color w:val="000000" w:themeColor="text1"/>
          <w:szCs w:val="24"/>
          <w:lang w:val="lv-LV"/>
        </w:rPr>
        <w:t>662 “Noteikumi par valsts tiešās pārvaldes iestāžu un citu valsts un pašvaldību institūciju amatpersonu (darbinieku) atlīdzības un personu uzskaites sistēmu” noteikto kārtību iestādes sniedz datus atlīdzības uzskaites sistēmā.</w:t>
      </w:r>
    </w:p>
    <w:p w14:paraId="5BD8E183" w14:textId="77777777" w:rsidR="00A87C8A" w:rsidRPr="00A87C8A" w:rsidRDefault="00A87C8A" w:rsidP="001D7A9E">
      <w:pPr>
        <w:spacing w:before="120"/>
        <w:ind w:firstLine="720"/>
        <w:rPr>
          <w:rFonts w:cs="Times New Roman"/>
          <w:color w:val="000000" w:themeColor="text1"/>
          <w:szCs w:val="24"/>
          <w:lang w:val="lv-LV"/>
        </w:rPr>
      </w:pPr>
      <w:r w:rsidRPr="00A87C8A">
        <w:rPr>
          <w:rFonts w:cs="Times New Roman"/>
          <w:color w:val="000000" w:themeColor="text1"/>
          <w:szCs w:val="24"/>
          <w:lang w:val="lv-LV"/>
        </w:rPr>
        <w:t xml:space="preserve">Tāpat kā iepriekš, arī šoreiz, veicot analīzi, amati tika atlasīti atbilstoši MK 2010. gada 14. decembra ieteikumiem Nr. 2 “Valsts pārvaldes iestādes struktūras izveidošanas kārtība”, kuru pielikumā ir definēti amati, kas nodrošina atbalsta funkcijas. Vienlaikus tiek ņemts vērā, ka atsevišķām iestādēm šie amati klasificējas kā pamatfunkciju veicēju amati, piemēram, biļešu kasieri muzejos u.c. Kopumā datu atlase un pēc tam to manuāla caurskate, atlasot starp tiem amatus, kas atsevišķās iestādes ir pamatfunkcija, prasa ļoti lielu cilvēkresursu darba ieguldījumu. </w:t>
      </w:r>
    </w:p>
    <w:p w14:paraId="2A505162" w14:textId="77777777" w:rsidR="00A87C8A" w:rsidRPr="00A87C8A" w:rsidRDefault="00A87C8A" w:rsidP="001D7A9E">
      <w:pPr>
        <w:spacing w:before="120"/>
        <w:ind w:firstLine="720"/>
        <w:rPr>
          <w:rFonts w:cs="Times New Roman"/>
          <w:color w:val="000000" w:themeColor="text1"/>
          <w:szCs w:val="24"/>
          <w:lang w:val="lv-LV"/>
        </w:rPr>
      </w:pPr>
      <w:r w:rsidRPr="00A87C8A">
        <w:rPr>
          <w:rFonts w:cs="Times New Roman"/>
          <w:color w:val="000000" w:themeColor="text1"/>
          <w:szCs w:val="24"/>
          <w:lang w:val="lv-LV"/>
        </w:rPr>
        <w:t>Kopumā, jau vērtējot atbalsta funkciju centralizāciju Valsts pārvaldes reformu plāna 2020 ietvaros par 2018. un 2019. gadu, ir veikts liels darbs atbalsta funkciju centralizācijas virzienā, taču joprojām ir mazās iestādes, kur atbalsta funkciju īpatsvars ir liels. Vienlaikus jāņem vērā, ka mazās iestādēs, neskatoties uz amata klasificēšanu vienā amata saimē, konkrētais nodarbinātais veic arī citus pienākumus, kas var būt arī pamatfunkcija. Tādējādi resoriem ir turpināma aktīva procesu efektivizēšana un veicami pilnveidojumi atbalsta funkciju centralizēšanai. Minēto darbību rezultātā radušos finanšu līdzekļu ekonomiju novirzot citu pamatfunkciju īstenošanai, kā arī atlīdzībai iestādes amatpersonu un darbinieku motivēšanai.</w:t>
      </w:r>
    </w:p>
    <w:p w14:paraId="2A7C64EF" w14:textId="1D740C93" w:rsidR="00A87C8A" w:rsidRDefault="00A87C8A" w:rsidP="001D7A9E">
      <w:pPr>
        <w:spacing w:before="120"/>
        <w:ind w:firstLine="720"/>
        <w:rPr>
          <w:rFonts w:cs="Times New Roman"/>
          <w:color w:val="000000" w:themeColor="text1"/>
          <w:szCs w:val="24"/>
          <w:lang w:val="lv-LV"/>
        </w:rPr>
      </w:pPr>
      <w:r w:rsidRPr="00A87C8A">
        <w:rPr>
          <w:rFonts w:cs="Times New Roman"/>
          <w:color w:val="000000" w:themeColor="text1"/>
          <w:szCs w:val="24"/>
          <w:lang w:val="lv-LV"/>
        </w:rPr>
        <w:t xml:space="preserve">Vērtējot pamata un pārējo funkciju, kā arī atbalsta funkciju veicēju īpatsvaru resoros kā iepriekš, arī 2020. gadā tika vērtētas tikai atsevišķas atbalsta funkciju veicēju saimes (14. “Grāmatvedība”, 30. “Personālvadība” un 2. ”Apgāde (iepirkšana)”) un salīdzināšanas nolūkos tika piemērota metodika pārrēķinot iestādē, attiecīgajā saimē klasificētos amatus uz 100 amata vietām </w:t>
      </w:r>
      <w:r w:rsidRPr="00A87C8A">
        <w:rPr>
          <w:rFonts w:cs="Times New Roman"/>
          <w:szCs w:val="24"/>
          <w:lang w:val="lv-LV"/>
        </w:rPr>
        <w:t>(Attēls Nr. </w:t>
      </w:r>
      <w:r>
        <w:rPr>
          <w:rFonts w:cs="Times New Roman"/>
          <w:szCs w:val="24"/>
          <w:lang w:val="lv-LV"/>
        </w:rPr>
        <w:t>4.2.1.</w:t>
      </w:r>
      <w:r w:rsidRPr="00A87C8A">
        <w:rPr>
          <w:rFonts w:cs="Times New Roman"/>
          <w:szCs w:val="24"/>
          <w:lang w:val="lv-LV"/>
        </w:rPr>
        <w:t>)</w:t>
      </w:r>
      <w:r w:rsidRPr="00A87C8A">
        <w:rPr>
          <w:rFonts w:cs="Times New Roman"/>
          <w:color w:val="000000" w:themeColor="text1"/>
          <w:szCs w:val="24"/>
          <w:lang w:val="lv-LV"/>
        </w:rPr>
        <w:t>.</w:t>
      </w:r>
    </w:p>
    <w:p w14:paraId="08131D40" w14:textId="4D47C732" w:rsidR="00471534" w:rsidRDefault="00471534" w:rsidP="00A87C8A">
      <w:pPr>
        <w:ind w:firstLine="720"/>
        <w:rPr>
          <w:rFonts w:cs="Times New Roman"/>
          <w:color w:val="000000" w:themeColor="text1"/>
          <w:szCs w:val="24"/>
          <w:lang w:val="lv-LV"/>
        </w:rPr>
      </w:pPr>
    </w:p>
    <w:p w14:paraId="55B1B6A2" w14:textId="2E5AD558" w:rsidR="00471534" w:rsidRDefault="00471534" w:rsidP="00A87C8A">
      <w:pPr>
        <w:ind w:firstLine="720"/>
        <w:rPr>
          <w:rFonts w:cs="Times New Roman"/>
          <w:color w:val="000000" w:themeColor="text1"/>
          <w:szCs w:val="24"/>
          <w:lang w:val="lv-LV"/>
        </w:rPr>
      </w:pPr>
    </w:p>
    <w:p w14:paraId="6DB74F15" w14:textId="05C9E3D8" w:rsidR="00471534" w:rsidRDefault="00471534" w:rsidP="00A87C8A">
      <w:pPr>
        <w:ind w:firstLine="720"/>
        <w:rPr>
          <w:rFonts w:cs="Times New Roman"/>
          <w:color w:val="000000" w:themeColor="text1"/>
          <w:szCs w:val="24"/>
          <w:lang w:val="lv-LV"/>
        </w:rPr>
      </w:pPr>
    </w:p>
    <w:p w14:paraId="2D367790" w14:textId="1877611A" w:rsidR="00471534" w:rsidRDefault="00471534" w:rsidP="00A87C8A">
      <w:pPr>
        <w:ind w:firstLine="720"/>
        <w:rPr>
          <w:rFonts w:cs="Times New Roman"/>
          <w:color w:val="000000" w:themeColor="text1"/>
          <w:szCs w:val="24"/>
          <w:lang w:val="lv-LV"/>
        </w:rPr>
      </w:pPr>
    </w:p>
    <w:p w14:paraId="36D4D386" w14:textId="20606A10" w:rsidR="00471534" w:rsidRDefault="00471534" w:rsidP="00A87C8A">
      <w:pPr>
        <w:ind w:firstLine="720"/>
        <w:rPr>
          <w:rFonts w:cs="Times New Roman"/>
          <w:color w:val="000000" w:themeColor="text1"/>
          <w:szCs w:val="24"/>
          <w:lang w:val="lv-LV"/>
        </w:rPr>
      </w:pPr>
    </w:p>
    <w:p w14:paraId="2DD1AABA" w14:textId="77777777" w:rsidR="00471534" w:rsidRDefault="00471534" w:rsidP="00A87C8A">
      <w:pPr>
        <w:ind w:firstLine="720"/>
        <w:rPr>
          <w:rFonts w:cs="Times New Roman"/>
          <w:color w:val="000000" w:themeColor="text1"/>
          <w:szCs w:val="24"/>
          <w:lang w:val="lv-LV"/>
        </w:rPr>
      </w:pPr>
    </w:p>
    <w:p w14:paraId="01390184" w14:textId="0CE6E294" w:rsidR="00A87C8A" w:rsidRPr="00A87C8A" w:rsidRDefault="00A87C8A" w:rsidP="00A87C8A">
      <w:pPr>
        <w:jc w:val="center"/>
        <w:rPr>
          <w:rFonts w:cs="Times New Roman"/>
          <w:b/>
          <w:bCs/>
          <w:sz w:val="22"/>
          <w:lang w:val="lv-LV"/>
        </w:rPr>
      </w:pPr>
      <w:r>
        <w:rPr>
          <w:rFonts w:cs="Times New Roman"/>
          <w:b/>
          <w:bCs/>
          <w:i/>
          <w:iCs/>
          <w:sz w:val="22"/>
          <w:lang w:val="lv-LV"/>
        </w:rPr>
        <w:lastRenderedPageBreak/>
        <w:t>4.2.1.</w:t>
      </w:r>
      <w:r w:rsidRPr="00A87C8A">
        <w:rPr>
          <w:rFonts w:cs="Times New Roman"/>
          <w:b/>
          <w:bCs/>
          <w:i/>
          <w:iCs/>
          <w:sz w:val="22"/>
          <w:lang w:val="lv-LV"/>
        </w:rPr>
        <w:t> attēls</w:t>
      </w:r>
      <w:r w:rsidRPr="00A87C8A">
        <w:rPr>
          <w:rFonts w:cs="Times New Roman"/>
          <w:b/>
          <w:bCs/>
          <w:sz w:val="22"/>
          <w:lang w:val="lv-LV"/>
        </w:rPr>
        <w:t xml:space="preserve"> Pamata un pārējo funkciju, kā arī atbalsta funkciju (amatu saimēs '”Grāmatvedība”, “Iepirkumi”, “Personālvadība”) veicēju amatu īpatsvars resoros un vidēji valsts pārvaldē (%)</w:t>
      </w:r>
      <w:r w:rsidR="007F4D1A">
        <w:rPr>
          <w:rStyle w:val="FootnoteReference"/>
          <w:rFonts w:cs="Times New Roman"/>
          <w:b/>
          <w:bCs/>
          <w:sz w:val="22"/>
          <w:lang w:val="lv-LV"/>
        </w:rPr>
        <w:footnoteReference w:id="60"/>
      </w:r>
    </w:p>
    <w:p w14:paraId="02FBCC85" w14:textId="77777777" w:rsidR="00A87C8A" w:rsidRPr="00A87C8A" w:rsidRDefault="00A87C8A" w:rsidP="00A87C8A">
      <w:pPr>
        <w:jc w:val="left"/>
        <w:rPr>
          <w:rFonts w:cs="Times New Roman"/>
          <w:szCs w:val="24"/>
          <w:lang w:val="lv-LV"/>
        </w:rPr>
      </w:pPr>
      <w:r w:rsidRPr="00A87C8A">
        <w:rPr>
          <w:rFonts w:cs="Times New Roman"/>
          <w:noProof/>
          <w:szCs w:val="24"/>
          <w:lang w:val="lv-LV" w:eastAsia="lv-LV"/>
        </w:rPr>
        <w:drawing>
          <wp:inline distT="0" distB="0" distL="0" distR="0" wp14:anchorId="004B8C4D" wp14:editId="6D521A0C">
            <wp:extent cx="5734050" cy="4048125"/>
            <wp:effectExtent l="0" t="0" r="0" b="9525"/>
            <wp:docPr id="57" name="Chart 57">
              <a:extLst xmlns:a="http://schemas.openxmlformats.org/drawingml/2006/main">
                <a:ext uri="{FF2B5EF4-FFF2-40B4-BE49-F238E27FC236}">
                  <a16:creationId xmlns:a16="http://schemas.microsoft.com/office/drawing/2014/main" id="{C86F6832-D3AB-4150-AEA9-4DC3C642E9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5E3285BE" w14:textId="4FF734F0" w:rsidR="007F4D1A" w:rsidRPr="00471534" w:rsidRDefault="007F4D1A" w:rsidP="00105C87">
      <w:pPr>
        <w:spacing w:before="240"/>
        <w:ind w:firstLine="720"/>
        <w:rPr>
          <w:rFonts w:cs="Times New Roman"/>
          <w:szCs w:val="24"/>
          <w:lang w:val="lv-LV"/>
        </w:rPr>
      </w:pPr>
      <w:r>
        <w:rPr>
          <w:rFonts w:cs="Times New Roman"/>
          <w:szCs w:val="24"/>
          <w:lang w:val="lv-LV"/>
        </w:rPr>
        <w:t>Saskaņā ar VK izvērtējuma datiem s</w:t>
      </w:r>
      <w:r w:rsidR="00A87C8A" w:rsidRPr="00A87C8A">
        <w:rPr>
          <w:rFonts w:cs="Times New Roman"/>
          <w:szCs w:val="24"/>
          <w:lang w:val="lv-LV"/>
        </w:rPr>
        <w:t>alīdzinot ar 2019. gadu, situācija ir uzlabojusies – jau 6 resoros rādītājs ir zem kopējā vidējā rādītāja (VARAM, TM, IeM, FM, VM, MK), uzlabojumi vērojami arī SM resorā (no 5% 2019. gadā uz 4,1% 2020. gadā). Diemžēl atsevišķos resoros vērojama arī pretēja tendence – palielināties atbalsta funkciju amatos kl</w:t>
      </w:r>
      <w:r w:rsidR="007C0716">
        <w:rPr>
          <w:rFonts w:cs="Times New Roman"/>
          <w:szCs w:val="24"/>
          <w:lang w:val="lv-LV"/>
        </w:rPr>
        <w:t>asificēto amatu skaitam</w:t>
      </w:r>
      <w:r w:rsidR="00A87C8A" w:rsidRPr="00A87C8A">
        <w:rPr>
          <w:rFonts w:cs="Times New Roman"/>
          <w:szCs w:val="24"/>
          <w:lang w:val="lv-LV"/>
        </w:rPr>
        <w:t>. Iestādes ar lielāko atbalsta funkciju nodrošināšanā nodarbināto īpatsvaru parādītas zemāk (</w:t>
      </w:r>
      <w:r w:rsidR="00A87C8A">
        <w:rPr>
          <w:rFonts w:cs="Times New Roman"/>
          <w:szCs w:val="24"/>
          <w:lang w:val="lv-LV"/>
        </w:rPr>
        <w:t>Attēls Nr.</w:t>
      </w:r>
      <w:r w:rsidR="005B0484">
        <w:rPr>
          <w:rFonts w:cs="Times New Roman"/>
          <w:szCs w:val="24"/>
          <w:lang w:val="lv-LV"/>
        </w:rPr>
        <w:t xml:space="preserve"> </w:t>
      </w:r>
      <w:r w:rsidR="00A87C8A">
        <w:rPr>
          <w:rFonts w:cs="Times New Roman"/>
          <w:szCs w:val="24"/>
          <w:lang w:val="lv-LV"/>
        </w:rPr>
        <w:t>4.2.2.</w:t>
      </w:r>
      <w:r w:rsidR="00A87C8A" w:rsidRPr="00A87C8A">
        <w:rPr>
          <w:rFonts w:cs="Times New Roman"/>
          <w:szCs w:val="24"/>
          <w:lang w:val="lv-LV"/>
        </w:rPr>
        <w:t>)</w:t>
      </w:r>
      <w:r w:rsidR="005B0484">
        <w:rPr>
          <w:rFonts w:cs="Times New Roman"/>
          <w:szCs w:val="24"/>
          <w:lang w:val="lv-LV"/>
        </w:rPr>
        <w:t>.</w:t>
      </w:r>
      <w:r w:rsidR="00D31CE9">
        <w:rPr>
          <w:rFonts w:cs="Times New Roman"/>
          <w:szCs w:val="24"/>
          <w:lang w:val="lv-LV"/>
        </w:rPr>
        <w:t xml:space="preserve"> </w:t>
      </w:r>
    </w:p>
    <w:p w14:paraId="34169BD1" w14:textId="77777777" w:rsidR="003968A3" w:rsidRDefault="003968A3" w:rsidP="00A87C8A">
      <w:pPr>
        <w:jc w:val="center"/>
        <w:rPr>
          <w:rFonts w:cs="Times New Roman"/>
          <w:b/>
          <w:bCs/>
          <w:i/>
          <w:iCs/>
          <w:sz w:val="22"/>
          <w:lang w:val="lv-LV"/>
        </w:rPr>
      </w:pPr>
    </w:p>
    <w:p w14:paraId="73070781" w14:textId="77777777" w:rsidR="003968A3" w:rsidRDefault="003968A3" w:rsidP="00A87C8A">
      <w:pPr>
        <w:jc w:val="center"/>
        <w:rPr>
          <w:rFonts w:cs="Times New Roman"/>
          <w:b/>
          <w:bCs/>
          <w:i/>
          <w:iCs/>
          <w:sz w:val="22"/>
          <w:lang w:val="lv-LV"/>
        </w:rPr>
      </w:pPr>
    </w:p>
    <w:p w14:paraId="1A0F6F85" w14:textId="77777777" w:rsidR="003968A3" w:rsidRDefault="003968A3" w:rsidP="00A87C8A">
      <w:pPr>
        <w:jc w:val="center"/>
        <w:rPr>
          <w:rFonts w:cs="Times New Roman"/>
          <w:b/>
          <w:bCs/>
          <w:i/>
          <w:iCs/>
          <w:sz w:val="22"/>
          <w:lang w:val="lv-LV"/>
        </w:rPr>
      </w:pPr>
    </w:p>
    <w:p w14:paraId="1346FC90" w14:textId="77777777" w:rsidR="003968A3" w:rsidRDefault="003968A3" w:rsidP="00A87C8A">
      <w:pPr>
        <w:jc w:val="center"/>
        <w:rPr>
          <w:rFonts w:cs="Times New Roman"/>
          <w:b/>
          <w:bCs/>
          <w:i/>
          <w:iCs/>
          <w:sz w:val="22"/>
          <w:lang w:val="lv-LV"/>
        </w:rPr>
      </w:pPr>
    </w:p>
    <w:p w14:paraId="5F3D0E93" w14:textId="77777777" w:rsidR="003968A3" w:rsidRDefault="003968A3" w:rsidP="00A87C8A">
      <w:pPr>
        <w:jc w:val="center"/>
        <w:rPr>
          <w:rFonts w:cs="Times New Roman"/>
          <w:b/>
          <w:bCs/>
          <w:i/>
          <w:iCs/>
          <w:sz w:val="22"/>
          <w:lang w:val="lv-LV"/>
        </w:rPr>
      </w:pPr>
    </w:p>
    <w:p w14:paraId="2F6BEB70" w14:textId="77777777" w:rsidR="003968A3" w:rsidRDefault="003968A3" w:rsidP="00A87C8A">
      <w:pPr>
        <w:jc w:val="center"/>
        <w:rPr>
          <w:rFonts w:cs="Times New Roman"/>
          <w:b/>
          <w:bCs/>
          <w:i/>
          <w:iCs/>
          <w:sz w:val="22"/>
          <w:lang w:val="lv-LV"/>
        </w:rPr>
      </w:pPr>
    </w:p>
    <w:p w14:paraId="1837ED1D" w14:textId="77777777" w:rsidR="003968A3" w:rsidRDefault="003968A3" w:rsidP="00A87C8A">
      <w:pPr>
        <w:jc w:val="center"/>
        <w:rPr>
          <w:rFonts w:cs="Times New Roman"/>
          <w:b/>
          <w:bCs/>
          <w:i/>
          <w:iCs/>
          <w:sz w:val="22"/>
          <w:lang w:val="lv-LV"/>
        </w:rPr>
      </w:pPr>
    </w:p>
    <w:p w14:paraId="16DA971A" w14:textId="77777777" w:rsidR="003968A3" w:rsidRDefault="003968A3" w:rsidP="00A87C8A">
      <w:pPr>
        <w:jc w:val="center"/>
        <w:rPr>
          <w:rFonts w:cs="Times New Roman"/>
          <w:b/>
          <w:bCs/>
          <w:i/>
          <w:iCs/>
          <w:sz w:val="22"/>
          <w:lang w:val="lv-LV"/>
        </w:rPr>
      </w:pPr>
    </w:p>
    <w:p w14:paraId="2E3AD5CC" w14:textId="77777777" w:rsidR="003968A3" w:rsidRDefault="003968A3" w:rsidP="00A87C8A">
      <w:pPr>
        <w:jc w:val="center"/>
        <w:rPr>
          <w:rFonts w:cs="Times New Roman"/>
          <w:b/>
          <w:bCs/>
          <w:i/>
          <w:iCs/>
          <w:sz w:val="22"/>
          <w:lang w:val="lv-LV"/>
        </w:rPr>
      </w:pPr>
    </w:p>
    <w:p w14:paraId="262BBAA8" w14:textId="2F7B74C1" w:rsidR="00A87C8A" w:rsidRPr="00A87C8A" w:rsidRDefault="00A87C8A" w:rsidP="00A87C8A">
      <w:pPr>
        <w:jc w:val="center"/>
        <w:rPr>
          <w:rFonts w:cs="Times New Roman"/>
          <w:b/>
          <w:bCs/>
          <w:sz w:val="22"/>
          <w:lang w:val="lv-LV"/>
        </w:rPr>
      </w:pPr>
      <w:r>
        <w:rPr>
          <w:rFonts w:cs="Times New Roman"/>
          <w:b/>
          <w:bCs/>
          <w:i/>
          <w:iCs/>
          <w:sz w:val="22"/>
          <w:lang w:val="lv-LV"/>
        </w:rPr>
        <w:lastRenderedPageBreak/>
        <w:t>4.2.2.</w:t>
      </w:r>
      <w:r w:rsidRPr="00A87C8A">
        <w:rPr>
          <w:rFonts w:cs="Times New Roman"/>
          <w:b/>
          <w:bCs/>
          <w:i/>
          <w:iCs/>
          <w:sz w:val="22"/>
          <w:lang w:val="lv-LV"/>
        </w:rPr>
        <w:t> attēls</w:t>
      </w:r>
      <w:r w:rsidRPr="00A87C8A">
        <w:rPr>
          <w:rFonts w:cs="Times New Roman"/>
          <w:b/>
          <w:bCs/>
          <w:sz w:val="22"/>
          <w:lang w:val="lv-LV"/>
        </w:rPr>
        <w:t xml:space="preserve"> TOP 10 iestādes ar lielāko atbalsta funkciju īpatsvaru</w:t>
      </w:r>
      <w:r w:rsidR="007F4D1A">
        <w:rPr>
          <w:rStyle w:val="FootnoteReference"/>
          <w:rFonts w:cs="Times New Roman"/>
          <w:b/>
          <w:bCs/>
          <w:sz w:val="22"/>
          <w:lang w:val="lv-LV"/>
        </w:rPr>
        <w:footnoteReference w:id="61"/>
      </w:r>
    </w:p>
    <w:p w14:paraId="76A484B6" w14:textId="77777777" w:rsidR="00A87C8A" w:rsidRPr="00A87C8A" w:rsidRDefault="00A87C8A" w:rsidP="00A87C8A">
      <w:pPr>
        <w:jc w:val="left"/>
        <w:rPr>
          <w:rFonts w:cs="Times New Roman"/>
          <w:szCs w:val="24"/>
          <w:lang w:val="lv-LV"/>
        </w:rPr>
      </w:pPr>
      <w:r w:rsidRPr="00A87C8A">
        <w:rPr>
          <w:rFonts w:cs="Times New Roman"/>
          <w:noProof/>
          <w:szCs w:val="24"/>
          <w:lang w:val="lv-LV" w:eastAsia="lv-LV"/>
        </w:rPr>
        <mc:AlternateContent>
          <mc:Choice Requires="cx1">
            <w:drawing>
              <wp:inline distT="0" distB="0" distL="0" distR="0" wp14:anchorId="01BE216C" wp14:editId="71FFF114">
                <wp:extent cx="5686425" cy="2939970"/>
                <wp:effectExtent l="0" t="0" r="9525" b="13335"/>
                <wp:docPr id="58" name="Chart 58">
                  <a:extLst xmlns:a="http://schemas.openxmlformats.org/drawingml/2006/main">
                    <a:ext uri="{FF2B5EF4-FFF2-40B4-BE49-F238E27FC236}">
                      <a16:creationId xmlns:a16="http://schemas.microsoft.com/office/drawing/2014/main" id="{1BA5568A-6D2B-44EF-96F8-1C465AB98C0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3"/>
                  </a:graphicData>
                </a:graphic>
              </wp:inline>
            </w:drawing>
          </mc:Choice>
          <mc:Fallback>
            <w:drawing>
              <wp:inline distT="0" distB="0" distL="0" distR="0" wp14:anchorId="01BE216C" wp14:editId="71FFF114">
                <wp:extent cx="5686425" cy="2939970"/>
                <wp:effectExtent l="0" t="0" r="9525" b="13335"/>
                <wp:docPr id="58" name="Chart 58">
                  <a:extLst xmlns:a="http://schemas.openxmlformats.org/drawingml/2006/main">
                    <a:ext uri="{FF2B5EF4-FFF2-40B4-BE49-F238E27FC236}">
                      <a16:creationId xmlns:a16="http://schemas.microsoft.com/office/drawing/2014/main" id="{1BA5568A-6D2B-44EF-96F8-1C465AB98C0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8" name="Chart 58">
                          <a:extLst>
                            <a:ext uri="{FF2B5EF4-FFF2-40B4-BE49-F238E27FC236}">
                              <a16:creationId xmlns:a16="http://schemas.microsoft.com/office/drawing/2014/main" id="{1BA5568A-6D2B-44EF-96F8-1C465AB98C07}"/>
                            </a:ext>
                          </a:extLst>
                        </pic:cNvPr>
                        <pic:cNvPicPr>
                          <a:picLocks noGrp="1" noRot="1" noChangeAspect="1" noMove="1" noResize="1" noEditPoints="1" noAdjustHandles="1" noChangeArrowheads="1" noChangeShapeType="1"/>
                        </pic:cNvPicPr>
                      </pic:nvPicPr>
                      <pic:blipFill>
                        <a:blip r:embed="rId124"/>
                        <a:stretch>
                          <a:fillRect/>
                        </a:stretch>
                      </pic:blipFill>
                      <pic:spPr>
                        <a:xfrm>
                          <a:off x="0" y="0"/>
                          <a:ext cx="5686425" cy="2939415"/>
                        </a:xfrm>
                        <a:prstGeom prst="rect">
                          <a:avLst/>
                        </a:prstGeom>
                      </pic:spPr>
                    </pic:pic>
                  </a:graphicData>
                </a:graphic>
              </wp:inline>
            </w:drawing>
          </mc:Fallback>
        </mc:AlternateContent>
      </w:r>
      <w:r w:rsidRPr="00A87C8A">
        <w:rPr>
          <w:rFonts w:cs="Times New Roman"/>
          <w:szCs w:val="24"/>
          <w:lang w:val="lv-LV"/>
        </w:rPr>
        <w:t xml:space="preserve"> </w:t>
      </w:r>
    </w:p>
    <w:p w14:paraId="20843779" w14:textId="77777777" w:rsidR="00A87C8A" w:rsidRPr="00A87C8A" w:rsidRDefault="00A87C8A" w:rsidP="00A87C8A">
      <w:pPr>
        <w:spacing w:before="120"/>
        <w:ind w:firstLine="720"/>
        <w:rPr>
          <w:rFonts w:cs="Times New Roman"/>
          <w:color w:val="000000" w:themeColor="text1"/>
          <w:szCs w:val="24"/>
          <w:lang w:val="lv-LV"/>
        </w:rPr>
      </w:pPr>
      <w:r w:rsidRPr="00A87C8A">
        <w:rPr>
          <w:rFonts w:cs="Times New Roman"/>
          <w:color w:val="000000" w:themeColor="text1"/>
          <w:szCs w:val="24"/>
          <w:lang w:val="lv-LV"/>
        </w:rPr>
        <w:t xml:space="preserve">Salīdzinot ar gadu iepriekš, minēto TOP 10 “pametušas” sekojošas iestādes: Valsts asinsdonoru centrs, Lauksaimniecības datu centrs un Latvijas kara muzejs. Savukārt “jaunpienācēji” šim TOP 10 ir Uzturlīdzekļu garantiju fonda administrācija, IeM Informācijas centrs un Maksātnespējas kontroles dienests. </w:t>
      </w:r>
    </w:p>
    <w:p w14:paraId="4D1C52C2" w14:textId="5572D785" w:rsidR="00713439" w:rsidRPr="00D31CE9" w:rsidRDefault="00A87C8A" w:rsidP="00105C87">
      <w:pPr>
        <w:spacing w:before="120"/>
        <w:ind w:firstLine="720"/>
        <w:rPr>
          <w:rFonts w:cs="Times New Roman"/>
          <w:szCs w:val="24"/>
          <w:lang w:val="lv-LV"/>
        </w:rPr>
      </w:pPr>
      <w:r w:rsidRPr="00A87C8A">
        <w:rPr>
          <w:rFonts w:cs="Times New Roman"/>
          <w:color w:val="000000" w:themeColor="text1"/>
          <w:szCs w:val="24"/>
          <w:lang w:val="lv-LV"/>
        </w:rPr>
        <w:t xml:space="preserve">Izvērtējot 2020. gada 14. </w:t>
      </w:r>
      <w:r w:rsidRPr="00A87C8A">
        <w:rPr>
          <w:rFonts w:cs="Times New Roman"/>
          <w:szCs w:val="24"/>
          <w:lang w:val="lv-LV"/>
        </w:rPr>
        <w:t>amatu saimē “Grāmatvedība” klasificēto amatu skaitu, t</w:t>
      </w:r>
      <w:r w:rsidRPr="00A87C8A">
        <w:rPr>
          <w:rFonts w:cs="Times New Roman"/>
          <w:color w:val="000000" w:themeColor="text1"/>
          <w:szCs w:val="24"/>
          <w:lang w:val="lv-LV"/>
        </w:rPr>
        <w:t xml:space="preserve">ika secināts, ka šajā saimē valsts pārvaldē vidēji ir klasificēti 1,3 grāmatveži uz 100 amata vietām </w:t>
      </w:r>
      <w:r w:rsidRPr="00A87C8A">
        <w:rPr>
          <w:rFonts w:cs="Times New Roman"/>
          <w:szCs w:val="24"/>
          <w:lang w:val="lv-LV"/>
        </w:rPr>
        <w:t>(</w:t>
      </w:r>
      <w:r w:rsidR="005B0484">
        <w:rPr>
          <w:rFonts w:cs="Times New Roman"/>
          <w:szCs w:val="24"/>
          <w:lang w:val="lv-LV"/>
        </w:rPr>
        <w:t>Attēls Nr. 4.</w:t>
      </w:r>
      <w:r w:rsidR="00E366FD">
        <w:rPr>
          <w:rFonts w:cs="Times New Roman"/>
          <w:szCs w:val="24"/>
          <w:lang w:val="lv-LV"/>
        </w:rPr>
        <w:t>2.</w:t>
      </w:r>
      <w:r w:rsidR="005B0484">
        <w:rPr>
          <w:rFonts w:cs="Times New Roman"/>
          <w:szCs w:val="24"/>
          <w:lang w:val="lv-LV"/>
        </w:rPr>
        <w:t>3.</w:t>
      </w:r>
      <w:r w:rsidRPr="00A87C8A">
        <w:rPr>
          <w:rFonts w:cs="Times New Roman"/>
          <w:szCs w:val="24"/>
          <w:lang w:val="lv-LV"/>
        </w:rPr>
        <w:t xml:space="preserve">), kas ir par 0,1 amata vietu mazāk nekā gadu iepriekš. Vienlaikus jāatzīmē, ka amati tika atlasīti pēc to klasificēšanas konkrētajā amatu saimē, nezinot konkrētus pienākumus, ko darbinieks veic, jo var būt situācijas, kad darbinieks pilda vēl arī cita amata funkcijas, kā arī var būt pretēja situācija, kad, piemēram, darbinieks veic galvenokārt grāmatveža funkcijas, bet ir klasificēts finanšu amatu saimē, līdz ar ko netiek ietverts datu atlasē. Vērojot pozitīvās tendences, liela loma ir bijusi uzsāktajam grāmatvedības un personālvadības centralizāciju procesam, nododot attiecīgo funkciju kompetentai iestādei – Valsts kasei. Arī turpmāk šis virziens tiks maksimāli attīstīts, tai skaitā arī īstenojot Valsts kases un </w:t>
      </w:r>
      <w:r w:rsidR="005B0484">
        <w:rPr>
          <w:rFonts w:cs="Times New Roman"/>
          <w:szCs w:val="24"/>
          <w:lang w:val="lv-LV"/>
        </w:rPr>
        <w:t>VK</w:t>
      </w:r>
      <w:r w:rsidRPr="00A87C8A">
        <w:rPr>
          <w:rFonts w:cs="Times New Roman"/>
          <w:szCs w:val="24"/>
          <w:lang w:val="lv-LV"/>
        </w:rPr>
        <w:t xml:space="preserve"> kopēju projektu par minēto funkciju centralizāciju un kopējo procesu optimizāciju.</w:t>
      </w:r>
    </w:p>
    <w:p w14:paraId="65875B42" w14:textId="77777777" w:rsidR="003968A3" w:rsidRDefault="003968A3" w:rsidP="00A87C8A">
      <w:pPr>
        <w:jc w:val="center"/>
        <w:rPr>
          <w:rFonts w:cs="Times New Roman"/>
          <w:b/>
          <w:bCs/>
          <w:i/>
          <w:iCs/>
          <w:sz w:val="22"/>
          <w:lang w:val="lv-LV"/>
        </w:rPr>
      </w:pPr>
    </w:p>
    <w:p w14:paraId="3047157B" w14:textId="77777777" w:rsidR="003968A3" w:rsidRDefault="003968A3" w:rsidP="00A87C8A">
      <w:pPr>
        <w:jc w:val="center"/>
        <w:rPr>
          <w:rFonts w:cs="Times New Roman"/>
          <w:b/>
          <w:bCs/>
          <w:i/>
          <w:iCs/>
          <w:sz w:val="22"/>
          <w:lang w:val="lv-LV"/>
        </w:rPr>
      </w:pPr>
    </w:p>
    <w:p w14:paraId="12174088" w14:textId="77777777" w:rsidR="003968A3" w:rsidRDefault="003968A3" w:rsidP="00A87C8A">
      <w:pPr>
        <w:jc w:val="center"/>
        <w:rPr>
          <w:rFonts w:cs="Times New Roman"/>
          <w:b/>
          <w:bCs/>
          <w:i/>
          <w:iCs/>
          <w:sz w:val="22"/>
          <w:lang w:val="lv-LV"/>
        </w:rPr>
      </w:pPr>
    </w:p>
    <w:p w14:paraId="23E567F3" w14:textId="77777777" w:rsidR="003968A3" w:rsidRDefault="003968A3" w:rsidP="00A87C8A">
      <w:pPr>
        <w:jc w:val="center"/>
        <w:rPr>
          <w:rFonts w:cs="Times New Roman"/>
          <w:b/>
          <w:bCs/>
          <w:i/>
          <w:iCs/>
          <w:sz w:val="22"/>
          <w:lang w:val="lv-LV"/>
        </w:rPr>
      </w:pPr>
    </w:p>
    <w:p w14:paraId="68D90091" w14:textId="77777777" w:rsidR="003968A3" w:rsidRDefault="003968A3" w:rsidP="00A87C8A">
      <w:pPr>
        <w:jc w:val="center"/>
        <w:rPr>
          <w:rFonts w:cs="Times New Roman"/>
          <w:b/>
          <w:bCs/>
          <w:i/>
          <w:iCs/>
          <w:sz w:val="22"/>
          <w:lang w:val="lv-LV"/>
        </w:rPr>
      </w:pPr>
    </w:p>
    <w:p w14:paraId="27553E90" w14:textId="77777777" w:rsidR="003968A3" w:rsidRDefault="003968A3" w:rsidP="00A87C8A">
      <w:pPr>
        <w:jc w:val="center"/>
        <w:rPr>
          <w:rFonts w:cs="Times New Roman"/>
          <w:b/>
          <w:bCs/>
          <w:i/>
          <w:iCs/>
          <w:sz w:val="22"/>
          <w:lang w:val="lv-LV"/>
        </w:rPr>
      </w:pPr>
    </w:p>
    <w:p w14:paraId="01904D17" w14:textId="77777777" w:rsidR="003968A3" w:rsidRDefault="003968A3" w:rsidP="00A87C8A">
      <w:pPr>
        <w:jc w:val="center"/>
        <w:rPr>
          <w:rFonts w:cs="Times New Roman"/>
          <w:b/>
          <w:bCs/>
          <w:i/>
          <w:iCs/>
          <w:sz w:val="22"/>
          <w:lang w:val="lv-LV"/>
        </w:rPr>
      </w:pPr>
    </w:p>
    <w:p w14:paraId="2B97994D" w14:textId="77777777" w:rsidR="003968A3" w:rsidRDefault="003968A3" w:rsidP="00A87C8A">
      <w:pPr>
        <w:jc w:val="center"/>
        <w:rPr>
          <w:rFonts w:cs="Times New Roman"/>
          <w:b/>
          <w:bCs/>
          <w:i/>
          <w:iCs/>
          <w:sz w:val="22"/>
          <w:lang w:val="lv-LV"/>
        </w:rPr>
      </w:pPr>
    </w:p>
    <w:p w14:paraId="20DAF164" w14:textId="2EB9DE72" w:rsidR="00A87C8A" w:rsidRPr="00A87C8A" w:rsidRDefault="005B0484" w:rsidP="00A87C8A">
      <w:pPr>
        <w:jc w:val="center"/>
        <w:rPr>
          <w:rFonts w:cs="Times New Roman"/>
          <w:b/>
          <w:bCs/>
          <w:sz w:val="22"/>
          <w:lang w:val="lv-LV"/>
        </w:rPr>
      </w:pPr>
      <w:r>
        <w:rPr>
          <w:rFonts w:cs="Times New Roman"/>
          <w:b/>
          <w:bCs/>
          <w:i/>
          <w:iCs/>
          <w:sz w:val="22"/>
          <w:lang w:val="lv-LV"/>
        </w:rPr>
        <w:lastRenderedPageBreak/>
        <w:t>4.2.3.</w:t>
      </w:r>
      <w:r w:rsidR="00A87C8A" w:rsidRPr="00A87C8A">
        <w:rPr>
          <w:rFonts w:cs="Times New Roman"/>
          <w:b/>
          <w:bCs/>
          <w:i/>
          <w:iCs/>
          <w:sz w:val="22"/>
          <w:lang w:val="lv-LV"/>
        </w:rPr>
        <w:t> attēls</w:t>
      </w:r>
      <w:r w:rsidR="00A87C8A" w:rsidRPr="00A87C8A">
        <w:rPr>
          <w:rFonts w:cs="Times New Roman"/>
          <w:b/>
          <w:bCs/>
          <w:sz w:val="22"/>
          <w:lang w:val="lv-LV"/>
        </w:rPr>
        <w:t xml:space="preserve"> Amatu saimē “Grāmatvedība” klasificēto amatu skaits resoros un vidējais valsts pārvaldē amatu saimē “Grāmatvedība” klasificētais amata vietu skaits uz 100 amata vietām</w:t>
      </w:r>
      <w:r w:rsidR="007F4D1A">
        <w:rPr>
          <w:rStyle w:val="FootnoteReference"/>
          <w:rFonts w:cs="Times New Roman"/>
          <w:b/>
          <w:bCs/>
          <w:sz w:val="22"/>
          <w:lang w:val="lv-LV"/>
        </w:rPr>
        <w:footnoteReference w:id="62"/>
      </w:r>
    </w:p>
    <w:p w14:paraId="0A6B41D4" w14:textId="77777777" w:rsidR="00A87C8A" w:rsidRPr="00A87C8A" w:rsidRDefault="00A87C8A" w:rsidP="00A87C8A">
      <w:pPr>
        <w:jc w:val="left"/>
        <w:rPr>
          <w:rFonts w:cs="Times New Roman"/>
          <w:szCs w:val="24"/>
          <w:lang w:val="lv-LV"/>
        </w:rPr>
      </w:pPr>
      <w:r w:rsidRPr="00A87C8A">
        <w:rPr>
          <w:rFonts w:cs="Times New Roman"/>
          <w:noProof/>
          <w:szCs w:val="24"/>
          <w:lang w:val="lv-LV" w:eastAsia="lv-LV"/>
        </w:rPr>
        <w:drawing>
          <wp:inline distT="0" distB="0" distL="0" distR="0" wp14:anchorId="16FCFBA5" wp14:editId="42AA6ECA">
            <wp:extent cx="5705475" cy="2733675"/>
            <wp:effectExtent l="0" t="0" r="9525" b="9525"/>
            <wp:docPr id="59" name="Chart 59">
              <a:extLst xmlns:a="http://schemas.openxmlformats.org/drawingml/2006/main">
                <a:ext uri="{FF2B5EF4-FFF2-40B4-BE49-F238E27FC236}">
                  <a16:creationId xmlns:a16="http://schemas.microsoft.com/office/drawing/2014/main" id="{B4BEE27A-8B91-4AEB-ACE1-7236874B9E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C35EAFE" w14:textId="29555445" w:rsidR="00105C87" w:rsidRPr="00A87C8A" w:rsidRDefault="00A87C8A" w:rsidP="003968A3">
      <w:pPr>
        <w:spacing w:before="240"/>
        <w:ind w:firstLine="720"/>
        <w:jc w:val="left"/>
        <w:rPr>
          <w:rFonts w:cs="Times New Roman"/>
          <w:szCs w:val="24"/>
          <w:lang w:val="lv-LV"/>
        </w:rPr>
      </w:pPr>
      <w:r w:rsidRPr="00A87C8A">
        <w:rPr>
          <w:rFonts w:cs="Times New Roman"/>
          <w:szCs w:val="24"/>
          <w:lang w:val="lv-LV"/>
        </w:rPr>
        <w:t>Kopumā nedaudz palielinājies vidējais amatu saimē “Apgāde (Iepirkšana)” klasificēto amatu skaits resorā uz 100 amata vietām no 0,9 2019. gadā uz 1,0 2020. gadā (</w:t>
      </w:r>
      <w:r w:rsidR="009C7B40">
        <w:rPr>
          <w:rFonts w:cs="Times New Roman"/>
          <w:szCs w:val="24"/>
          <w:lang w:val="lv-LV"/>
        </w:rPr>
        <w:t>Attēls Nr. 4.2.4.).</w:t>
      </w:r>
    </w:p>
    <w:p w14:paraId="3570EC79" w14:textId="08887275" w:rsidR="00A87C8A" w:rsidRPr="00E366FD" w:rsidRDefault="00E366FD" w:rsidP="00E366FD">
      <w:pPr>
        <w:pStyle w:val="ListParagraph"/>
        <w:ind w:left="142"/>
        <w:jc w:val="center"/>
        <w:rPr>
          <w:rFonts w:cs="Times New Roman"/>
          <w:b/>
          <w:bCs/>
          <w:sz w:val="22"/>
          <w:lang w:val="lv-LV"/>
        </w:rPr>
      </w:pPr>
      <w:r>
        <w:rPr>
          <w:rFonts w:cs="Times New Roman"/>
          <w:b/>
          <w:bCs/>
          <w:i/>
          <w:iCs/>
          <w:sz w:val="22"/>
          <w:lang w:val="lv-LV"/>
        </w:rPr>
        <w:t>4.2.4.</w:t>
      </w:r>
      <w:r w:rsidRPr="00A87C8A">
        <w:rPr>
          <w:rFonts w:cs="Times New Roman"/>
          <w:b/>
          <w:bCs/>
          <w:i/>
          <w:iCs/>
          <w:sz w:val="22"/>
          <w:lang w:val="lv-LV"/>
        </w:rPr>
        <w:t> attēls</w:t>
      </w:r>
      <w:r w:rsidRPr="00A87C8A">
        <w:rPr>
          <w:rFonts w:cs="Times New Roman"/>
          <w:b/>
          <w:bCs/>
          <w:sz w:val="22"/>
          <w:lang w:val="lv-LV"/>
        </w:rPr>
        <w:t xml:space="preserve"> </w:t>
      </w:r>
      <w:r w:rsidR="00A87C8A" w:rsidRPr="00E366FD">
        <w:rPr>
          <w:rFonts w:cs="Times New Roman"/>
          <w:b/>
          <w:bCs/>
          <w:sz w:val="22"/>
          <w:lang w:val="lv-LV"/>
        </w:rPr>
        <w:t>Amatu saimē "Apgāde (Iepirkšana)" klasificēto amatu skaits resoros un vidējais valsts pārvaldē amatu saimē "Apgāde (Iepirkšana)" klasificētais amata vietu skaits uz 100 amata vietām</w:t>
      </w:r>
      <w:r w:rsidR="007F4D1A">
        <w:rPr>
          <w:rStyle w:val="FootnoteReference"/>
          <w:rFonts w:cs="Times New Roman"/>
          <w:b/>
          <w:bCs/>
          <w:sz w:val="22"/>
          <w:lang w:val="lv-LV"/>
        </w:rPr>
        <w:footnoteReference w:id="63"/>
      </w:r>
    </w:p>
    <w:p w14:paraId="482CB83F" w14:textId="77777777" w:rsidR="00A87C8A" w:rsidRPr="00A87C8A" w:rsidRDefault="00A87C8A" w:rsidP="00A87C8A">
      <w:pPr>
        <w:jc w:val="left"/>
        <w:rPr>
          <w:rFonts w:cs="Times New Roman"/>
          <w:szCs w:val="24"/>
          <w:lang w:val="lv-LV"/>
        </w:rPr>
      </w:pPr>
      <w:r w:rsidRPr="00A87C8A">
        <w:rPr>
          <w:rFonts w:cs="Times New Roman"/>
          <w:noProof/>
          <w:szCs w:val="24"/>
          <w:lang w:val="lv-LV" w:eastAsia="lv-LV"/>
        </w:rPr>
        <w:drawing>
          <wp:inline distT="0" distB="0" distL="0" distR="0" wp14:anchorId="1C1B8ED3" wp14:editId="330EE466">
            <wp:extent cx="5762625" cy="2857500"/>
            <wp:effectExtent l="0" t="0" r="9525" b="0"/>
            <wp:docPr id="60" name="Chart 60">
              <a:extLst xmlns:a="http://schemas.openxmlformats.org/drawingml/2006/main">
                <a:ext uri="{FF2B5EF4-FFF2-40B4-BE49-F238E27FC236}">
                  <a16:creationId xmlns:a16="http://schemas.microsoft.com/office/drawing/2014/main" id="{C89247AA-82FA-44C4-B8B1-81EA308AA2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1141D55F" w14:textId="28FE619F" w:rsidR="00713439" w:rsidRPr="00D31CE9" w:rsidRDefault="00A87C8A" w:rsidP="00D31CE9">
      <w:pPr>
        <w:spacing w:before="240"/>
        <w:ind w:firstLine="720"/>
        <w:rPr>
          <w:rFonts w:cs="Times New Roman"/>
          <w:szCs w:val="24"/>
          <w:lang w:val="lv-LV"/>
        </w:rPr>
      </w:pPr>
      <w:r w:rsidRPr="00A87C8A">
        <w:rPr>
          <w:rFonts w:cs="Times New Roman"/>
          <w:szCs w:val="24"/>
          <w:lang w:val="lv-LV"/>
        </w:rPr>
        <w:t>Pilnīgi nemainīga aina kopš 2019. gada ir saglabājusies visos resoros amatu saimē “Personālvadība” klasificēto amatu skaitam uz 100 amata vietām (</w:t>
      </w:r>
      <w:r w:rsidR="003D6A2D">
        <w:rPr>
          <w:rFonts w:cs="Times New Roman"/>
          <w:szCs w:val="24"/>
          <w:lang w:val="lv-LV"/>
        </w:rPr>
        <w:t>Attēls Nr. 4.2.5</w:t>
      </w:r>
      <w:r w:rsidR="00E366FD">
        <w:rPr>
          <w:rFonts w:cs="Times New Roman"/>
          <w:szCs w:val="24"/>
          <w:lang w:val="lv-LV"/>
        </w:rPr>
        <w:t>.</w:t>
      </w:r>
      <w:r w:rsidRPr="00A87C8A">
        <w:rPr>
          <w:rFonts w:cs="Times New Roman"/>
          <w:szCs w:val="24"/>
          <w:lang w:val="lv-LV"/>
        </w:rPr>
        <w:t xml:space="preserve">). </w:t>
      </w:r>
    </w:p>
    <w:p w14:paraId="4F9213E0" w14:textId="2E31998A" w:rsidR="00A87C8A" w:rsidRPr="00A87C8A" w:rsidRDefault="003D6A2D" w:rsidP="00A87C8A">
      <w:pPr>
        <w:jc w:val="center"/>
        <w:rPr>
          <w:rFonts w:cs="Times New Roman"/>
          <w:b/>
          <w:bCs/>
          <w:sz w:val="22"/>
          <w:lang w:val="lv-LV"/>
        </w:rPr>
      </w:pPr>
      <w:r>
        <w:rPr>
          <w:rFonts w:cs="Times New Roman"/>
          <w:b/>
          <w:bCs/>
          <w:i/>
          <w:iCs/>
          <w:sz w:val="22"/>
          <w:lang w:val="lv-LV"/>
        </w:rPr>
        <w:lastRenderedPageBreak/>
        <w:t>4.2.5.</w:t>
      </w:r>
      <w:r w:rsidR="00A87C8A" w:rsidRPr="00A87C8A">
        <w:rPr>
          <w:rFonts w:cs="Times New Roman"/>
          <w:b/>
          <w:bCs/>
          <w:i/>
          <w:iCs/>
          <w:sz w:val="22"/>
          <w:lang w:val="lv-LV"/>
        </w:rPr>
        <w:t> attēls</w:t>
      </w:r>
      <w:r w:rsidR="00A87C8A" w:rsidRPr="00A87C8A">
        <w:rPr>
          <w:rFonts w:cs="Times New Roman"/>
          <w:b/>
          <w:bCs/>
          <w:sz w:val="22"/>
          <w:lang w:val="lv-LV"/>
        </w:rPr>
        <w:t xml:space="preserve"> Amatu saimē “Personālvadība” klasificēto amatu skaits resoros un vidējais valsts pārvaldē amatu saimē “Personālvadība” klasificētais amata vietu skaits uz 100 amata vietām</w:t>
      </w:r>
      <w:r w:rsidR="007F4D1A">
        <w:rPr>
          <w:rStyle w:val="FootnoteReference"/>
          <w:rFonts w:cs="Times New Roman"/>
          <w:b/>
          <w:bCs/>
          <w:sz w:val="22"/>
          <w:lang w:val="lv-LV"/>
        </w:rPr>
        <w:footnoteReference w:id="64"/>
      </w:r>
    </w:p>
    <w:p w14:paraId="32115C55" w14:textId="77777777" w:rsidR="00A87C8A" w:rsidRPr="00A87C8A" w:rsidRDefault="00A87C8A" w:rsidP="00A87C8A">
      <w:pPr>
        <w:jc w:val="left"/>
        <w:rPr>
          <w:rFonts w:cs="Times New Roman"/>
          <w:szCs w:val="24"/>
          <w:lang w:val="lv-LV"/>
        </w:rPr>
      </w:pPr>
      <w:r w:rsidRPr="00A87C8A">
        <w:rPr>
          <w:rFonts w:cs="Times New Roman"/>
          <w:noProof/>
          <w:szCs w:val="24"/>
          <w:lang w:val="lv-LV" w:eastAsia="lv-LV"/>
        </w:rPr>
        <w:drawing>
          <wp:inline distT="0" distB="0" distL="0" distR="0" wp14:anchorId="6906EBB7" wp14:editId="1AE23B74">
            <wp:extent cx="5715000" cy="2752725"/>
            <wp:effectExtent l="0" t="0" r="0" b="9525"/>
            <wp:docPr id="61" name="Chart 61">
              <a:extLst xmlns:a="http://schemas.openxmlformats.org/drawingml/2006/main">
                <a:ext uri="{FF2B5EF4-FFF2-40B4-BE49-F238E27FC236}">
                  <a16:creationId xmlns:a16="http://schemas.microsoft.com/office/drawing/2014/main" id="{F896EC76-7D87-48FE-9488-C80DF4565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5F0FE831" w14:textId="77777777" w:rsidR="00A87C8A" w:rsidRPr="00A87C8A" w:rsidRDefault="00A87C8A" w:rsidP="003D6A2D">
      <w:pPr>
        <w:ind w:firstLine="720"/>
        <w:rPr>
          <w:rFonts w:cs="Times New Roman"/>
          <w:bCs/>
          <w:kern w:val="24"/>
          <w:szCs w:val="24"/>
          <w:lang w:val="lv-LV" w:eastAsia="lv-LV"/>
        </w:rPr>
      </w:pPr>
      <w:r w:rsidRPr="00A87C8A">
        <w:rPr>
          <w:rFonts w:cs="Times New Roman"/>
          <w:bCs/>
          <w:kern w:val="24"/>
          <w:szCs w:val="24"/>
          <w:lang w:val="lv-LV" w:eastAsia="lv-LV"/>
        </w:rPr>
        <w:t xml:space="preserve">Kopumā secināms, ka, neskatoties uz jau paveikto, arī turpmāk resoriem ir jāturpina darbs pie atbalsta funkciju centralizācijas, cita veida resursu optimizācijas, lai nodrošinātu izvirzītā mērķa – “maza un profesionāla valsts pārvalde” kvalitatīvu sasniegšanu. </w:t>
      </w:r>
    </w:p>
    <w:p w14:paraId="5280A180" w14:textId="39016FBB" w:rsidR="009C7B40" w:rsidRDefault="009C7B40">
      <w:pPr>
        <w:rPr>
          <w:lang w:val="lv-LV"/>
        </w:rPr>
      </w:pPr>
    </w:p>
    <w:p w14:paraId="4C7789AC" w14:textId="72044C8B" w:rsidR="009C7B40" w:rsidRDefault="009C7B40">
      <w:pPr>
        <w:rPr>
          <w:lang w:val="lv-LV"/>
        </w:rPr>
      </w:pPr>
    </w:p>
    <w:p w14:paraId="29F970A0" w14:textId="341980CE" w:rsidR="009C7B40" w:rsidRDefault="009C7B40">
      <w:pPr>
        <w:rPr>
          <w:lang w:val="lv-LV"/>
        </w:rPr>
      </w:pPr>
    </w:p>
    <w:p w14:paraId="516F1F0C" w14:textId="5881E8D9" w:rsidR="003968A3" w:rsidRDefault="003968A3">
      <w:pPr>
        <w:rPr>
          <w:lang w:val="lv-LV"/>
        </w:rPr>
      </w:pPr>
    </w:p>
    <w:p w14:paraId="0ACEB1EA" w14:textId="453C420D" w:rsidR="003968A3" w:rsidRDefault="003968A3">
      <w:pPr>
        <w:rPr>
          <w:lang w:val="lv-LV"/>
        </w:rPr>
      </w:pPr>
    </w:p>
    <w:p w14:paraId="762B98C6" w14:textId="746C5C4E" w:rsidR="003968A3" w:rsidRDefault="003968A3">
      <w:pPr>
        <w:rPr>
          <w:lang w:val="lv-LV"/>
        </w:rPr>
      </w:pPr>
    </w:p>
    <w:p w14:paraId="37773F76" w14:textId="77777777" w:rsidR="009C7B40" w:rsidRDefault="009C7B40">
      <w:pPr>
        <w:rPr>
          <w:lang w:val="lv-LV"/>
        </w:rPr>
      </w:pPr>
    </w:p>
    <w:p w14:paraId="1BC04B26" w14:textId="77777777" w:rsidR="003C1E35" w:rsidRPr="003C1E35" w:rsidRDefault="003C1E35" w:rsidP="003C1E35">
      <w:pPr>
        <w:ind w:firstLine="720"/>
        <w:rPr>
          <w:szCs w:val="28"/>
          <w:lang w:val="lv-LV"/>
        </w:rPr>
      </w:pPr>
      <w:r w:rsidRPr="003C1E35">
        <w:rPr>
          <w:szCs w:val="28"/>
          <w:lang w:val="lv-LV"/>
        </w:rPr>
        <w:t>Finanšu ministrs</w:t>
      </w:r>
      <w:r w:rsidRPr="003C1E35">
        <w:rPr>
          <w:szCs w:val="28"/>
          <w:lang w:val="lv-LV"/>
        </w:rPr>
        <w:tab/>
      </w:r>
      <w:r w:rsidRPr="003C1E35">
        <w:rPr>
          <w:szCs w:val="28"/>
          <w:lang w:val="lv-LV"/>
        </w:rPr>
        <w:tab/>
      </w:r>
      <w:r w:rsidRPr="003C1E35">
        <w:rPr>
          <w:szCs w:val="28"/>
          <w:lang w:val="lv-LV"/>
        </w:rPr>
        <w:tab/>
      </w:r>
      <w:r w:rsidRPr="003C1E35">
        <w:rPr>
          <w:szCs w:val="28"/>
          <w:lang w:val="lv-LV"/>
        </w:rPr>
        <w:tab/>
      </w:r>
      <w:r w:rsidRPr="003C1E35">
        <w:rPr>
          <w:szCs w:val="28"/>
          <w:lang w:val="lv-LV"/>
        </w:rPr>
        <w:tab/>
      </w:r>
      <w:r w:rsidRPr="003C1E35">
        <w:rPr>
          <w:szCs w:val="28"/>
          <w:lang w:val="lv-LV"/>
        </w:rPr>
        <w:tab/>
      </w:r>
      <w:r w:rsidRPr="003C1E35">
        <w:rPr>
          <w:szCs w:val="28"/>
          <w:lang w:val="lv-LV"/>
        </w:rPr>
        <w:tab/>
      </w:r>
      <w:r w:rsidRPr="003C1E35">
        <w:rPr>
          <w:szCs w:val="28"/>
          <w:lang w:val="lv-LV"/>
        </w:rPr>
        <w:tab/>
        <w:t>J.Reirs</w:t>
      </w:r>
    </w:p>
    <w:p w14:paraId="3B0FA448" w14:textId="77777777" w:rsidR="003C1E35" w:rsidRDefault="003C1E35" w:rsidP="003C1E35">
      <w:pPr>
        <w:spacing w:after="0"/>
        <w:rPr>
          <w:sz w:val="20"/>
        </w:rPr>
      </w:pPr>
    </w:p>
    <w:p w14:paraId="0090FF46" w14:textId="77777777" w:rsidR="00D8747B" w:rsidRDefault="00D8747B" w:rsidP="003C1E35">
      <w:pPr>
        <w:spacing w:after="0"/>
        <w:rPr>
          <w:sz w:val="18"/>
          <w:szCs w:val="16"/>
        </w:rPr>
      </w:pPr>
    </w:p>
    <w:p w14:paraId="2E233364" w14:textId="77777777" w:rsidR="00D8747B" w:rsidRDefault="00D8747B" w:rsidP="003C1E35">
      <w:pPr>
        <w:spacing w:after="0"/>
        <w:rPr>
          <w:sz w:val="18"/>
          <w:szCs w:val="16"/>
        </w:rPr>
      </w:pPr>
    </w:p>
    <w:p w14:paraId="704B3C6D" w14:textId="77777777" w:rsidR="00D8747B" w:rsidRDefault="00D8747B" w:rsidP="003C1E35">
      <w:pPr>
        <w:spacing w:after="0"/>
        <w:rPr>
          <w:sz w:val="18"/>
          <w:szCs w:val="16"/>
        </w:rPr>
      </w:pPr>
    </w:p>
    <w:p w14:paraId="37E415A4" w14:textId="77777777" w:rsidR="00D8747B" w:rsidRDefault="00D8747B" w:rsidP="003C1E35">
      <w:pPr>
        <w:spacing w:after="0"/>
        <w:rPr>
          <w:sz w:val="18"/>
          <w:szCs w:val="16"/>
        </w:rPr>
      </w:pPr>
    </w:p>
    <w:p w14:paraId="779A298A" w14:textId="77777777" w:rsidR="00D8747B" w:rsidRDefault="00D8747B" w:rsidP="003C1E35">
      <w:pPr>
        <w:spacing w:after="0"/>
        <w:rPr>
          <w:sz w:val="18"/>
          <w:szCs w:val="16"/>
        </w:rPr>
      </w:pPr>
    </w:p>
    <w:p w14:paraId="03376585" w14:textId="77777777" w:rsidR="00D8747B" w:rsidRDefault="00D8747B" w:rsidP="003C1E35">
      <w:pPr>
        <w:spacing w:after="0"/>
        <w:rPr>
          <w:sz w:val="18"/>
          <w:szCs w:val="16"/>
        </w:rPr>
      </w:pPr>
    </w:p>
    <w:p w14:paraId="7C34E75B" w14:textId="77777777" w:rsidR="00D8747B" w:rsidRDefault="00D8747B" w:rsidP="003C1E35">
      <w:pPr>
        <w:spacing w:after="0"/>
        <w:rPr>
          <w:sz w:val="18"/>
          <w:szCs w:val="16"/>
        </w:rPr>
      </w:pPr>
    </w:p>
    <w:p w14:paraId="64CB35D8" w14:textId="77777777" w:rsidR="00D8747B" w:rsidRDefault="00D8747B" w:rsidP="003C1E35">
      <w:pPr>
        <w:spacing w:after="0"/>
        <w:rPr>
          <w:sz w:val="18"/>
          <w:szCs w:val="16"/>
        </w:rPr>
      </w:pPr>
    </w:p>
    <w:p w14:paraId="1EFD81B3" w14:textId="77777777" w:rsidR="00D8747B" w:rsidRDefault="00D8747B" w:rsidP="003C1E35">
      <w:pPr>
        <w:spacing w:after="0"/>
        <w:rPr>
          <w:sz w:val="18"/>
          <w:szCs w:val="16"/>
        </w:rPr>
      </w:pPr>
    </w:p>
    <w:p w14:paraId="7430F72A" w14:textId="77777777" w:rsidR="00D8747B" w:rsidRDefault="00D8747B" w:rsidP="003C1E35">
      <w:pPr>
        <w:spacing w:after="0"/>
        <w:rPr>
          <w:sz w:val="18"/>
          <w:szCs w:val="16"/>
        </w:rPr>
      </w:pPr>
    </w:p>
    <w:p w14:paraId="621E2FD4" w14:textId="1AA62D9F" w:rsidR="003C1E35" w:rsidRPr="00FF369C" w:rsidRDefault="003C1E35" w:rsidP="003C1E35">
      <w:pPr>
        <w:spacing w:after="0"/>
        <w:rPr>
          <w:sz w:val="18"/>
          <w:szCs w:val="16"/>
        </w:rPr>
      </w:pPr>
      <w:bookmarkStart w:id="44" w:name="_GoBack"/>
      <w:bookmarkEnd w:id="44"/>
      <w:r w:rsidRPr="00FF369C">
        <w:rPr>
          <w:sz w:val="18"/>
          <w:szCs w:val="16"/>
        </w:rPr>
        <w:t>Aļļēna, 67083912</w:t>
      </w:r>
    </w:p>
    <w:p w14:paraId="36F9730A" w14:textId="3EF52EF9" w:rsidR="003C1E35" w:rsidRPr="003C1E35" w:rsidRDefault="00D8747B" w:rsidP="003C1E35">
      <w:pPr>
        <w:spacing w:after="0"/>
        <w:rPr>
          <w:sz w:val="18"/>
          <w:szCs w:val="16"/>
        </w:rPr>
      </w:pPr>
      <w:hyperlink r:id="rId128" w:history="1">
        <w:r w:rsidR="003C1E35" w:rsidRPr="00FF369C">
          <w:rPr>
            <w:rStyle w:val="Hyperlink"/>
            <w:sz w:val="18"/>
            <w:szCs w:val="16"/>
          </w:rPr>
          <w:t>mara.allena@fm.gov.lv</w:t>
        </w:r>
      </w:hyperlink>
      <w:r w:rsidR="003C1E35" w:rsidRPr="00FF369C">
        <w:rPr>
          <w:sz w:val="18"/>
          <w:szCs w:val="16"/>
        </w:rPr>
        <w:t xml:space="preserve"> </w:t>
      </w:r>
    </w:p>
    <w:sectPr w:rsidR="003C1E35" w:rsidRPr="003C1E35" w:rsidSect="000C3B1B">
      <w:footerReference w:type="default" r:id="rId12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5097F" w14:textId="77777777" w:rsidR="002C24FA" w:rsidRDefault="002C24FA" w:rsidP="009228DF">
      <w:pPr>
        <w:spacing w:after="0" w:line="240" w:lineRule="auto"/>
      </w:pPr>
      <w:r>
        <w:separator/>
      </w:r>
    </w:p>
  </w:endnote>
  <w:endnote w:type="continuationSeparator" w:id="0">
    <w:p w14:paraId="3690D321" w14:textId="77777777" w:rsidR="002C24FA" w:rsidRDefault="002C24FA" w:rsidP="0092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796116"/>
      <w:docPartObj>
        <w:docPartGallery w:val="Page Numbers (Bottom of Page)"/>
        <w:docPartUnique/>
      </w:docPartObj>
    </w:sdtPr>
    <w:sdtEndPr>
      <w:rPr>
        <w:noProof/>
      </w:rPr>
    </w:sdtEndPr>
    <w:sdtContent>
      <w:p w14:paraId="54149F36" w14:textId="2065166F" w:rsidR="002C24FA" w:rsidRDefault="002C24FA">
        <w:pPr>
          <w:pStyle w:val="Footer"/>
          <w:jc w:val="center"/>
        </w:pPr>
        <w:r>
          <w:fldChar w:fldCharType="begin"/>
        </w:r>
        <w:r>
          <w:instrText xml:space="preserve"> PAGE   \* MERGEFORMAT </w:instrText>
        </w:r>
        <w:r>
          <w:fldChar w:fldCharType="separate"/>
        </w:r>
        <w:r w:rsidR="00D8747B">
          <w:rPr>
            <w:noProof/>
          </w:rPr>
          <w:t>2</w:t>
        </w:r>
        <w:r>
          <w:rPr>
            <w:noProof/>
          </w:rPr>
          <w:fldChar w:fldCharType="end"/>
        </w:r>
      </w:p>
    </w:sdtContent>
  </w:sdt>
  <w:p w14:paraId="3B8BED9D" w14:textId="5046E1CB" w:rsidR="002C24FA" w:rsidRDefault="00D8747B">
    <w:pPr>
      <w:pStyle w:val="Footer"/>
    </w:pPr>
    <w:r>
      <w:fldChar w:fldCharType="begin"/>
    </w:r>
    <w:r>
      <w:instrText xml:space="preserve"> FILENAME \* MERGEFORMAT </w:instrText>
    </w:r>
    <w:r>
      <w:fldChar w:fldCharType="separate"/>
    </w:r>
    <w:r>
      <w:rPr>
        <w:noProof/>
      </w:rPr>
      <w:t>FMZin_190821_Izdparsk</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D2B02" w14:textId="77777777" w:rsidR="002C24FA" w:rsidRDefault="002C24FA" w:rsidP="009228DF">
      <w:pPr>
        <w:spacing w:after="0" w:line="240" w:lineRule="auto"/>
      </w:pPr>
      <w:r>
        <w:separator/>
      </w:r>
    </w:p>
  </w:footnote>
  <w:footnote w:type="continuationSeparator" w:id="0">
    <w:p w14:paraId="2DD67FC0" w14:textId="77777777" w:rsidR="002C24FA" w:rsidRDefault="002C24FA" w:rsidP="009228DF">
      <w:pPr>
        <w:spacing w:after="0" w:line="240" w:lineRule="auto"/>
      </w:pPr>
      <w:r>
        <w:continuationSeparator/>
      </w:r>
    </w:p>
  </w:footnote>
  <w:footnote w:id="1">
    <w:p w14:paraId="70F1D8F8" w14:textId="77777777" w:rsidR="002C24FA" w:rsidRDefault="002C24FA" w:rsidP="00AC3A41">
      <w:pPr>
        <w:pStyle w:val="FootnoteText"/>
      </w:pPr>
      <w:r>
        <w:rPr>
          <w:rStyle w:val="FootnoteReference"/>
        </w:rPr>
        <w:footnoteRef/>
      </w:r>
      <w:r>
        <w:t xml:space="preserve"> </w:t>
      </w:r>
      <w:r w:rsidRPr="007441F8">
        <w:rPr>
          <w:i/>
          <w:sz w:val="18"/>
        </w:rPr>
        <w:t>16th Annual Meeting of the OECD Senior Budget Officials Network on Performance and Results</w:t>
      </w:r>
      <w:r>
        <w:rPr>
          <w:i/>
          <w:sz w:val="18"/>
        </w:rPr>
        <w:t xml:space="preserve">, </w:t>
      </w:r>
      <w:r w:rsidRPr="007441F8">
        <w:rPr>
          <w:i/>
          <w:sz w:val="18"/>
          <w:lang w:val="en-GB"/>
        </w:rPr>
        <w:t>16th Annual Meeting of the OECD Senior Budget Officials Network for Central, Eastern and South-Eastern Europe</w:t>
      </w:r>
    </w:p>
  </w:footnote>
  <w:footnote w:id="2">
    <w:p w14:paraId="225C6AF1" w14:textId="1C79AF8D" w:rsidR="002C24FA" w:rsidRDefault="002C24FA" w:rsidP="00E61582">
      <w:pPr>
        <w:pStyle w:val="FootnoteText"/>
        <w:jc w:val="both"/>
      </w:pPr>
      <w:r>
        <w:rPr>
          <w:rStyle w:val="FootnoteReference"/>
        </w:rPr>
        <w:footnoteRef/>
      </w:r>
      <w:r>
        <w:t xml:space="preserve"> MK</w:t>
      </w:r>
      <w:r w:rsidRPr="00624E0C">
        <w:t xml:space="preserve"> </w:t>
      </w:r>
      <w:r w:rsidRPr="003C1E35">
        <w:t>2005.</w:t>
      </w:r>
      <w:r>
        <w:t xml:space="preserve"> </w:t>
      </w:r>
      <w:r w:rsidRPr="003C1E35">
        <w:t>gada 27.</w:t>
      </w:r>
      <w:r>
        <w:t xml:space="preserve"> </w:t>
      </w:r>
      <w:r w:rsidRPr="003C1E35">
        <w:t xml:space="preserve">decembra </w:t>
      </w:r>
      <w:r w:rsidRPr="00624E0C">
        <w:t>noteikum</w:t>
      </w:r>
      <w:r>
        <w:t>u</w:t>
      </w:r>
      <w:r w:rsidRPr="00624E0C">
        <w:t xml:space="preserve"> Nr.1031</w:t>
      </w:r>
      <w:r>
        <w:t xml:space="preserve"> “</w:t>
      </w:r>
      <w:r w:rsidRPr="00624E0C">
        <w:t>Noteikumi par budžetu izdevumu klasifikāciju atbilstoši ekonomiskajām kategorijām</w:t>
      </w:r>
      <w:r>
        <w:t>” pielikums</w:t>
      </w:r>
    </w:p>
  </w:footnote>
  <w:footnote w:id="3">
    <w:p w14:paraId="4E7F7292" w14:textId="1BE43030" w:rsidR="002C24FA" w:rsidRDefault="002C24FA" w:rsidP="00E61582">
      <w:pPr>
        <w:pStyle w:val="FootnoteText"/>
        <w:jc w:val="both"/>
      </w:pPr>
      <w:r>
        <w:rPr>
          <w:rStyle w:val="FootnoteReference"/>
        </w:rPr>
        <w:footnoteRef/>
      </w:r>
      <w:r>
        <w:t xml:space="preserve"> MK</w:t>
      </w:r>
      <w:r w:rsidRPr="00624E0C">
        <w:t xml:space="preserve"> </w:t>
      </w:r>
      <w:r w:rsidRPr="003C1E35">
        <w:t>2005.</w:t>
      </w:r>
      <w:r>
        <w:t xml:space="preserve"> </w:t>
      </w:r>
      <w:r w:rsidRPr="003C1E35">
        <w:t>gada 27.</w:t>
      </w:r>
      <w:r>
        <w:t xml:space="preserve"> </w:t>
      </w:r>
      <w:r w:rsidRPr="003C1E35">
        <w:t xml:space="preserve">decembra </w:t>
      </w:r>
      <w:r w:rsidRPr="00624E0C">
        <w:t>noteikum</w:t>
      </w:r>
      <w:r>
        <w:t>u</w:t>
      </w:r>
      <w:r w:rsidRPr="00624E0C">
        <w:t xml:space="preserve"> Nr.1031</w:t>
      </w:r>
      <w:r>
        <w:t xml:space="preserve"> “</w:t>
      </w:r>
      <w:r w:rsidRPr="00624E0C">
        <w:t>Noteikumi par budžetu izdevumu klasifikāciju atbilstoši ekonomiskajām kategorijām</w:t>
      </w:r>
      <w:r>
        <w:t>” pielikums</w:t>
      </w:r>
    </w:p>
  </w:footnote>
  <w:footnote w:id="4">
    <w:p w14:paraId="0A5B2EC6" w14:textId="23662B56" w:rsidR="002C24FA" w:rsidRDefault="002C24FA" w:rsidP="00E61582">
      <w:pPr>
        <w:pStyle w:val="FootnoteText"/>
        <w:jc w:val="both"/>
      </w:pPr>
      <w:r>
        <w:rPr>
          <w:rStyle w:val="FootnoteReference"/>
        </w:rPr>
        <w:footnoteRef/>
      </w:r>
      <w:r>
        <w:t xml:space="preserve"> MK</w:t>
      </w:r>
      <w:r w:rsidRPr="00624E0C">
        <w:t xml:space="preserve"> </w:t>
      </w:r>
      <w:r w:rsidRPr="003C1E35">
        <w:t>2005.</w:t>
      </w:r>
      <w:r>
        <w:t xml:space="preserve"> </w:t>
      </w:r>
      <w:r w:rsidRPr="003C1E35">
        <w:t>gada 27.</w:t>
      </w:r>
      <w:r>
        <w:t xml:space="preserve"> </w:t>
      </w:r>
      <w:r w:rsidRPr="003C1E35">
        <w:t xml:space="preserve">decembra </w:t>
      </w:r>
      <w:r w:rsidRPr="00624E0C">
        <w:t>noteikum</w:t>
      </w:r>
      <w:r>
        <w:t>u</w:t>
      </w:r>
      <w:r w:rsidRPr="00624E0C">
        <w:t xml:space="preserve"> Nr.1031</w:t>
      </w:r>
      <w:r>
        <w:t xml:space="preserve"> “</w:t>
      </w:r>
      <w:r w:rsidRPr="00624E0C">
        <w:t>Noteikumi par budžetu izdevumu klasifikāciju atbilstoši ekonomiskajām kategorijām</w:t>
      </w:r>
      <w:r>
        <w:t>” pielikums</w:t>
      </w:r>
    </w:p>
  </w:footnote>
  <w:footnote w:id="5">
    <w:p w14:paraId="671E0C56" w14:textId="08024957" w:rsidR="002C24FA" w:rsidRDefault="002C24FA" w:rsidP="00E61582">
      <w:pPr>
        <w:pStyle w:val="FootnoteText"/>
        <w:jc w:val="both"/>
      </w:pPr>
      <w:r>
        <w:rPr>
          <w:rStyle w:val="FootnoteReference"/>
        </w:rPr>
        <w:footnoteRef/>
      </w:r>
      <w:r>
        <w:t xml:space="preserve"> MK</w:t>
      </w:r>
      <w:r w:rsidRPr="00624E0C">
        <w:t xml:space="preserve"> </w:t>
      </w:r>
      <w:r w:rsidRPr="003C1E35">
        <w:t>2005.</w:t>
      </w:r>
      <w:r>
        <w:t xml:space="preserve"> </w:t>
      </w:r>
      <w:r w:rsidRPr="003C1E35">
        <w:t>gada 27.</w:t>
      </w:r>
      <w:r>
        <w:t xml:space="preserve"> </w:t>
      </w:r>
      <w:r w:rsidRPr="003C1E35">
        <w:t xml:space="preserve">decembra </w:t>
      </w:r>
      <w:r w:rsidRPr="00624E0C">
        <w:t>noteikum</w:t>
      </w:r>
      <w:r>
        <w:t>u</w:t>
      </w:r>
      <w:r w:rsidRPr="00624E0C">
        <w:t xml:space="preserve"> Nr.1031</w:t>
      </w:r>
      <w:r>
        <w:t xml:space="preserve"> “</w:t>
      </w:r>
      <w:r w:rsidRPr="00624E0C">
        <w:t>Noteikumi par budžetu izdevumu klasifikāciju atbilstoši ekonomiskajām kategorijām</w:t>
      </w:r>
      <w:r>
        <w:t>” pielikums</w:t>
      </w:r>
    </w:p>
  </w:footnote>
  <w:footnote w:id="6">
    <w:p w14:paraId="06CC381B" w14:textId="00BDD231" w:rsidR="002C24FA" w:rsidRDefault="002C24FA" w:rsidP="00E61582">
      <w:pPr>
        <w:pStyle w:val="FootnoteText"/>
        <w:jc w:val="both"/>
      </w:pPr>
      <w:r>
        <w:rPr>
          <w:rStyle w:val="FootnoteReference"/>
        </w:rPr>
        <w:footnoteRef/>
      </w:r>
      <w:r>
        <w:t xml:space="preserve"> MK</w:t>
      </w:r>
      <w:r w:rsidRPr="00624E0C">
        <w:t xml:space="preserve"> </w:t>
      </w:r>
      <w:r w:rsidRPr="003C1E35">
        <w:t>2005.</w:t>
      </w:r>
      <w:r>
        <w:t xml:space="preserve"> </w:t>
      </w:r>
      <w:r w:rsidRPr="003C1E35">
        <w:t>gada 27.</w:t>
      </w:r>
      <w:r>
        <w:t xml:space="preserve"> </w:t>
      </w:r>
      <w:r w:rsidRPr="003C1E35">
        <w:t xml:space="preserve">decembra </w:t>
      </w:r>
      <w:r w:rsidRPr="00624E0C">
        <w:t>noteikum</w:t>
      </w:r>
      <w:r>
        <w:t>u</w:t>
      </w:r>
      <w:r w:rsidRPr="00624E0C">
        <w:t xml:space="preserve"> Nr.1031</w:t>
      </w:r>
      <w:r>
        <w:t xml:space="preserve"> “</w:t>
      </w:r>
      <w:r w:rsidRPr="00624E0C">
        <w:t>Noteikumi par budžetu izdevumu klasifikāciju atbilstoši ekonomiskajām kategorijām</w:t>
      </w:r>
      <w:r>
        <w:t>” pielikums</w:t>
      </w:r>
    </w:p>
  </w:footnote>
  <w:footnote w:id="7">
    <w:p w14:paraId="639116C2" w14:textId="5314C2DD" w:rsidR="002C24FA" w:rsidRDefault="002C24FA" w:rsidP="00E61582">
      <w:pPr>
        <w:pStyle w:val="FootnoteText"/>
        <w:jc w:val="both"/>
      </w:pPr>
      <w:r>
        <w:rPr>
          <w:rStyle w:val="FootnoteReference"/>
        </w:rPr>
        <w:footnoteRef/>
      </w:r>
      <w:r>
        <w:t xml:space="preserve"> MK</w:t>
      </w:r>
      <w:r w:rsidRPr="00624E0C">
        <w:t xml:space="preserve"> </w:t>
      </w:r>
      <w:r w:rsidRPr="003C1E35">
        <w:t>2005.</w:t>
      </w:r>
      <w:r>
        <w:t xml:space="preserve"> </w:t>
      </w:r>
      <w:r w:rsidRPr="003C1E35">
        <w:t>gada 27.</w:t>
      </w:r>
      <w:r>
        <w:t xml:space="preserve"> </w:t>
      </w:r>
      <w:r w:rsidRPr="003C1E35">
        <w:t xml:space="preserve">decembra </w:t>
      </w:r>
      <w:r w:rsidRPr="00624E0C">
        <w:t>noteikum</w:t>
      </w:r>
      <w:r>
        <w:t>u</w:t>
      </w:r>
      <w:r w:rsidRPr="00624E0C">
        <w:t xml:space="preserve"> Nr.</w:t>
      </w:r>
      <w:r>
        <w:t xml:space="preserve"> </w:t>
      </w:r>
      <w:r w:rsidRPr="00624E0C">
        <w:t>1031</w:t>
      </w:r>
      <w:r>
        <w:t xml:space="preserve"> “</w:t>
      </w:r>
      <w:r w:rsidRPr="00624E0C">
        <w:t>Noteikumi par budžetu izdevumu klasifikāciju atbilstoši ekonomiskajām kategorijām</w:t>
      </w:r>
      <w:r>
        <w:t>” pielikums</w:t>
      </w:r>
    </w:p>
  </w:footnote>
  <w:footnote w:id="8">
    <w:p w14:paraId="4A0F6337" w14:textId="295D4C4C" w:rsidR="002C24FA" w:rsidRDefault="002C24FA">
      <w:pPr>
        <w:pStyle w:val="FootnoteText"/>
      </w:pPr>
      <w:r>
        <w:rPr>
          <w:rStyle w:val="FootnoteReference"/>
        </w:rPr>
        <w:footnoteRef/>
      </w:r>
      <w:r>
        <w:t xml:space="preserve"> </w:t>
      </w:r>
      <w:r w:rsidRPr="00B91C89">
        <w:t>2016. gada 6. jūlija direktīva 2016/1148 par pasākumiem nolūkā panākt vienādi augsta līmeņa tīklu un informācijas sistēmu drošību visā Eiropas Savienībā</w:t>
      </w:r>
    </w:p>
  </w:footnote>
  <w:footnote w:id="9">
    <w:p w14:paraId="6C14AED0" w14:textId="77777777" w:rsidR="002C24FA" w:rsidRDefault="002C24FA" w:rsidP="00CE0303">
      <w:pPr>
        <w:pStyle w:val="FootnoteText"/>
      </w:pPr>
      <w:r>
        <w:rPr>
          <w:rStyle w:val="FootnoteReference"/>
        </w:rPr>
        <w:footnoteRef/>
      </w:r>
      <w:r>
        <w:t xml:space="preserve"> ES ietvaros</w:t>
      </w:r>
      <w:r w:rsidRPr="000E243F">
        <w:t xml:space="preserve"> izveidota iSupport sistēma </w:t>
      </w:r>
      <w:hyperlink r:id="rId1" w:history="1">
        <w:r w:rsidRPr="00005D2C">
          <w:rPr>
            <w:rStyle w:val="Hyperlink"/>
          </w:rPr>
          <w:t>https://www.hcch.net/en/instruments/conventions/specialised-sections/child-support/isupport1</w:t>
        </w:r>
      </w:hyperlink>
      <w:r>
        <w:t xml:space="preserve"> </w:t>
      </w:r>
    </w:p>
  </w:footnote>
  <w:footnote w:id="10">
    <w:p w14:paraId="13BAA43A" w14:textId="77777777" w:rsidR="002C24FA" w:rsidRDefault="002C24FA">
      <w:pPr>
        <w:pStyle w:val="FootnoteText"/>
      </w:pPr>
      <w:r>
        <w:rPr>
          <w:rStyle w:val="FootnoteReference"/>
        </w:rPr>
        <w:footnoteRef/>
      </w:r>
      <w:r>
        <w:t xml:space="preserve"> </w:t>
      </w:r>
      <w:r w:rsidRPr="00D10C89">
        <w:t>skat. pētījumu Nacionālā kino centra tīmekļvietnē</w:t>
      </w:r>
      <w:r>
        <w:t xml:space="preserve"> </w:t>
      </w:r>
    </w:p>
    <w:p w14:paraId="1066CE40" w14:textId="4593A6DA" w:rsidR="002C24FA" w:rsidRDefault="00D8747B">
      <w:pPr>
        <w:pStyle w:val="FootnoteText"/>
      </w:pPr>
      <w:hyperlink r:id="rId2" w:history="1">
        <w:r w:rsidR="002C24FA" w:rsidRPr="00132724">
          <w:rPr>
            <w:rStyle w:val="Hyperlink"/>
          </w:rPr>
          <w:t>https://datubaze.nkc.gov.lv/wp-content/uploads/2019/12/NKC_Liidzfinanseejuma-ekonomiskaa-ietekme.pdf</w:t>
        </w:r>
      </w:hyperlink>
      <w:r w:rsidR="002C24FA">
        <w:t xml:space="preserve"> </w:t>
      </w:r>
    </w:p>
  </w:footnote>
  <w:footnote w:id="11">
    <w:p w14:paraId="0FEEFB7C" w14:textId="2FD71200" w:rsidR="002C24FA" w:rsidRPr="00633F3E" w:rsidRDefault="002C24FA" w:rsidP="001617E7">
      <w:pPr>
        <w:pStyle w:val="FootnoteText"/>
        <w:rPr>
          <w:rFonts w:cs="Times New Roman"/>
          <w:sz w:val="18"/>
          <w:szCs w:val="18"/>
        </w:rPr>
      </w:pPr>
      <w:r w:rsidRPr="00633F3E">
        <w:rPr>
          <w:rStyle w:val="FootnoteReference"/>
          <w:rFonts w:cs="Times New Roman"/>
          <w:sz w:val="18"/>
          <w:szCs w:val="18"/>
        </w:rPr>
        <w:footnoteRef/>
      </w:r>
      <w:r w:rsidRPr="00633F3E">
        <w:rPr>
          <w:rFonts w:cs="Times New Roman"/>
          <w:sz w:val="18"/>
          <w:szCs w:val="18"/>
        </w:rPr>
        <w:t xml:space="preserve"> </w:t>
      </w:r>
      <w:r>
        <w:rPr>
          <w:rFonts w:cs="Times New Roman"/>
          <w:sz w:val="18"/>
          <w:szCs w:val="18"/>
        </w:rPr>
        <w:t>Ņ</w:t>
      </w:r>
      <w:r w:rsidRPr="00633F3E">
        <w:rPr>
          <w:rFonts w:cs="Times New Roman"/>
          <w:sz w:val="18"/>
          <w:szCs w:val="18"/>
        </w:rPr>
        <w:t>emot vērā, ka, sākot no 2021. gada, atsevišķas politika un resursu vadības kartes ir apvienotas, lai varētu veikt kvalitatīvu politikas rezultatīvo rādītāju sasaistes ar finansējumu analīzi, politikas rezultatīvo rādītāju sadalījums pa politikas un resursu vadības kartēm ir ņemts, pamatojoties uz 2021.</w:t>
      </w:r>
      <w:r>
        <w:rPr>
          <w:rFonts w:cs="Times New Roman"/>
          <w:sz w:val="18"/>
          <w:szCs w:val="18"/>
        </w:rPr>
        <w:t xml:space="preserve"> </w:t>
      </w:r>
      <w:r w:rsidRPr="00633F3E">
        <w:rPr>
          <w:rFonts w:cs="Times New Roman"/>
          <w:sz w:val="18"/>
          <w:szCs w:val="18"/>
        </w:rPr>
        <w:t>gada budžeta paskaidrojumiem.</w:t>
      </w:r>
      <w:r>
        <w:rPr>
          <w:rFonts w:cs="Times New Roman"/>
          <w:sz w:val="18"/>
          <w:szCs w:val="18"/>
        </w:rPr>
        <w:t xml:space="preserve"> P</w:t>
      </w:r>
      <w:r w:rsidRPr="00633F3E">
        <w:rPr>
          <w:rFonts w:cs="Times New Roman"/>
          <w:sz w:val="18"/>
          <w:szCs w:val="18"/>
        </w:rPr>
        <w:t>olitikas un resursu vadības kart</w:t>
      </w:r>
      <w:r>
        <w:rPr>
          <w:rFonts w:cs="Times New Roman"/>
          <w:sz w:val="18"/>
          <w:szCs w:val="18"/>
        </w:rPr>
        <w:t>ei</w:t>
      </w:r>
      <w:r w:rsidRPr="00633F3E">
        <w:rPr>
          <w:rFonts w:cs="Times New Roman"/>
          <w:sz w:val="18"/>
          <w:szCs w:val="18"/>
        </w:rPr>
        <w:t xml:space="preserve"> Nr. 8 “Valsts drošības dienesta darbība” </w:t>
      </w:r>
      <w:r>
        <w:rPr>
          <w:rFonts w:cs="Times New Roman"/>
          <w:sz w:val="18"/>
          <w:szCs w:val="18"/>
        </w:rPr>
        <w:t>nav norādīti</w:t>
      </w:r>
      <w:r w:rsidRPr="00633F3E">
        <w:rPr>
          <w:rFonts w:cs="Times New Roman"/>
          <w:sz w:val="18"/>
          <w:szCs w:val="18"/>
        </w:rPr>
        <w:t xml:space="preserve"> politikas rezultatīvie rādītāji, jo iekļautā informācija ir klasificēta</w:t>
      </w:r>
      <w:r>
        <w:rPr>
          <w:rFonts w:cs="Times New Roman"/>
          <w:sz w:val="18"/>
          <w:szCs w:val="18"/>
        </w:rPr>
        <w:t>.</w:t>
      </w:r>
    </w:p>
  </w:footnote>
  <w:footnote w:id="12">
    <w:p w14:paraId="5E3283F6" w14:textId="77777777" w:rsidR="002C24FA" w:rsidRPr="0008776D" w:rsidRDefault="002C24FA" w:rsidP="001617E7">
      <w:pPr>
        <w:spacing w:after="0" w:line="240" w:lineRule="auto"/>
        <w:rPr>
          <w:rFonts w:cs="Times New Roman"/>
          <w:sz w:val="18"/>
          <w:szCs w:val="18"/>
          <w:lang w:val="lv-LV"/>
        </w:rPr>
      </w:pPr>
      <w:r>
        <w:rPr>
          <w:rStyle w:val="FootnoteReference"/>
        </w:rPr>
        <w:footnoteRef/>
      </w:r>
      <w:r w:rsidRPr="00952167">
        <w:rPr>
          <w:lang w:val="lv-LV"/>
        </w:rPr>
        <w:t xml:space="preserve"> </w:t>
      </w:r>
      <w:r>
        <w:rPr>
          <w:rFonts w:cs="Times New Roman"/>
          <w:sz w:val="18"/>
          <w:szCs w:val="18"/>
          <w:lang w:val="lv-LV"/>
        </w:rPr>
        <w:t>P</w:t>
      </w:r>
      <w:r w:rsidRPr="00140080">
        <w:rPr>
          <w:rFonts w:cs="Times New Roman"/>
          <w:sz w:val="18"/>
          <w:szCs w:val="18"/>
          <w:lang w:val="lv-LV"/>
        </w:rPr>
        <w:t xml:space="preserve">olitikas rezultatīvo rādītāju </w:t>
      </w:r>
      <w:r>
        <w:rPr>
          <w:rFonts w:cs="Times New Roman"/>
          <w:sz w:val="18"/>
          <w:szCs w:val="18"/>
          <w:lang w:val="lv-LV"/>
        </w:rPr>
        <w:t>p</w:t>
      </w:r>
      <w:r w:rsidRPr="00140080">
        <w:rPr>
          <w:rFonts w:cs="Times New Roman"/>
          <w:sz w:val="18"/>
          <w:szCs w:val="18"/>
          <w:lang w:val="lv-LV"/>
        </w:rPr>
        <w:t xml:space="preserve">lānotās vērtības </w:t>
      </w:r>
      <w:r>
        <w:rPr>
          <w:rFonts w:cs="Times New Roman"/>
          <w:sz w:val="18"/>
          <w:szCs w:val="18"/>
          <w:lang w:val="lv-LV"/>
        </w:rPr>
        <w:t>apzīmētas a</w:t>
      </w:r>
      <w:r w:rsidRPr="00140080">
        <w:rPr>
          <w:rFonts w:cs="Times New Roman"/>
          <w:sz w:val="18"/>
          <w:szCs w:val="18"/>
          <w:lang w:val="lv-LV"/>
        </w:rPr>
        <w:t>r rombiņiem</w:t>
      </w:r>
      <w:r>
        <w:rPr>
          <w:rFonts w:cs="Times New Roman"/>
          <w:sz w:val="18"/>
          <w:szCs w:val="18"/>
          <w:lang w:val="lv-LV"/>
        </w:rPr>
        <w:t>.</w:t>
      </w:r>
    </w:p>
  </w:footnote>
  <w:footnote w:id="13">
    <w:p w14:paraId="52FD4BE2" w14:textId="77777777" w:rsidR="002C24FA" w:rsidRPr="00F4580A" w:rsidRDefault="002C24FA" w:rsidP="001617E7">
      <w:pPr>
        <w:pStyle w:val="FootnoteText"/>
      </w:pPr>
      <w:r>
        <w:rPr>
          <w:rStyle w:val="FootnoteReference"/>
        </w:rPr>
        <w:footnoteRef/>
      </w:r>
      <w:r w:rsidRPr="00952167">
        <w:t xml:space="preserve"> </w:t>
      </w:r>
      <w:r>
        <w:rPr>
          <w:rFonts w:cs="Times New Roman"/>
          <w:sz w:val="18"/>
          <w:szCs w:val="18"/>
        </w:rPr>
        <w:t>P</w:t>
      </w:r>
      <w:r w:rsidRPr="00140080">
        <w:rPr>
          <w:rFonts w:cs="Times New Roman"/>
          <w:sz w:val="18"/>
          <w:szCs w:val="18"/>
        </w:rPr>
        <w:t xml:space="preserve">olitikas rezultatīvo rādītāju </w:t>
      </w:r>
      <w:r>
        <w:rPr>
          <w:rFonts w:cs="Times New Roman"/>
          <w:sz w:val="18"/>
          <w:szCs w:val="18"/>
        </w:rPr>
        <w:t>p</w:t>
      </w:r>
      <w:r w:rsidRPr="00140080">
        <w:rPr>
          <w:rFonts w:cs="Times New Roman"/>
          <w:sz w:val="18"/>
          <w:szCs w:val="18"/>
        </w:rPr>
        <w:t xml:space="preserve">lānotās vērtības </w:t>
      </w:r>
      <w:r>
        <w:rPr>
          <w:rFonts w:cs="Times New Roman"/>
          <w:sz w:val="18"/>
          <w:szCs w:val="18"/>
        </w:rPr>
        <w:t>apzīmētas a</w:t>
      </w:r>
      <w:r w:rsidRPr="00140080">
        <w:rPr>
          <w:rFonts w:cs="Times New Roman"/>
          <w:sz w:val="18"/>
          <w:szCs w:val="18"/>
        </w:rPr>
        <w:t>r rombiņiem</w:t>
      </w:r>
      <w:r>
        <w:rPr>
          <w:rFonts w:cs="Times New Roman"/>
          <w:sz w:val="18"/>
          <w:szCs w:val="18"/>
        </w:rPr>
        <w:t>.</w:t>
      </w:r>
    </w:p>
  </w:footnote>
  <w:footnote w:id="14">
    <w:p w14:paraId="5A54FCEF" w14:textId="77777777" w:rsidR="002C24FA" w:rsidRPr="00AD3839" w:rsidRDefault="002C24FA" w:rsidP="001617E7">
      <w:pPr>
        <w:pStyle w:val="FootnoteText"/>
      </w:pPr>
      <w:r w:rsidRPr="00AD3839">
        <w:rPr>
          <w:rStyle w:val="FootnoteReference"/>
          <w:rFonts w:cs="Times New Roman"/>
        </w:rPr>
        <w:footnoteRef/>
      </w:r>
      <w:r w:rsidRPr="00952167">
        <w:rPr>
          <w:rFonts w:cs="Times New Roman"/>
        </w:rPr>
        <w:t xml:space="preserve"> </w:t>
      </w:r>
      <w:r>
        <w:rPr>
          <w:rFonts w:cs="Times New Roman"/>
          <w:sz w:val="18"/>
          <w:szCs w:val="18"/>
        </w:rPr>
        <w:t>P</w:t>
      </w:r>
      <w:r w:rsidRPr="00140080">
        <w:rPr>
          <w:rFonts w:cs="Times New Roman"/>
          <w:sz w:val="18"/>
          <w:szCs w:val="18"/>
        </w:rPr>
        <w:t xml:space="preserve">olitikas rezultatīvo rādītāju </w:t>
      </w:r>
      <w:r>
        <w:rPr>
          <w:rFonts w:cs="Times New Roman"/>
          <w:sz w:val="18"/>
          <w:szCs w:val="18"/>
        </w:rPr>
        <w:t>p</w:t>
      </w:r>
      <w:r w:rsidRPr="00140080">
        <w:rPr>
          <w:rFonts w:cs="Times New Roman"/>
          <w:sz w:val="18"/>
          <w:szCs w:val="18"/>
        </w:rPr>
        <w:t xml:space="preserve">lānotās vērtības </w:t>
      </w:r>
      <w:r>
        <w:rPr>
          <w:rFonts w:cs="Times New Roman"/>
          <w:sz w:val="18"/>
          <w:szCs w:val="18"/>
        </w:rPr>
        <w:t>apzīmētas a</w:t>
      </w:r>
      <w:r w:rsidRPr="00140080">
        <w:rPr>
          <w:rFonts w:cs="Times New Roman"/>
          <w:sz w:val="18"/>
          <w:szCs w:val="18"/>
        </w:rPr>
        <w:t>r rombiņiem</w:t>
      </w:r>
    </w:p>
  </w:footnote>
  <w:footnote w:id="15">
    <w:p w14:paraId="097842E1" w14:textId="77777777" w:rsidR="002C24FA" w:rsidRPr="00AB30C1" w:rsidRDefault="002C24FA" w:rsidP="001617E7">
      <w:pPr>
        <w:pStyle w:val="FootnoteText"/>
        <w:rPr>
          <w:rFonts w:cs="Times New Roman"/>
        </w:rPr>
      </w:pPr>
      <w:r w:rsidRPr="00AB30C1">
        <w:rPr>
          <w:rStyle w:val="FootnoteReference"/>
          <w:rFonts w:cs="Times New Roman"/>
        </w:rPr>
        <w:footnoteRef/>
      </w:r>
      <w:r w:rsidRPr="00AB30C1">
        <w:rPr>
          <w:rFonts w:cs="Times New Roman"/>
        </w:rPr>
        <w:t xml:space="preserve"> </w:t>
      </w:r>
      <w:r w:rsidRPr="002E5184">
        <w:rPr>
          <w:rFonts w:cs="Times New Roman"/>
          <w:sz w:val="18"/>
          <w:szCs w:val="18"/>
        </w:rPr>
        <w:t>Šis politikas rezultatīvais rādītājs netiek iekļauts grafikā, jo</w:t>
      </w:r>
      <w:r>
        <w:rPr>
          <w:rFonts w:cs="Times New Roman"/>
          <w:sz w:val="18"/>
          <w:szCs w:val="18"/>
        </w:rPr>
        <w:t xml:space="preserve"> ir</w:t>
      </w:r>
      <w:r w:rsidRPr="002E5184">
        <w:rPr>
          <w:rFonts w:cs="Times New Roman"/>
          <w:sz w:val="18"/>
          <w:szCs w:val="18"/>
        </w:rPr>
        <w:t xml:space="preserve"> līdzīgs ar politikas rezultatīvo rādītāju “Vietas, kur ieslodzītie tiek izvietoti drošos, resocializācijas īstenošanai piemērotos un starptautiskajām prasībām atbilstošos apstākļos (% no kopējā ieslodzījuma vietās esošo vietu skaita)”</w:t>
      </w:r>
      <w:r>
        <w:rPr>
          <w:rFonts w:cs="Times New Roman"/>
          <w:sz w:val="18"/>
          <w:szCs w:val="18"/>
        </w:rPr>
        <w:t>.</w:t>
      </w:r>
    </w:p>
  </w:footnote>
  <w:footnote w:id="16">
    <w:p w14:paraId="65AA7459" w14:textId="77777777" w:rsidR="002C24FA" w:rsidRPr="002E5184" w:rsidRDefault="002C24FA" w:rsidP="001617E7">
      <w:pPr>
        <w:pStyle w:val="FootnoteText"/>
      </w:pPr>
      <w:r>
        <w:rPr>
          <w:rStyle w:val="FootnoteReference"/>
        </w:rPr>
        <w:footnoteRef/>
      </w:r>
      <w:r w:rsidRPr="0039016F">
        <w:t xml:space="preserve"> </w:t>
      </w:r>
      <w:r>
        <w:rPr>
          <w:rFonts w:cs="Times New Roman"/>
          <w:sz w:val="18"/>
          <w:szCs w:val="18"/>
        </w:rPr>
        <w:t>P</w:t>
      </w:r>
      <w:r w:rsidRPr="00140080">
        <w:rPr>
          <w:rFonts w:cs="Times New Roman"/>
          <w:sz w:val="18"/>
          <w:szCs w:val="18"/>
        </w:rPr>
        <w:t xml:space="preserve">olitikas rezultatīvo rādītāju </w:t>
      </w:r>
      <w:r>
        <w:rPr>
          <w:rFonts w:cs="Times New Roman"/>
          <w:sz w:val="18"/>
          <w:szCs w:val="18"/>
        </w:rPr>
        <w:t>p</w:t>
      </w:r>
      <w:r w:rsidRPr="00140080">
        <w:rPr>
          <w:rFonts w:cs="Times New Roman"/>
          <w:sz w:val="18"/>
          <w:szCs w:val="18"/>
        </w:rPr>
        <w:t xml:space="preserve">lānotās vērtības </w:t>
      </w:r>
      <w:r>
        <w:rPr>
          <w:rFonts w:cs="Times New Roman"/>
          <w:sz w:val="18"/>
          <w:szCs w:val="18"/>
        </w:rPr>
        <w:t>apzīmētas a</w:t>
      </w:r>
      <w:r w:rsidRPr="00140080">
        <w:rPr>
          <w:rFonts w:cs="Times New Roman"/>
          <w:sz w:val="18"/>
          <w:szCs w:val="18"/>
        </w:rPr>
        <w:t>r rombiņiem</w:t>
      </w:r>
      <w:r>
        <w:rPr>
          <w:rFonts w:cs="Times New Roman"/>
          <w:sz w:val="18"/>
          <w:szCs w:val="18"/>
        </w:rPr>
        <w:t>.</w:t>
      </w:r>
    </w:p>
  </w:footnote>
  <w:footnote w:id="17">
    <w:p w14:paraId="573E6687" w14:textId="77777777" w:rsidR="002C24FA" w:rsidRPr="00247914" w:rsidRDefault="002C24FA" w:rsidP="001617E7">
      <w:pPr>
        <w:pStyle w:val="FootnoteText"/>
      </w:pPr>
      <w:r>
        <w:rPr>
          <w:rStyle w:val="FootnoteReference"/>
        </w:rPr>
        <w:footnoteRef/>
      </w:r>
      <w:r w:rsidRPr="0039016F">
        <w:t xml:space="preserve"> </w:t>
      </w:r>
      <w:r>
        <w:rPr>
          <w:rFonts w:cs="Times New Roman"/>
          <w:sz w:val="18"/>
          <w:szCs w:val="18"/>
        </w:rPr>
        <w:t>P</w:t>
      </w:r>
      <w:r w:rsidRPr="00140080">
        <w:rPr>
          <w:rFonts w:cs="Times New Roman"/>
          <w:sz w:val="18"/>
          <w:szCs w:val="18"/>
        </w:rPr>
        <w:t xml:space="preserve">olitikas rezultatīvo rādītāju </w:t>
      </w:r>
      <w:r>
        <w:rPr>
          <w:rFonts w:cs="Times New Roman"/>
          <w:sz w:val="18"/>
          <w:szCs w:val="18"/>
        </w:rPr>
        <w:t>p</w:t>
      </w:r>
      <w:r w:rsidRPr="00140080">
        <w:rPr>
          <w:rFonts w:cs="Times New Roman"/>
          <w:sz w:val="18"/>
          <w:szCs w:val="18"/>
        </w:rPr>
        <w:t xml:space="preserve">lānotās vērtības </w:t>
      </w:r>
      <w:r>
        <w:rPr>
          <w:rFonts w:cs="Times New Roman"/>
          <w:sz w:val="18"/>
          <w:szCs w:val="18"/>
        </w:rPr>
        <w:t>apzīmētas a</w:t>
      </w:r>
      <w:r w:rsidRPr="00140080">
        <w:rPr>
          <w:rFonts w:cs="Times New Roman"/>
          <w:sz w:val="18"/>
          <w:szCs w:val="18"/>
        </w:rPr>
        <w:t>r rombiņiem</w:t>
      </w:r>
      <w:r>
        <w:rPr>
          <w:rFonts w:cs="Times New Roman"/>
          <w:sz w:val="18"/>
          <w:szCs w:val="18"/>
        </w:rPr>
        <w:t>.</w:t>
      </w:r>
    </w:p>
  </w:footnote>
  <w:footnote w:id="18">
    <w:p w14:paraId="64E879D5" w14:textId="77777777" w:rsidR="002C24FA" w:rsidRDefault="002C24FA" w:rsidP="004D618E">
      <w:pPr>
        <w:pStyle w:val="FootnoteText"/>
        <w:jc w:val="both"/>
      </w:pPr>
      <w:r>
        <w:rPr>
          <w:rStyle w:val="FootnoteReference"/>
        </w:rPr>
        <w:footnoteRef/>
      </w:r>
      <w:r>
        <w:t xml:space="preserve"> </w:t>
      </w:r>
      <w:r w:rsidRPr="00A36E41">
        <w:t>Tabulā iekļautas tikai tās specialitātes (un viena papildspecialitāte), kuras plānotas VM rīkojumā “Par rezidentūras vietu skaitu 2020./2021. studiju gadā”, un to rezidentūras studiju ilgums Latvijā ir atšķirīgs ES direktīvas 5. pielikuma 5.1.3. sadaļā par profesionālo kvalifikāciju atzīšanu noteiktajam.</w:t>
      </w:r>
    </w:p>
  </w:footnote>
  <w:footnote w:id="19">
    <w:p w14:paraId="0EC06E7B" w14:textId="4C15DF4B" w:rsidR="002C24FA" w:rsidRDefault="002C24FA" w:rsidP="005354B1">
      <w:pPr>
        <w:pStyle w:val="FootnoteText"/>
        <w:jc w:val="both"/>
      </w:pPr>
      <w:r>
        <w:rPr>
          <w:rStyle w:val="FootnoteReference"/>
        </w:rPr>
        <w:footnoteRef/>
      </w:r>
      <w:r>
        <w:t xml:space="preserve"> </w:t>
      </w:r>
      <w:r w:rsidRPr="005354B1">
        <w:rPr>
          <w:rFonts w:eastAsia="Times New Roman" w:cs="Times New Roman"/>
        </w:rPr>
        <w:t>2009.</w:t>
      </w:r>
      <w:r>
        <w:rPr>
          <w:rFonts w:eastAsia="Times New Roman" w:cs="Times New Roman"/>
        </w:rPr>
        <w:t xml:space="preserve"> </w:t>
      </w:r>
      <w:r w:rsidRPr="005354B1">
        <w:rPr>
          <w:rFonts w:eastAsia="Times New Roman" w:cs="Times New Roman"/>
        </w:rPr>
        <w:t>gada 24.</w:t>
      </w:r>
      <w:r>
        <w:rPr>
          <w:rFonts w:eastAsia="Times New Roman" w:cs="Times New Roman"/>
        </w:rPr>
        <w:t xml:space="preserve"> </w:t>
      </w:r>
      <w:r w:rsidRPr="005354B1">
        <w:rPr>
          <w:rFonts w:eastAsia="Times New Roman" w:cs="Times New Roman"/>
        </w:rPr>
        <w:t xml:space="preserve">marta </w:t>
      </w:r>
      <w:r w:rsidRPr="005354B1">
        <w:rPr>
          <w:rFonts w:cs="Times New Roman"/>
        </w:rPr>
        <w:t xml:space="preserve">MK </w:t>
      </w:r>
      <w:r>
        <w:rPr>
          <w:rFonts w:eastAsia="Times New Roman" w:cs="Times New Roman"/>
        </w:rPr>
        <w:t>noteikumi</w:t>
      </w:r>
      <w:r w:rsidRPr="005354B1">
        <w:rPr>
          <w:rFonts w:eastAsia="Times New Roman" w:cs="Times New Roman"/>
        </w:rPr>
        <w:t xml:space="preserve"> Nr.</w:t>
      </w:r>
      <w:r>
        <w:rPr>
          <w:rFonts w:eastAsia="Times New Roman" w:cs="Times New Roman"/>
        </w:rPr>
        <w:t xml:space="preserve"> </w:t>
      </w:r>
      <w:r w:rsidRPr="005354B1">
        <w:rPr>
          <w:rFonts w:eastAsia="Times New Roman" w:cs="Times New Roman"/>
        </w:rPr>
        <w:t>268 “Noteikumi par ārstniecības personu un studējošo, kuri apgūst pirmā vai otrā līmeņa profesionālās augstākās medicīniskās izglītības programmas, kompetenci ārstniecībā un šo personu teorētisko un praktisko zināšanu apjomu”</w:t>
      </w:r>
    </w:p>
  </w:footnote>
  <w:footnote w:id="20">
    <w:p w14:paraId="4596C3F5" w14:textId="77777777" w:rsidR="002C24FA" w:rsidRDefault="002C24FA" w:rsidP="004D618E">
      <w:pPr>
        <w:pStyle w:val="FootnoteText"/>
      </w:pPr>
      <w:r>
        <w:rPr>
          <w:rStyle w:val="FootnoteReference"/>
        </w:rPr>
        <w:footnoteRef/>
      </w:r>
      <w:r>
        <w:t xml:space="preserve"> VM</w:t>
      </w:r>
      <w:r w:rsidRPr="003D45A4">
        <w:t xml:space="preserve"> iesūtītā informācija</w:t>
      </w:r>
      <w:r>
        <w:t>.</w:t>
      </w:r>
    </w:p>
  </w:footnote>
  <w:footnote w:id="21">
    <w:p w14:paraId="43E87734" w14:textId="77777777" w:rsidR="002C24FA" w:rsidRDefault="002C24FA" w:rsidP="004D618E">
      <w:pPr>
        <w:pStyle w:val="FootnoteText"/>
      </w:pPr>
      <w:r>
        <w:rPr>
          <w:rStyle w:val="FootnoteReference"/>
        </w:rPr>
        <w:footnoteRef/>
      </w:r>
      <w:r>
        <w:t xml:space="preserve"> Aprēķinam izmantoti pieejamie dati par studiju izmaksām 2020. gadā (Tabula Nr. 3.1.4.).</w:t>
      </w:r>
    </w:p>
  </w:footnote>
  <w:footnote w:id="22">
    <w:p w14:paraId="4831E0A1" w14:textId="77777777" w:rsidR="002C24FA" w:rsidRDefault="002C24FA" w:rsidP="004D618E">
      <w:pPr>
        <w:pStyle w:val="FootnoteText"/>
      </w:pPr>
      <w:r>
        <w:rPr>
          <w:rStyle w:val="FootnoteReference"/>
        </w:rPr>
        <w:footnoteRef/>
      </w:r>
      <w:r>
        <w:t xml:space="preserve"> Datu avots: Veselības inspekcija.</w:t>
      </w:r>
    </w:p>
  </w:footnote>
  <w:footnote w:id="23">
    <w:p w14:paraId="3C83590E" w14:textId="2E7CD536" w:rsidR="002C24FA" w:rsidRDefault="002C24FA" w:rsidP="004D618E">
      <w:pPr>
        <w:pStyle w:val="FootnoteText"/>
      </w:pPr>
      <w:r>
        <w:rPr>
          <w:rStyle w:val="FootnoteReference"/>
        </w:rPr>
        <w:footnoteRef/>
      </w:r>
      <w:r>
        <w:t xml:space="preserve"> Saskaņā ar MK 2021. gada 30. augusta noteikumu Nr.685 “Rezidentu uzņemšanas, sadales un rezidentūras finansēšanas kārtība” 28. punktu.</w:t>
      </w:r>
    </w:p>
  </w:footnote>
  <w:footnote w:id="24">
    <w:p w14:paraId="15FC3C64" w14:textId="77777777" w:rsidR="002C24FA" w:rsidRDefault="002C24FA" w:rsidP="004D618E">
      <w:pPr>
        <w:pStyle w:val="FootnoteText"/>
      </w:pPr>
      <w:r>
        <w:rPr>
          <w:rStyle w:val="FootnoteReference"/>
        </w:rPr>
        <w:footnoteRef/>
      </w:r>
      <w:r>
        <w:t xml:space="preserve"> Recommendation for a COUNCIL RECOMMENDATION on the 2020 National Reform Programme of Latvia and delivering a Council opinion on the 2020 Stability Programme of Latvia </w:t>
      </w:r>
      <w:r w:rsidRPr="006A4266">
        <w:rPr>
          <w:szCs w:val="24"/>
        </w:rPr>
        <w:t>(COM/2020/514 final)</w:t>
      </w:r>
      <w:r>
        <w:rPr>
          <w:szCs w:val="24"/>
        </w:rPr>
        <w:t>.</w:t>
      </w:r>
    </w:p>
  </w:footnote>
  <w:footnote w:id="25">
    <w:p w14:paraId="08A574B0" w14:textId="77777777" w:rsidR="002C24FA" w:rsidRDefault="002C24FA" w:rsidP="004D618E">
      <w:pPr>
        <w:pStyle w:val="FootnoteText"/>
      </w:pPr>
      <w:r>
        <w:rPr>
          <w:rStyle w:val="FootnoteReference"/>
        </w:rPr>
        <w:footnoteRef/>
      </w:r>
      <w:r>
        <w:t xml:space="preserve"> VKo revīzijas ziņojums “Cilvēkresursi veselības aprūpē”, 2019.</w:t>
      </w:r>
    </w:p>
  </w:footnote>
  <w:footnote w:id="26">
    <w:p w14:paraId="4E7A4BCB" w14:textId="77777777" w:rsidR="002C24FA" w:rsidRDefault="002C24FA" w:rsidP="004D618E">
      <w:pPr>
        <w:pStyle w:val="FootnoteText"/>
      </w:pPr>
      <w:r>
        <w:rPr>
          <w:rStyle w:val="FootnoteReference"/>
        </w:rPr>
        <w:footnoteRef/>
      </w:r>
      <w:r>
        <w:t xml:space="preserve"> </w:t>
      </w:r>
      <w:r w:rsidRPr="00D919AF">
        <w:t xml:space="preserve">Datu avots: </w:t>
      </w:r>
      <w:r w:rsidRPr="00D919AF">
        <w:rPr>
          <w:szCs w:val="24"/>
        </w:rPr>
        <w:t xml:space="preserve">VM, pamatojoties uz IZM datiem (pieejami: </w:t>
      </w:r>
      <w:hyperlink r:id="rId3" w:history="1">
        <w:r w:rsidRPr="00D919AF">
          <w:rPr>
            <w:rStyle w:val="Hyperlink"/>
            <w:szCs w:val="24"/>
          </w:rPr>
          <w:t>https://www.izm.gov.lv/lv/statistika-par-augstako-izglitibu</w:t>
        </w:r>
      </w:hyperlink>
      <w:r w:rsidRPr="00D919AF">
        <w:rPr>
          <w:rStyle w:val="Hyperlink"/>
          <w:szCs w:val="24"/>
        </w:rPr>
        <w:t>).</w:t>
      </w:r>
    </w:p>
  </w:footnote>
  <w:footnote w:id="27">
    <w:p w14:paraId="44BA8C01" w14:textId="77777777" w:rsidR="002C24FA" w:rsidRPr="006825A6" w:rsidRDefault="002C24FA" w:rsidP="004D618E">
      <w:pPr>
        <w:pStyle w:val="FootnoteText"/>
        <w:jc w:val="both"/>
      </w:pPr>
      <w:r>
        <w:rPr>
          <w:rStyle w:val="FootnoteReference"/>
        </w:rPr>
        <w:footnoteRef/>
      </w:r>
      <w:r>
        <w:t xml:space="preserve"> </w:t>
      </w:r>
      <w:r w:rsidRPr="00697C87">
        <w:t>Informācija par rezidentūras vietu skaita sadalījumu specialitātēs atbilstoši VM rīkojumam kārtējā un turpmākajos divos gados pieejama VM tīmekļa vietnē (</w:t>
      </w:r>
      <w:hyperlink r:id="rId4" w:history="1">
        <w:r w:rsidRPr="00697C87">
          <w:rPr>
            <w:rStyle w:val="Hyperlink"/>
          </w:rPr>
          <w:t>https://www.vm.gov.lv/lv/rezidenturas-vietu-sadalijums</w:t>
        </w:r>
      </w:hyperlink>
      <w:r w:rsidRPr="00697C87">
        <w:t>)</w:t>
      </w:r>
      <w:r>
        <w:t>.</w:t>
      </w:r>
    </w:p>
  </w:footnote>
  <w:footnote w:id="28">
    <w:p w14:paraId="4399D35C" w14:textId="02C2F57E" w:rsidR="002C24FA" w:rsidRPr="004D618E" w:rsidRDefault="002C24FA" w:rsidP="005D7EA5">
      <w:pPr>
        <w:shd w:val="clear" w:color="auto" w:fill="FFFFFF"/>
        <w:spacing w:after="0"/>
        <w:rPr>
          <w:sz w:val="20"/>
          <w:szCs w:val="20"/>
          <w:lang w:val="lv-LV"/>
        </w:rPr>
      </w:pPr>
      <w:r w:rsidRPr="00B21F85">
        <w:rPr>
          <w:rStyle w:val="FootnoteReference"/>
          <w:sz w:val="20"/>
          <w:szCs w:val="20"/>
        </w:rPr>
        <w:footnoteRef/>
      </w:r>
      <w:r w:rsidRPr="004D618E">
        <w:rPr>
          <w:sz w:val="20"/>
          <w:szCs w:val="20"/>
          <w:lang w:val="lv-LV"/>
        </w:rPr>
        <w:t xml:space="preserve"> </w:t>
      </w:r>
      <w:r>
        <w:rPr>
          <w:sz w:val="20"/>
          <w:szCs w:val="20"/>
          <w:lang w:val="lv-LV"/>
        </w:rPr>
        <w:t>MK 2016. gada 3. maija rīkojuma</w:t>
      </w:r>
      <w:r w:rsidRPr="004D618E">
        <w:rPr>
          <w:sz w:val="20"/>
          <w:szCs w:val="20"/>
          <w:lang w:val="lv-LV"/>
        </w:rPr>
        <w:t xml:space="preserve"> Nr. 275 “Par Valdības rīcības plānu Deklarācijas par Māra Kučinska vadī</w:t>
      </w:r>
      <w:r>
        <w:rPr>
          <w:sz w:val="20"/>
          <w:szCs w:val="20"/>
          <w:lang w:val="lv-LV"/>
        </w:rPr>
        <w:t xml:space="preserve">tā </w:t>
      </w:r>
      <w:r w:rsidRPr="004D618E">
        <w:rPr>
          <w:sz w:val="20"/>
          <w:szCs w:val="20"/>
          <w:lang w:val="lv-LV"/>
        </w:rPr>
        <w:t>Ministru kabineta iecerēto darbību īstenošanai” 133. p</w:t>
      </w:r>
      <w:r>
        <w:rPr>
          <w:sz w:val="20"/>
          <w:szCs w:val="20"/>
          <w:lang w:val="lv-LV"/>
        </w:rPr>
        <w:t>unkts</w:t>
      </w:r>
      <w:r w:rsidRPr="004D618E">
        <w:rPr>
          <w:sz w:val="20"/>
          <w:szCs w:val="20"/>
          <w:lang w:val="lv-LV"/>
        </w:rPr>
        <w:t>.</w:t>
      </w:r>
    </w:p>
  </w:footnote>
  <w:footnote w:id="29">
    <w:p w14:paraId="7F4E57D2" w14:textId="77777777" w:rsidR="002C24FA" w:rsidRDefault="002C24FA" w:rsidP="004D618E">
      <w:pPr>
        <w:pStyle w:val="FootnoteText"/>
        <w:jc w:val="both"/>
      </w:pPr>
      <w:r w:rsidRPr="00AA35E0">
        <w:rPr>
          <w:rStyle w:val="FootnoteReference"/>
          <w:sz w:val="16"/>
          <w:szCs w:val="16"/>
        </w:rPr>
        <w:footnoteRef/>
      </w:r>
      <w:r w:rsidRPr="00AA35E0">
        <w:rPr>
          <w:sz w:val="16"/>
          <w:szCs w:val="16"/>
        </w:rPr>
        <w:t xml:space="preserve"> </w:t>
      </w:r>
      <w:r w:rsidRPr="008E6EBF">
        <w:rPr>
          <w:rFonts w:eastAsia="Times New Roman" w:cs="Times New Roman"/>
          <w:bCs/>
        </w:rPr>
        <w:t>Eiropas Sociālā fonda projekts “Ārstniecības un ārstniecības atbalsta personu pieejamības uzlabošana ārpus Rīgas” Nr. 9.2.5.0/17/I/001 un Projekts “Ārstniecības un ārstniecības atbalsta personāla kvalifikācijas uzlabošana” Nr.9.2.6.0/17/I/001</w:t>
      </w:r>
    </w:p>
  </w:footnote>
  <w:footnote w:id="30">
    <w:p w14:paraId="7B8C069A" w14:textId="77777777" w:rsidR="002C24FA" w:rsidRPr="000845BD" w:rsidRDefault="002C24FA" w:rsidP="004D618E">
      <w:pPr>
        <w:pStyle w:val="FootnoteText"/>
      </w:pPr>
      <w:r w:rsidRPr="000845BD">
        <w:rPr>
          <w:rStyle w:val="FootnoteReference"/>
        </w:rPr>
        <w:footnoteRef/>
      </w:r>
      <w:r w:rsidRPr="000845BD">
        <w:t xml:space="preserve"> Ārstniecības personu un ārstniecības atbalsta personu reģistra dati, Veselības inspekcija, 27.11.2020.</w:t>
      </w:r>
    </w:p>
  </w:footnote>
  <w:footnote w:id="31">
    <w:p w14:paraId="45E630C4" w14:textId="38F1DC8E" w:rsidR="002C24FA" w:rsidRDefault="002C24FA" w:rsidP="004D618E">
      <w:pPr>
        <w:pStyle w:val="FootnoteText"/>
        <w:jc w:val="both"/>
      </w:pPr>
      <w:r>
        <w:rPr>
          <w:rStyle w:val="FootnoteReference"/>
        </w:rPr>
        <w:footnoteRef/>
      </w:r>
      <w:r>
        <w:t xml:space="preserve"> </w:t>
      </w:r>
      <w:r>
        <w:rPr>
          <w:color w:val="000000"/>
          <w:shd w:val="clear" w:color="auto" w:fill="FFFFFF"/>
        </w:rPr>
        <w:t>Eiropas Komisijas Strukturālo reformu atbalsta ģenerāldirektorāta (DG REFORM) Tehniskā atbalsta instrumenta (Technical Support Instrument, TSI) projekts par veselības darbaspēka stratēģiju Latvijā</w:t>
      </w:r>
    </w:p>
  </w:footnote>
  <w:footnote w:id="32">
    <w:p w14:paraId="2AE99B8F" w14:textId="77777777" w:rsidR="002C24FA" w:rsidRDefault="002C24FA" w:rsidP="004D618E">
      <w:pPr>
        <w:pStyle w:val="FootnoteText"/>
      </w:pPr>
      <w:r>
        <w:rPr>
          <w:rStyle w:val="FootnoteReference"/>
        </w:rPr>
        <w:footnoteRef/>
      </w:r>
      <w:r>
        <w:t xml:space="preserve"> </w:t>
      </w:r>
      <w:r w:rsidRPr="008A1CD3">
        <w:t xml:space="preserve">Nacionālais Veselības dienests, S2 veidlapa, </w:t>
      </w:r>
      <w:hyperlink r:id="rId5" w:history="1">
        <w:r w:rsidRPr="008A1CD3">
          <w:rPr>
            <w:rStyle w:val="Hyperlink"/>
          </w:rPr>
          <w:t>https://www.vmnvd.gov.lv/lv/s2-veidlapa</w:t>
        </w:r>
      </w:hyperlink>
    </w:p>
  </w:footnote>
  <w:footnote w:id="33">
    <w:p w14:paraId="67673F55" w14:textId="77777777" w:rsidR="002C24FA" w:rsidRDefault="002C24FA" w:rsidP="00C83418">
      <w:pPr>
        <w:pStyle w:val="FootnoteText"/>
      </w:pPr>
      <w:r>
        <w:rPr>
          <w:rStyle w:val="FootnoteReference"/>
        </w:rPr>
        <w:footnoteRef/>
      </w:r>
      <w:r>
        <w:t xml:space="preserve"> Zāļu valsts aģentūras Ārstniecībā izmantojamo medicīnisko tehnoloģiju datu bāze </w:t>
      </w:r>
      <w:hyperlink r:id="rId6" w:history="1">
        <w:r w:rsidRPr="0000720A">
          <w:rPr>
            <w:rStyle w:val="Hyperlink"/>
          </w:rPr>
          <w:t>https://www.zva.gov.lv/zvais/mtdb/7-onkologijas-un-hematologijas-mediciniskie-pakalpojumi/272-pielikumi-izverstie-mediciniskas-tehnologijas-metodes-apraksti-un-citi-materiali/autologo-periferisko-asins-cilmes-sunu-transplantacijas-tehnologijas</w:t>
        </w:r>
      </w:hyperlink>
      <w:r>
        <w:t xml:space="preserve"> </w:t>
      </w:r>
    </w:p>
  </w:footnote>
  <w:footnote w:id="34">
    <w:p w14:paraId="7EF5930A" w14:textId="77777777" w:rsidR="002C24FA" w:rsidRDefault="002C24FA" w:rsidP="00C83418">
      <w:pPr>
        <w:pStyle w:val="FootnoteText"/>
      </w:pPr>
      <w:r>
        <w:rPr>
          <w:rStyle w:val="FootnoteReference"/>
        </w:rPr>
        <w:footnoteRef/>
      </w:r>
      <w:r>
        <w:t xml:space="preserve"> </w:t>
      </w:r>
      <w:r w:rsidRPr="00241956">
        <w:t>https://www.who.int/news-room/fact-sheets/detail/epilepsy</w:t>
      </w:r>
    </w:p>
  </w:footnote>
  <w:footnote w:id="35">
    <w:p w14:paraId="2E16EDCE" w14:textId="77777777" w:rsidR="002C24FA" w:rsidRDefault="002C24FA" w:rsidP="00C83418">
      <w:pPr>
        <w:pStyle w:val="FootnoteText"/>
      </w:pPr>
      <w:r>
        <w:rPr>
          <w:rStyle w:val="FootnoteReference"/>
        </w:rPr>
        <w:footnoteRef/>
      </w:r>
      <w:r>
        <w:t xml:space="preserve"> </w:t>
      </w:r>
      <w:r w:rsidRPr="00AF7AA4">
        <w:t>https://pubmed.ncbi.nlm.nih.gov/30017839/</w:t>
      </w:r>
    </w:p>
  </w:footnote>
  <w:footnote w:id="36">
    <w:p w14:paraId="40ADC563" w14:textId="77777777" w:rsidR="002C24FA" w:rsidRDefault="002C24FA" w:rsidP="00C83418">
      <w:pPr>
        <w:pStyle w:val="FootnoteText"/>
      </w:pPr>
      <w:r>
        <w:rPr>
          <w:rStyle w:val="FootnoteReference"/>
        </w:rPr>
        <w:footnoteRef/>
      </w:r>
      <w:r>
        <w:t xml:space="preserve"> </w:t>
      </w:r>
      <w:r w:rsidRPr="00370EFD">
        <w:t>https://epilepsysociety.org.uk/about-epilepsy/treatment/vagus-nerve-stimulation</w:t>
      </w:r>
    </w:p>
  </w:footnote>
  <w:footnote w:id="37">
    <w:p w14:paraId="1E1210A4" w14:textId="0B2D45B7" w:rsidR="002C24FA" w:rsidRPr="00B66244" w:rsidRDefault="002C24FA" w:rsidP="00B66244">
      <w:pPr>
        <w:spacing w:after="0" w:line="240" w:lineRule="auto"/>
        <w:rPr>
          <w:rFonts w:cs="Times New Roman"/>
          <w:iCs/>
          <w:sz w:val="20"/>
          <w:szCs w:val="20"/>
          <w:lang w:val="lv-LV"/>
        </w:rPr>
      </w:pPr>
      <w:r w:rsidRPr="00B72C03">
        <w:rPr>
          <w:rStyle w:val="FootnoteReference"/>
          <w:rFonts w:cs="Times New Roman"/>
          <w:sz w:val="20"/>
          <w:szCs w:val="20"/>
        </w:rPr>
        <w:footnoteRef/>
      </w:r>
      <w:r w:rsidRPr="00C83418">
        <w:rPr>
          <w:rFonts w:cs="Times New Roman"/>
          <w:sz w:val="20"/>
          <w:szCs w:val="20"/>
          <w:lang w:val="lv-LV"/>
        </w:rPr>
        <w:t xml:space="preserve"> </w:t>
      </w:r>
      <w:r w:rsidRPr="00C83418">
        <w:rPr>
          <w:rFonts w:cs="Times New Roman"/>
          <w:iCs/>
          <w:sz w:val="20"/>
          <w:szCs w:val="20"/>
          <w:lang w:val="lv-LV"/>
        </w:rPr>
        <w:t>VSIA “Traumatoloģijas un ortopēdijas slimnīca” attīstības perspektīva 2020.</w:t>
      </w:r>
      <w:r>
        <w:rPr>
          <w:rFonts w:cs="Times New Roman"/>
          <w:iCs/>
          <w:sz w:val="20"/>
          <w:szCs w:val="20"/>
          <w:lang w:val="lv-LV"/>
        </w:rPr>
        <w:t xml:space="preserve"> gads.</w:t>
      </w:r>
    </w:p>
  </w:footnote>
  <w:footnote w:id="38">
    <w:p w14:paraId="31E0B008" w14:textId="77777777" w:rsidR="002C24FA" w:rsidRDefault="002C24FA" w:rsidP="006B3086">
      <w:pPr>
        <w:pStyle w:val="FootnoteText"/>
      </w:pPr>
      <w:r>
        <w:rPr>
          <w:rStyle w:val="FootnoteReference"/>
        </w:rPr>
        <w:footnoteRef/>
      </w:r>
      <w:r>
        <w:t xml:space="preserve"> FM tīmekļvietne. </w:t>
      </w:r>
      <w:r w:rsidRPr="00415668">
        <w:t xml:space="preserve">Pieejams: </w:t>
      </w:r>
      <w:hyperlink r:id="rId7" w:history="1">
        <w:r w:rsidRPr="00415668">
          <w:rPr>
            <w:rStyle w:val="Hyperlink"/>
          </w:rPr>
          <w:t>https://www.fm.gov.lv/lv/budzets2021</w:t>
        </w:r>
      </w:hyperlink>
      <w:r w:rsidRPr="00415668">
        <w:t xml:space="preserve"> </w:t>
      </w:r>
    </w:p>
  </w:footnote>
  <w:footnote w:id="39">
    <w:p w14:paraId="13CDEF7C" w14:textId="77777777" w:rsidR="002C24FA" w:rsidRDefault="002C24FA" w:rsidP="006B3086">
      <w:pPr>
        <w:pStyle w:val="FootnoteText"/>
      </w:pPr>
      <w:r>
        <w:rPr>
          <w:rStyle w:val="FootnoteReference"/>
        </w:rPr>
        <w:footnoteRef/>
      </w:r>
      <w:r>
        <w:t xml:space="preserve"> Datu avots: Eurostat.</w:t>
      </w:r>
    </w:p>
  </w:footnote>
  <w:footnote w:id="40">
    <w:p w14:paraId="5E6933F3" w14:textId="77777777" w:rsidR="002C24FA" w:rsidRDefault="002C24FA" w:rsidP="006B3086">
      <w:pPr>
        <w:pStyle w:val="FootnoteText"/>
      </w:pPr>
      <w:r>
        <w:rPr>
          <w:rStyle w:val="FootnoteReference"/>
        </w:rPr>
        <w:footnoteRef/>
      </w:r>
      <w:r>
        <w:t xml:space="preserve"> Datu avots: Eurostat.</w:t>
      </w:r>
    </w:p>
  </w:footnote>
  <w:footnote w:id="41">
    <w:p w14:paraId="04FACB32" w14:textId="77777777" w:rsidR="002C24FA" w:rsidRDefault="002C24FA" w:rsidP="006B3086">
      <w:pPr>
        <w:pStyle w:val="FootnoteText"/>
      </w:pPr>
      <w:r>
        <w:rPr>
          <w:rStyle w:val="FootnoteReference"/>
        </w:rPr>
        <w:footnoteRef/>
      </w:r>
      <w:r>
        <w:t xml:space="preserve"> Datu avots: Eurostat.</w:t>
      </w:r>
    </w:p>
  </w:footnote>
  <w:footnote w:id="42">
    <w:p w14:paraId="2451EF71" w14:textId="77777777" w:rsidR="002C24FA" w:rsidRDefault="002C24FA" w:rsidP="006B3086">
      <w:pPr>
        <w:pStyle w:val="FootnoteText"/>
      </w:pPr>
      <w:r>
        <w:rPr>
          <w:rStyle w:val="FootnoteReference"/>
        </w:rPr>
        <w:footnoteRef/>
      </w:r>
      <w:r>
        <w:t xml:space="preserve"> KM tīmekļvietne. </w:t>
      </w:r>
      <w:r w:rsidRPr="004E2A97">
        <w:t xml:space="preserve">Pieejams: </w:t>
      </w:r>
      <w:hyperlink r:id="rId8" w:history="1">
        <w:r w:rsidRPr="004E2A97">
          <w:rPr>
            <w:rStyle w:val="Hyperlink"/>
          </w:rPr>
          <w:t>Padotības iestādes un kapitālsabiedrības | Kultūras ministrija (km.gov.lv)</w:t>
        </w:r>
      </w:hyperlink>
    </w:p>
  </w:footnote>
  <w:footnote w:id="43">
    <w:p w14:paraId="765B9751" w14:textId="77777777" w:rsidR="002C24FA" w:rsidRPr="004E2A97" w:rsidRDefault="002C24FA" w:rsidP="006B3086">
      <w:pPr>
        <w:pStyle w:val="FootnoteText"/>
      </w:pPr>
      <w:r>
        <w:rPr>
          <w:rStyle w:val="FootnoteReference"/>
        </w:rPr>
        <w:footnoteRef/>
      </w:r>
      <w:r>
        <w:t xml:space="preserve"> </w:t>
      </w:r>
      <w:r w:rsidRPr="004E2A97">
        <w:t xml:space="preserve">Valsts kultūrkapitāla fonda tīmekļvietne. Pieejams: </w:t>
      </w:r>
      <w:hyperlink r:id="rId9" w:history="1">
        <w:r w:rsidRPr="004E2A97">
          <w:rPr>
            <w:rStyle w:val="Hyperlink"/>
          </w:rPr>
          <w:t>Struktūra - Valsts kultūrkapitāla fonds (kkf.lv)</w:t>
        </w:r>
      </w:hyperlink>
    </w:p>
  </w:footnote>
  <w:footnote w:id="44">
    <w:p w14:paraId="32C8F364" w14:textId="77777777" w:rsidR="002C24FA" w:rsidRDefault="002C24FA" w:rsidP="006B3086">
      <w:pPr>
        <w:pStyle w:val="FootnoteText"/>
      </w:pPr>
      <w:r>
        <w:rPr>
          <w:rStyle w:val="FootnoteReference"/>
        </w:rPr>
        <w:footnoteRef/>
      </w:r>
      <w:r>
        <w:t xml:space="preserve"> Valsts kultūrkapitāla fonda likuma 9. panta pirmā daļa.</w:t>
      </w:r>
    </w:p>
  </w:footnote>
  <w:footnote w:id="45">
    <w:p w14:paraId="622E0BA2" w14:textId="77777777" w:rsidR="002C24FA" w:rsidRDefault="002C24FA" w:rsidP="006B3086">
      <w:pPr>
        <w:pStyle w:val="FootnoteText"/>
        <w:jc w:val="both"/>
      </w:pPr>
      <w:r>
        <w:rPr>
          <w:rStyle w:val="FootnoteReference"/>
        </w:rPr>
        <w:footnoteRef/>
      </w:r>
      <w:r>
        <w:t xml:space="preserve"> Datu avots: V</w:t>
      </w:r>
      <w:r w:rsidRPr="004E2A97">
        <w:t>alsts kult</w:t>
      </w:r>
      <w:r>
        <w:t>ū</w:t>
      </w:r>
      <w:r w:rsidRPr="004E2A97">
        <w:t xml:space="preserve">rkapitāla fonda 2019. gada publiskais pārskats. Pieejams: </w:t>
      </w:r>
      <w:hyperlink r:id="rId10" w:history="1">
        <w:r w:rsidRPr="004E2A97">
          <w:rPr>
            <w:rStyle w:val="Hyperlink"/>
          </w:rPr>
          <w:t>Dokumenti - Valsts kultūrkapitāla fonds (kkf.lv)</w:t>
        </w:r>
      </w:hyperlink>
    </w:p>
  </w:footnote>
  <w:footnote w:id="46">
    <w:p w14:paraId="1B812A8F" w14:textId="77777777" w:rsidR="002C24FA" w:rsidRDefault="002C24FA" w:rsidP="006B3086">
      <w:pPr>
        <w:pStyle w:val="FootnoteText"/>
      </w:pPr>
      <w:r>
        <w:rPr>
          <w:rStyle w:val="FootnoteReference"/>
        </w:rPr>
        <w:footnoteRef/>
      </w:r>
      <w:r>
        <w:t xml:space="preserve"> Datu avots: Eurostat.</w:t>
      </w:r>
    </w:p>
  </w:footnote>
  <w:footnote w:id="47">
    <w:p w14:paraId="454A6838" w14:textId="77777777" w:rsidR="002C24FA" w:rsidRDefault="002C24FA" w:rsidP="006B3086">
      <w:pPr>
        <w:pStyle w:val="FootnoteText"/>
        <w:jc w:val="both"/>
      </w:pPr>
      <w:r>
        <w:rPr>
          <w:rStyle w:val="FootnoteReference"/>
        </w:rPr>
        <w:footnoteRef/>
      </w:r>
      <w:r>
        <w:t xml:space="preserve"> LNKC </w:t>
      </w:r>
      <w:r w:rsidRPr="00784623">
        <w:t xml:space="preserve">2019. gada publiskais pārskats. Pieejams: </w:t>
      </w:r>
      <w:hyperlink r:id="rId11" w:history="1">
        <w:r w:rsidRPr="00784623">
          <w:rPr>
            <w:rStyle w:val="Hyperlink"/>
          </w:rPr>
          <w:t>Gada pārskati | Latvijas Nacionālais kultūras centrs (lnkc.gov.lv)</w:t>
        </w:r>
      </w:hyperlink>
    </w:p>
  </w:footnote>
  <w:footnote w:id="48">
    <w:p w14:paraId="528D15FE" w14:textId="77777777" w:rsidR="002C24FA" w:rsidRPr="00784623" w:rsidRDefault="002C24FA" w:rsidP="006B3086">
      <w:pPr>
        <w:pStyle w:val="FootnoteText"/>
        <w:jc w:val="both"/>
      </w:pPr>
      <w:r>
        <w:rPr>
          <w:rStyle w:val="FootnoteReference"/>
        </w:rPr>
        <w:footnoteRef/>
      </w:r>
      <w:r>
        <w:t xml:space="preserve"> </w:t>
      </w:r>
      <w:r w:rsidRPr="00760A9C">
        <w:t xml:space="preserve">VISC 2019. gada </w:t>
      </w:r>
      <w:r w:rsidRPr="00784623">
        <w:t xml:space="preserve">publiskais pārskats. Pieejams: </w:t>
      </w:r>
      <w:hyperlink r:id="rId12" w:history="1">
        <w:r w:rsidRPr="00784623">
          <w:rPr>
            <w:rStyle w:val="Hyperlink"/>
          </w:rPr>
          <w:t>Publikācijas un pārskati | Valsts izglītības satura centrs (visc.gov.lv)</w:t>
        </w:r>
      </w:hyperlink>
    </w:p>
  </w:footnote>
  <w:footnote w:id="49">
    <w:p w14:paraId="09918F76" w14:textId="77777777" w:rsidR="002C24FA" w:rsidRPr="00784623" w:rsidRDefault="002C24FA" w:rsidP="006B3086">
      <w:pPr>
        <w:pStyle w:val="FootnoteText"/>
        <w:jc w:val="both"/>
      </w:pPr>
      <w:r w:rsidRPr="00784623">
        <w:rPr>
          <w:rStyle w:val="FootnoteReference"/>
        </w:rPr>
        <w:footnoteRef/>
      </w:r>
      <w:r w:rsidRPr="00784623">
        <w:t xml:space="preserve"> Izskatīts MK 2020. gada 1.decembrī. Pieejams: </w:t>
      </w:r>
      <w:hyperlink r:id="rId13" w:history="1">
        <w:r w:rsidRPr="00784623">
          <w:rPr>
            <w:rStyle w:val="Hyperlink"/>
          </w:rPr>
          <w:t>Latvijas Republikas Ministru Kabinets: Tiesību aktu projekti (mk.gov.lv)</w:t>
        </w:r>
      </w:hyperlink>
    </w:p>
  </w:footnote>
  <w:footnote w:id="50">
    <w:p w14:paraId="303961B5" w14:textId="77777777" w:rsidR="002C24FA" w:rsidRPr="00784623" w:rsidRDefault="002C24FA" w:rsidP="006B3086">
      <w:pPr>
        <w:pStyle w:val="FootnoteText"/>
        <w:jc w:val="both"/>
      </w:pPr>
      <w:r w:rsidRPr="00784623">
        <w:rPr>
          <w:rStyle w:val="FootnoteReference"/>
        </w:rPr>
        <w:footnoteRef/>
      </w:r>
      <w:r w:rsidRPr="00784623">
        <w:t xml:space="preserve"> Datu avots: LNA tīmekļvietne. Pieejams: </w:t>
      </w:r>
      <w:hyperlink r:id="rId14" w:history="1">
        <w:r w:rsidRPr="00784623">
          <w:rPr>
            <w:rStyle w:val="Hyperlink"/>
          </w:rPr>
          <w:t>https://www.arhivi.gov.lv/lv/publiskie-parskati</w:t>
        </w:r>
      </w:hyperlink>
      <w:r w:rsidRPr="00784623">
        <w:t xml:space="preserve"> </w:t>
      </w:r>
    </w:p>
  </w:footnote>
  <w:footnote w:id="51">
    <w:p w14:paraId="24662D4E" w14:textId="77777777" w:rsidR="002C24FA" w:rsidRDefault="002C24FA" w:rsidP="006B3086">
      <w:pPr>
        <w:pStyle w:val="FootnoteText"/>
        <w:jc w:val="both"/>
      </w:pPr>
      <w:r w:rsidRPr="00784623">
        <w:rPr>
          <w:rStyle w:val="FootnoteReference"/>
        </w:rPr>
        <w:footnoteRef/>
      </w:r>
      <w:r w:rsidRPr="00784623">
        <w:t xml:space="preserve"> </w:t>
      </w:r>
      <w:r>
        <w:t>Datu a</w:t>
      </w:r>
      <w:r w:rsidRPr="00784623">
        <w:t>vots: LNA dati.</w:t>
      </w:r>
    </w:p>
  </w:footnote>
  <w:footnote w:id="52">
    <w:p w14:paraId="7EE4C6EC" w14:textId="77777777" w:rsidR="002C24FA" w:rsidRDefault="002C24FA" w:rsidP="006B3086">
      <w:pPr>
        <w:pStyle w:val="FootnoteText"/>
      </w:pPr>
      <w:r>
        <w:rPr>
          <w:rStyle w:val="FootnoteReference"/>
        </w:rPr>
        <w:footnoteRef/>
      </w:r>
      <w:r>
        <w:t xml:space="preserve"> Datu avots: LNA dati.</w:t>
      </w:r>
    </w:p>
  </w:footnote>
  <w:footnote w:id="53">
    <w:p w14:paraId="29B057C7" w14:textId="77777777" w:rsidR="002C24FA" w:rsidRDefault="002C24FA" w:rsidP="006B3086">
      <w:pPr>
        <w:pStyle w:val="FootnoteText"/>
      </w:pPr>
      <w:r>
        <w:rPr>
          <w:rStyle w:val="FootnoteReference"/>
        </w:rPr>
        <w:footnoteRef/>
      </w:r>
      <w:r>
        <w:t xml:space="preserve"> Datu avots: LNA dati.</w:t>
      </w:r>
    </w:p>
  </w:footnote>
  <w:footnote w:id="54">
    <w:p w14:paraId="6D243380" w14:textId="77777777" w:rsidR="002C24FA" w:rsidRDefault="002C24FA" w:rsidP="006B3086">
      <w:pPr>
        <w:pStyle w:val="FootnoteText"/>
      </w:pPr>
      <w:r>
        <w:rPr>
          <w:rStyle w:val="FootnoteReference"/>
        </w:rPr>
        <w:footnoteRef/>
      </w:r>
      <w:r>
        <w:t xml:space="preserve"> Datu avots: Valsts budžeta paskaidrojumi.</w:t>
      </w:r>
    </w:p>
  </w:footnote>
  <w:footnote w:id="55">
    <w:p w14:paraId="6139E344" w14:textId="245BFC06" w:rsidR="002C24FA" w:rsidRPr="00B80AEA" w:rsidRDefault="002C24FA" w:rsidP="004C118A">
      <w:pPr>
        <w:pStyle w:val="FootnoteText"/>
      </w:pPr>
      <w:r w:rsidRPr="00385ECA">
        <w:rPr>
          <w:rStyle w:val="FootnoteReference"/>
        </w:rPr>
        <w:footnoteRef/>
      </w:r>
      <w:r w:rsidRPr="00385ECA">
        <w:rPr>
          <w:rFonts w:eastAsia="Times New Roman"/>
        </w:rPr>
        <w:t xml:space="preserve">MK 2018. gada 7. augusta noteikumi Nr. 496 </w:t>
      </w:r>
      <w:r w:rsidRPr="00385ECA">
        <w:rPr>
          <w:shd w:val="clear" w:color="auto" w:fill="FFFFFF"/>
        </w:rPr>
        <w:t>(prot. Nr. 37 50. §) “Remigrācijas atbalsta pasākuma īstenošanas, novērtēšanas un finansēšanas kārtība””</w:t>
      </w:r>
    </w:p>
  </w:footnote>
  <w:footnote w:id="56">
    <w:p w14:paraId="1FEAC408" w14:textId="77777777" w:rsidR="002C24FA" w:rsidRPr="00A51195" w:rsidRDefault="002C24FA" w:rsidP="00B12135">
      <w:pPr>
        <w:pStyle w:val="FootnoteText"/>
        <w:jc w:val="both"/>
        <w:rPr>
          <w:rFonts w:cs="Times New Roman"/>
        </w:rPr>
      </w:pPr>
      <w:r w:rsidRPr="00A51195">
        <w:rPr>
          <w:rStyle w:val="FootnoteReference"/>
          <w:rFonts w:cs="Times New Roman"/>
        </w:rPr>
        <w:footnoteRef/>
      </w:r>
      <w:r w:rsidRPr="00A51195">
        <w:rPr>
          <w:rFonts w:cs="Times New Roman"/>
        </w:rPr>
        <w:t xml:space="preserve"> Informatīvais ziņojums “Par valsts budžeta izdevumu pārskatīšanas rezultātiem un priekšlikumi par šo rezultātu izmantošanu likumprojekta “Par vidēja termiņa budžeta ietvaru 2020., 2021. un 2022. gadam un likumprojekta “Par valsts budžetu 2020. gadam” izstrādes procesā”</w:t>
      </w:r>
      <w:r>
        <w:rPr>
          <w:rFonts w:cs="Times New Roman"/>
        </w:rPr>
        <w:t>.</w:t>
      </w:r>
    </w:p>
  </w:footnote>
  <w:footnote w:id="57">
    <w:p w14:paraId="0C6F2A7F" w14:textId="77777777" w:rsidR="002C24FA" w:rsidRPr="00A51195" w:rsidRDefault="002C24FA" w:rsidP="00B12135">
      <w:pPr>
        <w:pStyle w:val="FootnoteText"/>
        <w:jc w:val="both"/>
        <w:rPr>
          <w:rFonts w:cs="Times New Roman"/>
        </w:rPr>
      </w:pPr>
      <w:r w:rsidRPr="00A51195">
        <w:rPr>
          <w:rStyle w:val="FootnoteReference"/>
          <w:rFonts w:cs="Times New Roman"/>
        </w:rPr>
        <w:footnoteRef/>
      </w:r>
      <w:r w:rsidRPr="00F14300">
        <w:rPr>
          <w:rFonts w:cs="Times New Roman"/>
        </w:rPr>
        <w:t xml:space="preserve"> </w:t>
      </w:r>
      <w:r w:rsidRPr="00A51195">
        <w:rPr>
          <w:rFonts w:cs="Times New Roman"/>
        </w:rPr>
        <w:t>Informatīvais ziņojums “Par valsts budžeta izdevumu pārskatīšanas rezultātiem un priekšlikumi par šo rezultātu izmantošanu likumprojekta “Par vidēja termiņa budžeta ietvaru 2021., 2022. un 2023. gadam un likumprojekta “Par valsts budžetu 2021. gadam” izstrādes procesā”.</w:t>
      </w:r>
    </w:p>
  </w:footnote>
  <w:footnote w:id="58">
    <w:p w14:paraId="1FBDF778" w14:textId="77777777" w:rsidR="002C24FA" w:rsidRPr="00D616AE" w:rsidRDefault="002C24FA" w:rsidP="00B12135">
      <w:pPr>
        <w:pStyle w:val="FootnoteText"/>
        <w:jc w:val="both"/>
        <w:rPr>
          <w:rFonts w:cs="Times New Roman"/>
        </w:rPr>
      </w:pPr>
      <w:r w:rsidRPr="00D616AE">
        <w:rPr>
          <w:rStyle w:val="FootnoteReference"/>
          <w:rFonts w:cs="Times New Roman"/>
        </w:rPr>
        <w:footnoteRef/>
      </w:r>
      <w:r w:rsidRPr="00D616AE">
        <w:rPr>
          <w:rFonts w:cs="Times New Roman"/>
        </w:rPr>
        <w:t>“A sound and transparent budgeting and accounting architecture is a fundamental building block for good public sector governance.</w:t>
      </w:r>
      <w:r w:rsidRPr="007774AD">
        <w:rPr>
          <w:rFonts w:cs="Times New Roman"/>
        </w:rPr>
        <w:t>” (</w:t>
      </w:r>
      <w:r w:rsidRPr="00D616AE">
        <w:rPr>
          <w:rFonts w:cs="Times New Roman"/>
        </w:rPr>
        <w:t>OECD, Models of Public budgeting and Accounting reform</w:t>
      </w:r>
      <w:r w:rsidRPr="007774AD">
        <w:rPr>
          <w:rFonts w:cs="Times New Roman"/>
        </w:rPr>
        <w:t>).</w:t>
      </w:r>
      <w:r w:rsidRPr="00D616AE">
        <w:rPr>
          <w:rFonts w:cs="Times New Roman"/>
        </w:rPr>
        <w:t xml:space="preserve"> </w:t>
      </w:r>
    </w:p>
  </w:footnote>
  <w:footnote w:id="59">
    <w:p w14:paraId="55CB8C50" w14:textId="77777777" w:rsidR="002C24FA" w:rsidRPr="00DA2754" w:rsidRDefault="002C24FA" w:rsidP="00B12135">
      <w:pPr>
        <w:pStyle w:val="FootnoteText"/>
        <w:rPr>
          <w:rFonts w:cs="Times New Roman"/>
        </w:rPr>
      </w:pPr>
      <w:r w:rsidRPr="00DA2754">
        <w:rPr>
          <w:rStyle w:val="FootnoteReference"/>
          <w:rFonts w:cs="Times New Roman"/>
        </w:rPr>
        <w:footnoteRef/>
      </w:r>
      <w:r w:rsidRPr="00DA2754">
        <w:rPr>
          <w:rFonts w:cs="Times New Roman"/>
        </w:rPr>
        <w:t xml:space="preserve"> Atkarīgs no ANM ieviešanas termiņiem, regulatīvās bāzes izstrādes</w:t>
      </w:r>
    </w:p>
  </w:footnote>
  <w:footnote w:id="60">
    <w:p w14:paraId="108F043C" w14:textId="0734AED0" w:rsidR="002C24FA" w:rsidRDefault="002C24FA">
      <w:pPr>
        <w:pStyle w:val="FootnoteText"/>
      </w:pPr>
      <w:r>
        <w:rPr>
          <w:rStyle w:val="FootnoteReference"/>
        </w:rPr>
        <w:footnoteRef/>
      </w:r>
      <w:r>
        <w:t xml:space="preserve"> Avots: Valsts kanceleja</w:t>
      </w:r>
    </w:p>
  </w:footnote>
  <w:footnote w:id="61">
    <w:p w14:paraId="087A879B" w14:textId="2D04C2E7" w:rsidR="002C24FA" w:rsidRDefault="002C24FA">
      <w:pPr>
        <w:pStyle w:val="FootnoteText"/>
      </w:pPr>
      <w:r>
        <w:rPr>
          <w:rStyle w:val="FootnoteReference"/>
        </w:rPr>
        <w:footnoteRef/>
      </w:r>
      <w:r>
        <w:t xml:space="preserve"> Avots: Valsts kanceleja</w:t>
      </w:r>
    </w:p>
  </w:footnote>
  <w:footnote w:id="62">
    <w:p w14:paraId="140D7A6C" w14:textId="6027C181" w:rsidR="002C24FA" w:rsidRDefault="002C24FA">
      <w:pPr>
        <w:pStyle w:val="FootnoteText"/>
      </w:pPr>
      <w:r>
        <w:rPr>
          <w:rStyle w:val="FootnoteReference"/>
        </w:rPr>
        <w:footnoteRef/>
      </w:r>
      <w:r>
        <w:t xml:space="preserve"> Avots: Valsts kanceleja</w:t>
      </w:r>
    </w:p>
  </w:footnote>
  <w:footnote w:id="63">
    <w:p w14:paraId="759BB783" w14:textId="6AAB3AD3" w:rsidR="002C24FA" w:rsidRDefault="002C24FA">
      <w:pPr>
        <w:pStyle w:val="FootnoteText"/>
      </w:pPr>
      <w:r>
        <w:rPr>
          <w:rStyle w:val="FootnoteReference"/>
        </w:rPr>
        <w:footnoteRef/>
      </w:r>
      <w:r>
        <w:t xml:space="preserve"> Avots: Valsts kanceleja</w:t>
      </w:r>
    </w:p>
  </w:footnote>
  <w:footnote w:id="64">
    <w:p w14:paraId="3FDC194D" w14:textId="0A0A575E" w:rsidR="002C24FA" w:rsidRDefault="002C24FA">
      <w:pPr>
        <w:pStyle w:val="FootnoteText"/>
      </w:pPr>
      <w:r>
        <w:rPr>
          <w:rStyle w:val="FootnoteReference"/>
        </w:rPr>
        <w:footnoteRef/>
      </w:r>
      <w:r>
        <w:t xml:space="preserve"> Avots: Valsts kanceleja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5EF3"/>
    <w:multiLevelType w:val="hybridMultilevel"/>
    <w:tmpl w:val="C9CC11C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2006D95"/>
    <w:multiLevelType w:val="hybridMultilevel"/>
    <w:tmpl w:val="55FAD90A"/>
    <w:lvl w:ilvl="0" w:tplc="E11A3686">
      <w:start w:val="1"/>
      <w:numFmt w:val="decimal"/>
      <w:lvlText w:val="%1)"/>
      <w:lvlJc w:val="left"/>
      <w:pPr>
        <w:ind w:left="720" w:hanging="360"/>
      </w:pPr>
      <w:rPr>
        <w:rFonts w:ascii="Times New Roman" w:eastAsiaTheme="minorEastAsia"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6D1569"/>
    <w:multiLevelType w:val="multilevel"/>
    <w:tmpl w:val="2FBE078C"/>
    <w:lvl w:ilvl="0">
      <w:start w:val="3"/>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3D76E55"/>
    <w:multiLevelType w:val="hybridMultilevel"/>
    <w:tmpl w:val="A2820828"/>
    <w:lvl w:ilvl="0" w:tplc="C55ABD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5C62DF4"/>
    <w:multiLevelType w:val="hybridMultilevel"/>
    <w:tmpl w:val="A94EC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FF29E3"/>
    <w:multiLevelType w:val="multilevel"/>
    <w:tmpl w:val="A0D0D666"/>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75E62AC"/>
    <w:multiLevelType w:val="hybridMultilevel"/>
    <w:tmpl w:val="8480BB7E"/>
    <w:lvl w:ilvl="0" w:tplc="1010A3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81C3A86"/>
    <w:multiLevelType w:val="hybridMultilevel"/>
    <w:tmpl w:val="3F48FC0A"/>
    <w:lvl w:ilvl="0" w:tplc="4F4EC0B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0AA75F3F"/>
    <w:multiLevelType w:val="hybridMultilevel"/>
    <w:tmpl w:val="7BAACB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D0826F7"/>
    <w:multiLevelType w:val="hybridMultilevel"/>
    <w:tmpl w:val="334EA0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8D0ACF"/>
    <w:multiLevelType w:val="hybridMultilevel"/>
    <w:tmpl w:val="5956A5D6"/>
    <w:lvl w:ilvl="0" w:tplc="5804F854">
      <w:start w:val="2"/>
      <w:numFmt w:val="bullet"/>
      <w:lvlText w:val="-"/>
      <w:lvlJc w:val="left"/>
      <w:pPr>
        <w:ind w:left="1080" w:hanging="360"/>
      </w:pPr>
      <w:rPr>
        <w:rFonts w:ascii="Times New Roman" w:eastAsiaTheme="minorHAnsi"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0D95400C"/>
    <w:multiLevelType w:val="hybridMultilevel"/>
    <w:tmpl w:val="94D2D88C"/>
    <w:lvl w:ilvl="0" w:tplc="50A89C1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F850324"/>
    <w:multiLevelType w:val="hybridMultilevel"/>
    <w:tmpl w:val="21865814"/>
    <w:lvl w:ilvl="0" w:tplc="FEB40794">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A71AEA"/>
    <w:multiLevelType w:val="hybridMultilevel"/>
    <w:tmpl w:val="62EC8F20"/>
    <w:lvl w:ilvl="0" w:tplc="0426000D">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14" w15:restartNumberingAfterBreak="0">
    <w:nsid w:val="12B1435F"/>
    <w:multiLevelType w:val="hybridMultilevel"/>
    <w:tmpl w:val="B21EC3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55919E2"/>
    <w:multiLevelType w:val="hybridMultilevel"/>
    <w:tmpl w:val="10F008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F3601B"/>
    <w:multiLevelType w:val="multilevel"/>
    <w:tmpl w:val="96BC3588"/>
    <w:lvl w:ilvl="0">
      <w:start w:val="1"/>
      <w:numFmt w:val="decimal"/>
      <w:lvlText w:val="%1."/>
      <w:lvlJc w:val="left"/>
      <w:pPr>
        <w:ind w:left="720" w:hanging="360"/>
      </w:pPr>
      <w:rPr>
        <w:rFonts w:hint="default"/>
        <w:b/>
        <w:i/>
        <w:sz w:val="22"/>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1C325DAA"/>
    <w:multiLevelType w:val="multilevel"/>
    <w:tmpl w:val="D8E206CE"/>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05" w:hanging="645"/>
      </w:pPr>
      <w:rPr>
        <w:rFonts w:hint="default"/>
        <w:i/>
      </w:rPr>
    </w:lvl>
    <w:lvl w:ilvl="2">
      <w:start w:val="10"/>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8" w15:restartNumberingAfterBreak="0">
    <w:nsid w:val="1F58246C"/>
    <w:multiLevelType w:val="hybridMultilevel"/>
    <w:tmpl w:val="A43E8982"/>
    <w:lvl w:ilvl="0" w:tplc="AA5E65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5696F16"/>
    <w:multiLevelType w:val="hybridMultilevel"/>
    <w:tmpl w:val="FC6C7A62"/>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6B35C89"/>
    <w:multiLevelType w:val="hybridMultilevel"/>
    <w:tmpl w:val="61488D82"/>
    <w:lvl w:ilvl="0" w:tplc="0426000D">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21" w15:restartNumberingAfterBreak="0">
    <w:nsid w:val="26DD30E9"/>
    <w:multiLevelType w:val="hybridMultilevel"/>
    <w:tmpl w:val="4514A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8EE7E87"/>
    <w:multiLevelType w:val="hybridMultilevel"/>
    <w:tmpl w:val="BA829AEE"/>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2C6721E7"/>
    <w:multiLevelType w:val="hybridMultilevel"/>
    <w:tmpl w:val="5154762E"/>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4" w15:restartNumberingAfterBreak="0">
    <w:nsid w:val="2DAC4853"/>
    <w:multiLevelType w:val="hybridMultilevel"/>
    <w:tmpl w:val="6B4CE098"/>
    <w:lvl w:ilvl="0" w:tplc="8294F1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F0A4459"/>
    <w:multiLevelType w:val="hybridMultilevel"/>
    <w:tmpl w:val="93AA8422"/>
    <w:lvl w:ilvl="0" w:tplc="F9140CC8">
      <w:start w:val="5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16029D"/>
    <w:multiLevelType w:val="hybridMultilevel"/>
    <w:tmpl w:val="F4DE8668"/>
    <w:lvl w:ilvl="0" w:tplc="DD86D632">
      <w:start w:val="1"/>
      <w:numFmt w:val="decimal"/>
      <w:lvlText w:val="%1."/>
      <w:lvlJc w:val="left"/>
      <w:pPr>
        <w:ind w:left="1080" w:hanging="360"/>
      </w:pPr>
      <w:rPr>
        <w:rFonts w:ascii="Times New Roman" w:eastAsiaTheme="minorHAnsi"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303B00ED"/>
    <w:multiLevelType w:val="hybridMultilevel"/>
    <w:tmpl w:val="3F82C680"/>
    <w:lvl w:ilvl="0" w:tplc="50A89C1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13611C5"/>
    <w:multiLevelType w:val="hybridMultilevel"/>
    <w:tmpl w:val="B4583FE0"/>
    <w:lvl w:ilvl="0" w:tplc="50A89C1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18C0164"/>
    <w:multiLevelType w:val="hybridMultilevel"/>
    <w:tmpl w:val="2FECDC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32A40238"/>
    <w:multiLevelType w:val="multilevel"/>
    <w:tmpl w:val="AA002D4E"/>
    <w:lvl w:ilvl="0">
      <w:start w:val="1"/>
      <w:numFmt w:val="decimal"/>
      <w:pStyle w:val="Heading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3905054"/>
    <w:multiLevelType w:val="hybridMultilevel"/>
    <w:tmpl w:val="EC46BF1C"/>
    <w:lvl w:ilvl="0" w:tplc="730CF6F0">
      <w:start w:val="1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33C25834"/>
    <w:multiLevelType w:val="multilevel"/>
    <w:tmpl w:val="1D36278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i/>
      </w:rPr>
    </w:lvl>
    <w:lvl w:ilvl="2">
      <w:start w:val="4"/>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3" w15:restartNumberingAfterBreak="0">
    <w:nsid w:val="35554E99"/>
    <w:multiLevelType w:val="hybridMultilevel"/>
    <w:tmpl w:val="5426B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5971AF1"/>
    <w:multiLevelType w:val="hybridMultilevel"/>
    <w:tmpl w:val="8162014E"/>
    <w:lvl w:ilvl="0" w:tplc="0426000D">
      <w:start w:val="1"/>
      <w:numFmt w:val="bullet"/>
      <w:lvlText w:val=""/>
      <w:lvlJc w:val="left"/>
      <w:pPr>
        <w:ind w:left="2705" w:hanging="360"/>
      </w:pPr>
      <w:rPr>
        <w:rFonts w:ascii="Wingdings" w:hAnsi="Wingdings"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35" w15:restartNumberingAfterBreak="0">
    <w:nsid w:val="368A7A8F"/>
    <w:multiLevelType w:val="hybridMultilevel"/>
    <w:tmpl w:val="023C2474"/>
    <w:lvl w:ilvl="0" w:tplc="50A89C1E">
      <w:numFmt w:val="bullet"/>
      <w:lvlText w:val="-"/>
      <w:lvlJc w:val="left"/>
      <w:pPr>
        <w:tabs>
          <w:tab w:val="num" w:pos="720"/>
        </w:tabs>
        <w:ind w:left="720" w:hanging="360"/>
      </w:pPr>
      <w:rPr>
        <w:rFonts w:ascii="Times New Roman" w:eastAsiaTheme="minorHAnsi" w:hAnsi="Times New Roman" w:cs="Times New Roman" w:hint="default"/>
      </w:rPr>
    </w:lvl>
    <w:lvl w:ilvl="1" w:tplc="5AAE46A6" w:tentative="1">
      <w:start w:val="1"/>
      <w:numFmt w:val="bullet"/>
      <w:lvlText w:val=""/>
      <w:lvlJc w:val="left"/>
      <w:pPr>
        <w:tabs>
          <w:tab w:val="num" w:pos="1440"/>
        </w:tabs>
        <w:ind w:left="1440" w:hanging="360"/>
      </w:pPr>
      <w:rPr>
        <w:rFonts w:ascii="Symbol" w:hAnsi="Symbol" w:hint="default"/>
      </w:rPr>
    </w:lvl>
    <w:lvl w:ilvl="2" w:tplc="C80C1930" w:tentative="1">
      <w:start w:val="1"/>
      <w:numFmt w:val="bullet"/>
      <w:lvlText w:val=""/>
      <w:lvlJc w:val="left"/>
      <w:pPr>
        <w:tabs>
          <w:tab w:val="num" w:pos="2160"/>
        </w:tabs>
        <w:ind w:left="2160" w:hanging="360"/>
      </w:pPr>
      <w:rPr>
        <w:rFonts w:ascii="Symbol" w:hAnsi="Symbol" w:hint="default"/>
      </w:rPr>
    </w:lvl>
    <w:lvl w:ilvl="3" w:tplc="B2969364" w:tentative="1">
      <w:start w:val="1"/>
      <w:numFmt w:val="bullet"/>
      <w:lvlText w:val=""/>
      <w:lvlJc w:val="left"/>
      <w:pPr>
        <w:tabs>
          <w:tab w:val="num" w:pos="2880"/>
        </w:tabs>
        <w:ind w:left="2880" w:hanging="360"/>
      </w:pPr>
      <w:rPr>
        <w:rFonts w:ascii="Symbol" w:hAnsi="Symbol" w:hint="default"/>
      </w:rPr>
    </w:lvl>
    <w:lvl w:ilvl="4" w:tplc="DE6EDA72" w:tentative="1">
      <w:start w:val="1"/>
      <w:numFmt w:val="bullet"/>
      <w:lvlText w:val=""/>
      <w:lvlJc w:val="left"/>
      <w:pPr>
        <w:tabs>
          <w:tab w:val="num" w:pos="3600"/>
        </w:tabs>
        <w:ind w:left="3600" w:hanging="360"/>
      </w:pPr>
      <w:rPr>
        <w:rFonts w:ascii="Symbol" w:hAnsi="Symbol" w:hint="default"/>
      </w:rPr>
    </w:lvl>
    <w:lvl w:ilvl="5" w:tplc="EBEA0F18" w:tentative="1">
      <w:start w:val="1"/>
      <w:numFmt w:val="bullet"/>
      <w:lvlText w:val=""/>
      <w:lvlJc w:val="left"/>
      <w:pPr>
        <w:tabs>
          <w:tab w:val="num" w:pos="4320"/>
        </w:tabs>
        <w:ind w:left="4320" w:hanging="360"/>
      </w:pPr>
      <w:rPr>
        <w:rFonts w:ascii="Symbol" w:hAnsi="Symbol" w:hint="default"/>
      </w:rPr>
    </w:lvl>
    <w:lvl w:ilvl="6" w:tplc="7868D3E4" w:tentative="1">
      <w:start w:val="1"/>
      <w:numFmt w:val="bullet"/>
      <w:lvlText w:val=""/>
      <w:lvlJc w:val="left"/>
      <w:pPr>
        <w:tabs>
          <w:tab w:val="num" w:pos="5040"/>
        </w:tabs>
        <w:ind w:left="5040" w:hanging="360"/>
      </w:pPr>
      <w:rPr>
        <w:rFonts w:ascii="Symbol" w:hAnsi="Symbol" w:hint="default"/>
      </w:rPr>
    </w:lvl>
    <w:lvl w:ilvl="7" w:tplc="598A9D82" w:tentative="1">
      <w:start w:val="1"/>
      <w:numFmt w:val="bullet"/>
      <w:lvlText w:val=""/>
      <w:lvlJc w:val="left"/>
      <w:pPr>
        <w:tabs>
          <w:tab w:val="num" w:pos="5760"/>
        </w:tabs>
        <w:ind w:left="5760" w:hanging="360"/>
      </w:pPr>
      <w:rPr>
        <w:rFonts w:ascii="Symbol" w:hAnsi="Symbol" w:hint="default"/>
      </w:rPr>
    </w:lvl>
    <w:lvl w:ilvl="8" w:tplc="FC4CB3EE"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381D6587"/>
    <w:multiLevelType w:val="hybridMultilevel"/>
    <w:tmpl w:val="4F6423A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0146DFC"/>
    <w:multiLevelType w:val="hybridMultilevel"/>
    <w:tmpl w:val="3C6080FE"/>
    <w:lvl w:ilvl="0" w:tplc="E1D2FAA8">
      <w:numFmt w:val="bullet"/>
      <w:lvlText w:val="-"/>
      <w:lvlJc w:val="left"/>
      <w:pPr>
        <w:ind w:left="720" w:hanging="360"/>
      </w:pPr>
      <w:rPr>
        <w:rFonts w:ascii="Times New Roman" w:eastAsia="Times New Roman" w:hAnsi="Times New Roman" w:cs="Times New Roman" w:hint="default"/>
        <w:b w:val="0"/>
        <w:i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692FA8"/>
    <w:multiLevelType w:val="hybridMultilevel"/>
    <w:tmpl w:val="17821D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48AE02F9"/>
    <w:multiLevelType w:val="hybridMultilevel"/>
    <w:tmpl w:val="2C8C5774"/>
    <w:lvl w:ilvl="0" w:tplc="603AF9FA">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49A91B00"/>
    <w:multiLevelType w:val="multilevel"/>
    <w:tmpl w:val="2B8880BA"/>
    <w:lvl w:ilvl="0">
      <w:start w:val="2"/>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4DD643CE"/>
    <w:multiLevelType w:val="hybridMultilevel"/>
    <w:tmpl w:val="CEEA91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1FC6F2C"/>
    <w:multiLevelType w:val="hybridMultilevel"/>
    <w:tmpl w:val="77601AD0"/>
    <w:lvl w:ilvl="0" w:tplc="DD324800">
      <w:start w:val="2100"/>
      <w:numFmt w:val="bullet"/>
      <w:lvlText w:val=""/>
      <w:lvlJc w:val="left"/>
      <w:pPr>
        <w:ind w:left="927" w:hanging="360"/>
      </w:pPr>
      <w:rPr>
        <w:rFonts w:ascii="Symbol" w:eastAsiaTheme="minorHAns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3" w15:restartNumberingAfterBreak="0">
    <w:nsid w:val="534962ED"/>
    <w:multiLevelType w:val="hybridMultilevel"/>
    <w:tmpl w:val="582041E4"/>
    <w:lvl w:ilvl="0" w:tplc="1EC4CE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551665CD"/>
    <w:multiLevelType w:val="hybridMultilevel"/>
    <w:tmpl w:val="8C88AE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55AE4BF4"/>
    <w:multiLevelType w:val="hybridMultilevel"/>
    <w:tmpl w:val="F092A016"/>
    <w:lvl w:ilvl="0" w:tplc="B9940AC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577E578A"/>
    <w:multiLevelType w:val="hybridMultilevel"/>
    <w:tmpl w:val="A27CDDC6"/>
    <w:lvl w:ilvl="0" w:tplc="50A89C1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5D81693E"/>
    <w:multiLevelType w:val="hybridMultilevel"/>
    <w:tmpl w:val="9AAC4C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4D1033B"/>
    <w:multiLevelType w:val="hybridMultilevel"/>
    <w:tmpl w:val="49DAA17E"/>
    <w:lvl w:ilvl="0" w:tplc="54FEF3B4">
      <w:start w:val="2"/>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929202C"/>
    <w:multiLevelType w:val="hybridMultilevel"/>
    <w:tmpl w:val="1B18DF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713F4B2E"/>
    <w:multiLevelType w:val="multilevel"/>
    <w:tmpl w:val="DE1A1CBE"/>
    <w:lvl w:ilvl="0">
      <w:start w:val="2"/>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51" w15:restartNumberingAfterBreak="0">
    <w:nsid w:val="72E10206"/>
    <w:multiLevelType w:val="hybridMultilevel"/>
    <w:tmpl w:val="0B6EED2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76957662"/>
    <w:multiLevelType w:val="multilevel"/>
    <w:tmpl w:val="B2A277C4"/>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900" w:hanging="54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9C668DA"/>
    <w:multiLevelType w:val="hybridMultilevel"/>
    <w:tmpl w:val="43D21B1A"/>
    <w:lvl w:ilvl="0" w:tplc="3D24214C">
      <w:start w:val="1"/>
      <w:numFmt w:val="bullet"/>
      <w:lvlText w:val=""/>
      <w:lvlJc w:val="left"/>
      <w:pPr>
        <w:ind w:left="1210" w:hanging="360"/>
      </w:pPr>
      <w:rPr>
        <w:rFonts w:ascii="Symbol" w:hAnsi="Symbol" w:hint="default"/>
        <w:color w:val="auto"/>
      </w:rPr>
    </w:lvl>
    <w:lvl w:ilvl="1" w:tplc="04260003" w:tentative="1">
      <w:start w:val="1"/>
      <w:numFmt w:val="bullet"/>
      <w:lvlText w:val="o"/>
      <w:lvlJc w:val="left"/>
      <w:pPr>
        <w:ind w:left="2877" w:hanging="360"/>
      </w:pPr>
      <w:rPr>
        <w:rFonts w:ascii="Courier New" w:hAnsi="Courier New" w:cs="Courier New" w:hint="default"/>
      </w:rPr>
    </w:lvl>
    <w:lvl w:ilvl="2" w:tplc="04260005" w:tentative="1">
      <w:start w:val="1"/>
      <w:numFmt w:val="bullet"/>
      <w:lvlText w:val=""/>
      <w:lvlJc w:val="left"/>
      <w:pPr>
        <w:ind w:left="3597" w:hanging="360"/>
      </w:pPr>
      <w:rPr>
        <w:rFonts w:ascii="Wingdings" w:hAnsi="Wingdings" w:hint="default"/>
      </w:rPr>
    </w:lvl>
    <w:lvl w:ilvl="3" w:tplc="04260001" w:tentative="1">
      <w:start w:val="1"/>
      <w:numFmt w:val="bullet"/>
      <w:lvlText w:val=""/>
      <w:lvlJc w:val="left"/>
      <w:pPr>
        <w:ind w:left="4317" w:hanging="360"/>
      </w:pPr>
      <w:rPr>
        <w:rFonts w:ascii="Symbol" w:hAnsi="Symbol" w:hint="default"/>
      </w:rPr>
    </w:lvl>
    <w:lvl w:ilvl="4" w:tplc="04260003" w:tentative="1">
      <w:start w:val="1"/>
      <w:numFmt w:val="bullet"/>
      <w:lvlText w:val="o"/>
      <w:lvlJc w:val="left"/>
      <w:pPr>
        <w:ind w:left="5037" w:hanging="360"/>
      </w:pPr>
      <w:rPr>
        <w:rFonts w:ascii="Courier New" w:hAnsi="Courier New" w:cs="Courier New" w:hint="default"/>
      </w:rPr>
    </w:lvl>
    <w:lvl w:ilvl="5" w:tplc="04260005" w:tentative="1">
      <w:start w:val="1"/>
      <w:numFmt w:val="bullet"/>
      <w:lvlText w:val=""/>
      <w:lvlJc w:val="left"/>
      <w:pPr>
        <w:ind w:left="5757" w:hanging="360"/>
      </w:pPr>
      <w:rPr>
        <w:rFonts w:ascii="Wingdings" w:hAnsi="Wingdings" w:hint="default"/>
      </w:rPr>
    </w:lvl>
    <w:lvl w:ilvl="6" w:tplc="04260001" w:tentative="1">
      <w:start w:val="1"/>
      <w:numFmt w:val="bullet"/>
      <w:lvlText w:val=""/>
      <w:lvlJc w:val="left"/>
      <w:pPr>
        <w:ind w:left="6477" w:hanging="360"/>
      </w:pPr>
      <w:rPr>
        <w:rFonts w:ascii="Symbol" w:hAnsi="Symbol" w:hint="default"/>
      </w:rPr>
    </w:lvl>
    <w:lvl w:ilvl="7" w:tplc="04260003" w:tentative="1">
      <w:start w:val="1"/>
      <w:numFmt w:val="bullet"/>
      <w:lvlText w:val="o"/>
      <w:lvlJc w:val="left"/>
      <w:pPr>
        <w:ind w:left="7197" w:hanging="360"/>
      </w:pPr>
      <w:rPr>
        <w:rFonts w:ascii="Courier New" w:hAnsi="Courier New" w:cs="Courier New" w:hint="default"/>
      </w:rPr>
    </w:lvl>
    <w:lvl w:ilvl="8" w:tplc="04260005" w:tentative="1">
      <w:start w:val="1"/>
      <w:numFmt w:val="bullet"/>
      <w:lvlText w:val=""/>
      <w:lvlJc w:val="left"/>
      <w:pPr>
        <w:ind w:left="7917" w:hanging="360"/>
      </w:pPr>
      <w:rPr>
        <w:rFonts w:ascii="Wingdings" w:hAnsi="Wingdings" w:hint="default"/>
      </w:rPr>
    </w:lvl>
  </w:abstractNum>
  <w:abstractNum w:abstractNumId="54" w15:restartNumberingAfterBreak="0">
    <w:nsid w:val="7AD47638"/>
    <w:multiLevelType w:val="hybridMultilevel"/>
    <w:tmpl w:val="67BE60E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5" w15:restartNumberingAfterBreak="0">
    <w:nsid w:val="7C7D0D5F"/>
    <w:multiLevelType w:val="hybridMultilevel"/>
    <w:tmpl w:val="5D7AA33E"/>
    <w:lvl w:ilvl="0" w:tplc="E1D2FAA8">
      <w:numFmt w:val="bullet"/>
      <w:lvlText w:val="-"/>
      <w:lvlJc w:val="left"/>
      <w:pPr>
        <w:ind w:left="720" w:hanging="360"/>
      </w:pPr>
      <w:rPr>
        <w:rFonts w:ascii="Times New Roman" w:eastAsia="Times New Roman" w:hAnsi="Times New Roman" w:cs="Times New Roman"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32"/>
  </w:num>
  <w:num w:numId="4">
    <w:abstractNumId w:val="14"/>
  </w:num>
  <w:num w:numId="5">
    <w:abstractNumId w:val="4"/>
  </w:num>
  <w:num w:numId="6">
    <w:abstractNumId w:val="15"/>
  </w:num>
  <w:num w:numId="7">
    <w:abstractNumId w:val="43"/>
  </w:num>
  <w:num w:numId="8">
    <w:abstractNumId w:val="44"/>
  </w:num>
  <w:num w:numId="9">
    <w:abstractNumId w:val="54"/>
  </w:num>
  <w:num w:numId="10">
    <w:abstractNumId w:val="34"/>
  </w:num>
  <w:num w:numId="11">
    <w:abstractNumId w:val="20"/>
  </w:num>
  <w:num w:numId="12">
    <w:abstractNumId w:val="13"/>
  </w:num>
  <w:num w:numId="13">
    <w:abstractNumId w:val="46"/>
  </w:num>
  <w:num w:numId="14">
    <w:abstractNumId w:val="39"/>
  </w:num>
  <w:num w:numId="15">
    <w:abstractNumId w:val="27"/>
  </w:num>
  <w:num w:numId="16">
    <w:abstractNumId w:val="28"/>
  </w:num>
  <w:num w:numId="17">
    <w:abstractNumId w:val="11"/>
  </w:num>
  <w:num w:numId="18">
    <w:abstractNumId w:val="35"/>
  </w:num>
  <w:num w:numId="19">
    <w:abstractNumId w:val="8"/>
  </w:num>
  <w:num w:numId="20">
    <w:abstractNumId w:val="52"/>
  </w:num>
  <w:num w:numId="21">
    <w:abstractNumId w:val="29"/>
  </w:num>
  <w:num w:numId="22">
    <w:abstractNumId w:val="23"/>
  </w:num>
  <w:num w:numId="23">
    <w:abstractNumId w:val="47"/>
  </w:num>
  <w:num w:numId="24">
    <w:abstractNumId w:val="36"/>
  </w:num>
  <w:num w:numId="25">
    <w:abstractNumId w:val="42"/>
  </w:num>
  <w:num w:numId="26">
    <w:abstractNumId w:val="17"/>
  </w:num>
  <w:num w:numId="27">
    <w:abstractNumId w:val="21"/>
  </w:num>
  <w:num w:numId="28">
    <w:abstractNumId w:val="19"/>
  </w:num>
  <w:num w:numId="29">
    <w:abstractNumId w:val="22"/>
  </w:num>
  <w:num w:numId="30">
    <w:abstractNumId w:val="53"/>
  </w:num>
  <w:num w:numId="31">
    <w:abstractNumId w:val="3"/>
  </w:num>
  <w:num w:numId="32">
    <w:abstractNumId w:val="55"/>
  </w:num>
  <w:num w:numId="33">
    <w:abstractNumId w:val="37"/>
  </w:num>
  <w:num w:numId="34">
    <w:abstractNumId w:val="0"/>
  </w:num>
  <w:num w:numId="35">
    <w:abstractNumId w:val="26"/>
  </w:num>
  <w:num w:numId="36">
    <w:abstractNumId w:val="24"/>
  </w:num>
  <w:num w:numId="37">
    <w:abstractNumId w:val="16"/>
  </w:num>
  <w:num w:numId="38">
    <w:abstractNumId w:val="45"/>
  </w:num>
  <w:num w:numId="39">
    <w:abstractNumId w:val="38"/>
  </w:num>
  <w:num w:numId="40">
    <w:abstractNumId w:val="31"/>
  </w:num>
  <w:num w:numId="41">
    <w:abstractNumId w:val="41"/>
  </w:num>
  <w:num w:numId="42">
    <w:abstractNumId w:val="1"/>
  </w:num>
  <w:num w:numId="43">
    <w:abstractNumId w:val="18"/>
  </w:num>
  <w:num w:numId="44">
    <w:abstractNumId w:val="6"/>
  </w:num>
  <w:num w:numId="45">
    <w:abstractNumId w:val="12"/>
  </w:num>
  <w:num w:numId="46">
    <w:abstractNumId w:val="40"/>
  </w:num>
  <w:num w:numId="47">
    <w:abstractNumId w:val="49"/>
  </w:num>
  <w:num w:numId="48">
    <w:abstractNumId w:val="9"/>
  </w:num>
  <w:num w:numId="49">
    <w:abstractNumId w:val="33"/>
  </w:num>
  <w:num w:numId="50">
    <w:abstractNumId w:val="7"/>
  </w:num>
  <w:num w:numId="51">
    <w:abstractNumId w:val="51"/>
  </w:num>
  <w:num w:numId="52">
    <w:abstractNumId w:val="2"/>
  </w:num>
  <w:num w:numId="53">
    <w:abstractNumId w:val="48"/>
  </w:num>
  <w:num w:numId="54">
    <w:abstractNumId w:val="50"/>
  </w:num>
  <w:num w:numId="55">
    <w:abstractNumId w:val="10"/>
  </w:num>
  <w:num w:numId="56">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D0A"/>
    <w:rsid w:val="000003CF"/>
    <w:rsid w:val="00002906"/>
    <w:rsid w:val="00016D17"/>
    <w:rsid w:val="00020AE1"/>
    <w:rsid w:val="000256E7"/>
    <w:rsid w:val="00032E50"/>
    <w:rsid w:val="000352B3"/>
    <w:rsid w:val="0004118D"/>
    <w:rsid w:val="00044D38"/>
    <w:rsid w:val="0005194E"/>
    <w:rsid w:val="000522EF"/>
    <w:rsid w:val="00052832"/>
    <w:rsid w:val="000732F2"/>
    <w:rsid w:val="000837FF"/>
    <w:rsid w:val="000A078E"/>
    <w:rsid w:val="000A105D"/>
    <w:rsid w:val="000B258D"/>
    <w:rsid w:val="000B672B"/>
    <w:rsid w:val="000B7642"/>
    <w:rsid w:val="000C3B1B"/>
    <w:rsid w:val="000C4A24"/>
    <w:rsid w:val="000C671E"/>
    <w:rsid w:val="000E25B9"/>
    <w:rsid w:val="000E36B5"/>
    <w:rsid w:val="000F2241"/>
    <w:rsid w:val="00105C87"/>
    <w:rsid w:val="00121453"/>
    <w:rsid w:val="001225CA"/>
    <w:rsid w:val="00152D2E"/>
    <w:rsid w:val="001617E7"/>
    <w:rsid w:val="00170A8A"/>
    <w:rsid w:val="001768BA"/>
    <w:rsid w:val="00177F30"/>
    <w:rsid w:val="00194D4D"/>
    <w:rsid w:val="001955FD"/>
    <w:rsid w:val="001A6D91"/>
    <w:rsid w:val="001B07E1"/>
    <w:rsid w:val="001B72AE"/>
    <w:rsid w:val="001D1220"/>
    <w:rsid w:val="001D4D0B"/>
    <w:rsid w:val="001D5145"/>
    <w:rsid w:val="001D6CF8"/>
    <w:rsid w:val="001D71AD"/>
    <w:rsid w:val="001D7A9E"/>
    <w:rsid w:val="001E2107"/>
    <w:rsid w:val="001E47BA"/>
    <w:rsid w:val="001E4DAF"/>
    <w:rsid w:val="001F4E10"/>
    <w:rsid w:val="00223E9E"/>
    <w:rsid w:val="00233D99"/>
    <w:rsid w:val="00251CE8"/>
    <w:rsid w:val="00252758"/>
    <w:rsid w:val="0027718C"/>
    <w:rsid w:val="002C24FA"/>
    <w:rsid w:val="002C2BA3"/>
    <w:rsid w:val="002C6F72"/>
    <w:rsid w:val="002D2660"/>
    <w:rsid w:val="002D6301"/>
    <w:rsid w:val="002E2D0A"/>
    <w:rsid w:val="002E548B"/>
    <w:rsid w:val="002E77A3"/>
    <w:rsid w:val="002F55CD"/>
    <w:rsid w:val="00300141"/>
    <w:rsid w:val="003001BA"/>
    <w:rsid w:val="0033137E"/>
    <w:rsid w:val="00354454"/>
    <w:rsid w:val="00384EF6"/>
    <w:rsid w:val="00392013"/>
    <w:rsid w:val="0039676E"/>
    <w:rsid w:val="003968A3"/>
    <w:rsid w:val="003A1469"/>
    <w:rsid w:val="003A300D"/>
    <w:rsid w:val="003B3AA2"/>
    <w:rsid w:val="003B4874"/>
    <w:rsid w:val="003B5241"/>
    <w:rsid w:val="003C1E35"/>
    <w:rsid w:val="003D0B10"/>
    <w:rsid w:val="003D6A2D"/>
    <w:rsid w:val="003F1259"/>
    <w:rsid w:val="003F353E"/>
    <w:rsid w:val="0040264B"/>
    <w:rsid w:val="00432E01"/>
    <w:rsid w:val="004354AF"/>
    <w:rsid w:val="004426B8"/>
    <w:rsid w:val="00470219"/>
    <w:rsid w:val="00471534"/>
    <w:rsid w:val="00471F12"/>
    <w:rsid w:val="00472F2D"/>
    <w:rsid w:val="0047359D"/>
    <w:rsid w:val="004805E5"/>
    <w:rsid w:val="00496A9A"/>
    <w:rsid w:val="004A100C"/>
    <w:rsid w:val="004A1902"/>
    <w:rsid w:val="004B3EEA"/>
    <w:rsid w:val="004B7F98"/>
    <w:rsid w:val="004C118A"/>
    <w:rsid w:val="004C1C06"/>
    <w:rsid w:val="004C5EB0"/>
    <w:rsid w:val="004D618E"/>
    <w:rsid w:val="004E5856"/>
    <w:rsid w:val="004E68FF"/>
    <w:rsid w:val="004F5F3A"/>
    <w:rsid w:val="005005F9"/>
    <w:rsid w:val="00506172"/>
    <w:rsid w:val="00510BA4"/>
    <w:rsid w:val="0051183C"/>
    <w:rsid w:val="00514C20"/>
    <w:rsid w:val="00514E7C"/>
    <w:rsid w:val="00524893"/>
    <w:rsid w:val="00525A10"/>
    <w:rsid w:val="00534237"/>
    <w:rsid w:val="00534DB7"/>
    <w:rsid w:val="005354B1"/>
    <w:rsid w:val="005602F4"/>
    <w:rsid w:val="0056192C"/>
    <w:rsid w:val="00566C92"/>
    <w:rsid w:val="00574F69"/>
    <w:rsid w:val="00580F63"/>
    <w:rsid w:val="005849EA"/>
    <w:rsid w:val="0059413B"/>
    <w:rsid w:val="005A1C40"/>
    <w:rsid w:val="005B0484"/>
    <w:rsid w:val="005C73F1"/>
    <w:rsid w:val="005D7EA5"/>
    <w:rsid w:val="005E1FF2"/>
    <w:rsid w:val="00617A9A"/>
    <w:rsid w:val="00622744"/>
    <w:rsid w:val="0062608D"/>
    <w:rsid w:val="006746B5"/>
    <w:rsid w:val="006773F9"/>
    <w:rsid w:val="00697671"/>
    <w:rsid w:val="00697BE4"/>
    <w:rsid w:val="006A642E"/>
    <w:rsid w:val="006B193E"/>
    <w:rsid w:val="006B2F7F"/>
    <w:rsid w:val="006B3086"/>
    <w:rsid w:val="006B4F36"/>
    <w:rsid w:val="006B762E"/>
    <w:rsid w:val="006C154C"/>
    <w:rsid w:val="006D176F"/>
    <w:rsid w:val="006D4602"/>
    <w:rsid w:val="006E5136"/>
    <w:rsid w:val="006F76FD"/>
    <w:rsid w:val="00707F68"/>
    <w:rsid w:val="007128D7"/>
    <w:rsid w:val="00713439"/>
    <w:rsid w:val="007318AC"/>
    <w:rsid w:val="00747A65"/>
    <w:rsid w:val="00751B63"/>
    <w:rsid w:val="00751B88"/>
    <w:rsid w:val="00762984"/>
    <w:rsid w:val="00763BEF"/>
    <w:rsid w:val="007706B2"/>
    <w:rsid w:val="007822E5"/>
    <w:rsid w:val="00782965"/>
    <w:rsid w:val="007868F8"/>
    <w:rsid w:val="007A2994"/>
    <w:rsid w:val="007B09AA"/>
    <w:rsid w:val="007B3F40"/>
    <w:rsid w:val="007B5231"/>
    <w:rsid w:val="007C0716"/>
    <w:rsid w:val="007C3F9C"/>
    <w:rsid w:val="007D00BC"/>
    <w:rsid w:val="007D273E"/>
    <w:rsid w:val="007D769C"/>
    <w:rsid w:val="007F2061"/>
    <w:rsid w:val="007F4A72"/>
    <w:rsid w:val="007F4D1A"/>
    <w:rsid w:val="007F7266"/>
    <w:rsid w:val="0081019D"/>
    <w:rsid w:val="00811CFE"/>
    <w:rsid w:val="008239CF"/>
    <w:rsid w:val="008530DB"/>
    <w:rsid w:val="0085361E"/>
    <w:rsid w:val="00860039"/>
    <w:rsid w:val="008927F1"/>
    <w:rsid w:val="008A38FB"/>
    <w:rsid w:val="008C05DD"/>
    <w:rsid w:val="008C7427"/>
    <w:rsid w:val="008E2C8E"/>
    <w:rsid w:val="008E6347"/>
    <w:rsid w:val="008F033F"/>
    <w:rsid w:val="0091267E"/>
    <w:rsid w:val="009208FB"/>
    <w:rsid w:val="009228DF"/>
    <w:rsid w:val="00922A83"/>
    <w:rsid w:val="00923A7B"/>
    <w:rsid w:val="0092778C"/>
    <w:rsid w:val="009344B0"/>
    <w:rsid w:val="00940A8F"/>
    <w:rsid w:val="00951C2A"/>
    <w:rsid w:val="009671A8"/>
    <w:rsid w:val="0097325F"/>
    <w:rsid w:val="009B1A4B"/>
    <w:rsid w:val="009B5888"/>
    <w:rsid w:val="009C497E"/>
    <w:rsid w:val="009C7B40"/>
    <w:rsid w:val="009D468E"/>
    <w:rsid w:val="009F4238"/>
    <w:rsid w:val="00A30585"/>
    <w:rsid w:val="00A32506"/>
    <w:rsid w:val="00A41018"/>
    <w:rsid w:val="00A514E0"/>
    <w:rsid w:val="00A5520A"/>
    <w:rsid w:val="00A60406"/>
    <w:rsid w:val="00A60C1A"/>
    <w:rsid w:val="00A65D3D"/>
    <w:rsid w:val="00A80194"/>
    <w:rsid w:val="00A84300"/>
    <w:rsid w:val="00A85A48"/>
    <w:rsid w:val="00A87C8A"/>
    <w:rsid w:val="00AB5BB5"/>
    <w:rsid w:val="00AC3A41"/>
    <w:rsid w:val="00AC6D3B"/>
    <w:rsid w:val="00AD6B94"/>
    <w:rsid w:val="00AE44A5"/>
    <w:rsid w:val="00AF00DB"/>
    <w:rsid w:val="00B068A4"/>
    <w:rsid w:val="00B12135"/>
    <w:rsid w:val="00B16E81"/>
    <w:rsid w:val="00B232B5"/>
    <w:rsid w:val="00B374D7"/>
    <w:rsid w:val="00B55026"/>
    <w:rsid w:val="00B65E28"/>
    <w:rsid w:val="00B66244"/>
    <w:rsid w:val="00B84B1E"/>
    <w:rsid w:val="00B910DC"/>
    <w:rsid w:val="00B91C89"/>
    <w:rsid w:val="00B954F4"/>
    <w:rsid w:val="00B967E5"/>
    <w:rsid w:val="00B968FE"/>
    <w:rsid w:val="00C111BC"/>
    <w:rsid w:val="00C128A1"/>
    <w:rsid w:val="00C17DE1"/>
    <w:rsid w:val="00C45E04"/>
    <w:rsid w:val="00C55241"/>
    <w:rsid w:val="00C55C96"/>
    <w:rsid w:val="00C569FB"/>
    <w:rsid w:val="00C83418"/>
    <w:rsid w:val="00C83DF6"/>
    <w:rsid w:val="00C870A9"/>
    <w:rsid w:val="00C90834"/>
    <w:rsid w:val="00C91971"/>
    <w:rsid w:val="00CA311D"/>
    <w:rsid w:val="00CA5079"/>
    <w:rsid w:val="00CB0634"/>
    <w:rsid w:val="00CC3B42"/>
    <w:rsid w:val="00CC4D0C"/>
    <w:rsid w:val="00CD76DB"/>
    <w:rsid w:val="00CE0303"/>
    <w:rsid w:val="00CE611F"/>
    <w:rsid w:val="00CF64D3"/>
    <w:rsid w:val="00D00D0D"/>
    <w:rsid w:val="00D01CB6"/>
    <w:rsid w:val="00D10C89"/>
    <w:rsid w:val="00D2674E"/>
    <w:rsid w:val="00D310F2"/>
    <w:rsid w:val="00D31BE1"/>
    <w:rsid w:val="00D31CE9"/>
    <w:rsid w:val="00D352C9"/>
    <w:rsid w:val="00D44789"/>
    <w:rsid w:val="00D47F6C"/>
    <w:rsid w:val="00D53BAD"/>
    <w:rsid w:val="00D57D2C"/>
    <w:rsid w:val="00D61A11"/>
    <w:rsid w:val="00D810EC"/>
    <w:rsid w:val="00D84835"/>
    <w:rsid w:val="00D8747B"/>
    <w:rsid w:val="00DB34D6"/>
    <w:rsid w:val="00DB4A03"/>
    <w:rsid w:val="00DC6490"/>
    <w:rsid w:val="00DD0EC6"/>
    <w:rsid w:val="00DD5425"/>
    <w:rsid w:val="00DD5C0D"/>
    <w:rsid w:val="00DE6C53"/>
    <w:rsid w:val="00DF0D94"/>
    <w:rsid w:val="00DF60DB"/>
    <w:rsid w:val="00E034DC"/>
    <w:rsid w:val="00E04386"/>
    <w:rsid w:val="00E121EE"/>
    <w:rsid w:val="00E366FD"/>
    <w:rsid w:val="00E55A64"/>
    <w:rsid w:val="00E56578"/>
    <w:rsid w:val="00E61582"/>
    <w:rsid w:val="00E6660B"/>
    <w:rsid w:val="00E8299F"/>
    <w:rsid w:val="00E85520"/>
    <w:rsid w:val="00E92084"/>
    <w:rsid w:val="00EA4485"/>
    <w:rsid w:val="00EA6CD7"/>
    <w:rsid w:val="00EB2155"/>
    <w:rsid w:val="00EC24B4"/>
    <w:rsid w:val="00EC64F4"/>
    <w:rsid w:val="00ED030F"/>
    <w:rsid w:val="00ED363A"/>
    <w:rsid w:val="00EF7813"/>
    <w:rsid w:val="00F05019"/>
    <w:rsid w:val="00F06587"/>
    <w:rsid w:val="00F0732B"/>
    <w:rsid w:val="00F15249"/>
    <w:rsid w:val="00F23B5F"/>
    <w:rsid w:val="00F2777C"/>
    <w:rsid w:val="00F32204"/>
    <w:rsid w:val="00F51283"/>
    <w:rsid w:val="00F700BC"/>
    <w:rsid w:val="00F860D8"/>
    <w:rsid w:val="00F92FF0"/>
    <w:rsid w:val="00F979B5"/>
    <w:rsid w:val="00FA3BB1"/>
    <w:rsid w:val="00FB6188"/>
    <w:rsid w:val="00FD3000"/>
    <w:rsid w:val="00FD6F12"/>
    <w:rsid w:val="00FE12EF"/>
    <w:rsid w:val="00FE4015"/>
    <w:rsid w:val="00FF231F"/>
    <w:rsid w:val="00FF342C"/>
    <w:rsid w:val="00FF5B7A"/>
    <w:rsid w:val="00FF79A4"/>
    <w:rsid w:val="00FF7F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4E1AC4A"/>
  <w15:chartTrackingRefBased/>
  <w15:docId w15:val="{D469C9D9-9804-4E41-823E-A1A0E694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7E1"/>
    <w:pPr>
      <w:spacing w:after="120"/>
      <w:jc w:val="both"/>
    </w:pPr>
    <w:rPr>
      <w:rFonts w:ascii="Times New Roman" w:eastAsiaTheme="minorEastAsia" w:hAnsi="Times New Roman"/>
      <w:sz w:val="24"/>
      <w:lang w:val="en-US"/>
    </w:rPr>
  </w:style>
  <w:style w:type="paragraph" w:styleId="Heading1">
    <w:name w:val="heading 1"/>
    <w:basedOn w:val="Normal"/>
    <w:next w:val="Normal"/>
    <w:link w:val="Heading1Char"/>
    <w:uiPriority w:val="9"/>
    <w:qFormat/>
    <w:rsid w:val="00D2674E"/>
    <w:pPr>
      <w:keepNext/>
      <w:keepLines/>
      <w:numPr>
        <w:numId w:val="2"/>
      </w:numPr>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D2674E"/>
    <w:pPr>
      <w:keepNext/>
      <w:keepLines/>
      <w:spacing w:before="120" w:after="240" w:line="240" w:lineRule="auto"/>
      <w:jc w:val="center"/>
      <w:outlineLvl w:val="1"/>
    </w:pPr>
    <w:rPr>
      <w:rFonts w:eastAsiaTheme="majorEastAsia" w:cstheme="majorBidi"/>
      <w:sz w:val="32"/>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674E"/>
    <w:rPr>
      <w:rFonts w:ascii="Times New Roman" w:eastAsiaTheme="majorEastAsia" w:hAnsi="Times New Roman" w:cstheme="majorBidi"/>
      <w:sz w:val="32"/>
      <w:szCs w:val="26"/>
    </w:rPr>
  </w:style>
  <w:style w:type="character" w:customStyle="1" w:styleId="Heading1Char">
    <w:name w:val="Heading 1 Char"/>
    <w:basedOn w:val="DefaultParagraphFont"/>
    <w:link w:val="Heading1"/>
    <w:uiPriority w:val="9"/>
    <w:rsid w:val="00D2674E"/>
    <w:rPr>
      <w:rFonts w:ascii="Times New Roman" w:eastAsiaTheme="majorEastAsia" w:hAnsi="Times New Roman" w:cstheme="majorBidi"/>
      <w:sz w:val="32"/>
      <w:szCs w:val="32"/>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D2674E"/>
    <w:pPr>
      <w:ind w:left="720"/>
      <w:contextualSpacing/>
    </w:pPr>
  </w:style>
  <w:style w:type="paragraph" w:styleId="TOC1">
    <w:name w:val="toc 1"/>
    <w:basedOn w:val="Normal"/>
    <w:next w:val="Normal"/>
    <w:autoRedefine/>
    <w:uiPriority w:val="39"/>
    <w:unhideWhenUsed/>
    <w:rsid w:val="001A6D91"/>
    <w:pPr>
      <w:tabs>
        <w:tab w:val="left" w:pos="440"/>
        <w:tab w:val="right" w:leader="dot" w:pos="8789"/>
      </w:tabs>
      <w:spacing w:after="100"/>
      <w:ind w:right="282"/>
    </w:pPr>
    <w:rPr>
      <w:b/>
    </w:rPr>
  </w:style>
  <w:style w:type="paragraph" w:styleId="TOC2">
    <w:name w:val="toc 2"/>
    <w:basedOn w:val="Normal"/>
    <w:next w:val="Normal"/>
    <w:autoRedefine/>
    <w:uiPriority w:val="39"/>
    <w:unhideWhenUsed/>
    <w:rsid w:val="001A6D91"/>
    <w:pPr>
      <w:tabs>
        <w:tab w:val="left" w:pos="880"/>
        <w:tab w:val="right" w:leader="dot" w:pos="8789"/>
      </w:tabs>
      <w:spacing w:after="100"/>
      <w:ind w:left="220" w:right="282"/>
    </w:pPr>
  </w:style>
  <w:style w:type="character" w:styleId="Hyperlink">
    <w:name w:val="Hyperlink"/>
    <w:basedOn w:val="DefaultParagraphFont"/>
    <w:uiPriority w:val="99"/>
    <w:unhideWhenUsed/>
    <w:rsid w:val="00C83DF6"/>
    <w:rPr>
      <w:color w:val="0563C1" w:themeColor="hyperlink"/>
      <w:u w:val="single"/>
    </w:rPr>
  </w:style>
  <w:style w:type="paragraph" w:styleId="TOC3">
    <w:name w:val="toc 3"/>
    <w:basedOn w:val="Normal"/>
    <w:next w:val="Normal"/>
    <w:autoRedefine/>
    <w:uiPriority w:val="39"/>
    <w:semiHidden/>
    <w:unhideWhenUsed/>
    <w:rsid w:val="00F51283"/>
    <w:pPr>
      <w:spacing w:after="100"/>
      <w:ind w:left="440"/>
    </w:pPr>
  </w:style>
  <w:style w:type="character" w:styleId="CommentReference">
    <w:name w:val="annotation reference"/>
    <w:basedOn w:val="DefaultParagraphFont"/>
    <w:uiPriority w:val="99"/>
    <w:semiHidden/>
    <w:unhideWhenUsed/>
    <w:rsid w:val="006B4F36"/>
    <w:rPr>
      <w:sz w:val="16"/>
      <w:szCs w:val="16"/>
    </w:rPr>
  </w:style>
  <w:style w:type="paragraph" w:styleId="CommentText">
    <w:name w:val="annotation text"/>
    <w:aliases w:val=" Char,Char"/>
    <w:basedOn w:val="Normal"/>
    <w:link w:val="CommentTextChar"/>
    <w:uiPriority w:val="99"/>
    <w:unhideWhenUsed/>
    <w:rsid w:val="006B4F36"/>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6B4F36"/>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6B4F36"/>
    <w:rPr>
      <w:b/>
      <w:bCs/>
    </w:rPr>
  </w:style>
  <w:style w:type="character" w:customStyle="1" w:styleId="CommentSubjectChar">
    <w:name w:val="Comment Subject Char"/>
    <w:basedOn w:val="CommentTextChar"/>
    <w:link w:val="CommentSubject"/>
    <w:uiPriority w:val="99"/>
    <w:semiHidden/>
    <w:rsid w:val="006B4F36"/>
    <w:rPr>
      <w:rFonts w:eastAsiaTheme="minorEastAsia"/>
      <w:b/>
      <w:bCs/>
      <w:sz w:val="20"/>
      <w:szCs w:val="20"/>
      <w:lang w:val="en-US"/>
    </w:rPr>
  </w:style>
  <w:style w:type="paragraph" w:styleId="BalloonText">
    <w:name w:val="Balloon Text"/>
    <w:basedOn w:val="Normal"/>
    <w:link w:val="BalloonTextChar"/>
    <w:uiPriority w:val="99"/>
    <w:semiHidden/>
    <w:unhideWhenUsed/>
    <w:rsid w:val="006B4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F36"/>
    <w:rPr>
      <w:rFonts w:ascii="Segoe UI" w:eastAsiaTheme="minorEastAsia" w:hAnsi="Segoe UI" w:cs="Segoe UI"/>
      <w:sz w:val="18"/>
      <w:szCs w:val="18"/>
      <w:lang w:val="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9228DF"/>
    <w:pPr>
      <w:spacing w:after="0" w:line="240" w:lineRule="auto"/>
      <w:jc w:val="left"/>
    </w:pPr>
    <w:rPr>
      <w:rFonts w:eastAsiaTheme="minorHAnsi"/>
      <w:sz w:val="20"/>
      <w:szCs w:val="20"/>
      <w:lang w:val="lv-LV"/>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9228DF"/>
    <w:rPr>
      <w:rFonts w:ascii="Times New Roman" w:hAnsi="Times New Roman"/>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9228DF"/>
    <w:rPr>
      <w:vertAlign w:val="superscript"/>
    </w:rPr>
  </w:style>
  <w:style w:type="paragraph" w:customStyle="1" w:styleId="Default">
    <w:name w:val="Default"/>
    <w:rsid w:val="009228DF"/>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NoList1">
    <w:name w:val="No List1"/>
    <w:next w:val="NoList"/>
    <w:uiPriority w:val="99"/>
    <w:semiHidden/>
    <w:unhideWhenUsed/>
    <w:rsid w:val="001617E7"/>
  </w:style>
  <w:style w:type="paragraph" w:styleId="NormalWeb">
    <w:name w:val="Normal (Web)"/>
    <w:basedOn w:val="Normal"/>
    <w:uiPriority w:val="99"/>
    <w:unhideWhenUsed/>
    <w:rsid w:val="00B12135"/>
    <w:pPr>
      <w:spacing w:before="100" w:beforeAutospacing="1" w:after="100" w:afterAutospacing="1" w:line="240" w:lineRule="auto"/>
      <w:jc w:val="left"/>
    </w:pPr>
    <w:rPr>
      <w:rFonts w:eastAsiaTheme="minorHAnsi" w:cs="Times New Roman"/>
      <w:szCs w:val="24"/>
    </w:rPr>
  </w:style>
  <w:style w:type="table" w:styleId="TableGrid">
    <w:name w:val="Table Grid"/>
    <w:basedOn w:val="TableNormal"/>
    <w:uiPriority w:val="39"/>
    <w:rsid w:val="000C3B1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3B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3B1B"/>
    <w:rPr>
      <w:rFonts w:ascii="Times New Roman" w:eastAsiaTheme="minorEastAsia" w:hAnsi="Times New Roman"/>
      <w:sz w:val="24"/>
      <w:lang w:val="en-US"/>
    </w:rPr>
  </w:style>
  <w:style w:type="paragraph" w:styleId="Footer">
    <w:name w:val="footer"/>
    <w:basedOn w:val="Normal"/>
    <w:link w:val="FooterChar"/>
    <w:uiPriority w:val="99"/>
    <w:unhideWhenUsed/>
    <w:rsid w:val="000C3B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3B1B"/>
    <w:rPr>
      <w:rFonts w:ascii="Times New Roman" w:eastAsiaTheme="minorEastAsia" w:hAnsi="Times New Roman"/>
      <w:sz w:val="24"/>
      <w:lang w:val="en-US"/>
    </w:rPr>
  </w:style>
  <w:style w:type="character" w:customStyle="1" w:styleId="UnresolvedMention1">
    <w:name w:val="Unresolved Mention1"/>
    <w:basedOn w:val="DefaultParagraphFont"/>
    <w:uiPriority w:val="99"/>
    <w:semiHidden/>
    <w:unhideWhenUsed/>
    <w:rsid w:val="00E61582"/>
    <w:rPr>
      <w:color w:val="605E5C"/>
      <w:shd w:val="clear" w:color="auto" w:fill="E1DFDD"/>
    </w:rPr>
  </w:style>
  <w:style w:type="character" w:styleId="FollowedHyperlink">
    <w:name w:val="FollowedHyperlink"/>
    <w:basedOn w:val="DefaultParagraphFont"/>
    <w:uiPriority w:val="99"/>
    <w:semiHidden/>
    <w:unhideWhenUsed/>
    <w:rsid w:val="00E61582"/>
    <w:rPr>
      <w:color w:val="954F72" w:themeColor="followedHyperlink"/>
      <w:u w:val="single"/>
    </w:rPr>
  </w:style>
  <w:style w:type="paragraph" w:styleId="EndnoteText">
    <w:name w:val="endnote text"/>
    <w:basedOn w:val="Normal"/>
    <w:link w:val="EndnoteTextChar"/>
    <w:uiPriority w:val="99"/>
    <w:semiHidden/>
    <w:unhideWhenUsed/>
    <w:rsid w:val="00E61582"/>
    <w:pPr>
      <w:spacing w:after="0" w:line="240" w:lineRule="auto"/>
      <w:jc w:val="left"/>
    </w:pPr>
    <w:rPr>
      <w:rFonts w:eastAsiaTheme="minorHAnsi" w:cs="Times New Roman"/>
      <w:sz w:val="20"/>
      <w:szCs w:val="20"/>
      <w:lang w:val="lv-LV"/>
    </w:rPr>
  </w:style>
  <w:style w:type="character" w:customStyle="1" w:styleId="EndnoteTextChar">
    <w:name w:val="Endnote Text Char"/>
    <w:basedOn w:val="DefaultParagraphFont"/>
    <w:link w:val="EndnoteText"/>
    <w:uiPriority w:val="99"/>
    <w:semiHidden/>
    <w:rsid w:val="00E61582"/>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E61582"/>
    <w:rPr>
      <w:vertAlign w:val="superscript"/>
    </w:rPr>
  </w:style>
  <w:style w:type="paragraph" w:styleId="Caption">
    <w:name w:val="caption"/>
    <w:basedOn w:val="Normal"/>
    <w:next w:val="Normal"/>
    <w:uiPriority w:val="35"/>
    <w:unhideWhenUsed/>
    <w:qFormat/>
    <w:rsid w:val="004D618E"/>
    <w:pPr>
      <w:spacing w:after="200" w:line="240" w:lineRule="auto"/>
      <w:jc w:val="left"/>
    </w:pPr>
    <w:rPr>
      <w:rFonts w:eastAsiaTheme="minorHAnsi" w:cs="Times New Roman"/>
      <w:i/>
      <w:iCs/>
      <w:color w:val="44546A" w:themeColor="text2"/>
      <w:sz w:val="18"/>
      <w:szCs w:val="18"/>
      <w:lang w:val="lv-LV"/>
    </w:rPr>
  </w:style>
  <w:style w:type="table" w:customStyle="1" w:styleId="TableGrid11">
    <w:name w:val="Table Grid11"/>
    <w:basedOn w:val="TableNormal"/>
    <w:next w:val="TableGrid"/>
    <w:uiPriority w:val="39"/>
    <w:rsid w:val="004D6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4D618E"/>
    <w:pPr>
      <w:spacing w:after="160" w:line="240" w:lineRule="exact"/>
    </w:pPr>
    <w:rPr>
      <w:rFonts w:asciiTheme="minorHAnsi" w:eastAsiaTheme="minorHAnsi" w:hAnsiTheme="minorHAnsi"/>
      <w:sz w:val="22"/>
      <w:vertAlign w:val="superscript"/>
      <w:lang w:val="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D618E"/>
    <w:rPr>
      <w:rFonts w:ascii="Times New Roman" w:eastAsiaTheme="minorEastAsia" w:hAnsi="Times New Roman"/>
      <w:sz w:val="24"/>
      <w:lang w:val="en-US"/>
    </w:rPr>
  </w:style>
  <w:style w:type="paragraph" w:customStyle="1" w:styleId="justifyfull">
    <w:name w:val="justifyfull"/>
    <w:basedOn w:val="Normal"/>
    <w:rsid w:val="00C83418"/>
    <w:pPr>
      <w:spacing w:before="100" w:beforeAutospacing="1" w:after="100" w:afterAutospacing="1" w:line="240" w:lineRule="auto"/>
      <w:jc w:val="left"/>
    </w:pPr>
    <w:rPr>
      <w:rFonts w:eastAsia="Times New Roman" w:cs="Times New Roman"/>
      <w:szCs w:val="24"/>
      <w:lang w:val="lv-LV" w:eastAsia="lv-LV"/>
    </w:rPr>
  </w:style>
  <w:style w:type="numbering" w:customStyle="1" w:styleId="NoList2">
    <w:name w:val="No List2"/>
    <w:next w:val="NoList"/>
    <w:uiPriority w:val="99"/>
    <w:semiHidden/>
    <w:unhideWhenUsed/>
    <w:rsid w:val="00CE0303"/>
  </w:style>
  <w:style w:type="table" w:customStyle="1" w:styleId="TableGrid1">
    <w:name w:val="Table Grid1"/>
    <w:basedOn w:val="TableNormal"/>
    <w:next w:val="TableGrid"/>
    <w:uiPriority w:val="39"/>
    <w:rsid w:val="00CE030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E0303"/>
    <w:pPr>
      <w:spacing w:after="0" w:line="240" w:lineRule="auto"/>
    </w:pPr>
    <w:rPr>
      <w:rFonts w:ascii="Times New Roman" w:hAnsi="Times New Roman"/>
      <w:sz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E0303"/>
    <w:pPr>
      <w:spacing w:after="0" w:line="240" w:lineRule="auto"/>
    </w:pPr>
    <w:rPr>
      <w:rFonts w:ascii="Times New Roman" w:hAnsi="Times New Roman"/>
      <w:sz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CE0303"/>
    <w:pPr>
      <w:spacing w:after="0" w:line="240" w:lineRule="auto"/>
    </w:pPr>
    <w:rPr>
      <w:rFonts w:ascii="Times New Roman" w:hAnsi="Times New Roman"/>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CE0303"/>
    <w:pPr>
      <w:spacing w:after="0" w:line="240" w:lineRule="auto"/>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FA3BB1"/>
  </w:style>
  <w:style w:type="table" w:customStyle="1" w:styleId="TableGrid2">
    <w:name w:val="Table Grid2"/>
    <w:basedOn w:val="TableNormal"/>
    <w:next w:val="TableGrid"/>
    <w:uiPriority w:val="39"/>
    <w:rsid w:val="00FA3B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62550">
      <w:bodyDiv w:val="1"/>
      <w:marLeft w:val="0"/>
      <w:marRight w:val="0"/>
      <w:marTop w:val="0"/>
      <w:marBottom w:val="0"/>
      <w:divBdr>
        <w:top w:val="none" w:sz="0" w:space="0" w:color="auto"/>
        <w:left w:val="none" w:sz="0" w:space="0" w:color="auto"/>
        <w:bottom w:val="none" w:sz="0" w:space="0" w:color="auto"/>
        <w:right w:val="none" w:sz="0" w:space="0" w:color="auto"/>
      </w:divBdr>
    </w:div>
    <w:div w:id="287594458">
      <w:bodyDiv w:val="1"/>
      <w:marLeft w:val="0"/>
      <w:marRight w:val="0"/>
      <w:marTop w:val="0"/>
      <w:marBottom w:val="0"/>
      <w:divBdr>
        <w:top w:val="none" w:sz="0" w:space="0" w:color="auto"/>
        <w:left w:val="none" w:sz="0" w:space="0" w:color="auto"/>
        <w:bottom w:val="none" w:sz="0" w:space="0" w:color="auto"/>
        <w:right w:val="none" w:sz="0" w:space="0" w:color="auto"/>
      </w:divBdr>
    </w:div>
    <w:div w:id="389693229">
      <w:bodyDiv w:val="1"/>
      <w:marLeft w:val="0"/>
      <w:marRight w:val="0"/>
      <w:marTop w:val="0"/>
      <w:marBottom w:val="0"/>
      <w:divBdr>
        <w:top w:val="none" w:sz="0" w:space="0" w:color="auto"/>
        <w:left w:val="none" w:sz="0" w:space="0" w:color="auto"/>
        <w:bottom w:val="none" w:sz="0" w:space="0" w:color="auto"/>
        <w:right w:val="none" w:sz="0" w:space="0" w:color="auto"/>
      </w:divBdr>
    </w:div>
    <w:div w:id="813109263">
      <w:bodyDiv w:val="1"/>
      <w:marLeft w:val="0"/>
      <w:marRight w:val="0"/>
      <w:marTop w:val="0"/>
      <w:marBottom w:val="0"/>
      <w:divBdr>
        <w:top w:val="none" w:sz="0" w:space="0" w:color="auto"/>
        <w:left w:val="none" w:sz="0" w:space="0" w:color="auto"/>
        <w:bottom w:val="none" w:sz="0" w:space="0" w:color="auto"/>
        <w:right w:val="none" w:sz="0" w:space="0" w:color="auto"/>
      </w:divBdr>
    </w:div>
    <w:div w:id="963118455">
      <w:bodyDiv w:val="1"/>
      <w:marLeft w:val="0"/>
      <w:marRight w:val="0"/>
      <w:marTop w:val="0"/>
      <w:marBottom w:val="0"/>
      <w:divBdr>
        <w:top w:val="none" w:sz="0" w:space="0" w:color="auto"/>
        <w:left w:val="none" w:sz="0" w:space="0" w:color="auto"/>
        <w:bottom w:val="none" w:sz="0" w:space="0" w:color="auto"/>
        <w:right w:val="none" w:sz="0" w:space="0" w:color="auto"/>
      </w:divBdr>
    </w:div>
    <w:div w:id="1953977454">
      <w:bodyDiv w:val="1"/>
      <w:marLeft w:val="0"/>
      <w:marRight w:val="0"/>
      <w:marTop w:val="0"/>
      <w:marBottom w:val="0"/>
      <w:divBdr>
        <w:top w:val="none" w:sz="0" w:space="0" w:color="auto"/>
        <w:left w:val="none" w:sz="0" w:space="0" w:color="auto"/>
        <w:bottom w:val="none" w:sz="0" w:space="0" w:color="auto"/>
        <w:right w:val="none" w:sz="0" w:space="0" w:color="auto"/>
      </w:divBdr>
    </w:div>
    <w:div w:id="19812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117" Type="http://schemas.openxmlformats.org/officeDocument/2006/relationships/chart" Target="charts/chart89.xml"/><Relationship Id="rId21" Type="http://schemas.openxmlformats.org/officeDocument/2006/relationships/chart" Target="charts/chart4.xml"/><Relationship Id="rId42" Type="http://schemas.openxmlformats.org/officeDocument/2006/relationships/chart" Target="charts/chart25.xml"/><Relationship Id="rId47" Type="http://schemas.openxmlformats.org/officeDocument/2006/relationships/chart" Target="charts/chart30.xml"/><Relationship Id="rId63" Type="http://schemas.openxmlformats.org/officeDocument/2006/relationships/chart" Target="charts/chart40.xml"/><Relationship Id="rId68" Type="http://schemas.openxmlformats.org/officeDocument/2006/relationships/chart" Target="charts/chart45.xml"/><Relationship Id="rId84" Type="http://schemas.openxmlformats.org/officeDocument/2006/relationships/chart" Target="charts/chart61.xml"/><Relationship Id="rId89" Type="http://schemas.openxmlformats.org/officeDocument/2006/relationships/chart" Target="charts/chart66.xml"/><Relationship Id="rId112" Type="http://schemas.openxmlformats.org/officeDocument/2006/relationships/chart" Target="charts/chart84.xml"/><Relationship Id="rId16" Type="http://schemas.openxmlformats.org/officeDocument/2006/relationships/image" Target="media/image7.png"/><Relationship Id="rId107" Type="http://schemas.openxmlformats.org/officeDocument/2006/relationships/chart" Target="charts/chart80.xml"/><Relationship Id="rId11" Type="http://schemas.openxmlformats.org/officeDocument/2006/relationships/chart" Target="charts/chart2.xml"/><Relationship Id="rId32" Type="http://schemas.openxmlformats.org/officeDocument/2006/relationships/chart" Target="charts/chart15.xml"/><Relationship Id="rId37" Type="http://schemas.openxmlformats.org/officeDocument/2006/relationships/chart" Target="charts/chart20.xml"/><Relationship Id="rId53" Type="http://schemas.openxmlformats.org/officeDocument/2006/relationships/diagramColors" Target="diagrams/colors1.xml"/><Relationship Id="rId58" Type="http://schemas.openxmlformats.org/officeDocument/2006/relationships/chart" Target="charts/chart35.xml"/><Relationship Id="rId74" Type="http://schemas.openxmlformats.org/officeDocument/2006/relationships/chart" Target="charts/chart51.xml"/><Relationship Id="rId79" Type="http://schemas.openxmlformats.org/officeDocument/2006/relationships/chart" Target="charts/chart56.xml"/><Relationship Id="rId102" Type="http://schemas.openxmlformats.org/officeDocument/2006/relationships/image" Target="media/image17.png"/><Relationship Id="rId123" Type="http://schemas.microsoft.com/office/2014/relationships/chartEx" Target="charts/chartEx1.xml"/><Relationship Id="rId128" Type="http://schemas.openxmlformats.org/officeDocument/2006/relationships/hyperlink" Target="mailto:mara.allena@fm.gov.lv" TargetMode="External"/><Relationship Id="rId5" Type="http://schemas.openxmlformats.org/officeDocument/2006/relationships/webSettings" Target="webSettings.xml"/><Relationship Id="rId90" Type="http://schemas.openxmlformats.org/officeDocument/2006/relationships/chart" Target="charts/chart67.xml"/><Relationship Id="rId95" Type="http://schemas.openxmlformats.org/officeDocument/2006/relationships/image" Target="media/image1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image" Target="media/image11.png"/><Relationship Id="rId56" Type="http://schemas.openxmlformats.org/officeDocument/2006/relationships/chart" Target="charts/chart33.xml"/><Relationship Id="rId64" Type="http://schemas.openxmlformats.org/officeDocument/2006/relationships/chart" Target="charts/chart41.xml"/><Relationship Id="rId69" Type="http://schemas.openxmlformats.org/officeDocument/2006/relationships/chart" Target="charts/chart46.xml"/><Relationship Id="rId77" Type="http://schemas.openxmlformats.org/officeDocument/2006/relationships/chart" Target="charts/chart54.xml"/><Relationship Id="rId100" Type="http://schemas.openxmlformats.org/officeDocument/2006/relationships/chart" Target="charts/chart74.xml"/><Relationship Id="rId105" Type="http://schemas.openxmlformats.org/officeDocument/2006/relationships/chart" Target="charts/chart78.xml"/><Relationship Id="rId113" Type="http://schemas.openxmlformats.org/officeDocument/2006/relationships/chart" Target="charts/chart85.xml"/><Relationship Id="rId118" Type="http://schemas.openxmlformats.org/officeDocument/2006/relationships/image" Target="media/image19.png"/><Relationship Id="rId126" Type="http://schemas.openxmlformats.org/officeDocument/2006/relationships/chart" Target="charts/chart92.xml"/><Relationship Id="rId8" Type="http://schemas.openxmlformats.org/officeDocument/2006/relationships/image" Target="media/image1.jpeg"/><Relationship Id="rId51" Type="http://schemas.openxmlformats.org/officeDocument/2006/relationships/diagramLayout" Target="diagrams/layout1.xml"/><Relationship Id="rId72" Type="http://schemas.openxmlformats.org/officeDocument/2006/relationships/chart" Target="charts/chart49.xml"/><Relationship Id="rId80" Type="http://schemas.openxmlformats.org/officeDocument/2006/relationships/chart" Target="charts/chart57.xml"/><Relationship Id="rId85" Type="http://schemas.openxmlformats.org/officeDocument/2006/relationships/chart" Target="charts/chart62.xml"/><Relationship Id="rId93" Type="http://schemas.openxmlformats.org/officeDocument/2006/relationships/chart" Target="charts/chart70.xml"/><Relationship Id="rId98" Type="http://schemas.openxmlformats.org/officeDocument/2006/relationships/image" Target="media/image16.png"/><Relationship Id="rId12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chart" Target="charts/chart29.xml"/><Relationship Id="rId59" Type="http://schemas.openxmlformats.org/officeDocument/2006/relationships/chart" Target="charts/chart36.xml"/><Relationship Id="rId67" Type="http://schemas.openxmlformats.org/officeDocument/2006/relationships/chart" Target="charts/chart44.xml"/><Relationship Id="rId103" Type="http://schemas.openxmlformats.org/officeDocument/2006/relationships/chart" Target="charts/chart76.xml"/><Relationship Id="rId108" Type="http://schemas.openxmlformats.org/officeDocument/2006/relationships/image" Target="media/image18.png"/><Relationship Id="rId116" Type="http://schemas.openxmlformats.org/officeDocument/2006/relationships/chart" Target="charts/chart88.xml"/><Relationship Id="rId124" Type="http://schemas.openxmlformats.org/officeDocument/2006/relationships/image" Target="media/image23.png"/><Relationship Id="rId129" Type="http://schemas.openxmlformats.org/officeDocument/2006/relationships/footer" Target="footer1.xml"/><Relationship Id="rId20" Type="http://schemas.openxmlformats.org/officeDocument/2006/relationships/chart" Target="charts/chart3.xml"/><Relationship Id="rId41" Type="http://schemas.openxmlformats.org/officeDocument/2006/relationships/chart" Target="charts/chart24.xml"/><Relationship Id="rId54" Type="http://schemas.microsoft.com/office/2007/relationships/diagramDrawing" Target="diagrams/drawing1.xml"/><Relationship Id="rId62" Type="http://schemas.openxmlformats.org/officeDocument/2006/relationships/chart" Target="charts/chart39.xml"/><Relationship Id="rId70" Type="http://schemas.openxmlformats.org/officeDocument/2006/relationships/chart" Target="charts/chart47.xml"/><Relationship Id="rId75" Type="http://schemas.openxmlformats.org/officeDocument/2006/relationships/chart" Target="charts/chart52.xml"/><Relationship Id="rId83" Type="http://schemas.openxmlformats.org/officeDocument/2006/relationships/chart" Target="charts/chart60.xml"/><Relationship Id="rId88" Type="http://schemas.openxmlformats.org/officeDocument/2006/relationships/chart" Target="charts/chart65.xml"/><Relationship Id="rId91" Type="http://schemas.openxmlformats.org/officeDocument/2006/relationships/chart" Target="charts/chart68.xml"/><Relationship Id="rId96" Type="http://schemas.openxmlformats.org/officeDocument/2006/relationships/chart" Target="charts/chart72.xml"/><Relationship Id="rId111" Type="http://schemas.openxmlformats.org/officeDocument/2006/relationships/chart" Target="charts/chart8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chart" Target="charts/chart31.xml"/><Relationship Id="rId57" Type="http://schemas.openxmlformats.org/officeDocument/2006/relationships/chart" Target="charts/chart34.xml"/><Relationship Id="rId106" Type="http://schemas.openxmlformats.org/officeDocument/2006/relationships/chart" Target="charts/chart79.xml"/><Relationship Id="rId114" Type="http://schemas.openxmlformats.org/officeDocument/2006/relationships/chart" Target="charts/chart86.xml"/><Relationship Id="rId119" Type="http://schemas.openxmlformats.org/officeDocument/2006/relationships/image" Target="media/image20.png"/><Relationship Id="rId127" Type="http://schemas.openxmlformats.org/officeDocument/2006/relationships/chart" Target="charts/chart93.xml"/><Relationship Id="rId10" Type="http://schemas.openxmlformats.org/officeDocument/2006/relationships/chart" Target="charts/chart1.xml"/><Relationship Id="rId31" Type="http://schemas.openxmlformats.org/officeDocument/2006/relationships/chart" Target="charts/chart14.xml"/><Relationship Id="rId44" Type="http://schemas.openxmlformats.org/officeDocument/2006/relationships/chart" Target="charts/chart27.xml"/><Relationship Id="rId52" Type="http://schemas.openxmlformats.org/officeDocument/2006/relationships/diagramQuickStyle" Target="diagrams/quickStyle1.xml"/><Relationship Id="rId60" Type="http://schemas.openxmlformats.org/officeDocument/2006/relationships/chart" Target="charts/chart37.xml"/><Relationship Id="rId65" Type="http://schemas.openxmlformats.org/officeDocument/2006/relationships/chart" Target="charts/chart42.xml"/><Relationship Id="rId73" Type="http://schemas.openxmlformats.org/officeDocument/2006/relationships/chart" Target="charts/chart50.xml"/><Relationship Id="rId78" Type="http://schemas.openxmlformats.org/officeDocument/2006/relationships/chart" Target="charts/chart55.xml"/><Relationship Id="rId81" Type="http://schemas.openxmlformats.org/officeDocument/2006/relationships/chart" Target="charts/chart58.xml"/><Relationship Id="rId86" Type="http://schemas.openxmlformats.org/officeDocument/2006/relationships/chart" Target="charts/chart63.xml"/><Relationship Id="rId94" Type="http://schemas.openxmlformats.org/officeDocument/2006/relationships/chart" Target="charts/chart71.xml"/><Relationship Id="rId99" Type="http://schemas.openxmlformats.org/officeDocument/2006/relationships/chart" Target="charts/chart73.xml"/><Relationship Id="rId101" Type="http://schemas.openxmlformats.org/officeDocument/2006/relationships/chart" Target="charts/chart75.xml"/><Relationship Id="rId122" Type="http://schemas.openxmlformats.org/officeDocument/2006/relationships/chart" Target="charts/chart90.xm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chart" Target="charts/chart22.xml"/><Relationship Id="rId109" Type="http://schemas.openxmlformats.org/officeDocument/2006/relationships/chart" Target="charts/chart81.xml"/><Relationship Id="rId34" Type="http://schemas.openxmlformats.org/officeDocument/2006/relationships/chart" Target="charts/chart17.xml"/><Relationship Id="rId50" Type="http://schemas.openxmlformats.org/officeDocument/2006/relationships/diagramData" Target="diagrams/data1.xml"/><Relationship Id="rId55" Type="http://schemas.openxmlformats.org/officeDocument/2006/relationships/chart" Target="charts/chart32.xml"/><Relationship Id="rId76" Type="http://schemas.openxmlformats.org/officeDocument/2006/relationships/chart" Target="charts/chart53.xml"/><Relationship Id="rId97" Type="http://schemas.openxmlformats.org/officeDocument/2006/relationships/image" Target="media/image15.png"/><Relationship Id="rId104" Type="http://schemas.openxmlformats.org/officeDocument/2006/relationships/chart" Target="charts/chart77.xml"/><Relationship Id="rId120" Type="http://schemas.openxmlformats.org/officeDocument/2006/relationships/image" Target="media/image21.png"/><Relationship Id="rId125" Type="http://schemas.openxmlformats.org/officeDocument/2006/relationships/chart" Target="charts/chart91.xml"/><Relationship Id="rId7" Type="http://schemas.openxmlformats.org/officeDocument/2006/relationships/endnotes" Target="endnotes.xml"/><Relationship Id="rId71" Type="http://schemas.openxmlformats.org/officeDocument/2006/relationships/chart" Target="charts/chart48.xml"/><Relationship Id="rId92" Type="http://schemas.openxmlformats.org/officeDocument/2006/relationships/chart" Target="charts/chart69.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7.xml"/><Relationship Id="rId40" Type="http://schemas.openxmlformats.org/officeDocument/2006/relationships/chart" Target="charts/chart23.xml"/><Relationship Id="rId45" Type="http://schemas.openxmlformats.org/officeDocument/2006/relationships/chart" Target="charts/chart28.xml"/><Relationship Id="rId66" Type="http://schemas.openxmlformats.org/officeDocument/2006/relationships/chart" Target="charts/chart43.xml"/><Relationship Id="rId87" Type="http://schemas.openxmlformats.org/officeDocument/2006/relationships/chart" Target="charts/chart64.xml"/><Relationship Id="rId110" Type="http://schemas.openxmlformats.org/officeDocument/2006/relationships/chart" Target="charts/chart82.xml"/><Relationship Id="rId115" Type="http://schemas.openxmlformats.org/officeDocument/2006/relationships/chart" Target="charts/chart87.xml"/><Relationship Id="rId131" Type="http://schemas.openxmlformats.org/officeDocument/2006/relationships/theme" Target="theme/theme1.xml"/><Relationship Id="rId61" Type="http://schemas.openxmlformats.org/officeDocument/2006/relationships/chart" Target="charts/chart38.xml"/><Relationship Id="rId82" Type="http://schemas.openxmlformats.org/officeDocument/2006/relationships/chart" Target="charts/chart59.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padotibas-iestades-un-kapitalsabiedribas" TargetMode="External"/><Relationship Id="rId13" Type="http://schemas.openxmlformats.org/officeDocument/2006/relationships/hyperlink" Target="http://tap.mk.gov.lv/lv/mk/tap/?pid=40493796" TargetMode="External"/><Relationship Id="rId3" Type="http://schemas.openxmlformats.org/officeDocument/2006/relationships/hyperlink" Target="https://www.izm.gov.lv/lv/statistika-par-augstako-izglitibu" TargetMode="External"/><Relationship Id="rId7" Type="http://schemas.openxmlformats.org/officeDocument/2006/relationships/hyperlink" Target="https://www.fm.gov.lv/lv/budzets2021" TargetMode="External"/><Relationship Id="rId12" Type="http://schemas.openxmlformats.org/officeDocument/2006/relationships/hyperlink" Target="https://www.visc.gov.lv/lv/publikacijas-un-parskati" TargetMode="External"/><Relationship Id="rId2" Type="http://schemas.openxmlformats.org/officeDocument/2006/relationships/hyperlink" Target="https://datubaze.nkc.gov.lv/wp-content/uploads/2019/12/NKC_Liidzfinanseejuma-ekonomiskaa-ietekme.pdf" TargetMode="External"/><Relationship Id="rId1" Type="http://schemas.openxmlformats.org/officeDocument/2006/relationships/hyperlink" Target="https://www.hcch.net/en/instruments/conventions/specialised-sections/child-support/isupport1" TargetMode="External"/><Relationship Id="rId6" Type="http://schemas.openxmlformats.org/officeDocument/2006/relationships/hyperlink" Target="https://www.zva.gov.lv/zvais/mtdb/7-onkologijas-un-hematologijas-mediciniskie-pakalpojumi/272-pielikumi-izverstie-mediciniskas-tehnologijas-metodes-apraksti-un-citi-materiali/autologo-periferisko-asins-cilmes-sunu-transplantacijas-tehnologijas" TargetMode="External"/><Relationship Id="rId11" Type="http://schemas.openxmlformats.org/officeDocument/2006/relationships/hyperlink" Target="https://www.lnkc.gov.lv/lv/gada-parskati" TargetMode="External"/><Relationship Id="rId5" Type="http://schemas.openxmlformats.org/officeDocument/2006/relationships/hyperlink" Target="https://www.vmnvd.gov.lv/lv/s2-veidlapa" TargetMode="External"/><Relationship Id="rId10" Type="http://schemas.openxmlformats.org/officeDocument/2006/relationships/hyperlink" Target="http://www.kkf.lv/index/par-vkkf/dokumenti.html" TargetMode="External"/><Relationship Id="rId4" Type="http://schemas.openxmlformats.org/officeDocument/2006/relationships/hyperlink" Target="https://www.vm.gov.lv/lv/rezidenturas-vietu-sadalijums" TargetMode="External"/><Relationship Id="rId9" Type="http://schemas.openxmlformats.org/officeDocument/2006/relationships/hyperlink" Target="http://www.kkf.lv/index/par-vkkf/strukt%C5%ABra.html" TargetMode="External"/><Relationship Id="rId14" Type="http://schemas.openxmlformats.org/officeDocument/2006/relationships/hyperlink" Target="https://www.arhivi.gov.lv/lv/publiskie-parskat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9.xml"/><Relationship Id="rId4" Type="http://schemas.openxmlformats.org/officeDocument/2006/relationships/oleObject" Target="file:///\\fk\bpad\Bud&#382;eta_att&#299;st&#299;bas_noda&#316;a\IZDEVUMU_PARSKATISANA\2021\3._T&#275;mas\2.4._POLRR_finansejums\Prezentacijas_grafiki_zinojumam\EM_grafiks_petijumi.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0.xml"/><Relationship Id="rId4" Type="http://schemas.openxmlformats.org/officeDocument/2006/relationships/package" Target="../embeddings/Microsoft_Excel_Worksheet4.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11.xml"/><Relationship Id="rId4" Type="http://schemas.openxmlformats.org/officeDocument/2006/relationships/package" Target="../embeddings/Microsoft_Excel_Worksheet5.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12.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13.xml"/><Relationship Id="rId4"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4.xml"/><Relationship Id="rId4"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15.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6.xml"/><Relationship Id="rId4" Type="http://schemas.openxmlformats.org/officeDocument/2006/relationships/package" Target="../embeddings/Microsoft_Excel_Worksheet8.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17.xml"/><Relationship Id="rId4" Type="http://schemas.openxmlformats.org/officeDocument/2006/relationships/package" Target="../embeddings/Microsoft_Excel_Worksheet9.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18.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0\2_T&#275;mas\1._Ieprieksejas_izd_parsk_rez\2_MK%20s&#275;&#382;u%20protokola%20punkti\Dati.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19.xml"/><Relationship Id="rId4" Type="http://schemas.openxmlformats.org/officeDocument/2006/relationships/package" Target="../embeddings/Microsoft_Excel_Worksheet10.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20.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21.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3.xml"/><Relationship Id="rId1" Type="http://schemas.microsoft.com/office/2011/relationships/chartStyle" Target="style23.xml"/><Relationship Id="rId5" Type="http://schemas.openxmlformats.org/officeDocument/2006/relationships/chartUserShapes" Target="../drawings/drawing22.xml"/><Relationship Id="rId4" Type="http://schemas.openxmlformats.org/officeDocument/2006/relationships/package" Target="../embeddings/Microsoft_Excel_Worksheet11.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23.xml"/><Relationship Id="rId4" Type="http://schemas.openxmlformats.org/officeDocument/2006/relationships/package" Target="../embeddings/Microsoft_Excel_Worksheet12.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5.xml"/><Relationship Id="rId1" Type="http://schemas.microsoft.com/office/2011/relationships/chartStyle" Target="style25.xml"/><Relationship Id="rId5" Type="http://schemas.openxmlformats.org/officeDocument/2006/relationships/chartUserShapes" Target="../drawings/drawing24.xml"/><Relationship Id="rId4" Type="http://schemas.openxmlformats.org/officeDocument/2006/relationships/package" Target="../embeddings/Microsoft_Excel_Worksheet13.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6.xml"/><Relationship Id="rId1" Type="http://schemas.microsoft.com/office/2011/relationships/chartStyle" Target="style26.xml"/><Relationship Id="rId5" Type="http://schemas.openxmlformats.org/officeDocument/2006/relationships/chartUserShapes" Target="../drawings/drawing25.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7.xml"/><Relationship Id="rId1" Type="http://schemas.microsoft.com/office/2011/relationships/chartStyle" Target="style27.xml"/><Relationship Id="rId5" Type="http://schemas.openxmlformats.org/officeDocument/2006/relationships/chartUserShapes" Target="../drawings/drawing26.xml"/><Relationship Id="rId4" Type="http://schemas.openxmlformats.org/officeDocument/2006/relationships/package" Target="../embeddings/Microsoft_Excel_Worksheet14.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8.xml"/><Relationship Id="rId1" Type="http://schemas.microsoft.com/office/2011/relationships/chartStyle" Target="style28.xml"/><Relationship Id="rId5" Type="http://schemas.openxmlformats.org/officeDocument/2006/relationships/chartUserShapes" Target="../drawings/drawing27.xml"/><Relationship Id="rId4" Type="http://schemas.openxmlformats.org/officeDocument/2006/relationships/package" Target="../embeddings/Microsoft_Excel_Worksheet15.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9.xml"/><Relationship Id="rId1" Type="http://schemas.microsoft.com/office/2011/relationships/chartStyle" Target="style29.xml"/><Relationship Id="rId5" Type="http://schemas.openxmlformats.org/officeDocument/2006/relationships/chartUserShapes" Target="../drawings/drawing28.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0.xml"/><Relationship Id="rId1" Type="http://schemas.microsoft.com/office/2011/relationships/chartStyle" Target="style30.xml"/><Relationship Id="rId5" Type="http://schemas.openxmlformats.org/officeDocument/2006/relationships/chartUserShapes" Target="../drawings/drawing29.xml"/><Relationship Id="rId4" Type="http://schemas.openxmlformats.org/officeDocument/2006/relationships/package" Target="../embeddings/Microsoft_Excel_Worksheet16.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Book1"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fk\bpad\Bud&#382;eta_att&#299;st&#299;bas_noda&#316;a\IZDEVUMU_PARSKATISANA\2021\3._T&#275;mas\2.4._POLRR_finansejums\POLRR_analizes_fails_gal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17.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18.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19.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0.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21.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22.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9.xml"/><Relationship Id="rId1" Type="http://schemas.microsoft.com/office/2011/relationships/chartStyle" Target="style39.xml"/><Relationship Id="rId5" Type="http://schemas.openxmlformats.org/officeDocument/2006/relationships/chartUserShapes" Target="../drawings/drawing30.xml"/><Relationship Id="rId4" Type="http://schemas.openxmlformats.org/officeDocument/2006/relationships/package" Target="../embeddings/Microsoft_Excel_Worksheet2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0.xml"/><Relationship Id="rId1" Type="http://schemas.microsoft.com/office/2011/relationships/chartStyle" Target="style40.xml"/><Relationship Id="rId5" Type="http://schemas.openxmlformats.org/officeDocument/2006/relationships/chartUserShapes" Target="../drawings/drawing31.xml"/><Relationship Id="rId4" Type="http://schemas.openxmlformats.org/officeDocument/2006/relationships/package" Target="../embeddings/Microsoft_Excel_Worksheet24.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25.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26.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27.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28.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29.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30.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7.xml"/><Relationship Id="rId1" Type="http://schemas.microsoft.com/office/2011/relationships/chartStyle" Target="style47.xml"/><Relationship Id="rId5" Type="http://schemas.openxmlformats.org/officeDocument/2006/relationships/chartUserShapes" Target="../drawings/drawing32.xml"/><Relationship Id="rId4" Type="http://schemas.openxmlformats.org/officeDocument/2006/relationships/package" Target="../embeddings/Microsoft_Excel_Worksheet31.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8.xml"/><Relationship Id="rId1" Type="http://schemas.microsoft.com/office/2011/relationships/chartStyle" Target="style48.xml"/><Relationship Id="rId5" Type="http://schemas.openxmlformats.org/officeDocument/2006/relationships/chartUserShapes" Target="../drawings/drawing33.xml"/><Relationship Id="rId4" Type="http://schemas.openxmlformats.org/officeDocument/2006/relationships/package" Target="../embeddings/Microsoft_Excel_Worksheet32.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3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4.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34.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package" Target="../embeddings/Microsoft_Excel_Worksheet35.xlsx"/></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package" Target="../embeddings/Microsoft_Excel_Worksheet36.xlsx"/></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package" Target="../embeddings/Microsoft_Excel_Worksheet37.xlsx"/></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package" Target="../embeddings/Microsoft_Excel_Worksheet38.xlsx"/></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package" Target="../embeddings/Microsoft_Excel_Worksheet39.xlsx"/></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package" Target="../embeddings/Microsoft_Excel_Worksheet40.xlsx"/></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package" Target="../embeddings/Microsoft_Excel_Worksheet41.xlsx"/></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package" Target="../embeddings/Microsoft_Excel_Worksheet42.xlsx"/></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package" Target="../embeddings/Microsoft_Excel_Worksheet4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5.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package" Target="../embeddings/Microsoft_Excel_Worksheet44.xlsx"/></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package" Target="../embeddings/Microsoft_Excel_Worksheet45.xlsx"/></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package" Target="../embeddings/Microsoft_Excel_Worksheet46.xlsx"/></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3.xml"/><Relationship Id="rId1" Type="http://schemas.microsoft.com/office/2011/relationships/chartStyle" Target="style63.xml"/><Relationship Id="rId5" Type="http://schemas.openxmlformats.org/officeDocument/2006/relationships/chartUserShapes" Target="../drawings/drawing34.xml"/><Relationship Id="rId4" Type="http://schemas.openxmlformats.org/officeDocument/2006/relationships/package" Target="../embeddings/Microsoft_Excel_Worksheet47.xlsx"/></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package" Target="../embeddings/Microsoft_Excel_Worksheet48.xlsx"/></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package" Target="../embeddings/Microsoft_Excel_Worksheet49.xlsx"/></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package" Target="../embeddings/Microsoft_Excel_Worksheet50.xlsx"/></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7.xml"/><Relationship Id="rId1" Type="http://schemas.microsoft.com/office/2011/relationships/chartStyle" Target="style67.xml"/><Relationship Id="rId5" Type="http://schemas.openxmlformats.org/officeDocument/2006/relationships/chartUserShapes" Target="../drawings/drawing35.xml"/><Relationship Id="rId4" Type="http://schemas.openxmlformats.org/officeDocument/2006/relationships/package" Target="../embeddings/Microsoft_Excel_Worksheet51.xlsx"/></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package" Target="../embeddings/Microsoft_Excel_Worksheet52.xlsx"/></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package" Target="../embeddings/Microsoft_Excel_Worksheet5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6.xml"/><Relationship Id="rId4" Type="http://schemas.openxmlformats.org/officeDocument/2006/relationships/package" Target="../embeddings/Microsoft_Excel_Worksheet3.xlsx"/></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package" Target="../embeddings/Microsoft_Excel_Worksheet54.xlsx"/></Relationships>
</file>

<file path=word/charts/_rels/chart71.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2.5._Maksas_pak_cenrazi\MPK%20cenr&#257;&#382;u%20indeks&#257;cija%2004_02_2021_inflacija.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VM_Daina_Brante\Documents\vecais%20dators\NCAN\Rezidenti\2021\Vietu%20planosana_2021\dati_VM_Rezident_vietu_skaits_VI_220321.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ciems.visiem\faili\users\zane.kivleniece\Gatavota%20inf\Da&#382;&#257;di%20-\Pacienta%20l&#299;dzmaks&#257;jums%202011-%202020%20LV-EN.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2" Type="http://schemas.openxmlformats.org/officeDocument/2006/relationships/chartUserShapes" Target="../drawings/drawing36.xml"/><Relationship Id="rId1" Type="http://schemas.openxmlformats.org/officeDocument/2006/relationships/oleObject" Target="file:///\\fk\bpad\Bud&#382;eta_att&#299;st&#299;bas_noda&#316;a\PREZENT&#256;CIJAS\Ministriju_portfolio_4\KM\Dati_2020\Eurostat.xls" TargetMode="External"/></Relationships>
</file>

<file path=word/charts/_rels/chart76.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2._Kult&#363;ras_nozares_izv&#275;rt&#275;jums\Starptautiskie.xlsx" TargetMode="External"/><Relationship Id="rId2" Type="http://schemas.microsoft.com/office/2011/relationships/chartColorStyle" Target="colors75.xml"/><Relationship Id="rId1" Type="http://schemas.microsoft.com/office/2011/relationships/chartStyle" Target="style75.xml"/></Relationships>
</file>

<file path=word/charts/_rels/chart77.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2._Kult&#363;ras_nozares_izv&#275;rt&#275;jums\VKKF_Finanses.xlsx" TargetMode="External"/><Relationship Id="rId2" Type="http://schemas.microsoft.com/office/2011/relationships/chartColorStyle" Target="colors76.xml"/><Relationship Id="rId1" Type="http://schemas.microsoft.com/office/2011/relationships/chartStyle" Target="style76.xml"/></Relationships>
</file>

<file path=word/charts/_rels/chart78.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2._Kult&#363;ras_nozares_izv&#275;rt&#275;jums\Starptautiskie.xlsx" TargetMode="External"/><Relationship Id="rId2" Type="http://schemas.microsoft.com/office/2011/relationships/chartColorStyle" Target="colors77.xml"/><Relationship Id="rId1" Type="http://schemas.microsoft.com/office/2011/relationships/chartStyle" Target="style77.xml"/></Relationships>
</file>

<file path=word/charts/_rels/chart79.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2._Kult&#363;ras_nozares_izv&#275;rt&#275;jums\Arhivs_Dati.xlsx" TargetMode="External"/><Relationship Id="rId2" Type="http://schemas.microsoft.com/office/2011/relationships/chartColorStyle" Target="colors78.xml"/><Relationship Id="rId1" Type="http://schemas.microsoft.com/office/2011/relationships/chartStyle" Target="style78.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7.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80.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2._Kult&#363;ras_nozares_izv&#275;rt&#275;jums\Arhivs_Dati.xlsx" TargetMode="External"/><Relationship Id="rId2" Type="http://schemas.microsoft.com/office/2011/relationships/chartColorStyle" Target="colors79.xml"/><Relationship Id="rId1" Type="http://schemas.microsoft.com/office/2011/relationships/chartStyle" Target="style79.xml"/></Relationships>
</file>

<file path=word/charts/_rels/chart81.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chartUserShapes" Target="../drawings/drawing37.xml"/></Relationships>
</file>

<file path=word/charts/_rels/chart82.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81.xml"/><Relationship Id="rId1" Type="http://schemas.microsoft.com/office/2011/relationships/chartStyle" Target="style81.xml"/></Relationships>
</file>

<file path=word/charts/_rels/chart83.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3._Diaspora\Grafiki_zi&#326;ojumam_prezent&#257;cij&#257;m.xlsx" TargetMode="Externa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chartUserShapes" Target="../drawings/drawing38.xml"/></Relationships>
</file>

<file path=word/charts/_rels/chart84.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3._Diaspora\Grafiki_zi&#326;ojumam_prezent&#257;cij&#257;m.xlsx" TargetMode="Externa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chartUserShapes" Target="../drawings/drawing39.xml"/></Relationships>
</file>

<file path=word/charts/_rels/chart85.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3._Diaspora\Grafiki_zi&#326;ojumam_prezent&#257;cij&#257;m.xlsx" TargetMode="Externa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chartUserShapes" Target="../drawings/drawing40.xml"/></Relationships>
</file>

<file path=word/charts/_rels/chart86.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3._Diaspora\Grafiki_zi&#326;ojumam_prezent&#257;cij&#257;m.xlsx" TargetMode="Externa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chartUserShapes" Target="../drawings/drawing41.xml"/></Relationships>
</file>

<file path=word/charts/_rels/chart87.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3._Diaspora\Grafiki_zi&#326;ojumam_prezent&#257;cij&#257;m.xlsx" TargetMode="Externa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chartUserShapes" Target="../drawings/drawing42.xml"/></Relationships>
</file>

<file path=word/charts/_rels/chart88.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3._Diaspora\Grafiki_zi&#326;ojumam_prezent&#257;cij&#257;m.xlsx" TargetMode="Externa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chartUserShapes" Target="../drawings/drawing43.xml"/></Relationships>
</file>

<file path=word/charts/_rels/chart89.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1\3._T&#275;mas\3.3._Diaspora\Grafiki_zi&#326;ojumam_prezent&#257;cij&#257;m.xlsx" TargetMode="Externa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chartUserShapes" Target="../drawings/drawing44.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8.xml"/><Relationship Id="rId4" Type="http://schemas.openxmlformats.org/officeDocument/2006/relationships/oleObject" Target="file:///\\fk\bpad\Bud&#382;eta_att&#299;st&#299;bas_noda&#316;a\IZDEVUMU_PARSKATISANA\2021\3._T&#275;mas\2.4._POLRR_finansejums\Neizpildes_2018_2019_2020.xlsx" TargetMode="Externa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89.xml"/><Relationship Id="rId1" Type="http://schemas.microsoft.com/office/2011/relationships/chartStyle" Target="style89.xml"/><Relationship Id="rId5" Type="http://schemas.openxmlformats.org/officeDocument/2006/relationships/chartUserShapes" Target="../drawings/drawing45.xml"/><Relationship Id="rId4" Type="http://schemas.openxmlformats.org/officeDocument/2006/relationships/oleObject" Target="https://vkanceleja.sharepoint.com/sites/Atldzbaseksperti/Koplietojamie%20dokumenti/Solvita/ATALGOJUMS%20PERIODAM%202020.01.-2020.12%20UZ%202021.06.01%20atbalsta%20funkcijas.XLSB"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91.xml"/><Relationship Id="rId1" Type="http://schemas.microsoft.com/office/2011/relationships/chartStyle" Target="style91.xml"/><Relationship Id="rId5" Type="http://schemas.openxmlformats.org/officeDocument/2006/relationships/chartUserShapes" Target="../drawings/drawing46.xml"/><Relationship Id="rId4" Type="http://schemas.openxmlformats.org/officeDocument/2006/relationships/oleObject" Target="https://vkanceleja.sharepoint.com/sites/Atldzbaseksperti/Koplietojamie%20dokumenti/Solvita/ATALGOJUMS%20PERIODAM%202020.01.-2020.12%20UZ%202021.06.01%20atbalsta%20funkcijas.XLSB"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92.xml"/><Relationship Id="rId1" Type="http://schemas.microsoft.com/office/2011/relationships/chartStyle" Target="style92.xml"/><Relationship Id="rId5" Type="http://schemas.openxmlformats.org/officeDocument/2006/relationships/chartUserShapes" Target="../drawings/drawing47.xml"/><Relationship Id="rId4" Type="http://schemas.openxmlformats.org/officeDocument/2006/relationships/oleObject" Target="https://vkanceleja.sharepoint.com/sites/Atldzbaseksperti/Koplietojamie%20dokumenti/Solvita/ATALGOJUMS%20PERIODAM%202020.01.-2020.12%20UZ%202021.06.01%20atbalsta%20funkcijas.XLSB"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93.xml"/><Relationship Id="rId1" Type="http://schemas.microsoft.com/office/2011/relationships/chartStyle" Target="style93.xml"/><Relationship Id="rId5" Type="http://schemas.openxmlformats.org/officeDocument/2006/relationships/chartUserShapes" Target="../drawings/drawing48.xml"/><Relationship Id="rId4" Type="http://schemas.openxmlformats.org/officeDocument/2006/relationships/oleObject" Target="https://vkanceleja.sharepoint.com/sites/Atldzbaseksperti/Koplietojamie%20dokumenti/Solvita/ATALGOJUMS%20PERIODAM%202020.01.-2020.12%20UZ%202021.06.01%20atbalsta%20funkcijas.XLSB"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90.xml"/><Relationship Id="rId2" Type="http://schemas.microsoft.com/office/2011/relationships/chartStyle" Target="style90.xml"/><Relationship Id="rId1" Type="http://schemas.openxmlformats.org/officeDocument/2006/relationships/oleObject" Target="https://vkanceleja.sharepoint.com/sites/Atldzbaseksperti/Koplietojamie%20dokumenti/Solvita/ATALGOJUMS%20PERIODAM%202020.01.-2020.12%20UZ%202021.06.01%20atbalsta%20funkcijas.XLSB" TargetMode="External"/><Relationship Id="rId4" Type="http://schemas.openxmlformats.org/officeDocument/2006/relationships/themeOverride" Target="../theme/themeOverride7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Sheet1!$A$4</c:f>
              <c:strCache>
                <c:ptCount val="1"/>
                <c:pt idx="0">
                  <c:v>Iekšējie resursi prioritātēm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Sheet1!$B$2:$E$3</c:f>
              <c:multiLvlStrCache>
                <c:ptCount val="4"/>
                <c:lvl>
                  <c:pt idx="0">
                    <c:v>Konstatēts</c:v>
                  </c:pt>
                  <c:pt idx="1">
                    <c:v>Ieviests</c:v>
                  </c:pt>
                  <c:pt idx="2">
                    <c:v>Konstatēts</c:v>
                  </c:pt>
                  <c:pt idx="3">
                    <c:v>Ieviests</c:v>
                  </c:pt>
                </c:lvl>
                <c:lvl>
                  <c:pt idx="0">
                    <c:v>2021</c:v>
                  </c:pt>
                  <c:pt idx="2">
                    <c:v>2022</c:v>
                  </c:pt>
                </c:lvl>
              </c:multiLvlStrCache>
            </c:multiLvlStrRef>
          </c:cat>
          <c:val>
            <c:numRef>
              <c:f>Sheet1!$B$4:$E$4</c:f>
              <c:numCache>
                <c:formatCode>#,##0.0</c:formatCode>
                <c:ptCount val="4"/>
                <c:pt idx="0">
                  <c:v>40.529586000000002</c:v>
                </c:pt>
                <c:pt idx="1">
                  <c:v>33.331854</c:v>
                </c:pt>
                <c:pt idx="2">
                  <c:v>26.979196999999999</c:v>
                </c:pt>
                <c:pt idx="3">
                  <c:v>25.421513999999998</c:v>
                </c:pt>
              </c:numCache>
            </c:numRef>
          </c:val>
          <c:extLst>
            <c:ext xmlns:c16="http://schemas.microsoft.com/office/drawing/2014/chart" uri="{C3380CC4-5D6E-409C-BE32-E72D297353CC}">
              <c16:uniqueId val="{00000000-6C8F-459C-83DC-619E0EEC0657}"/>
            </c:ext>
          </c:extLst>
        </c:ser>
        <c:ser>
          <c:idx val="1"/>
          <c:order val="1"/>
          <c:tx>
            <c:strRef>
              <c:f>Sheet1!$A$5</c:f>
              <c:strCache>
                <c:ptCount val="1"/>
                <c:pt idx="0">
                  <c:v>Kopējām valsts prioritātēm</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Sheet1!$B$2:$E$3</c:f>
              <c:multiLvlStrCache>
                <c:ptCount val="4"/>
                <c:lvl>
                  <c:pt idx="0">
                    <c:v>Konstatēts</c:v>
                  </c:pt>
                  <c:pt idx="1">
                    <c:v>Ieviests</c:v>
                  </c:pt>
                  <c:pt idx="2">
                    <c:v>Konstatēts</c:v>
                  </c:pt>
                  <c:pt idx="3">
                    <c:v>Ieviests</c:v>
                  </c:pt>
                </c:lvl>
                <c:lvl>
                  <c:pt idx="0">
                    <c:v>2021</c:v>
                  </c:pt>
                  <c:pt idx="2">
                    <c:v>2022</c:v>
                  </c:pt>
                </c:lvl>
              </c:multiLvlStrCache>
            </c:multiLvlStrRef>
          </c:cat>
          <c:val>
            <c:numRef>
              <c:f>Sheet1!$B$5:$E$5</c:f>
              <c:numCache>
                <c:formatCode>#,##0.0</c:formatCode>
                <c:ptCount val="4"/>
                <c:pt idx="0">
                  <c:v>13.118141</c:v>
                </c:pt>
                <c:pt idx="1">
                  <c:v>13.118141</c:v>
                </c:pt>
                <c:pt idx="2">
                  <c:v>11.420344</c:v>
                </c:pt>
                <c:pt idx="3">
                  <c:v>11.420344</c:v>
                </c:pt>
              </c:numCache>
            </c:numRef>
          </c:val>
          <c:extLst>
            <c:ext xmlns:c16="http://schemas.microsoft.com/office/drawing/2014/chart" uri="{C3380CC4-5D6E-409C-BE32-E72D297353CC}">
              <c16:uniqueId val="{00000001-6C8F-459C-83DC-619E0EEC0657}"/>
            </c:ext>
          </c:extLst>
        </c:ser>
        <c:dLbls>
          <c:dLblPos val="ctr"/>
          <c:showLegendKey val="0"/>
          <c:showVal val="1"/>
          <c:showCatName val="0"/>
          <c:showSerName val="0"/>
          <c:showPercent val="0"/>
          <c:showBubbleSize val="0"/>
        </c:dLbls>
        <c:gapWidth val="50"/>
        <c:overlap val="100"/>
        <c:axId val="2132884432"/>
        <c:axId val="2132883600"/>
      </c:barChart>
      <c:catAx>
        <c:axId val="213288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2883600"/>
        <c:crosses val="autoZero"/>
        <c:auto val="1"/>
        <c:lblAlgn val="ctr"/>
        <c:lblOffset val="100"/>
        <c:noMultiLvlLbl val="0"/>
      </c:catAx>
      <c:valAx>
        <c:axId val="213288360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28844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649278613076021E-2"/>
          <c:y val="7.407407407407407E-2"/>
          <c:w val="0.9150976070665624"/>
          <c:h val="0.68928193317336084"/>
        </c:manualLayout>
      </c:layout>
      <c:barChart>
        <c:barDir val="col"/>
        <c:grouping val="stacked"/>
        <c:varyColors val="0"/>
        <c:ser>
          <c:idx val="0"/>
          <c:order val="0"/>
          <c:spPr>
            <a:solidFill>
              <a:schemeClr val="accent1"/>
            </a:solidFill>
            <a:ln>
              <a:noFill/>
            </a:ln>
            <a:effectLst/>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1-792B-4E65-BEB0-765DD4867D99}"/>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792B-4E65-BEB0-765DD4867D99}"/>
              </c:ext>
            </c:extLst>
          </c:dPt>
          <c:dPt>
            <c:idx val="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5-792B-4E65-BEB0-765DD4867D99}"/>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792B-4E65-BEB0-765DD4867D99}"/>
              </c:ext>
            </c:extLst>
          </c:dPt>
          <c:dPt>
            <c:idx val="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9-792B-4E65-BEB0-765DD4867D99}"/>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B-792B-4E65-BEB0-765DD4867D99}"/>
              </c:ext>
            </c:extLst>
          </c:dPt>
          <c:dPt>
            <c:idx val="6"/>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D-792B-4E65-BEB0-765DD4867D99}"/>
              </c:ext>
            </c:extLst>
          </c:dPt>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[EM_grafiks_petijumi.xlsx]Sheet1!$C$1:$K$2</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[EM_grafiks_petijumi.xlsx]Sheet1!$C$3:$K$3</c:f>
              <c:numCache>
                <c:formatCode>General</c:formatCode>
                <c:ptCount val="9"/>
                <c:pt idx="0">
                  <c:v>2</c:v>
                </c:pt>
                <c:pt idx="1">
                  <c:v>1.9</c:v>
                </c:pt>
                <c:pt idx="2">
                  <c:v>2</c:v>
                </c:pt>
                <c:pt idx="3">
                  <c:v>1.5</c:v>
                </c:pt>
                <c:pt idx="4">
                  <c:v>2</c:v>
                </c:pt>
                <c:pt idx="5">
                  <c:v>1.5</c:v>
                </c:pt>
                <c:pt idx="6">
                  <c:v>0.5</c:v>
                </c:pt>
              </c:numCache>
            </c:numRef>
          </c:val>
          <c:extLst>
            <c:ext xmlns:c16="http://schemas.microsoft.com/office/drawing/2014/chart" uri="{C3380CC4-5D6E-409C-BE32-E72D297353CC}">
              <c16:uniqueId val="{0000000E-792B-4E65-BEB0-765DD4867D99}"/>
            </c:ext>
          </c:extLst>
        </c:ser>
        <c:ser>
          <c:idx val="1"/>
          <c:order val="1"/>
          <c:spPr>
            <a:pattFill prst="dkUpDiag">
              <a:fgClr>
                <a:schemeClr val="accent6"/>
              </a:fgClr>
              <a:bgClr>
                <a:schemeClr val="bg1"/>
              </a:bgClr>
            </a:pattFill>
            <a:ln w="6350" cap="flat" cmpd="sng" algn="ctr">
              <a:solidFill>
                <a:schemeClr val="accent6"/>
              </a:solidFill>
              <a:prstDash val="solid"/>
              <a:miter lim="800000"/>
            </a:ln>
            <a:effectLst/>
          </c:spPr>
          <c:invertIfNegative val="0"/>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[EM_grafiks_petijumi.xlsx]Sheet1!$C$1:$K$2</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[EM_grafiks_petijumi.xlsx]Sheet1!$C$4:$K$4</c:f>
              <c:numCache>
                <c:formatCode>General</c:formatCode>
                <c:ptCount val="9"/>
                <c:pt idx="6">
                  <c:v>1.5</c:v>
                </c:pt>
                <c:pt idx="7">
                  <c:v>2</c:v>
                </c:pt>
                <c:pt idx="8">
                  <c:v>2</c:v>
                </c:pt>
              </c:numCache>
            </c:numRef>
          </c:val>
          <c:extLst>
            <c:ext xmlns:c16="http://schemas.microsoft.com/office/drawing/2014/chart" uri="{C3380CC4-5D6E-409C-BE32-E72D297353CC}">
              <c16:uniqueId val="{0000000F-792B-4E65-BEB0-765DD4867D99}"/>
            </c:ext>
          </c:extLst>
        </c:ser>
        <c:dLbls>
          <c:showLegendKey val="0"/>
          <c:showVal val="0"/>
          <c:showCatName val="0"/>
          <c:showSerName val="0"/>
          <c:showPercent val="0"/>
          <c:showBubbleSize val="0"/>
        </c:dLbls>
        <c:gapWidth val="70"/>
        <c:overlap val="100"/>
        <c:axId val="17848735"/>
        <c:axId val="93960415"/>
      </c:barChart>
      <c:catAx>
        <c:axId val="17848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3960415"/>
        <c:crosses val="autoZero"/>
        <c:auto val="1"/>
        <c:lblAlgn val="ctr"/>
        <c:lblOffset val="100"/>
        <c:noMultiLvlLbl val="0"/>
      </c:catAx>
      <c:valAx>
        <c:axId val="93960415"/>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848735"/>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520471378324683E-2"/>
          <c:y val="3.3734326660819783E-2"/>
          <c:w val="0.9106896050949097"/>
          <c:h val="0.73993855228190364"/>
        </c:manualLayout>
      </c:layout>
      <c:barChart>
        <c:barDir val="col"/>
        <c:grouping val="clustered"/>
        <c:varyColors val="0"/>
        <c:ser>
          <c:idx val="0"/>
          <c:order val="0"/>
          <c:spPr>
            <a:solidFill>
              <a:schemeClr val="accent6"/>
            </a:solidFill>
            <a:ln>
              <a:noFill/>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B20D-44ED-8BEB-D580F41E5E2F}"/>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B20D-44ED-8BEB-D580F41E5E2F}"/>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B20D-44ED-8BEB-D580F41E5E2F}"/>
              </c:ext>
            </c:extLst>
          </c:dPt>
          <c:dLbls>
            <c:numFmt formatCode="#,##0.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Dati!$V$44:$AD$45</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Dati!$V$46:$AD$46</c:f>
              <c:numCache>
                <c:formatCode>#\ ##0.0</c:formatCode>
                <c:ptCount val="9"/>
                <c:pt idx="0">
                  <c:v>2.8959830000000002</c:v>
                </c:pt>
                <c:pt idx="1">
                  <c:v>2.7124249999999996</c:v>
                </c:pt>
                <c:pt idx="2">
                  <c:v>2.8499810000000001</c:v>
                </c:pt>
                <c:pt idx="3">
                  <c:v>2.8020800000000006</c:v>
                </c:pt>
                <c:pt idx="4">
                  <c:v>2.8499810000000001</c:v>
                </c:pt>
                <c:pt idx="5">
                  <c:v>2.7508747199999992</c:v>
                </c:pt>
                <c:pt idx="6">
                  <c:v>3.659367</c:v>
                </c:pt>
                <c:pt idx="7">
                  <c:v>3.652037</c:v>
                </c:pt>
                <c:pt idx="8">
                  <c:v>3.652037</c:v>
                </c:pt>
              </c:numCache>
            </c:numRef>
          </c:val>
          <c:extLst>
            <c:ext xmlns:c16="http://schemas.microsoft.com/office/drawing/2014/chart" uri="{C3380CC4-5D6E-409C-BE32-E72D297353CC}">
              <c16:uniqueId val="{00000006-B20D-44ED-8BEB-D580F41E5E2F}"/>
            </c:ext>
          </c:extLst>
        </c:ser>
        <c:dLbls>
          <c:showLegendKey val="0"/>
          <c:showVal val="1"/>
          <c:showCatName val="0"/>
          <c:showSerName val="0"/>
          <c:showPercent val="0"/>
          <c:showBubbleSize val="0"/>
        </c:dLbls>
        <c:gapWidth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3.7"/>
          <c:min val="2"/>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A031-4C0C-975D-607A27FA2BD8}"/>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A031-4C0C-975D-607A27FA2BD8}"/>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A031-4C0C-975D-607A27FA2BD8}"/>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Sheet1!$O$67:$W$68</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Sheet1!$O$69:$W$69</c:f>
              <c:numCache>
                <c:formatCode>#,##0.0</c:formatCode>
                <c:ptCount val="9"/>
                <c:pt idx="0">
                  <c:v>7.6992010000000004</c:v>
                </c:pt>
                <c:pt idx="1">
                  <c:v>7.6441339999999958</c:v>
                </c:pt>
                <c:pt idx="2">
                  <c:v>7.8405769999999997</c:v>
                </c:pt>
                <c:pt idx="3">
                  <c:v>7.4940120000000006</c:v>
                </c:pt>
                <c:pt idx="4">
                  <c:v>9.2930840000000003</c:v>
                </c:pt>
                <c:pt idx="5">
                  <c:v>8.2268443999999974</c:v>
                </c:pt>
                <c:pt idx="6">
                  <c:v>9.9432779999999994</c:v>
                </c:pt>
                <c:pt idx="7">
                  <c:v>10.921564</c:v>
                </c:pt>
                <c:pt idx="8">
                  <c:v>9.2490439999999996</c:v>
                </c:pt>
              </c:numCache>
            </c:numRef>
          </c:val>
          <c:extLst>
            <c:ext xmlns:c16="http://schemas.microsoft.com/office/drawing/2014/chart" uri="{C3380CC4-5D6E-409C-BE32-E72D297353CC}">
              <c16:uniqueId val="{00000006-A031-4C0C-975D-607A27FA2BD8}"/>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11"/>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AC81-49CF-89B9-1B6AAA776C5E}"/>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AC81-49CF-89B9-1B6AAA776C5E}"/>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AC81-49CF-89B9-1B6AAA776C5E}"/>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Dati!$U$127:$AC$128</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Dati!$U$129:$AC$129</c:f>
              <c:numCache>
                <c:formatCode>#,##0.0</c:formatCode>
                <c:ptCount val="9"/>
                <c:pt idx="0">
                  <c:v>786.25699999999995</c:v>
                </c:pt>
                <c:pt idx="1">
                  <c:v>754.91099999999994</c:v>
                </c:pt>
                <c:pt idx="2">
                  <c:v>771.452</c:v>
                </c:pt>
                <c:pt idx="3">
                  <c:v>752.42099999999994</c:v>
                </c:pt>
                <c:pt idx="4">
                  <c:v>810.15899999999999</c:v>
                </c:pt>
                <c:pt idx="5">
                  <c:v>734.7615999999997</c:v>
                </c:pt>
                <c:pt idx="6">
                  <c:v>780.07600000000002</c:v>
                </c:pt>
                <c:pt idx="7">
                  <c:v>808.46799999999996</c:v>
                </c:pt>
                <c:pt idx="8">
                  <c:v>787.46799999999996</c:v>
                </c:pt>
              </c:numCache>
            </c:numRef>
          </c:val>
          <c:extLst>
            <c:ext xmlns:c16="http://schemas.microsoft.com/office/drawing/2014/chart" uri="{C3380CC4-5D6E-409C-BE32-E72D297353CC}">
              <c16:uniqueId val="{00000006-AC81-49CF-89B9-1B6AAA776C5E}"/>
            </c:ext>
          </c:extLst>
        </c:ser>
        <c:dLbls>
          <c:showLegendKey val="0"/>
          <c:showVal val="1"/>
          <c:showCatName val="0"/>
          <c:showSerName val="0"/>
          <c:showPercent val="0"/>
          <c:showBubbleSize val="0"/>
        </c:dLbls>
        <c:gapWidth val="8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850"/>
          <c:min val="6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805413243923089E-2"/>
          <c:y val="4.3755575514146515E-2"/>
          <c:w val="0.90779596972276777"/>
          <c:h val="0.67246101702691385"/>
        </c:manualLayout>
      </c:layout>
      <c:barChart>
        <c:barDir val="col"/>
        <c:grouping val="clustered"/>
        <c:varyColors val="0"/>
        <c:ser>
          <c:idx val="0"/>
          <c:order val="0"/>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c:spPr>
          <c:invertIfNegative val="0"/>
          <c:dPt>
            <c:idx val="1"/>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1-8C3B-42BB-84EB-FB5A2589CE87}"/>
              </c:ext>
            </c:extLst>
          </c:dPt>
          <c:dPt>
            <c:idx val="3"/>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3-8C3B-42BB-84EB-FB5A2589CE87}"/>
              </c:ext>
            </c:extLst>
          </c:dPt>
          <c:dPt>
            <c:idx val="5"/>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5-8C3B-42BB-84EB-FB5A2589CE87}"/>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Sheet1!$O$82:$W$83</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Sheet1!$O$84:$W$84</c:f>
              <c:numCache>
                <c:formatCode>#,##0.0</c:formatCode>
                <c:ptCount val="9"/>
                <c:pt idx="0">
                  <c:v>12.581517</c:v>
                </c:pt>
                <c:pt idx="1">
                  <c:v>12.348669000000001</c:v>
                </c:pt>
                <c:pt idx="2">
                  <c:v>13.303013</c:v>
                </c:pt>
                <c:pt idx="3">
                  <c:v>13.111468</c:v>
                </c:pt>
                <c:pt idx="4">
                  <c:v>12.738600999999999</c:v>
                </c:pt>
                <c:pt idx="5">
                  <c:v>12.255832310000013</c:v>
                </c:pt>
                <c:pt idx="6">
                  <c:v>12.975801000000001</c:v>
                </c:pt>
                <c:pt idx="7">
                  <c:v>12.92914</c:v>
                </c:pt>
                <c:pt idx="8">
                  <c:v>12.724365000000001</c:v>
                </c:pt>
              </c:numCache>
            </c:numRef>
          </c:val>
          <c:extLst>
            <c:ext xmlns:c16="http://schemas.microsoft.com/office/drawing/2014/chart" uri="{C3380CC4-5D6E-409C-BE32-E72D297353CC}">
              <c16:uniqueId val="{00000006-8C3B-42BB-84EB-FB5A2589CE87}"/>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14"/>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C773-4FFE-9C7C-EEED5F990B89}"/>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C773-4FFE-9C7C-EEED5F990B89}"/>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C773-4FFE-9C7C-EEED5F990B89}"/>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Sheet1!$O$87:$W$88</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Sheet1!$O$89:$W$89</c:f>
              <c:numCache>
                <c:formatCode>#,##0.0</c:formatCode>
                <c:ptCount val="9"/>
                <c:pt idx="0">
                  <c:v>150.651779</c:v>
                </c:pt>
                <c:pt idx="1">
                  <c:v>149.95849899999979</c:v>
                </c:pt>
                <c:pt idx="2">
                  <c:v>171.90344400000001</c:v>
                </c:pt>
                <c:pt idx="3">
                  <c:v>169.48511900000031</c:v>
                </c:pt>
                <c:pt idx="4">
                  <c:v>158.875989</c:v>
                </c:pt>
                <c:pt idx="5">
                  <c:v>156.46523879000026</c:v>
                </c:pt>
                <c:pt idx="6">
                  <c:v>156.61521200000001</c:v>
                </c:pt>
                <c:pt idx="7">
                  <c:v>153.753725</c:v>
                </c:pt>
                <c:pt idx="8">
                  <c:v>151.94948299999999</c:v>
                </c:pt>
              </c:numCache>
            </c:numRef>
          </c:val>
          <c:extLst>
            <c:ext xmlns:c16="http://schemas.microsoft.com/office/drawing/2014/chart" uri="{C3380CC4-5D6E-409C-BE32-E72D297353CC}">
              <c16:uniqueId val="{00000006-C773-4FFE-9C7C-EEED5F990B89}"/>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180"/>
          <c:min val="1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88FB-4FCE-A378-76678E46BCEC}"/>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88FB-4FCE-A378-76678E46BCEC}"/>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88FB-4FCE-A378-76678E46BCEC}"/>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Dati!$U$132:$AC$133</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Dati!$U$134:$AC$134</c:f>
              <c:numCache>
                <c:formatCode>#,##0.00</c:formatCode>
                <c:ptCount val="9"/>
                <c:pt idx="0">
                  <c:v>4.0561369999999997</c:v>
                </c:pt>
                <c:pt idx="1">
                  <c:v>3.6754819999999975</c:v>
                </c:pt>
                <c:pt idx="2">
                  <c:v>4.1258270000000001</c:v>
                </c:pt>
                <c:pt idx="3">
                  <c:v>3.9732019999999975</c:v>
                </c:pt>
                <c:pt idx="4">
                  <c:v>3.9360369999999998</c:v>
                </c:pt>
                <c:pt idx="5">
                  <c:v>3.8994056600000007</c:v>
                </c:pt>
                <c:pt idx="6">
                  <c:v>3.9804580000000001</c:v>
                </c:pt>
                <c:pt idx="7">
                  <c:v>3.9617689999999999</c:v>
                </c:pt>
                <c:pt idx="8">
                  <c:v>3.9570129999999999</c:v>
                </c:pt>
              </c:numCache>
            </c:numRef>
          </c:val>
          <c:extLst>
            <c:ext xmlns:c16="http://schemas.microsoft.com/office/drawing/2014/chart" uri="{C3380CC4-5D6E-409C-BE32-E72D297353CC}">
              <c16:uniqueId val="{00000006-88FB-4FCE-A378-76678E46BCEC}"/>
            </c:ext>
          </c:extLst>
        </c:ser>
        <c:dLbls>
          <c:showLegendKey val="0"/>
          <c:showVal val="1"/>
          <c:showCatName val="0"/>
          <c:showSerName val="0"/>
          <c:showPercent val="0"/>
          <c:showBubbleSize val="0"/>
        </c:dLbls>
        <c:gapWidth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4.2"/>
          <c:min val="3"/>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545144647107656E-2"/>
          <c:y val="8.3692038495188095E-2"/>
          <c:w val="0.9009563709494951"/>
          <c:h val="0.66510576906363539"/>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a:outerShdw blurRad="50800" dist="38100" dir="2700000" algn="tl" rotWithShape="0">
                <a:prstClr val="black">
                  <a:alpha val="40000"/>
                </a:prstClr>
              </a:outerShdw>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1-F4B4-45CB-9293-C795FC91C8C1}"/>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3-F4B4-45CB-9293-C795FC91C8C1}"/>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5-F4B4-45CB-9293-C795FC91C8C1}"/>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Sheet1!$O$112:$W$113</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Sheet1!$O$114:$W$114</c:f>
              <c:numCache>
                <c:formatCode>#,##0.0</c:formatCode>
                <c:ptCount val="9"/>
                <c:pt idx="0">
                  <c:v>74.561019000000002</c:v>
                </c:pt>
                <c:pt idx="1">
                  <c:v>73.87692899999999</c:v>
                </c:pt>
                <c:pt idx="2">
                  <c:v>75.867281000000006</c:v>
                </c:pt>
                <c:pt idx="3">
                  <c:v>75.682495000000003</c:v>
                </c:pt>
                <c:pt idx="4">
                  <c:v>76.859628999999998</c:v>
                </c:pt>
                <c:pt idx="5">
                  <c:v>75.781729999999925</c:v>
                </c:pt>
                <c:pt idx="6">
                  <c:v>80.501935000000003</c:v>
                </c:pt>
                <c:pt idx="7">
                  <c:v>81.182429999999997</c:v>
                </c:pt>
                <c:pt idx="8">
                  <c:v>81.182429999999997</c:v>
                </c:pt>
              </c:numCache>
            </c:numRef>
          </c:val>
          <c:extLst>
            <c:ext xmlns:c16="http://schemas.microsoft.com/office/drawing/2014/chart" uri="{C3380CC4-5D6E-409C-BE32-E72D297353CC}">
              <c16:uniqueId val="{00000006-F4B4-45CB-9293-C795FC91C8C1}"/>
            </c:ext>
          </c:extLst>
        </c:ser>
        <c:dLbls>
          <c:showLegendKey val="0"/>
          <c:showVal val="1"/>
          <c:showCatName val="0"/>
          <c:showSerName val="0"/>
          <c:showPercent val="0"/>
          <c:showBubbleSize val="0"/>
        </c:dLbls>
        <c:gapWidth val="91"/>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82"/>
          <c:min val="6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545144647107656E-2"/>
          <c:y val="8.3692038495188095E-2"/>
          <c:w val="0.9009563709494951"/>
          <c:h val="0.66085592773786261"/>
        </c:manualLayout>
      </c:layout>
      <c:barChart>
        <c:barDir val="col"/>
        <c:grouping val="clustered"/>
        <c:varyColors val="0"/>
        <c:ser>
          <c:idx val="0"/>
          <c:order val="0"/>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a:outerShdw blurRad="50800" dist="38100" dir="2700000" algn="tl" rotWithShape="0">
                <a:prstClr val="black">
                  <a:alpha val="40000"/>
                </a:prstClr>
              </a:outerShdw>
            </a:effectLst>
          </c:spPr>
          <c:invertIfNegative val="0"/>
          <c:dPt>
            <c:idx val="1"/>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1-9617-407C-B1EE-4B1BDAF91116}"/>
              </c:ext>
            </c:extLst>
          </c:dPt>
          <c:dPt>
            <c:idx val="3"/>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3-9617-407C-B1EE-4B1BDAF91116}"/>
              </c:ext>
            </c:extLst>
          </c:dPt>
          <c:dPt>
            <c:idx val="5"/>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a:outerShdw blurRad="50800" dist="38100" dir="2700000" algn="tl" rotWithShape="0">
                  <a:prstClr val="black">
                    <a:alpha val="40000"/>
                  </a:prstClr>
                </a:outerShdw>
              </a:effectLst>
            </c:spPr>
            <c:extLst>
              <c:ext xmlns:c16="http://schemas.microsoft.com/office/drawing/2014/chart" uri="{C3380CC4-5D6E-409C-BE32-E72D297353CC}">
                <c16:uniqueId val="{00000005-9617-407C-B1EE-4B1BDAF91116}"/>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Sheet1!$O$117:$W$118</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Sheet1!$O$119:$W$119</c:f>
              <c:numCache>
                <c:formatCode>#,##0.0</c:formatCode>
                <c:ptCount val="9"/>
                <c:pt idx="0">
                  <c:v>11.180325</c:v>
                </c:pt>
                <c:pt idx="1">
                  <c:v>10.96008</c:v>
                </c:pt>
                <c:pt idx="2">
                  <c:v>11.717776000000001</c:v>
                </c:pt>
                <c:pt idx="3">
                  <c:v>11.191960999999996</c:v>
                </c:pt>
                <c:pt idx="4">
                  <c:v>11.262203</c:v>
                </c:pt>
                <c:pt idx="5">
                  <c:v>10.911972240000001</c:v>
                </c:pt>
                <c:pt idx="6" formatCode="0.0">
                  <c:v>12.241141000000001</c:v>
                </c:pt>
                <c:pt idx="7">
                  <c:v>11.879308</c:v>
                </c:pt>
                <c:pt idx="8">
                  <c:v>11.879308</c:v>
                </c:pt>
              </c:numCache>
            </c:numRef>
          </c:val>
          <c:extLst>
            <c:ext xmlns:c16="http://schemas.microsoft.com/office/drawing/2014/chart" uri="{C3380CC4-5D6E-409C-BE32-E72D297353CC}">
              <c16:uniqueId val="{00000006-9617-407C-B1EE-4B1BDAF91116}"/>
            </c:ext>
          </c:extLst>
        </c:ser>
        <c:dLbls>
          <c:showLegendKey val="0"/>
          <c:showVal val="1"/>
          <c:showCatName val="0"/>
          <c:showSerName val="0"/>
          <c:showPercent val="0"/>
          <c:showBubbleSize val="0"/>
        </c:dLbls>
        <c:gapWidth val="91"/>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13"/>
          <c:min val="7"/>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02198554612114E-2"/>
          <c:y val="6.3473744950952107E-2"/>
          <c:w val="0.88411973168905722"/>
          <c:h val="0.68802707608568803"/>
        </c:manualLayout>
      </c:layout>
      <c:barChart>
        <c:barDir val="col"/>
        <c:grouping val="clustered"/>
        <c:varyColors val="0"/>
        <c:ser>
          <c:idx val="0"/>
          <c:order val="0"/>
          <c:spPr>
            <a:solidFill>
              <a:schemeClr val="accent6"/>
            </a:solidFill>
            <a:ln>
              <a:noFill/>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55E1-4410-AA2F-2EAE058566D5}"/>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55E1-4410-AA2F-2EAE058566D5}"/>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55E1-4410-AA2F-2EAE058566D5}"/>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Dati!$U$142:$AC$143</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Dati!$U$144:$AC$144</c:f>
              <c:numCache>
                <c:formatCode>#,##0.0</c:formatCode>
                <c:ptCount val="9"/>
                <c:pt idx="0">
                  <c:v>720.68399999999997</c:v>
                </c:pt>
                <c:pt idx="1">
                  <c:v>702.97400000000016</c:v>
                </c:pt>
                <c:pt idx="2">
                  <c:v>544.85199999999998</c:v>
                </c:pt>
                <c:pt idx="3">
                  <c:v>531.69600000000003</c:v>
                </c:pt>
                <c:pt idx="4">
                  <c:v>517.65200000000004</c:v>
                </c:pt>
                <c:pt idx="5">
                  <c:v>507.25832999999983</c:v>
                </c:pt>
                <c:pt idx="6">
                  <c:v>574.44600000000003</c:v>
                </c:pt>
                <c:pt idx="7">
                  <c:v>574.52200000000005</c:v>
                </c:pt>
                <c:pt idx="8">
                  <c:v>574.52200000000005</c:v>
                </c:pt>
              </c:numCache>
            </c:numRef>
          </c:val>
          <c:extLst>
            <c:ext xmlns:c16="http://schemas.microsoft.com/office/drawing/2014/chart" uri="{C3380CC4-5D6E-409C-BE32-E72D297353CC}">
              <c16:uniqueId val="{00000006-55E1-4410-AA2F-2EAE058566D5}"/>
            </c:ext>
          </c:extLst>
        </c:ser>
        <c:dLbls>
          <c:showLegendKey val="0"/>
          <c:showVal val="1"/>
          <c:showCatName val="0"/>
          <c:showSerName val="0"/>
          <c:showPercent val="0"/>
          <c:showBubbleSize val="0"/>
        </c:dLbls>
        <c:gapWidth val="8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750"/>
          <c:min val="4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6070744468199752"/>
          <c:y val="3.5271362891719074E-2"/>
          <c:w val="0.44699483756583408"/>
          <c:h val="0.90598953654283143"/>
        </c:manualLayout>
      </c:layout>
      <c:pieChart>
        <c:varyColors val="1"/>
        <c:ser>
          <c:idx val="0"/>
          <c:order val="0"/>
          <c:explosion val="5"/>
          <c:dPt>
            <c:idx val="0"/>
            <c:bubble3D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0FC-4F70-9703-5B334862A36A}"/>
              </c:ext>
            </c:extLst>
          </c:dPt>
          <c:dPt>
            <c:idx val="1"/>
            <c:bubble3D val="0"/>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E0FC-4F70-9703-5B334862A36A}"/>
              </c:ext>
            </c:extLst>
          </c:dPt>
          <c:dLbls>
            <c:dLbl>
              <c:idx val="0"/>
              <c:layout>
                <c:manualLayout>
                  <c:x val="6.4234238932054016E-2"/>
                  <c:y val="0.2039835121280980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E0FC-4F70-9703-5B334862A36A}"/>
                </c:ext>
              </c:extLst>
            </c:dLbl>
            <c:dLbl>
              <c:idx val="1"/>
              <c:layout>
                <c:manualLayout>
                  <c:x val="-4.0058403295614539E-2"/>
                  <c:y val="-0.2349349116595325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E0FC-4F70-9703-5B334862A36A}"/>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Sheet1!$A$3:$A$4</c:f>
              <c:strCache>
                <c:ptCount val="2"/>
                <c:pt idx="0">
                  <c:v>Izpildīts</c:v>
                </c:pt>
                <c:pt idx="1">
                  <c:v>Uzsākts</c:v>
                </c:pt>
              </c:strCache>
            </c:strRef>
          </c:cat>
          <c:val>
            <c:numRef>
              <c:f>Sheet1!$B$3:$B$4</c:f>
              <c:numCache>
                <c:formatCode>General</c:formatCode>
                <c:ptCount val="2"/>
                <c:pt idx="0">
                  <c:v>67</c:v>
                </c:pt>
                <c:pt idx="1">
                  <c:v>33</c:v>
                </c:pt>
              </c:numCache>
            </c:numRef>
          </c:val>
          <c:extLst>
            <c:ext xmlns:c16="http://schemas.microsoft.com/office/drawing/2014/chart" uri="{C3380CC4-5D6E-409C-BE32-E72D297353CC}">
              <c16:uniqueId val="{00000004-E0FC-4F70-9703-5B334862A36A}"/>
            </c:ext>
          </c:extLst>
        </c:ser>
        <c:dLbls>
          <c:showLegendKey val="0"/>
          <c:showVal val="1"/>
          <c:showCatName val="0"/>
          <c:showSerName val="0"/>
          <c:showPercent val="0"/>
          <c:showBubbleSize val="0"/>
          <c:showLeaderLines val="1"/>
        </c:dLbls>
        <c:firstSliceAng val="23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387751502610802E-2"/>
          <c:y val="5.5914260717410326E-2"/>
          <c:w val="0.8891137640939919"/>
          <c:h val="0.73937882764654417"/>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EF89-460F-8847-E02F6CB40FBC}"/>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EF89-460F-8847-E02F6CB40FBC}"/>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EF89-460F-8847-E02F6CB40FBC}"/>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Sheet1!$O$200:$W$201</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Sheet1!$O$202:$W$202</c:f>
              <c:numCache>
                <c:formatCode>#,##0.0</c:formatCode>
                <c:ptCount val="9"/>
                <c:pt idx="0">
                  <c:v>291.891389</c:v>
                </c:pt>
                <c:pt idx="1">
                  <c:v>282.11012399999998</c:v>
                </c:pt>
                <c:pt idx="2">
                  <c:v>296.234013</c:v>
                </c:pt>
                <c:pt idx="3">
                  <c:v>289.00060199999996</c:v>
                </c:pt>
                <c:pt idx="4">
                  <c:v>301.15949999999998</c:v>
                </c:pt>
                <c:pt idx="5">
                  <c:v>293.98641285000008</c:v>
                </c:pt>
                <c:pt idx="6">
                  <c:v>315.896143</c:v>
                </c:pt>
                <c:pt idx="7">
                  <c:v>319.87262600000003</c:v>
                </c:pt>
                <c:pt idx="8">
                  <c:v>321.17614900000001</c:v>
                </c:pt>
              </c:numCache>
            </c:numRef>
          </c:val>
          <c:extLst>
            <c:ext xmlns:c16="http://schemas.microsoft.com/office/drawing/2014/chart" uri="{C3380CC4-5D6E-409C-BE32-E72D297353CC}">
              <c16:uniqueId val="{00000006-EF89-460F-8847-E02F6CB40FBC}"/>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3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C11B-4FFB-9E85-D5BA664224B0}"/>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C11B-4FFB-9E85-D5BA664224B0}"/>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C11B-4FFB-9E85-D5BA664224B0}"/>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Sheet1!$O$280:$W$281</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Sheet1!$O$282:$W$282</c:f>
              <c:numCache>
                <c:formatCode>#,##0.0</c:formatCode>
                <c:ptCount val="9"/>
                <c:pt idx="0">
                  <c:v>1.325704</c:v>
                </c:pt>
                <c:pt idx="1">
                  <c:v>0.95186100000000018</c:v>
                </c:pt>
                <c:pt idx="2">
                  <c:v>1.2754890000000001</c:v>
                </c:pt>
                <c:pt idx="3">
                  <c:v>0.92800199999999999</c:v>
                </c:pt>
                <c:pt idx="4">
                  <c:v>1.625704</c:v>
                </c:pt>
                <c:pt idx="5">
                  <c:v>1.1417311799999994</c:v>
                </c:pt>
                <c:pt idx="6">
                  <c:v>2.0455390000000002</c:v>
                </c:pt>
                <c:pt idx="7">
                  <c:v>2.0531389999999998</c:v>
                </c:pt>
                <c:pt idx="8">
                  <c:v>2.0531389999999998</c:v>
                </c:pt>
              </c:numCache>
            </c:numRef>
          </c:val>
          <c:extLst>
            <c:ext xmlns:c16="http://schemas.microsoft.com/office/drawing/2014/chart" uri="{C3380CC4-5D6E-409C-BE32-E72D297353CC}">
              <c16:uniqueId val="{00000006-C11B-4FFB-9E85-D5BA664224B0}"/>
            </c:ext>
          </c:extLst>
        </c:ser>
        <c:dLbls>
          <c:showLegendKey val="0"/>
          <c:showVal val="1"/>
          <c:showCatName val="0"/>
          <c:showSerName val="0"/>
          <c:showPercent val="0"/>
          <c:showBubbleSize val="0"/>
        </c:dLbls>
        <c:gapWidth val="100"/>
        <c:overlap val="7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2.5"/>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520471378324683E-2"/>
          <c:y val="3.6946743371329097E-2"/>
          <c:w val="0.9106896050949097"/>
          <c:h val="0.78367441168621199"/>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B4FC-4797-BEC5-7F7FB4900DE1}"/>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B4FC-4797-BEC5-7F7FB4900DE1}"/>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B4FC-4797-BEC5-7F7FB4900DE1}"/>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Dati!$U$15:$AC$16</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Dati!$U$17:$AC$17</c:f>
              <c:numCache>
                <c:formatCode>#,##0.00</c:formatCode>
                <c:ptCount val="9"/>
                <c:pt idx="0">
                  <c:v>0.53094200000000003</c:v>
                </c:pt>
                <c:pt idx="1">
                  <c:v>0.4990730000000001</c:v>
                </c:pt>
                <c:pt idx="2">
                  <c:v>0.77700000000000002</c:v>
                </c:pt>
                <c:pt idx="3">
                  <c:v>0.75081299999999984</c:v>
                </c:pt>
                <c:pt idx="4">
                  <c:v>1.2</c:v>
                </c:pt>
                <c:pt idx="5">
                  <c:v>1.1585428399999997</c:v>
                </c:pt>
                <c:pt idx="6">
                  <c:v>1.5</c:v>
                </c:pt>
                <c:pt idx="7">
                  <c:v>2</c:v>
                </c:pt>
                <c:pt idx="8">
                  <c:v>2</c:v>
                </c:pt>
              </c:numCache>
            </c:numRef>
          </c:val>
          <c:extLst>
            <c:ext xmlns:c16="http://schemas.microsoft.com/office/drawing/2014/chart" uri="{C3380CC4-5D6E-409C-BE32-E72D297353CC}">
              <c16:uniqueId val="{00000006-B4FC-4797-BEC5-7F7FB4900DE1}"/>
            </c:ext>
          </c:extLst>
        </c:ser>
        <c:dLbls>
          <c:showLegendKey val="0"/>
          <c:showVal val="1"/>
          <c:showCatName val="0"/>
          <c:showSerName val="0"/>
          <c:showPercent val="0"/>
          <c:showBubbleSize val="0"/>
        </c:dLbls>
        <c:gapWidth val="100"/>
        <c:overlap val="7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2"/>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6616976795796591E-2"/>
          <c:y val="1.7015312307089175E-2"/>
          <c:w val="0.939573504974338"/>
          <c:h val="0.7835538255272183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1-D423-4473-9137-3AB061F8C06D}"/>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D423-4473-9137-3AB061F8C06D}"/>
              </c:ext>
            </c:extLst>
          </c:dPt>
          <c:dPt>
            <c:idx val="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5-D423-4473-9137-3AB061F8C06D}"/>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D423-4473-9137-3AB061F8C06D}"/>
              </c:ext>
            </c:extLst>
          </c:dPt>
          <c:dPt>
            <c:idx val="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9-D423-4473-9137-3AB061F8C06D}"/>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D423-4473-9137-3AB061F8C06D}"/>
              </c:ext>
            </c:extLst>
          </c:dPt>
          <c:dPt>
            <c:idx val="6"/>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D-D423-4473-9137-3AB061F8C06D}"/>
              </c:ext>
            </c:extLst>
          </c:dPt>
          <c:dPt>
            <c:idx val="7"/>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F-D423-4473-9137-3AB061F8C06D}"/>
              </c:ext>
            </c:extLst>
          </c:dPt>
          <c:dPt>
            <c:idx val="8"/>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1-D423-4473-9137-3AB061F8C06D}"/>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Sheet1!$Q$188:$Y$189</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Sheet1!$Q$190:$Y$190</c:f>
              <c:numCache>
                <c:formatCode>#,##0.0</c:formatCode>
                <c:ptCount val="9"/>
                <c:pt idx="0">
                  <c:v>5.2771229999999996</c:v>
                </c:pt>
                <c:pt idx="1">
                  <c:v>4.7111380000000018</c:v>
                </c:pt>
                <c:pt idx="2">
                  <c:v>5.4643579999999998</c:v>
                </c:pt>
                <c:pt idx="3">
                  <c:v>4.6263079999999972</c:v>
                </c:pt>
                <c:pt idx="4">
                  <c:v>5.6839389999999996</c:v>
                </c:pt>
                <c:pt idx="5">
                  <c:v>5.045564029999996</c:v>
                </c:pt>
                <c:pt idx="6">
                  <c:v>5.4913610000000004</c:v>
                </c:pt>
                <c:pt idx="7">
                  <c:v>5.5550689999999996</c:v>
                </c:pt>
                <c:pt idx="8">
                  <c:v>5.5550689999999996</c:v>
                </c:pt>
              </c:numCache>
            </c:numRef>
          </c:val>
          <c:extLst>
            <c:ext xmlns:c16="http://schemas.microsoft.com/office/drawing/2014/chart" uri="{C3380CC4-5D6E-409C-BE32-E72D297353CC}">
              <c16:uniqueId val="{00000012-D423-4473-9137-3AB061F8C06D}"/>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in val="3"/>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824C-45F2-97F1-313FFC6FEAB5}"/>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824C-45F2-97F1-313FFC6FEAB5}"/>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824C-45F2-97F1-313FFC6FEAB5}"/>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Sheet1!$O$216:$W$217</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Sheet1!$O$218:$W$218</c:f>
              <c:numCache>
                <c:formatCode>#,##0.0</c:formatCode>
                <c:ptCount val="9"/>
                <c:pt idx="0">
                  <c:v>4.2538580000000001</c:v>
                </c:pt>
                <c:pt idx="1">
                  <c:v>3.7235739999999984</c:v>
                </c:pt>
                <c:pt idx="2">
                  <c:v>4.2598580000000004</c:v>
                </c:pt>
                <c:pt idx="3">
                  <c:v>4.1501729999999988</c:v>
                </c:pt>
                <c:pt idx="4">
                  <c:v>4.2598580000000004</c:v>
                </c:pt>
                <c:pt idx="5">
                  <c:v>3.9053476499999995</c:v>
                </c:pt>
                <c:pt idx="6">
                  <c:v>4.4319709999999999</c:v>
                </c:pt>
                <c:pt idx="7">
                  <c:v>4.4773949999999996</c:v>
                </c:pt>
                <c:pt idx="8">
                  <c:v>4.4773949999999996</c:v>
                </c:pt>
              </c:numCache>
            </c:numRef>
          </c:val>
          <c:extLst>
            <c:ext xmlns:c16="http://schemas.microsoft.com/office/drawing/2014/chart" uri="{C3380CC4-5D6E-409C-BE32-E72D297353CC}">
              <c16:uniqueId val="{00000006-824C-45F2-97F1-313FFC6FEAB5}"/>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6A44-48B0-A048-81C6A3567BBD}"/>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6A44-48B0-A048-81C6A3567BBD}"/>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6A44-48B0-A048-81C6A3567BBD}"/>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Sheet1!$O$221:$W$222</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Sheet1!$O$223:$W$223</c:f>
              <c:numCache>
                <c:formatCode>#,##0.0</c:formatCode>
                <c:ptCount val="9"/>
                <c:pt idx="0">
                  <c:v>4.9881000000000002</c:v>
                </c:pt>
                <c:pt idx="1">
                  <c:v>4.5586569999999984</c:v>
                </c:pt>
                <c:pt idx="2">
                  <c:v>4.3257409999999998</c:v>
                </c:pt>
                <c:pt idx="3">
                  <c:v>3.8815819999999999</c:v>
                </c:pt>
                <c:pt idx="4">
                  <c:v>5.4326530000000002</c:v>
                </c:pt>
                <c:pt idx="5">
                  <c:v>4.2587375799999974</c:v>
                </c:pt>
                <c:pt idx="6">
                  <c:v>5.2879680000000002</c:v>
                </c:pt>
                <c:pt idx="7">
                  <c:v>5.3018960000000002</c:v>
                </c:pt>
                <c:pt idx="8">
                  <c:v>4.7615569999999998</c:v>
                </c:pt>
              </c:numCache>
            </c:numRef>
          </c:val>
          <c:extLst>
            <c:ext xmlns:c16="http://schemas.microsoft.com/office/drawing/2014/chart" uri="{C3380CC4-5D6E-409C-BE32-E72D297353CC}">
              <c16:uniqueId val="{00000006-6A44-48B0-A048-81C6A3567BBD}"/>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044744716793344E-2"/>
          <c:y val="5.1342592592592592E-2"/>
          <c:w val="0.91954235953494834"/>
          <c:h val="0.74529418197725283"/>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E214-4AA7-AD46-17F2063EFA2A}"/>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E214-4AA7-AD46-17F2063EFA2A}"/>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E214-4AA7-AD46-17F2063EFA2A}"/>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Dati!$U$237:$AC$238</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Dati!$U$239:$AC$239</c:f>
              <c:numCache>
                <c:formatCode>#,##0.0</c:formatCode>
                <c:ptCount val="9"/>
                <c:pt idx="0">
                  <c:v>1.9369099999999999</c:v>
                </c:pt>
                <c:pt idx="1">
                  <c:v>1.7754100000000008</c:v>
                </c:pt>
                <c:pt idx="2">
                  <c:v>1.659735</c:v>
                </c:pt>
                <c:pt idx="3">
                  <c:v>1.6227799999999994</c:v>
                </c:pt>
                <c:pt idx="4">
                  <c:v>1.700906</c:v>
                </c:pt>
                <c:pt idx="5">
                  <c:v>1.5999047399999997</c:v>
                </c:pt>
                <c:pt idx="6">
                  <c:v>1.7257739999999999</c:v>
                </c:pt>
                <c:pt idx="7">
                  <c:v>1.7290000000000001</c:v>
                </c:pt>
                <c:pt idx="8">
                  <c:v>1.7231479999999999</c:v>
                </c:pt>
              </c:numCache>
            </c:numRef>
          </c:val>
          <c:extLst>
            <c:ext xmlns:c16="http://schemas.microsoft.com/office/drawing/2014/chart" uri="{C3380CC4-5D6E-409C-BE32-E72D297353CC}">
              <c16:uniqueId val="{00000006-E214-4AA7-AD46-17F2063EFA2A}"/>
            </c:ext>
          </c:extLst>
        </c:ser>
        <c:dLbls>
          <c:showLegendKey val="0"/>
          <c:showVal val="1"/>
          <c:showCatName val="0"/>
          <c:showSerName val="0"/>
          <c:showPercent val="0"/>
          <c:showBubbleSize val="0"/>
        </c:dLbls>
        <c:gapWidth val="113"/>
        <c:overlap val="-27"/>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2"/>
          <c:min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6693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DED5-471D-9DE2-6427CEC3DAAE}"/>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DED5-471D-9DE2-6427CEC3DAAE}"/>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DED5-471D-9DE2-6427CEC3DAAE}"/>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Sheet1!$O$226:$W$227</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Sheet1!$O$228:$W$228</c:f>
              <c:numCache>
                <c:formatCode>#,##0.0</c:formatCode>
                <c:ptCount val="9"/>
                <c:pt idx="0">
                  <c:v>14.952951000000001</c:v>
                </c:pt>
                <c:pt idx="1">
                  <c:v>14.822026000000001</c:v>
                </c:pt>
                <c:pt idx="2">
                  <c:v>15.175421999999999</c:v>
                </c:pt>
                <c:pt idx="3">
                  <c:v>14.815596000000006</c:v>
                </c:pt>
                <c:pt idx="4">
                  <c:v>14.739210999999999</c:v>
                </c:pt>
                <c:pt idx="5">
                  <c:v>13.749854749999992</c:v>
                </c:pt>
                <c:pt idx="6">
                  <c:v>14.866701000000001</c:v>
                </c:pt>
                <c:pt idx="7">
                  <c:v>14.869531</c:v>
                </c:pt>
                <c:pt idx="8">
                  <c:v>14.869531</c:v>
                </c:pt>
              </c:numCache>
            </c:numRef>
          </c:val>
          <c:extLst>
            <c:ext xmlns:c16="http://schemas.microsoft.com/office/drawing/2014/chart" uri="{C3380CC4-5D6E-409C-BE32-E72D297353CC}">
              <c16:uniqueId val="{00000006-DED5-471D-9DE2-6427CEC3DAAE}"/>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15.5"/>
          <c:min val="12.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044744716793344E-2"/>
          <c:y val="5.1342592592592592E-2"/>
          <c:w val="0.91954235953494834"/>
          <c:h val="0.7051240174854577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1-9353-4142-86DB-9D365AF6E6E4}"/>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9353-4142-86DB-9D365AF6E6E4}"/>
              </c:ext>
            </c:extLst>
          </c:dPt>
          <c:dPt>
            <c:idx val="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5-9353-4142-86DB-9D365AF6E6E4}"/>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9353-4142-86DB-9D365AF6E6E4}"/>
              </c:ext>
            </c:extLst>
          </c:dPt>
          <c:dPt>
            <c:idx val="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9-9353-4142-86DB-9D365AF6E6E4}"/>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9353-4142-86DB-9D365AF6E6E4}"/>
              </c:ext>
            </c:extLst>
          </c:dPt>
          <c:dPt>
            <c:idx val="6"/>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D-9353-4142-86DB-9D365AF6E6E4}"/>
              </c:ext>
            </c:extLst>
          </c:dPt>
          <c:dPt>
            <c:idx val="7"/>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F-9353-4142-86DB-9D365AF6E6E4}"/>
              </c:ext>
            </c:extLst>
          </c:dPt>
          <c:dPt>
            <c:idx val="8"/>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1-9353-4142-86DB-9D365AF6E6E4}"/>
              </c:ext>
            </c:extLst>
          </c:dPt>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Sheet1!$O$241:$W$242</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Sheet1!$O$243:$W$243</c:f>
              <c:numCache>
                <c:formatCode>#,##0.00</c:formatCode>
                <c:ptCount val="9"/>
                <c:pt idx="0">
                  <c:v>1.6650689999999999</c:v>
                </c:pt>
                <c:pt idx="1">
                  <c:v>1.558371</c:v>
                </c:pt>
                <c:pt idx="2">
                  <c:v>1.7424459999999999</c:v>
                </c:pt>
                <c:pt idx="3">
                  <c:v>1.5655249999999998</c:v>
                </c:pt>
                <c:pt idx="4">
                  <c:v>1.5800970000000001</c:v>
                </c:pt>
                <c:pt idx="5">
                  <c:v>1.4761324599999999</c:v>
                </c:pt>
                <c:pt idx="6">
                  <c:v>1.581196</c:v>
                </c:pt>
                <c:pt idx="7">
                  <c:v>1.564527</c:v>
                </c:pt>
                <c:pt idx="8">
                  <c:v>1.523323</c:v>
                </c:pt>
              </c:numCache>
            </c:numRef>
          </c:val>
          <c:extLst>
            <c:ext xmlns:c16="http://schemas.microsoft.com/office/drawing/2014/chart" uri="{C3380CC4-5D6E-409C-BE32-E72D297353CC}">
              <c16:uniqueId val="{00000012-9353-4142-86DB-9D365AF6E6E4}"/>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2"/>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D47D-4204-9D37-6541669CB837}"/>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D47D-4204-9D37-6541669CB837}"/>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D47D-4204-9D37-6541669CB837}"/>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Dati!$U$260:$AC$261</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Dati!$U$262:$AC$262</c:f>
              <c:numCache>
                <c:formatCode>#,##0.0</c:formatCode>
                <c:ptCount val="9"/>
                <c:pt idx="0">
                  <c:v>429.38200000000001</c:v>
                </c:pt>
                <c:pt idx="1">
                  <c:v>406.8300000000001</c:v>
                </c:pt>
                <c:pt idx="2">
                  <c:v>429.11500000000001</c:v>
                </c:pt>
                <c:pt idx="3">
                  <c:v>380.41299999999995</c:v>
                </c:pt>
                <c:pt idx="4">
                  <c:v>526.279</c:v>
                </c:pt>
                <c:pt idx="5">
                  <c:v>485.43741000000011</c:v>
                </c:pt>
                <c:pt idx="6">
                  <c:v>525.76700000000005</c:v>
                </c:pt>
                <c:pt idx="7">
                  <c:v>527.024</c:v>
                </c:pt>
                <c:pt idx="8">
                  <c:v>527.024</c:v>
                </c:pt>
              </c:numCache>
            </c:numRef>
          </c:val>
          <c:extLst>
            <c:ext xmlns:c16="http://schemas.microsoft.com/office/drawing/2014/chart" uri="{C3380CC4-5D6E-409C-BE32-E72D297353CC}">
              <c16:uniqueId val="{00000006-D47D-4204-9D37-6541669CB837}"/>
            </c:ext>
          </c:extLst>
        </c:ser>
        <c:dLbls>
          <c:showLegendKey val="0"/>
          <c:showVal val="1"/>
          <c:showCatName val="0"/>
          <c:showSerName val="0"/>
          <c:showPercent val="0"/>
          <c:showBubbleSize val="0"/>
        </c:dLbls>
        <c:gapWidth val="8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550"/>
          <c:min val="3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EF58-47B7-92DA-04DADB0E57CA}"/>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EF58-47B7-92DA-04DADB0E57CA}"/>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EF58-47B7-92DA-04DADB0E57CA}"/>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Sheet1!$O$30:$W$31</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Sheet1!$O$32:$W$32</c:f>
              <c:numCache>
                <c:formatCode>#,##0.0</c:formatCode>
                <c:ptCount val="9"/>
                <c:pt idx="0">
                  <c:v>5.9361480000000002</c:v>
                </c:pt>
                <c:pt idx="1">
                  <c:v>5.5670169999999999</c:v>
                </c:pt>
                <c:pt idx="2">
                  <c:v>7.5098419999999999</c:v>
                </c:pt>
                <c:pt idx="3">
                  <c:v>7.2690170000000016</c:v>
                </c:pt>
                <c:pt idx="4">
                  <c:v>7.7091019999999997</c:v>
                </c:pt>
                <c:pt idx="5">
                  <c:v>6.5230494100000014</c:v>
                </c:pt>
                <c:pt idx="6">
                  <c:v>7.0168049999999997</c:v>
                </c:pt>
                <c:pt idx="7">
                  <c:v>7.2653489999999996</c:v>
                </c:pt>
                <c:pt idx="8">
                  <c:v>8.8421489999999991</c:v>
                </c:pt>
              </c:numCache>
            </c:numRef>
          </c:val>
          <c:extLst>
            <c:ext xmlns:c16="http://schemas.microsoft.com/office/drawing/2014/chart" uri="{C3380CC4-5D6E-409C-BE32-E72D297353CC}">
              <c16:uniqueId val="{00000006-EF58-47B7-92DA-04DADB0E57CA}"/>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9"/>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701737908381561E-2"/>
          <c:y val="2.9552482769599223E-2"/>
          <c:w val="0.92079977986435968"/>
          <c:h val="0.76718020983370527"/>
        </c:manualLayout>
      </c:layout>
      <c:barChart>
        <c:barDir val="col"/>
        <c:grouping val="clustered"/>
        <c:varyColors val="0"/>
        <c:ser>
          <c:idx val="0"/>
          <c:order val="0"/>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Pt>
            <c:idx val="1"/>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extLst>
              <c:ext xmlns:c16="http://schemas.microsoft.com/office/drawing/2014/chart" uri="{C3380CC4-5D6E-409C-BE32-E72D297353CC}">
                <c16:uniqueId val="{00000001-8ADC-4369-B01D-707295113EAE}"/>
              </c:ext>
            </c:extLst>
          </c:dPt>
          <c:dPt>
            <c:idx val="3"/>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extLst>
              <c:ext xmlns:c16="http://schemas.microsoft.com/office/drawing/2014/chart" uri="{C3380CC4-5D6E-409C-BE32-E72D297353CC}">
                <c16:uniqueId val="{00000003-8ADC-4369-B01D-707295113EAE}"/>
              </c:ext>
            </c:extLst>
          </c:dPt>
          <c:dPt>
            <c:idx val="5"/>
            <c:invertIfNegative val="0"/>
            <c:bubble3D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extLst>
              <c:ext xmlns:c16="http://schemas.microsoft.com/office/drawing/2014/chart" uri="{C3380CC4-5D6E-409C-BE32-E72D297353CC}">
                <c16:uniqueId val="{00000005-8ADC-4369-B01D-707295113EAE}"/>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Sheet1!$O$157:$W$158</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Sheet1!$O$159:$W$159</c:f>
              <c:numCache>
                <c:formatCode>#,##0.0</c:formatCode>
                <c:ptCount val="9"/>
                <c:pt idx="0">
                  <c:v>19.263836000000001</c:v>
                </c:pt>
                <c:pt idx="1">
                  <c:v>18.753240999999981</c:v>
                </c:pt>
                <c:pt idx="2">
                  <c:v>19.460380000000001</c:v>
                </c:pt>
                <c:pt idx="3">
                  <c:v>18.798244999999994</c:v>
                </c:pt>
                <c:pt idx="4">
                  <c:v>19.456337999999999</c:v>
                </c:pt>
                <c:pt idx="5">
                  <c:v>18.815539119999997</c:v>
                </c:pt>
                <c:pt idx="6">
                  <c:v>19.181571000000002</c:v>
                </c:pt>
                <c:pt idx="7">
                  <c:v>19.194913</c:v>
                </c:pt>
                <c:pt idx="8">
                  <c:v>19.194913</c:v>
                </c:pt>
              </c:numCache>
            </c:numRef>
          </c:val>
          <c:extLst>
            <c:ext xmlns:c16="http://schemas.microsoft.com/office/drawing/2014/chart" uri="{C3380CC4-5D6E-409C-BE32-E72D297353CC}">
              <c16:uniqueId val="{00000006-8ADC-4369-B01D-707295113EAE}"/>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20"/>
          <c:min val="1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[Book1]Sheet1!$B$3</c:f>
              <c:strCache>
                <c:ptCount val="1"/>
                <c:pt idx="0">
                  <c:v>Plāns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[Book1]Sheet1!$C$1:$P$2</c:f>
              <c:multiLvlStrCache>
                <c:ptCount val="14"/>
                <c:lvl>
                  <c:pt idx="0">
                    <c:v>Plāns</c:v>
                  </c:pt>
                  <c:pt idx="1">
                    <c:v>Izpilde</c:v>
                  </c:pt>
                  <c:pt idx="2">
                    <c:v>Plāns</c:v>
                  </c:pt>
                  <c:pt idx="3">
                    <c:v>Izpilde</c:v>
                  </c:pt>
                  <c:pt idx="4">
                    <c:v>Plāns</c:v>
                  </c:pt>
                  <c:pt idx="5">
                    <c:v>Izpilde</c:v>
                  </c:pt>
                  <c:pt idx="6">
                    <c:v>Plāns</c:v>
                  </c:pt>
                  <c:pt idx="7">
                    <c:v>Izpilde</c:v>
                  </c:pt>
                  <c:pt idx="8">
                    <c:v>Plāns</c:v>
                  </c:pt>
                  <c:pt idx="9">
                    <c:v>Izpilde</c:v>
                  </c:pt>
                  <c:pt idx="10">
                    <c:v>Plāns</c:v>
                  </c:pt>
                  <c:pt idx="11">
                    <c:v>Izpilde</c:v>
                  </c:pt>
                  <c:pt idx="12">
                    <c:v>Plāns</c:v>
                  </c:pt>
                  <c:pt idx="13">
                    <c:v>Izpilde</c:v>
                  </c:pt>
                </c:lvl>
                <c:lvl>
                  <c:pt idx="0">
                    <c:v>2015</c:v>
                  </c:pt>
                  <c:pt idx="2">
                    <c:v>2016</c:v>
                  </c:pt>
                  <c:pt idx="4">
                    <c:v>2017</c:v>
                  </c:pt>
                  <c:pt idx="6">
                    <c:v>2018</c:v>
                  </c:pt>
                  <c:pt idx="8">
                    <c:v>2019</c:v>
                  </c:pt>
                  <c:pt idx="10">
                    <c:v>2020</c:v>
                  </c:pt>
                  <c:pt idx="12">
                    <c:v>2021</c:v>
                  </c:pt>
                </c:lvl>
              </c:multiLvlStrCache>
            </c:multiLvlStrRef>
          </c:cat>
          <c:val>
            <c:numRef>
              <c:f>[Book1]Sheet1!$C$3:$P$3</c:f>
              <c:numCache>
                <c:formatCode>General</c:formatCode>
                <c:ptCount val="14"/>
                <c:pt idx="0" formatCode="0">
                  <c:v>24</c:v>
                </c:pt>
                <c:pt idx="2" formatCode="0">
                  <c:v>25</c:v>
                </c:pt>
                <c:pt idx="4" formatCode="0">
                  <c:v>28</c:v>
                </c:pt>
                <c:pt idx="6" formatCode="0">
                  <c:v>33</c:v>
                </c:pt>
                <c:pt idx="8" formatCode="0">
                  <c:v>33</c:v>
                </c:pt>
                <c:pt idx="10">
                  <c:v>33</c:v>
                </c:pt>
                <c:pt idx="12">
                  <c:v>31</c:v>
                </c:pt>
              </c:numCache>
            </c:numRef>
          </c:val>
          <c:extLst>
            <c:ext xmlns:c16="http://schemas.microsoft.com/office/drawing/2014/chart" uri="{C3380CC4-5D6E-409C-BE32-E72D297353CC}">
              <c16:uniqueId val="{00000000-D9BE-49BB-9EB2-2D199F7608F4}"/>
            </c:ext>
          </c:extLst>
        </c:ser>
        <c:ser>
          <c:idx val="1"/>
          <c:order val="1"/>
          <c:tx>
            <c:strRef>
              <c:f>[Book1]Sheet1!$B$4</c:f>
              <c:strCache>
                <c:ptCount val="1"/>
                <c:pt idx="0">
                  <c:v>Izpilde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[Book1]Sheet1!$C$1:$P$2</c:f>
              <c:multiLvlStrCache>
                <c:ptCount val="14"/>
                <c:lvl>
                  <c:pt idx="0">
                    <c:v>Plāns</c:v>
                  </c:pt>
                  <c:pt idx="1">
                    <c:v>Izpilde</c:v>
                  </c:pt>
                  <c:pt idx="2">
                    <c:v>Plāns</c:v>
                  </c:pt>
                  <c:pt idx="3">
                    <c:v>Izpilde</c:v>
                  </c:pt>
                  <c:pt idx="4">
                    <c:v>Plāns</c:v>
                  </c:pt>
                  <c:pt idx="5">
                    <c:v>Izpilde</c:v>
                  </c:pt>
                  <c:pt idx="6">
                    <c:v>Plāns</c:v>
                  </c:pt>
                  <c:pt idx="7">
                    <c:v>Izpilde</c:v>
                  </c:pt>
                  <c:pt idx="8">
                    <c:v>Plāns</c:v>
                  </c:pt>
                  <c:pt idx="9">
                    <c:v>Izpilde</c:v>
                  </c:pt>
                  <c:pt idx="10">
                    <c:v>Plāns</c:v>
                  </c:pt>
                  <c:pt idx="11">
                    <c:v>Izpilde</c:v>
                  </c:pt>
                  <c:pt idx="12">
                    <c:v>Plāns</c:v>
                  </c:pt>
                  <c:pt idx="13">
                    <c:v>Izpilde</c:v>
                  </c:pt>
                </c:lvl>
                <c:lvl>
                  <c:pt idx="0">
                    <c:v>2015</c:v>
                  </c:pt>
                  <c:pt idx="2">
                    <c:v>2016</c:v>
                  </c:pt>
                  <c:pt idx="4">
                    <c:v>2017</c:v>
                  </c:pt>
                  <c:pt idx="6">
                    <c:v>2018</c:v>
                  </c:pt>
                  <c:pt idx="8">
                    <c:v>2019</c:v>
                  </c:pt>
                  <c:pt idx="10">
                    <c:v>2020</c:v>
                  </c:pt>
                  <c:pt idx="12">
                    <c:v>2021</c:v>
                  </c:pt>
                </c:lvl>
              </c:multiLvlStrCache>
            </c:multiLvlStrRef>
          </c:cat>
          <c:val>
            <c:numRef>
              <c:f>[Book1]Sheet1!$C$4:$P$4</c:f>
              <c:numCache>
                <c:formatCode>0</c:formatCode>
                <c:ptCount val="14"/>
                <c:pt idx="1">
                  <c:v>17</c:v>
                </c:pt>
                <c:pt idx="3">
                  <c:v>18</c:v>
                </c:pt>
                <c:pt idx="5">
                  <c:v>25</c:v>
                </c:pt>
                <c:pt idx="7">
                  <c:v>27</c:v>
                </c:pt>
                <c:pt idx="9" formatCode="General">
                  <c:v>28</c:v>
                </c:pt>
                <c:pt idx="11" formatCode="General">
                  <c:v>28</c:v>
                </c:pt>
              </c:numCache>
            </c:numRef>
          </c:val>
          <c:extLst>
            <c:ext xmlns:c16="http://schemas.microsoft.com/office/drawing/2014/chart" uri="{C3380CC4-5D6E-409C-BE32-E72D297353CC}">
              <c16:uniqueId val="{00000001-D9BE-49BB-9EB2-2D199F7608F4}"/>
            </c:ext>
          </c:extLst>
        </c:ser>
        <c:dLbls>
          <c:dLblPos val="ctr"/>
          <c:showLegendKey val="0"/>
          <c:showVal val="1"/>
          <c:showCatName val="0"/>
          <c:showSerName val="0"/>
          <c:showPercent val="0"/>
          <c:showBubbleSize val="0"/>
        </c:dLbls>
        <c:gapWidth val="35"/>
        <c:overlap val="100"/>
        <c:axId val="1223498032"/>
        <c:axId val="1225990032"/>
      </c:barChart>
      <c:catAx>
        <c:axId val="122349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5990032"/>
        <c:crosses val="autoZero"/>
        <c:auto val="1"/>
        <c:lblAlgn val="ctr"/>
        <c:lblOffset val="100"/>
        <c:noMultiLvlLbl val="0"/>
      </c:catAx>
      <c:valAx>
        <c:axId val="1225990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3498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t>Plāna</a:t>
            </a:r>
            <a:r>
              <a:rPr lang="lv-LV" sz="1000" baseline="0"/>
              <a:t> izpildes līmenis</a:t>
            </a:r>
            <a:endParaRPr lang="lv-LV" sz="1000"/>
          </a:p>
        </c:rich>
      </c:tx>
      <c:layout>
        <c:manualLayout>
          <c:xMode val="edge"/>
          <c:yMode val="edge"/>
          <c:x val="6.7798172385642425E-2"/>
          <c:y val="0.11130899376669635"/>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34052247649645795"/>
          <c:y val="6.9769529031489058E-2"/>
          <c:w val="0.44961402399950845"/>
          <c:h val="0.89782675763036301"/>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6F3-4F3F-93E0-CBCF8C0192A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96F3-4F3F-93E0-CBCF8C0192AD}"/>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96F3-4F3F-93E0-CBCF8C0192AD}"/>
              </c:ext>
            </c:extLst>
          </c:dPt>
          <c:dPt>
            <c:idx val="3"/>
            <c:bubble3D val="0"/>
            <c:spPr>
              <a:solidFill>
                <a:schemeClr val="accent2"/>
              </a:solidFill>
              <a:ln w="19050">
                <a:solidFill>
                  <a:schemeClr val="lt1"/>
                </a:solidFill>
              </a:ln>
              <a:effectLst/>
            </c:spPr>
            <c:extLst>
              <c:ext xmlns:c16="http://schemas.microsoft.com/office/drawing/2014/chart" uri="{C3380CC4-5D6E-409C-BE32-E72D297353CC}">
                <c16:uniqueId val="{00000007-96F3-4F3F-93E0-CBCF8C0192AD}"/>
              </c:ext>
            </c:extLst>
          </c:dPt>
          <c:dPt>
            <c:idx val="4"/>
            <c:bubble3D val="0"/>
            <c:spPr>
              <a:solidFill>
                <a:schemeClr val="accent3"/>
              </a:solidFill>
              <a:ln w="19050">
                <a:solidFill>
                  <a:schemeClr val="lt1"/>
                </a:solidFill>
              </a:ln>
              <a:effectLst/>
            </c:spPr>
            <c:extLst>
              <c:ext xmlns:c16="http://schemas.microsoft.com/office/drawing/2014/chart" uri="{C3380CC4-5D6E-409C-BE32-E72D297353CC}">
                <c16:uniqueId val="{00000009-96F3-4F3F-93E0-CBCF8C0192AD}"/>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KOPSAVILKUMS!$AE$344:$AE$348</c:f>
              <c:strCache>
                <c:ptCount val="5"/>
                <c:pt idx="0">
                  <c:v>100%</c:v>
                </c:pt>
                <c:pt idx="1">
                  <c:v>99-90%</c:v>
                </c:pt>
                <c:pt idx="2">
                  <c:v>89-70%</c:v>
                </c:pt>
                <c:pt idx="3">
                  <c:v>līdz 70%</c:v>
                </c:pt>
                <c:pt idx="4">
                  <c:v>Nav datu</c:v>
                </c:pt>
              </c:strCache>
            </c:strRef>
          </c:cat>
          <c:val>
            <c:numRef>
              <c:f>KOPSAVILKUMS!$AG$344:$AG$348</c:f>
              <c:numCache>
                <c:formatCode>0%</c:formatCode>
                <c:ptCount val="5"/>
                <c:pt idx="0">
                  <c:v>0.51489361702127656</c:v>
                </c:pt>
                <c:pt idx="1">
                  <c:v>0.18297872340425531</c:v>
                </c:pt>
                <c:pt idx="2">
                  <c:v>0.1148936170212766</c:v>
                </c:pt>
                <c:pt idx="3">
                  <c:v>0.1702127659574468</c:v>
                </c:pt>
                <c:pt idx="4">
                  <c:v>1.7021276595744681E-2</c:v>
                </c:pt>
              </c:numCache>
            </c:numRef>
          </c:val>
          <c:extLst>
            <c:ext xmlns:c16="http://schemas.microsoft.com/office/drawing/2014/chart" uri="{C3380CC4-5D6E-409C-BE32-E72D297353CC}">
              <c16:uniqueId val="{0000000A-96F3-4F3F-93E0-CBCF8C0192A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8.9186176142697887E-2"/>
          <c:y val="0.19986432573043242"/>
          <c:w val="0.17022849568553097"/>
          <c:h val="0.5379379614502772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211270804127851E-2"/>
          <c:y val="0.12962962962962962"/>
          <c:w val="0.89238495770391435"/>
          <c:h val="0.6546773840769905"/>
        </c:manualLayout>
      </c:layout>
      <c:barChart>
        <c:barDir val="col"/>
        <c:grouping val="cluster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'MIN KOPĀ'!$C$38:$C$59</c:f>
              <c:strCache>
                <c:ptCount val="22"/>
                <c:pt idx="0">
                  <c:v>MK</c:v>
                </c:pt>
                <c:pt idx="1">
                  <c:v>TB</c:v>
                </c:pt>
                <c:pt idx="2">
                  <c:v>VK</c:v>
                </c:pt>
                <c:pt idx="3">
                  <c:v>RTV</c:v>
                </c:pt>
                <c:pt idx="4">
                  <c:v>64.resors</c:v>
                </c:pt>
                <c:pt idx="5">
                  <c:v>AiM</c:v>
                </c:pt>
                <c:pt idx="6">
                  <c:v>62.resors</c:v>
                </c:pt>
                <c:pt idx="7">
                  <c:v>ZM</c:v>
                </c:pt>
                <c:pt idx="8">
                  <c:v>SPRK</c:v>
                </c:pt>
                <c:pt idx="9">
                  <c:v>VM</c:v>
                </c:pt>
                <c:pt idx="10">
                  <c:v>LM</c:v>
                </c:pt>
                <c:pt idx="11">
                  <c:v>KNAB</c:v>
                </c:pt>
                <c:pt idx="12">
                  <c:v>FM</c:v>
                </c:pt>
                <c:pt idx="13">
                  <c:v>PKC</c:v>
                </c:pt>
                <c:pt idx="14">
                  <c:v>KM</c:v>
                </c:pt>
                <c:pt idx="15">
                  <c:v>ĀM</c:v>
                </c:pt>
                <c:pt idx="16">
                  <c:v>VARAM</c:v>
                </c:pt>
                <c:pt idx="17">
                  <c:v>IZM</c:v>
                </c:pt>
                <c:pt idx="18">
                  <c:v>IeM</c:v>
                </c:pt>
                <c:pt idx="19">
                  <c:v>TM</c:v>
                </c:pt>
                <c:pt idx="20">
                  <c:v>SM</c:v>
                </c:pt>
                <c:pt idx="21">
                  <c:v>EM</c:v>
                </c:pt>
              </c:strCache>
            </c:strRef>
          </c:cat>
          <c:val>
            <c:numRef>
              <c:f>'MIN KOPĀ'!$D$38:$D$59</c:f>
              <c:numCache>
                <c:formatCode>#,##0.0</c:formatCode>
                <c:ptCount val="22"/>
                <c:pt idx="0">
                  <c:v>100</c:v>
                </c:pt>
                <c:pt idx="1">
                  <c:v>100</c:v>
                </c:pt>
                <c:pt idx="2">
                  <c:v>100</c:v>
                </c:pt>
                <c:pt idx="3">
                  <c:v>100</c:v>
                </c:pt>
                <c:pt idx="4">
                  <c:v>100</c:v>
                </c:pt>
                <c:pt idx="5">
                  <c:v>98.833333333333329</c:v>
                </c:pt>
                <c:pt idx="6">
                  <c:v>98.25</c:v>
                </c:pt>
                <c:pt idx="7">
                  <c:v>98.185666666666663</c:v>
                </c:pt>
                <c:pt idx="8">
                  <c:v>95.4</c:v>
                </c:pt>
                <c:pt idx="9">
                  <c:v>94.73590909090909</c:v>
                </c:pt>
                <c:pt idx="10">
                  <c:v>94.153703703703712</c:v>
                </c:pt>
                <c:pt idx="11">
                  <c:v>94</c:v>
                </c:pt>
                <c:pt idx="12">
                  <c:v>93.783333333333346</c:v>
                </c:pt>
                <c:pt idx="13">
                  <c:v>92.949999999999989</c:v>
                </c:pt>
                <c:pt idx="14">
                  <c:v>91.278333333333336</c:v>
                </c:pt>
                <c:pt idx="15">
                  <c:v>90.2</c:v>
                </c:pt>
                <c:pt idx="16">
                  <c:v>88.384374999999991</c:v>
                </c:pt>
                <c:pt idx="17">
                  <c:v>87.973456790123464</c:v>
                </c:pt>
                <c:pt idx="18">
                  <c:v>78.099999999999994</c:v>
                </c:pt>
                <c:pt idx="19">
                  <c:v>77.565925925925924</c:v>
                </c:pt>
                <c:pt idx="20">
                  <c:v>77.045238095238091</c:v>
                </c:pt>
                <c:pt idx="21">
                  <c:v>73.431666666666658</c:v>
                </c:pt>
              </c:numCache>
            </c:numRef>
          </c:val>
          <c:extLst>
            <c:ext xmlns:c16="http://schemas.microsoft.com/office/drawing/2014/chart" uri="{C3380CC4-5D6E-409C-BE32-E72D297353CC}">
              <c16:uniqueId val="{00000000-E0C4-4BB3-898E-279D96EE3B92}"/>
            </c:ext>
          </c:extLst>
        </c:ser>
        <c:dLbls>
          <c:dLblPos val="outEnd"/>
          <c:showLegendKey val="0"/>
          <c:showVal val="1"/>
          <c:showCatName val="0"/>
          <c:showSerName val="0"/>
          <c:showPercent val="0"/>
          <c:showBubbleSize val="0"/>
        </c:dLbls>
        <c:gapWidth val="100"/>
        <c:axId val="1189306064"/>
        <c:axId val="1189478464"/>
      </c:barChart>
      <c:catAx>
        <c:axId val="118930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89478464"/>
        <c:crosses val="autoZero"/>
        <c:auto val="1"/>
        <c:lblAlgn val="ctr"/>
        <c:lblOffset val="100"/>
        <c:noMultiLvlLbl val="0"/>
      </c:catAx>
      <c:valAx>
        <c:axId val="118947846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89306064"/>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13957259311278"/>
          <c:y val="8.8046128703190216E-2"/>
          <c:w val="0.43681994276126124"/>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1. Valsts aizsardzība</c:v>
                </c:pt>
                <c:pt idx="1">
                  <c:v>2. Jaunatnes izglītošana valsts aizsardzības jomā</c:v>
                </c:pt>
                <c:pt idx="2">
                  <c:v>3. Valsts politikas īstenošana ģeodēzijas, kartogrāfijas un ģeotelpiskās informācijas jomā</c:v>
                </c:pt>
              </c:strCache>
            </c:strRef>
          </c:cat>
          <c:val>
            <c:numRef>
              <c:f>Sheet1!$B$2:$B$4</c:f>
              <c:numCache>
                <c:formatCode>General</c:formatCode>
                <c:ptCount val="3"/>
                <c:pt idx="0">
                  <c:v>100</c:v>
                </c:pt>
                <c:pt idx="1">
                  <c:v>100</c:v>
                </c:pt>
                <c:pt idx="2">
                  <c:v>96.5</c:v>
                </c:pt>
              </c:numCache>
            </c:numRef>
          </c:val>
          <c:extLst>
            <c:ext xmlns:c16="http://schemas.microsoft.com/office/drawing/2014/chart" uri="{C3380CC4-5D6E-409C-BE32-E72D297353CC}">
              <c16:uniqueId val="{00000000-8747-4499-837E-6C9CC6FCB4AA}"/>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min val="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128117032995167E-2"/>
          <c:y val="4.9917720921944929E-2"/>
          <c:w val="0.86394159113971392"/>
          <c:h val="0.54464688125609229"/>
        </c:manualLayout>
      </c:layout>
      <c:lineChart>
        <c:grouping val="standard"/>
        <c:varyColors val="0"/>
        <c:ser>
          <c:idx val="0"/>
          <c:order val="0"/>
          <c:tx>
            <c:strRef>
              <c:f>AIM!$L$23</c:f>
              <c:strCache>
                <c:ptCount val="1"/>
                <c:pt idx="0">
                  <c:v>Ģeotelpisko produktu sagatavošana NBS uzdevumu izpildei militārām un sabiedrības vajadzībām (produktu skaits)</c:v>
                </c:pt>
              </c:strCache>
            </c:strRef>
          </c:tx>
          <c:spPr>
            <a:ln w="50800" cap="rnd">
              <a:solidFill>
                <a:srgbClr val="ED7D31"/>
              </a:solidFill>
              <a:round/>
            </a:ln>
            <a:effectLst>
              <a:outerShdw blurRad="50800" dist="38100" dir="5400000" algn="t" rotWithShape="0">
                <a:prstClr val="black">
                  <a:alpha val="40000"/>
                </a:prstClr>
              </a:outerShdw>
            </a:effectLst>
          </c:spPr>
          <c:marker>
            <c:symbol val="none"/>
          </c:marker>
          <c:dLbls>
            <c:dLbl>
              <c:idx val="2"/>
              <c:layout>
                <c:manualLayout>
                  <c:x val="-4.5319988442072447E-2"/>
                  <c:y val="-6.86679829572254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6A2-44D1-9425-67BBF2B5CD08}"/>
                </c:ext>
              </c:extLst>
            </c:dLbl>
            <c:dLbl>
              <c:idx val="3"/>
              <c:layout>
                <c:manualLayout>
                  <c:x val="-5.1272367999538861E-2"/>
                  <c:y val="-3.538950234259540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6A2-44D1-9425-67BBF2B5CD08}"/>
                </c:ext>
              </c:extLst>
            </c:dLbl>
            <c:dLbl>
              <c:idx val="4"/>
              <c:layout>
                <c:manualLayout>
                  <c:x val="-6.3601175571528085E-2"/>
                  <c:y val="-4.973093161878072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6A2-44D1-9425-67BBF2B5CD08}"/>
                </c:ext>
              </c:extLst>
            </c:dLbl>
            <c:spPr>
              <a:noFill/>
              <a:ln>
                <a:noFill/>
              </a:ln>
              <a:effectLst/>
            </c:spPr>
            <c:txPr>
              <a:bodyPr rot="0" spcFirstLastPara="1" vertOverflow="ellipsis" vert="horz" wrap="square" anchor="ctr" anchorCtr="1"/>
              <a:lstStyle/>
              <a:p>
                <a:pPr>
                  <a:defRPr sz="1000" b="0"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AIM!$M$22:$U$22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AIM!$M$23:$U$23</c:f>
              <c:numCache>
                <c:formatCode>General</c:formatCode>
                <c:ptCount val="9"/>
                <c:pt idx="1">
                  <c:v>16</c:v>
                </c:pt>
                <c:pt idx="2">
                  <c:v>16</c:v>
                </c:pt>
                <c:pt idx="3">
                  <c:v>16</c:v>
                </c:pt>
                <c:pt idx="4">
                  <c:v>17</c:v>
                </c:pt>
                <c:pt idx="5">
                  <c:v>17</c:v>
                </c:pt>
              </c:numCache>
            </c:numRef>
          </c:val>
          <c:smooth val="1"/>
          <c:extLst>
            <c:ext xmlns:c16="http://schemas.microsoft.com/office/drawing/2014/chart" uri="{C3380CC4-5D6E-409C-BE32-E72D297353CC}">
              <c16:uniqueId val="{00000003-46A2-44D1-9425-67BBF2B5CD08}"/>
            </c:ext>
          </c:extLst>
        </c:ser>
        <c:ser>
          <c:idx val="1"/>
          <c:order val="1"/>
          <c:tx>
            <c:strRef>
              <c:f>AIM!$L$24</c:f>
              <c:strCache>
                <c:ptCount val="1"/>
                <c:pt idx="0">
                  <c:v>Rādītāja plānotās vērtības</c:v>
                </c:pt>
              </c:strCache>
            </c:strRef>
          </c:tx>
          <c:spPr>
            <a:ln w="28575" cap="rnd">
              <a:noFill/>
              <a:round/>
            </a:ln>
            <a:effectLst>
              <a:outerShdw blurRad="50800" dist="38100" dir="5400000" algn="t"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5400000" algn="t" rotWithShape="0">
                  <a:prstClr val="black">
                    <a:alpha val="40000"/>
                  </a:prstClr>
                </a:outerShdw>
              </a:effectLst>
            </c:spPr>
          </c:marker>
          <c:dLbls>
            <c:dLbl>
              <c:idx val="2"/>
              <c:layout>
                <c:manualLayout>
                  <c:x val="-1.8534280433473892E-2"/>
                  <c:y val="-7.063323319101272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6A2-44D1-9425-67BBF2B5CD08}"/>
                </c:ext>
              </c:extLst>
            </c:dLbl>
            <c:dLbl>
              <c:idx val="3"/>
              <c:layout>
                <c:manualLayout>
                  <c:x val="-3.0439039548406554E-2"/>
                  <c:y val="-6.942166871679492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6A2-44D1-9425-67BBF2B5CD08}"/>
                </c:ext>
              </c:extLst>
            </c:dLbl>
            <c:dLbl>
              <c:idx val="5"/>
              <c:layout>
                <c:manualLayout>
                  <c:x val="-1.1011902181312762E-3"/>
                  <c:y val="0"/>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6A2-44D1-9425-67BBF2B5CD08}"/>
                </c:ext>
              </c:extLst>
            </c:dLbl>
            <c:dLbl>
              <c:idx val="6"/>
              <c:layout>
                <c:manualLayout>
                  <c:x val="1.8749995606019028E-3"/>
                  <c:y val="0"/>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6A2-44D1-9425-67BBF2B5CD08}"/>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AIM!$M$22:$U$22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AIM!$M$24:$U$24</c:f>
              <c:numCache>
                <c:formatCode>General</c:formatCode>
                <c:ptCount val="9"/>
                <c:pt idx="2">
                  <c:v>16</c:v>
                </c:pt>
                <c:pt idx="3">
                  <c:v>16</c:v>
                </c:pt>
                <c:pt idx="4">
                  <c:v>17</c:v>
                </c:pt>
                <c:pt idx="5">
                  <c:v>19</c:v>
                </c:pt>
                <c:pt idx="6">
                  <c:v>19</c:v>
                </c:pt>
              </c:numCache>
            </c:numRef>
          </c:val>
          <c:smooth val="0"/>
          <c:extLst>
            <c:ext xmlns:c16="http://schemas.microsoft.com/office/drawing/2014/chart" uri="{C3380CC4-5D6E-409C-BE32-E72D297353CC}">
              <c16:uniqueId val="{00000008-46A2-44D1-9425-67BBF2B5CD08}"/>
            </c:ext>
          </c:extLst>
        </c:ser>
        <c:dLbls>
          <c:dLblPos val="t"/>
          <c:showLegendKey val="0"/>
          <c:showVal val="1"/>
          <c:showCatName val="0"/>
          <c:showSerName val="0"/>
          <c:showPercent val="0"/>
          <c:showBubbleSize val="0"/>
        </c:dLbls>
        <c:marker val="1"/>
        <c:smooth val="0"/>
        <c:axId val="213547824"/>
        <c:axId val="1901118560"/>
      </c:lineChart>
      <c:lineChart>
        <c:grouping val="standard"/>
        <c:varyColors val="0"/>
        <c:ser>
          <c:idx val="2"/>
          <c:order val="2"/>
          <c:tx>
            <c:strRef>
              <c:f>AIM!$L$25</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1"/>
              <c:layout>
                <c:manualLayout>
                  <c:x val="-3.4014216813316296E-2"/>
                  <c:y val="5.212242026266408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6A2-44D1-9425-67BBF2B5CD08}"/>
                </c:ext>
              </c:extLst>
            </c:dLbl>
            <c:dLbl>
              <c:idx val="2"/>
              <c:layout>
                <c:manualLayout>
                  <c:x val="-2.8061837255849965E-2"/>
                  <c:y val="5.628223033949283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46A2-44D1-9425-67BBF2B5CD08}"/>
                </c:ext>
              </c:extLst>
            </c:dLbl>
            <c:dLbl>
              <c:idx val="3"/>
              <c:layout>
                <c:manualLayout>
                  <c:x val="-3.5502311702682858E-2"/>
                  <c:y val="4.380280010900667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46A2-44D1-9425-67BBF2B5CD08}"/>
                </c:ext>
              </c:extLst>
            </c:dLbl>
            <c:dLbl>
              <c:idx val="4"/>
              <c:layout>
                <c:manualLayout>
                  <c:x val="-5.9301167205388266E-3"/>
                  <c:y val="3.116745888666450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46A2-44D1-9425-67BBF2B5CD08}"/>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AIM!$M$22:$U$22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AIM!$M$25:$U$25</c:f>
              <c:numCache>
                <c:formatCode>#,##0.0</c:formatCode>
                <c:ptCount val="9"/>
                <c:pt idx="0">
                  <c:v>5.2934279999999996</c:v>
                </c:pt>
                <c:pt idx="1">
                  <c:v>6.1433910000000003</c:v>
                </c:pt>
                <c:pt idx="2">
                  <c:v>5.9813159999999996</c:v>
                </c:pt>
                <c:pt idx="3">
                  <c:v>5.8836500000000003</c:v>
                </c:pt>
                <c:pt idx="4">
                  <c:v>5.8836500000000003</c:v>
                </c:pt>
                <c:pt idx="5">
                  <c:v>7.9787679999999996</c:v>
                </c:pt>
                <c:pt idx="6">
                  <c:v>7.6248360000000002</c:v>
                </c:pt>
                <c:pt idx="7">
                  <c:v>7.6022239999999996</c:v>
                </c:pt>
                <c:pt idx="8">
                  <c:v>7.6022239999999996</c:v>
                </c:pt>
              </c:numCache>
            </c:numRef>
          </c:val>
          <c:smooth val="1"/>
          <c:extLst>
            <c:ext xmlns:c16="http://schemas.microsoft.com/office/drawing/2014/chart" uri="{C3380CC4-5D6E-409C-BE32-E72D297353CC}">
              <c16:uniqueId val="{0000000D-46A2-44D1-9425-67BBF2B5CD08}"/>
            </c:ext>
          </c:extLst>
        </c:ser>
        <c:dLbls>
          <c:dLblPos val="t"/>
          <c:showLegendKey val="0"/>
          <c:showVal val="1"/>
          <c:showCatName val="0"/>
          <c:showSerName val="0"/>
          <c:showPercent val="0"/>
          <c:showBubbleSize val="0"/>
        </c:dLbls>
        <c:marker val="1"/>
        <c:smooth val="0"/>
        <c:axId val="213542224"/>
        <c:axId val="1901119808"/>
      </c:lineChart>
      <c:catAx>
        <c:axId val="21354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01118560"/>
        <c:crosses val="autoZero"/>
        <c:auto val="1"/>
        <c:lblAlgn val="ctr"/>
        <c:lblOffset val="100"/>
        <c:noMultiLvlLbl val="0"/>
      </c:catAx>
      <c:valAx>
        <c:axId val="1901118560"/>
        <c:scaling>
          <c:orientation val="minMax"/>
          <c:max val="19"/>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Produktu skaits</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13547824"/>
        <c:crosses val="autoZero"/>
        <c:crossBetween val="between"/>
        <c:majorUnit val="1"/>
      </c:valAx>
      <c:valAx>
        <c:axId val="1901119808"/>
        <c:scaling>
          <c:orientation val="minMax"/>
          <c:max val="9"/>
          <c:min val="5"/>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13542224"/>
        <c:crosses val="max"/>
        <c:crossBetween val="between"/>
        <c:majorUnit val="1"/>
      </c:valAx>
      <c:catAx>
        <c:axId val="213542224"/>
        <c:scaling>
          <c:orientation val="minMax"/>
        </c:scaling>
        <c:delete val="1"/>
        <c:axPos val="b"/>
        <c:numFmt formatCode="General" sourceLinked="1"/>
        <c:majorTickMark val="out"/>
        <c:minorTickMark val="none"/>
        <c:tickLblPos val="nextTo"/>
        <c:crossAx val="1901119808"/>
        <c:crosses val="autoZero"/>
        <c:auto val="1"/>
        <c:lblAlgn val="ctr"/>
        <c:lblOffset val="100"/>
        <c:noMultiLvlLbl val="0"/>
      </c:catAx>
      <c:spPr>
        <a:noFill/>
        <a:ln>
          <a:noFill/>
        </a:ln>
        <a:effectLst/>
      </c:spPr>
    </c:plotArea>
    <c:legend>
      <c:legendPos val="b"/>
      <c:layout>
        <c:manualLayout>
          <c:xMode val="edge"/>
          <c:yMode val="edge"/>
          <c:x val="2.7372859949115354E-3"/>
          <c:y val="0.73554862689143719"/>
          <c:w val="0.98791094228644194"/>
          <c:h val="0.2644513731085627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555862633021752"/>
          <c:y val="8.8046128703190216E-2"/>
          <c:w val="0.44265693444426879"/>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Ārlietu ministrijas atbalstītie diasporas projekti (skaits)</c:v>
                </c:pt>
                <c:pt idx="1">
                  <c:v>Finansējums, kas izlietots publiskās pārvaldes attīstībai un spēju stiprināšanai, t.sk. pretkorupcijai (% no ĀM pārvaldītās divpusējās oficiālās attīstības palīdzības)</c:v>
                </c:pt>
                <c:pt idx="2">
                  <c:v>Oficiālās attīstības palīdzības apjoms no nacionālā kopienākuma (NKI), tiecoties līdz 2030. gadam sasniegt finansējuma apjomu līdz 0,33% no NKI (%)</c:v>
                </c:pt>
              </c:strCache>
            </c:strRef>
          </c:cat>
          <c:val>
            <c:numRef>
              <c:f>Sheet1!$B$2:$B$4</c:f>
              <c:numCache>
                <c:formatCode>General</c:formatCode>
                <c:ptCount val="3"/>
                <c:pt idx="0">
                  <c:v>100</c:v>
                </c:pt>
                <c:pt idx="1">
                  <c:v>100</c:v>
                </c:pt>
                <c:pt idx="2">
                  <c:v>70.599999999999994</c:v>
                </c:pt>
              </c:numCache>
            </c:numRef>
          </c:val>
          <c:extLst>
            <c:ext xmlns:c16="http://schemas.microsoft.com/office/drawing/2014/chart" uri="{C3380CC4-5D6E-409C-BE32-E72D297353CC}">
              <c16:uniqueId val="{00000000-078E-40D0-9B61-3B8FF9970898}"/>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2759021785269"/>
          <c:y val="4.8480874316939891E-2"/>
          <c:w val="0.80839310531007791"/>
          <c:h val="0.65911449593390981"/>
        </c:manualLayout>
      </c:layout>
      <c:lineChart>
        <c:grouping val="standard"/>
        <c:varyColors val="0"/>
        <c:ser>
          <c:idx val="0"/>
          <c:order val="0"/>
          <c:tx>
            <c:strRef>
              <c:f>AM!$C$12</c:f>
              <c:strCache>
                <c:ptCount val="1"/>
                <c:pt idx="0">
                  <c:v>Oficiālās attīstības palīdzības apjoms no nacionālā kopienākuma (%)</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AM!$D$11:$L$11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AM!$D$12:$L$12</c:f>
              <c:numCache>
                <c:formatCode>General</c:formatCode>
                <c:ptCount val="9"/>
                <c:pt idx="0">
                  <c:v>0.09</c:v>
                </c:pt>
                <c:pt idx="1">
                  <c:v>0.11</c:v>
                </c:pt>
                <c:pt idx="2">
                  <c:v>0.11</c:v>
                </c:pt>
                <c:pt idx="3">
                  <c:v>0.1</c:v>
                </c:pt>
                <c:pt idx="4">
                  <c:v>0.1</c:v>
                </c:pt>
                <c:pt idx="5">
                  <c:v>0.12</c:v>
                </c:pt>
              </c:numCache>
            </c:numRef>
          </c:val>
          <c:smooth val="1"/>
          <c:extLst>
            <c:ext xmlns:c16="http://schemas.microsoft.com/office/drawing/2014/chart" uri="{C3380CC4-5D6E-409C-BE32-E72D297353CC}">
              <c16:uniqueId val="{00000000-9941-4E0B-8B44-9F8A7CDF6743}"/>
            </c:ext>
          </c:extLst>
        </c:ser>
        <c:ser>
          <c:idx val="1"/>
          <c:order val="1"/>
          <c:tx>
            <c:strRef>
              <c:f>AM!$C$13</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6"/>
              <c:layout>
                <c:manualLayout>
                  <c:x val="-6.9349497446652267E-2"/>
                  <c:y val="5.87647691579536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941-4E0B-8B44-9F8A7CDF6743}"/>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AM!$D$11:$L$11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AM!$D$13:$L$13</c:f>
              <c:numCache>
                <c:formatCode>General</c:formatCode>
                <c:ptCount val="9"/>
                <c:pt idx="5">
                  <c:v>0.17</c:v>
                </c:pt>
                <c:pt idx="6">
                  <c:v>0.11</c:v>
                </c:pt>
              </c:numCache>
            </c:numRef>
          </c:val>
          <c:smooth val="0"/>
          <c:extLst>
            <c:ext xmlns:c16="http://schemas.microsoft.com/office/drawing/2014/chart" uri="{C3380CC4-5D6E-409C-BE32-E72D297353CC}">
              <c16:uniqueId val="{00000002-9941-4E0B-8B44-9F8A7CDF6743}"/>
            </c:ext>
          </c:extLst>
        </c:ser>
        <c:dLbls>
          <c:dLblPos val="t"/>
          <c:showLegendKey val="0"/>
          <c:showVal val="1"/>
          <c:showCatName val="0"/>
          <c:showSerName val="0"/>
          <c:showPercent val="0"/>
          <c:showBubbleSize val="0"/>
        </c:dLbls>
        <c:marker val="1"/>
        <c:smooth val="0"/>
        <c:axId val="1121519055"/>
        <c:axId val="1072845775"/>
      </c:lineChart>
      <c:lineChart>
        <c:grouping val="standard"/>
        <c:varyColors val="0"/>
        <c:ser>
          <c:idx val="2"/>
          <c:order val="2"/>
          <c:tx>
            <c:strRef>
              <c:f>AM!$C$14</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0"/>
              <c:layout>
                <c:manualLayout>
                  <c:x val="-4.9163062767333753E-2"/>
                  <c:y val="-5.35289586472689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941-4E0B-8B44-9F8A7CDF6743}"/>
                </c:ext>
              </c:extLst>
            </c:dLbl>
            <c:dLbl>
              <c:idx val="1"/>
              <c:layout>
                <c:manualLayout>
                  <c:x val="-1.7472658823611108E-2"/>
                  <c:y val="-3.406084075556137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941-4E0B-8B44-9F8A7CDF6743}"/>
                </c:ext>
              </c:extLst>
            </c:dLbl>
            <c:dLbl>
              <c:idx val="6"/>
              <c:layout>
                <c:manualLayout>
                  <c:x val="-4.9972222222222223E-2"/>
                  <c:y val="-2.841426071741032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941-4E0B-8B44-9F8A7CDF6743}"/>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AM!$D$11:$L$11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AM!$D$14:$L$14</c:f>
              <c:numCache>
                <c:formatCode>#,##0.0</c:formatCode>
                <c:ptCount val="9"/>
                <c:pt idx="0">
                  <c:v>70.509376000000003</c:v>
                </c:pt>
                <c:pt idx="1">
                  <c:v>47.298186000000001</c:v>
                </c:pt>
                <c:pt idx="2">
                  <c:v>50.288643</c:v>
                </c:pt>
                <c:pt idx="3">
                  <c:v>55.164220999999998</c:v>
                </c:pt>
                <c:pt idx="4">
                  <c:v>53.572090000000003</c:v>
                </c:pt>
                <c:pt idx="5">
                  <c:v>54.9</c:v>
                </c:pt>
                <c:pt idx="6">
                  <c:v>61.90757</c:v>
                </c:pt>
                <c:pt idx="7">
                  <c:v>56.177092000000002</c:v>
                </c:pt>
                <c:pt idx="8">
                  <c:v>56.126804</c:v>
                </c:pt>
              </c:numCache>
            </c:numRef>
          </c:val>
          <c:smooth val="1"/>
          <c:extLst>
            <c:ext xmlns:c16="http://schemas.microsoft.com/office/drawing/2014/chart" uri="{C3380CC4-5D6E-409C-BE32-E72D297353CC}">
              <c16:uniqueId val="{00000006-9941-4E0B-8B44-9F8A7CDF6743}"/>
            </c:ext>
          </c:extLst>
        </c:ser>
        <c:dLbls>
          <c:dLblPos val="t"/>
          <c:showLegendKey val="0"/>
          <c:showVal val="1"/>
          <c:showCatName val="0"/>
          <c:showSerName val="0"/>
          <c:showPercent val="0"/>
          <c:showBubbleSize val="0"/>
        </c:dLbls>
        <c:marker val="1"/>
        <c:smooth val="0"/>
        <c:axId val="1240551599"/>
        <c:axId val="1072859919"/>
      </c:lineChart>
      <c:catAx>
        <c:axId val="1121519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072845775"/>
        <c:crosses val="autoZero"/>
        <c:auto val="1"/>
        <c:lblAlgn val="ctr"/>
        <c:lblOffset val="100"/>
        <c:noMultiLvlLbl val="0"/>
      </c:catAx>
      <c:valAx>
        <c:axId val="1072845775"/>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Palīdzības apjoms no NKI %</a:t>
                </a:r>
              </a:p>
            </c:rich>
          </c:tx>
          <c:layout>
            <c:manualLayout>
              <c:xMode val="edge"/>
              <c:yMode val="edge"/>
              <c:x val="1.1024142872891633E-2"/>
              <c:y val="9.9403984338023318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21519055"/>
        <c:crosses val="autoZero"/>
        <c:crossBetween val="between"/>
      </c:valAx>
      <c:valAx>
        <c:axId val="1072859919"/>
        <c:scaling>
          <c:orientation val="minMax"/>
          <c:min val="45"/>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6175716156966429"/>
              <c:y val="0.1753494255840970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40551599"/>
        <c:crosses val="max"/>
        <c:crossBetween val="between"/>
      </c:valAx>
      <c:catAx>
        <c:axId val="1240551599"/>
        <c:scaling>
          <c:orientation val="minMax"/>
        </c:scaling>
        <c:delete val="1"/>
        <c:axPos val="b"/>
        <c:numFmt formatCode="General" sourceLinked="1"/>
        <c:majorTickMark val="out"/>
        <c:minorTickMark val="none"/>
        <c:tickLblPos val="nextTo"/>
        <c:crossAx val="1072859919"/>
        <c:crosses val="autoZero"/>
        <c:auto val="1"/>
        <c:lblAlgn val="ctr"/>
        <c:lblOffset val="100"/>
        <c:noMultiLvlLbl val="0"/>
      </c:catAx>
      <c:spPr>
        <a:noFill/>
        <a:ln>
          <a:noFill/>
        </a:ln>
        <a:effectLst/>
      </c:spPr>
    </c:plotArea>
    <c:legend>
      <c:legendPos val="b"/>
      <c:layout>
        <c:manualLayout>
          <c:xMode val="edge"/>
          <c:yMode val="edge"/>
          <c:x val="0"/>
          <c:y val="0.80306940320984466"/>
          <c:w val="1"/>
          <c:h val="0.1944597908867948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555862633021752"/>
          <c:y val="8.8046128703190216E-2"/>
          <c:w val="0.44265693444426879"/>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 Nozaru vadība un politikas plānošana</c:v>
                </c:pt>
                <c:pt idx="1">
                  <c:v>2. Uzņēmējdarbības konkurētspējas atbalsts</c:v>
                </c:pt>
                <c:pt idx="2">
                  <c:v>3. Enerģētikas politikas īstenošana</c:v>
                </c:pt>
                <c:pt idx="3">
                  <c:v>4. Būvniecības un mājokļu politikas īstenošana</c:v>
                </c:pt>
                <c:pt idx="4">
                  <c:v>5. Iekšējā tirgus uzraudzība</c:v>
                </c:pt>
                <c:pt idx="5">
                  <c:v>6. Oficiālās statistikas nodrošināšana</c:v>
                </c:pt>
              </c:strCache>
            </c:strRef>
          </c:cat>
          <c:val>
            <c:numRef>
              <c:f>Sheet1!$B$2:$B$7</c:f>
              <c:numCache>
                <c:formatCode>General</c:formatCode>
                <c:ptCount val="6"/>
                <c:pt idx="0">
                  <c:v>76.900000000000006</c:v>
                </c:pt>
                <c:pt idx="1">
                  <c:v>54.4</c:v>
                </c:pt>
                <c:pt idx="2">
                  <c:v>97.9</c:v>
                </c:pt>
                <c:pt idx="3">
                  <c:v>64.400000000000006</c:v>
                </c:pt>
                <c:pt idx="4">
                  <c:v>100</c:v>
                </c:pt>
                <c:pt idx="5">
                  <c:v>46.9</c:v>
                </c:pt>
              </c:numCache>
            </c:numRef>
          </c:val>
          <c:extLst>
            <c:ext xmlns:c16="http://schemas.microsoft.com/office/drawing/2014/chart" uri="{C3380CC4-5D6E-409C-BE32-E72D297353CC}">
              <c16:uniqueId val="{00000000-00AD-4939-A89A-5C0BD99CDC4A}"/>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692921198211489E-2"/>
          <c:y val="0.10941393326056675"/>
          <c:w val="0.84135668136841735"/>
          <c:h val="0.74634184101472911"/>
        </c:manualLayout>
      </c:layout>
      <c:lineChart>
        <c:grouping val="standard"/>
        <c:varyColors val="0"/>
        <c:ser>
          <c:idx val="0"/>
          <c:order val="0"/>
          <c:tx>
            <c:strRef>
              <c:f>EM!$C$49</c:f>
              <c:strCache>
                <c:ptCount val="1"/>
                <c:pt idx="0">
                  <c:v>Latvijas vērtējums e-pārvaldes indeksā (vieta)</c:v>
                </c:pt>
              </c:strCache>
            </c:strRef>
          </c:tx>
          <c:spPr>
            <a:ln w="50800" cap="rnd">
              <a:solidFill>
                <a:srgbClr val="F79646"/>
              </a:solidFill>
              <a:round/>
            </a:ln>
            <a:effectLst>
              <a:outerShdw blurRad="50800" dist="38100" dir="2700000" algn="tl" rotWithShape="0">
                <a:prstClr val="black">
                  <a:alpha val="40000"/>
                </a:prstClr>
              </a:outerShdw>
            </a:effectLst>
          </c:spPr>
          <c:marker>
            <c:symbol val="none"/>
          </c:marker>
          <c:dLbls>
            <c:dLbl>
              <c:idx val="1"/>
              <c:layout>
                <c:manualLayout>
                  <c:x val="2.4712157320034645E-3"/>
                  <c:y val="-9.5320776641441458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34C-4A2A-8857-812091B372CD}"/>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EM!$D$48:$L$48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EM!$D$49:$L$49</c:f>
              <c:numCache>
                <c:formatCode>General</c:formatCode>
                <c:ptCount val="9"/>
                <c:pt idx="1">
                  <c:v>45</c:v>
                </c:pt>
                <c:pt idx="2">
                  <c:v>51</c:v>
                </c:pt>
                <c:pt idx="3">
                  <c:v>57</c:v>
                </c:pt>
                <c:pt idx="4">
                  <c:v>53</c:v>
                </c:pt>
                <c:pt idx="5">
                  <c:v>49</c:v>
                </c:pt>
              </c:numCache>
            </c:numRef>
          </c:val>
          <c:smooth val="1"/>
          <c:extLst>
            <c:ext xmlns:c16="http://schemas.microsoft.com/office/drawing/2014/chart" uri="{C3380CC4-5D6E-409C-BE32-E72D297353CC}">
              <c16:uniqueId val="{00000001-434C-4A2A-8857-812091B372CD}"/>
            </c:ext>
          </c:extLst>
        </c:ser>
        <c:ser>
          <c:idx val="1"/>
          <c:order val="1"/>
          <c:tx>
            <c:strRef>
              <c:f>EM!$C$50</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7"/>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5"/>
              <c:layout>
                <c:manualLayout>
                  <c:x val="-1.7792966596847176E-2"/>
                  <c:y val="-4.41823372901432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34C-4A2A-8857-812091B372CD}"/>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EM!$D$48:$L$48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EM!$D$50:$L$50</c:f>
              <c:numCache>
                <c:formatCode>General</c:formatCode>
                <c:ptCount val="9"/>
                <c:pt idx="5">
                  <c:v>23</c:v>
                </c:pt>
              </c:numCache>
            </c:numRef>
          </c:val>
          <c:smooth val="0"/>
          <c:extLst>
            <c:ext xmlns:c16="http://schemas.microsoft.com/office/drawing/2014/chart" uri="{C3380CC4-5D6E-409C-BE32-E72D297353CC}">
              <c16:uniqueId val="{00000003-434C-4A2A-8857-812091B372CD}"/>
            </c:ext>
          </c:extLst>
        </c:ser>
        <c:dLbls>
          <c:dLblPos val="t"/>
          <c:showLegendKey val="0"/>
          <c:showVal val="1"/>
          <c:showCatName val="0"/>
          <c:showSerName val="0"/>
          <c:showPercent val="0"/>
          <c:showBubbleSize val="0"/>
        </c:dLbls>
        <c:marker val="1"/>
        <c:smooth val="0"/>
        <c:axId val="906685728"/>
        <c:axId val="901752448"/>
      </c:lineChart>
      <c:lineChart>
        <c:grouping val="standard"/>
        <c:varyColors val="0"/>
        <c:ser>
          <c:idx val="2"/>
          <c:order val="2"/>
          <c:tx>
            <c:strRef>
              <c:f>EM!$C$51</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6"/>
              <c:layout>
                <c:manualLayout>
                  <c:x val="-4.9244395325377513E-2"/>
                  <c:y val="-5.627874589859574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34C-4A2A-8857-812091B372CD}"/>
                </c:ext>
              </c:extLst>
            </c:dLbl>
            <c:dLbl>
              <c:idx val="8"/>
              <c:layout>
                <c:manualLayout>
                  <c:x val="-2.2599492889427846E-2"/>
                  <c:y val="-6.071428571428580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34C-4A2A-8857-812091B372CD}"/>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EM!$D$48:$L$48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EM!$D$51:$L$51</c:f>
              <c:numCache>
                <c:formatCode>#,##0.0</c:formatCode>
                <c:ptCount val="9"/>
                <c:pt idx="0">
                  <c:v>9.0710499999999996</c:v>
                </c:pt>
                <c:pt idx="1">
                  <c:v>9.6096070000000005</c:v>
                </c:pt>
                <c:pt idx="2">
                  <c:v>10.004636</c:v>
                </c:pt>
                <c:pt idx="3">
                  <c:v>10.083401</c:v>
                </c:pt>
                <c:pt idx="4">
                  <c:v>10.195125000000001</c:v>
                </c:pt>
                <c:pt idx="5">
                  <c:v>10.119071</c:v>
                </c:pt>
                <c:pt idx="6">
                  <c:v>10.552492000000001</c:v>
                </c:pt>
                <c:pt idx="7">
                  <c:v>11.139168</c:v>
                </c:pt>
                <c:pt idx="8">
                  <c:v>9.9550560000000008</c:v>
                </c:pt>
              </c:numCache>
            </c:numRef>
          </c:val>
          <c:smooth val="1"/>
          <c:extLst>
            <c:ext xmlns:c16="http://schemas.microsoft.com/office/drawing/2014/chart" uri="{C3380CC4-5D6E-409C-BE32-E72D297353CC}">
              <c16:uniqueId val="{00000006-434C-4A2A-8857-812091B372CD}"/>
            </c:ext>
          </c:extLst>
        </c:ser>
        <c:dLbls>
          <c:dLblPos val="t"/>
          <c:showLegendKey val="0"/>
          <c:showVal val="1"/>
          <c:showCatName val="0"/>
          <c:showSerName val="0"/>
          <c:showPercent val="0"/>
          <c:showBubbleSize val="0"/>
        </c:dLbls>
        <c:marker val="1"/>
        <c:smooth val="0"/>
        <c:axId val="906705728"/>
        <c:axId val="901761600"/>
      </c:lineChart>
      <c:catAx>
        <c:axId val="906685728"/>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1752448"/>
        <c:crosses val="autoZero"/>
        <c:auto val="1"/>
        <c:lblAlgn val="ctr"/>
        <c:lblOffset val="100"/>
        <c:noMultiLvlLbl val="0"/>
      </c:catAx>
      <c:valAx>
        <c:axId val="901752448"/>
        <c:scaling>
          <c:orientation val="maxMin"/>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Vieta indeksā</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685728"/>
        <c:crosses val="autoZero"/>
        <c:crossBetween val="between"/>
        <c:majorUnit val="10"/>
      </c:valAx>
      <c:valAx>
        <c:axId val="901761600"/>
        <c:scaling>
          <c:orientation val="minMax"/>
          <c:max val="12"/>
          <c:min val="8"/>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6483003289013969"/>
              <c:y val="0.2637233617402762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705728"/>
        <c:crosses val="max"/>
        <c:crossBetween val="between"/>
        <c:majorUnit val="1"/>
      </c:valAx>
      <c:catAx>
        <c:axId val="906705728"/>
        <c:scaling>
          <c:orientation val="minMax"/>
        </c:scaling>
        <c:delete val="1"/>
        <c:axPos val="b"/>
        <c:numFmt formatCode="General" sourceLinked="1"/>
        <c:majorTickMark val="out"/>
        <c:minorTickMark val="none"/>
        <c:tickLblPos val="nextTo"/>
        <c:crossAx val="901761600"/>
        <c:crosses val="autoZero"/>
        <c:auto val="1"/>
        <c:lblAlgn val="ctr"/>
        <c:lblOffset val="100"/>
        <c:noMultiLvlLbl val="0"/>
      </c:catAx>
      <c:spPr>
        <a:noFill/>
        <a:ln>
          <a:noFill/>
        </a:ln>
        <a:effectLst/>
      </c:spPr>
    </c:plotArea>
    <c:legend>
      <c:legendPos val="b"/>
      <c:layout>
        <c:manualLayout>
          <c:xMode val="edge"/>
          <c:yMode val="edge"/>
          <c:x val="1.7638628596626613E-2"/>
          <c:y val="0.87385373124655719"/>
          <c:w val="0.98236137140337354"/>
          <c:h val="0.1245880273196303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8B79-44C2-AB1E-BB02AC550352}"/>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8B79-44C2-AB1E-BB02AC550352}"/>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8B79-44C2-AB1E-BB02AC550352}"/>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Sheet1!$P$43:$X$44</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Sheet1!$P$45:$X$45</c:f>
              <c:numCache>
                <c:formatCode>#\ ##0.0</c:formatCode>
                <c:ptCount val="9"/>
                <c:pt idx="0">
                  <c:v>37.299999999999997</c:v>
                </c:pt>
                <c:pt idx="1">
                  <c:v>37.200613000000004</c:v>
                </c:pt>
                <c:pt idx="2">
                  <c:v>36.700000000000003</c:v>
                </c:pt>
                <c:pt idx="3">
                  <c:v>35.713060000000013</c:v>
                </c:pt>
                <c:pt idx="4">
                  <c:v>37.700000000000003</c:v>
                </c:pt>
                <c:pt idx="5">
                  <c:v>35.577756669999999</c:v>
                </c:pt>
                <c:pt idx="6">
                  <c:v>41.987141999999999</c:v>
                </c:pt>
                <c:pt idx="7">
                  <c:v>39.584848999999998</c:v>
                </c:pt>
                <c:pt idx="8">
                  <c:v>39.534560999999997</c:v>
                </c:pt>
              </c:numCache>
            </c:numRef>
          </c:val>
          <c:extLst>
            <c:ext xmlns:c16="http://schemas.microsoft.com/office/drawing/2014/chart" uri="{C3380CC4-5D6E-409C-BE32-E72D297353CC}">
              <c16:uniqueId val="{00000006-8B79-44C2-AB1E-BB02AC550352}"/>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42"/>
          <c:min val="3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213152236468734E-2"/>
          <c:y val="4.5994980207214056E-2"/>
          <c:w val="0.83188112675420589"/>
          <c:h val="0.7395351071312164"/>
        </c:manualLayout>
      </c:layout>
      <c:lineChart>
        <c:grouping val="standard"/>
        <c:varyColors val="0"/>
        <c:ser>
          <c:idx val="0"/>
          <c:order val="0"/>
          <c:tx>
            <c:strRef>
              <c:f>EM!$C$35</c:f>
              <c:strCache>
                <c:ptCount val="1"/>
                <c:pt idx="0">
                  <c:v>Ārvalstu tiešo investīciju snieguma indekss (% no IKP)</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0"/>
              <c:layout>
                <c:manualLayout>
                  <c:x val="-5.2893635973865899E-2"/>
                  <c:y val="-3.79749313480660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A8E-4A4C-9E7B-A844A38BE5E9}"/>
                </c:ext>
              </c:extLst>
            </c:dLbl>
            <c:dLbl>
              <c:idx val="1"/>
              <c:layout>
                <c:manualLayout>
                  <c:x val="-8.205568354853135E-2"/>
                  <c:y val="-1.792480920019589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A8E-4A4C-9E7B-A844A38BE5E9}"/>
                </c:ext>
              </c:extLst>
            </c:dLbl>
            <c:dLbl>
              <c:idx val="5"/>
              <c:layout>
                <c:manualLayout>
                  <c:x val="-3.4830117023362334E-2"/>
                  <c:y val="-3.969924185278284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A8E-4A4C-9E7B-A844A38BE5E9}"/>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EM!$D$34:$L$34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EM!$D$35:$L$35</c:f>
              <c:numCache>
                <c:formatCode>General</c:formatCode>
                <c:ptCount val="9"/>
                <c:pt idx="0">
                  <c:v>2.4</c:v>
                </c:pt>
                <c:pt idx="1">
                  <c:v>1.4</c:v>
                </c:pt>
                <c:pt idx="2">
                  <c:v>1.1000000000000001</c:v>
                </c:pt>
                <c:pt idx="3">
                  <c:v>0.8</c:v>
                </c:pt>
                <c:pt idx="4">
                  <c:v>0.7</c:v>
                </c:pt>
                <c:pt idx="5">
                  <c:v>0.7</c:v>
                </c:pt>
              </c:numCache>
            </c:numRef>
          </c:val>
          <c:smooth val="1"/>
          <c:extLst>
            <c:ext xmlns:c16="http://schemas.microsoft.com/office/drawing/2014/chart" uri="{C3380CC4-5D6E-409C-BE32-E72D297353CC}">
              <c16:uniqueId val="{00000003-EA8E-4A4C-9E7B-A844A38BE5E9}"/>
            </c:ext>
          </c:extLst>
        </c:ser>
        <c:ser>
          <c:idx val="1"/>
          <c:order val="1"/>
          <c:tx>
            <c:strRef>
              <c:f>EM!$C$36</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numFmt formatCode="#,##0.0" sourceLinked="0"/>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EM!$D$34:$L$34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EM!$D$36:$L$36</c:f>
              <c:numCache>
                <c:formatCode>General</c:formatCode>
                <c:ptCount val="9"/>
                <c:pt idx="5">
                  <c:v>1.2</c:v>
                </c:pt>
                <c:pt idx="7">
                  <c:v>1</c:v>
                </c:pt>
              </c:numCache>
            </c:numRef>
          </c:val>
          <c:smooth val="0"/>
          <c:extLst>
            <c:ext xmlns:c16="http://schemas.microsoft.com/office/drawing/2014/chart" uri="{C3380CC4-5D6E-409C-BE32-E72D297353CC}">
              <c16:uniqueId val="{00000004-EA8E-4A4C-9E7B-A844A38BE5E9}"/>
            </c:ext>
          </c:extLst>
        </c:ser>
        <c:dLbls>
          <c:dLblPos val="t"/>
          <c:showLegendKey val="0"/>
          <c:showVal val="1"/>
          <c:showCatName val="0"/>
          <c:showSerName val="0"/>
          <c:showPercent val="0"/>
          <c:showBubbleSize val="0"/>
        </c:dLbls>
        <c:marker val="1"/>
        <c:smooth val="0"/>
        <c:axId val="906685728"/>
        <c:axId val="901752448"/>
      </c:lineChart>
      <c:lineChart>
        <c:grouping val="standard"/>
        <c:varyColors val="0"/>
        <c:ser>
          <c:idx val="2"/>
          <c:order val="2"/>
          <c:tx>
            <c:strRef>
              <c:f>EM!$C$37</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0"/>
              <c:layout>
                <c:manualLayout>
                  <c:x val="3.2755788619156082E-2"/>
                  <c:y val="1.391478477062186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A8E-4A4C-9E7B-A844A38BE5E9}"/>
                </c:ext>
              </c:extLst>
            </c:dLbl>
            <c:dLbl>
              <c:idx val="1"/>
              <c:layout>
                <c:manualLayout>
                  <c:x val="5.8713452006042659E-3"/>
                  <c:y val="9.9047603410478049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A8E-4A4C-9E7B-A844A38BE5E9}"/>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EM!$D$34:$L$34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EM!$D$37:$L$37</c:f>
              <c:numCache>
                <c:formatCode>#,##0.0</c:formatCode>
                <c:ptCount val="9"/>
                <c:pt idx="0">
                  <c:v>117.64727499999999</c:v>
                </c:pt>
                <c:pt idx="1">
                  <c:v>74.043841999999998</c:v>
                </c:pt>
                <c:pt idx="2">
                  <c:v>27.150794999999999</c:v>
                </c:pt>
                <c:pt idx="3">
                  <c:v>26.437539000000001</c:v>
                </c:pt>
                <c:pt idx="4">
                  <c:v>24.444264</c:v>
                </c:pt>
                <c:pt idx="5">
                  <c:v>26.978211000000002</c:v>
                </c:pt>
                <c:pt idx="6">
                  <c:v>32.069159999999997</c:v>
                </c:pt>
                <c:pt idx="7">
                  <c:v>26.434018999999999</c:v>
                </c:pt>
                <c:pt idx="8">
                  <c:v>19.765857</c:v>
                </c:pt>
              </c:numCache>
            </c:numRef>
          </c:val>
          <c:smooth val="1"/>
          <c:extLst>
            <c:ext xmlns:c16="http://schemas.microsoft.com/office/drawing/2014/chart" uri="{C3380CC4-5D6E-409C-BE32-E72D297353CC}">
              <c16:uniqueId val="{00000007-EA8E-4A4C-9E7B-A844A38BE5E9}"/>
            </c:ext>
          </c:extLst>
        </c:ser>
        <c:dLbls>
          <c:dLblPos val="t"/>
          <c:showLegendKey val="0"/>
          <c:showVal val="1"/>
          <c:showCatName val="0"/>
          <c:showSerName val="0"/>
          <c:showPercent val="0"/>
          <c:showBubbleSize val="0"/>
        </c:dLbls>
        <c:marker val="1"/>
        <c:smooth val="0"/>
        <c:axId val="906705728"/>
        <c:axId val="901761600"/>
      </c:lineChart>
      <c:catAx>
        <c:axId val="90668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1752448"/>
        <c:crosses val="autoZero"/>
        <c:auto val="1"/>
        <c:lblAlgn val="ctr"/>
        <c:lblOffset val="100"/>
        <c:noMultiLvlLbl val="0"/>
      </c:catAx>
      <c:valAx>
        <c:axId val="901752448"/>
        <c:scaling>
          <c:orientation val="minMax"/>
          <c:max val="3"/>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Investīciju snieguma indekss</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685728"/>
        <c:crosses val="autoZero"/>
        <c:crossBetween val="between"/>
      </c:valAx>
      <c:valAx>
        <c:axId val="901761600"/>
        <c:scaling>
          <c:orientation val="minMax"/>
          <c:max val="120"/>
          <c:min val="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705728"/>
        <c:crosses val="max"/>
        <c:crossBetween val="between"/>
      </c:valAx>
      <c:catAx>
        <c:axId val="906705728"/>
        <c:scaling>
          <c:orientation val="minMax"/>
        </c:scaling>
        <c:delete val="1"/>
        <c:axPos val="b"/>
        <c:numFmt formatCode="General" sourceLinked="1"/>
        <c:majorTickMark val="out"/>
        <c:minorTickMark val="none"/>
        <c:tickLblPos val="nextTo"/>
        <c:crossAx val="901761600"/>
        <c:crosses val="autoZero"/>
        <c:auto val="1"/>
        <c:lblAlgn val="ctr"/>
        <c:lblOffset val="100"/>
        <c:noMultiLvlLbl val="0"/>
      </c:catAx>
      <c:spPr>
        <a:noFill/>
        <a:ln>
          <a:noFill/>
        </a:ln>
        <a:effectLst/>
      </c:spPr>
    </c:plotArea>
    <c:legend>
      <c:legendPos val="b"/>
      <c:layout>
        <c:manualLayout>
          <c:xMode val="edge"/>
          <c:yMode val="edge"/>
          <c:x val="1.2609373764153603E-2"/>
          <c:y val="0.87325407853430081"/>
          <c:w val="0.97951200263332661"/>
          <c:h val="0.126745921465699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617254431370802E-2"/>
          <c:y val="2.1934833629769918E-2"/>
          <c:w val="0.83520989707617166"/>
          <c:h val="0.67858152081609335"/>
        </c:manualLayout>
      </c:layout>
      <c:lineChart>
        <c:grouping val="standard"/>
        <c:varyColors val="0"/>
        <c:ser>
          <c:idx val="0"/>
          <c:order val="0"/>
          <c:tx>
            <c:strRef>
              <c:f>EM!$C$43</c:f>
              <c:strCache>
                <c:ptCount val="1"/>
                <c:pt idx="0">
                  <c:v>Dokumentu saskaņošana no būvniecības ieceres līdz objekta nodošanai ekspluatācijā (dienu skaits)</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1"/>
              <c:layout>
                <c:manualLayout>
                  <c:x val="-3.8416171833872033E-2"/>
                  <c:y val="-3.42055083842665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F76-44A9-AEEB-371BF1D94862}"/>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EM!$D$42:$K$42</c:f>
              <c:numCache>
                <c:formatCode>General</c:formatCode>
                <c:ptCount val="8"/>
                <c:pt idx="0">
                  <c:v>2015</c:v>
                </c:pt>
                <c:pt idx="1">
                  <c:v>2016</c:v>
                </c:pt>
                <c:pt idx="2">
                  <c:v>2017</c:v>
                </c:pt>
                <c:pt idx="3">
                  <c:v>2018</c:v>
                </c:pt>
                <c:pt idx="4">
                  <c:v>2019</c:v>
                </c:pt>
                <c:pt idx="5">
                  <c:v>2020</c:v>
                </c:pt>
                <c:pt idx="6">
                  <c:v>2021</c:v>
                </c:pt>
                <c:pt idx="7">
                  <c:v>2022</c:v>
                </c:pt>
              </c:numCache>
            </c:numRef>
          </c:cat>
          <c:val>
            <c:numRef>
              <c:f>EM!$D$43:$K$43</c:f>
              <c:numCache>
                <c:formatCode>General</c:formatCode>
                <c:ptCount val="8"/>
                <c:pt idx="1">
                  <c:v>147</c:v>
                </c:pt>
                <c:pt idx="2">
                  <c:v>192</c:v>
                </c:pt>
                <c:pt idx="3">
                  <c:v>192</c:v>
                </c:pt>
                <c:pt idx="4">
                  <c:v>192</c:v>
                </c:pt>
                <c:pt idx="5">
                  <c:v>192</c:v>
                </c:pt>
              </c:numCache>
            </c:numRef>
          </c:val>
          <c:smooth val="1"/>
          <c:extLst>
            <c:ext xmlns:c16="http://schemas.microsoft.com/office/drawing/2014/chart" uri="{C3380CC4-5D6E-409C-BE32-E72D297353CC}">
              <c16:uniqueId val="{00000001-9F76-44A9-AEEB-371BF1D94862}"/>
            </c:ext>
          </c:extLst>
        </c:ser>
        <c:ser>
          <c:idx val="1"/>
          <c:order val="1"/>
          <c:tx>
            <c:strRef>
              <c:f>EM!$C$44</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1"/>
              <c:layout>
                <c:manualLayout>
                  <c:x val="-8.8963766352124718E-2"/>
                  <c:y val="-2.393984584455692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F76-44A9-AEEB-371BF1D94862}"/>
                </c:ext>
              </c:extLst>
            </c:dLbl>
            <c:dLbl>
              <c:idx val="4"/>
              <c:layout>
                <c:manualLayout>
                  <c:x val="-4.5746373534418329E-2"/>
                  <c:y val="-6.734650366960211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F76-44A9-AEEB-371BF1D94862}"/>
                </c:ext>
              </c:extLst>
            </c:dLbl>
            <c:dLbl>
              <c:idx val="5"/>
              <c:layout>
                <c:manualLayout>
                  <c:x val="-4.5621201770459988E-2"/>
                  <c:y val="-6.84963484658497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F76-44A9-AEEB-371BF1D94862}"/>
                </c:ext>
              </c:extLst>
            </c:dLbl>
            <c:dLbl>
              <c:idx val="6"/>
              <c:layout>
                <c:manualLayout>
                  <c:x val="-1.7041762404547849E-2"/>
                  <c:y val="-4.18247914054341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F76-44A9-AEEB-371BF1D94862}"/>
                </c:ext>
              </c:extLst>
            </c:dLbl>
            <c:dLbl>
              <c:idx val="7"/>
              <c:layout>
                <c:manualLayout>
                  <c:x val="-1.0385610629009976E-2"/>
                  <c:y val="-2.346774688960116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F76-44A9-AEEB-371BF1D94862}"/>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EM!$D$42:$K$42</c:f>
              <c:numCache>
                <c:formatCode>General</c:formatCode>
                <c:ptCount val="8"/>
                <c:pt idx="0">
                  <c:v>2015</c:v>
                </c:pt>
                <c:pt idx="1">
                  <c:v>2016</c:v>
                </c:pt>
                <c:pt idx="2">
                  <c:v>2017</c:v>
                </c:pt>
                <c:pt idx="3">
                  <c:v>2018</c:v>
                </c:pt>
                <c:pt idx="4">
                  <c:v>2019</c:v>
                </c:pt>
                <c:pt idx="5">
                  <c:v>2020</c:v>
                </c:pt>
                <c:pt idx="6">
                  <c:v>2021</c:v>
                </c:pt>
                <c:pt idx="7">
                  <c:v>2022</c:v>
                </c:pt>
              </c:numCache>
            </c:numRef>
          </c:cat>
          <c:val>
            <c:numRef>
              <c:f>EM!$D$44:$K$44</c:f>
              <c:numCache>
                <c:formatCode>General</c:formatCode>
                <c:ptCount val="8"/>
                <c:pt idx="1">
                  <c:v>165</c:v>
                </c:pt>
                <c:pt idx="4">
                  <c:v>65</c:v>
                </c:pt>
                <c:pt idx="5">
                  <c:v>72</c:v>
                </c:pt>
                <c:pt idx="6">
                  <c:v>72</c:v>
                </c:pt>
                <c:pt idx="7">
                  <c:v>74</c:v>
                </c:pt>
              </c:numCache>
            </c:numRef>
          </c:val>
          <c:smooth val="0"/>
          <c:extLst>
            <c:ext xmlns:c16="http://schemas.microsoft.com/office/drawing/2014/chart" uri="{C3380CC4-5D6E-409C-BE32-E72D297353CC}">
              <c16:uniqueId val="{00000007-9F76-44A9-AEEB-371BF1D94862}"/>
            </c:ext>
          </c:extLst>
        </c:ser>
        <c:dLbls>
          <c:dLblPos val="t"/>
          <c:showLegendKey val="0"/>
          <c:showVal val="1"/>
          <c:showCatName val="0"/>
          <c:showSerName val="0"/>
          <c:showPercent val="0"/>
          <c:showBubbleSize val="0"/>
        </c:dLbls>
        <c:marker val="1"/>
        <c:smooth val="0"/>
        <c:axId val="906685728"/>
        <c:axId val="901752448"/>
      </c:lineChart>
      <c:lineChart>
        <c:grouping val="standard"/>
        <c:varyColors val="0"/>
        <c:ser>
          <c:idx val="2"/>
          <c:order val="2"/>
          <c:tx>
            <c:strRef>
              <c:f>EM!$C$45</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1"/>
              <c:layout>
                <c:manualLayout>
                  <c:x val="-2.7099171284791605E-2"/>
                  <c:y val="3.420550838426635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F76-44A9-AEEB-371BF1D94862}"/>
                </c:ext>
              </c:extLst>
            </c:dLbl>
            <c:dLbl>
              <c:idx val="3"/>
              <c:layout>
                <c:manualLayout>
                  <c:x val="-5.1811328604826332E-2"/>
                  <c:y val="-5.40150290663621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9F76-44A9-AEEB-371BF1D94862}"/>
                </c:ext>
              </c:extLst>
            </c:dLbl>
            <c:dLbl>
              <c:idx val="5"/>
              <c:layout>
                <c:manualLayout>
                  <c:x val="-3.3964082127260195E-2"/>
                  <c:y val="-7.497535132831643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9F76-44A9-AEEB-371BF1D94862}"/>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EM!$D$42:$K$42</c:f>
              <c:numCache>
                <c:formatCode>General</c:formatCode>
                <c:ptCount val="8"/>
                <c:pt idx="0">
                  <c:v>2015</c:v>
                </c:pt>
                <c:pt idx="1">
                  <c:v>2016</c:v>
                </c:pt>
                <c:pt idx="2">
                  <c:v>2017</c:v>
                </c:pt>
                <c:pt idx="3">
                  <c:v>2018</c:v>
                </c:pt>
                <c:pt idx="4">
                  <c:v>2019</c:v>
                </c:pt>
                <c:pt idx="5">
                  <c:v>2020</c:v>
                </c:pt>
                <c:pt idx="6">
                  <c:v>2021</c:v>
                </c:pt>
                <c:pt idx="7">
                  <c:v>2022</c:v>
                </c:pt>
              </c:numCache>
            </c:numRef>
          </c:cat>
          <c:val>
            <c:numRef>
              <c:f>EM!$D$45:$K$45</c:f>
              <c:numCache>
                <c:formatCode>#,##0.0</c:formatCode>
                <c:ptCount val="8"/>
                <c:pt idx="0">
                  <c:v>4.2144360000000001</c:v>
                </c:pt>
                <c:pt idx="1">
                  <c:v>7.5167809999999999</c:v>
                </c:pt>
                <c:pt idx="2">
                  <c:v>7.6155689999999998</c:v>
                </c:pt>
                <c:pt idx="3">
                  <c:v>8.5692129999999995</c:v>
                </c:pt>
                <c:pt idx="4">
                  <c:v>14.799967000000001</c:v>
                </c:pt>
                <c:pt idx="5">
                  <c:v>6.2507960000000002</c:v>
                </c:pt>
                <c:pt idx="6">
                  <c:v>13.937315999999999</c:v>
                </c:pt>
                <c:pt idx="7">
                  <c:v>12.829295999999999</c:v>
                </c:pt>
              </c:numCache>
            </c:numRef>
          </c:val>
          <c:smooth val="1"/>
          <c:extLst>
            <c:ext xmlns:c16="http://schemas.microsoft.com/office/drawing/2014/chart" uri="{C3380CC4-5D6E-409C-BE32-E72D297353CC}">
              <c16:uniqueId val="{0000000B-9F76-44A9-AEEB-371BF1D94862}"/>
            </c:ext>
          </c:extLst>
        </c:ser>
        <c:dLbls>
          <c:dLblPos val="t"/>
          <c:showLegendKey val="0"/>
          <c:showVal val="1"/>
          <c:showCatName val="0"/>
          <c:showSerName val="0"/>
          <c:showPercent val="0"/>
          <c:showBubbleSize val="0"/>
        </c:dLbls>
        <c:marker val="1"/>
        <c:smooth val="0"/>
        <c:axId val="906705728"/>
        <c:axId val="901761600"/>
      </c:lineChart>
      <c:catAx>
        <c:axId val="906685728"/>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1752448"/>
        <c:crosses val="autoZero"/>
        <c:auto val="1"/>
        <c:lblAlgn val="ctr"/>
        <c:lblOffset val="100"/>
        <c:noMultiLvlLbl val="0"/>
      </c:catAx>
      <c:valAx>
        <c:axId val="901752448"/>
        <c:scaling>
          <c:orientation val="maxMin"/>
          <c:max val="2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Dienu skaits</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685728"/>
        <c:crosses val="autoZero"/>
        <c:crossBetween val="between"/>
        <c:majorUnit val="50"/>
      </c:valAx>
      <c:valAx>
        <c:axId val="901761600"/>
        <c:scaling>
          <c:orientation val="minMax"/>
          <c:max val="16"/>
          <c:min val="4"/>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7057647586797768"/>
              <c:y val="0.2043699161285426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705728"/>
        <c:crosses val="max"/>
        <c:crossBetween val="between"/>
      </c:valAx>
      <c:catAx>
        <c:axId val="906705728"/>
        <c:scaling>
          <c:orientation val="minMax"/>
        </c:scaling>
        <c:delete val="1"/>
        <c:axPos val="b"/>
        <c:numFmt formatCode="General" sourceLinked="1"/>
        <c:majorTickMark val="out"/>
        <c:minorTickMark val="none"/>
        <c:tickLblPos val="nextTo"/>
        <c:crossAx val="901761600"/>
        <c:crosses val="autoZero"/>
        <c:auto val="1"/>
        <c:lblAlgn val="ctr"/>
        <c:lblOffset val="100"/>
        <c:noMultiLvlLbl val="0"/>
      </c:catAx>
      <c:spPr>
        <a:noFill/>
        <a:ln>
          <a:noFill/>
        </a:ln>
        <a:effectLst/>
      </c:spPr>
    </c:plotArea>
    <c:legend>
      <c:legendPos val="b"/>
      <c:layout>
        <c:manualLayout>
          <c:xMode val="edge"/>
          <c:yMode val="edge"/>
          <c:x val="0"/>
          <c:y val="0.82075393971806765"/>
          <c:w val="0.99493722748883051"/>
          <c:h val="0.1792460602819324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636043565329326"/>
          <c:y val="8.8046128703190216E-2"/>
          <c:w val="0.42846954515428159"/>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1. Sabiedriskā kārtība un drošība, noziedzības novēršana un apkarošana</c:v>
                </c:pt>
                <c:pt idx="1">
                  <c:v>2. Valsts robežas drošība</c:v>
                </c:pt>
                <c:pt idx="2">
                  <c:v>3. Civilā aizsardzība, ugunsdrošība, ugunsdzēsība un glābšana</c:v>
                </c:pt>
                <c:pt idx="3">
                  <c:v>4. Pilsonība, migrācija, personu apliecinoši dokumenti un iedzīvotāju uzskaite</c:v>
                </c:pt>
                <c:pt idx="4">
                  <c:v>5. Vienotās sakaru un informācijas sistēmas nodrošināšana</c:v>
                </c:pt>
                <c:pt idx="5">
                  <c:v>6. Personāla fiziskā sagatavotība, veselības un sociālā aprūpe</c:v>
                </c:pt>
                <c:pt idx="6">
                  <c:v>7. Nodrošinājums iestāžu funkciju īstenošanā, atbalsts lietisko pierādījumu, arestētās un izņemtās mantas glabāšanā</c:v>
                </c:pt>
                <c:pt idx="7">
                  <c:v>9. Nozaru vadība un iekšlietu politikas plānošana</c:v>
                </c:pt>
              </c:strCache>
            </c:strRef>
          </c:cat>
          <c:val>
            <c:numRef>
              <c:f>Sheet1!$B$2:$B$9</c:f>
              <c:numCache>
                <c:formatCode>General</c:formatCode>
                <c:ptCount val="8"/>
                <c:pt idx="0">
                  <c:v>83.6</c:v>
                </c:pt>
                <c:pt idx="1">
                  <c:v>61.9</c:v>
                </c:pt>
                <c:pt idx="2">
                  <c:v>82.2</c:v>
                </c:pt>
                <c:pt idx="3">
                  <c:v>65.900000000000006</c:v>
                </c:pt>
                <c:pt idx="4">
                  <c:v>100</c:v>
                </c:pt>
                <c:pt idx="5">
                  <c:v>100</c:v>
                </c:pt>
                <c:pt idx="6">
                  <c:v>31.2</c:v>
                </c:pt>
                <c:pt idx="7">
                  <c:v>100</c:v>
                </c:pt>
              </c:numCache>
            </c:numRef>
          </c:val>
          <c:extLst>
            <c:ext xmlns:c16="http://schemas.microsoft.com/office/drawing/2014/chart" uri="{C3380CC4-5D6E-409C-BE32-E72D297353CC}">
              <c16:uniqueId val="{00000000-C8AA-4985-A933-0DF25ADE4F35}"/>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89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552619449192152E-2"/>
          <c:y val="3.7333186530442847E-2"/>
          <c:w val="0.86158068847942348"/>
          <c:h val="0.6679828014919188"/>
        </c:manualLayout>
      </c:layout>
      <c:barChart>
        <c:barDir val="col"/>
        <c:grouping val="clustered"/>
        <c:varyColors val="0"/>
        <c:ser>
          <c:idx val="0"/>
          <c:order val="0"/>
          <c:tx>
            <c:strRef>
              <c:f>IEM!$L$62</c:f>
              <c:strCache>
                <c:ptCount val="1"/>
                <c:pt idx="0">
                  <c:v>Ieguldījuma izmaiņas iekšlietu infrastruktūrā (%) pret iepriekšējo gadu</c:v>
                </c:pt>
              </c:strCache>
            </c:strRef>
          </c:tx>
          <c:spPr>
            <a:solidFill>
              <a:schemeClr val="accent6"/>
            </a:solidFill>
            <a:ln>
              <a:noFill/>
            </a:ln>
            <a:effectLst>
              <a:outerShdw blurRad="50800" dist="38100" dir="2700000" algn="tl" rotWithShape="0">
                <a:prstClr val="black">
                  <a:alpha val="40000"/>
                </a:prstClr>
              </a:outerShdw>
            </a:effectLst>
          </c:spPr>
          <c:invertIfNegative val="0"/>
          <c:dLbls>
            <c:dLbl>
              <c:idx val="3"/>
              <c:layout>
                <c:manualLayout>
                  <c:x val="-8.0842780498506403E-17"/>
                  <c:y val="8.543894184279596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8C1-4435-B974-D92A5192D06C}"/>
                </c:ext>
              </c:extLst>
            </c:dLbl>
            <c:dLbl>
              <c:idx val="4"/>
              <c:layout>
                <c:manualLayout>
                  <c:x val="1.5156026343361253E-3"/>
                  <c:y val="7.5195814338997094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8C1-4435-B974-D92A5192D06C}"/>
                </c:ext>
              </c:extLst>
            </c:dLbl>
            <c:dLbl>
              <c:idx val="5"/>
              <c:layout>
                <c:manualLayout>
                  <c:x val="-1.2124152756210137E-2"/>
                  <c:y val="6.179403999862104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8C1-4435-B974-D92A5192D06C}"/>
                </c:ext>
              </c:extLst>
            </c:dLbl>
            <c:spPr>
              <a:noFill/>
              <a:ln>
                <a:noFill/>
              </a:ln>
              <a:effectLst/>
            </c:spPr>
            <c:txPr>
              <a:bodyPr rot="0" spcFirstLastPara="1" vertOverflow="ellipsis" vert="horz" wrap="square" anchor="ctr" anchorCtr="1"/>
              <a:lstStyle/>
              <a:p>
                <a:pPr>
                  <a:defRPr sz="1000" b="0"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IEM!$M$61:$U$61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IEM!$M$62:$U$62</c:f>
              <c:numCache>
                <c:formatCode>General</c:formatCode>
                <c:ptCount val="9"/>
                <c:pt idx="0">
                  <c:v>5.7</c:v>
                </c:pt>
                <c:pt idx="1">
                  <c:v>12</c:v>
                </c:pt>
                <c:pt idx="2">
                  <c:v>16</c:v>
                </c:pt>
                <c:pt idx="3">
                  <c:v>-8</c:v>
                </c:pt>
                <c:pt idx="4">
                  <c:v>-10</c:v>
                </c:pt>
                <c:pt idx="5">
                  <c:v>-1.6</c:v>
                </c:pt>
              </c:numCache>
            </c:numRef>
          </c:val>
          <c:extLst>
            <c:ext xmlns:c16="http://schemas.microsoft.com/office/drawing/2014/chart" uri="{C3380CC4-5D6E-409C-BE32-E72D297353CC}">
              <c16:uniqueId val="{00000003-68C1-4435-B974-D92A5192D06C}"/>
            </c:ext>
          </c:extLst>
        </c:ser>
        <c:ser>
          <c:idx val="1"/>
          <c:order val="1"/>
          <c:tx>
            <c:strRef>
              <c:f>IEM!$L$63</c:f>
              <c:strCache>
                <c:ptCount val="1"/>
                <c:pt idx="0">
                  <c:v>Lēmumu (ceļu satiksmē izņemtie transportlīdzekļi) izpildes izmaiņas (%) pret iepriekšējo gadu</c:v>
                </c:pt>
              </c:strCache>
            </c:strRef>
          </c:tx>
          <c:spPr>
            <a:solidFill>
              <a:schemeClr val="accent2"/>
            </a:solidFill>
            <a:ln>
              <a:noFill/>
            </a:ln>
            <a:effectLst>
              <a:outerShdw blurRad="50800" dist="38100" dir="2700000" algn="tl" rotWithShape="0">
                <a:prstClr val="black">
                  <a:alpha val="40000"/>
                </a:prstClr>
              </a:outerShdw>
            </a:effectLst>
          </c:spPr>
          <c:invertIfNegative val="0"/>
          <c:dLbls>
            <c:dLbl>
              <c:idx val="2"/>
              <c:layout>
                <c:manualLayout>
                  <c:x val="-2.2048285745782862E-3"/>
                  <c:y val="9.0906202514159498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8C1-4435-B974-D92A5192D06C}"/>
                </c:ext>
              </c:extLst>
            </c:dLbl>
            <c:dLbl>
              <c:idx val="3"/>
              <c:layout>
                <c:manualLayout>
                  <c:x val="-4.5465572835788571E-3"/>
                  <c:y val="5.0909157961602669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8C1-4435-B974-D92A5192D06C}"/>
                </c:ext>
              </c:extLst>
            </c:dLbl>
            <c:dLbl>
              <c:idx val="4"/>
              <c:layout>
                <c:manualLayout>
                  <c:x val="1.515429025786865E-3"/>
                  <c:y val="8.5266266058847906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2.685499835500545E-2"/>
                      <c:h val="8.1250589594436512E-2"/>
                    </c:manualLayout>
                  </c15:layout>
                </c:ext>
                <c:ext xmlns:c16="http://schemas.microsoft.com/office/drawing/2014/chart" uri="{C3380CC4-5D6E-409C-BE32-E72D297353CC}">
                  <c16:uniqueId val="{00000006-68C1-4435-B974-D92A5192D06C}"/>
                </c:ext>
              </c:extLst>
            </c:dLbl>
            <c:dLbl>
              <c:idx val="5"/>
              <c:layout>
                <c:manualLayout>
                  <c:x val="8.9562914436159304E-3"/>
                  <c:y val="7.6650435142975551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8C1-4435-B974-D92A5192D06C}"/>
                </c:ext>
              </c:extLst>
            </c:dLbl>
            <c:spPr>
              <a:noFill/>
              <a:ln>
                <a:noFill/>
              </a:ln>
              <a:effectLst/>
            </c:spPr>
            <c:txPr>
              <a:bodyPr rot="0" spcFirstLastPara="1" vertOverflow="ellipsis" vert="horz" wrap="square" anchor="ctr" anchorCtr="1"/>
              <a:lstStyle/>
              <a:p>
                <a:pPr>
                  <a:defRPr sz="1000" b="0"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IEM!$M$61:$U$61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IEM!$M$63:$U$63</c:f>
              <c:numCache>
                <c:formatCode>General</c:formatCode>
                <c:ptCount val="9"/>
                <c:pt idx="2">
                  <c:v>-12</c:v>
                </c:pt>
                <c:pt idx="3">
                  <c:v>-1</c:v>
                </c:pt>
                <c:pt idx="4">
                  <c:v>8</c:v>
                </c:pt>
                <c:pt idx="5">
                  <c:v>5.5</c:v>
                </c:pt>
              </c:numCache>
            </c:numRef>
          </c:val>
          <c:extLst>
            <c:ext xmlns:c16="http://schemas.microsoft.com/office/drawing/2014/chart" uri="{C3380CC4-5D6E-409C-BE32-E72D297353CC}">
              <c16:uniqueId val="{00000008-68C1-4435-B974-D92A5192D06C}"/>
            </c:ext>
          </c:extLst>
        </c:ser>
        <c:dLbls>
          <c:dLblPos val="outEnd"/>
          <c:showLegendKey val="0"/>
          <c:showVal val="1"/>
          <c:showCatName val="0"/>
          <c:showSerName val="0"/>
          <c:showPercent val="0"/>
          <c:showBubbleSize val="0"/>
        </c:dLbls>
        <c:gapWidth val="57"/>
        <c:axId val="550586127"/>
        <c:axId val="535352431"/>
      </c:barChart>
      <c:lineChart>
        <c:grouping val="standard"/>
        <c:varyColors val="0"/>
        <c:ser>
          <c:idx val="2"/>
          <c:order val="2"/>
          <c:tx>
            <c:strRef>
              <c:f>IEM!$L$64</c:f>
              <c:strCache>
                <c:ptCount val="1"/>
                <c:pt idx="0">
                  <c:v>Rādītāja plānotās vērtības infrastruktūra</c:v>
                </c:pt>
              </c:strCache>
            </c:strRef>
          </c:tx>
          <c:spPr>
            <a:ln w="28575" cap="rnd">
              <a:noFill/>
              <a:round/>
            </a:ln>
            <a:effectLst/>
          </c:spPr>
          <c:marker>
            <c:symbol val="diamond"/>
            <c:size val="16"/>
            <c:spPr>
              <a:solidFill>
                <a:schemeClr val="accent6"/>
              </a:solidFill>
              <a:ln w="9525">
                <a:solidFill>
                  <a:schemeClr val="accent6">
                    <a:lumMod val="50000"/>
                  </a:schemeClr>
                </a:solidFill>
              </a:ln>
              <a:effectLst/>
            </c:spPr>
          </c:marker>
          <c:dLbls>
            <c:dLbl>
              <c:idx val="2"/>
              <c:layout>
                <c:manualLayout>
                  <c:x val="-3.6944353177168751E-2"/>
                  <c:y val="-6.10906688679973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68C1-4435-B974-D92A5192D06C}"/>
                </c:ext>
              </c:extLst>
            </c:dLbl>
            <c:dLbl>
              <c:idx val="3"/>
              <c:layout>
                <c:manualLayout>
                  <c:x val="-1.0608633661683926E-2"/>
                  <c:y val="1.69696302411102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68C1-4435-B974-D92A5192D06C}"/>
                </c:ext>
              </c:extLst>
            </c:dLbl>
            <c:dLbl>
              <c:idx val="4"/>
              <c:layout>
                <c:manualLayout>
                  <c:x val="-1.0608633661683926E-2"/>
                  <c:y val="2.715140838577661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68C1-4435-B974-D92A5192D06C}"/>
                </c:ext>
              </c:extLst>
            </c:dLbl>
            <c:dLbl>
              <c:idx val="5"/>
              <c:layout>
                <c:manualLayout>
                  <c:x val="-5.7731439727017997E-2"/>
                  <c:y val="-3.39394253349910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68C1-4435-B974-D92A5192D06C}"/>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IEM!$M$61:$U$61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IEM!$M$64:$U$64</c:f>
              <c:numCache>
                <c:formatCode>General</c:formatCode>
                <c:ptCount val="9"/>
                <c:pt idx="2">
                  <c:v>15.7</c:v>
                </c:pt>
                <c:pt idx="3">
                  <c:v>-14</c:v>
                </c:pt>
                <c:pt idx="4">
                  <c:v>-13</c:v>
                </c:pt>
                <c:pt idx="5">
                  <c:v>3</c:v>
                </c:pt>
              </c:numCache>
            </c:numRef>
          </c:val>
          <c:smooth val="0"/>
          <c:extLst>
            <c:ext xmlns:c16="http://schemas.microsoft.com/office/drawing/2014/chart" uri="{C3380CC4-5D6E-409C-BE32-E72D297353CC}">
              <c16:uniqueId val="{0000000D-68C1-4435-B974-D92A5192D06C}"/>
            </c:ext>
          </c:extLst>
        </c:ser>
        <c:ser>
          <c:idx val="3"/>
          <c:order val="3"/>
          <c:tx>
            <c:strRef>
              <c:f>IEM!$L$65</c:f>
              <c:strCache>
                <c:ptCount val="1"/>
                <c:pt idx="0">
                  <c:v>Rādītāja plānotās vērtības transportlīdzekļi</c:v>
                </c:pt>
              </c:strCache>
            </c:strRef>
          </c:tx>
          <c:spPr>
            <a:ln w="28575" cap="rnd">
              <a:noFill/>
              <a:round/>
            </a:ln>
            <a:effectLst/>
          </c:spPr>
          <c:marker>
            <c:symbol val="diamond"/>
            <c:size val="16"/>
            <c:spPr>
              <a:solidFill>
                <a:srgbClr val="F79646"/>
              </a:solidFill>
              <a:ln w="9525">
                <a:solidFill>
                  <a:srgbClr val="F79646">
                    <a:lumMod val="50000"/>
                  </a:srgbClr>
                </a:solidFill>
              </a:ln>
              <a:effectLst/>
            </c:spPr>
          </c:marker>
          <c:dLbls>
            <c:dLbl>
              <c:idx val="3"/>
              <c:layout>
                <c:manualLayout>
                  <c:x val="-1.0608633661683926E-2"/>
                  <c:y val="2.71514083857765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68C1-4435-B974-D92A5192D06C}"/>
                </c:ext>
              </c:extLst>
            </c:dLbl>
            <c:dLbl>
              <c:idx val="4"/>
              <c:layout>
                <c:manualLayout>
                  <c:x val="-1.0608633661683926E-2"/>
                  <c:y val="3.393926048222077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68C1-4435-B974-D92A5192D06C}"/>
                </c:ext>
              </c:extLst>
            </c:dLbl>
            <c:dLbl>
              <c:idx val="5"/>
              <c:layout>
                <c:manualLayout>
                  <c:x val="-4.1060678792066437E-2"/>
                  <c:y val="6.406686006354468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68C1-4435-B974-D92A5192D06C}"/>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IEM!$M$61:$U$61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IEM!$M$65:$U$65</c:f>
              <c:numCache>
                <c:formatCode>General</c:formatCode>
                <c:ptCount val="9"/>
                <c:pt idx="3">
                  <c:v>-3</c:v>
                </c:pt>
                <c:pt idx="4">
                  <c:v>-2</c:v>
                </c:pt>
                <c:pt idx="5">
                  <c:v>-0.5</c:v>
                </c:pt>
              </c:numCache>
            </c:numRef>
          </c:val>
          <c:smooth val="0"/>
          <c:extLst>
            <c:ext xmlns:c16="http://schemas.microsoft.com/office/drawing/2014/chart" uri="{C3380CC4-5D6E-409C-BE32-E72D297353CC}">
              <c16:uniqueId val="{00000011-68C1-4435-B974-D92A5192D06C}"/>
            </c:ext>
          </c:extLst>
        </c:ser>
        <c:dLbls>
          <c:showLegendKey val="0"/>
          <c:showVal val="1"/>
          <c:showCatName val="0"/>
          <c:showSerName val="0"/>
          <c:showPercent val="0"/>
          <c:showBubbleSize val="0"/>
        </c:dLbls>
        <c:marker val="1"/>
        <c:smooth val="0"/>
        <c:axId val="550586127"/>
        <c:axId val="535352431"/>
      </c:lineChart>
      <c:lineChart>
        <c:grouping val="standard"/>
        <c:varyColors val="0"/>
        <c:ser>
          <c:idx val="4"/>
          <c:order val="4"/>
          <c:tx>
            <c:strRef>
              <c:f>IEM!$L$66</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0"/>
              <c:layout>
                <c:manualLayout>
                  <c:x val="-5.9558924841283264E-2"/>
                  <c:y val="-4.038771997384284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68C1-4435-B974-D92A5192D06C}"/>
                </c:ext>
              </c:extLst>
            </c:dLbl>
            <c:dLbl>
              <c:idx val="2"/>
              <c:delete val="1"/>
              <c:extLst>
                <c:ext xmlns:c15="http://schemas.microsoft.com/office/drawing/2012/chart" uri="{CE6537A1-D6FC-4f65-9D91-7224C49458BB}"/>
                <c:ext xmlns:c16="http://schemas.microsoft.com/office/drawing/2014/chart" uri="{C3380CC4-5D6E-409C-BE32-E72D297353CC}">
                  <c16:uniqueId val="{00000013-68C1-4435-B974-D92A5192D06C}"/>
                </c:ext>
              </c:extLst>
            </c:dLbl>
            <c:dLbl>
              <c:idx val="4"/>
              <c:delete val="1"/>
              <c:extLst>
                <c:ext xmlns:c15="http://schemas.microsoft.com/office/drawing/2012/chart" uri="{CE6537A1-D6FC-4f65-9D91-7224C49458BB}"/>
                <c:ext xmlns:c16="http://schemas.microsoft.com/office/drawing/2014/chart" uri="{C3380CC4-5D6E-409C-BE32-E72D297353CC}">
                  <c16:uniqueId val="{00000014-68C1-4435-B974-D92A5192D06C}"/>
                </c:ext>
              </c:extLst>
            </c:dLbl>
            <c:dLbl>
              <c:idx val="5"/>
              <c:layout>
                <c:manualLayout>
                  <c:x val="-3.760193837869074E-2"/>
                  <c:y val="4.446043123170920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68C1-4435-B974-D92A5192D06C}"/>
                </c:ext>
              </c:extLst>
            </c:dLbl>
            <c:dLbl>
              <c:idx val="6"/>
              <c:layout>
                <c:manualLayout>
                  <c:x val="-3.3223259622655876E-2"/>
                  <c:y val="3.767257913526499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68C1-4435-B974-D92A5192D06C}"/>
                </c:ext>
              </c:extLst>
            </c:dLbl>
            <c:dLbl>
              <c:idx val="7"/>
              <c:layout>
                <c:manualLayout>
                  <c:x val="-3.7612465788265277E-2"/>
                  <c:y val="4.743645531150703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68C1-4435-B974-D92A5192D06C}"/>
                </c:ext>
              </c:extLst>
            </c:dLbl>
            <c:dLbl>
              <c:idx val="8"/>
              <c:layout>
                <c:manualLayout>
                  <c:x val="-3.8033292911476134E-2"/>
                  <c:y val="3.618421052631579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181347150259067E-2"/>
                      <c:h val="6.3596491228070179E-2"/>
                    </c:manualLayout>
                  </c15:layout>
                </c:ext>
                <c:ext xmlns:c16="http://schemas.microsoft.com/office/drawing/2014/chart" uri="{C3380CC4-5D6E-409C-BE32-E72D297353CC}">
                  <c16:uniqueId val="{00000018-68C1-4435-B974-D92A5192D06C}"/>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IEM!$M$61:$U$61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IEM!$M$66:$U$66</c:f>
              <c:numCache>
                <c:formatCode>#,##0.0</c:formatCode>
                <c:ptCount val="9"/>
                <c:pt idx="0">
                  <c:v>35.676074999999997</c:v>
                </c:pt>
                <c:pt idx="1">
                  <c:v>45.230947</c:v>
                </c:pt>
                <c:pt idx="2">
                  <c:v>46.147122000000003</c:v>
                </c:pt>
                <c:pt idx="3">
                  <c:v>44.188369999999999</c:v>
                </c:pt>
                <c:pt idx="4">
                  <c:v>39.354931999999998</c:v>
                </c:pt>
                <c:pt idx="5">
                  <c:v>38.391630999999997</c:v>
                </c:pt>
                <c:pt idx="6">
                  <c:v>38.385706999999996</c:v>
                </c:pt>
                <c:pt idx="7">
                  <c:v>39.738078999999999</c:v>
                </c:pt>
                <c:pt idx="8">
                  <c:v>38.244858000000001</c:v>
                </c:pt>
              </c:numCache>
            </c:numRef>
          </c:val>
          <c:smooth val="1"/>
          <c:extLst>
            <c:ext xmlns:c16="http://schemas.microsoft.com/office/drawing/2014/chart" uri="{C3380CC4-5D6E-409C-BE32-E72D297353CC}">
              <c16:uniqueId val="{00000019-68C1-4435-B974-D92A5192D06C}"/>
            </c:ext>
          </c:extLst>
        </c:ser>
        <c:dLbls>
          <c:showLegendKey val="0"/>
          <c:showVal val="0"/>
          <c:showCatName val="0"/>
          <c:showSerName val="0"/>
          <c:showPercent val="0"/>
          <c:showBubbleSize val="0"/>
        </c:dLbls>
        <c:marker val="1"/>
        <c:smooth val="0"/>
        <c:axId val="552490431"/>
        <c:axId val="535356175"/>
      </c:lineChart>
      <c:catAx>
        <c:axId val="55058612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35352431"/>
        <c:crosses val="autoZero"/>
        <c:auto val="1"/>
        <c:lblAlgn val="ctr"/>
        <c:lblOffset val="100"/>
        <c:noMultiLvlLbl val="0"/>
      </c:catAx>
      <c:valAx>
        <c:axId val="5353524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a:t>Izmaiņas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50586127"/>
        <c:crosses val="autoZero"/>
        <c:crossBetween val="between"/>
        <c:majorUnit val="10"/>
      </c:valAx>
      <c:valAx>
        <c:axId val="535356175"/>
        <c:scaling>
          <c:orientation val="minMax"/>
          <c:min val="35"/>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7057647586797768"/>
              <c:y val="0.1672392613327426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52490431"/>
        <c:crosses val="max"/>
        <c:crossBetween val="between"/>
        <c:majorUnit val="4"/>
      </c:valAx>
      <c:catAx>
        <c:axId val="552490431"/>
        <c:scaling>
          <c:orientation val="minMax"/>
        </c:scaling>
        <c:delete val="1"/>
        <c:axPos val="b"/>
        <c:numFmt formatCode="General" sourceLinked="1"/>
        <c:majorTickMark val="out"/>
        <c:minorTickMark val="none"/>
        <c:tickLblPos val="nextTo"/>
        <c:crossAx val="535356175"/>
        <c:crosses val="autoZero"/>
        <c:auto val="1"/>
        <c:lblAlgn val="ctr"/>
        <c:lblOffset val="100"/>
        <c:noMultiLvlLbl val="0"/>
      </c:catAx>
      <c:spPr>
        <a:noFill/>
        <a:ln>
          <a:noFill/>
        </a:ln>
        <a:effectLst/>
      </c:spPr>
    </c:plotArea>
    <c:legend>
      <c:legendPos val="b"/>
      <c:legendEntry>
        <c:idx val="2"/>
        <c:delete val="1"/>
      </c:legendEntry>
      <c:legendEntry>
        <c:idx val="3"/>
        <c:delete val="1"/>
      </c:legendEntry>
      <c:layout>
        <c:manualLayout>
          <c:xMode val="edge"/>
          <c:yMode val="edge"/>
          <c:x val="0"/>
          <c:y val="0.81425657941405971"/>
          <c:w val="1"/>
          <c:h val="0.1754993814770205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65538961485296E-2"/>
          <c:y val="8.4013913239456797E-2"/>
          <c:w val="0.85071018917255581"/>
          <c:h val="0.60263304712950572"/>
        </c:manualLayout>
      </c:layout>
      <c:lineChart>
        <c:grouping val="standard"/>
        <c:varyColors val="0"/>
        <c:ser>
          <c:idx val="0"/>
          <c:order val="0"/>
          <c:tx>
            <c:strRef>
              <c:f>IEM!$L$42</c:f>
              <c:strCache>
                <c:ptCount val="1"/>
                <c:pt idx="0">
                  <c:v>Valsts robežas joslas ierīkošana gar Latvijas – Baltkrievijas robežu no kopējā robežas garuma (%)</c:v>
                </c:pt>
              </c:strCache>
            </c:strRef>
          </c:tx>
          <c:spPr>
            <a:ln w="50800" cap="rnd">
              <a:solidFill>
                <a:srgbClr val="ED7D31"/>
              </a:solidFill>
              <a:round/>
            </a:ln>
            <a:effectLst>
              <a:outerShdw blurRad="50800" dist="38100" dir="5400000" algn="t" rotWithShape="0">
                <a:prstClr val="black">
                  <a:alpha val="40000"/>
                </a:prstClr>
              </a:outerShdw>
            </a:effectLst>
          </c:spPr>
          <c:marker>
            <c:symbol val="none"/>
          </c:marker>
          <c:dLbls>
            <c:dLbl>
              <c:idx val="4"/>
              <c:layout>
                <c:manualLayout>
                  <c:x val="-2.9765185756807408E-2"/>
                  <c:y val="-3.95480225988700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B4A-462A-91C9-5CB69D77B2F4}"/>
                </c:ext>
              </c:extLst>
            </c:dLbl>
            <c:dLbl>
              <c:idx val="5"/>
              <c:layout>
                <c:manualLayout>
                  <c:x val="-3.4174842905964141E-2"/>
                  <c:y val="-4.406779661016949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B4A-462A-91C9-5CB69D77B2F4}"/>
                </c:ext>
              </c:extLst>
            </c:dLbl>
            <c:spPr>
              <a:noFill/>
              <a:ln>
                <a:noFill/>
              </a:ln>
              <a:effectLst/>
            </c:spPr>
            <c:txPr>
              <a:bodyPr rot="0" spcFirstLastPara="1" vertOverflow="ellipsis" vert="horz" wrap="square" anchor="ctr" anchorCtr="1"/>
              <a:lstStyle/>
              <a:p>
                <a:pPr>
                  <a:defRPr sz="1000" b="0"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IEM!$M$41:$T$41</c:f>
              <c:numCache>
                <c:formatCode>General</c:formatCode>
                <c:ptCount val="8"/>
                <c:pt idx="0">
                  <c:v>2015</c:v>
                </c:pt>
                <c:pt idx="1">
                  <c:v>2016</c:v>
                </c:pt>
                <c:pt idx="2">
                  <c:v>2017</c:v>
                </c:pt>
                <c:pt idx="3">
                  <c:v>2018</c:v>
                </c:pt>
                <c:pt idx="4">
                  <c:v>2019</c:v>
                </c:pt>
                <c:pt idx="5">
                  <c:v>2020</c:v>
                </c:pt>
                <c:pt idx="6">
                  <c:v>2021</c:v>
                </c:pt>
                <c:pt idx="7">
                  <c:v>2022</c:v>
                </c:pt>
              </c:numCache>
            </c:numRef>
          </c:cat>
          <c:val>
            <c:numRef>
              <c:f>IEM!$M$42:$T$42</c:f>
              <c:numCache>
                <c:formatCode>0</c:formatCode>
                <c:ptCount val="8"/>
                <c:pt idx="1">
                  <c:v>0</c:v>
                </c:pt>
                <c:pt idx="2" formatCode="General">
                  <c:v>2</c:v>
                </c:pt>
                <c:pt idx="3" formatCode="General">
                  <c:v>2</c:v>
                </c:pt>
                <c:pt idx="4" formatCode="General">
                  <c:v>10</c:v>
                </c:pt>
                <c:pt idx="5" formatCode="General">
                  <c:v>10</c:v>
                </c:pt>
              </c:numCache>
            </c:numRef>
          </c:val>
          <c:smooth val="1"/>
          <c:extLst>
            <c:ext xmlns:c16="http://schemas.microsoft.com/office/drawing/2014/chart" uri="{C3380CC4-5D6E-409C-BE32-E72D297353CC}">
              <c16:uniqueId val="{00000002-4B4A-462A-91C9-5CB69D77B2F4}"/>
            </c:ext>
          </c:extLst>
        </c:ser>
        <c:ser>
          <c:idx val="1"/>
          <c:order val="1"/>
          <c:tx>
            <c:strRef>
              <c:f>IEM!$L$43</c:f>
              <c:strCache>
                <c:ptCount val="1"/>
                <c:pt idx="0">
                  <c:v>Valsts robežas joslas ierīkošana gar Latvijas – Krievijas robežu no kopējā robežas garuma (%)</c:v>
                </c:pt>
              </c:strCache>
            </c:strRef>
          </c:tx>
          <c:spPr>
            <a:ln w="50800" cap="rnd">
              <a:solidFill>
                <a:srgbClr val="70AD47"/>
              </a:solidFill>
              <a:round/>
            </a:ln>
            <a:effectLst>
              <a:outerShdw blurRad="50800" dist="38100" dir="5400000" algn="t" rotWithShape="0">
                <a:prstClr val="black">
                  <a:alpha val="40000"/>
                </a:prstClr>
              </a:outerShdw>
            </a:effectLst>
          </c:spPr>
          <c:marker>
            <c:symbol val="none"/>
          </c:marker>
          <c:dLbls>
            <c:dLbl>
              <c:idx val="1"/>
              <c:layout>
                <c:manualLayout>
                  <c:x val="2.4248302618816403E-3"/>
                  <c:y val="7.7557973697176723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B4A-462A-91C9-5CB69D77B2F4}"/>
                </c:ext>
              </c:extLst>
            </c:dLbl>
            <c:dLbl>
              <c:idx val="2"/>
              <c:layout>
                <c:manualLayout>
                  <c:x val="-3.2432104752667314E-2"/>
                  <c:y val="-5.136515999287510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B4A-462A-91C9-5CB69D77B2F4}"/>
                </c:ext>
              </c:extLst>
            </c:dLbl>
            <c:dLbl>
              <c:idx val="3"/>
              <c:layout>
                <c:manualLayout>
                  <c:x val="-1.4245877788554857E-2"/>
                  <c:y val="-5.447678932774843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B4A-462A-91C9-5CB69D77B2F4}"/>
                </c:ext>
              </c:extLst>
            </c:dLbl>
            <c:dLbl>
              <c:idx val="4"/>
              <c:layout>
                <c:manualLayout>
                  <c:x val="-2.0307953443258971E-2"/>
                  <c:y val="-3.891864265338188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B4A-462A-91C9-5CB69D77B2F4}"/>
                </c:ext>
              </c:extLst>
            </c:dLbl>
            <c:dLbl>
              <c:idx val="5"/>
              <c:layout>
                <c:manualLayout>
                  <c:x val="-5.3649369544131909E-2"/>
                  <c:y val="-3.269538398363527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B4A-462A-91C9-5CB69D77B2F4}"/>
                </c:ext>
              </c:extLst>
            </c:dLbl>
            <c:spPr>
              <a:noFill/>
              <a:ln>
                <a:noFill/>
              </a:ln>
              <a:effectLst/>
            </c:spPr>
            <c:txPr>
              <a:bodyPr rot="0" spcFirstLastPara="1" vertOverflow="ellipsis" vert="horz" wrap="square" anchor="ctr" anchorCtr="1"/>
              <a:lstStyle/>
              <a:p>
                <a:pPr>
                  <a:defRPr sz="1000" b="0"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IEM!$M$41:$T$41</c:f>
              <c:numCache>
                <c:formatCode>General</c:formatCode>
                <c:ptCount val="8"/>
                <c:pt idx="0">
                  <c:v>2015</c:v>
                </c:pt>
                <c:pt idx="1">
                  <c:v>2016</c:v>
                </c:pt>
                <c:pt idx="2">
                  <c:v>2017</c:v>
                </c:pt>
                <c:pt idx="3">
                  <c:v>2018</c:v>
                </c:pt>
                <c:pt idx="4">
                  <c:v>2019</c:v>
                </c:pt>
                <c:pt idx="5">
                  <c:v>2020</c:v>
                </c:pt>
                <c:pt idx="6">
                  <c:v>2021</c:v>
                </c:pt>
                <c:pt idx="7">
                  <c:v>2022</c:v>
                </c:pt>
              </c:numCache>
            </c:numRef>
          </c:cat>
          <c:val>
            <c:numRef>
              <c:f>IEM!$M$43:$T$43</c:f>
              <c:numCache>
                <c:formatCode>0</c:formatCode>
                <c:ptCount val="8"/>
                <c:pt idx="1">
                  <c:v>19</c:v>
                </c:pt>
                <c:pt idx="2" formatCode="General">
                  <c:v>44</c:v>
                </c:pt>
                <c:pt idx="3" formatCode="General">
                  <c:v>73</c:v>
                </c:pt>
                <c:pt idx="4" formatCode="General">
                  <c:v>81</c:v>
                </c:pt>
                <c:pt idx="5" formatCode="General">
                  <c:v>81</c:v>
                </c:pt>
              </c:numCache>
            </c:numRef>
          </c:val>
          <c:smooth val="1"/>
          <c:extLst>
            <c:ext xmlns:c16="http://schemas.microsoft.com/office/drawing/2014/chart" uri="{C3380CC4-5D6E-409C-BE32-E72D297353CC}">
              <c16:uniqueId val="{00000008-4B4A-462A-91C9-5CB69D77B2F4}"/>
            </c:ext>
          </c:extLst>
        </c:ser>
        <c:ser>
          <c:idx val="2"/>
          <c:order val="2"/>
          <c:tx>
            <c:strRef>
              <c:f>IEM!$L$44</c:f>
              <c:strCache>
                <c:ptCount val="1"/>
                <c:pt idx="0">
                  <c:v>Rādītāja plānotās vērtības Baltkrievija</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2"/>
              </a:solidFill>
              <a:ln w="9525">
                <a:solidFill>
                  <a:srgbClr val="ED7D31">
                    <a:lumMod val="50000"/>
                  </a:srgbClr>
                </a:solidFill>
              </a:ln>
              <a:effectLst>
                <a:outerShdw blurRad="50800" dist="38100" dir="2700000" algn="tl"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IEM!$M$41:$T$41</c:f>
              <c:numCache>
                <c:formatCode>General</c:formatCode>
                <c:ptCount val="8"/>
                <c:pt idx="0">
                  <c:v>2015</c:v>
                </c:pt>
                <c:pt idx="1">
                  <c:v>2016</c:v>
                </c:pt>
                <c:pt idx="2">
                  <c:v>2017</c:v>
                </c:pt>
                <c:pt idx="3">
                  <c:v>2018</c:v>
                </c:pt>
                <c:pt idx="4">
                  <c:v>2019</c:v>
                </c:pt>
                <c:pt idx="5">
                  <c:v>2020</c:v>
                </c:pt>
                <c:pt idx="6">
                  <c:v>2021</c:v>
                </c:pt>
                <c:pt idx="7">
                  <c:v>2022</c:v>
                </c:pt>
              </c:numCache>
            </c:numRef>
          </c:cat>
          <c:val>
            <c:numRef>
              <c:f>IEM!$M$44:$T$44</c:f>
              <c:numCache>
                <c:formatCode>General</c:formatCode>
                <c:ptCount val="8"/>
                <c:pt idx="3">
                  <c:v>28</c:v>
                </c:pt>
                <c:pt idx="4">
                  <c:v>28</c:v>
                </c:pt>
                <c:pt idx="5">
                  <c:v>28</c:v>
                </c:pt>
                <c:pt idx="6">
                  <c:v>15</c:v>
                </c:pt>
              </c:numCache>
            </c:numRef>
          </c:val>
          <c:smooth val="0"/>
          <c:extLst>
            <c:ext xmlns:c16="http://schemas.microsoft.com/office/drawing/2014/chart" uri="{C3380CC4-5D6E-409C-BE32-E72D297353CC}">
              <c16:uniqueId val="{00000009-4B4A-462A-91C9-5CB69D77B2F4}"/>
            </c:ext>
          </c:extLst>
        </c:ser>
        <c:ser>
          <c:idx val="3"/>
          <c:order val="3"/>
          <c:tx>
            <c:strRef>
              <c:f>IEM!$L$45</c:f>
              <c:strCache>
                <c:ptCount val="1"/>
                <c:pt idx="0">
                  <c:v>Rādītāja plānotās vērtības Krievija</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rgbClr val="70AD47">
                    <a:lumMod val="50000"/>
                  </a:srgbClr>
                </a:solidFill>
              </a:ln>
              <a:effectLst>
                <a:outerShdw blurRad="50800" dist="38100" dir="2700000" algn="tl" rotWithShape="0">
                  <a:prstClr val="black">
                    <a:alpha val="40000"/>
                  </a:prstClr>
                </a:outerShdw>
              </a:effectLst>
            </c:spPr>
          </c:marker>
          <c:dLbls>
            <c:dLbl>
              <c:idx val="3"/>
              <c:layout>
                <c:manualLayout>
                  <c:x val="-6.4204434483171688E-2"/>
                  <c:y val="-5.222439508367221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4B4A-462A-91C9-5CB69D77B2F4}"/>
                </c:ext>
              </c:extLst>
            </c:dLbl>
            <c:dLbl>
              <c:idx val="4"/>
              <c:layout>
                <c:manualLayout>
                  <c:x val="-1.8489330746847721E-3"/>
                  <c:y val="-7.6857244571370605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4B4A-462A-91C9-5CB69D77B2F4}"/>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IEM!$M$41:$T$41</c:f>
              <c:numCache>
                <c:formatCode>General</c:formatCode>
                <c:ptCount val="8"/>
                <c:pt idx="0">
                  <c:v>2015</c:v>
                </c:pt>
                <c:pt idx="1">
                  <c:v>2016</c:v>
                </c:pt>
                <c:pt idx="2">
                  <c:v>2017</c:v>
                </c:pt>
                <c:pt idx="3">
                  <c:v>2018</c:v>
                </c:pt>
                <c:pt idx="4">
                  <c:v>2019</c:v>
                </c:pt>
                <c:pt idx="5">
                  <c:v>2020</c:v>
                </c:pt>
                <c:pt idx="6">
                  <c:v>2021</c:v>
                </c:pt>
                <c:pt idx="7">
                  <c:v>2022</c:v>
                </c:pt>
              </c:numCache>
            </c:numRef>
          </c:cat>
          <c:val>
            <c:numRef>
              <c:f>IEM!$M$45:$T$45</c:f>
              <c:numCache>
                <c:formatCode>General</c:formatCode>
                <c:ptCount val="8"/>
                <c:pt idx="3">
                  <c:v>71</c:v>
                </c:pt>
                <c:pt idx="4">
                  <c:v>71</c:v>
                </c:pt>
                <c:pt idx="5">
                  <c:v>100</c:v>
                </c:pt>
                <c:pt idx="6">
                  <c:v>100</c:v>
                </c:pt>
              </c:numCache>
            </c:numRef>
          </c:val>
          <c:smooth val="0"/>
          <c:extLst>
            <c:ext xmlns:c16="http://schemas.microsoft.com/office/drawing/2014/chart" uri="{C3380CC4-5D6E-409C-BE32-E72D297353CC}">
              <c16:uniqueId val="{0000000C-4B4A-462A-91C9-5CB69D77B2F4}"/>
            </c:ext>
          </c:extLst>
        </c:ser>
        <c:dLbls>
          <c:dLblPos val="t"/>
          <c:showLegendKey val="0"/>
          <c:showVal val="1"/>
          <c:showCatName val="0"/>
          <c:showSerName val="0"/>
          <c:showPercent val="0"/>
          <c:showBubbleSize val="0"/>
        </c:dLbls>
        <c:marker val="1"/>
        <c:smooth val="0"/>
        <c:axId val="958977040"/>
        <c:axId val="930117776"/>
      </c:lineChart>
      <c:lineChart>
        <c:grouping val="standard"/>
        <c:varyColors val="0"/>
        <c:ser>
          <c:idx val="4"/>
          <c:order val="4"/>
          <c:tx>
            <c:strRef>
              <c:f>IEM!$L$46</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1"/>
              <c:layout>
                <c:manualLayout>
                  <c:x val="-6.3594992248180424E-2"/>
                  <c:y val="-4.203027198825513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4B4A-462A-91C9-5CB69D77B2F4}"/>
                </c:ext>
              </c:extLst>
            </c:dLbl>
            <c:dLbl>
              <c:idx val="3"/>
              <c:layout>
                <c:manualLayout>
                  <c:x val="-3.2428286122333644E-2"/>
                  <c:y val="3.576046138357735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4B4A-462A-91C9-5CB69D77B2F4}"/>
                </c:ext>
              </c:extLst>
            </c:dLbl>
            <c:dLbl>
              <c:idx val="5"/>
              <c:layout>
                <c:manualLayout>
                  <c:x val="-9.0363113558429974E-3"/>
                  <c:y val="-2.647212531388867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4B4A-462A-91C9-5CB69D77B2F4}"/>
                </c:ext>
              </c:extLst>
            </c:dLbl>
            <c:dLbl>
              <c:idx val="6"/>
              <c:layout>
                <c:manualLayout>
                  <c:x val="-3.6315651802011656E-2"/>
                  <c:y val="-4.825353065800180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4B4A-462A-91C9-5CB69D77B2F4}"/>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IEM!$M$41:$T$41</c:f>
              <c:numCache>
                <c:formatCode>General</c:formatCode>
                <c:ptCount val="8"/>
                <c:pt idx="0">
                  <c:v>2015</c:v>
                </c:pt>
                <c:pt idx="1">
                  <c:v>2016</c:v>
                </c:pt>
                <c:pt idx="2">
                  <c:v>2017</c:v>
                </c:pt>
                <c:pt idx="3">
                  <c:v>2018</c:v>
                </c:pt>
                <c:pt idx="4">
                  <c:v>2019</c:v>
                </c:pt>
                <c:pt idx="5">
                  <c:v>2020</c:v>
                </c:pt>
                <c:pt idx="6">
                  <c:v>2021</c:v>
                </c:pt>
                <c:pt idx="7">
                  <c:v>2022</c:v>
                </c:pt>
              </c:numCache>
            </c:numRef>
          </c:cat>
          <c:val>
            <c:numRef>
              <c:f>IEM!$M$46:$T$46</c:f>
              <c:numCache>
                <c:formatCode>#,##0.0</c:formatCode>
                <c:ptCount val="8"/>
                <c:pt idx="0">
                  <c:v>44.007441</c:v>
                </c:pt>
                <c:pt idx="1">
                  <c:v>51.776226999999999</c:v>
                </c:pt>
                <c:pt idx="2">
                  <c:v>71.761409</c:v>
                </c:pt>
                <c:pt idx="3">
                  <c:v>66.322303000000005</c:v>
                </c:pt>
                <c:pt idx="4">
                  <c:v>76.956664000000004</c:v>
                </c:pt>
                <c:pt idx="5">
                  <c:v>75.951065999999997</c:v>
                </c:pt>
                <c:pt idx="6">
                  <c:v>67.530417</c:v>
                </c:pt>
                <c:pt idx="7">
                  <c:v>61.850620999999997</c:v>
                </c:pt>
              </c:numCache>
            </c:numRef>
          </c:val>
          <c:smooth val="1"/>
          <c:extLst>
            <c:ext xmlns:c16="http://schemas.microsoft.com/office/drawing/2014/chart" uri="{C3380CC4-5D6E-409C-BE32-E72D297353CC}">
              <c16:uniqueId val="{00000011-4B4A-462A-91C9-5CB69D77B2F4}"/>
            </c:ext>
          </c:extLst>
        </c:ser>
        <c:dLbls>
          <c:dLblPos val="t"/>
          <c:showLegendKey val="0"/>
          <c:showVal val="1"/>
          <c:showCatName val="0"/>
          <c:showSerName val="0"/>
          <c:showPercent val="0"/>
          <c:showBubbleSize val="0"/>
        </c:dLbls>
        <c:marker val="1"/>
        <c:smooth val="0"/>
        <c:axId val="958988240"/>
        <c:axId val="930126096"/>
      </c:lineChart>
      <c:catAx>
        <c:axId val="95897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30117776"/>
        <c:crosses val="autoZero"/>
        <c:auto val="1"/>
        <c:lblAlgn val="ctr"/>
        <c:lblOffset val="100"/>
        <c:noMultiLvlLbl val="0"/>
      </c:catAx>
      <c:valAx>
        <c:axId val="93011777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Robežas joslas ierīkošana %</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8977040"/>
        <c:crosses val="autoZero"/>
        <c:crossBetween val="between"/>
        <c:majorUnit val="20"/>
      </c:valAx>
      <c:valAx>
        <c:axId val="930126096"/>
        <c:scaling>
          <c:orientation val="minMax"/>
          <c:min val="4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58988240"/>
        <c:crosses val="max"/>
        <c:crossBetween val="between"/>
        <c:majorUnit val="10"/>
      </c:valAx>
      <c:catAx>
        <c:axId val="958988240"/>
        <c:scaling>
          <c:orientation val="minMax"/>
        </c:scaling>
        <c:delete val="1"/>
        <c:axPos val="b"/>
        <c:numFmt formatCode="General" sourceLinked="1"/>
        <c:majorTickMark val="out"/>
        <c:minorTickMark val="none"/>
        <c:tickLblPos val="nextTo"/>
        <c:crossAx val="930126096"/>
        <c:crosses val="autoZero"/>
        <c:auto val="1"/>
        <c:lblAlgn val="ctr"/>
        <c:lblOffset val="100"/>
        <c:noMultiLvlLbl val="0"/>
      </c:catAx>
      <c:spPr>
        <a:noFill/>
        <a:ln>
          <a:noFill/>
        </a:ln>
        <a:effectLst/>
      </c:spPr>
    </c:plotArea>
    <c:legend>
      <c:legendPos val="b"/>
      <c:legendEntry>
        <c:idx val="2"/>
        <c:delete val="1"/>
      </c:legendEntry>
      <c:legendEntry>
        <c:idx val="3"/>
        <c:delete val="1"/>
      </c:legendEntry>
      <c:layout>
        <c:manualLayout>
          <c:xMode val="edge"/>
          <c:yMode val="edge"/>
          <c:x val="0"/>
          <c:y val="0.80798184376533611"/>
          <c:w val="1"/>
          <c:h val="0.1733483802254240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08792925798838"/>
          <c:y val="6.221633089801553E-2"/>
          <c:w val="0.81293140639417649"/>
          <c:h val="0.62312780484464081"/>
        </c:manualLayout>
      </c:layout>
      <c:lineChart>
        <c:grouping val="standard"/>
        <c:varyColors val="0"/>
        <c:ser>
          <c:idx val="0"/>
          <c:order val="0"/>
          <c:tx>
            <c:strRef>
              <c:f>IEM!$L$56</c:f>
              <c:strCache>
                <c:ptCount val="1"/>
                <c:pt idx="0">
                  <c:v>Migrācijas saldo, primāri veicinot reemigrāciju un samazinot emigrāciju</c:v>
                </c:pt>
              </c:strCache>
            </c:strRef>
          </c:tx>
          <c:spPr>
            <a:ln w="50800" cap="rnd">
              <a:solidFill>
                <a:srgbClr val="ED7D31"/>
              </a:solidFill>
              <a:round/>
            </a:ln>
            <a:effectLst>
              <a:outerShdw blurRad="50800" dist="38100" dir="5400000" algn="t" rotWithShape="0">
                <a:prstClr val="black">
                  <a:alpha val="40000"/>
                </a:prstClr>
              </a:outerShdw>
            </a:effectLst>
          </c:spPr>
          <c:marker>
            <c:symbol val="none"/>
          </c:marker>
          <c:dLbls>
            <c:dLbl>
              <c:idx val="1"/>
              <c:layout>
                <c:manualLayout>
                  <c:x val="-9.4549406393914626E-2"/>
                  <c:y val="-6.298973245688711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481-4D5B-98BD-1230CF0067AE}"/>
                </c:ext>
              </c:extLst>
            </c:dLbl>
            <c:dLbl>
              <c:idx val="2"/>
              <c:layout>
                <c:manualLayout>
                  <c:x val="-6.810360135026769E-2"/>
                  <c:y val="-5.579398168936397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481-4D5B-98BD-1230CF0067AE}"/>
                </c:ext>
              </c:extLst>
            </c:dLbl>
            <c:dLbl>
              <c:idx val="3"/>
              <c:layout>
                <c:manualLayout>
                  <c:x val="-5.3403067887610074E-2"/>
                  <c:y val="-6.144264604186963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481-4D5B-98BD-1230CF0067AE}"/>
                </c:ext>
              </c:extLst>
            </c:dLbl>
            <c:dLbl>
              <c:idx val="4"/>
              <c:layout>
                <c:manualLayout>
                  <c:x val="-4.233977981777496E-2"/>
                  <c:y val="5.574015520724470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481-4D5B-98BD-1230CF0067AE}"/>
                </c:ext>
              </c:extLst>
            </c:dLbl>
            <c:dLbl>
              <c:idx val="5"/>
              <c:layout>
                <c:manualLayout>
                  <c:x val="-4.5011662154291206E-2"/>
                  <c:y val="-4.498269896193773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481-4D5B-98BD-1230CF0067AE}"/>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IEM!$M$55:$U$55</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IEM!$M$56:$U$56</c:f>
              <c:numCache>
                <c:formatCode>#,##0</c:formatCode>
                <c:ptCount val="9"/>
                <c:pt idx="1">
                  <c:v>-12229</c:v>
                </c:pt>
                <c:pt idx="2">
                  <c:v>-7808</c:v>
                </c:pt>
                <c:pt idx="3">
                  <c:v>-4905</c:v>
                </c:pt>
                <c:pt idx="4">
                  <c:v>-3360</c:v>
                </c:pt>
                <c:pt idx="5">
                  <c:v>-3150</c:v>
                </c:pt>
              </c:numCache>
            </c:numRef>
          </c:val>
          <c:smooth val="1"/>
          <c:extLst>
            <c:ext xmlns:c16="http://schemas.microsoft.com/office/drawing/2014/chart" uri="{C3380CC4-5D6E-409C-BE32-E72D297353CC}">
              <c16:uniqueId val="{00000005-4481-4D5B-98BD-1230CF0067AE}"/>
            </c:ext>
          </c:extLst>
        </c:ser>
        <c:ser>
          <c:idx val="1"/>
          <c:order val="1"/>
          <c:tx>
            <c:strRef>
              <c:f>IEM!$L$57</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IEM!$M$55:$U$55</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IEM!$M$57:$U$57</c:f>
              <c:numCache>
                <c:formatCode>General</c:formatCode>
                <c:ptCount val="9"/>
                <c:pt idx="2" formatCode="#,##0">
                  <c:v>-1500</c:v>
                </c:pt>
                <c:pt idx="5" formatCode="#,##0">
                  <c:v>1000</c:v>
                </c:pt>
              </c:numCache>
            </c:numRef>
          </c:val>
          <c:smooth val="0"/>
          <c:extLst>
            <c:ext xmlns:c16="http://schemas.microsoft.com/office/drawing/2014/chart" uri="{C3380CC4-5D6E-409C-BE32-E72D297353CC}">
              <c16:uniqueId val="{00000006-4481-4D5B-98BD-1230CF0067AE}"/>
            </c:ext>
          </c:extLst>
        </c:ser>
        <c:dLbls>
          <c:dLblPos val="t"/>
          <c:showLegendKey val="0"/>
          <c:showVal val="1"/>
          <c:showCatName val="0"/>
          <c:showSerName val="0"/>
          <c:showPercent val="0"/>
          <c:showBubbleSize val="0"/>
        </c:dLbls>
        <c:marker val="1"/>
        <c:smooth val="0"/>
        <c:axId val="526420303"/>
        <c:axId val="355175087"/>
      </c:lineChart>
      <c:lineChart>
        <c:grouping val="standard"/>
        <c:varyColors val="0"/>
        <c:ser>
          <c:idx val="2"/>
          <c:order val="2"/>
          <c:tx>
            <c:strRef>
              <c:f>IEM!$L$58</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0"/>
              <c:layout>
                <c:manualLayout>
                  <c:x val="-5.1470840938772078E-2"/>
                  <c:y val="4.134865367219842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481-4D5B-98BD-1230CF0067AE}"/>
                </c:ext>
              </c:extLst>
            </c:dLbl>
            <c:dLbl>
              <c:idx val="1"/>
              <c:layout>
                <c:manualLayout>
                  <c:x val="-3.6315651802011656E-2"/>
                  <c:y val="3.055502752091364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4481-4D5B-98BD-1230CF0067AE}"/>
                </c:ext>
              </c:extLst>
            </c:dLbl>
            <c:dLbl>
              <c:idx val="2"/>
              <c:layout>
                <c:manualLayout>
                  <c:x val="-3.6315651802011656E-2"/>
                  <c:y val="5.214227982348313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481-4D5B-98BD-1230CF0067AE}"/>
                </c:ext>
              </c:extLst>
            </c:dLbl>
            <c:dLbl>
              <c:idx val="3"/>
              <c:layout>
                <c:manualLayout>
                  <c:x val="6.1188777809174852E-3"/>
                  <c:y val="-2.341310323550990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4481-4D5B-98BD-1230CF0067AE}"/>
                </c:ext>
              </c:extLst>
            </c:dLbl>
            <c:dLbl>
              <c:idx val="5"/>
              <c:layout>
                <c:manualLayout>
                  <c:x val="-3.8033292911476134E-2"/>
                  <c:y val="2.42214532871971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4481-4D5B-98BD-1230CF0067AE}"/>
                </c:ext>
              </c:extLst>
            </c:dLbl>
            <c:dLbl>
              <c:idx val="7"/>
              <c:layout>
                <c:manualLayout>
                  <c:x val="-3.1769095060983639E-2"/>
                  <c:y val="-5.579398168936397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4481-4D5B-98BD-1230CF0067AE}"/>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IEM!$M$55:$U$55</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IEM!$M$58:$U$58</c:f>
              <c:numCache>
                <c:formatCode>#,##0.0</c:formatCode>
                <c:ptCount val="9"/>
                <c:pt idx="0">
                  <c:v>17.082806000000001</c:v>
                </c:pt>
                <c:pt idx="1">
                  <c:v>16.949753000000001</c:v>
                </c:pt>
                <c:pt idx="2">
                  <c:v>18.537016000000001</c:v>
                </c:pt>
                <c:pt idx="3">
                  <c:v>18.435704999999999</c:v>
                </c:pt>
                <c:pt idx="4">
                  <c:v>24.073226999999999</c:v>
                </c:pt>
                <c:pt idx="5">
                  <c:v>21.713097999999999</c:v>
                </c:pt>
                <c:pt idx="6">
                  <c:v>24.28922</c:v>
                </c:pt>
                <c:pt idx="7">
                  <c:v>19.655477999999999</c:v>
                </c:pt>
                <c:pt idx="8">
                  <c:v>18.700396000000001</c:v>
                </c:pt>
              </c:numCache>
            </c:numRef>
          </c:val>
          <c:smooth val="1"/>
          <c:extLst>
            <c:ext xmlns:c16="http://schemas.microsoft.com/office/drawing/2014/chart" uri="{C3380CC4-5D6E-409C-BE32-E72D297353CC}">
              <c16:uniqueId val="{0000000D-4481-4D5B-98BD-1230CF0067AE}"/>
            </c:ext>
          </c:extLst>
        </c:ser>
        <c:dLbls>
          <c:dLblPos val="t"/>
          <c:showLegendKey val="0"/>
          <c:showVal val="1"/>
          <c:showCatName val="0"/>
          <c:showSerName val="0"/>
          <c:showPercent val="0"/>
          <c:showBubbleSize val="0"/>
        </c:dLbls>
        <c:marker val="1"/>
        <c:smooth val="0"/>
        <c:axId val="547611743"/>
        <c:axId val="539688255"/>
      </c:lineChart>
      <c:catAx>
        <c:axId val="5264203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55175087"/>
        <c:crosses val="autoZero"/>
        <c:auto val="1"/>
        <c:lblAlgn val="ctr"/>
        <c:lblOffset val="100"/>
        <c:noMultiLvlLbl val="0"/>
      </c:catAx>
      <c:valAx>
        <c:axId val="355175087"/>
        <c:scaling>
          <c:orientation val="minMax"/>
          <c:min val="-14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Migracijas</a:t>
                </a:r>
                <a:r>
                  <a:rPr lang="lv-LV" sz="900" baseline="0"/>
                  <a:t> saldo</a:t>
                </a:r>
                <a:endParaRPr lang="lv-LV" sz="900"/>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420303"/>
        <c:crosses val="autoZero"/>
        <c:crossBetween val="between"/>
        <c:majorUnit val="2000"/>
      </c:valAx>
      <c:valAx>
        <c:axId val="539688255"/>
        <c:scaling>
          <c:orientation val="minMax"/>
          <c:min val="16"/>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a:t>
                </a:r>
                <a:r>
                  <a:rPr lang="lv-LV" sz="900" baseline="0"/>
                  <a:t> milj. </a:t>
                </a:r>
                <a:r>
                  <a:rPr lang="lv-LV" sz="900" i="1" baseline="0"/>
                  <a:t>euro</a:t>
                </a:r>
                <a:endParaRPr lang="lv-LV" sz="900" i="1"/>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47611743"/>
        <c:crosses val="max"/>
        <c:crossBetween val="between"/>
        <c:majorUnit val="2"/>
      </c:valAx>
      <c:catAx>
        <c:axId val="547611743"/>
        <c:scaling>
          <c:orientation val="minMax"/>
        </c:scaling>
        <c:delete val="1"/>
        <c:axPos val="b"/>
        <c:numFmt formatCode="General" sourceLinked="1"/>
        <c:majorTickMark val="out"/>
        <c:minorTickMark val="none"/>
        <c:tickLblPos val="nextTo"/>
        <c:crossAx val="539688255"/>
        <c:crosses val="autoZero"/>
        <c:auto val="1"/>
        <c:lblAlgn val="ctr"/>
        <c:lblOffset val="100"/>
        <c:noMultiLvlLbl val="0"/>
      </c:catAx>
      <c:spPr>
        <a:noFill/>
        <a:ln>
          <a:noFill/>
        </a:ln>
        <a:effectLst/>
      </c:spPr>
    </c:plotArea>
    <c:legend>
      <c:legendPos val="b"/>
      <c:layout>
        <c:manualLayout>
          <c:xMode val="edge"/>
          <c:yMode val="edge"/>
          <c:x val="1.0289605101313611E-2"/>
          <c:y val="0.80253208865924863"/>
          <c:w val="0.96605476297761517"/>
          <c:h val="0.1958176256798780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854714939199265"/>
          <c:y val="8.8046128703190216E-2"/>
          <c:w val="0.41966842708199226"/>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1. Vispārējā izglītība</c:v>
                </c:pt>
                <c:pt idx="1">
                  <c:v>2. Profesionālā izglītība</c:v>
                </c:pt>
                <c:pt idx="2">
                  <c:v>3. Augstākā izglītība</c:v>
                </c:pt>
                <c:pt idx="3">
                  <c:v>4. Valsts valodas politikas īstenošana</c:v>
                </c:pt>
                <c:pt idx="4">
                  <c:v>5. Zinātne</c:v>
                </c:pt>
                <c:pt idx="5">
                  <c:v>6. Sports</c:v>
                </c:pt>
                <c:pt idx="6">
                  <c:v>7. Jaunatnes politikas īstenošana</c:v>
                </c:pt>
                <c:pt idx="7">
                  <c:v>8. ES fondu un citu ES politiku instrumentu un ĀF projektu un pasākumu īstenošana</c:v>
                </c:pt>
                <c:pt idx="8">
                  <c:v>9. Nozaru vadība un politikas plānošana</c:v>
                </c:pt>
              </c:strCache>
            </c:strRef>
          </c:cat>
          <c:val>
            <c:numRef>
              <c:f>Sheet1!$B$2:$B$10</c:f>
              <c:numCache>
                <c:formatCode>General</c:formatCode>
                <c:ptCount val="9"/>
                <c:pt idx="0">
                  <c:v>100</c:v>
                </c:pt>
                <c:pt idx="1">
                  <c:v>77.3</c:v>
                </c:pt>
                <c:pt idx="2">
                  <c:v>86</c:v>
                </c:pt>
                <c:pt idx="3">
                  <c:v>100</c:v>
                </c:pt>
                <c:pt idx="4">
                  <c:v>100</c:v>
                </c:pt>
                <c:pt idx="5">
                  <c:v>81.400000000000006</c:v>
                </c:pt>
                <c:pt idx="6">
                  <c:v>68.900000000000006</c:v>
                </c:pt>
                <c:pt idx="7">
                  <c:v>90</c:v>
                </c:pt>
                <c:pt idx="8">
                  <c:v>88.1</c:v>
                </c:pt>
              </c:numCache>
            </c:numRef>
          </c:val>
          <c:extLst>
            <c:ext xmlns:c16="http://schemas.microsoft.com/office/drawing/2014/chart" uri="{C3380CC4-5D6E-409C-BE32-E72D297353CC}">
              <c16:uniqueId val="{00000000-69A6-490D-9B7B-6ECDF5571371}"/>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967274222613468E-2"/>
          <c:y val="4.2255561430782011E-2"/>
          <c:w val="0.84478909599424334"/>
          <c:h val="0.69594995625546796"/>
        </c:manualLayout>
      </c:layout>
      <c:lineChart>
        <c:grouping val="standard"/>
        <c:varyColors val="0"/>
        <c:ser>
          <c:idx val="0"/>
          <c:order val="0"/>
          <c:tx>
            <c:strRef>
              <c:f>IZM!$C$81</c:f>
              <c:strCache>
                <c:ptCount val="1"/>
                <c:pt idx="0">
                  <c:v>Pašvaldību skaits, kurās ir jaunatnes lietu speciālists vai persona, kura veic darbu ar jaunatni</c:v>
                </c:pt>
              </c:strCache>
            </c:strRef>
          </c:tx>
          <c:spPr>
            <a:ln w="50800" cap="rnd">
              <a:solidFill>
                <a:srgbClr val="ED7D31"/>
              </a:solidFill>
              <a:round/>
            </a:ln>
            <a:effectLst>
              <a:outerShdw blurRad="50800" dist="38100" dir="5400000" algn="t" rotWithShape="0">
                <a:prstClr val="black">
                  <a:alpha val="40000"/>
                </a:prstClr>
              </a:outerShdw>
            </a:effectLst>
          </c:spPr>
          <c:marker>
            <c:symbol val="none"/>
          </c:marker>
          <c:dLbls>
            <c:dLbl>
              <c:idx val="3"/>
              <c:layout>
                <c:manualLayout>
                  <c:x val="-6.4307278463679285E-2"/>
                  <c:y val="-9.4754309766403623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7F9-4923-AC6F-E1052D06D0E5}"/>
                </c:ext>
              </c:extLst>
            </c:dLbl>
            <c:dLbl>
              <c:idx val="4"/>
              <c:layout>
                <c:manualLayout>
                  <c:x val="-4.1574497471291418E-2"/>
                  <c:y val="3.735560550351173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7F9-4923-AC6F-E1052D06D0E5}"/>
                </c:ext>
              </c:extLst>
            </c:dLbl>
            <c:dLbl>
              <c:idx val="5"/>
              <c:layout>
                <c:manualLayout>
                  <c:x val="-4.1608626475825868E-2"/>
                  <c:y val="4.060603330587959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7F9-4923-AC6F-E1052D06D0E5}"/>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IZM!$D$80:$L$80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IZM!$D$81:$L$81</c:f>
              <c:numCache>
                <c:formatCode>General</c:formatCode>
                <c:ptCount val="9"/>
                <c:pt idx="3">
                  <c:v>109</c:v>
                </c:pt>
                <c:pt idx="4">
                  <c:v>111</c:v>
                </c:pt>
                <c:pt idx="5">
                  <c:v>89</c:v>
                </c:pt>
              </c:numCache>
            </c:numRef>
          </c:val>
          <c:smooth val="1"/>
          <c:extLst>
            <c:ext xmlns:c16="http://schemas.microsoft.com/office/drawing/2014/chart" uri="{C3380CC4-5D6E-409C-BE32-E72D297353CC}">
              <c16:uniqueId val="{00000003-87F9-4923-AC6F-E1052D06D0E5}"/>
            </c:ext>
          </c:extLst>
        </c:ser>
        <c:ser>
          <c:idx val="1"/>
          <c:order val="1"/>
          <c:tx>
            <c:strRef>
              <c:f>IZM!$C$82</c:f>
              <c:strCache>
                <c:ptCount val="1"/>
                <c:pt idx="0">
                  <c:v>Rādītāja plānotā vērtība</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5"/>
              <c:layout>
                <c:manualLayout>
                  <c:x val="-6.9611646355913229E-2"/>
                  <c:y val="-6.125179352580927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7F9-4923-AC6F-E1052D06D0E5}"/>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IZM!$D$80:$L$80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IZM!$D$82:$L$82</c:f>
              <c:numCache>
                <c:formatCode>General</c:formatCode>
                <c:ptCount val="9"/>
                <c:pt idx="5" formatCode="#,##0">
                  <c:v>119</c:v>
                </c:pt>
              </c:numCache>
            </c:numRef>
          </c:val>
          <c:smooth val="0"/>
          <c:extLst>
            <c:ext xmlns:c16="http://schemas.microsoft.com/office/drawing/2014/chart" uri="{C3380CC4-5D6E-409C-BE32-E72D297353CC}">
              <c16:uniqueId val="{00000005-87F9-4923-AC6F-E1052D06D0E5}"/>
            </c:ext>
          </c:extLst>
        </c:ser>
        <c:dLbls>
          <c:dLblPos val="t"/>
          <c:showLegendKey val="0"/>
          <c:showVal val="1"/>
          <c:showCatName val="0"/>
          <c:showSerName val="0"/>
          <c:showPercent val="0"/>
          <c:showBubbleSize val="0"/>
        </c:dLbls>
        <c:marker val="1"/>
        <c:smooth val="0"/>
        <c:axId val="674860576"/>
        <c:axId val="728715408"/>
      </c:lineChart>
      <c:lineChart>
        <c:grouping val="standard"/>
        <c:varyColors val="0"/>
        <c:ser>
          <c:idx val="2"/>
          <c:order val="2"/>
          <c:tx>
            <c:strRef>
              <c:f>IZM!$C$83</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Pt>
            <c:idx val="6"/>
            <c:marker>
              <c:symbol val="none"/>
            </c:marker>
            <c:bubble3D val="0"/>
            <c:spPr>
              <a:ln w="38100" cap="rnd">
                <a:solidFill>
                  <a:srgbClr val="4472C4"/>
                </a:solidFill>
                <a:prstDash val="dash"/>
                <a:round/>
              </a:ln>
              <a:effectLst>
                <a:outerShdw blurRad="50800" dist="38100" dir="5400000" algn="t" rotWithShape="0">
                  <a:prstClr val="black">
                    <a:alpha val="40000"/>
                  </a:prstClr>
                </a:outerShdw>
              </a:effectLst>
            </c:spPr>
            <c:extLst>
              <c:ext xmlns:c16="http://schemas.microsoft.com/office/drawing/2014/chart" uri="{C3380CC4-5D6E-409C-BE32-E72D297353CC}">
                <c16:uniqueId val="{00000007-87F9-4923-AC6F-E1052D06D0E5}"/>
              </c:ext>
            </c:extLst>
          </c:dPt>
          <c:dLbls>
            <c:dLbl>
              <c:idx val="3"/>
              <c:layout>
                <c:manualLayout>
                  <c:x val="-3.786529520574599E-2"/>
                  <c:y val="3.73556055035116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87F9-4923-AC6F-E1052D06D0E5}"/>
                </c:ext>
              </c:extLst>
            </c:dLbl>
            <c:dLbl>
              <c:idx val="5"/>
              <c:layout>
                <c:manualLayout>
                  <c:x val="-4.5238830835771507E-3"/>
                  <c:y val="-3.224654725226237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87F9-4923-AC6F-E1052D06D0E5}"/>
                </c:ext>
              </c:extLst>
            </c:dLbl>
            <c:dLbl>
              <c:idx val="6"/>
              <c:layout>
                <c:manualLayout>
                  <c:x val="-2.1194589144661515E-2"/>
                  <c:y val="-5.040594516042012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7F9-4923-AC6F-E1052D06D0E5}"/>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IZM!$D$80:$L$80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IZM!$D$83:$L$83</c:f>
              <c:numCache>
                <c:formatCode>#,##0.0</c:formatCode>
                <c:ptCount val="9"/>
                <c:pt idx="0">
                  <c:v>3.6633680000000002</c:v>
                </c:pt>
                <c:pt idx="1">
                  <c:v>4.4342969999999999</c:v>
                </c:pt>
                <c:pt idx="2">
                  <c:v>5.3081940000000003</c:v>
                </c:pt>
                <c:pt idx="3">
                  <c:v>5.1302589999999997</c:v>
                </c:pt>
                <c:pt idx="4">
                  <c:v>6.3775529999999998</c:v>
                </c:pt>
                <c:pt idx="5">
                  <c:v>7.6639379999999999</c:v>
                </c:pt>
                <c:pt idx="6">
                  <c:v>2.4244460000000001</c:v>
                </c:pt>
                <c:pt idx="7">
                  <c:v>0.57452199999999998</c:v>
                </c:pt>
                <c:pt idx="8">
                  <c:v>0.57452199999999998</c:v>
                </c:pt>
              </c:numCache>
            </c:numRef>
          </c:val>
          <c:smooth val="1"/>
          <c:extLst>
            <c:ext xmlns:c16="http://schemas.microsoft.com/office/drawing/2014/chart" uri="{C3380CC4-5D6E-409C-BE32-E72D297353CC}">
              <c16:uniqueId val="{0000000A-87F9-4923-AC6F-E1052D06D0E5}"/>
            </c:ext>
          </c:extLst>
        </c:ser>
        <c:dLbls>
          <c:dLblPos val="t"/>
          <c:showLegendKey val="0"/>
          <c:showVal val="1"/>
          <c:showCatName val="0"/>
          <c:showSerName val="0"/>
          <c:showPercent val="0"/>
          <c:showBubbleSize val="0"/>
        </c:dLbls>
        <c:marker val="1"/>
        <c:smooth val="0"/>
        <c:axId val="673793136"/>
        <c:axId val="728726224"/>
      </c:lineChart>
      <c:catAx>
        <c:axId val="67486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28715408"/>
        <c:crosses val="autoZero"/>
        <c:auto val="1"/>
        <c:lblAlgn val="ctr"/>
        <c:lblOffset val="100"/>
        <c:noMultiLvlLbl val="0"/>
      </c:catAx>
      <c:valAx>
        <c:axId val="728715408"/>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Pašvaldību skaits</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4860576"/>
        <c:crosses val="autoZero"/>
        <c:crossBetween val="between"/>
        <c:majorUnit val="20"/>
      </c:valAx>
      <c:valAx>
        <c:axId val="728726224"/>
        <c:scaling>
          <c:orientation val="minMax"/>
          <c:max val="8"/>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3793136"/>
        <c:crosses val="max"/>
        <c:crossBetween val="between"/>
        <c:majorUnit val="2"/>
      </c:valAx>
      <c:catAx>
        <c:axId val="673793136"/>
        <c:scaling>
          <c:orientation val="minMax"/>
        </c:scaling>
        <c:delete val="1"/>
        <c:axPos val="b"/>
        <c:numFmt formatCode="General" sourceLinked="1"/>
        <c:majorTickMark val="out"/>
        <c:minorTickMark val="none"/>
        <c:tickLblPos val="nextTo"/>
        <c:crossAx val="728726224"/>
        <c:crosses val="autoZero"/>
        <c:auto val="1"/>
        <c:lblAlgn val="ctr"/>
        <c:lblOffset val="100"/>
        <c:noMultiLvlLbl val="0"/>
      </c:catAx>
      <c:spPr>
        <a:noFill/>
        <a:ln>
          <a:noFill/>
        </a:ln>
        <a:effectLst/>
      </c:spPr>
    </c:plotArea>
    <c:legend>
      <c:legendPos val="b"/>
      <c:layout>
        <c:manualLayout>
          <c:xMode val="edge"/>
          <c:yMode val="edge"/>
          <c:x val="0"/>
          <c:y val="0.82506281714785634"/>
          <c:w val="1"/>
          <c:h val="0.173584951881014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898291611672155E-2"/>
          <c:y val="3.7380431823422322E-2"/>
          <c:w val="0.86073499395869735"/>
          <c:h val="0.6624703720899161"/>
        </c:manualLayout>
      </c:layout>
      <c:lineChart>
        <c:grouping val="standard"/>
        <c:varyColors val="0"/>
        <c:ser>
          <c:idx val="0"/>
          <c:order val="0"/>
          <c:tx>
            <c:strRef>
              <c:f>IZM!$C$51</c:f>
              <c:strCache>
                <c:ptCount val="1"/>
                <c:pt idx="0">
                  <c:v>Izglītojamo īpatsvars, kas piedalās darba vidē balstītās mācībās un praksēs pie darba devējiem (%)</c:v>
                </c:pt>
              </c:strCache>
            </c:strRef>
          </c:tx>
          <c:spPr>
            <a:ln w="50800" cap="rnd">
              <a:solidFill>
                <a:srgbClr val="9BBB59"/>
              </a:solidFill>
              <a:round/>
            </a:ln>
            <a:effectLst>
              <a:outerShdw blurRad="50800" dist="38100" dir="5400000" algn="t" rotWithShape="0">
                <a:prstClr val="black">
                  <a:alpha val="40000"/>
                </a:prstClr>
              </a:outerShdw>
            </a:effectLst>
          </c:spPr>
          <c:marker>
            <c:symbol val="none"/>
          </c:marker>
          <c:dLbls>
            <c:dLbl>
              <c:idx val="2"/>
              <c:layout>
                <c:manualLayout>
                  <c:x val="-3.6452599388379206E-2"/>
                  <c:y val="-3.233460939644518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247-4B95-A019-15567400AC36}"/>
                </c:ext>
              </c:extLst>
            </c:dLbl>
            <c:dLbl>
              <c:idx val="3"/>
              <c:layout>
                <c:manualLayout>
                  <c:x val="-5.614026041116648E-2"/>
                  <c:y val="-3.80429668447553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247-4B95-A019-15567400AC36}"/>
                </c:ext>
              </c:extLst>
            </c:dLbl>
            <c:dLbl>
              <c:idx val="4"/>
              <c:layout>
                <c:manualLayout>
                  <c:x val="-6.0489392954321076E-2"/>
                  <c:y val="-4.25778858683919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247-4B95-A019-15567400AC36}"/>
                </c:ext>
              </c:extLst>
            </c:dLbl>
            <c:dLbl>
              <c:idx val="5"/>
              <c:layout>
                <c:manualLayout>
                  <c:x val="-6.9584174953958838E-3"/>
                  <c:y val="2.192279778937893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247-4B95-A019-15567400AC36}"/>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IZM!$D$50:$L$50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IZM!$D$51:$L$51</c:f>
              <c:numCache>
                <c:formatCode>General</c:formatCode>
                <c:ptCount val="9"/>
                <c:pt idx="2">
                  <c:v>20</c:v>
                </c:pt>
                <c:pt idx="3">
                  <c:v>21.8</c:v>
                </c:pt>
                <c:pt idx="4">
                  <c:v>16.600000000000001</c:v>
                </c:pt>
                <c:pt idx="5">
                  <c:v>38</c:v>
                </c:pt>
              </c:numCache>
            </c:numRef>
          </c:val>
          <c:smooth val="1"/>
          <c:extLst>
            <c:ext xmlns:c16="http://schemas.microsoft.com/office/drawing/2014/chart" uri="{C3380CC4-5D6E-409C-BE32-E72D297353CC}">
              <c16:uniqueId val="{00000004-8247-4B95-A019-15567400AC36}"/>
            </c:ext>
          </c:extLst>
        </c:ser>
        <c:ser>
          <c:idx val="1"/>
          <c:order val="1"/>
          <c:tx>
            <c:strRef>
              <c:f>IZM!$C$52</c:f>
              <c:strCache>
                <c:ptCount val="1"/>
                <c:pt idx="0">
                  <c:v>Izglītojamo īpatsvars profesionālās izglītības programmās (%)</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5"/>
              <c:layout>
                <c:manualLayout>
                  <c:x val="-4.9948568467305686E-2"/>
                  <c:y val="-5.771570464594624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247-4B95-A019-15567400AC36}"/>
                </c:ext>
              </c:extLst>
            </c:dLbl>
            <c:numFmt formatCode="#,##0" sourceLinked="0"/>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IZM!$D$50:$L$50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IZM!$D$52:$L$52</c:f>
              <c:numCache>
                <c:formatCode>General</c:formatCode>
                <c:ptCount val="9"/>
                <c:pt idx="2">
                  <c:v>39</c:v>
                </c:pt>
                <c:pt idx="3">
                  <c:v>39</c:v>
                </c:pt>
                <c:pt idx="4">
                  <c:v>39</c:v>
                </c:pt>
                <c:pt idx="5">
                  <c:v>39.299999999999997</c:v>
                </c:pt>
              </c:numCache>
            </c:numRef>
          </c:val>
          <c:smooth val="0"/>
          <c:extLst>
            <c:ext xmlns:c16="http://schemas.microsoft.com/office/drawing/2014/chart" uri="{C3380CC4-5D6E-409C-BE32-E72D297353CC}">
              <c16:uniqueId val="{00000006-8247-4B95-A019-15567400AC36}"/>
            </c:ext>
          </c:extLst>
        </c:ser>
        <c:ser>
          <c:idx val="2"/>
          <c:order val="2"/>
          <c:tx>
            <c:strRef>
              <c:f>IZM!$C$53</c:f>
              <c:strCache>
                <c:ptCount val="1"/>
                <c:pt idx="0">
                  <c:v>Rādītāju plānotā vērtība</c:v>
                </c:pt>
              </c:strCache>
            </c:strRef>
          </c:tx>
          <c:spPr>
            <a:ln w="28575" cap="rnd">
              <a:solidFill>
                <a:schemeClr val="accent3"/>
              </a:solidFill>
              <a:round/>
            </a:ln>
            <a:effectLst/>
          </c:spPr>
          <c:marker>
            <c:symbol val="circle"/>
            <c:size val="15"/>
            <c:spPr>
              <a:solidFill>
                <a:schemeClr val="accent3"/>
              </a:solidFill>
              <a:ln w="9525">
                <a:solidFill>
                  <a:schemeClr val="accent3"/>
                </a:solidFill>
              </a:ln>
              <a:effectLst/>
            </c:spPr>
          </c:marker>
          <c:dPt>
            <c:idx val="5"/>
            <c:marker>
              <c:symbol val="diamond"/>
              <c:size val="15"/>
              <c:spPr>
                <a:solidFill>
                  <a:schemeClr val="accent2"/>
                </a:solidFill>
                <a:ln w="28575">
                  <a:solidFill>
                    <a:schemeClr val="accent6"/>
                  </a:solidFill>
                </a:ln>
                <a:effectLst/>
              </c:spPr>
            </c:marker>
            <c:bubble3D val="0"/>
            <c:extLst>
              <c:ext xmlns:c16="http://schemas.microsoft.com/office/drawing/2014/chart" uri="{C3380CC4-5D6E-409C-BE32-E72D297353CC}">
                <c16:uniqueId val="{00000007-8247-4B95-A019-15567400AC36}"/>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IZM!$D$50:$L$50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IZM!$D$53:$L$53</c:f>
              <c:numCache>
                <c:formatCode>General</c:formatCode>
                <c:ptCount val="9"/>
                <c:pt idx="5">
                  <c:v>50</c:v>
                </c:pt>
              </c:numCache>
            </c:numRef>
          </c:val>
          <c:smooth val="0"/>
          <c:extLst>
            <c:ext xmlns:c16="http://schemas.microsoft.com/office/drawing/2014/chart" uri="{C3380CC4-5D6E-409C-BE32-E72D297353CC}">
              <c16:uniqueId val="{00000008-8247-4B95-A019-15567400AC36}"/>
            </c:ext>
          </c:extLst>
        </c:ser>
        <c:dLbls>
          <c:dLblPos val="t"/>
          <c:showLegendKey val="0"/>
          <c:showVal val="1"/>
          <c:showCatName val="0"/>
          <c:showSerName val="0"/>
          <c:showPercent val="0"/>
          <c:showBubbleSize val="0"/>
        </c:dLbls>
        <c:marker val="1"/>
        <c:smooth val="0"/>
        <c:axId val="714584416"/>
        <c:axId val="679787504"/>
      </c:lineChart>
      <c:lineChart>
        <c:grouping val="standard"/>
        <c:varyColors val="0"/>
        <c:ser>
          <c:idx val="4"/>
          <c:order val="3"/>
          <c:tx>
            <c:strRef>
              <c:f>IZM!$C$55</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3"/>
              <c:layout>
                <c:manualLayout>
                  <c:x val="-6.4116098496955973E-2"/>
                  <c:y val="-2.29440163893014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8247-4B95-A019-15567400AC36}"/>
                </c:ext>
              </c:extLst>
            </c:dLbl>
            <c:dLbl>
              <c:idx val="4"/>
              <c:layout>
                <c:manualLayout>
                  <c:x val="-4.712545718880886E-2"/>
                  <c:y val="4.432950713572007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8247-4B95-A019-15567400AC36}"/>
                </c:ext>
              </c:extLst>
            </c:dLbl>
            <c:dLbl>
              <c:idx val="5"/>
              <c:layout>
                <c:manualLayout>
                  <c:x val="2.2736559999971744E-2"/>
                  <c:y val="-9.1806714087285298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8247-4B95-A019-15567400AC36}"/>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IZM!$D$50:$L$50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IZM!$D$55:$L$55</c:f>
              <c:numCache>
                <c:formatCode>#,##0.0</c:formatCode>
                <c:ptCount val="9"/>
                <c:pt idx="0">
                  <c:v>68.491258000000002</c:v>
                </c:pt>
                <c:pt idx="1">
                  <c:v>68.577089000000001</c:v>
                </c:pt>
                <c:pt idx="2">
                  <c:v>71.357113999999996</c:v>
                </c:pt>
                <c:pt idx="3">
                  <c:v>74.015786000000006</c:v>
                </c:pt>
                <c:pt idx="4">
                  <c:v>75.911944000000005</c:v>
                </c:pt>
                <c:pt idx="5">
                  <c:v>76.859628999999998</c:v>
                </c:pt>
                <c:pt idx="6">
                  <c:v>80.501935000000003</c:v>
                </c:pt>
                <c:pt idx="7">
                  <c:v>81.182429999999997</c:v>
                </c:pt>
                <c:pt idx="8">
                  <c:v>81.182429999999997</c:v>
                </c:pt>
              </c:numCache>
            </c:numRef>
          </c:val>
          <c:smooth val="1"/>
          <c:extLst>
            <c:ext xmlns:c16="http://schemas.microsoft.com/office/drawing/2014/chart" uri="{C3380CC4-5D6E-409C-BE32-E72D297353CC}">
              <c16:uniqueId val="{0000000C-8247-4B95-A019-15567400AC36}"/>
            </c:ext>
          </c:extLst>
        </c:ser>
        <c:dLbls>
          <c:dLblPos val="t"/>
          <c:showLegendKey val="0"/>
          <c:showVal val="1"/>
          <c:showCatName val="0"/>
          <c:showSerName val="0"/>
          <c:showPercent val="0"/>
          <c:showBubbleSize val="0"/>
        </c:dLbls>
        <c:marker val="1"/>
        <c:smooth val="0"/>
        <c:axId val="576312704"/>
        <c:axId val="679752560"/>
      </c:lineChart>
      <c:catAx>
        <c:axId val="71458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79787504"/>
        <c:crosses val="autoZero"/>
        <c:auto val="1"/>
        <c:lblAlgn val="ctr"/>
        <c:lblOffset val="100"/>
        <c:noMultiLvlLbl val="0"/>
      </c:catAx>
      <c:valAx>
        <c:axId val="679787504"/>
        <c:scaling>
          <c:orientation val="minMax"/>
          <c:max val="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Izglītojamo īpatsvars %</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14584416"/>
        <c:crosses val="autoZero"/>
        <c:crossBetween val="between"/>
        <c:majorUnit val="10"/>
      </c:valAx>
      <c:valAx>
        <c:axId val="679752560"/>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6312704"/>
        <c:crosses val="max"/>
        <c:crossBetween val="between"/>
      </c:valAx>
      <c:catAx>
        <c:axId val="576312704"/>
        <c:scaling>
          <c:orientation val="minMax"/>
        </c:scaling>
        <c:delete val="1"/>
        <c:axPos val="b"/>
        <c:numFmt formatCode="General" sourceLinked="1"/>
        <c:majorTickMark val="out"/>
        <c:minorTickMark val="none"/>
        <c:tickLblPos val="nextTo"/>
        <c:crossAx val="679752560"/>
        <c:crosses val="autoZero"/>
        <c:auto val="1"/>
        <c:lblAlgn val="ctr"/>
        <c:lblOffset val="100"/>
        <c:noMultiLvlLbl val="0"/>
      </c:catAx>
      <c:spPr>
        <a:noFill/>
        <a:ln>
          <a:noFill/>
        </a:ln>
        <a:effectLst/>
      </c:spPr>
    </c:plotArea>
    <c:legend>
      <c:legendPos val="b"/>
      <c:legendEntry>
        <c:idx val="2"/>
        <c:delete val="1"/>
      </c:legendEntry>
      <c:layout>
        <c:manualLayout>
          <c:xMode val="edge"/>
          <c:yMode val="edge"/>
          <c:x val="0"/>
          <c:y val="0.80626417644167203"/>
          <c:w val="1"/>
          <c:h val="0.193735823558327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555862633021752"/>
          <c:y val="8.8046128703190216E-2"/>
          <c:w val="0.44265693444426879"/>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1. Publisko izdevumu un valsts parāda vadība</c:v>
                </c:pt>
                <c:pt idx="1">
                  <c:v>2. Valsts ieņēmumu un muitas politikas vadība</c:v>
                </c:pt>
                <c:pt idx="2">
                  <c:v>3. Eiropas Savienības fondu vadība</c:v>
                </c:pt>
              </c:strCache>
            </c:strRef>
          </c:cat>
          <c:val>
            <c:numRef>
              <c:f>Sheet1!$B$2:$B$4</c:f>
              <c:numCache>
                <c:formatCode>General</c:formatCode>
                <c:ptCount val="3"/>
                <c:pt idx="0">
                  <c:v>81.400000000000006</c:v>
                </c:pt>
                <c:pt idx="1">
                  <c:v>100</c:v>
                </c:pt>
                <c:pt idx="2">
                  <c:v>100</c:v>
                </c:pt>
              </c:numCache>
            </c:numRef>
          </c:val>
          <c:extLst>
            <c:ext xmlns:c16="http://schemas.microsoft.com/office/drawing/2014/chart" uri="{C3380CC4-5D6E-409C-BE32-E72D297353CC}">
              <c16:uniqueId val="{00000000-A0AF-4D21-BE3A-369A09D5A67B}"/>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520471378324683E-2"/>
          <c:y val="7.2901960636281973E-2"/>
          <c:w val="0.9106896050949097"/>
          <c:h val="0.74771938566226526"/>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F9E8-4E37-B728-3FDB9DE7813A}"/>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F9E8-4E37-B728-3FDB9DE7813A}"/>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F9E8-4E37-B728-3FDB9DE7813A}"/>
              </c:ext>
            </c:extLst>
          </c:dPt>
          <c:dLbls>
            <c:dLbl>
              <c:idx val="3"/>
              <c:layout>
                <c:manualLayout>
                  <c:x val="2.3329056339671059E-3"/>
                  <c:y val="3.22893122376493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9E8-4E37-B728-3FDB9DE7813A}"/>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Dati!$U$25:$AC$26</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Dati!$U$27:$AC$27</c:f>
              <c:numCache>
                <c:formatCode>#,##0.0</c:formatCode>
                <c:ptCount val="9"/>
                <c:pt idx="0">
                  <c:v>158.43100000000001</c:v>
                </c:pt>
                <c:pt idx="1">
                  <c:v>21.227</c:v>
                </c:pt>
                <c:pt idx="2">
                  <c:v>158.43100000000001</c:v>
                </c:pt>
                <c:pt idx="3">
                  <c:v>140.93299999999999</c:v>
                </c:pt>
                <c:pt idx="4">
                  <c:v>158.43100000000001</c:v>
                </c:pt>
                <c:pt idx="5">
                  <c:v>102.366</c:v>
                </c:pt>
                <c:pt idx="6">
                  <c:v>136.31200000000001</c:v>
                </c:pt>
                <c:pt idx="7">
                  <c:v>158.43100000000001</c:v>
                </c:pt>
                <c:pt idx="8">
                  <c:v>158.43100000000001</c:v>
                </c:pt>
              </c:numCache>
            </c:numRef>
          </c:val>
          <c:extLst>
            <c:ext xmlns:c16="http://schemas.microsoft.com/office/drawing/2014/chart" uri="{C3380CC4-5D6E-409C-BE32-E72D297353CC}">
              <c16:uniqueId val="{00000006-F9E8-4E37-B728-3FDB9DE7813A}"/>
            </c:ext>
          </c:extLst>
        </c:ser>
        <c:dLbls>
          <c:showLegendKey val="0"/>
          <c:showVal val="1"/>
          <c:showCatName val="0"/>
          <c:showSerName val="0"/>
          <c:showPercent val="0"/>
          <c:showBubbleSize val="0"/>
        </c:dLbls>
        <c:gapWidth val="100"/>
        <c:overlap val="7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18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4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643981816240552E-2"/>
          <c:y val="3.3280169052350886E-2"/>
          <c:w val="0.84944024263530837"/>
          <c:h val="0.70333291405666953"/>
        </c:manualLayout>
      </c:layout>
      <c:lineChart>
        <c:grouping val="standard"/>
        <c:varyColors val="0"/>
        <c:ser>
          <c:idx val="0"/>
          <c:order val="0"/>
          <c:tx>
            <c:strRef>
              <c:f>'13_FM'!$Q$10</c:f>
              <c:strCache>
                <c:ptCount val="1"/>
                <c:pt idx="0">
                  <c:v>Faktisko valsts budžeta izdevumu novirze no gadskārtējā valsts budžeta likumā plānotajiem izdevumiem (%)</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2"/>
              <c:layout>
                <c:manualLayout>
                  <c:x val="-5.1544465055637242E-2"/>
                  <c:y val="3.532925796416023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5766324919392087E-2"/>
                      <c:h val="6.7268752610477309E-2"/>
                    </c:manualLayout>
                  </c15:layout>
                </c:ext>
                <c:ext xmlns:c16="http://schemas.microsoft.com/office/drawing/2014/chart" uri="{C3380CC4-5D6E-409C-BE32-E72D297353CC}">
                  <c16:uniqueId val="{00000000-F192-49CF-9873-C42AB33BA8D3}"/>
                </c:ext>
              </c:extLst>
            </c:dLbl>
            <c:dLbl>
              <c:idx val="3"/>
              <c:layout>
                <c:manualLayout>
                  <c:x val="-1.4954814034862414E-2"/>
                  <c:y val="3.643715462084811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192-49CF-9873-C42AB33BA8D3}"/>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'13_FM'!$R$9:$Y$9</c:f>
              <c:numCache>
                <c:formatCode>General</c:formatCode>
                <c:ptCount val="8"/>
                <c:pt idx="0">
                  <c:v>2016</c:v>
                </c:pt>
                <c:pt idx="1">
                  <c:v>2017</c:v>
                </c:pt>
                <c:pt idx="2">
                  <c:v>2018</c:v>
                </c:pt>
                <c:pt idx="3">
                  <c:v>2019</c:v>
                </c:pt>
                <c:pt idx="4">
                  <c:v>2020</c:v>
                </c:pt>
                <c:pt idx="5">
                  <c:v>2021</c:v>
                </c:pt>
                <c:pt idx="6">
                  <c:v>2022</c:v>
                </c:pt>
                <c:pt idx="7">
                  <c:v>2023</c:v>
                </c:pt>
              </c:numCache>
            </c:numRef>
          </c:cat>
          <c:val>
            <c:numRef>
              <c:f>'13_FM'!$R$10:$Y$10</c:f>
              <c:numCache>
                <c:formatCode>General</c:formatCode>
                <c:ptCount val="8"/>
                <c:pt idx="1">
                  <c:v>2.4</c:v>
                </c:pt>
                <c:pt idx="2">
                  <c:v>0.7</c:v>
                </c:pt>
                <c:pt idx="3">
                  <c:v>0.8</c:v>
                </c:pt>
                <c:pt idx="4">
                  <c:v>4.2</c:v>
                </c:pt>
              </c:numCache>
            </c:numRef>
          </c:val>
          <c:smooth val="1"/>
          <c:extLst>
            <c:ext xmlns:c16="http://schemas.microsoft.com/office/drawing/2014/chart" uri="{C3380CC4-5D6E-409C-BE32-E72D297353CC}">
              <c16:uniqueId val="{00000002-F192-49CF-9873-C42AB33BA8D3}"/>
            </c:ext>
          </c:extLst>
        </c:ser>
        <c:ser>
          <c:idx val="1"/>
          <c:order val="1"/>
          <c:tx>
            <c:strRef>
              <c:f>'13_FM'!$Q$11</c:f>
              <c:strCache>
                <c:ptCount val="1"/>
                <c:pt idx="0">
                  <c:v>Rādītāja plānotās vērtības</c:v>
                </c:pt>
              </c:strCache>
            </c:strRef>
          </c:tx>
          <c:spPr>
            <a:ln w="28575" cap="rnd">
              <a:noFill/>
              <a:round/>
            </a:ln>
            <a:effectLst>
              <a:outerShdw blurRad="50800" dist="38100" dir="5400000" algn="t" rotWithShape="0">
                <a:prstClr val="black">
                  <a:alpha val="40000"/>
                </a:prstClr>
              </a:outerShdw>
            </a:effectLst>
          </c:spPr>
          <c:marker>
            <c:symbol val="diamond"/>
            <c:size val="15"/>
            <c:spPr>
              <a:solidFill>
                <a:srgbClr val="9BBB59"/>
              </a:solidFill>
              <a:ln w="9525">
                <a:solidFill>
                  <a:srgbClr val="9BBB59"/>
                </a:solidFill>
              </a:ln>
              <a:effectLst>
                <a:outerShdw blurRad="50800" dist="38100" dir="5400000" algn="t" rotWithShape="0">
                  <a:prstClr val="black">
                    <a:alpha val="40000"/>
                  </a:prstClr>
                </a:outerShdw>
              </a:effectLst>
            </c:spPr>
          </c:marker>
          <c:dLbls>
            <c:dLbl>
              <c:idx val="1"/>
              <c:layout>
                <c:manualLayout>
                  <c:x val="-7.2897188149133194E-2"/>
                  <c:y val="-5.126713793363688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192-49CF-9873-C42AB33BA8D3}"/>
                </c:ext>
              </c:extLst>
            </c:dLbl>
            <c:dLbl>
              <c:idx val="2"/>
              <c:layout>
                <c:manualLayout>
                  <c:x val="-7.0692359574554886E-2"/>
                  <c:y val="-5.126713793363688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192-49CF-9873-C42AB33BA8D3}"/>
                </c:ext>
              </c:extLst>
            </c:dLbl>
            <c:dLbl>
              <c:idx val="3"/>
              <c:layout>
                <c:manualLayout>
                  <c:x val="-7.0016501492599498E-2"/>
                  <c:y val="-4.25163308260588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F192-49CF-9873-C42AB33BA8D3}"/>
                </c:ext>
              </c:extLst>
            </c:dLbl>
            <c:dLbl>
              <c:idx val="4"/>
              <c:layout>
                <c:manualLayout>
                  <c:x val="-6.8487530999976565E-2"/>
                  <c:y val="-3.848758521798193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F192-49CF-9873-C42AB33BA8D3}"/>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'13_FM'!$R$9:$Y$9</c:f>
              <c:numCache>
                <c:formatCode>General</c:formatCode>
                <c:ptCount val="8"/>
                <c:pt idx="0">
                  <c:v>2016</c:v>
                </c:pt>
                <c:pt idx="1">
                  <c:v>2017</c:v>
                </c:pt>
                <c:pt idx="2">
                  <c:v>2018</c:v>
                </c:pt>
                <c:pt idx="3">
                  <c:v>2019</c:v>
                </c:pt>
                <c:pt idx="4">
                  <c:v>2020</c:v>
                </c:pt>
                <c:pt idx="5">
                  <c:v>2021</c:v>
                </c:pt>
                <c:pt idx="6">
                  <c:v>2022</c:v>
                </c:pt>
                <c:pt idx="7">
                  <c:v>2023</c:v>
                </c:pt>
              </c:numCache>
            </c:numRef>
          </c:cat>
          <c:val>
            <c:numRef>
              <c:f>'13_FM'!$R$11:$Y$11</c:f>
              <c:numCache>
                <c:formatCode>General</c:formatCode>
                <c:ptCount val="8"/>
                <c:pt idx="1">
                  <c:v>1.5</c:v>
                </c:pt>
                <c:pt idx="2">
                  <c:v>1.5</c:v>
                </c:pt>
                <c:pt idx="3">
                  <c:v>1.5</c:v>
                </c:pt>
                <c:pt idx="4">
                  <c:v>1.5</c:v>
                </c:pt>
              </c:numCache>
            </c:numRef>
          </c:val>
          <c:smooth val="0"/>
          <c:extLst>
            <c:ext xmlns:c16="http://schemas.microsoft.com/office/drawing/2014/chart" uri="{C3380CC4-5D6E-409C-BE32-E72D297353CC}">
              <c16:uniqueId val="{00000007-F192-49CF-9873-C42AB33BA8D3}"/>
            </c:ext>
          </c:extLst>
        </c:ser>
        <c:dLbls>
          <c:dLblPos val="t"/>
          <c:showLegendKey val="0"/>
          <c:showVal val="1"/>
          <c:showCatName val="0"/>
          <c:showSerName val="0"/>
          <c:showPercent val="0"/>
          <c:showBubbleSize val="0"/>
        </c:dLbls>
        <c:marker val="1"/>
        <c:smooth val="0"/>
        <c:axId val="548366607"/>
        <c:axId val="554525135"/>
      </c:lineChart>
      <c:lineChart>
        <c:grouping val="standard"/>
        <c:varyColors val="0"/>
        <c:ser>
          <c:idx val="4"/>
          <c:order val="2"/>
          <c:tx>
            <c:strRef>
              <c:f>'13_FM'!$Q$14</c:f>
              <c:strCache>
                <c:ptCount val="1"/>
                <c:pt idx="0">
                  <c:v>Izdevumi</c:v>
                </c:pt>
              </c:strCache>
            </c:strRef>
          </c:tx>
          <c:spPr>
            <a:ln w="38100" cap="rnd">
              <a:solidFill>
                <a:schemeClr val="accent5"/>
              </a:solidFill>
              <a:prstDash val="dash"/>
              <a:round/>
            </a:ln>
            <a:effectLst>
              <a:outerShdw blurRad="50800" dist="38100" dir="5400000" algn="t" rotWithShape="0">
                <a:prstClr val="black">
                  <a:alpha val="40000"/>
                </a:prstClr>
              </a:outerShdw>
            </a:effectLst>
          </c:spPr>
          <c:marker>
            <c:symbol val="none"/>
          </c:marker>
          <c:dLbls>
            <c:dLbl>
              <c:idx val="2"/>
              <c:layout>
                <c:manualLayout>
                  <c:x val="-3.242212362710567E-2"/>
                  <c:y val="-4.865589101934492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F192-49CF-9873-C42AB33BA8D3}"/>
                </c:ext>
              </c:extLst>
            </c:dLbl>
            <c:dLbl>
              <c:idx val="6"/>
              <c:layout>
                <c:manualLayout>
                  <c:x val="-4.1288702558857554E-2"/>
                  <c:y val="-4.570838539819645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F192-49CF-9873-C42AB33BA8D3}"/>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'13_FM'!$R$9:$Y$9</c:f>
              <c:numCache>
                <c:formatCode>General</c:formatCode>
                <c:ptCount val="8"/>
                <c:pt idx="0">
                  <c:v>2016</c:v>
                </c:pt>
                <c:pt idx="1">
                  <c:v>2017</c:v>
                </c:pt>
                <c:pt idx="2">
                  <c:v>2018</c:v>
                </c:pt>
                <c:pt idx="3">
                  <c:v>2019</c:v>
                </c:pt>
                <c:pt idx="4">
                  <c:v>2020</c:v>
                </c:pt>
                <c:pt idx="5">
                  <c:v>2021</c:v>
                </c:pt>
                <c:pt idx="6">
                  <c:v>2022</c:v>
                </c:pt>
                <c:pt idx="7">
                  <c:v>2023</c:v>
                </c:pt>
              </c:numCache>
            </c:numRef>
          </c:cat>
          <c:val>
            <c:numRef>
              <c:f>'13_FM'!$R$14:$Y$14</c:f>
              <c:numCache>
                <c:formatCode>0.0</c:formatCode>
                <c:ptCount val="8"/>
                <c:pt idx="0">
                  <c:v>278.05771099999998</c:v>
                </c:pt>
                <c:pt idx="1">
                  <c:v>274.06294700000001</c:v>
                </c:pt>
                <c:pt idx="2">
                  <c:v>251.17939699999999</c:v>
                </c:pt>
                <c:pt idx="3">
                  <c:v>241.51060200000001</c:v>
                </c:pt>
                <c:pt idx="4">
                  <c:v>246.759196</c:v>
                </c:pt>
                <c:pt idx="5">
                  <c:v>249.147345</c:v>
                </c:pt>
                <c:pt idx="6">
                  <c:v>230.58381900000001</c:v>
                </c:pt>
                <c:pt idx="7" formatCode="#,##0.0">
                  <c:v>228.630495</c:v>
                </c:pt>
              </c:numCache>
            </c:numRef>
          </c:val>
          <c:smooth val="1"/>
          <c:extLst>
            <c:ext xmlns:c16="http://schemas.microsoft.com/office/drawing/2014/chart" uri="{C3380CC4-5D6E-409C-BE32-E72D297353CC}">
              <c16:uniqueId val="{0000000A-F192-49CF-9873-C42AB33BA8D3}"/>
            </c:ext>
          </c:extLst>
        </c:ser>
        <c:dLbls>
          <c:dLblPos val="t"/>
          <c:showLegendKey val="0"/>
          <c:showVal val="1"/>
          <c:showCatName val="0"/>
          <c:showSerName val="0"/>
          <c:showPercent val="0"/>
          <c:showBubbleSize val="0"/>
        </c:dLbls>
        <c:marker val="1"/>
        <c:smooth val="0"/>
        <c:axId val="358602767"/>
        <c:axId val="554514735"/>
      </c:lineChart>
      <c:catAx>
        <c:axId val="54836660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54525135"/>
        <c:crosses val="autoZero"/>
        <c:auto val="1"/>
        <c:lblAlgn val="ctr"/>
        <c:lblOffset val="100"/>
        <c:noMultiLvlLbl val="0"/>
      </c:catAx>
      <c:valAx>
        <c:axId val="554525135"/>
        <c:scaling>
          <c:orientation val="minMax"/>
          <c:max val="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t>Izdevumu novirze %</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8366607"/>
        <c:crosses val="autoZero"/>
        <c:crossBetween val="between"/>
        <c:majorUnit val="1"/>
      </c:valAx>
      <c:valAx>
        <c:axId val="554514735"/>
        <c:scaling>
          <c:orientation val="minMax"/>
          <c:max val="300"/>
          <c:min val="20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58602767"/>
        <c:crosses val="max"/>
        <c:crossBetween val="between"/>
        <c:majorUnit val="20"/>
      </c:valAx>
      <c:catAx>
        <c:axId val="358602767"/>
        <c:scaling>
          <c:orientation val="minMax"/>
        </c:scaling>
        <c:delete val="1"/>
        <c:axPos val="b"/>
        <c:numFmt formatCode="General" sourceLinked="1"/>
        <c:majorTickMark val="out"/>
        <c:minorTickMark val="none"/>
        <c:tickLblPos val="nextTo"/>
        <c:crossAx val="554514735"/>
        <c:crosses val="autoZero"/>
        <c:auto val="1"/>
        <c:lblAlgn val="ctr"/>
        <c:lblOffset val="100"/>
        <c:noMultiLvlLbl val="0"/>
      </c:catAx>
      <c:spPr>
        <a:noFill/>
        <a:ln>
          <a:noFill/>
        </a:ln>
        <a:effectLst/>
      </c:spPr>
    </c:plotArea>
    <c:legend>
      <c:legendPos val="b"/>
      <c:layout>
        <c:manualLayout>
          <c:xMode val="edge"/>
          <c:yMode val="edge"/>
          <c:x val="0"/>
          <c:y val="0.82778596764861256"/>
          <c:w val="0.99076002406310371"/>
          <c:h val="0.171775636671614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405431517069625"/>
          <c:y val="8.8046128703190216E-2"/>
          <c:w val="0.47074669905044803"/>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 Nozaru vadība un politikas plānošana</c:v>
                </c:pt>
                <c:pt idx="1">
                  <c:v>2. Kultūras telpas attīstība</c:v>
                </c:pt>
                <c:pt idx="2">
                  <c:v>3. Kultūras saglabāšana un uzturēšana</c:v>
                </c:pt>
                <c:pt idx="3">
                  <c:v>4. Sabiedrības integrācijas un mediju politikas pasākumu īstenošana</c:v>
                </c:pt>
                <c:pt idx="4">
                  <c:v>5. Kultūrizglītība</c:v>
                </c:pt>
              </c:strCache>
            </c:strRef>
          </c:cat>
          <c:val>
            <c:numRef>
              <c:f>Sheet1!$B$2:$B$6</c:f>
              <c:numCache>
                <c:formatCode>General</c:formatCode>
                <c:ptCount val="5"/>
                <c:pt idx="0">
                  <c:v>100</c:v>
                </c:pt>
                <c:pt idx="1">
                  <c:v>87.1</c:v>
                </c:pt>
                <c:pt idx="2">
                  <c:v>91.7</c:v>
                </c:pt>
                <c:pt idx="3">
                  <c:v>83.9</c:v>
                </c:pt>
                <c:pt idx="4">
                  <c:v>93.7</c:v>
                </c:pt>
              </c:numCache>
            </c:numRef>
          </c:val>
          <c:extLst>
            <c:ext xmlns:c16="http://schemas.microsoft.com/office/drawing/2014/chart" uri="{C3380CC4-5D6E-409C-BE32-E72D297353CC}">
              <c16:uniqueId val="{00000000-D635-4873-96BD-94A07825BF66}"/>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min val="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03524785638034E-2"/>
          <c:y val="6.8429980952757263E-2"/>
          <c:w val="0.85031601109732724"/>
          <c:h val="0.61919853809522107"/>
        </c:manualLayout>
      </c:layout>
      <c:lineChart>
        <c:grouping val="standard"/>
        <c:varyColors val="0"/>
        <c:ser>
          <c:idx val="0"/>
          <c:order val="0"/>
          <c:tx>
            <c:strRef>
              <c:f>KM!$K$29</c:f>
              <c:strCache>
                <c:ptCount val="1"/>
                <c:pt idx="0">
                  <c:v>Iedzīvotāju pilsoniskās līdzdalības indekss </c:v>
                </c:pt>
              </c:strCache>
            </c:strRef>
          </c:tx>
          <c:spPr>
            <a:ln w="25400"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KM!$L$28:$U$28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KM!$L$29:$U$29</c:f>
              <c:numCache>
                <c:formatCode>General</c:formatCode>
                <c:ptCount val="10"/>
                <c:pt idx="0">
                  <c:v>10</c:v>
                </c:pt>
                <c:pt idx="6">
                  <c:v>9.8000000000000007</c:v>
                </c:pt>
              </c:numCache>
            </c:numRef>
          </c:val>
          <c:smooth val="0"/>
          <c:extLst>
            <c:ext xmlns:c16="http://schemas.microsoft.com/office/drawing/2014/chart" uri="{C3380CC4-5D6E-409C-BE32-E72D297353CC}">
              <c16:uniqueId val="{00000000-E3CA-494E-91D3-C9E233C16051}"/>
            </c:ext>
          </c:extLst>
        </c:ser>
        <c:ser>
          <c:idx val="1"/>
          <c:order val="1"/>
          <c:tx>
            <c:strRef>
              <c:f>KM!$K$30</c:f>
              <c:strCache>
                <c:ptCount val="1"/>
                <c:pt idx="0">
                  <c:v>Rādītāja plānotās vērtības</c:v>
                </c:pt>
              </c:strCache>
            </c:strRef>
          </c:tx>
          <c:spPr>
            <a:ln w="25400" cap="rnd">
              <a:noFill/>
              <a:round/>
            </a:ln>
            <a:effectLst>
              <a:outerShdw blurRad="50800" dist="38100" dir="2700000" algn="tl" rotWithShape="0">
                <a:prstClr val="black">
                  <a:alpha val="40000"/>
                </a:prstClr>
              </a:outerShdw>
            </a:effectLst>
          </c:spPr>
          <c:marker>
            <c:symbol val="diamond"/>
            <c:size val="15"/>
            <c:spPr>
              <a:solidFill>
                <a:schemeClr val="accent2"/>
              </a:solidFill>
              <a:ln w="9525">
                <a:solidFill>
                  <a:schemeClr val="accent2"/>
                </a:solidFill>
              </a:ln>
              <a:effectLst>
                <a:outerShdw blurRad="50800" dist="38100" dir="2700000" algn="tl"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KM!$L$28:$U$28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KM!$L$30:$U$30</c:f>
              <c:numCache>
                <c:formatCode>General</c:formatCode>
                <c:ptCount val="10"/>
                <c:pt idx="6">
                  <c:v>19</c:v>
                </c:pt>
              </c:numCache>
            </c:numRef>
          </c:val>
          <c:smooth val="0"/>
          <c:extLst>
            <c:ext xmlns:c16="http://schemas.microsoft.com/office/drawing/2014/chart" uri="{C3380CC4-5D6E-409C-BE32-E72D297353CC}">
              <c16:uniqueId val="{00000001-E3CA-494E-91D3-C9E233C16051}"/>
            </c:ext>
          </c:extLst>
        </c:ser>
        <c:dLbls>
          <c:dLblPos val="t"/>
          <c:showLegendKey val="0"/>
          <c:showVal val="1"/>
          <c:showCatName val="0"/>
          <c:showSerName val="0"/>
          <c:showPercent val="0"/>
          <c:showBubbleSize val="0"/>
        </c:dLbls>
        <c:marker val="1"/>
        <c:smooth val="0"/>
        <c:axId val="1722487407"/>
        <c:axId val="1718593455"/>
      </c:lineChart>
      <c:lineChart>
        <c:grouping val="standard"/>
        <c:varyColors val="0"/>
        <c:ser>
          <c:idx val="2"/>
          <c:order val="2"/>
          <c:tx>
            <c:strRef>
              <c:f>KM!$K$31</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1"/>
              <c:layout>
                <c:manualLayout>
                  <c:x val="-4.2521250156578844E-2"/>
                  <c:y val="-6.330040538627695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3CA-494E-91D3-C9E233C16051}"/>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KM!$L$28:$U$28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KM!$L$31:$U$31</c:f>
              <c:numCache>
                <c:formatCode>#,##0.0</c:formatCode>
                <c:ptCount val="10"/>
                <c:pt idx="1">
                  <c:v>3.348665</c:v>
                </c:pt>
                <c:pt idx="2">
                  <c:v>4.2558119999999997</c:v>
                </c:pt>
                <c:pt idx="3">
                  <c:v>3.145454</c:v>
                </c:pt>
                <c:pt idx="4">
                  <c:v>4.2359330000000002</c:v>
                </c:pt>
                <c:pt idx="5">
                  <c:v>3.9634900000000002</c:v>
                </c:pt>
                <c:pt idx="6">
                  <c:v>4.4925689999999996</c:v>
                </c:pt>
                <c:pt idx="7">
                  <c:v>4.1513080000000002</c:v>
                </c:pt>
                <c:pt idx="8">
                  <c:v>4.3203690000000003</c:v>
                </c:pt>
                <c:pt idx="9">
                  <c:v>4.1031519999999997</c:v>
                </c:pt>
              </c:numCache>
            </c:numRef>
          </c:val>
          <c:smooth val="1"/>
          <c:extLst>
            <c:ext xmlns:c16="http://schemas.microsoft.com/office/drawing/2014/chart" uri="{C3380CC4-5D6E-409C-BE32-E72D297353CC}">
              <c16:uniqueId val="{00000003-E3CA-494E-91D3-C9E233C16051}"/>
            </c:ext>
          </c:extLst>
        </c:ser>
        <c:dLbls>
          <c:dLblPos val="t"/>
          <c:showLegendKey val="0"/>
          <c:showVal val="1"/>
          <c:showCatName val="0"/>
          <c:showSerName val="0"/>
          <c:showPercent val="0"/>
          <c:showBubbleSize val="0"/>
        </c:dLbls>
        <c:marker val="1"/>
        <c:smooth val="0"/>
        <c:axId val="1722511807"/>
        <c:axId val="1718608847"/>
      </c:lineChart>
      <c:catAx>
        <c:axId val="1722487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18593455"/>
        <c:crosses val="autoZero"/>
        <c:auto val="1"/>
        <c:lblAlgn val="ctr"/>
        <c:lblOffset val="100"/>
        <c:noMultiLvlLbl val="0"/>
      </c:catAx>
      <c:valAx>
        <c:axId val="1718593455"/>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Līdzdalības indekss</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22487407"/>
        <c:crosses val="autoZero"/>
        <c:crossBetween val="between"/>
        <c:majorUnit val="5"/>
      </c:valAx>
      <c:valAx>
        <c:axId val="1718608847"/>
        <c:scaling>
          <c:orientation val="minMax"/>
          <c:max val="5"/>
          <c:min val="3"/>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22511807"/>
        <c:crosses val="max"/>
        <c:crossBetween val="between"/>
        <c:majorUnit val="0.5"/>
      </c:valAx>
      <c:catAx>
        <c:axId val="1722511807"/>
        <c:scaling>
          <c:orientation val="minMax"/>
        </c:scaling>
        <c:delete val="1"/>
        <c:axPos val="b"/>
        <c:numFmt formatCode="General" sourceLinked="1"/>
        <c:majorTickMark val="out"/>
        <c:minorTickMark val="none"/>
        <c:tickLblPos val="nextTo"/>
        <c:crossAx val="1718608847"/>
        <c:crosses val="autoZero"/>
        <c:auto val="1"/>
        <c:lblAlgn val="ctr"/>
        <c:lblOffset val="100"/>
        <c:noMultiLvlLbl val="0"/>
      </c:catAx>
      <c:spPr>
        <a:noFill/>
        <a:ln>
          <a:noFill/>
        </a:ln>
        <a:effectLst/>
      </c:spPr>
    </c:plotArea>
    <c:legend>
      <c:legendPos val="b"/>
      <c:layout>
        <c:manualLayout>
          <c:xMode val="edge"/>
          <c:yMode val="edge"/>
          <c:x val="0.18994858949831239"/>
          <c:y val="0.80712621876847934"/>
          <c:w val="0.68999650531578438"/>
          <c:h val="0.1727218536811383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6754066346041898"/>
          <c:y val="8.8046128703190216E-2"/>
          <c:w val="0.3706750191561432"/>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1. Nozaru vadība un politikas plānošana</c:v>
                </c:pt>
                <c:pt idx="1">
                  <c:v>2. Valsts sociālā apdrošināšana</c:v>
                </c:pt>
                <c:pt idx="2">
                  <c:v>3. Izdienas pensijas</c:v>
                </c:pt>
                <c:pt idx="3">
                  <c:v>4. Valsts sociālie pabalsti</c:v>
                </c:pt>
                <c:pt idx="4">
                  <c:v>5. Sociālie pakalpojumi</c:v>
                </c:pt>
                <c:pt idx="5">
                  <c:v>6. Darba aizsardzība un darba tiesiskās attiecības</c:v>
                </c:pt>
                <c:pt idx="6">
                  <c:v>7. Darba tirgus attīstība</c:v>
                </c:pt>
                <c:pt idx="7">
                  <c:v>8. Invaliditātes noteikšanas sistēma</c:v>
                </c:pt>
                <c:pt idx="8">
                  <c:v>9. Bērnu tiesību aizsardzība</c:v>
                </c:pt>
              </c:strCache>
            </c:strRef>
          </c:cat>
          <c:val>
            <c:numRef>
              <c:f>Sheet1!$B$2:$B$10</c:f>
              <c:numCache>
                <c:formatCode>General</c:formatCode>
                <c:ptCount val="9"/>
                <c:pt idx="0">
                  <c:v>97.1</c:v>
                </c:pt>
                <c:pt idx="1">
                  <c:v>100</c:v>
                </c:pt>
                <c:pt idx="2">
                  <c:v>100</c:v>
                </c:pt>
                <c:pt idx="3">
                  <c:v>99.3</c:v>
                </c:pt>
                <c:pt idx="4">
                  <c:v>100</c:v>
                </c:pt>
                <c:pt idx="5">
                  <c:v>100</c:v>
                </c:pt>
                <c:pt idx="6">
                  <c:v>77.5</c:v>
                </c:pt>
                <c:pt idx="7">
                  <c:v>94.7</c:v>
                </c:pt>
                <c:pt idx="8">
                  <c:v>78.900000000000006</c:v>
                </c:pt>
              </c:numCache>
            </c:numRef>
          </c:val>
          <c:extLst>
            <c:ext xmlns:c16="http://schemas.microsoft.com/office/drawing/2014/chart" uri="{C3380CC4-5D6E-409C-BE32-E72D297353CC}">
              <c16:uniqueId val="{00000000-9423-4720-8744-EB00282EDB82}"/>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576473181661033E-2"/>
          <c:y val="6.6045102355084179E-2"/>
          <c:w val="0.8397605243672619"/>
          <c:h val="0.65994490731715583"/>
        </c:manualLayout>
      </c:layout>
      <c:lineChart>
        <c:grouping val="standard"/>
        <c:varyColors val="0"/>
        <c:ser>
          <c:idx val="0"/>
          <c:order val="0"/>
          <c:tx>
            <c:strRef>
              <c:f>LM!$K$36</c:f>
              <c:strCache>
                <c:ptCount val="1"/>
                <c:pt idx="0">
                  <c:v>Ilgstošo bezdarbnieku īpatsvars no visiem bezdarbniekiem (%)</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2"/>
              <c:layout>
                <c:manualLayout>
                  <c:x val="-4.685260720978944E-2"/>
                  <c:y val="3.78006872852233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D59-4AFD-B084-EDE10C26E80E}"/>
                </c:ext>
              </c:extLst>
            </c:dLbl>
            <c:dLbl>
              <c:idx val="3"/>
              <c:layout>
                <c:manualLayout>
                  <c:x val="-3.5828464336897806E-2"/>
                  <c:y val="-4.9255441008018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D59-4AFD-B084-EDE10C26E80E}"/>
                </c:ext>
              </c:extLst>
            </c:dLbl>
            <c:dLbl>
              <c:idx val="5"/>
              <c:layout>
                <c:manualLayout>
                  <c:x val="-5.7876750082680992E-2"/>
                  <c:y val="2.40549828178694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D59-4AFD-B084-EDE10C26E80E}"/>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LM!$L$35:$T$35</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LM!$L$36:$T$36</c:f>
              <c:numCache>
                <c:formatCode>General</c:formatCode>
                <c:ptCount val="9"/>
                <c:pt idx="0">
                  <c:v>44.7</c:v>
                </c:pt>
                <c:pt idx="1">
                  <c:v>41.5</c:v>
                </c:pt>
                <c:pt idx="2">
                  <c:v>37.4</c:v>
                </c:pt>
                <c:pt idx="3">
                  <c:v>41.9</c:v>
                </c:pt>
                <c:pt idx="4">
                  <c:v>37.9</c:v>
                </c:pt>
                <c:pt idx="5">
                  <c:v>27.3</c:v>
                </c:pt>
              </c:numCache>
            </c:numRef>
          </c:val>
          <c:smooth val="1"/>
          <c:extLst>
            <c:ext xmlns:c16="http://schemas.microsoft.com/office/drawing/2014/chart" uri="{C3380CC4-5D6E-409C-BE32-E72D297353CC}">
              <c16:uniqueId val="{00000003-1D59-4AFD-B084-EDE10C26E80E}"/>
            </c:ext>
          </c:extLst>
        </c:ser>
        <c:ser>
          <c:idx val="1"/>
          <c:order val="1"/>
          <c:tx>
            <c:strRef>
              <c:f>LM!$K$37</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2"/>
              <c:layout>
                <c:manualLayout>
                  <c:x val="-4.197924162577462E-2"/>
                  <c:y val="-6.18495885000381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D59-4AFD-B084-EDE10C26E80E}"/>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LM!$L$35:$T$35</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LM!$L$37:$T$37</c:f>
              <c:numCache>
                <c:formatCode>General</c:formatCode>
                <c:ptCount val="9"/>
                <c:pt idx="2">
                  <c:v>30</c:v>
                </c:pt>
                <c:pt idx="5" formatCode="0">
                  <c:v>15</c:v>
                </c:pt>
              </c:numCache>
            </c:numRef>
          </c:val>
          <c:smooth val="0"/>
          <c:extLst>
            <c:ext xmlns:c16="http://schemas.microsoft.com/office/drawing/2014/chart" uri="{C3380CC4-5D6E-409C-BE32-E72D297353CC}">
              <c16:uniqueId val="{00000005-1D59-4AFD-B084-EDE10C26E80E}"/>
            </c:ext>
          </c:extLst>
        </c:ser>
        <c:dLbls>
          <c:dLblPos val="t"/>
          <c:showLegendKey val="0"/>
          <c:showVal val="1"/>
          <c:showCatName val="0"/>
          <c:showSerName val="0"/>
          <c:showPercent val="0"/>
          <c:showBubbleSize val="0"/>
        </c:dLbls>
        <c:marker val="1"/>
        <c:smooth val="0"/>
        <c:axId val="906685728"/>
        <c:axId val="901752448"/>
      </c:lineChart>
      <c:lineChart>
        <c:grouping val="standard"/>
        <c:varyColors val="0"/>
        <c:ser>
          <c:idx val="2"/>
          <c:order val="2"/>
          <c:tx>
            <c:strRef>
              <c:f>LM!$K$38</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0"/>
              <c:layout>
                <c:manualLayout>
                  <c:x val="-5.0355863034692382E-2"/>
                  <c:y val="-6.001861038426494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D59-4AFD-B084-EDE10C26E80E}"/>
                </c:ext>
              </c:extLst>
            </c:dLbl>
            <c:dLbl>
              <c:idx val="1"/>
              <c:layout>
                <c:manualLayout>
                  <c:x val="-5.8233193034157714E-2"/>
                  <c:y val="-5.694191316785224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D59-4AFD-B084-EDE10C26E80E}"/>
                </c:ext>
              </c:extLst>
            </c:dLbl>
            <c:dLbl>
              <c:idx val="2"/>
              <c:layout>
                <c:manualLayout>
                  <c:x val="-2.2884384518631236E-2"/>
                  <c:y val="-5.945035221112825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1D59-4AFD-B084-EDE10C26E80E}"/>
                </c:ext>
              </c:extLst>
            </c:dLbl>
            <c:dLbl>
              <c:idx val="3"/>
              <c:layout>
                <c:manualLayout>
                  <c:x val="-4.7767521043366033E-2"/>
                  <c:y val="5.826565496171057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1D59-4AFD-B084-EDE10C26E80E}"/>
                </c:ext>
              </c:extLst>
            </c:dLbl>
            <c:dLbl>
              <c:idx val="4"/>
              <c:layout>
                <c:manualLayout>
                  <c:x val="-6.0429837406913267E-2"/>
                  <c:y val="3.161944963065179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1D59-4AFD-B084-EDE10C26E80E}"/>
                </c:ext>
              </c:extLst>
            </c:dLbl>
            <c:dLbl>
              <c:idx val="6"/>
              <c:layout>
                <c:manualLayout>
                  <c:x val="-3.1450271035975697E-2"/>
                  <c:y val="-6.3095307600677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1D59-4AFD-B084-EDE10C26E80E}"/>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LM!$L$35:$T$35</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LM!$L$38:$T$38</c:f>
              <c:numCache>
                <c:formatCode>#,##0.0</c:formatCode>
                <c:ptCount val="9"/>
                <c:pt idx="0">
                  <c:v>36.817661000000001</c:v>
                </c:pt>
                <c:pt idx="1">
                  <c:v>43.379682000000003</c:v>
                </c:pt>
                <c:pt idx="2">
                  <c:v>48.790115</c:v>
                </c:pt>
                <c:pt idx="3">
                  <c:v>50.337077000000001</c:v>
                </c:pt>
                <c:pt idx="4">
                  <c:v>44.027988999999998</c:v>
                </c:pt>
                <c:pt idx="5">
                  <c:v>45.29354</c:v>
                </c:pt>
                <c:pt idx="6">
                  <c:v>38.353364999999997</c:v>
                </c:pt>
                <c:pt idx="7">
                  <c:v>24.906091</c:v>
                </c:pt>
                <c:pt idx="8">
                  <c:v>16.130420999999998</c:v>
                </c:pt>
              </c:numCache>
            </c:numRef>
          </c:val>
          <c:smooth val="1"/>
          <c:extLst>
            <c:ext xmlns:c16="http://schemas.microsoft.com/office/drawing/2014/chart" uri="{C3380CC4-5D6E-409C-BE32-E72D297353CC}">
              <c16:uniqueId val="{0000000C-1D59-4AFD-B084-EDE10C26E80E}"/>
            </c:ext>
          </c:extLst>
        </c:ser>
        <c:dLbls>
          <c:dLblPos val="t"/>
          <c:showLegendKey val="0"/>
          <c:showVal val="1"/>
          <c:showCatName val="0"/>
          <c:showSerName val="0"/>
          <c:showPercent val="0"/>
          <c:showBubbleSize val="0"/>
        </c:dLbls>
        <c:marker val="1"/>
        <c:smooth val="0"/>
        <c:axId val="906705728"/>
        <c:axId val="901761600"/>
      </c:lineChart>
      <c:catAx>
        <c:axId val="90668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1752448"/>
        <c:crosses val="autoZero"/>
        <c:auto val="1"/>
        <c:lblAlgn val="ctr"/>
        <c:lblOffset val="100"/>
        <c:noMultiLvlLbl val="0"/>
      </c:catAx>
      <c:valAx>
        <c:axId val="901752448"/>
        <c:scaling>
          <c:orientation val="minMax"/>
          <c:max val="45"/>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Bezdarbnieku īpatsvars %</a:t>
                </a:r>
              </a:p>
            </c:rich>
          </c:tx>
          <c:layout>
            <c:manualLayout>
              <c:xMode val="edge"/>
              <c:yMode val="edge"/>
              <c:x val="4.4254555271319778E-3"/>
              <c:y val="0.1614425807107803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685728"/>
        <c:crosses val="autoZero"/>
        <c:crossBetween val="between"/>
        <c:majorUnit val="5"/>
      </c:valAx>
      <c:valAx>
        <c:axId val="901761600"/>
        <c:scaling>
          <c:orientation val="minMax"/>
          <c:max val="60"/>
          <c:min val="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6591265580282237"/>
              <c:y val="0.2017765271267894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705728"/>
        <c:crosses val="max"/>
        <c:crossBetween val="between"/>
        <c:majorUnit val="10"/>
      </c:valAx>
      <c:catAx>
        <c:axId val="906705728"/>
        <c:scaling>
          <c:orientation val="minMax"/>
        </c:scaling>
        <c:delete val="1"/>
        <c:axPos val="b"/>
        <c:numFmt formatCode="General" sourceLinked="1"/>
        <c:majorTickMark val="out"/>
        <c:minorTickMark val="none"/>
        <c:tickLblPos val="nextTo"/>
        <c:crossAx val="901761600"/>
        <c:crosses val="autoZero"/>
        <c:auto val="1"/>
        <c:lblAlgn val="ctr"/>
        <c:lblOffset val="100"/>
        <c:noMultiLvlLbl val="0"/>
      </c:catAx>
      <c:spPr>
        <a:noFill/>
        <a:ln>
          <a:noFill/>
        </a:ln>
        <a:effectLst/>
      </c:spPr>
    </c:plotArea>
    <c:legend>
      <c:legendPos val="b"/>
      <c:layout>
        <c:manualLayout>
          <c:xMode val="edge"/>
          <c:yMode val="edge"/>
          <c:x val="0.1118593265168171"/>
          <c:y val="0.83499758439775218"/>
          <c:w val="0.81881892896347863"/>
          <c:h val="0.1650024156022477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189148480155026E-2"/>
          <c:y val="6.6045102355084179E-2"/>
          <c:w val="0.85952307995454924"/>
          <c:h val="0.64693366031948707"/>
        </c:manualLayout>
      </c:layout>
      <c:lineChart>
        <c:grouping val="standard"/>
        <c:varyColors val="0"/>
        <c:ser>
          <c:idx val="0"/>
          <c:order val="0"/>
          <c:tx>
            <c:strRef>
              <c:f>LM!$K$43</c:f>
              <c:strCache>
                <c:ptCount val="1"/>
                <c:pt idx="0">
                  <c:v>Adoptēto bērnu īpatsvars visu adoptējamo bērnu skaitā (%)</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1"/>
              <c:layout>
                <c:manualLayout>
                  <c:x val="-4.2059754946094242E-2"/>
                  <c:y val="-7.082269396153853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115-4B35-99CD-9D2885EFB055}"/>
                </c:ext>
              </c:extLst>
            </c:dLbl>
            <c:dLbl>
              <c:idx val="2"/>
              <c:layout>
                <c:manualLayout>
                  <c:x val="-3.2339645621652015E-2"/>
                  <c:y val="-5.435802843019921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115-4B35-99CD-9D2885EFB055}"/>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LM!$L$42:$T$42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LM!$L$43:$T$43</c:f>
              <c:numCache>
                <c:formatCode>General</c:formatCode>
                <c:ptCount val="9"/>
                <c:pt idx="0">
                  <c:v>20.8</c:v>
                </c:pt>
                <c:pt idx="1">
                  <c:v>19.2</c:v>
                </c:pt>
                <c:pt idx="2">
                  <c:v>12.8</c:v>
                </c:pt>
                <c:pt idx="3">
                  <c:v>12.8</c:v>
                </c:pt>
                <c:pt idx="4">
                  <c:v>13.1</c:v>
                </c:pt>
                <c:pt idx="5">
                  <c:v>12.7</c:v>
                </c:pt>
              </c:numCache>
            </c:numRef>
          </c:val>
          <c:smooth val="1"/>
          <c:extLst>
            <c:ext xmlns:c16="http://schemas.microsoft.com/office/drawing/2014/chart" uri="{C3380CC4-5D6E-409C-BE32-E72D297353CC}">
              <c16:uniqueId val="{00000002-D115-4B35-99CD-9D2885EFB055}"/>
            </c:ext>
          </c:extLst>
        </c:ser>
        <c:ser>
          <c:idx val="1"/>
          <c:order val="1"/>
          <c:tx>
            <c:strRef>
              <c:f>LM!$K$44</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5"/>
              <c:layout>
                <c:manualLayout>
                  <c:x val="-1.6937354278085438E-2"/>
                  <c:y val="-5.106509532393126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115-4B35-99CD-9D2885EFB055}"/>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LM!$L$42:$T$42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LM!$L$44:$T$44</c:f>
              <c:numCache>
                <c:formatCode>General</c:formatCode>
                <c:ptCount val="9"/>
                <c:pt idx="2">
                  <c:v>21.5</c:v>
                </c:pt>
                <c:pt idx="5">
                  <c:v>22</c:v>
                </c:pt>
              </c:numCache>
            </c:numRef>
          </c:val>
          <c:smooth val="0"/>
          <c:extLst>
            <c:ext xmlns:c16="http://schemas.microsoft.com/office/drawing/2014/chart" uri="{C3380CC4-5D6E-409C-BE32-E72D297353CC}">
              <c16:uniqueId val="{00000004-D115-4B35-99CD-9D2885EFB055}"/>
            </c:ext>
          </c:extLst>
        </c:ser>
        <c:dLbls>
          <c:dLblPos val="t"/>
          <c:showLegendKey val="0"/>
          <c:showVal val="1"/>
          <c:showCatName val="0"/>
          <c:showSerName val="0"/>
          <c:showPercent val="0"/>
          <c:showBubbleSize val="0"/>
        </c:dLbls>
        <c:marker val="1"/>
        <c:smooth val="0"/>
        <c:axId val="906685728"/>
        <c:axId val="901752448"/>
      </c:lineChart>
      <c:lineChart>
        <c:grouping val="standard"/>
        <c:varyColors val="0"/>
        <c:ser>
          <c:idx val="2"/>
          <c:order val="2"/>
          <c:tx>
            <c:strRef>
              <c:f>LM!$K$45</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LM!$L$42:$T$42</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LM!$L$45:$T$45</c:f>
              <c:numCache>
                <c:formatCode>#,##0.0</c:formatCode>
                <c:ptCount val="9"/>
                <c:pt idx="0">
                  <c:v>0.98503399999999997</c:v>
                </c:pt>
                <c:pt idx="1">
                  <c:v>1.322076</c:v>
                </c:pt>
                <c:pt idx="2">
                  <c:v>2.2428110000000001</c:v>
                </c:pt>
                <c:pt idx="3">
                  <c:v>2.7708900000000001</c:v>
                </c:pt>
                <c:pt idx="4">
                  <c:v>2.9875319999999999</c:v>
                </c:pt>
                <c:pt idx="5">
                  <c:v>4.7634809999999996</c:v>
                </c:pt>
                <c:pt idx="6">
                  <c:v>4.3388369999999998</c:v>
                </c:pt>
                <c:pt idx="7">
                  <c:v>4.1527520000000004</c:v>
                </c:pt>
                <c:pt idx="8">
                  <c:v>4.1527520000000004</c:v>
                </c:pt>
              </c:numCache>
            </c:numRef>
          </c:val>
          <c:smooth val="1"/>
          <c:extLst>
            <c:ext xmlns:c16="http://schemas.microsoft.com/office/drawing/2014/chart" uri="{C3380CC4-5D6E-409C-BE32-E72D297353CC}">
              <c16:uniqueId val="{00000005-D115-4B35-99CD-9D2885EFB055}"/>
            </c:ext>
          </c:extLst>
        </c:ser>
        <c:dLbls>
          <c:dLblPos val="t"/>
          <c:showLegendKey val="0"/>
          <c:showVal val="1"/>
          <c:showCatName val="0"/>
          <c:showSerName val="0"/>
          <c:showPercent val="0"/>
          <c:showBubbleSize val="0"/>
        </c:dLbls>
        <c:marker val="1"/>
        <c:smooth val="0"/>
        <c:axId val="906705728"/>
        <c:axId val="901761600"/>
      </c:lineChart>
      <c:catAx>
        <c:axId val="90668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1752448"/>
        <c:crosses val="autoZero"/>
        <c:auto val="1"/>
        <c:lblAlgn val="ctr"/>
        <c:lblOffset val="100"/>
        <c:noMultiLvlLbl val="0"/>
      </c:catAx>
      <c:valAx>
        <c:axId val="901752448"/>
        <c:scaling>
          <c:orientation val="minMax"/>
          <c:max val="25"/>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Adoptēto bērnu īpatsvars %</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685728"/>
        <c:crosses val="autoZero"/>
        <c:crossBetween val="between"/>
        <c:majorUnit val="3"/>
      </c:valAx>
      <c:valAx>
        <c:axId val="901761600"/>
        <c:scaling>
          <c:orientation val="minMax"/>
          <c:max val="5"/>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7057647586797768"/>
              <c:y val="0.2071562000695859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06705728"/>
        <c:crosses val="max"/>
        <c:crossBetween val="between"/>
        <c:majorUnit val="1"/>
      </c:valAx>
      <c:catAx>
        <c:axId val="906705728"/>
        <c:scaling>
          <c:orientation val="minMax"/>
        </c:scaling>
        <c:delete val="1"/>
        <c:axPos val="b"/>
        <c:numFmt formatCode="General" sourceLinked="1"/>
        <c:majorTickMark val="out"/>
        <c:minorTickMark val="none"/>
        <c:tickLblPos val="nextTo"/>
        <c:crossAx val="901761600"/>
        <c:crosses val="autoZero"/>
        <c:auto val="1"/>
        <c:lblAlgn val="ctr"/>
        <c:lblOffset val="100"/>
        <c:noMultiLvlLbl val="0"/>
      </c:catAx>
      <c:spPr>
        <a:noFill/>
        <a:ln>
          <a:noFill/>
        </a:ln>
        <a:effectLst/>
      </c:spPr>
    </c:plotArea>
    <c:legend>
      <c:legendPos val="b"/>
      <c:layout>
        <c:manualLayout>
          <c:xMode val="edge"/>
          <c:yMode val="edge"/>
          <c:x val="0.10821785494790558"/>
          <c:y val="0.80830267838141856"/>
          <c:w val="0.77222403499851644"/>
          <c:h val="0.1719396561916246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555862633021752"/>
          <c:y val="8.8046128703190216E-2"/>
          <c:w val="0.44265693444426879"/>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1. Nozaru vadība un politikas plānošana</c:v>
                </c:pt>
                <c:pt idx="1">
                  <c:v>2. Autoceļi</c:v>
                </c:pt>
                <c:pt idx="2">
                  <c:v>3. Dzelzceļš</c:v>
                </c:pt>
                <c:pt idx="3">
                  <c:v>4. Aviācija</c:v>
                </c:pt>
                <c:pt idx="4">
                  <c:v>5. Tranzītpārvadājumi</c:v>
                </c:pt>
                <c:pt idx="5">
                  <c:v>6. Pasažieru pārvadājumi</c:v>
                </c:pt>
                <c:pt idx="6">
                  <c:v>7. Sakari</c:v>
                </c:pt>
              </c:strCache>
            </c:strRef>
          </c:cat>
          <c:val>
            <c:numRef>
              <c:f>Sheet1!$B$2:$B$8</c:f>
              <c:numCache>
                <c:formatCode>General</c:formatCode>
                <c:ptCount val="7"/>
                <c:pt idx="0">
                  <c:v>98.1</c:v>
                </c:pt>
                <c:pt idx="1">
                  <c:v>100</c:v>
                </c:pt>
                <c:pt idx="2">
                  <c:v>55.8</c:v>
                </c:pt>
                <c:pt idx="3">
                  <c:v>61.8</c:v>
                </c:pt>
                <c:pt idx="4">
                  <c:v>37.200000000000003</c:v>
                </c:pt>
                <c:pt idx="5">
                  <c:v>88.9</c:v>
                </c:pt>
                <c:pt idx="6">
                  <c:v>97.6</c:v>
                </c:pt>
              </c:numCache>
            </c:numRef>
          </c:val>
          <c:extLst>
            <c:ext xmlns:c16="http://schemas.microsoft.com/office/drawing/2014/chart" uri="{C3380CC4-5D6E-409C-BE32-E72D297353CC}">
              <c16:uniqueId val="{00000000-92AA-4314-98CC-821C8A0BD67E}"/>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156858796354556E-2"/>
          <c:y val="4.2368672397325689E-2"/>
          <c:w val="0.82966622888377517"/>
          <c:h val="0.6540120675369443"/>
        </c:manualLayout>
      </c:layout>
      <c:lineChart>
        <c:grouping val="standard"/>
        <c:varyColors val="0"/>
        <c:ser>
          <c:idx val="0"/>
          <c:order val="0"/>
          <c:tx>
            <c:strRef>
              <c:f>'16_ZM'!$A$20</c:f>
              <c:strCache>
                <c:ptCount val="1"/>
                <c:pt idx="0">
                  <c:v>Dzelzceļa kravu pārvadājumu īpatsvars no kopējā sauszemes pārvadājumu apjoma (%)</c:v>
                </c:pt>
              </c:strCache>
            </c:strRef>
          </c:tx>
          <c:spPr>
            <a:ln w="63500" cap="rnd">
              <a:solidFill>
                <a:srgbClr val="F79646"/>
              </a:solidFill>
              <a:round/>
            </a:ln>
            <a:effectLst>
              <a:outerShdw blurRad="50800" dist="38100" dir="5400000" algn="t" rotWithShape="0">
                <a:prstClr val="black">
                  <a:alpha val="40000"/>
                </a:prstClr>
              </a:outerShdw>
            </a:effectLst>
          </c:spPr>
          <c:marker>
            <c:symbol val="none"/>
          </c:marker>
          <c:dLbls>
            <c:dLbl>
              <c:idx val="0"/>
              <c:layout>
                <c:manualLayout>
                  <c:x val="-3.4007111024612263E-2"/>
                  <c:y val="-3.697222660920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E6F-4736-B1B5-7CE3C4F3207E}"/>
                </c:ext>
              </c:extLst>
            </c:dLbl>
            <c:dLbl>
              <c:idx val="1"/>
              <c:layout>
                <c:manualLayout>
                  <c:x val="-2.9525481669707504E-2"/>
                  <c:y val="-4.461310531026024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E6F-4736-B1B5-7CE3C4F3207E}"/>
                </c:ext>
              </c:extLst>
            </c:dLbl>
            <c:dLbl>
              <c:idx val="2"/>
              <c:layout>
                <c:manualLayout>
                  <c:x val="-2.9525481669707504E-2"/>
                  <c:y val="-5.225398401131090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E6F-4736-B1B5-7CE3C4F3207E}"/>
                </c:ext>
              </c:extLst>
            </c:dLbl>
            <c:dLbl>
              <c:idx val="4"/>
              <c:layout>
                <c:manualLayout>
                  <c:x val="-3.9111749218978621E-2"/>
                  <c:y val="4.277777585831608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E6F-4736-B1B5-7CE3C4F3207E}"/>
                </c:ext>
              </c:extLst>
            </c:dLbl>
            <c:dLbl>
              <c:idx val="5"/>
              <c:layout>
                <c:manualLayout>
                  <c:x val="-1.5338315320000426E-3"/>
                  <c:y val="2.5187176306779115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E6F-4736-B1B5-7CE3C4F3207E}"/>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'16_ZM'!$B$19:$I$19</c:f>
              <c:numCache>
                <c:formatCode>General</c:formatCode>
                <c:ptCount val="8"/>
                <c:pt idx="0">
                  <c:v>2015</c:v>
                </c:pt>
                <c:pt idx="1">
                  <c:v>2016</c:v>
                </c:pt>
                <c:pt idx="2">
                  <c:v>2017</c:v>
                </c:pt>
                <c:pt idx="3">
                  <c:v>2018</c:v>
                </c:pt>
                <c:pt idx="4">
                  <c:v>2019</c:v>
                </c:pt>
                <c:pt idx="5">
                  <c:v>2020</c:v>
                </c:pt>
                <c:pt idx="6">
                  <c:v>2021</c:v>
                </c:pt>
                <c:pt idx="7">
                  <c:v>2022</c:v>
                </c:pt>
              </c:numCache>
            </c:numRef>
          </c:cat>
          <c:val>
            <c:numRef>
              <c:f>'16_ZM'!$B$20:$I$20</c:f>
              <c:numCache>
                <c:formatCode>General</c:formatCode>
                <c:ptCount val="8"/>
                <c:pt idx="0">
                  <c:v>47.1</c:v>
                </c:pt>
                <c:pt idx="1">
                  <c:v>43</c:v>
                </c:pt>
                <c:pt idx="2">
                  <c:v>39</c:v>
                </c:pt>
                <c:pt idx="3">
                  <c:v>39.1</c:v>
                </c:pt>
                <c:pt idx="4">
                  <c:v>36</c:v>
                </c:pt>
                <c:pt idx="5">
                  <c:v>24</c:v>
                </c:pt>
              </c:numCache>
            </c:numRef>
          </c:val>
          <c:smooth val="1"/>
          <c:extLst>
            <c:ext xmlns:c16="http://schemas.microsoft.com/office/drawing/2014/chart" uri="{C3380CC4-5D6E-409C-BE32-E72D297353CC}">
              <c16:uniqueId val="{00000005-0E6F-4736-B1B5-7CE3C4F3207E}"/>
            </c:ext>
          </c:extLst>
        </c:ser>
        <c:ser>
          <c:idx val="1"/>
          <c:order val="1"/>
          <c:tx>
            <c:strRef>
              <c:f>'16_ZM'!$A$21</c:f>
              <c:strCache>
                <c:ptCount val="1"/>
                <c:pt idx="0">
                  <c:v>Rādītāja plānotās vērtības</c:v>
                </c:pt>
              </c:strCache>
            </c:strRef>
          </c:tx>
          <c:spPr>
            <a:ln w="28575" cap="rnd">
              <a:noFill/>
              <a:round/>
            </a:ln>
            <a:effectLst>
              <a:outerShdw blurRad="50800" dist="38100" dir="5400000" algn="t" rotWithShape="0">
                <a:prstClr val="black">
                  <a:alpha val="40000"/>
                </a:prstClr>
              </a:outerShdw>
            </a:effectLst>
          </c:spPr>
          <c:marker>
            <c:symbol val="diamond"/>
            <c:size val="15"/>
            <c:spPr>
              <a:solidFill>
                <a:srgbClr val="70AD47"/>
              </a:solidFill>
              <a:ln w="9525">
                <a:solidFill>
                  <a:srgbClr val="9BBB59"/>
                </a:solidFill>
              </a:ln>
              <a:effectLst>
                <a:outerShdw blurRad="50800" dist="38100" dir="5400000" algn="t"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'16_ZM'!$B$19:$I$19</c:f>
              <c:numCache>
                <c:formatCode>General</c:formatCode>
                <c:ptCount val="8"/>
                <c:pt idx="0">
                  <c:v>2015</c:v>
                </c:pt>
                <c:pt idx="1">
                  <c:v>2016</c:v>
                </c:pt>
                <c:pt idx="2">
                  <c:v>2017</c:v>
                </c:pt>
                <c:pt idx="3">
                  <c:v>2018</c:v>
                </c:pt>
                <c:pt idx="4">
                  <c:v>2019</c:v>
                </c:pt>
                <c:pt idx="5">
                  <c:v>2020</c:v>
                </c:pt>
                <c:pt idx="6">
                  <c:v>2021</c:v>
                </c:pt>
                <c:pt idx="7">
                  <c:v>2022</c:v>
                </c:pt>
              </c:numCache>
            </c:numRef>
          </c:cat>
          <c:val>
            <c:numRef>
              <c:f>'16_ZM'!$B$21:$I$21</c:f>
              <c:numCache>
                <c:formatCode>General</c:formatCode>
                <c:ptCount val="8"/>
                <c:pt idx="2">
                  <c:v>67</c:v>
                </c:pt>
                <c:pt idx="3">
                  <c:v>43</c:v>
                </c:pt>
                <c:pt idx="4">
                  <c:v>43</c:v>
                </c:pt>
                <c:pt idx="5">
                  <c:v>43</c:v>
                </c:pt>
              </c:numCache>
            </c:numRef>
          </c:val>
          <c:smooth val="0"/>
          <c:extLst>
            <c:ext xmlns:c16="http://schemas.microsoft.com/office/drawing/2014/chart" uri="{C3380CC4-5D6E-409C-BE32-E72D297353CC}">
              <c16:uniqueId val="{00000006-0E6F-4736-B1B5-7CE3C4F3207E}"/>
            </c:ext>
          </c:extLst>
        </c:ser>
        <c:dLbls>
          <c:showLegendKey val="0"/>
          <c:showVal val="0"/>
          <c:showCatName val="0"/>
          <c:showSerName val="0"/>
          <c:showPercent val="0"/>
          <c:showBubbleSize val="0"/>
        </c:dLbls>
        <c:marker val="1"/>
        <c:smooth val="0"/>
        <c:axId val="444639888"/>
        <c:axId val="435729152"/>
      </c:lineChart>
      <c:lineChart>
        <c:grouping val="standard"/>
        <c:varyColors val="0"/>
        <c:ser>
          <c:idx val="2"/>
          <c:order val="2"/>
          <c:tx>
            <c:strRef>
              <c:f>'16_ZM'!$A$22</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4"/>
              <c:layout>
                <c:manualLayout>
                  <c:x val="-4.6660888883058332E-2"/>
                  <c:y val="-6.61796358549737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0E6F-4736-B1B5-7CE3C4F3207E}"/>
                </c:ext>
              </c:extLst>
            </c:dLbl>
            <c:dLbl>
              <c:idx val="5"/>
              <c:layout>
                <c:manualLayout>
                  <c:x val="1.2390074456356672E-2"/>
                  <c:y val="-5.0526062465687492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0E6F-4736-B1B5-7CE3C4F3207E}"/>
                </c:ext>
              </c:extLst>
            </c:dLbl>
            <c:dLbl>
              <c:idx val="6"/>
              <c:layout>
                <c:manualLayout>
                  <c:x val="6.5904262712355548E-3"/>
                  <c:y val="-5.0526062465687492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0E6F-4736-B1B5-7CE3C4F3207E}"/>
                </c:ext>
              </c:extLst>
            </c:dLbl>
            <c:dLbl>
              <c:idx val="7"/>
              <c:layout>
                <c:manualLayout>
                  <c:x val="-2.484859164404692E-2"/>
                  <c:y val="-3.430051169009754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0E6F-4736-B1B5-7CE3C4F3207E}"/>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'16_ZM'!$B$19:$I$19</c:f>
              <c:numCache>
                <c:formatCode>General</c:formatCode>
                <c:ptCount val="8"/>
                <c:pt idx="0">
                  <c:v>2015</c:v>
                </c:pt>
                <c:pt idx="1">
                  <c:v>2016</c:v>
                </c:pt>
                <c:pt idx="2">
                  <c:v>2017</c:v>
                </c:pt>
                <c:pt idx="3">
                  <c:v>2018</c:v>
                </c:pt>
                <c:pt idx="4">
                  <c:v>2019</c:v>
                </c:pt>
                <c:pt idx="5">
                  <c:v>2020</c:v>
                </c:pt>
                <c:pt idx="6">
                  <c:v>2021</c:v>
                </c:pt>
                <c:pt idx="7">
                  <c:v>2022</c:v>
                </c:pt>
              </c:numCache>
            </c:numRef>
          </c:cat>
          <c:val>
            <c:numRef>
              <c:f>'16_ZM'!$B$22:$I$22</c:f>
              <c:numCache>
                <c:formatCode>0.0</c:formatCode>
                <c:ptCount val="8"/>
                <c:pt idx="0">
                  <c:v>56.991996</c:v>
                </c:pt>
                <c:pt idx="1">
                  <c:v>30.776827999999998</c:v>
                </c:pt>
                <c:pt idx="2">
                  <c:v>2.0935999999999999</c:v>
                </c:pt>
                <c:pt idx="3">
                  <c:v>3.698769</c:v>
                </c:pt>
                <c:pt idx="4">
                  <c:v>13.104634000000001</c:v>
                </c:pt>
                <c:pt idx="5">
                  <c:v>69.043530000000004</c:v>
                </c:pt>
                <c:pt idx="6">
                  <c:v>108.704167</c:v>
                </c:pt>
                <c:pt idx="7">
                  <c:v>140.401456</c:v>
                </c:pt>
              </c:numCache>
            </c:numRef>
          </c:val>
          <c:smooth val="0"/>
          <c:extLst>
            <c:ext xmlns:c16="http://schemas.microsoft.com/office/drawing/2014/chart" uri="{C3380CC4-5D6E-409C-BE32-E72D297353CC}">
              <c16:uniqueId val="{0000000B-0E6F-4736-B1B5-7CE3C4F3207E}"/>
            </c:ext>
          </c:extLst>
        </c:ser>
        <c:dLbls>
          <c:showLegendKey val="0"/>
          <c:showVal val="0"/>
          <c:showCatName val="0"/>
          <c:showSerName val="0"/>
          <c:showPercent val="0"/>
          <c:showBubbleSize val="0"/>
        </c:dLbls>
        <c:marker val="1"/>
        <c:smooth val="0"/>
        <c:axId val="444593488"/>
        <c:axId val="435737472"/>
      </c:lineChart>
      <c:catAx>
        <c:axId val="44463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35729152"/>
        <c:crosses val="autoZero"/>
        <c:auto val="1"/>
        <c:lblAlgn val="ctr"/>
        <c:lblOffset val="100"/>
        <c:noMultiLvlLbl val="0"/>
      </c:catAx>
      <c:valAx>
        <c:axId val="435729152"/>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Pārvadājumu īpatsvars, %</a:t>
                </a:r>
              </a:p>
            </c:rich>
          </c:tx>
          <c:layout>
            <c:manualLayout>
              <c:xMode val="edge"/>
              <c:yMode val="edge"/>
              <c:x val="8.7007546903022665E-3"/>
              <c:y val="0.1531822777171604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44639888"/>
        <c:crosses val="autoZero"/>
        <c:crossBetween val="between"/>
      </c:valAx>
      <c:valAx>
        <c:axId val="435737472"/>
        <c:scaling>
          <c:orientation val="minMax"/>
          <c:max val="16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44593488"/>
        <c:crosses val="max"/>
        <c:crossBetween val="between"/>
        <c:majorUnit val="20"/>
      </c:valAx>
      <c:catAx>
        <c:axId val="444593488"/>
        <c:scaling>
          <c:orientation val="minMax"/>
        </c:scaling>
        <c:delete val="1"/>
        <c:axPos val="b"/>
        <c:numFmt formatCode="General" sourceLinked="1"/>
        <c:majorTickMark val="out"/>
        <c:minorTickMark val="none"/>
        <c:tickLblPos val="nextTo"/>
        <c:crossAx val="435737472"/>
        <c:crosses val="autoZero"/>
        <c:auto val="1"/>
        <c:lblAlgn val="ctr"/>
        <c:lblOffset val="100"/>
        <c:noMultiLvlLbl val="0"/>
      </c:catAx>
      <c:spPr>
        <a:noFill/>
        <a:ln>
          <a:noFill/>
        </a:ln>
        <a:effectLst/>
      </c:spPr>
    </c:plotArea>
    <c:legend>
      <c:legendPos val="b"/>
      <c:layout>
        <c:manualLayout>
          <c:xMode val="edge"/>
          <c:yMode val="edge"/>
          <c:x val="3.4612731871559166E-2"/>
          <c:y val="0.80260587429652697"/>
          <c:w val="0.95200387355738858"/>
          <c:h val="0.1973943064809206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173189284533128E-2"/>
          <c:y val="3.0768997910845607E-2"/>
          <c:w val="0.82096705170149398"/>
          <c:h val="0.69413104557811256"/>
        </c:manualLayout>
      </c:layout>
      <c:lineChart>
        <c:grouping val="standard"/>
        <c:varyColors val="0"/>
        <c:ser>
          <c:idx val="0"/>
          <c:order val="0"/>
          <c:tx>
            <c:strRef>
              <c:f>'16_ZM'!$A$25</c:f>
              <c:strCache>
                <c:ptCount val="1"/>
                <c:pt idx="0">
                  <c:v>Kravu apgrozījums Latvijas lielajās ostās (Rīga, Ventspils, Liepāja) (milj. t gadā)</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0"/>
              <c:layout>
                <c:manualLayout>
                  <c:x val="-5.0878814835873691E-2"/>
                  <c:y val="4.461310531026028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B14-4A09-82F3-E359E26104F1}"/>
                </c:ext>
              </c:extLst>
            </c:dLbl>
            <c:dLbl>
              <c:idx val="1"/>
              <c:layout>
                <c:manualLayout>
                  <c:x val="-4.8769851859466015E-2"/>
                  <c:y val="3.697222660920966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B14-4A09-82F3-E359E26104F1}"/>
                </c:ext>
              </c:extLst>
            </c:dLbl>
            <c:dLbl>
              <c:idx val="5"/>
              <c:layout>
                <c:manualLayout>
                  <c:x val="-2.6539843989450692E-2"/>
                  <c:y val="-5.16108526020564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B14-4A09-82F3-E359E26104F1}"/>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'16_ZM'!$B$24:$J$24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'16_ZM'!$B$25:$J$25</c:f>
              <c:numCache>
                <c:formatCode>General</c:formatCode>
                <c:ptCount val="9"/>
                <c:pt idx="0">
                  <c:v>68.2</c:v>
                </c:pt>
                <c:pt idx="1">
                  <c:v>61.6</c:v>
                </c:pt>
                <c:pt idx="2">
                  <c:v>61.8</c:v>
                </c:pt>
                <c:pt idx="3">
                  <c:v>66.2</c:v>
                </c:pt>
                <c:pt idx="4">
                  <c:v>64.3</c:v>
                </c:pt>
                <c:pt idx="5">
                  <c:v>43.2</c:v>
                </c:pt>
              </c:numCache>
            </c:numRef>
          </c:val>
          <c:smooth val="1"/>
          <c:extLst>
            <c:ext xmlns:c16="http://schemas.microsoft.com/office/drawing/2014/chart" uri="{C3380CC4-5D6E-409C-BE32-E72D297353CC}">
              <c16:uniqueId val="{00000003-7B14-4A09-82F3-E359E26104F1}"/>
            </c:ext>
          </c:extLst>
        </c:ser>
        <c:ser>
          <c:idx val="1"/>
          <c:order val="1"/>
          <c:tx>
            <c:strRef>
              <c:f>'16_ZM'!$A$26</c:f>
              <c:strCache>
                <c:ptCount val="1"/>
                <c:pt idx="0">
                  <c:v>Rādītāja plānotās vērtības</c:v>
                </c:pt>
              </c:strCache>
            </c:strRef>
          </c:tx>
          <c:spPr>
            <a:ln w="28575" cap="rnd">
              <a:noFill/>
              <a:round/>
            </a:ln>
            <a:effectLst>
              <a:outerShdw blurRad="50800" dist="38100" dir="5400000" algn="t"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5400000" algn="t"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'16_ZM'!$B$24:$J$24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'16_ZM'!$B$26:$J$26</c:f>
              <c:numCache>
                <c:formatCode>General</c:formatCode>
                <c:ptCount val="9"/>
                <c:pt idx="2">
                  <c:v>98</c:v>
                </c:pt>
                <c:pt idx="3">
                  <c:v>98</c:v>
                </c:pt>
                <c:pt idx="4">
                  <c:v>98</c:v>
                </c:pt>
                <c:pt idx="5">
                  <c:v>116</c:v>
                </c:pt>
                <c:pt idx="6">
                  <c:v>45</c:v>
                </c:pt>
              </c:numCache>
            </c:numRef>
          </c:val>
          <c:smooth val="0"/>
          <c:extLst>
            <c:ext xmlns:c16="http://schemas.microsoft.com/office/drawing/2014/chart" uri="{C3380CC4-5D6E-409C-BE32-E72D297353CC}">
              <c16:uniqueId val="{00000004-7B14-4A09-82F3-E359E26104F1}"/>
            </c:ext>
          </c:extLst>
        </c:ser>
        <c:dLbls>
          <c:showLegendKey val="0"/>
          <c:showVal val="0"/>
          <c:showCatName val="0"/>
          <c:showSerName val="0"/>
          <c:showPercent val="0"/>
          <c:showBubbleSize val="0"/>
        </c:dLbls>
        <c:marker val="1"/>
        <c:smooth val="0"/>
        <c:axId val="444639888"/>
        <c:axId val="435729152"/>
      </c:lineChart>
      <c:lineChart>
        <c:grouping val="standard"/>
        <c:varyColors val="0"/>
        <c:ser>
          <c:idx val="2"/>
          <c:order val="2"/>
          <c:tx>
            <c:strRef>
              <c:f>'16_ZM'!$A$27</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0"/>
              <c:layout>
                <c:manualLayout>
                  <c:x val="-9.4903333938345553E-3"/>
                  <c:y val="-1.591649181388143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7B14-4A09-82F3-E359E26104F1}"/>
                </c:ext>
              </c:extLst>
            </c:dLbl>
            <c:dLbl>
              <c:idx val="1"/>
              <c:layout>
                <c:manualLayout>
                  <c:x val="-1.5817222323057628E-2"/>
                  <c:y val="-3.94365604012966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7B14-4A09-82F3-E359E26104F1}"/>
                </c:ext>
              </c:extLst>
            </c:dLbl>
            <c:dLbl>
              <c:idx val="2"/>
              <c:layout>
                <c:manualLayout>
                  <c:x val="-2.8998240925605583E-2"/>
                  <c:y val="-5.089787845287247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7B14-4A09-82F3-E359E26104F1}"/>
                </c:ext>
              </c:extLst>
            </c:dLbl>
            <c:dLbl>
              <c:idx val="8"/>
              <c:layout>
                <c:manualLayout>
                  <c:x val="-5.0087870689682373E-2"/>
                  <c:y val="-5.089787845287247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7B14-4A09-82F3-E359E26104F1}"/>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'16_ZM'!$B$24:$J$24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'16_ZM'!$B$27:$J$27</c:f>
              <c:numCache>
                <c:formatCode>#,##0.0</c:formatCode>
                <c:ptCount val="9"/>
                <c:pt idx="0">
                  <c:v>58.597372</c:v>
                </c:pt>
                <c:pt idx="1">
                  <c:v>23.34271</c:v>
                </c:pt>
                <c:pt idx="2">
                  <c:v>0.19672300000000001</c:v>
                </c:pt>
                <c:pt idx="3">
                  <c:v>0.39742899999999998</c:v>
                </c:pt>
                <c:pt idx="4">
                  <c:v>0.93110899999999996</c:v>
                </c:pt>
                <c:pt idx="5">
                  <c:v>1.1419999999999999</c:v>
                </c:pt>
                <c:pt idx="6">
                  <c:v>0.40722000000000003</c:v>
                </c:pt>
                <c:pt idx="7">
                  <c:v>0.40722000000000003</c:v>
                </c:pt>
                <c:pt idx="8">
                  <c:v>0.40722000000000003</c:v>
                </c:pt>
              </c:numCache>
            </c:numRef>
          </c:val>
          <c:smooth val="0"/>
          <c:extLst>
            <c:ext xmlns:c16="http://schemas.microsoft.com/office/drawing/2014/chart" uri="{C3380CC4-5D6E-409C-BE32-E72D297353CC}">
              <c16:uniqueId val="{00000009-7B14-4A09-82F3-E359E26104F1}"/>
            </c:ext>
          </c:extLst>
        </c:ser>
        <c:dLbls>
          <c:showLegendKey val="0"/>
          <c:showVal val="0"/>
          <c:showCatName val="0"/>
          <c:showSerName val="0"/>
          <c:showPercent val="0"/>
          <c:showBubbleSize val="0"/>
        </c:dLbls>
        <c:marker val="1"/>
        <c:smooth val="0"/>
        <c:axId val="444593488"/>
        <c:axId val="435737472"/>
      </c:lineChart>
      <c:catAx>
        <c:axId val="44463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35729152"/>
        <c:crosses val="autoZero"/>
        <c:auto val="1"/>
        <c:lblAlgn val="ctr"/>
        <c:lblOffset val="100"/>
        <c:noMultiLvlLbl val="0"/>
      </c:catAx>
      <c:valAx>
        <c:axId val="435729152"/>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Kravu apgrozījums, milj. t gadā</a:t>
                </a:r>
              </a:p>
            </c:rich>
          </c:tx>
          <c:layout>
            <c:manualLayout>
              <c:xMode val="edge"/>
              <c:yMode val="edge"/>
              <c:x val="8.5262973164184127E-3"/>
              <c:y val="0.1334261119337216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44639888"/>
        <c:crosses val="autoZero"/>
        <c:crossBetween val="between"/>
      </c:valAx>
      <c:valAx>
        <c:axId val="435737472"/>
        <c:scaling>
          <c:orientation val="minMax"/>
          <c:max val="6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6432413757783086"/>
              <c:y val="0.2123549858520640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44593488"/>
        <c:crosses val="max"/>
        <c:crossBetween val="between"/>
      </c:valAx>
      <c:catAx>
        <c:axId val="444593488"/>
        <c:scaling>
          <c:orientation val="minMax"/>
        </c:scaling>
        <c:delete val="1"/>
        <c:axPos val="b"/>
        <c:numFmt formatCode="General" sourceLinked="1"/>
        <c:majorTickMark val="out"/>
        <c:minorTickMark val="none"/>
        <c:tickLblPos val="nextTo"/>
        <c:crossAx val="435737472"/>
        <c:crosses val="autoZero"/>
        <c:auto val="1"/>
        <c:lblAlgn val="ctr"/>
        <c:lblOffset val="100"/>
        <c:noMultiLvlLbl val="0"/>
      </c:catAx>
      <c:spPr>
        <a:noFill/>
        <a:ln>
          <a:noFill/>
        </a:ln>
        <a:effectLst/>
      </c:spPr>
    </c:plotArea>
    <c:legend>
      <c:legendPos val="b"/>
      <c:layout>
        <c:manualLayout>
          <c:xMode val="edge"/>
          <c:yMode val="edge"/>
          <c:x val="3.8142908670964433E-2"/>
          <c:y val="0.82587342207921088"/>
          <c:w val="0.93147760363255161"/>
          <c:h val="0.1741265779207891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555862633021752"/>
          <c:y val="8.8046128703190216E-2"/>
          <c:w val="0.44265693444426879"/>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1. Tiesu sistēmas attīstība</c:v>
                </c:pt>
                <c:pt idx="1">
                  <c:v>2. Kriminālsodu izpilde</c:v>
                </c:pt>
                <c:pt idx="2">
                  <c:v>3. Komerctiesību politika</c:v>
                </c:pt>
                <c:pt idx="3">
                  <c:v>4. Nekustamā īpašuma tiesību politika</c:v>
                </c:pt>
                <c:pt idx="4">
                  <c:v>5. Konstitucionālo tiesību politika</c:v>
                </c:pt>
                <c:pt idx="5">
                  <c:v>6. Nozaru vadība un politikas plānošana</c:v>
                </c:pt>
              </c:strCache>
            </c:strRef>
          </c:cat>
          <c:val>
            <c:numRef>
              <c:f>Sheet1!$B$2:$B$7</c:f>
              <c:numCache>
                <c:formatCode>General</c:formatCode>
                <c:ptCount val="6"/>
                <c:pt idx="0">
                  <c:v>87.4</c:v>
                </c:pt>
                <c:pt idx="1">
                  <c:v>40.5</c:v>
                </c:pt>
                <c:pt idx="2">
                  <c:v>75.2</c:v>
                </c:pt>
                <c:pt idx="3">
                  <c:v>93</c:v>
                </c:pt>
                <c:pt idx="4">
                  <c:v>100</c:v>
                </c:pt>
                <c:pt idx="5">
                  <c:v>69.3</c:v>
                </c:pt>
              </c:numCache>
            </c:numRef>
          </c:val>
          <c:extLst>
            <c:ext xmlns:c16="http://schemas.microsoft.com/office/drawing/2014/chart" uri="{C3380CC4-5D6E-409C-BE32-E72D297353CC}">
              <c16:uniqueId val="{00000000-6BFF-4294-BC02-F2892985C1F2}"/>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520471378324683E-2"/>
          <c:y val="3.6946743371329097E-2"/>
          <c:w val="0.9106896050949097"/>
          <c:h val="0.78367441168621199"/>
        </c:manualLayout>
      </c:layout>
      <c:barChart>
        <c:barDir val="col"/>
        <c:grouping val="clustered"/>
        <c:varyColors val="0"/>
        <c:ser>
          <c:idx val="0"/>
          <c:order val="0"/>
          <c:spPr>
            <a:solidFill>
              <a:schemeClr val="accent6"/>
            </a:solidFill>
            <a:ln>
              <a:noFill/>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D1F1-46DE-A1E9-C3949B0BB2C3}"/>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D1F1-46DE-A1E9-C3949B0BB2C3}"/>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D1F1-46DE-A1E9-C3949B0BB2C3}"/>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Dati!$U$5:$AC$6</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Dati!$U$7:$AC$7</c:f>
              <c:numCache>
                <c:formatCode>#,##0.0</c:formatCode>
                <c:ptCount val="9"/>
                <c:pt idx="0">
                  <c:v>11.144</c:v>
                </c:pt>
                <c:pt idx="1">
                  <c:v>9.0759999999999987</c:v>
                </c:pt>
                <c:pt idx="2">
                  <c:v>11.144</c:v>
                </c:pt>
                <c:pt idx="3">
                  <c:v>7.3170000000000002</c:v>
                </c:pt>
                <c:pt idx="4">
                  <c:v>11.144</c:v>
                </c:pt>
                <c:pt idx="5">
                  <c:v>6.2116300000000004</c:v>
                </c:pt>
                <c:pt idx="6">
                  <c:v>11.144</c:v>
                </c:pt>
                <c:pt idx="7">
                  <c:v>11.144</c:v>
                </c:pt>
                <c:pt idx="8">
                  <c:v>11.144</c:v>
                </c:pt>
              </c:numCache>
            </c:numRef>
          </c:val>
          <c:extLst>
            <c:ext xmlns:c16="http://schemas.microsoft.com/office/drawing/2014/chart" uri="{C3380CC4-5D6E-409C-BE32-E72D297353CC}">
              <c16:uniqueId val="{00000006-D1F1-46DE-A1E9-C3949B0BB2C3}"/>
            </c:ext>
          </c:extLst>
        </c:ser>
        <c:dLbls>
          <c:showLegendKey val="0"/>
          <c:showVal val="1"/>
          <c:showCatName val="0"/>
          <c:showSerName val="0"/>
          <c:showPercent val="0"/>
          <c:showBubbleSize val="0"/>
        </c:dLbls>
        <c:gapWidth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12"/>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698255320885022E-2"/>
          <c:y val="1.7538974063291031E-2"/>
          <c:w val="0.82716261999605922"/>
          <c:h val="0.5641919553444249"/>
        </c:manualLayout>
      </c:layout>
      <c:lineChart>
        <c:grouping val="standard"/>
        <c:varyColors val="0"/>
        <c:ser>
          <c:idx val="0"/>
          <c:order val="0"/>
          <c:tx>
            <c:strRef>
              <c:f>TM!$C$52</c:f>
              <c:strCache>
                <c:ptCount val="1"/>
                <c:pt idx="0">
                  <c:v>Bijušie ieslodzītie, kas iekārtojušies darbā pirmo 6 mēnešu laikā no bezdarbnieka statusa iegūšanas dienas (skaits)*</c:v>
                </c:pt>
              </c:strCache>
            </c:strRef>
          </c:tx>
          <c:spPr>
            <a:ln w="50800" cap="rnd">
              <a:solidFill>
                <a:srgbClr val="9BBB59"/>
              </a:solidFill>
              <a:round/>
            </a:ln>
            <a:effectLst/>
          </c:spPr>
          <c:marker>
            <c:symbol val="none"/>
          </c:marker>
          <c:dLbls>
            <c:dLbl>
              <c:idx val="2"/>
              <c:layout>
                <c:manualLayout>
                  <c:x val="-1.3458719091772613E-2"/>
                  <c:y val="4.15965736415243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760-4E18-81DC-4E8EC9C4C37B}"/>
                </c:ext>
              </c:extLst>
            </c:dLbl>
            <c:spPr>
              <a:noFill/>
              <a:ln>
                <a:noFill/>
              </a:ln>
              <a:effectLst/>
            </c:spPr>
            <c:txPr>
              <a:bodyPr rot="0" spcFirstLastPara="1" vertOverflow="ellipsis" vert="horz" wrap="square" anchor="ctr" anchorCtr="1"/>
              <a:lstStyle/>
              <a:p>
                <a:pPr>
                  <a:defRPr sz="1000" b="0"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TM!$D$51:$L$51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TM!$D$52:$L$52</c:f>
              <c:numCache>
                <c:formatCode>General</c:formatCode>
                <c:ptCount val="9"/>
                <c:pt idx="1">
                  <c:v>275</c:v>
                </c:pt>
                <c:pt idx="2">
                  <c:v>73</c:v>
                </c:pt>
                <c:pt idx="3">
                  <c:v>115</c:v>
                </c:pt>
                <c:pt idx="4">
                  <c:v>115</c:v>
                </c:pt>
                <c:pt idx="5">
                  <c:v>110</c:v>
                </c:pt>
              </c:numCache>
            </c:numRef>
          </c:val>
          <c:smooth val="1"/>
          <c:extLst>
            <c:ext xmlns:c16="http://schemas.microsoft.com/office/drawing/2014/chart" uri="{C3380CC4-5D6E-409C-BE32-E72D297353CC}">
              <c16:uniqueId val="{00000001-D760-4E18-81DC-4E8EC9C4C37B}"/>
            </c:ext>
          </c:extLst>
        </c:ser>
        <c:ser>
          <c:idx val="1"/>
          <c:order val="1"/>
          <c:tx>
            <c:strRef>
              <c:f>TM!$C$53</c:f>
              <c:strCache>
                <c:ptCount val="1"/>
                <c:pt idx="0">
                  <c:v>Notiesāto personu īpatsvars, kuri saņem pilnu individuālajā resocializācijas plānā paredzēto resocializācijas vajadzību risināšanu (%)*</c:v>
                </c:pt>
              </c:strCache>
            </c:strRef>
          </c:tx>
          <c:spPr>
            <a:ln w="50800" cap="rnd">
              <a:solidFill>
                <a:schemeClr val="accent2"/>
              </a:solidFill>
              <a:round/>
            </a:ln>
            <a:effectLst/>
          </c:spPr>
          <c:marker>
            <c:symbol val="none"/>
          </c:marker>
          <c:dLbls>
            <c:dLbl>
              <c:idx val="0"/>
              <c:layout>
                <c:manualLayout>
                  <c:x val="-2.8684560047865119E-2"/>
                  <c:y val="-3.07967558534679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760-4E18-81DC-4E8EC9C4C37B}"/>
                </c:ext>
              </c:extLst>
            </c:dLbl>
            <c:dLbl>
              <c:idx val="1"/>
              <c:layout>
                <c:manualLayout>
                  <c:x val="-3.08543452254646E-2"/>
                  <c:y val="-3.07967558534679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760-4E18-81DC-4E8EC9C4C37B}"/>
                </c:ext>
              </c:extLst>
            </c:dLbl>
            <c:dLbl>
              <c:idx val="2"/>
              <c:layout>
                <c:manualLayout>
                  <c:x val="-9.1564934494698033E-3"/>
                  <c:y val="-3.079675585346804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760-4E18-81DC-4E8EC9C4C37B}"/>
                </c:ext>
              </c:extLst>
            </c:dLbl>
            <c:dLbl>
              <c:idx val="3"/>
              <c:layout>
                <c:manualLayout>
                  <c:x val="-2.7881241707620123E-2"/>
                  <c:y val="-2.891155232904411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D760-4E18-81DC-4E8EC9C4C37B}"/>
                </c:ext>
              </c:extLst>
            </c:dLbl>
            <c:dLbl>
              <c:idx val="4"/>
              <c:layout>
                <c:manualLayout>
                  <c:x val="-2.7881241707620123E-2"/>
                  <c:y val="-3.415884547981857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D760-4E18-81DC-4E8EC9C4C37B}"/>
                </c:ext>
              </c:extLst>
            </c:dLbl>
            <c:dLbl>
              <c:idx val="5"/>
              <c:layout>
                <c:manualLayout>
                  <c:x val="-5.1255840842626535E-2"/>
                  <c:y val="-3.310933240782918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D760-4E18-81DC-4E8EC9C4C37B}"/>
                </c:ext>
              </c:extLst>
            </c:dLbl>
            <c:spPr>
              <a:noFill/>
              <a:ln>
                <a:noFill/>
              </a:ln>
              <a:effectLst/>
            </c:spPr>
            <c:txPr>
              <a:bodyPr rot="0" spcFirstLastPara="1" vertOverflow="ellipsis" vert="horz" wrap="square" anchor="ctr" anchorCtr="1"/>
              <a:lstStyle/>
              <a:p>
                <a:pPr>
                  <a:defRPr sz="1000" b="0"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TM!$D$51:$L$51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TM!$D$53:$L$53</c:f>
              <c:numCache>
                <c:formatCode>General</c:formatCode>
                <c:ptCount val="9"/>
                <c:pt idx="0">
                  <c:v>70</c:v>
                </c:pt>
                <c:pt idx="1">
                  <c:v>70</c:v>
                </c:pt>
                <c:pt idx="2">
                  <c:v>74</c:v>
                </c:pt>
                <c:pt idx="3">
                  <c:v>77</c:v>
                </c:pt>
                <c:pt idx="4">
                  <c:v>74</c:v>
                </c:pt>
                <c:pt idx="5">
                  <c:v>72</c:v>
                </c:pt>
              </c:numCache>
            </c:numRef>
          </c:val>
          <c:smooth val="1"/>
          <c:extLst>
            <c:ext xmlns:c16="http://schemas.microsoft.com/office/drawing/2014/chart" uri="{C3380CC4-5D6E-409C-BE32-E72D297353CC}">
              <c16:uniqueId val="{00000008-D760-4E18-81DC-4E8EC9C4C37B}"/>
            </c:ext>
          </c:extLst>
        </c:ser>
        <c:ser>
          <c:idx val="2"/>
          <c:order val="2"/>
          <c:tx>
            <c:strRef>
              <c:f>TM!$C$54</c:f>
              <c:strCache>
                <c:ptCount val="1"/>
                <c:pt idx="0">
                  <c:v>Vietas, kur ieslodzītie tiek izvietoti drošos, resocializācijas īstenošanai piemērotos un starptautiskajām prasībām atbilstošos apstākļos (% no kopējā ieslodzījuma vietās esošo vietu skaita)*</c:v>
                </c:pt>
              </c:strCache>
            </c:strRef>
          </c:tx>
          <c:spPr>
            <a:ln w="50800" cap="rnd">
              <a:solidFill>
                <a:srgbClr val="FFCC00"/>
              </a:solidFill>
              <a:round/>
            </a:ln>
            <a:effectLst/>
          </c:spPr>
          <c:marker>
            <c:symbol val="none"/>
          </c:marker>
          <c:dLbls>
            <c:dLbl>
              <c:idx val="0"/>
              <c:layout>
                <c:manualLayout>
                  <c:x val="-3.4407496590703683E-2"/>
                  <c:y val="-2.754472250040906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D760-4E18-81DC-4E8EC9C4C37B}"/>
                </c:ext>
              </c:extLst>
            </c:dLbl>
            <c:dLbl>
              <c:idx val="1"/>
              <c:layout>
                <c:manualLayout>
                  <c:x val="-3.4407496590703683E-2"/>
                  <c:y val="-3.40487892065269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D760-4E18-81DC-4E8EC9C4C37B}"/>
                </c:ext>
              </c:extLst>
            </c:dLbl>
            <c:dLbl>
              <c:idx val="2"/>
              <c:layout>
                <c:manualLayout>
                  <c:x val="-3.4407496590703725E-2"/>
                  <c:y val="-3.079675585346810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D760-4E18-81DC-4E8EC9C4C37B}"/>
                </c:ext>
              </c:extLst>
            </c:dLbl>
            <c:dLbl>
              <c:idx val="3"/>
              <c:layout>
                <c:manualLayout>
                  <c:x val="-4.0613082198638198E-2"/>
                  <c:y val="-3.079675585346810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D760-4E18-81DC-4E8EC9C4C37B}"/>
                </c:ext>
              </c:extLst>
            </c:dLbl>
            <c:dLbl>
              <c:idx val="4"/>
              <c:layout>
                <c:manualLayout>
                  <c:x val="-2.8988329972729047E-2"/>
                  <c:y val="-3.07967558534679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D760-4E18-81DC-4E8EC9C4C37B}"/>
                </c:ext>
              </c:extLst>
            </c:dLbl>
            <c:dLbl>
              <c:idx val="5"/>
              <c:layout>
                <c:manualLayout>
                  <c:x val="-4.6346611393524882E-2"/>
                  <c:y val="-2.754472250040906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D760-4E18-81DC-4E8EC9C4C37B}"/>
                </c:ext>
              </c:extLst>
            </c:dLbl>
            <c:spPr>
              <a:noFill/>
              <a:ln>
                <a:noFill/>
              </a:ln>
              <a:effectLst/>
            </c:spPr>
            <c:txPr>
              <a:bodyPr rot="0" spcFirstLastPara="1" vertOverflow="ellipsis" vert="horz" wrap="square" anchor="ctr" anchorCtr="1"/>
              <a:lstStyle/>
              <a:p>
                <a:pPr>
                  <a:defRPr sz="1000" b="0" i="0" u="none" strike="noStrike" kern="1200" baseline="0">
                    <a:solidFill>
                      <a:schemeClr val="accent4">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TM!$D$51:$L$51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TM!$D$54:$L$54</c:f>
              <c:numCache>
                <c:formatCode>General</c:formatCode>
                <c:ptCount val="9"/>
                <c:pt idx="0">
                  <c:v>2.7</c:v>
                </c:pt>
                <c:pt idx="1">
                  <c:v>6.1</c:v>
                </c:pt>
                <c:pt idx="2">
                  <c:v>8.5</c:v>
                </c:pt>
                <c:pt idx="3">
                  <c:v>8.5</c:v>
                </c:pt>
                <c:pt idx="4">
                  <c:v>7</c:v>
                </c:pt>
                <c:pt idx="5">
                  <c:v>8</c:v>
                </c:pt>
              </c:numCache>
            </c:numRef>
          </c:val>
          <c:smooth val="0"/>
          <c:extLst>
            <c:ext xmlns:c16="http://schemas.microsoft.com/office/drawing/2014/chart" uri="{C3380CC4-5D6E-409C-BE32-E72D297353CC}">
              <c16:uniqueId val="{0000000F-D760-4E18-81DC-4E8EC9C4C37B}"/>
            </c:ext>
          </c:extLst>
        </c:ser>
        <c:ser>
          <c:idx val="3"/>
          <c:order val="3"/>
          <c:tx>
            <c:strRef>
              <c:f>TM!$C$55</c:f>
              <c:strCache>
                <c:ptCount val="1"/>
                <c:pt idx="0">
                  <c:v>Bijušie ieslodzītie, kas iekārtojušies darbā pirmo 6 mēnešu laikā no bezdarbnieka statusa iegūšanas dienas (skaits) (plāns)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TM!$D$51:$L$51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TM!$D$55:$L$55</c:f>
              <c:numCache>
                <c:formatCode>General</c:formatCode>
                <c:ptCount val="9"/>
                <c:pt idx="5">
                  <c:v>302</c:v>
                </c:pt>
              </c:numCache>
            </c:numRef>
          </c:val>
          <c:smooth val="0"/>
          <c:extLst>
            <c:ext xmlns:c16="http://schemas.microsoft.com/office/drawing/2014/chart" uri="{C3380CC4-5D6E-409C-BE32-E72D297353CC}">
              <c16:uniqueId val="{00000010-D760-4E18-81DC-4E8EC9C4C37B}"/>
            </c:ext>
          </c:extLst>
        </c:ser>
        <c:ser>
          <c:idx val="4"/>
          <c:order val="4"/>
          <c:tx>
            <c:strRef>
              <c:f>TM!$C$56</c:f>
              <c:strCache>
                <c:ptCount val="1"/>
                <c:pt idx="0">
                  <c:v>Notiesāto personu īpatsvars, kuri saņem pilnu individuālajā resocializācijas plānā paredzēto resocializācijas vajadzību risināšanu (%) (plāns)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2"/>
              </a:solidFill>
              <a:ln w="9525">
                <a:solidFill>
                  <a:schemeClr val="accent2"/>
                </a:solidFill>
              </a:ln>
              <a:effectLst>
                <a:outerShdw blurRad="50800" dist="38100" dir="2700000" algn="tl" rotWithShape="0">
                  <a:prstClr val="black">
                    <a:alpha val="40000"/>
                  </a:prstClr>
                </a:outerShdw>
              </a:effectLst>
            </c:spPr>
          </c:marker>
          <c:dLbls>
            <c:dLbl>
              <c:idx val="5"/>
              <c:layout>
                <c:manualLayout>
                  <c:x val="-9.9376161134057759E-3"/>
                  <c:y val="-3.1544723524672136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D760-4E18-81DC-4E8EC9C4C37B}"/>
                </c:ext>
              </c:extLst>
            </c:dLbl>
            <c:dLbl>
              <c:idx val="6"/>
              <c:layout>
                <c:manualLayout>
                  <c:x val="-5.5980457582066575E-3"/>
                  <c:y val="-3.1544723524672136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D760-4E18-81DC-4E8EC9C4C37B}"/>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TM!$D$51:$L$51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TM!$D$56:$L$56</c:f>
              <c:numCache>
                <c:formatCode>General</c:formatCode>
                <c:ptCount val="9"/>
                <c:pt idx="5">
                  <c:v>100</c:v>
                </c:pt>
                <c:pt idx="6">
                  <c:v>100</c:v>
                </c:pt>
              </c:numCache>
            </c:numRef>
          </c:val>
          <c:smooth val="0"/>
          <c:extLst>
            <c:ext xmlns:c16="http://schemas.microsoft.com/office/drawing/2014/chart" uri="{C3380CC4-5D6E-409C-BE32-E72D297353CC}">
              <c16:uniqueId val="{00000013-D760-4E18-81DC-4E8EC9C4C37B}"/>
            </c:ext>
          </c:extLst>
        </c:ser>
        <c:ser>
          <c:idx val="5"/>
          <c:order val="5"/>
          <c:tx>
            <c:strRef>
              <c:f>TM!$C$57</c:f>
              <c:strCache>
                <c:ptCount val="1"/>
                <c:pt idx="0">
                  <c:v>Vietas, kur ieslodzītie tiek izvietoti drošos, resocializācijas īstenošanai piemērotos un starptautiskajām prasībām atbilstošos apstākļos (% no kopējā ieslodzījuma vietās esošo vietu skaita) (plāns)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4"/>
              </a:solidFill>
              <a:ln w="9525">
                <a:noFill/>
              </a:ln>
              <a:effectLst>
                <a:outerShdw blurRad="50800" dist="38100" dir="2700000" algn="tl" rotWithShape="0">
                  <a:prstClr val="black">
                    <a:alpha val="40000"/>
                  </a:prstClr>
                </a:outerShdw>
              </a:effectLst>
            </c:spPr>
          </c:marker>
          <c:dLbls>
            <c:dLbl>
              <c:idx val="5"/>
              <c:layout>
                <c:manualLayout>
                  <c:x val="-1.3186997553780774E-2"/>
                  <c:y val="-2.917073917693864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D760-4E18-81DC-4E8EC9C4C37B}"/>
                </c:ext>
              </c:extLst>
            </c:dLbl>
            <c:spPr>
              <a:noFill/>
              <a:ln>
                <a:noFill/>
              </a:ln>
              <a:effectLst/>
            </c:spPr>
            <c:txPr>
              <a:bodyPr rot="0" spcFirstLastPara="1" vertOverflow="ellipsis" vert="horz" wrap="square" anchor="ctr" anchorCtr="1"/>
              <a:lstStyle/>
              <a:p>
                <a:pPr>
                  <a:defRPr sz="1000" b="1" i="0" u="none" strike="noStrike" kern="1200" baseline="0">
                    <a:solidFill>
                      <a:schemeClr val="accent4">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TM!$D$51:$L$51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TM!$D$57:$L$57</c:f>
              <c:numCache>
                <c:formatCode>General</c:formatCode>
                <c:ptCount val="9"/>
                <c:pt idx="5">
                  <c:v>26.7</c:v>
                </c:pt>
              </c:numCache>
            </c:numRef>
          </c:val>
          <c:smooth val="0"/>
          <c:extLst>
            <c:ext xmlns:c16="http://schemas.microsoft.com/office/drawing/2014/chart" uri="{C3380CC4-5D6E-409C-BE32-E72D297353CC}">
              <c16:uniqueId val="{00000015-D760-4E18-81DC-4E8EC9C4C37B}"/>
            </c:ext>
          </c:extLst>
        </c:ser>
        <c:dLbls>
          <c:dLblPos val="t"/>
          <c:showLegendKey val="0"/>
          <c:showVal val="1"/>
          <c:showCatName val="0"/>
          <c:showSerName val="0"/>
          <c:showPercent val="0"/>
          <c:showBubbleSize val="0"/>
        </c:dLbls>
        <c:marker val="1"/>
        <c:smooth val="0"/>
        <c:axId val="2039309456"/>
        <c:axId val="1843178464"/>
      </c:lineChart>
      <c:lineChart>
        <c:grouping val="standard"/>
        <c:varyColors val="0"/>
        <c:ser>
          <c:idx val="6"/>
          <c:order val="6"/>
          <c:tx>
            <c:strRef>
              <c:f>TM!$C$58</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6"/>
              <c:layout>
                <c:manualLayout>
                  <c:x val="-5.7065350170866391E-2"/>
                  <c:y val="-3.730082255958586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D760-4E18-81DC-4E8EC9C4C37B}"/>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TM!$D$51:$L$51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TM!$D$58:$L$58</c:f>
              <c:numCache>
                <c:formatCode>#,##0.0</c:formatCode>
                <c:ptCount val="9"/>
                <c:pt idx="0">
                  <c:v>52.240276999999999</c:v>
                </c:pt>
                <c:pt idx="1">
                  <c:v>66.773455999999996</c:v>
                </c:pt>
                <c:pt idx="2">
                  <c:v>63.152073999999999</c:v>
                </c:pt>
                <c:pt idx="3">
                  <c:v>65.047364999999999</c:v>
                </c:pt>
                <c:pt idx="4">
                  <c:v>70.644936000000001</c:v>
                </c:pt>
                <c:pt idx="5">
                  <c:v>72.142123999999995</c:v>
                </c:pt>
                <c:pt idx="6">
                  <c:v>74.765473999999998</c:v>
                </c:pt>
                <c:pt idx="7">
                  <c:v>120.30308599999999</c:v>
                </c:pt>
                <c:pt idx="8">
                  <c:v>107.160905</c:v>
                </c:pt>
              </c:numCache>
            </c:numRef>
          </c:val>
          <c:smooth val="0"/>
          <c:extLst>
            <c:ext xmlns:c16="http://schemas.microsoft.com/office/drawing/2014/chart" uri="{C3380CC4-5D6E-409C-BE32-E72D297353CC}">
              <c16:uniqueId val="{00000017-D760-4E18-81DC-4E8EC9C4C37B}"/>
            </c:ext>
          </c:extLst>
        </c:ser>
        <c:dLbls>
          <c:dLblPos val="t"/>
          <c:showLegendKey val="0"/>
          <c:showVal val="1"/>
          <c:showCatName val="0"/>
          <c:showSerName val="0"/>
          <c:showPercent val="0"/>
          <c:showBubbleSize val="0"/>
        </c:dLbls>
        <c:marker val="1"/>
        <c:smooth val="0"/>
        <c:axId val="2039368656"/>
        <c:axId val="1728092784"/>
      </c:lineChart>
      <c:catAx>
        <c:axId val="203930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843178464"/>
        <c:crosses val="autoZero"/>
        <c:auto val="1"/>
        <c:lblAlgn val="ctr"/>
        <c:lblOffset val="100"/>
        <c:noMultiLvlLbl val="0"/>
      </c:catAx>
      <c:valAx>
        <c:axId val="184317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skaits / īpatsvars %</a:t>
                </a:r>
              </a:p>
            </c:rich>
          </c:tx>
          <c:layout>
            <c:manualLayout>
              <c:xMode val="edge"/>
              <c:yMode val="edge"/>
              <c:x val="3.523038288497479E-3"/>
              <c:y val="0.1642813243385898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39309456"/>
        <c:crosses val="autoZero"/>
        <c:crossBetween val="between"/>
      </c:valAx>
      <c:valAx>
        <c:axId val="1728092784"/>
        <c:scaling>
          <c:orientation val="minMax"/>
          <c:min val="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a:t>
                </a:r>
                <a:r>
                  <a:rPr lang="lv-LV" sz="900" baseline="0"/>
                  <a:t> </a:t>
                </a:r>
                <a:r>
                  <a:rPr lang="lv-LV" sz="900"/>
                  <a:t>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39368656"/>
        <c:crosses val="max"/>
        <c:crossBetween val="between"/>
        <c:majorUnit val="20"/>
      </c:valAx>
      <c:catAx>
        <c:axId val="2039368656"/>
        <c:scaling>
          <c:orientation val="minMax"/>
        </c:scaling>
        <c:delete val="1"/>
        <c:axPos val="b"/>
        <c:numFmt formatCode="General" sourceLinked="1"/>
        <c:majorTickMark val="out"/>
        <c:minorTickMark val="none"/>
        <c:tickLblPos val="nextTo"/>
        <c:crossAx val="1728092784"/>
        <c:crosses val="autoZero"/>
        <c:auto val="1"/>
        <c:lblAlgn val="ctr"/>
        <c:lblOffset val="100"/>
        <c:noMultiLvlLbl val="0"/>
      </c:catAx>
      <c:spPr>
        <a:noFill/>
        <a:ln>
          <a:noFill/>
        </a:ln>
        <a:effectLst/>
      </c:spPr>
    </c:plotArea>
    <c:legend>
      <c:legendPos val="b"/>
      <c:legendEntry>
        <c:idx val="3"/>
        <c:delete val="1"/>
      </c:legendEntry>
      <c:legendEntry>
        <c:idx val="4"/>
        <c:delete val="1"/>
      </c:legendEntry>
      <c:legendEntry>
        <c:idx val="5"/>
        <c:delete val="1"/>
      </c:legendEntry>
      <c:layout>
        <c:manualLayout>
          <c:xMode val="edge"/>
          <c:yMode val="edge"/>
          <c:x val="8.2872588662257322E-3"/>
          <c:y val="0.69837270341207347"/>
          <c:w val="0.98937147345238663"/>
          <c:h val="0.3016272965879265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928914243452994E-2"/>
          <c:y val="3.406890796346701E-2"/>
          <c:w val="0.82900391226865555"/>
          <c:h val="0.64609312724798285"/>
        </c:manualLayout>
      </c:layout>
      <c:lineChart>
        <c:grouping val="standard"/>
        <c:varyColors val="0"/>
        <c:ser>
          <c:idx val="0"/>
          <c:order val="0"/>
          <c:tx>
            <c:strRef>
              <c:f>TM!$C$69</c:f>
              <c:strCache>
                <c:ptCount val="1"/>
                <c:pt idx="0">
                  <c:v>Likumu īpatsvars, kuri atkārtoti grozīti 12 mēnešu laikposmā (%)</c:v>
                </c:pt>
              </c:strCache>
            </c:strRef>
          </c:tx>
          <c:spPr>
            <a:ln w="50800" cap="rnd">
              <a:solidFill>
                <a:srgbClr val="F79646"/>
              </a:solidFill>
              <a:round/>
            </a:ln>
            <a:effectLst/>
          </c:spPr>
          <c:marker>
            <c:symbol val="none"/>
          </c:marker>
          <c:dLbls>
            <c:dLbl>
              <c:idx val="0"/>
              <c:layout>
                <c:manualLayout>
                  <c:x val="-3.7981799844838265E-2"/>
                  <c:y val="-4.171892638799102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172-4940-A71F-354B18F62829}"/>
                </c:ext>
              </c:extLst>
            </c:dLbl>
            <c:dLbl>
              <c:idx val="2"/>
              <c:layout>
                <c:manualLayout>
                  <c:x val="-2.5056574685963794E-2"/>
                  <c:y val="3.876445999805572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172-4940-A71F-354B18F62829}"/>
                </c:ext>
              </c:extLst>
            </c:dLbl>
            <c:dLbl>
              <c:idx val="3"/>
              <c:layout>
                <c:manualLayout>
                  <c:x val="-2.033636437685301E-2"/>
                  <c:y val="-3.552457948554241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172-4940-A71F-354B18F62829}"/>
                </c:ext>
              </c:extLst>
            </c:dLbl>
            <c:dLbl>
              <c:idx val="4"/>
              <c:layout>
                <c:manualLayout>
                  <c:x val="-5.1215876445827209E-2"/>
                  <c:y val="7.8358488315974119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172-4940-A71F-354B18F62829}"/>
                </c:ext>
              </c:extLst>
            </c:dLbl>
            <c:dLbl>
              <c:idx val="5"/>
              <c:layout>
                <c:manualLayout>
                  <c:x val="-3.5098937166811679E-2"/>
                  <c:y val="-4.17830385951431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172-4940-A71F-354B18F62829}"/>
                </c:ext>
              </c:extLst>
            </c:dLbl>
            <c:spPr>
              <a:noFill/>
              <a:ln>
                <a:noFill/>
              </a:ln>
              <a:effectLst/>
            </c:spPr>
            <c:txPr>
              <a:bodyPr rot="0" spcFirstLastPara="1" vertOverflow="ellipsis" vert="horz" wrap="square" anchor="ctr" anchorCtr="1"/>
              <a:lstStyle/>
              <a:p>
                <a:pPr>
                  <a:defRPr sz="1000" b="0"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TM!$D$68:$L$68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TM!$D$69:$L$69</c:f>
              <c:numCache>
                <c:formatCode>General</c:formatCode>
                <c:ptCount val="9"/>
                <c:pt idx="0">
                  <c:v>50</c:v>
                </c:pt>
                <c:pt idx="1">
                  <c:v>74</c:v>
                </c:pt>
                <c:pt idx="2">
                  <c:v>8</c:v>
                </c:pt>
                <c:pt idx="3">
                  <c:v>83</c:v>
                </c:pt>
                <c:pt idx="4">
                  <c:v>51</c:v>
                </c:pt>
                <c:pt idx="5">
                  <c:v>56</c:v>
                </c:pt>
              </c:numCache>
            </c:numRef>
          </c:val>
          <c:smooth val="1"/>
          <c:extLst>
            <c:ext xmlns:c16="http://schemas.microsoft.com/office/drawing/2014/chart" uri="{C3380CC4-5D6E-409C-BE32-E72D297353CC}">
              <c16:uniqueId val="{00000005-3172-4940-A71F-354B18F62829}"/>
            </c:ext>
          </c:extLst>
        </c:ser>
        <c:ser>
          <c:idx val="1"/>
          <c:order val="1"/>
          <c:tx>
            <c:strRef>
              <c:f>TM!$C$70</c:f>
              <c:strCache>
                <c:ptCount val="1"/>
                <c:pt idx="0">
                  <c:v>MK noteikumu īpatsvars, kuri atkārtoti grozīti 12 mēnešu laikposmā (%)</c:v>
                </c:pt>
              </c:strCache>
            </c:strRef>
          </c:tx>
          <c:spPr>
            <a:ln w="50800" cap="rnd">
              <a:solidFill>
                <a:srgbClr val="9BBB59"/>
              </a:solidFill>
              <a:round/>
            </a:ln>
            <a:effectLst/>
          </c:spPr>
          <c:marker>
            <c:symbol val="none"/>
          </c:marker>
          <c:dLbls>
            <c:dLbl>
              <c:idx val="1"/>
              <c:layout>
                <c:manualLayout>
                  <c:x val="-3.356964350352469E-2"/>
                  <c:y val="-4.579112796085674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172-4940-A71F-354B18F62829}"/>
                </c:ext>
              </c:extLst>
            </c:dLbl>
            <c:dLbl>
              <c:idx val="2"/>
              <c:layout>
                <c:manualLayout>
                  <c:x val="-2.2542028459649466E-2"/>
                  <c:y val="3.566734713716337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3172-4940-A71F-354B18F62829}"/>
                </c:ext>
              </c:extLst>
            </c:dLbl>
            <c:dLbl>
              <c:idx val="3"/>
              <c:layout>
                <c:manualLayout>
                  <c:x val="-3.693087862418705E-2"/>
                  <c:y val="4.923884514435699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172-4940-A71F-354B18F62829}"/>
                </c:ext>
              </c:extLst>
            </c:dLbl>
            <c:spPr>
              <a:noFill/>
              <a:ln>
                <a:noFill/>
              </a:ln>
              <a:effectLst/>
            </c:spPr>
            <c:txPr>
              <a:bodyPr rot="0" spcFirstLastPara="1" vertOverflow="ellipsis" vert="horz" wrap="square" anchor="ctr" anchorCtr="1"/>
              <a:lstStyle/>
              <a:p>
                <a:pPr>
                  <a:defRPr sz="1000" b="0"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TM!$D$68:$L$68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TM!$D$70:$L$70</c:f>
              <c:numCache>
                <c:formatCode>General</c:formatCode>
                <c:ptCount val="9"/>
                <c:pt idx="0">
                  <c:v>35</c:v>
                </c:pt>
                <c:pt idx="1">
                  <c:v>53</c:v>
                </c:pt>
                <c:pt idx="2">
                  <c:v>58</c:v>
                </c:pt>
                <c:pt idx="3">
                  <c:v>58</c:v>
                </c:pt>
                <c:pt idx="4">
                  <c:v>32</c:v>
                </c:pt>
                <c:pt idx="5">
                  <c:v>37</c:v>
                </c:pt>
              </c:numCache>
            </c:numRef>
          </c:val>
          <c:smooth val="1"/>
          <c:extLst>
            <c:ext xmlns:c16="http://schemas.microsoft.com/office/drawing/2014/chart" uri="{C3380CC4-5D6E-409C-BE32-E72D297353CC}">
              <c16:uniqueId val="{00000009-3172-4940-A71F-354B18F62829}"/>
            </c:ext>
          </c:extLst>
        </c:ser>
        <c:ser>
          <c:idx val="3"/>
          <c:order val="2"/>
          <c:tx>
            <c:strRef>
              <c:f>TM!$C$72</c:f>
              <c:strCache>
                <c:ptCount val="1"/>
                <c:pt idx="0">
                  <c:v>MK noteikumu īpatsvars, kuri grozīti 12 mēnešu laikā pēc izdošanas (%)</c:v>
                </c:pt>
              </c:strCache>
            </c:strRef>
          </c:tx>
          <c:spPr>
            <a:ln w="50800" cap="rnd">
              <a:solidFill>
                <a:schemeClr val="accent4"/>
              </a:solidFill>
              <a:round/>
            </a:ln>
            <a:effectLst/>
          </c:spPr>
          <c:marker>
            <c:symbol val="none"/>
          </c:marker>
          <c:dLbls>
            <c:dLbl>
              <c:idx val="0"/>
              <c:layout>
                <c:manualLayout>
                  <c:x val="-2.8111564325873663E-2"/>
                  <c:y val="-2.895045526716575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3172-4940-A71F-354B18F62829}"/>
                </c:ext>
              </c:extLst>
            </c:dLbl>
            <c:dLbl>
              <c:idx val="1"/>
              <c:layout>
                <c:manualLayout>
                  <c:x val="-3.031639290045203E-2"/>
                  <c:y val="-4.129613427951135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3172-4940-A71F-354B18F62829}"/>
                </c:ext>
              </c:extLst>
            </c:dLbl>
            <c:dLbl>
              <c:idx val="3"/>
              <c:layout>
                <c:manualLayout>
                  <c:x val="-3.0316392900451988E-2"/>
                  <c:y val="-4.129613427951143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172-4940-A71F-354B18F62829}"/>
                </c:ext>
              </c:extLst>
            </c:dLbl>
            <c:dLbl>
              <c:idx val="4"/>
              <c:layout>
                <c:manualLayout>
                  <c:x val="-3.0316392900452072E-2"/>
                  <c:y val="-3.30656816046142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3172-4940-A71F-354B18F62829}"/>
                </c:ext>
              </c:extLst>
            </c:dLbl>
            <c:dLbl>
              <c:idx val="5"/>
              <c:layout>
                <c:manualLayout>
                  <c:x val="-3.2521221475030317E-2"/>
                  <c:y val="-3.30656816046142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172-4940-A71F-354B18F62829}"/>
                </c:ext>
              </c:extLst>
            </c:dLbl>
            <c:spPr>
              <a:noFill/>
              <a:ln>
                <a:noFill/>
              </a:ln>
              <a:effectLst/>
            </c:spPr>
            <c:txPr>
              <a:bodyPr rot="0" spcFirstLastPara="1" vertOverflow="ellipsis" vert="horz" wrap="square" anchor="ctr" anchorCtr="1"/>
              <a:lstStyle/>
              <a:p>
                <a:pPr>
                  <a:defRPr sz="1000" b="0" i="0" u="none" strike="noStrike" kern="1200" baseline="0">
                    <a:solidFill>
                      <a:schemeClr val="accent4">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TM!$D$68:$L$68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TM!$D$72:$L$72</c:f>
              <c:numCache>
                <c:formatCode>General</c:formatCode>
                <c:ptCount val="9"/>
                <c:pt idx="0">
                  <c:v>21</c:v>
                </c:pt>
                <c:pt idx="1">
                  <c:v>16</c:v>
                </c:pt>
                <c:pt idx="2">
                  <c:v>14</c:v>
                </c:pt>
                <c:pt idx="3">
                  <c:v>14</c:v>
                </c:pt>
                <c:pt idx="4">
                  <c:v>12</c:v>
                </c:pt>
                <c:pt idx="5">
                  <c:v>12</c:v>
                </c:pt>
              </c:numCache>
            </c:numRef>
          </c:val>
          <c:smooth val="1"/>
          <c:extLst>
            <c:ext xmlns:c16="http://schemas.microsoft.com/office/drawing/2014/chart" uri="{C3380CC4-5D6E-409C-BE32-E72D297353CC}">
              <c16:uniqueId val="{0000000F-3172-4940-A71F-354B18F62829}"/>
            </c:ext>
          </c:extLst>
        </c:ser>
        <c:ser>
          <c:idx val="4"/>
          <c:order val="3"/>
          <c:tx>
            <c:strRef>
              <c:f>TM!$C$73</c:f>
              <c:strCache>
                <c:ptCount val="1"/>
                <c:pt idx="0">
                  <c:v>Likumu īpatsvars, kuri atkārtoti grozīti 12 mēnešu laikposmā (%) plāns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2"/>
              </a:solidFill>
              <a:ln w="9525">
                <a:solidFill>
                  <a:schemeClr val="accent2"/>
                </a:solidFill>
              </a:ln>
              <a:effectLst>
                <a:outerShdw blurRad="50800" dist="38100" dir="2700000" algn="tl" rotWithShape="0">
                  <a:prstClr val="black">
                    <a:alpha val="40000"/>
                  </a:prstClr>
                </a:outerShdw>
              </a:effectLst>
            </c:spPr>
          </c:marker>
          <c:dLbls>
            <c:dLbl>
              <c:idx val="5"/>
              <c:layout>
                <c:manualLayout>
                  <c:x val="-5.9994480591151495E-3"/>
                  <c:y val="-1.53929520525846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3172-4940-A71F-354B18F62829}"/>
                </c:ext>
              </c:extLst>
            </c:dLbl>
            <c:dLbl>
              <c:idx val="6"/>
              <c:layout>
                <c:manualLayout>
                  <c:x val="-1.9292250027560357E-2"/>
                  <c:y val="-4.129613427951135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3172-4940-A71F-354B18F62829}"/>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TM!$D$68:$L$68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TM!$D$73:$L$73</c:f>
              <c:numCache>
                <c:formatCode>General</c:formatCode>
                <c:ptCount val="9"/>
                <c:pt idx="5">
                  <c:v>35</c:v>
                </c:pt>
                <c:pt idx="6">
                  <c:v>50</c:v>
                </c:pt>
              </c:numCache>
            </c:numRef>
          </c:val>
          <c:smooth val="0"/>
          <c:extLst>
            <c:ext xmlns:c16="http://schemas.microsoft.com/office/drawing/2014/chart" uri="{C3380CC4-5D6E-409C-BE32-E72D297353CC}">
              <c16:uniqueId val="{00000012-3172-4940-A71F-354B18F62829}"/>
            </c:ext>
          </c:extLst>
        </c:ser>
        <c:ser>
          <c:idx val="5"/>
          <c:order val="4"/>
          <c:tx>
            <c:strRef>
              <c:f>TM!$C$74</c:f>
              <c:strCache>
                <c:ptCount val="1"/>
                <c:pt idx="0">
                  <c:v>MK noteikumu īpatsvars, kuri atkārtoti grozīti 12 mēnešu laikposmā (%) plāns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5"/>
              <c:layout>
                <c:manualLayout>
                  <c:x val="-1.5880891921186732E-3"/>
                  <c:y val="-3.0042582476876023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3172-4940-A71F-354B18F62829}"/>
                </c:ext>
              </c:extLst>
            </c:dLbl>
            <c:dLbl>
              <c:idx val="6"/>
              <c:layout>
                <c:manualLayout>
                  <c:x val="-1.9292250027560357E-2"/>
                  <c:y val="-4.952658695440847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3172-4940-A71F-354B18F62829}"/>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TM!$D$68:$L$68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TM!$D$74:$L$74</c:f>
              <c:numCache>
                <c:formatCode>General</c:formatCode>
                <c:ptCount val="9"/>
                <c:pt idx="5">
                  <c:v>25</c:v>
                </c:pt>
                <c:pt idx="6">
                  <c:v>30</c:v>
                </c:pt>
              </c:numCache>
            </c:numRef>
          </c:val>
          <c:smooth val="0"/>
          <c:extLst>
            <c:ext xmlns:c16="http://schemas.microsoft.com/office/drawing/2014/chart" uri="{C3380CC4-5D6E-409C-BE32-E72D297353CC}">
              <c16:uniqueId val="{00000015-3172-4940-A71F-354B18F62829}"/>
            </c:ext>
          </c:extLst>
        </c:ser>
        <c:ser>
          <c:idx val="7"/>
          <c:order val="5"/>
          <c:tx>
            <c:strRef>
              <c:f>TM!$C$76</c:f>
              <c:strCache>
                <c:ptCount val="1"/>
                <c:pt idx="0">
                  <c:v>MK noteikumu īpatsvars, kuri grozīti 12 mēnešu laikā pēc izdošanas (%) plāns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4"/>
              </a:solidFill>
              <a:ln w="9525">
                <a:solidFill>
                  <a:schemeClr val="accent4"/>
                </a:solidFill>
              </a:ln>
              <a:effectLst>
                <a:outerShdw blurRad="50800" dist="38100" dir="2700000" algn="tl" rotWithShape="0">
                  <a:prstClr val="black">
                    <a:alpha val="40000"/>
                  </a:prstClr>
                </a:outerShdw>
              </a:effectLst>
            </c:spPr>
          </c:marker>
          <c:dLbls>
            <c:dLbl>
              <c:idx val="5"/>
              <c:layout>
                <c:manualLayout>
                  <c:x val="-6.30824317980473E-3"/>
                  <c:y val="-2.468447240625746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3172-4940-A71F-354B18F62829}"/>
                </c:ext>
              </c:extLst>
            </c:dLbl>
            <c:dLbl>
              <c:idx val="6"/>
              <c:layout>
                <c:manualLayout>
                  <c:x val="-2.1497078602138682E-2"/>
                  <c:y val="-4.541136061695991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3172-4940-A71F-354B18F62829}"/>
                </c:ext>
              </c:extLst>
            </c:dLbl>
            <c:spPr>
              <a:noFill/>
              <a:ln>
                <a:noFill/>
              </a:ln>
              <a:effectLst/>
            </c:spPr>
            <c:txPr>
              <a:bodyPr rot="0" spcFirstLastPara="1" vertOverflow="ellipsis" vert="horz" wrap="square" anchor="ctr" anchorCtr="1"/>
              <a:lstStyle/>
              <a:p>
                <a:pPr>
                  <a:defRPr sz="1000" b="1" i="0" u="none" strike="noStrike" kern="1200" baseline="0">
                    <a:solidFill>
                      <a:schemeClr val="accent4">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TM!$D$68:$L$68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TM!$D$76:$L$76</c:f>
              <c:numCache>
                <c:formatCode>General</c:formatCode>
                <c:ptCount val="9"/>
                <c:pt idx="5">
                  <c:v>4</c:v>
                </c:pt>
                <c:pt idx="6">
                  <c:v>10</c:v>
                </c:pt>
              </c:numCache>
            </c:numRef>
          </c:val>
          <c:smooth val="0"/>
          <c:extLst>
            <c:ext xmlns:c16="http://schemas.microsoft.com/office/drawing/2014/chart" uri="{C3380CC4-5D6E-409C-BE32-E72D297353CC}">
              <c16:uniqueId val="{00000018-3172-4940-A71F-354B18F62829}"/>
            </c:ext>
          </c:extLst>
        </c:ser>
        <c:dLbls>
          <c:dLblPos val="t"/>
          <c:showLegendKey val="0"/>
          <c:showVal val="1"/>
          <c:showCatName val="0"/>
          <c:showSerName val="0"/>
          <c:showPercent val="0"/>
          <c:showBubbleSize val="0"/>
        </c:dLbls>
        <c:marker val="1"/>
        <c:smooth val="0"/>
        <c:axId val="2057660512"/>
        <c:axId val="77129024"/>
      </c:lineChart>
      <c:lineChart>
        <c:grouping val="standard"/>
        <c:varyColors val="0"/>
        <c:ser>
          <c:idx val="8"/>
          <c:order val="6"/>
          <c:tx>
            <c:strRef>
              <c:f>TM!$C$77</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0"/>
              <c:layout>
                <c:manualLayout>
                  <c:x val="-5.6112484788193119E-2"/>
                  <c:y val="2.641888953894305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3172-4940-A71F-354B18F62829}"/>
                </c:ext>
              </c:extLst>
            </c:dLbl>
            <c:dLbl>
              <c:idx val="1"/>
              <c:layout>
                <c:manualLayout>
                  <c:x val="-3.8467049320207905E-2"/>
                  <c:y val="2.951606299016732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3172-4940-A71F-354B18F62829}"/>
                </c:ext>
              </c:extLst>
            </c:dLbl>
            <c:dLbl>
              <c:idx val="3"/>
              <c:layout>
                <c:manualLayout>
                  <c:x val="-3.4055747441226997E-2"/>
                  <c:y val="5.009234956741518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3172-4940-A71F-354B18F62829}"/>
                </c:ext>
              </c:extLst>
            </c:dLbl>
            <c:dLbl>
              <c:idx val="4"/>
              <c:layout>
                <c:manualLayout>
                  <c:x val="-3.3204510903210839E-2"/>
                  <c:y val="-3.721814201430122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C-3172-4940-A71F-354B18F62829}"/>
                </c:ext>
              </c:extLst>
            </c:dLbl>
            <c:dLbl>
              <c:idx val="5"/>
              <c:layout>
                <c:manualLayout>
                  <c:x val="-5.3818578177355038E-3"/>
                  <c:y val="4.7386753803731387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3172-4940-A71F-354B18F62829}"/>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TM!$D$68:$L$68</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TM!$D$77:$L$77</c:f>
              <c:numCache>
                <c:formatCode>#,##0.0</c:formatCode>
                <c:ptCount val="9"/>
                <c:pt idx="0">
                  <c:v>7.5657990000000002</c:v>
                </c:pt>
                <c:pt idx="1">
                  <c:v>7.3040580000000004</c:v>
                </c:pt>
                <c:pt idx="2">
                  <c:v>8.2371619999999997</c:v>
                </c:pt>
                <c:pt idx="3">
                  <c:v>8.7679320000000001</c:v>
                </c:pt>
                <c:pt idx="4">
                  <c:v>7.7901369999999996</c:v>
                </c:pt>
                <c:pt idx="5">
                  <c:v>7.5705879999999999</c:v>
                </c:pt>
                <c:pt idx="6">
                  <c:v>8.9576170000000008</c:v>
                </c:pt>
                <c:pt idx="7">
                  <c:v>7.635999</c:v>
                </c:pt>
                <c:pt idx="8">
                  <c:v>7.4829749999999997</c:v>
                </c:pt>
              </c:numCache>
            </c:numRef>
          </c:val>
          <c:smooth val="1"/>
          <c:extLst>
            <c:ext xmlns:c16="http://schemas.microsoft.com/office/drawing/2014/chart" uri="{C3380CC4-5D6E-409C-BE32-E72D297353CC}">
              <c16:uniqueId val="{0000001E-3172-4940-A71F-354B18F62829}"/>
            </c:ext>
          </c:extLst>
        </c:ser>
        <c:dLbls>
          <c:dLblPos val="t"/>
          <c:showLegendKey val="0"/>
          <c:showVal val="1"/>
          <c:showCatName val="0"/>
          <c:showSerName val="0"/>
          <c:showPercent val="0"/>
          <c:showBubbleSize val="0"/>
        </c:dLbls>
        <c:marker val="1"/>
        <c:smooth val="0"/>
        <c:axId val="2057692512"/>
        <c:axId val="77124448"/>
      </c:lineChart>
      <c:catAx>
        <c:axId val="205766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7129024"/>
        <c:crosses val="autoZero"/>
        <c:auto val="1"/>
        <c:lblAlgn val="ctr"/>
        <c:lblOffset val="100"/>
        <c:noMultiLvlLbl val="0"/>
      </c:catAx>
      <c:valAx>
        <c:axId val="77129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Īpatsvars %</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57660512"/>
        <c:crosses val="autoZero"/>
        <c:crossBetween val="between"/>
      </c:valAx>
      <c:valAx>
        <c:axId val="77124448"/>
        <c:scaling>
          <c:orientation val="minMax"/>
          <c:min val="5"/>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57692512"/>
        <c:crosses val="max"/>
        <c:crossBetween val="between"/>
      </c:valAx>
      <c:catAx>
        <c:axId val="2057692512"/>
        <c:scaling>
          <c:orientation val="minMax"/>
        </c:scaling>
        <c:delete val="1"/>
        <c:axPos val="b"/>
        <c:numFmt formatCode="General" sourceLinked="1"/>
        <c:majorTickMark val="out"/>
        <c:minorTickMark val="none"/>
        <c:tickLblPos val="nextTo"/>
        <c:crossAx val="77124448"/>
        <c:crosses val="autoZero"/>
        <c:auto val="1"/>
        <c:lblAlgn val="ctr"/>
        <c:lblOffset val="100"/>
        <c:noMultiLvlLbl val="0"/>
      </c:catAx>
      <c:spPr>
        <a:noFill/>
        <a:ln>
          <a:noFill/>
        </a:ln>
        <a:effectLst/>
      </c:spPr>
    </c:plotArea>
    <c:legend>
      <c:legendPos val="b"/>
      <c:legendEntry>
        <c:idx val="3"/>
        <c:delete val="1"/>
      </c:legendEntry>
      <c:legendEntry>
        <c:idx val="4"/>
        <c:delete val="1"/>
      </c:legendEntry>
      <c:legendEntry>
        <c:idx val="5"/>
        <c:delete val="1"/>
      </c:legendEntry>
      <c:layout>
        <c:manualLayout>
          <c:xMode val="edge"/>
          <c:yMode val="edge"/>
          <c:x val="1.2838556033424511E-2"/>
          <c:y val="0.77959568315827987"/>
          <c:w val="0.97126600291342791"/>
          <c:h val="0.220404316841720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449464362128674"/>
          <c:y val="8.8046128703190216E-2"/>
          <c:w val="0.40372097801784917"/>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rgbClr val="4472C4">
                    <a:shade val="51000"/>
                    <a:satMod val="130000"/>
                  </a:srgbClr>
                </a:gs>
                <a:gs pos="80000">
                  <a:srgbClr val="4472C4">
                    <a:shade val="93000"/>
                    <a:satMod val="130000"/>
                  </a:srgbClr>
                </a:gs>
                <a:gs pos="100000">
                  <a:srgbClr val="4472C4">
                    <a:shade val="94000"/>
                    <a:satMod val="135000"/>
                  </a:srgbClr>
                </a:gs>
              </a:gsLst>
              <a:lin ang="16200000" scaled="0"/>
            </a:gradFill>
            <a:ln w="9525" cap="flat" cmpd="sng" algn="ctr">
              <a:solidFill>
                <a:srgbClr val="4472C4">
                  <a:shade val="95000"/>
                  <a:satMod val="105000"/>
                </a:srgb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 Nozaru vadība un politikas plānošana</c:v>
                </c:pt>
                <c:pt idx="1">
                  <c:v>2. Vides politikas īstenošana</c:v>
                </c:pt>
                <c:pt idx="2">
                  <c:v>3. Īpaši aizsargājamo dabas teritoriju apsaimniekošana, Latvijas bioloģiskās daudzveidības saglabāšana un vides izpratnes un atbildības motivācijas veidošana sabiedrībā</c:v>
                </c:pt>
                <c:pt idx="3">
                  <c:v>4. Reģionu attīstības, teritoriālās sadarbības, publisko pakalpojumu un IKT politikas īstenošana</c:v>
                </c:pt>
              </c:strCache>
            </c:strRef>
          </c:cat>
          <c:val>
            <c:numRef>
              <c:f>Sheet1!$B$2:$B$5</c:f>
              <c:numCache>
                <c:formatCode>General</c:formatCode>
                <c:ptCount val="4"/>
                <c:pt idx="0">
                  <c:v>98.9</c:v>
                </c:pt>
                <c:pt idx="1">
                  <c:v>93.3</c:v>
                </c:pt>
                <c:pt idx="2">
                  <c:v>89</c:v>
                </c:pt>
                <c:pt idx="3">
                  <c:v>72.3</c:v>
                </c:pt>
              </c:numCache>
            </c:numRef>
          </c:val>
          <c:extLst>
            <c:ext xmlns:c16="http://schemas.microsoft.com/office/drawing/2014/chart" uri="{C3380CC4-5D6E-409C-BE32-E72D297353CC}">
              <c16:uniqueId val="{00000000-6209-4C85-94F5-284A2E57E1DE}"/>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386568948201289E-2"/>
          <c:y val="2.3504586709166875E-2"/>
          <c:w val="0.82992282231946235"/>
          <c:h val="0.7633905053903659"/>
        </c:manualLayout>
      </c:layout>
      <c:lineChart>
        <c:grouping val="standard"/>
        <c:varyColors val="0"/>
        <c:ser>
          <c:idx val="0"/>
          <c:order val="0"/>
          <c:tx>
            <c:strRef>
              <c:f>'21_VARAM'!$A$25</c:f>
              <c:strCache>
                <c:ptCount val="1"/>
                <c:pt idx="0">
                  <c:v>Kurzeme</c:v>
                </c:pt>
              </c:strCache>
            </c:strRef>
          </c:tx>
          <c:spPr>
            <a:ln w="63500" cap="rnd">
              <a:solidFill>
                <a:sysClr val="window" lastClr="FFFFFF">
                  <a:lumMod val="65000"/>
                </a:sysClr>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F46C-4424-A61A-05DB2A8B833B}"/>
                </c:ext>
              </c:extLst>
            </c:dLbl>
            <c:dLbl>
              <c:idx val="2"/>
              <c:delete val="1"/>
              <c:extLst>
                <c:ext xmlns:c15="http://schemas.microsoft.com/office/drawing/2012/chart" uri="{CE6537A1-D6FC-4f65-9D91-7224C49458BB}"/>
                <c:ext xmlns:c16="http://schemas.microsoft.com/office/drawing/2014/chart" uri="{C3380CC4-5D6E-409C-BE32-E72D297353CC}">
                  <c16:uniqueId val="{00000001-F46C-4424-A61A-05DB2A8B833B}"/>
                </c:ext>
              </c:extLst>
            </c:dLbl>
            <c:dLbl>
              <c:idx val="3"/>
              <c:delete val="1"/>
              <c:extLst>
                <c:ext xmlns:c15="http://schemas.microsoft.com/office/drawing/2012/chart" uri="{CE6537A1-D6FC-4f65-9D91-7224C49458BB}"/>
                <c:ext xmlns:c16="http://schemas.microsoft.com/office/drawing/2014/chart" uri="{C3380CC4-5D6E-409C-BE32-E72D297353CC}">
                  <c16:uniqueId val="{00000002-F46C-4424-A61A-05DB2A8B833B}"/>
                </c:ext>
              </c:extLst>
            </c:dLbl>
            <c:dLbl>
              <c:idx val="4"/>
              <c:layout>
                <c:manualLayout>
                  <c:x val="-8.5702538302914605E-3"/>
                  <c:y val="4.4229751809856943E-3"/>
                </c:manualLayout>
              </c:layout>
              <c:spPr>
                <a:noFill/>
                <a:ln>
                  <a:noFill/>
                </a:ln>
                <a:effectLst/>
              </c:spPr>
              <c:txPr>
                <a:bodyPr rot="0" spcFirstLastPara="1" vertOverflow="ellipsis" vert="horz" wrap="square" anchor="ctr" anchorCtr="1"/>
                <a:lstStyle/>
                <a:p>
                  <a:pPr>
                    <a:defRPr sz="1000" b="1" i="0" u="none" strike="noStrike" kern="1200" baseline="0">
                      <a:solidFill>
                        <a:schemeClr val="bg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46C-4424-A61A-05DB2A8B833B}"/>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'21_VARAM'!$B$25:$J$25</c:f>
              <c:numCache>
                <c:formatCode>General</c:formatCode>
                <c:ptCount val="9"/>
                <c:pt idx="1">
                  <c:v>-0.82699999999999996</c:v>
                </c:pt>
                <c:pt idx="2">
                  <c:v>-0.85599999999999998</c:v>
                </c:pt>
                <c:pt idx="3">
                  <c:v>-0.85099999999999998</c:v>
                </c:pt>
                <c:pt idx="4">
                  <c:v>-0.84099999999999997</c:v>
                </c:pt>
              </c:numCache>
            </c:numRef>
          </c:val>
          <c:smooth val="1"/>
          <c:extLst>
            <c:ext xmlns:c16="http://schemas.microsoft.com/office/drawing/2014/chart" uri="{C3380CC4-5D6E-409C-BE32-E72D297353CC}">
              <c16:uniqueId val="{00000004-F46C-4424-A61A-05DB2A8B833B}"/>
            </c:ext>
          </c:extLst>
        </c:ser>
        <c:ser>
          <c:idx val="1"/>
          <c:order val="1"/>
          <c:tx>
            <c:strRef>
              <c:f>'21_VARAM'!$A$26</c:f>
              <c:strCache>
                <c:ptCount val="1"/>
                <c:pt idx="0">
                  <c:v>Latgale</c:v>
                </c:pt>
              </c:strCache>
            </c:strRef>
          </c:tx>
          <c:spPr>
            <a:ln w="63500" cap="rnd">
              <a:solidFill>
                <a:srgbClr val="7030A0"/>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5-F46C-4424-A61A-05DB2A8B833B}"/>
                </c:ext>
              </c:extLst>
            </c:dLbl>
            <c:dLbl>
              <c:idx val="2"/>
              <c:delete val="1"/>
              <c:extLst>
                <c:ext xmlns:c15="http://schemas.microsoft.com/office/drawing/2012/chart" uri="{CE6537A1-D6FC-4f65-9D91-7224C49458BB}"/>
                <c:ext xmlns:c16="http://schemas.microsoft.com/office/drawing/2014/chart" uri="{C3380CC4-5D6E-409C-BE32-E72D297353CC}">
                  <c16:uniqueId val="{00000006-F46C-4424-A61A-05DB2A8B833B}"/>
                </c:ext>
              </c:extLst>
            </c:dLbl>
            <c:dLbl>
              <c:idx val="3"/>
              <c:delete val="1"/>
              <c:extLst>
                <c:ext xmlns:c15="http://schemas.microsoft.com/office/drawing/2012/chart" uri="{CE6537A1-D6FC-4f65-9D91-7224C49458BB}"/>
                <c:ext xmlns:c16="http://schemas.microsoft.com/office/drawing/2014/chart" uri="{C3380CC4-5D6E-409C-BE32-E72D297353CC}">
                  <c16:uniqueId val="{00000007-F46C-4424-A61A-05DB2A8B833B}"/>
                </c:ext>
              </c:extLst>
            </c:dLbl>
            <c:dLbl>
              <c:idx val="4"/>
              <c:layout>
                <c:manualLayout>
                  <c:x val="-8.7176218738565792E-3"/>
                  <c:y val="-6.9471222639226173E-3"/>
                </c:manualLayout>
              </c:layout>
              <c:spPr>
                <a:noFill/>
                <a:ln>
                  <a:noFill/>
                </a:ln>
                <a:effectLst/>
              </c:spPr>
              <c:txPr>
                <a:bodyPr rot="0" spcFirstLastPara="1" vertOverflow="ellipsis" vert="horz" wrap="square" anchor="ctr" anchorCtr="1"/>
                <a:lstStyle/>
                <a:p>
                  <a:pPr>
                    <a:defRPr sz="1000" b="1" i="0" u="none" strike="noStrike" kern="1200" baseline="0">
                      <a:solidFill>
                        <a:srgbClr val="7030A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F46C-4424-A61A-05DB2A8B833B}"/>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'21_VARAM'!$B$26:$J$26</c:f>
              <c:numCache>
                <c:formatCode>General</c:formatCode>
                <c:ptCount val="9"/>
                <c:pt idx="1">
                  <c:v>-1.238</c:v>
                </c:pt>
                <c:pt idx="2">
                  <c:v>-1.2509999999999999</c:v>
                </c:pt>
                <c:pt idx="3">
                  <c:v>-1.2849999999999999</c:v>
                </c:pt>
                <c:pt idx="4">
                  <c:v>-1.306</c:v>
                </c:pt>
              </c:numCache>
            </c:numRef>
          </c:val>
          <c:smooth val="0"/>
          <c:extLst>
            <c:ext xmlns:c16="http://schemas.microsoft.com/office/drawing/2014/chart" uri="{C3380CC4-5D6E-409C-BE32-E72D297353CC}">
              <c16:uniqueId val="{00000009-F46C-4424-A61A-05DB2A8B833B}"/>
            </c:ext>
          </c:extLst>
        </c:ser>
        <c:ser>
          <c:idx val="2"/>
          <c:order val="2"/>
          <c:tx>
            <c:strRef>
              <c:f>'21_VARAM'!$A$27</c:f>
              <c:strCache>
                <c:ptCount val="1"/>
                <c:pt idx="0">
                  <c:v>Rīga</c:v>
                </c:pt>
              </c:strCache>
            </c:strRef>
          </c:tx>
          <c:spPr>
            <a:ln w="63500" cap="rnd">
              <a:solidFill>
                <a:srgbClr val="F7964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A-F46C-4424-A61A-05DB2A8B833B}"/>
                </c:ext>
              </c:extLst>
            </c:dLbl>
            <c:dLbl>
              <c:idx val="2"/>
              <c:delete val="1"/>
              <c:extLst>
                <c:ext xmlns:c15="http://schemas.microsoft.com/office/drawing/2012/chart" uri="{CE6537A1-D6FC-4f65-9D91-7224C49458BB}"/>
                <c:ext xmlns:c16="http://schemas.microsoft.com/office/drawing/2014/chart" uri="{C3380CC4-5D6E-409C-BE32-E72D297353CC}">
                  <c16:uniqueId val="{0000000B-F46C-4424-A61A-05DB2A8B833B}"/>
                </c:ext>
              </c:extLst>
            </c:dLbl>
            <c:dLbl>
              <c:idx val="3"/>
              <c:delete val="1"/>
              <c:extLst>
                <c:ext xmlns:c15="http://schemas.microsoft.com/office/drawing/2012/chart" uri="{CE6537A1-D6FC-4f65-9D91-7224C49458BB}"/>
                <c:ext xmlns:c16="http://schemas.microsoft.com/office/drawing/2014/chart" uri="{C3380CC4-5D6E-409C-BE32-E72D297353CC}">
                  <c16:uniqueId val="{0000000C-F46C-4424-A61A-05DB2A8B833B}"/>
                </c:ext>
              </c:extLst>
            </c:dLbl>
            <c:dLbl>
              <c:idx val="4"/>
              <c:layout>
                <c:manualLayout>
                  <c:x val="-2.1923691926079816E-2"/>
                  <c:y val="4.082027129786346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F46C-4424-A61A-05DB2A8B833B}"/>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'21_VARAM'!$B$27:$J$27</c:f>
              <c:numCache>
                <c:formatCode>General</c:formatCode>
                <c:ptCount val="9"/>
                <c:pt idx="1">
                  <c:v>0.91900000000000004</c:v>
                </c:pt>
                <c:pt idx="2">
                  <c:v>0.91700000000000004</c:v>
                </c:pt>
                <c:pt idx="3">
                  <c:v>0.91400000000000003</c:v>
                </c:pt>
                <c:pt idx="4">
                  <c:v>0.92400000000000004</c:v>
                </c:pt>
              </c:numCache>
            </c:numRef>
          </c:val>
          <c:smooth val="1"/>
          <c:extLst>
            <c:ext xmlns:c16="http://schemas.microsoft.com/office/drawing/2014/chart" uri="{C3380CC4-5D6E-409C-BE32-E72D297353CC}">
              <c16:uniqueId val="{0000000E-F46C-4424-A61A-05DB2A8B833B}"/>
            </c:ext>
          </c:extLst>
        </c:ser>
        <c:ser>
          <c:idx val="3"/>
          <c:order val="3"/>
          <c:tx>
            <c:strRef>
              <c:f>'21_VARAM'!$A$28</c:f>
              <c:strCache>
                <c:ptCount val="1"/>
                <c:pt idx="0">
                  <c:v>Vidzeme</c:v>
                </c:pt>
              </c:strCache>
            </c:strRef>
          </c:tx>
          <c:spPr>
            <a:ln w="63500" cap="rnd">
              <a:solidFill>
                <a:schemeClr val="accent4"/>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F-F46C-4424-A61A-05DB2A8B833B}"/>
                </c:ext>
              </c:extLst>
            </c:dLbl>
            <c:dLbl>
              <c:idx val="2"/>
              <c:delete val="1"/>
              <c:extLst>
                <c:ext xmlns:c15="http://schemas.microsoft.com/office/drawing/2012/chart" uri="{CE6537A1-D6FC-4f65-9D91-7224C49458BB}"/>
                <c:ext xmlns:c16="http://schemas.microsoft.com/office/drawing/2014/chart" uri="{C3380CC4-5D6E-409C-BE32-E72D297353CC}">
                  <c16:uniqueId val="{00000010-F46C-4424-A61A-05DB2A8B833B}"/>
                </c:ext>
              </c:extLst>
            </c:dLbl>
            <c:dLbl>
              <c:idx val="3"/>
              <c:delete val="1"/>
              <c:extLst>
                <c:ext xmlns:c15="http://schemas.microsoft.com/office/drawing/2012/chart" uri="{CE6537A1-D6FC-4f65-9D91-7224C49458BB}"/>
                <c:ext xmlns:c16="http://schemas.microsoft.com/office/drawing/2014/chart" uri="{C3380CC4-5D6E-409C-BE32-E72D297353CC}">
                  <c16:uniqueId val="{00000011-F46C-4424-A61A-05DB2A8B833B}"/>
                </c:ext>
              </c:extLst>
            </c:dLbl>
            <c:dLbl>
              <c:idx val="4"/>
              <c:layout>
                <c:manualLayout>
                  <c:x val="-8.1724521328556902E-3"/>
                  <c:y val="-3.5582097765458447E-2"/>
                </c:manualLayout>
              </c:layout>
              <c:spPr>
                <a:noFill/>
                <a:ln>
                  <a:noFill/>
                </a:ln>
                <a:effectLst/>
              </c:spPr>
              <c:txPr>
                <a:bodyPr rot="0" spcFirstLastPara="1" vertOverflow="ellipsis" vert="horz" wrap="square" anchor="ctr" anchorCtr="1"/>
                <a:lstStyle/>
                <a:p>
                  <a:pPr>
                    <a:defRPr sz="1000" b="1" i="0" u="none" strike="noStrike" kern="1200" baseline="0">
                      <a:solidFill>
                        <a:schemeClr val="accent4">
                          <a:lumMod val="7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F46C-4424-A61A-05DB2A8B833B}"/>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'21_VARAM'!$B$28:$J$28</c:f>
              <c:numCache>
                <c:formatCode>General</c:formatCode>
                <c:ptCount val="9"/>
                <c:pt idx="1">
                  <c:v>-0.77600000000000002</c:v>
                </c:pt>
                <c:pt idx="2">
                  <c:v>-0.75600000000000001</c:v>
                </c:pt>
                <c:pt idx="3">
                  <c:v>-0.76200000000000001</c:v>
                </c:pt>
                <c:pt idx="4">
                  <c:v>-0.76700000000000002</c:v>
                </c:pt>
              </c:numCache>
            </c:numRef>
          </c:val>
          <c:smooth val="1"/>
          <c:extLst>
            <c:ext xmlns:c16="http://schemas.microsoft.com/office/drawing/2014/chart" uri="{C3380CC4-5D6E-409C-BE32-E72D297353CC}">
              <c16:uniqueId val="{00000013-F46C-4424-A61A-05DB2A8B833B}"/>
            </c:ext>
          </c:extLst>
        </c:ser>
        <c:ser>
          <c:idx val="4"/>
          <c:order val="4"/>
          <c:tx>
            <c:strRef>
              <c:f>'21_VARAM'!$A$29</c:f>
              <c:strCache>
                <c:ptCount val="1"/>
                <c:pt idx="0">
                  <c:v>Zemgale</c:v>
                </c:pt>
              </c:strCache>
            </c:strRef>
          </c:tx>
          <c:spPr>
            <a:ln w="63500" cap="rnd">
              <a:solidFill>
                <a:srgbClr val="9BBB59"/>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14-F46C-4424-A61A-05DB2A8B833B}"/>
                </c:ext>
              </c:extLst>
            </c:dLbl>
            <c:dLbl>
              <c:idx val="2"/>
              <c:delete val="1"/>
              <c:extLst>
                <c:ext xmlns:c15="http://schemas.microsoft.com/office/drawing/2012/chart" uri="{CE6537A1-D6FC-4f65-9D91-7224C49458BB}"/>
                <c:ext xmlns:c16="http://schemas.microsoft.com/office/drawing/2014/chart" uri="{C3380CC4-5D6E-409C-BE32-E72D297353CC}">
                  <c16:uniqueId val="{00000015-F46C-4424-A61A-05DB2A8B833B}"/>
                </c:ext>
              </c:extLst>
            </c:dLbl>
            <c:dLbl>
              <c:idx val="3"/>
              <c:delete val="1"/>
              <c:extLst>
                <c:ext xmlns:c15="http://schemas.microsoft.com/office/drawing/2012/chart" uri="{CE6537A1-D6FC-4f65-9D91-7224C49458BB}"/>
                <c:ext xmlns:c16="http://schemas.microsoft.com/office/drawing/2014/chart" uri="{C3380CC4-5D6E-409C-BE32-E72D297353CC}">
                  <c16:uniqueId val="{00000016-F46C-4424-A61A-05DB2A8B833B}"/>
                </c:ext>
              </c:extLst>
            </c:dLbl>
            <c:dLbl>
              <c:idx val="4"/>
              <c:layout>
                <c:manualLayout>
                  <c:x val="-8.4295292828333659E-3"/>
                  <c:y val="-2.8825627703312755E-2"/>
                </c:manualLayout>
              </c:layout>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F46C-4424-A61A-05DB2A8B833B}"/>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'21_VARAM'!$B$29:$J$29</c:f>
              <c:numCache>
                <c:formatCode>General</c:formatCode>
                <c:ptCount val="9"/>
                <c:pt idx="1">
                  <c:v>-0.51500000000000001</c:v>
                </c:pt>
                <c:pt idx="2">
                  <c:v>-0.52300000000000002</c:v>
                </c:pt>
                <c:pt idx="3">
                  <c:v>-0.52700000000000002</c:v>
                </c:pt>
                <c:pt idx="4">
                  <c:v>-0.54700000000000004</c:v>
                </c:pt>
              </c:numCache>
            </c:numRef>
          </c:val>
          <c:smooth val="1"/>
          <c:extLst>
            <c:ext xmlns:c16="http://schemas.microsoft.com/office/drawing/2014/chart" uri="{C3380CC4-5D6E-409C-BE32-E72D297353CC}">
              <c16:uniqueId val="{00000018-F46C-4424-A61A-05DB2A8B833B}"/>
            </c:ext>
          </c:extLst>
        </c:ser>
        <c:ser>
          <c:idx val="5"/>
          <c:order val="5"/>
          <c:tx>
            <c:strRef>
              <c:f>'21_VARAM'!$A$30</c:f>
              <c:strCache>
                <c:ptCount val="1"/>
                <c:pt idx="0">
                  <c:v>Kurzeme plāns </c:v>
                </c:pt>
              </c:strCache>
            </c:strRef>
          </c:tx>
          <c:spPr>
            <a:ln w="28575" cap="rnd">
              <a:solidFill>
                <a:schemeClr val="accent6"/>
              </a:solidFill>
              <a:round/>
            </a:ln>
            <a:effectLst/>
          </c:spPr>
          <c:marker>
            <c:symbol val="diamond"/>
            <c:size val="14"/>
            <c:spPr>
              <a:solidFill>
                <a:schemeClr val="accent3"/>
              </a:solidFill>
              <a:ln w="9525">
                <a:solidFill>
                  <a:schemeClr val="accent3"/>
                </a:solidFill>
              </a:ln>
              <a:effectLst/>
            </c:spPr>
          </c:marker>
          <c:dLbls>
            <c:dLbl>
              <c:idx val="5"/>
              <c:layout>
                <c:manualLayout>
                  <c:x val="-5.8887679799281946E-3"/>
                  <c:y val="-2.356186785063081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F46C-4424-A61A-05DB2A8B833B}"/>
                </c:ext>
              </c:extLst>
            </c:dLbl>
            <c:spPr>
              <a:noFill/>
              <a:ln>
                <a:noFill/>
              </a:ln>
              <a:effectLst/>
            </c:spPr>
            <c:txPr>
              <a:bodyPr rot="0" spcFirstLastPara="1" vertOverflow="ellipsis" vert="horz" wrap="square" anchor="ctr" anchorCtr="1"/>
              <a:lstStyle/>
              <a:p>
                <a:pPr>
                  <a:defRPr sz="1000" b="1" i="0" u="none" strike="noStrike" kern="1200" baseline="0">
                    <a:solidFill>
                      <a:schemeClr val="bg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'21_VARAM'!$B$30:$J$30</c:f>
              <c:numCache>
                <c:formatCode>General</c:formatCode>
                <c:ptCount val="9"/>
                <c:pt idx="5">
                  <c:v>-0.4</c:v>
                </c:pt>
              </c:numCache>
            </c:numRef>
          </c:val>
          <c:smooth val="0"/>
          <c:extLst>
            <c:ext xmlns:c16="http://schemas.microsoft.com/office/drawing/2014/chart" uri="{C3380CC4-5D6E-409C-BE32-E72D297353CC}">
              <c16:uniqueId val="{0000001A-F46C-4424-A61A-05DB2A8B833B}"/>
            </c:ext>
          </c:extLst>
        </c:ser>
        <c:ser>
          <c:idx val="6"/>
          <c:order val="6"/>
          <c:tx>
            <c:strRef>
              <c:f>'21_VARAM'!$A$31</c:f>
              <c:strCache>
                <c:ptCount val="1"/>
                <c:pt idx="0">
                  <c:v>Latgale plāns</c:v>
                </c:pt>
              </c:strCache>
            </c:strRef>
          </c:tx>
          <c:spPr>
            <a:ln w="28575" cap="rnd">
              <a:solidFill>
                <a:schemeClr val="accent1">
                  <a:lumMod val="60000"/>
                </a:schemeClr>
              </a:solidFill>
              <a:round/>
            </a:ln>
            <a:effectLst/>
          </c:spPr>
          <c:marker>
            <c:symbol val="diamond"/>
            <c:size val="14"/>
            <c:spPr>
              <a:solidFill>
                <a:srgbClr val="7030A0"/>
              </a:solidFill>
              <a:ln w="9525">
                <a:solidFill>
                  <a:srgbClr val="7030A0"/>
                </a:solidFill>
              </a:ln>
              <a:effectLst/>
            </c:spPr>
          </c:marker>
          <c:dLbls>
            <c:dLbl>
              <c:idx val="5"/>
              <c:layout>
                <c:manualLayout>
                  <c:x val="-1.9856221929055846E-2"/>
                  <c:y val="3.5017302562831996E-2"/>
                </c:manualLayout>
              </c:layout>
              <c:spPr>
                <a:noFill/>
                <a:ln>
                  <a:noFill/>
                </a:ln>
                <a:effectLst/>
              </c:spPr>
              <c:txPr>
                <a:bodyPr rot="0" spcFirstLastPara="1" vertOverflow="ellipsis" vert="horz" wrap="square" anchor="ctr" anchorCtr="1"/>
                <a:lstStyle/>
                <a:p>
                  <a:pPr>
                    <a:defRPr sz="1000" b="1" i="0" u="none" strike="noStrike" kern="1200" baseline="0">
                      <a:solidFill>
                        <a:srgbClr val="7030A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F46C-4424-A61A-05DB2A8B833B}"/>
                </c:ext>
              </c:extLst>
            </c:dLbl>
            <c:spPr>
              <a:noFill/>
              <a:ln>
                <a:noFill/>
              </a:ln>
              <a:effectLst/>
            </c:spPr>
            <c:txPr>
              <a:bodyPr rot="0" spcFirstLastPara="1" vertOverflow="ellipsis" vert="horz" wrap="square" anchor="ctr" anchorCtr="1"/>
              <a:lstStyle/>
              <a:p>
                <a:pPr>
                  <a:defRPr sz="1000" b="1" i="0" u="none" strike="noStrike" kern="1200" baseline="0">
                    <a:solidFill>
                      <a:srgbClr val="7030A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'21_VARAM'!$B$31:$J$31</c:f>
              <c:numCache>
                <c:formatCode>General</c:formatCode>
                <c:ptCount val="9"/>
                <c:pt idx="5">
                  <c:v>-0.55000000000000004</c:v>
                </c:pt>
              </c:numCache>
            </c:numRef>
          </c:val>
          <c:smooth val="0"/>
          <c:extLst>
            <c:ext xmlns:c16="http://schemas.microsoft.com/office/drawing/2014/chart" uri="{C3380CC4-5D6E-409C-BE32-E72D297353CC}">
              <c16:uniqueId val="{0000001C-F46C-4424-A61A-05DB2A8B833B}"/>
            </c:ext>
          </c:extLst>
        </c:ser>
        <c:ser>
          <c:idx val="7"/>
          <c:order val="7"/>
          <c:tx>
            <c:strRef>
              <c:f>'21_VARAM'!$A$32</c:f>
              <c:strCache>
                <c:ptCount val="1"/>
                <c:pt idx="0">
                  <c:v>Rīga plāns</c:v>
                </c:pt>
              </c:strCache>
            </c:strRef>
          </c:tx>
          <c:spPr>
            <a:ln w="28575" cap="rnd">
              <a:solidFill>
                <a:schemeClr val="accent2">
                  <a:lumMod val="60000"/>
                </a:schemeClr>
              </a:solidFill>
              <a:round/>
            </a:ln>
            <a:effectLst/>
          </c:spPr>
          <c:marker>
            <c:symbol val="diamond"/>
            <c:size val="14"/>
            <c:spPr>
              <a:solidFill>
                <a:schemeClr val="accent2"/>
              </a:solidFill>
              <a:ln w="9525">
                <a:solidFill>
                  <a:schemeClr val="accent2"/>
                </a:solidFill>
              </a:ln>
              <a:effectLst/>
            </c:spPr>
          </c:marker>
          <c:dLbls>
            <c:dLbl>
              <c:idx val="5"/>
              <c:layout>
                <c:manualLayout>
                  <c:x val="-1.6503228684993363E-3"/>
                  <c:y val="2.5977061086542266E-3"/>
                </c:manualLayout>
              </c:layout>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F46C-4424-A61A-05DB2A8B833B}"/>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'21_VARAM'!$B$32:$J$32</c:f>
              <c:numCache>
                <c:formatCode>General</c:formatCode>
                <c:ptCount val="9"/>
                <c:pt idx="5">
                  <c:v>0.55000000000000004</c:v>
                </c:pt>
              </c:numCache>
            </c:numRef>
          </c:val>
          <c:smooth val="0"/>
          <c:extLst>
            <c:ext xmlns:c16="http://schemas.microsoft.com/office/drawing/2014/chart" uri="{C3380CC4-5D6E-409C-BE32-E72D297353CC}">
              <c16:uniqueId val="{0000001E-F46C-4424-A61A-05DB2A8B833B}"/>
            </c:ext>
          </c:extLst>
        </c:ser>
        <c:ser>
          <c:idx val="8"/>
          <c:order val="8"/>
          <c:tx>
            <c:strRef>
              <c:f>'21_VARAM'!$A$33</c:f>
              <c:strCache>
                <c:ptCount val="1"/>
                <c:pt idx="0">
                  <c:v>Vidzeme plāns</c:v>
                </c:pt>
              </c:strCache>
            </c:strRef>
          </c:tx>
          <c:spPr>
            <a:ln w="28575" cap="rnd">
              <a:solidFill>
                <a:schemeClr val="accent3">
                  <a:lumMod val="60000"/>
                </a:schemeClr>
              </a:solidFill>
              <a:round/>
            </a:ln>
            <a:effectLst/>
          </c:spPr>
          <c:marker>
            <c:symbol val="diamond"/>
            <c:size val="14"/>
            <c:spPr>
              <a:solidFill>
                <a:schemeClr val="accent4"/>
              </a:solidFill>
              <a:ln w="9525">
                <a:solidFill>
                  <a:schemeClr val="accent4"/>
                </a:solidFill>
              </a:ln>
              <a:effectLst/>
            </c:spPr>
          </c:marker>
          <c:dLbls>
            <c:dLbl>
              <c:idx val="5"/>
              <c:layout>
                <c:manualLayout>
                  <c:x val="-5.8887679799281946E-3"/>
                  <c:y val="-2.7934358672455661E-3"/>
                </c:manualLayout>
              </c:layout>
              <c:spPr>
                <a:noFill/>
                <a:ln>
                  <a:noFill/>
                </a:ln>
                <a:effectLst/>
              </c:spPr>
              <c:txPr>
                <a:bodyPr rot="0" spcFirstLastPara="1" vertOverflow="ellipsis" vert="horz" wrap="square" anchor="ctr" anchorCtr="1"/>
                <a:lstStyle/>
                <a:p>
                  <a:pPr>
                    <a:defRPr sz="1000" b="1" i="0" u="none" strike="noStrike" kern="1200" baseline="0">
                      <a:solidFill>
                        <a:schemeClr val="accent4">
                          <a:lumMod val="7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F-F46C-4424-A61A-05DB2A8B833B}"/>
                </c:ext>
              </c:extLst>
            </c:dLbl>
            <c:spPr>
              <a:noFill/>
              <a:ln>
                <a:noFill/>
              </a:ln>
              <a:effectLst/>
            </c:spPr>
            <c:txPr>
              <a:bodyPr rot="0" spcFirstLastPara="1" vertOverflow="ellipsis" vert="horz" wrap="square" anchor="ctr" anchorCtr="1"/>
              <a:lstStyle/>
              <a:p>
                <a:pPr>
                  <a:defRPr sz="1000" b="1" i="0" u="none" strike="noStrike" kern="1200" baseline="0">
                    <a:solidFill>
                      <a:schemeClr val="accent4">
                        <a:lumMod val="7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'21_VARAM'!$B$33:$J$33</c:f>
              <c:numCache>
                <c:formatCode>General</c:formatCode>
                <c:ptCount val="9"/>
                <c:pt idx="5">
                  <c:v>-0.5</c:v>
                </c:pt>
              </c:numCache>
            </c:numRef>
          </c:val>
          <c:smooth val="0"/>
          <c:extLst>
            <c:ext xmlns:c16="http://schemas.microsoft.com/office/drawing/2014/chart" uri="{C3380CC4-5D6E-409C-BE32-E72D297353CC}">
              <c16:uniqueId val="{00000020-F46C-4424-A61A-05DB2A8B833B}"/>
            </c:ext>
          </c:extLst>
        </c:ser>
        <c:ser>
          <c:idx val="9"/>
          <c:order val="9"/>
          <c:tx>
            <c:strRef>
              <c:f>'21_VARAM'!$A$34</c:f>
              <c:strCache>
                <c:ptCount val="1"/>
                <c:pt idx="0">
                  <c:v>Zemgale plāns</c:v>
                </c:pt>
              </c:strCache>
            </c:strRef>
          </c:tx>
          <c:spPr>
            <a:ln w="28575" cap="rnd">
              <a:solidFill>
                <a:schemeClr val="accent4">
                  <a:lumMod val="60000"/>
                </a:schemeClr>
              </a:solidFill>
              <a:round/>
            </a:ln>
            <a:effectLst/>
          </c:spPr>
          <c:marker>
            <c:symbol val="diamond"/>
            <c:size val="14"/>
            <c:spPr>
              <a:solidFill>
                <a:schemeClr val="accent6"/>
              </a:solidFill>
              <a:ln w="9525">
                <a:solidFill>
                  <a:schemeClr val="accent6"/>
                </a:solidFill>
              </a:ln>
              <a:effectLst/>
            </c:spPr>
          </c:marker>
          <c:dLbls>
            <c:dLbl>
              <c:idx val="5"/>
              <c:layout>
                <c:manualLayout>
                  <c:x val="-1.9561561800582581E-2"/>
                  <c:y val="-4.4330299834016075E-2"/>
                </c:manualLayout>
              </c:layout>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1-F46C-4424-A61A-05DB2A8B833B}"/>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'21_VARAM'!$B$34:$J$34</c:f>
              <c:numCache>
                <c:formatCode>General</c:formatCode>
                <c:ptCount val="9"/>
                <c:pt idx="5">
                  <c:v>-0.28000000000000003</c:v>
                </c:pt>
              </c:numCache>
            </c:numRef>
          </c:val>
          <c:smooth val="0"/>
          <c:extLst>
            <c:ext xmlns:c16="http://schemas.microsoft.com/office/drawing/2014/chart" uri="{C3380CC4-5D6E-409C-BE32-E72D297353CC}">
              <c16:uniqueId val="{00000022-F46C-4424-A61A-05DB2A8B833B}"/>
            </c:ext>
          </c:extLst>
        </c:ser>
        <c:dLbls>
          <c:dLblPos val="t"/>
          <c:showLegendKey val="0"/>
          <c:showVal val="1"/>
          <c:showCatName val="0"/>
          <c:showSerName val="0"/>
          <c:showPercent val="0"/>
          <c:showBubbleSize val="0"/>
        </c:dLbls>
        <c:marker val="1"/>
        <c:smooth val="0"/>
        <c:axId val="777254527"/>
        <c:axId val="777506383"/>
      </c:lineChart>
      <c:lineChart>
        <c:grouping val="standard"/>
        <c:varyColors val="0"/>
        <c:ser>
          <c:idx val="10"/>
          <c:order val="10"/>
          <c:tx>
            <c:strRef>
              <c:f>'21_VARAM'!$A$35</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7"/>
              <c:layout>
                <c:manualLayout>
                  <c:x val="-2.7009150038584499E-2"/>
                  <c:y val="-5.821917808219181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3-F46C-4424-A61A-05DB2A8B833B}"/>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'21_VARAM'!$B$24:$J$24</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'21_VARAM'!$B$35:$J$35</c:f>
              <c:numCache>
                <c:formatCode>0.0</c:formatCode>
                <c:ptCount val="9"/>
                <c:pt idx="0">
                  <c:v>26.311966000000002</c:v>
                </c:pt>
                <c:pt idx="1">
                  <c:v>25.820001000000001</c:v>
                </c:pt>
                <c:pt idx="2">
                  <c:v>36.649832000000004</c:v>
                </c:pt>
                <c:pt idx="3">
                  <c:v>46.459299000000001</c:v>
                </c:pt>
                <c:pt idx="4">
                  <c:v>62.023304000000003</c:v>
                </c:pt>
                <c:pt idx="5">
                  <c:v>53.554915000000001</c:v>
                </c:pt>
                <c:pt idx="6">
                  <c:v>58.226014999999997</c:v>
                </c:pt>
                <c:pt idx="7">
                  <c:v>36.231479999999998</c:v>
                </c:pt>
                <c:pt idx="8" formatCode="#,##0.0">
                  <c:v>26.192665000000002</c:v>
                </c:pt>
              </c:numCache>
            </c:numRef>
          </c:val>
          <c:smooth val="1"/>
          <c:extLst>
            <c:ext xmlns:c16="http://schemas.microsoft.com/office/drawing/2014/chart" uri="{C3380CC4-5D6E-409C-BE32-E72D297353CC}">
              <c16:uniqueId val="{00000024-F46C-4424-A61A-05DB2A8B833B}"/>
            </c:ext>
          </c:extLst>
        </c:ser>
        <c:dLbls>
          <c:dLblPos val="t"/>
          <c:showLegendKey val="0"/>
          <c:showVal val="1"/>
          <c:showCatName val="0"/>
          <c:showSerName val="0"/>
          <c:showPercent val="0"/>
          <c:showBubbleSize val="0"/>
        </c:dLbls>
        <c:marker val="1"/>
        <c:smooth val="0"/>
        <c:axId val="864721407"/>
        <c:axId val="777487663"/>
      </c:lineChart>
      <c:catAx>
        <c:axId val="77725452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77506383"/>
        <c:crosses val="autoZero"/>
        <c:auto val="1"/>
        <c:lblAlgn val="ctr"/>
        <c:lblOffset val="100"/>
        <c:noMultiLvlLbl val="0"/>
      </c:catAx>
      <c:valAx>
        <c:axId val="777506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Teritorijas</a:t>
                </a:r>
                <a:r>
                  <a:rPr lang="lv-LV" sz="900" baseline="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attīstības indekss</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777254527"/>
        <c:crosses val="autoZero"/>
        <c:crossBetween val="between"/>
      </c:valAx>
      <c:valAx>
        <c:axId val="777487663"/>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Izdevumi</a:t>
                </a:r>
                <a:r>
                  <a:rPr lang="lv-LV" sz="900" baseline="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 milj. </a:t>
                </a:r>
                <a:r>
                  <a:rPr lang="lv-LV" sz="900" i="1" baseline="0" dirty="0" err="1">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euro</a:t>
                </a:r>
                <a:endParaRPr lang="lv-LV" sz="900" i="1"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4721407"/>
        <c:crosses val="max"/>
        <c:crossBetween val="between"/>
      </c:valAx>
      <c:catAx>
        <c:axId val="864721407"/>
        <c:scaling>
          <c:orientation val="minMax"/>
        </c:scaling>
        <c:delete val="1"/>
        <c:axPos val="b"/>
        <c:numFmt formatCode="General" sourceLinked="1"/>
        <c:majorTickMark val="out"/>
        <c:minorTickMark val="none"/>
        <c:tickLblPos val="nextTo"/>
        <c:crossAx val="777487663"/>
        <c:crosses val="autoZero"/>
        <c:auto val="1"/>
        <c:lblAlgn val="ctr"/>
        <c:lblOffset val="100"/>
        <c:noMultiLvlLbl val="0"/>
      </c:catAx>
      <c:spPr>
        <a:noFill/>
        <a:ln>
          <a:noFill/>
        </a:ln>
        <a:effectLst/>
      </c:spPr>
    </c:plotArea>
    <c:legend>
      <c:legendPos val="b"/>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1.5773803979024663E-2"/>
          <c:y val="0.9037819998940041"/>
          <c:w val="0.96696418015413621"/>
          <c:h val="7.802681504816844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539504191344389"/>
          <c:y val="8.8046128703190216E-2"/>
          <c:w val="0.4648328974312011"/>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 Pārtikas un dzīvnieku barības nekaitīgums, pārtikas higiēna un kvalitāte, dzīvnieku veselība, labturība un aizsardzība</c:v>
                </c:pt>
                <c:pt idx="1">
                  <c:v>2. Nozaru uzņēmējdarbības attīstības veicināšana</c:v>
                </c:pt>
                <c:pt idx="2">
                  <c:v>3. Cilvēkresursu attīstības veicināšana laukiem</c:v>
                </c:pt>
                <c:pt idx="3">
                  <c:v>4. Dabas resursu ilgtspējības saglabāšana</c:v>
                </c:pt>
                <c:pt idx="4">
                  <c:v>5. Nozaru vadība un politikas plānošana</c:v>
                </c:pt>
              </c:strCache>
            </c:strRef>
          </c:cat>
          <c:val>
            <c:numRef>
              <c:f>Sheet1!$B$2:$B$6</c:f>
              <c:numCache>
                <c:formatCode>General</c:formatCode>
                <c:ptCount val="5"/>
                <c:pt idx="0">
                  <c:v>97.9</c:v>
                </c:pt>
                <c:pt idx="1">
                  <c:v>100</c:v>
                </c:pt>
                <c:pt idx="2">
                  <c:v>96.1</c:v>
                </c:pt>
                <c:pt idx="3">
                  <c:v>99.3</c:v>
                </c:pt>
                <c:pt idx="4">
                  <c:v>97.6</c:v>
                </c:pt>
              </c:numCache>
            </c:numRef>
          </c:val>
          <c:extLst>
            <c:ext xmlns:c16="http://schemas.microsoft.com/office/drawing/2014/chart" uri="{C3380CC4-5D6E-409C-BE32-E72D297353CC}">
              <c16:uniqueId val="{00000000-1094-457C-9E78-A24AFB1D1194}"/>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t"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min val="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57712811130215"/>
          <c:y val="4.0961605267770276E-2"/>
          <c:w val="0.8101215520257079"/>
          <c:h val="0.52526859748067811"/>
        </c:manualLayout>
      </c:layout>
      <c:lineChart>
        <c:grouping val="standard"/>
        <c:varyColors val="0"/>
        <c:ser>
          <c:idx val="0"/>
          <c:order val="0"/>
          <c:tx>
            <c:strRef>
              <c:f>ZM!$V$31</c:f>
              <c:strCache>
                <c:ptCount val="1"/>
                <c:pt idx="0">
                  <c:v>Valsts budžeta finansētas studiju vietas Latvijas Lauksaimniecības universitātē pamatstudijās, maģistratūrā un doktorantūrā (skaits) </c:v>
                </c:pt>
              </c:strCache>
            </c:strRef>
          </c:tx>
          <c:spPr>
            <a:ln w="50800" cap="rnd">
              <a:solidFill>
                <a:srgbClr val="ED7D31"/>
              </a:solidFill>
              <a:round/>
            </a:ln>
            <a:effectLst>
              <a:outerShdw blurRad="50800" dist="38100" dir="5400000" algn="t" rotWithShape="0">
                <a:prstClr val="black">
                  <a:alpha val="40000"/>
                </a:prstClr>
              </a:outerShdw>
            </a:effectLst>
          </c:spPr>
          <c:marker>
            <c:symbol val="none"/>
          </c:marker>
          <c:dLbls>
            <c:dLbl>
              <c:idx val="1"/>
              <c:layout>
                <c:manualLayout>
                  <c:x val="-6.4265143063724106E-2"/>
                  <c:y val="-5.16746203084970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A20-4AB8-8CA7-9BF6B9C93C3F}"/>
                </c:ext>
              </c:extLst>
            </c:dLbl>
            <c:dLbl>
              <c:idx val="4"/>
              <c:layout>
                <c:manualLayout>
                  <c:x val="-4.6921753129941901E-2"/>
                  <c:y val="3.82958146037049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A20-4AB8-8CA7-9BF6B9C93C3F}"/>
                </c:ext>
              </c:extLst>
            </c:dLbl>
            <c:dLbl>
              <c:idx val="5"/>
              <c:layout>
                <c:manualLayout>
                  <c:x val="-6.2486925106139931E-3"/>
                  <c:y val="-2.233396458354101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A20-4AB8-8CA7-9BF6B9C93C3F}"/>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ZM!$W$30:$AE$30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ZM!$W$31:$AE$31</c:f>
              <c:numCache>
                <c:formatCode>#,##0</c:formatCode>
                <c:ptCount val="9"/>
                <c:pt idx="1">
                  <c:v>2383</c:v>
                </c:pt>
                <c:pt idx="2">
                  <c:v>2347</c:v>
                </c:pt>
                <c:pt idx="3">
                  <c:v>2347</c:v>
                </c:pt>
                <c:pt idx="4">
                  <c:v>2181</c:v>
                </c:pt>
                <c:pt idx="5">
                  <c:v>2408</c:v>
                </c:pt>
              </c:numCache>
            </c:numRef>
          </c:val>
          <c:smooth val="1"/>
          <c:extLst>
            <c:ext xmlns:c16="http://schemas.microsoft.com/office/drawing/2014/chart" uri="{C3380CC4-5D6E-409C-BE32-E72D297353CC}">
              <c16:uniqueId val="{00000003-0A20-4AB8-8CA7-9BF6B9C93C3F}"/>
            </c:ext>
          </c:extLst>
        </c:ser>
        <c:ser>
          <c:idx val="1"/>
          <c:order val="1"/>
          <c:tx>
            <c:strRef>
              <c:f>ZM!$V$32</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6"/>
            <c:spPr>
              <a:solidFill>
                <a:schemeClr val="accent6"/>
              </a:solidFill>
              <a:ln w="9525">
                <a:noFill/>
              </a:ln>
              <a:effectLst>
                <a:outerShdw blurRad="50800" dist="38100" dir="2700000" algn="tl" rotWithShape="0">
                  <a:prstClr val="black">
                    <a:alpha val="40000"/>
                  </a:prst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ZM!$W$30:$AE$30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ZM!$W$32:$AE$32</c:f>
              <c:numCache>
                <c:formatCode>General</c:formatCode>
                <c:ptCount val="9"/>
                <c:pt idx="4" formatCode="#,##0">
                  <c:v>2615</c:v>
                </c:pt>
                <c:pt idx="5" formatCode="#,##0">
                  <c:v>2615</c:v>
                </c:pt>
                <c:pt idx="6" formatCode="#,##0">
                  <c:v>2608</c:v>
                </c:pt>
              </c:numCache>
            </c:numRef>
          </c:val>
          <c:smooth val="0"/>
          <c:extLst>
            <c:ext xmlns:c16="http://schemas.microsoft.com/office/drawing/2014/chart" uri="{C3380CC4-5D6E-409C-BE32-E72D297353CC}">
              <c16:uniqueId val="{00000004-0A20-4AB8-8CA7-9BF6B9C93C3F}"/>
            </c:ext>
          </c:extLst>
        </c:ser>
        <c:dLbls>
          <c:dLblPos val="t"/>
          <c:showLegendKey val="0"/>
          <c:showVal val="1"/>
          <c:showCatName val="0"/>
          <c:showSerName val="0"/>
          <c:showPercent val="0"/>
          <c:showBubbleSize val="0"/>
        </c:dLbls>
        <c:marker val="1"/>
        <c:smooth val="0"/>
        <c:axId val="1591168032"/>
        <c:axId val="1582998736"/>
      </c:lineChart>
      <c:lineChart>
        <c:grouping val="standard"/>
        <c:varyColors val="0"/>
        <c:ser>
          <c:idx val="2"/>
          <c:order val="2"/>
          <c:tx>
            <c:strRef>
              <c:f>ZM!$V$33</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1"/>
              <c:layout>
                <c:manualLayout>
                  <c:x val="-4.091066080922743E-2"/>
                  <c:y val="-6.833581195890484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A20-4AB8-8CA7-9BF6B9C93C3F}"/>
                </c:ext>
              </c:extLst>
            </c:dLbl>
            <c:dLbl>
              <c:idx val="2"/>
              <c:layout>
                <c:manualLayout>
                  <c:x val="-5.7386881246320583E-2"/>
                  <c:y val="-3.485547531362397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A20-4AB8-8CA7-9BF6B9C93C3F}"/>
                </c:ext>
              </c:extLst>
            </c:dLbl>
            <c:dLbl>
              <c:idx val="3"/>
              <c:layout>
                <c:manualLayout>
                  <c:x val="-3.2160132251728195E-2"/>
                  <c:y val="-5.16746203084970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0A20-4AB8-8CA7-9BF6B9C93C3F}"/>
                </c:ext>
              </c:extLst>
            </c:dLbl>
            <c:dLbl>
              <c:idx val="4"/>
              <c:layout>
                <c:manualLayout>
                  <c:x val="-3.3736804063890215E-2"/>
                  <c:y val="4.496029126386811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0A20-4AB8-8CA7-9BF6B9C93C3F}"/>
                </c:ext>
              </c:extLst>
            </c:dLbl>
            <c:dLbl>
              <c:idx val="5"/>
              <c:layout>
                <c:manualLayout>
                  <c:x val="-3.8466819500376288E-2"/>
                  <c:y val="3.163133794354191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0A20-4AB8-8CA7-9BF6B9C93C3F}"/>
                </c:ext>
              </c:extLst>
            </c:dLbl>
            <c:dLbl>
              <c:idx val="6"/>
              <c:layout>
                <c:manualLayout>
                  <c:x val="-3.8466819500376406E-2"/>
                  <c:y val="4.496029126386811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0A20-4AB8-8CA7-9BF6B9C93C3F}"/>
                </c:ext>
              </c:extLst>
            </c:dLbl>
            <c:dLbl>
              <c:idx val="7"/>
              <c:layout>
                <c:manualLayout>
                  <c:x val="-4.3196834936862362E-2"/>
                  <c:y val="4.162805293378658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0A20-4AB8-8CA7-9BF6B9C93C3F}"/>
                </c:ext>
              </c:extLst>
            </c:dLbl>
            <c:dLbl>
              <c:idx val="8"/>
              <c:layout>
                <c:manualLayout>
                  <c:x val="-3.5313475876052242E-2"/>
                  <c:y val="3.829581460370502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0A20-4AB8-8CA7-9BF6B9C93C3F}"/>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ZM!$W$30:$AE$30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ZM!$W$33:$AE$33</c:f>
              <c:numCache>
                <c:formatCode>#,##0.0</c:formatCode>
                <c:ptCount val="9"/>
                <c:pt idx="0">
                  <c:v>7.7297529999999997</c:v>
                </c:pt>
                <c:pt idx="1">
                  <c:v>7.7252559999999999</c:v>
                </c:pt>
                <c:pt idx="2">
                  <c:v>12.685741</c:v>
                </c:pt>
                <c:pt idx="3">
                  <c:v>10.744683999999999</c:v>
                </c:pt>
                <c:pt idx="4">
                  <c:v>11.736459999999999</c:v>
                </c:pt>
                <c:pt idx="5">
                  <c:v>11.439484999999999</c:v>
                </c:pt>
                <c:pt idx="6">
                  <c:v>11.743109</c:v>
                </c:pt>
                <c:pt idx="7">
                  <c:v>11.449645</c:v>
                </c:pt>
                <c:pt idx="8">
                  <c:v>11.449645</c:v>
                </c:pt>
              </c:numCache>
            </c:numRef>
          </c:val>
          <c:smooth val="1"/>
          <c:extLst>
            <c:ext xmlns:c16="http://schemas.microsoft.com/office/drawing/2014/chart" uri="{C3380CC4-5D6E-409C-BE32-E72D297353CC}">
              <c16:uniqueId val="{0000000D-0A20-4AB8-8CA7-9BF6B9C93C3F}"/>
            </c:ext>
          </c:extLst>
        </c:ser>
        <c:dLbls>
          <c:dLblPos val="t"/>
          <c:showLegendKey val="0"/>
          <c:showVal val="1"/>
          <c:showCatName val="0"/>
          <c:showSerName val="0"/>
          <c:showPercent val="0"/>
          <c:showBubbleSize val="0"/>
        </c:dLbls>
        <c:marker val="1"/>
        <c:smooth val="0"/>
        <c:axId val="1591154832"/>
        <c:axId val="1582985424"/>
      </c:lineChart>
      <c:catAx>
        <c:axId val="159116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82998736"/>
        <c:crosses val="autoZero"/>
        <c:auto val="1"/>
        <c:lblAlgn val="ctr"/>
        <c:lblOffset val="100"/>
        <c:noMultiLvlLbl val="0"/>
      </c:catAx>
      <c:valAx>
        <c:axId val="1582998736"/>
        <c:scaling>
          <c:orientation val="minMax"/>
          <c:min val="2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Studiju vietu skaits</a:t>
                </a:r>
              </a:p>
            </c:rich>
          </c:tx>
          <c:layout>
            <c:manualLayout>
              <c:xMode val="edge"/>
              <c:yMode val="edge"/>
              <c:x val="1.1883512966676703E-3"/>
              <c:y val="0.1066948603765901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91168032"/>
        <c:crosses val="autoZero"/>
        <c:crossBetween val="between"/>
      </c:valAx>
      <c:valAx>
        <c:axId val="1582985424"/>
        <c:scaling>
          <c:orientation val="minMax"/>
          <c:min val="7"/>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591154832"/>
        <c:crosses val="max"/>
        <c:crossBetween val="between"/>
      </c:valAx>
      <c:catAx>
        <c:axId val="1591154832"/>
        <c:scaling>
          <c:orientation val="minMax"/>
        </c:scaling>
        <c:delete val="1"/>
        <c:axPos val="b"/>
        <c:numFmt formatCode="General" sourceLinked="1"/>
        <c:majorTickMark val="out"/>
        <c:minorTickMark val="none"/>
        <c:tickLblPos val="nextTo"/>
        <c:crossAx val="1582985424"/>
        <c:crosses val="autoZero"/>
        <c:auto val="1"/>
        <c:lblAlgn val="ctr"/>
        <c:lblOffset val="100"/>
        <c:noMultiLvlLbl val="0"/>
      </c:catAx>
      <c:spPr>
        <a:noFill/>
        <a:ln>
          <a:noFill/>
        </a:ln>
        <a:effectLst/>
      </c:spPr>
    </c:plotArea>
    <c:legend>
      <c:legendPos val="b"/>
      <c:layout>
        <c:manualLayout>
          <c:xMode val="edge"/>
          <c:yMode val="edge"/>
          <c:x val="0"/>
          <c:y val="0.69084134168268341"/>
          <c:w val="1"/>
          <c:h val="0.306042945419224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040037243062792"/>
          <c:y val="8.8046128703190216E-2"/>
          <c:w val="0.47781540159390423"/>
          <c:h val="0.87590291894006589"/>
        </c:manualLayout>
      </c:layout>
      <c:barChart>
        <c:barDir val="bar"/>
        <c:grouping val="clustered"/>
        <c:varyColors val="0"/>
        <c:ser>
          <c:idx val="0"/>
          <c:order val="0"/>
          <c:tx>
            <c:strRef>
              <c:f>Sheet1!$B$1</c:f>
              <c:strCache>
                <c:ptCount val="1"/>
                <c:pt idx="0">
                  <c:v>Series 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 Veselības aprūpe</c:v>
                </c:pt>
                <c:pt idx="1">
                  <c:v>2. Sabiedrības veselība</c:v>
                </c:pt>
                <c:pt idx="2">
                  <c:v>3. Farmācija</c:v>
                </c:pt>
                <c:pt idx="3">
                  <c:v>4. Nozaru vadība un politikas plānošana</c:v>
                </c:pt>
              </c:strCache>
            </c:strRef>
          </c:cat>
          <c:val>
            <c:numRef>
              <c:f>Sheet1!$B$2:$B$5</c:f>
              <c:numCache>
                <c:formatCode>General</c:formatCode>
                <c:ptCount val="4"/>
                <c:pt idx="0">
                  <c:v>92.6</c:v>
                </c:pt>
                <c:pt idx="1">
                  <c:v>99.1</c:v>
                </c:pt>
                <c:pt idx="2">
                  <c:v>93.2</c:v>
                </c:pt>
                <c:pt idx="3">
                  <c:v>94.1</c:v>
                </c:pt>
              </c:numCache>
            </c:numRef>
          </c:val>
          <c:extLst>
            <c:ext xmlns:c16="http://schemas.microsoft.com/office/drawing/2014/chart" uri="{C3380CC4-5D6E-409C-BE32-E72D297353CC}">
              <c16:uniqueId val="{00000000-5B96-4DF5-B624-4E6371D8E42F}"/>
            </c:ext>
          </c:extLst>
        </c:ser>
        <c:dLbls>
          <c:showLegendKey val="0"/>
          <c:showVal val="0"/>
          <c:showCatName val="0"/>
          <c:showSerName val="0"/>
          <c:showPercent val="0"/>
          <c:showBubbleSize val="0"/>
        </c:dLbls>
        <c:gapWidth val="104"/>
        <c:axId val="1166274383"/>
        <c:axId val="867727951"/>
      </c:barChart>
      <c:catAx>
        <c:axId val="11662743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67727951"/>
        <c:crosses val="autoZero"/>
        <c:auto val="1"/>
        <c:lblAlgn val="ctr"/>
        <c:lblOffset val="100"/>
        <c:noMultiLvlLbl val="0"/>
      </c:catAx>
      <c:valAx>
        <c:axId val="867727951"/>
        <c:scaling>
          <c:orientation val="minMax"/>
          <c:max val="100"/>
          <c:min val="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6627438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529393229440189E-2"/>
          <c:y val="3.6702068267948744E-2"/>
          <c:w val="0.82150055077312223"/>
          <c:h val="0.66487964112365605"/>
        </c:manualLayout>
      </c:layout>
      <c:lineChart>
        <c:grouping val="standard"/>
        <c:varyColors val="0"/>
        <c:ser>
          <c:idx val="0"/>
          <c:order val="0"/>
          <c:tx>
            <c:strRef>
              <c:f>VM!$J$31</c:f>
              <c:strCache>
                <c:ptCount val="1"/>
                <c:pt idx="0">
                  <c:v>Jaunatklāts hronisks C hepatīts (skaits uz 100 000 iedzīvotājiem)</c:v>
                </c:pt>
              </c:strCache>
            </c:strRef>
          </c:tx>
          <c:spPr>
            <a:ln w="50800" cap="rnd">
              <a:solidFill>
                <a:srgbClr val="ED7D31"/>
              </a:solidFill>
              <a:round/>
            </a:ln>
            <a:effectLst>
              <a:outerShdw blurRad="50800" dist="38100" dir="5400000" algn="t" rotWithShape="0">
                <a:prstClr val="black">
                  <a:alpha val="40000"/>
                </a:prstClr>
              </a:outerShdw>
            </a:effectLst>
          </c:spPr>
          <c:marker>
            <c:symbol val="none"/>
          </c:marker>
          <c:dLbls>
            <c:dLbl>
              <c:idx val="4"/>
              <c:layout>
                <c:manualLayout>
                  <c:x val="-3.2607204587231473E-2"/>
                  <c:y val="-4.979041267891554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96D-4F33-844B-5A66F42F5CEB}"/>
                </c:ext>
              </c:extLst>
            </c:dLbl>
            <c:dLbl>
              <c:idx val="5"/>
              <c:layout>
                <c:manualLayout>
                  <c:x val="-9.2747008540309903E-3"/>
                  <c:y val="-3.874477482932028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96D-4F33-844B-5A66F42F5CEB}"/>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VM!$K$30:$S$30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VM!$K$31:$S$31</c:f>
              <c:numCache>
                <c:formatCode>General</c:formatCode>
                <c:ptCount val="9"/>
                <c:pt idx="0">
                  <c:v>90.1</c:v>
                </c:pt>
                <c:pt idx="1">
                  <c:v>97.3</c:v>
                </c:pt>
                <c:pt idx="2">
                  <c:v>92.8</c:v>
                </c:pt>
                <c:pt idx="3">
                  <c:v>74.2</c:v>
                </c:pt>
                <c:pt idx="4">
                  <c:v>72.7</c:v>
                </c:pt>
                <c:pt idx="5">
                  <c:v>59.7</c:v>
                </c:pt>
              </c:numCache>
            </c:numRef>
          </c:val>
          <c:smooth val="1"/>
          <c:extLst>
            <c:ext xmlns:c16="http://schemas.microsoft.com/office/drawing/2014/chart" uri="{C3380CC4-5D6E-409C-BE32-E72D297353CC}">
              <c16:uniqueId val="{00000002-A96D-4F33-844B-5A66F42F5CEB}"/>
            </c:ext>
          </c:extLst>
        </c:ser>
        <c:ser>
          <c:idx val="1"/>
          <c:order val="1"/>
          <c:tx>
            <c:strRef>
              <c:f>VM!$J$32</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2"/>
              <c:layout>
                <c:manualLayout>
                  <c:x val="-9.6382714791313107E-2"/>
                  <c:y val="1.165297235522449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96D-4F33-844B-5A66F42F5CEB}"/>
                </c:ext>
              </c:extLst>
            </c:dLbl>
            <c:dLbl>
              <c:idx val="5"/>
              <c:layout>
                <c:manualLayout>
                  <c:x val="-8.4955517149486515E-2"/>
                  <c:y val="-5.50779787338869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96D-4F33-844B-5A66F42F5CEB}"/>
                </c:ext>
              </c:extLst>
            </c:dLbl>
            <c:dLbl>
              <c:idx val="6"/>
              <c:layout>
                <c:manualLayout>
                  <c:x val="-1.3116786468764576E-2"/>
                  <c:y val="-3.505875089489205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96D-4F33-844B-5A66F42F5CEB}"/>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VM!$K$30:$S$30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VM!$K$32:$S$32</c:f>
              <c:numCache>
                <c:formatCode>General</c:formatCode>
                <c:ptCount val="9"/>
                <c:pt idx="2">
                  <c:v>89.2</c:v>
                </c:pt>
                <c:pt idx="5">
                  <c:v>100</c:v>
                </c:pt>
                <c:pt idx="6">
                  <c:v>100</c:v>
                </c:pt>
              </c:numCache>
            </c:numRef>
          </c:val>
          <c:smooth val="0"/>
          <c:extLst>
            <c:ext xmlns:c16="http://schemas.microsoft.com/office/drawing/2014/chart" uri="{C3380CC4-5D6E-409C-BE32-E72D297353CC}">
              <c16:uniqueId val="{00000006-A96D-4F33-844B-5A66F42F5CEB}"/>
            </c:ext>
          </c:extLst>
        </c:ser>
        <c:dLbls>
          <c:dLblPos val="t"/>
          <c:showLegendKey val="0"/>
          <c:showVal val="1"/>
          <c:showCatName val="0"/>
          <c:showSerName val="0"/>
          <c:showPercent val="0"/>
          <c:showBubbleSize val="0"/>
        </c:dLbls>
        <c:marker val="1"/>
        <c:smooth val="0"/>
        <c:axId val="2122041408"/>
        <c:axId val="2124545280"/>
      </c:lineChart>
      <c:lineChart>
        <c:grouping val="standard"/>
        <c:varyColors val="0"/>
        <c:ser>
          <c:idx val="2"/>
          <c:order val="2"/>
          <c:tx>
            <c:strRef>
              <c:f>VM!$J$33</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3"/>
              <c:layout>
                <c:manualLayout>
                  <c:x val="-2.9317449308473745E-2"/>
                  <c:y val="5.401928599050510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96D-4F33-844B-5A66F42F5CEB}"/>
                </c:ext>
              </c:extLst>
            </c:dLbl>
            <c:dLbl>
              <c:idx val="5"/>
              <c:layout>
                <c:manualLayout>
                  <c:x val="-2.733883547657588E-3"/>
                  <c:y val="1.498952401594711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96D-4F33-844B-5A66F42F5CEB}"/>
                </c:ext>
              </c:extLst>
            </c:dLbl>
            <c:dLbl>
              <c:idx val="6"/>
              <c:layout>
                <c:manualLayout>
                  <c:x val="-7.9812717770034847E-2"/>
                  <c:y val="-4.610427644048108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96D-4F33-844B-5A66F42F5CEB}"/>
                </c:ext>
              </c:extLst>
            </c:dLbl>
            <c:dLbl>
              <c:idx val="8"/>
              <c:layout>
                <c:manualLayout>
                  <c:x val="-4.7147212543554008E-2"/>
                  <c:y val="-5.716268515578424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A96D-4F33-844B-5A66F42F5CEB}"/>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VM!$K$30:$S$30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VM!$K$33:$S$33</c:f>
              <c:numCache>
                <c:formatCode>#,##0.0</c:formatCode>
                <c:ptCount val="9"/>
                <c:pt idx="0">
                  <c:v>608.69372399999997</c:v>
                </c:pt>
                <c:pt idx="1">
                  <c:v>634.449974</c:v>
                </c:pt>
                <c:pt idx="2">
                  <c:v>665.04608699999994</c:v>
                </c:pt>
                <c:pt idx="3">
                  <c:v>829.193715</c:v>
                </c:pt>
                <c:pt idx="4">
                  <c:v>959.24551499999995</c:v>
                </c:pt>
                <c:pt idx="5">
                  <c:v>1004.235396</c:v>
                </c:pt>
                <c:pt idx="6">
                  <c:v>1188.960198</c:v>
                </c:pt>
                <c:pt idx="7">
                  <c:v>1171.9261309999999</c:v>
                </c:pt>
                <c:pt idx="8">
                  <c:v>1171.4615470000001</c:v>
                </c:pt>
              </c:numCache>
            </c:numRef>
          </c:val>
          <c:smooth val="1"/>
          <c:extLst>
            <c:ext xmlns:c16="http://schemas.microsoft.com/office/drawing/2014/chart" uri="{C3380CC4-5D6E-409C-BE32-E72D297353CC}">
              <c16:uniqueId val="{0000000B-A96D-4F33-844B-5A66F42F5CEB}"/>
            </c:ext>
          </c:extLst>
        </c:ser>
        <c:dLbls>
          <c:dLblPos val="t"/>
          <c:showLegendKey val="0"/>
          <c:showVal val="1"/>
          <c:showCatName val="0"/>
          <c:showSerName val="0"/>
          <c:showPercent val="0"/>
          <c:showBubbleSize val="0"/>
        </c:dLbls>
        <c:marker val="1"/>
        <c:smooth val="0"/>
        <c:axId val="2122088608"/>
        <c:axId val="1890449344"/>
      </c:lineChart>
      <c:catAx>
        <c:axId val="212204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124545280"/>
        <c:crosses val="autoZero"/>
        <c:auto val="1"/>
        <c:lblAlgn val="ctr"/>
        <c:lblOffset val="100"/>
        <c:noMultiLvlLbl val="0"/>
      </c:catAx>
      <c:valAx>
        <c:axId val="2124545280"/>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C hepatīts (skaits uz 100 000 iedzīvotājiem) </a:t>
                </a:r>
              </a:p>
            </c:rich>
          </c:tx>
          <c:layout>
            <c:manualLayout>
              <c:xMode val="edge"/>
              <c:yMode val="edge"/>
              <c:x val="5.9686619207876259E-3"/>
              <c:y val="2.7600799046876821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122041408"/>
        <c:crosses val="autoZero"/>
        <c:crossBetween val="between"/>
        <c:majorUnit val="20"/>
      </c:valAx>
      <c:valAx>
        <c:axId val="1890449344"/>
        <c:scaling>
          <c:orientation val="minMax"/>
          <c:min val="50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7051935865529759"/>
              <c:y val="0.2078575601247336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122088608"/>
        <c:crosses val="max"/>
        <c:crossBetween val="between"/>
        <c:majorUnit val="200"/>
      </c:valAx>
      <c:catAx>
        <c:axId val="2122088608"/>
        <c:scaling>
          <c:orientation val="minMax"/>
        </c:scaling>
        <c:delete val="1"/>
        <c:axPos val="b"/>
        <c:numFmt formatCode="General" sourceLinked="1"/>
        <c:majorTickMark val="out"/>
        <c:minorTickMark val="none"/>
        <c:tickLblPos val="nextTo"/>
        <c:crossAx val="1890449344"/>
        <c:crosses val="autoZero"/>
        <c:auto val="1"/>
        <c:lblAlgn val="ctr"/>
        <c:lblOffset val="100"/>
        <c:noMultiLvlLbl val="0"/>
      </c:catAx>
      <c:spPr>
        <a:noFill/>
        <a:ln>
          <a:noFill/>
        </a:ln>
        <a:effectLst/>
      </c:spPr>
    </c:plotArea>
    <c:legend>
      <c:legendPos val="b"/>
      <c:layout>
        <c:manualLayout>
          <c:xMode val="edge"/>
          <c:yMode val="edge"/>
          <c:x val="9.2974821962585691E-2"/>
          <c:y val="0.82174170623895748"/>
          <c:w val="0.85760436304346976"/>
          <c:h val="0.1782582937610424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254864673375727E-2"/>
          <c:y val="3.9104466022335749E-2"/>
          <c:w val="0.82614820174207115"/>
          <c:h val="0.66046958423247026"/>
        </c:manualLayout>
      </c:layout>
      <c:lineChart>
        <c:grouping val="standard"/>
        <c:varyColors val="0"/>
        <c:ser>
          <c:idx val="0"/>
          <c:order val="0"/>
          <c:tx>
            <c:strRef>
              <c:f>IEM!$R$677</c:f>
              <c:strCache>
                <c:ptCount val="1"/>
                <c:pt idx="0">
                  <c:v>Vidējie veselības aprūpes izdevumi uz vienu amatpersonu (euro)</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2"/>
              <c:layout>
                <c:manualLayout>
                  <c:x val="-8.919706779529081E-2"/>
                  <c:y val="-4.6763044945776263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DC0-4148-BAB4-34AED3EEA5E7}"/>
                </c:ext>
              </c:extLst>
            </c:dLbl>
            <c:dLbl>
              <c:idx val="3"/>
              <c:layout>
                <c:manualLayout>
                  <c:x val="-7.8417973273180563E-2"/>
                  <c:y val="-4.28502187360276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DC0-4148-BAB4-34AED3EEA5E7}"/>
                </c:ext>
              </c:extLst>
            </c:dLbl>
            <c:dLbl>
              <c:idx val="4"/>
              <c:layout>
                <c:manualLayout>
                  <c:x val="9.2392238760944899E-5"/>
                  <c:y val="1.111026224527243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DC0-4148-BAB4-34AED3EEA5E7}"/>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IEM!$S$676:$AA$676</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IEM!$S$677:$AA$677</c:f>
              <c:numCache>
                <c:formatCode>General</c:formatCode>
                <c:ptCount val="9"/>
                <c:pt idx="2" formatCode="0.0">
                  <c:v>226.49</c:v>
                </c:pt>
                <c:pt idx="3" formatCode="0.0">
                  <c:v>240.2</c:v>
                </c:pt>
                <c:pt idx="4" formatCode="0.0">
                  <c:v>265.10000000000002</c:v>
                </c:pt>
                <c:pt idx="5" formatCode="0.0">
                  <c:v>279.2</c:v>
                </c:pt>
              </c:numCache>
            </c:numRef>
          </c:val>
          <c:smooth val="1"/>
          <c:extLst>
            <c:ext xmlns:c16="http://schemas.microsoft.com/office/drawing/2014/chart" uri="{C3380CC4-5D6E-409C-BE32-E72D297353CC}">
              <c16:uniqueId val="{00000003-ADC0-4148-BAB4-34AED3EEA5E7}"/>
            </c:ext>
          </c:extLst>
        </c:ser>
        <c:ser>
          <c:idx val="1"/>
          <c:order val="1"/>
          <c:tx>
            <c:strRef>
              <c:f>IEM!$R$678</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3"/>
              <c:layout>
                <c:manualLayout>
                  <c:x val="-1.6846184867412291E-2"/>
                  <c:y val="-3.1835391276358913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8.4508101053344262E-2"/>
                      <c:h val="6.048987351759845E-2"/>
                    </c:manualLayout>
                  </c15:layout>
                </c:ext>
                <c:ext xmlns:c16="http://schemas.microsoft.com/office/drawing/2014/chart" uri="{C3380CC4-5D6E-409C-BE32-E72D297353CC}">
                  <c16:uniqueId val="{00000004-ADC0-4148-BAB4-34AED3EEA5E7}"/>
                </c:ext>
              </c:extLst>
            </c:dLbl>
            <c:dLbl>
              <c:idx val="4"/>
              <c:layout>
                <c:manualLayout>
                  <c:x val="-2.916515003553833E-2"/>
                  <c:y val="-6.84187257577485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DC0-4148-BAB4-34AED3EEA5E7}"/>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IEM!$S$676:$AA$676</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IEM!$S$678:$AA$678</c:f>
              <c:numCache>
                <c:formatCode>General</c:formatCode>
                <c:ptCount val="9"/>
                <c:pt idx="2" formatCode="0.0">
                  <c:v>232.78</c:v>
                </c:pt>
                <c:pt idx="3" formatCode="0.0">
                  <c:v>232.78</c:v>
                </c:pt>
                <c:pt idx="4" formatCode="0.0">
                  <c:v>235.4</c:v>
                </c:pt>
                <c:pt idx="5" formatCode="0.0">
                  <c:v>247.98</c:v>
                </c:pt>
                <c:pt idx="6" formatCode="0.0">
                  <c:v>247.98</c:v>
                </c:pt>
                <c:pt idx="7" formatCode="0.0">
                  <c:v>247.98</c:v>
                </c:pt>
                <c:pt idx="8" formatCode="0.0">
                  <c:v>247.98</c:v>
                </c:pt>
              </c:numCache>
            </c:numRef>
          </c:val>
          <c:smooth val="0"/>
          <c:extLst>
            <c:ext xmlns:c16="http://schemas.microsoft.com/office/drawing/2014/chart" uri="{C3380CC4-5D6E-409C-BE32-E72D297353CC}">
              <c16:uniqueId val="{00000006-ADC0-4148-BAB4-34AED3EEA5E7}"/>
            </c:ext>
          </c:extLst>
        </c:ser>
        <c:dLbls>
          <c:dLblPos val="t"/>
          <c:showLegendKey val="0"/>
          <c:showVal val="1"/>
          <c:showCatName val="0"/>
          <c:showSerName val="0"/>
          <c:showPercent val="0"/>
          <c:showBubbleSize val="0"/>
        </c:dLbls>
        <c:marker val="1"/>
        <c:smooth val="0"/>
        <c:axId val="363868607"/>
        <c:axId val="619553919"/>
      </c:lineChart>
      <c:lineChart>
        <c:grouping val="standard"/>
        <c:varyColors val="0"/>
        <c:ser>
          <c:idx val="2"/>
          <c:order val="2"/>
          <c:tx>
            <c:strRef>
              <c:f>IEM!$R$679</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5"/>
              <c:layout>
                <c:manualLayout>
                  <c:x val="-3.2944131900831328E-2"/>
                  <c:y val="-5.3235770374979625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9247982951328196E-2"/>
                      <c:h val="7.9576830638323451E-2"/>
                    </c:manualLayout>
                  </c15:layout>
                </c:ext>
                <c:ext xmlns:c16="http://schemas.microsoft.com/office/drawing/2014/chart" uri="{C3380CC4-5D6E-409C-BE32-E72D297353CC}">
                  <c16:uniqueId val="{00000007-ADC0-4148-BAB4-34AED3EEA5E7}"/>
                </c:ext>
              </c:extLst>
            </c:dLbl>
            <c:spPr>
              <a:noFill/>
              <a:ln>
                <a:noFill/>
              </a:ln>
              <a:effectLst/>
            </c:spPr>
            <c:txPr>
              <a:bodyPr rot="0" spcFirstLastPara="1" vertOverflow="ellipsis" vert="horz" wrap="square" anchor="ctr" anchorCtr="1"/>
              <a:lstStyle/>
              <a:p>
                <a:pPr>
                  <a:defRPr sz="1000" b="1" i="0" u="none" strike="noStrike" kern="1200" baseline="0">
                    <a:solidFill>
                      <a:schemeClr val="accent5">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IEM!$S$676:$AA$676</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IEM!$S$679:$AA$679</c:f>
              <c:numCache>
                <c:formatCode>#,##0.0</c:formatCode>
                <c:ptCount val="9"/>
                <c:pt idx="0">
                  <c:v>3.8827299999999996</c:v>
                </c:pt>
                <c:pt idx="1">
                  <c:v>4.3838910000000055</c:v>
                </c:pt>
                <c:pt idx="2">
                  <c:v>4.8160620000000032</c:v>
                </c:pt>
                <c:pt idx="3">
                  <c:v>5.0140219999999953</c:v>
                </c:pt>
                <c:pt idx="4">
                  <c:v>5.1994200000000026</c:v>
                </c:pt>
                <c:pt idx="5">
                  <c:v>5.2982052899999967</c:v>
                </c:pt>
                <c:pt idx="6">
                  <c:v>5.6576649999999997</c:v>
                </c:pt>
                <c:pt idx="7">
                  <c:v>5.6577450000000002</c:v>
                </c:pt>
                <c:pt idx="8">
                  <c:v>5.6577450000000002</c:v>
                </c:pt>
              </c:numCache>
            </c:numRef>
          </c:val>
          <c:smooth val="1"/>
          <c:extLst>
            <c:ext xmlns:c16="http://schemas.microsoft.com/office/drawing/2014/chart" uri="{C3380CC4-5D6E-409C-BE32-E72D297353CC}">
              <c16:uniqueId val="{00000008-ADC0-4148-BAB4-34AED3EEA5E7}"/>
            </c:ext>
          </c:extLst>
        </c:ser>
        <c:dLbls>
          <c:dLblPos val="t"/>
          <c:showLegendKey val="0"/>
          <c:showVal val="1"/>
          <c:showCatName val="0"/>
          <c:showSerName val="0"/>
          <c:showPercent val="0"/>
          <c:showBubbleSize val="0"/>
        </c:dLbls>
        <c:marker val="1"/>
        <c:smooth val="0"/>
        <c:axId val="507570095"/>
        <c:axId val="619549343"/>
      </c:lineChart>
      <c:catAx>
        <c:axId val="36386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19553919"/>
        <c:crosses val="autoZero"/>
        <c:auto val="1"/>
        <c:lblAlgn val="ctr"/>
        <c:lblOffset val="100"/>
        <c:noMultiLvlLbl val="0"/>
      </c:catAx>
      <c:valAx>
        <c:axId val="619553919"/>
        <c:scaling>
          <c:orientation val="minMax"/>
          <c:max val="290"/>
          <c:min val="2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Veselības aprūpes izdevumi </a:t>
                </a:r>
                <a:r>
                  <a:rPr lang="lv-LV" sz="900" i="1"/>
                  <a:t>euro</a:t>
                </a:r>
              </a:p>
            </c:rich>
          </c:tx>
          <c:layout>
            <c:manualLayout>
              <c:xMode val="edge"/>
              <c:yMode val="edge"/>
              <c:x val="0"/>
              <c:y val="7.0747789411771039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63868607"/>
        <c:crosses val="autoZero"/>
        <c:crossBetween val="between"/>
        <c:majorUnit val="10"/>
      </c:valAx>
      <c:valAx>
        <c:axId val="619549343"/>
        <c:scaling>
          <c:orientation val="minMax"/>
          <c:min val="3.5"/>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manualLayout>
              <c:xMode val="edge"/>
              <c:yMode val="edge"/>
              <c:x val="0.9739985029369076"/>
              <c:y val="0.1909557380477950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07570095"/>
        <c:crosses val="max"/>
        <c:crossBetween val="between"/>
      </c:valAx>
      <c:catAx>
        <c:axId val="507570095"/>
        <c:scaling>
          <c:orientation val="minMax"/>
        </c:scaling>
        <c:delete val="1"/>
        <c:axPos val="b"/>
        <c:numFmt formatCode="General" sourceLinked="1"/>
        <c:majorTickMark val="out"/>
        <c:minorTickMark val="none"/>
        <c:tickLblPos val="nextTo"/>
        <c:crossAx val="619549343"/>
        <c:crosses val="autoZero"/>
        <c:auto val="1"/>
        <c:lblAlgn val="ctr"/>
        <c:lblOffset val="100"/>
        <c:noMultiLvlLbl val="0"/>
      </c:catAx>
      <c:spPr>
        <a:noFill/>
        <a:ln>
          <a:noFill/>
        </a:ln>
        <a:effectLst/>
      </c:spPr>
    </c:plotArea>
    <c:legend>
      <c:legendPos val="b"/>
      <c:layout>
        <c:manualLayout>
          <c:xMode val="edge"/>
          <c:yMode val="edge"/>
          <c:x val="0.13813002186812712"/>
          <c:y val="0.79823207685881792"/>
          <c:w val="0.78250925033658902"/>
          <c:h val="0.182680966020457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241056659681469E-2"/>
          <c:y val="5.1818642910230403E-2"/>
          <c:w val="0.80593394021095177"/>
          <c:h val="0.77094840756845695"/>
        </c:manualLayout>
      </c:layout>
      <c:lineChart>
        <c:grouping val="standard"/>
        <c:varyColors val="0"/>
        <c:ser>
          <c:idx val="0"/>
          <c:order val="0"/>
          <c:tx>
            <c:strRef>
              <c:f>TM!$Z$470</c:f>
              <c:strCache>
                <c:ptCount val="1"/>
                <c:pt idx="0">
                  <c:v>Veikto ekspertīžu skaits</c:v>
                </c:pt>
              </c:strCache>
            </c:strRef>
          </c:tx>
          <c:spPr>
            <a:ln w="50800" cap="rnd">
              <a:solidFill>
                <a:srgbClr val="F79646"/>
              </a:solidFill>
              <a:round/>
            </a:ln>
            <a:effectLst>
              <a:outerShdw blurRad="50800" dist="38100" dir="5400000" algn="t" rotWithShape="0">
                <a:prstClr val="black">
                  <a:alpha val="40000"/>
                </a:prstClr>
              </a:outerShdw>
            </a:effectLst>
          </c:spPr>
          <c:marker>
            <c:symbol val="none"/>
          </c:marker>
          <c:dLbls>
            <c:dLbl>
              <c:idx val="1"/>
              <c:layout>
                <c:manualLayout>
                  <c:x val="-2.4911785155948218E-2"/>
                  <c:y val="-4.339063250896454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396-4EE4-88C7-CA5A30A599D8}"/>
                </c:ext>
              </c:extLst>
            </c:dLbl>
            <c:dLbl>
              <c:idx val="2"/>
              <c:layout>
                <c:manualLayout>
                  <c:x val="-2.9765185756807408E-2"/>
                  <c:y val="-6.690140845070421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396-4EE4-88C7-CA5A30A599D8}"/>
                </c:ext>
              </c:extLst>
            </c:dLbl>
            <c:dLbl>
              <c:idx val="3"/>
              <c:layout>
                <c:manualLayout>
                  <c:x val="-3.5935928028839853E-2"/>
                  <c:y val="-5.348896528778972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396-4EE4-88C7-CA5A30A599D8}"/>
                </c:ext>
              </c:extLst>
            </c:dLbl>
            <c:dLbl>
              <c:idx val="4"/>
              <c:layout>
                <c:manualLayout>
                  <c:x val="-3.8849773918266911E-2"/>
                  <c:y val="-5.293149975971313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396-4EE4-88C7-CA5A30A599D8}"/>
                </c:ext>
              </c:extLst>
            </c:dLbl>
            <c:dLbl>
              <c:idx val="5"/>
              <c:layout>
                <c:manualLayout>
                  <c:x val="-1.9659952934722398E-2"/>
                  <c:y val="-5.871723781006247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396-4EE4-88C7-CA5A30A599D8}"/>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TM!$AA$469:$AI$469</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TM!$AA$470:$AI$470</c:f>
              <c:numCache>
                <c:formatCode>General</c:formatCode>
                <c:ptCount val="9"/>
                <c:pt idx="1">
                  <c:v>2029</c:v>
                </c:pt>
                <c:pt idx="2">
                  <c:v>1793</c:v>
                </c:pt>
                <c:pt idx="3">
                  <c:v>1792</c:v>
                </c:pt>
                <c:pt idx="4" formatCode="#,##0">
                  <c:v>1733</c:v>
                </c:pt>
                <c:pt idx="5" formatCode="#,##0">
                  <c:v>1598</c:v>
                </c:pt>
              </c:numCache>
            </c:numRef>
          </c:val>
          <c:smooth val="1"/>
          <c:extLst>
            <c:ext xmlns:c16="http://schemas.microsoft.com/office/drawing/2014/chart" uri="{C3380CC4-5D6E-409C-BE32-E72D297353CC}">
              <c16:uniqueId val="{00000005-6396-4EE4-88C7-CA5A30A599D8}"/>
            </c:ext>
          </c:extLst>
        </c:ser>
        <c:ser>
          <c:idx val="1"/>
          <c:order val="1"/>
          <c:tx>
            <c:strRef>
              <c:f>TM!$Z$471</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solidFill>
                  <a:schemeClr val="accent6"/>
                </a:solidFill>
              </a:ln>
              <a:effectLst>
                <a:outerShdw blurRad="50800" dist="38100" dir="2700000" algn="tl" rotWithShape="0">
                  <a:prstClr val="black">
                    <a:alpha val="40000"/>
                  </a:prstClr>
                </a:outerShdw>
              </a:effectLst>
            </c:spPr>
          </c:marker>
          <c:dLbls>
            <c:dLbl>
              <c:idx val="1"/>
              <c:layout>
                <c:manualLayout>
                  <c:x val="-9.1500385845000531E-2"/>
                  <c:y val="-5.04694835680751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6396-4EE4-88C7-CA5A30A599D8}"/>
                </c:ext>
              </c:extLst>
            </c:dLbl>
            <c:dLbl>
              <c:idx val="2"/>
              <c:layout>
                <c:manualLayout>
                  <c:x val="-5.181347150259067E-2"/>
                  <c:y val="-6.455399061032865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396-4EE4-88C7-CA5A30A599D8}"/>
                </c:ext>
              </c:extLst>
            </c:dLbl>
            <c:dLbl>
              <c:idx val="3"/>
              <c:layout>
                <c:manualLayout>
                  <c:x val="-5.181347150259067E-2"/>
                  <c:y val="-6.924882629107982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6396-4EE4-88C7-CA5A30A599D8}"/>
                </c:ext>
              </c:extLst>
            </c:dLbl>
            <c:dLbl>
              <c:idx val="4"/>
              <c:layout>
                <c:manualLayout>
                  <c:x val="-5.1813471502590754E-2"/>
                  <c:y val="-6.455399061032865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6396-4EE4-88C7-CA5A30A599D8}"/>
                </c:ext>
              </c:extLst>
            </c:dLbl>
            <c:dLbl>
              <c:idx val="5"/>
              <c:layout>
                <c:manualLayout>
                  <c:x val="-5.4018300077169082E-2"/>
                  <c:y val="-6.924882629107982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6396-4EE4-88C7-CA5A30A599D8}"/>
                </c:ext>
              </c:extLst>
            </c:dLbl>
            <c:dLbl>
              <c:idx val="6"/>
              <c:layout>
                <c:manualLayout>
                  <c:x val="-5.181347150259067E-2"/>
                  <c:y val="-7.394366197183098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6396-4EE4-88C7-CA5A30A599D8}"/>
                </c:ext>
              </c:extLst>
            </c:dLbl>
            <c:dLbl>
              <c:idx val="7"/>
              <c:layout>
                <c:manualLayout>
                  <c:x val="-5.6223128651747327E-2"/>
                  <c:y val="-7.394366197183098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6396-4EE4-88C7-CA5A30A599D8}"/>
                </c:ext>
              </c:extLst>
            </c:dLbl>
            <c:dLbl>
              <c:idx val="8"/>
              <c:layout>
                <c:manualLayout>
                  <c:x val="-5.4018300077168999E-2"/>
                  <c:y val="-6.924882629107982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6396-4EE4-88C7-CA5A30A599D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TM!$AA$469:$AI$469</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TM!$AA$471:$AI$471</c:f>
              <c:numCache>
                <c:formatCode>General</c:formatCode>
                <c:ptCount val="9"/>
                <c:pt idx="1">
                  <c:v>2000</c:v>
                </c:pt>
                <c:pt idx="2">
                  <c:v>2000</c:v>
                </c:pt>
                <c:pt idx="3">
                  <c:v>2000</c:v>
                </c:pt>
                <c:pt idx="4">
                  <c:v>2000</c:v>
                </c:pt>
                <c:pt idx="5">
                  <c:v>2000</c:v>
                </c:pt>
                <c:pt idx="6">
                  <c:v>2000</c:v>
                </c:pt>
                <c:pt idx="7">
                  <c:v>2000</c:v>
                </c:pt>
                <c:pt idx="8">
                  <c:v>2000</c:v>
                </c:pt>
              </c:numCache>
            </c:numRef>
          </c:val>
          <c:smooth val="0"/>
          <c:extLst>
            <c:ext xmlns:c16="http://schemas.microsoft.com/office/drawing/2014/chart" uri="{C3380CC4-5D6E-409C-BE32-E72D297353CC}">
              <c16:uniqueId val="{0000000E-6396-4EE4-88C7-CA5A30A599D8}"/>
            </c:ext>
          </c:extLst>
        </c:ser>
        <c:dLbls>
          <c:dLblPos val="t"/>
          <c:showLegendKey val="0"/>
          <c:showVal val="1"/>
          <c:showCatName val="0"/>
          <c:showSerName val="0"/>
          <c:showPercent val="0"/>
          <c:showBubbleSize val="0"/>
        </c:dLbls>
        <c:marker val="1"/>
        <c:smooth val="0"/>
        <c:axId val="1811220336"/>
        <c:axId val="1800325728"/>
      </c:lineChart>
      <c:lineChart>
        <c:grouping val="standard"/>
        <c:varyColors val="0"/>
        <c:ser>
          <c:idx val="3"/>
          <c:order val="2"/>
          <c:tx>
            <c:strRef>
              <c:f>TM!$Z$473</c:f>
              <c:strCache>
                <c:ptCount val="1"/>
                <c:pt idx="0">
                  <c:v>Izdevumi</c:v>
                </c:pt>
              </c:strCache>
            </c:strRef>
          </c:tx>
          <c:spPr>
            <a:ln w="38100" cap="rnd">
              <a:solidFill>
                <a:srgbClr val="4F81BD"/>
              </a:solidFill>
              <a:prstDash val="dash"/>
              <a:round/>
            </a:ln>
            <a:effectLst>
              <a:outerShdw blurRad="50800" dist="38100" dir="5400000" algn="t" rotWithShape="0">
                <a:prstClr val="black">
                  <a:alpha val="40000"/>
                </a:prstClr>
              </a:outerShdw>
            </a:effectLst>
          </c:spPr>
          <c:marker>
            <c:symbol val="none"/>
          </c:marker>
          <c:dLbls>
            <c:dLbl>
              <c:idx val="1"/>
              <c:layout>
                <c:manualLayout>
                  <c:x val="-4.9838817762069706E-2"/>
                  <c:y val="-7.36223334270735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6396-4EE4-88C7-CA5A30A599D8}"/>
                </c:ext>
              </c:extLst>
            </c:dLbl>
            <c:dLbl>
              <c:idx val="2"/>
              <c:layout>
                <c:manualLayout>
                  <c:x val="-2.9349740498621154E-2"/>
                  <c:y val="7.023326309563417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6396-4EE4-88C7-CA5A30A599D8}"/>
                </c:ext>
              </c:extLst>
            </c:dLbl>
            <c:dLbl>
              <c:idx val="3"/>
              <c:layout>
                <c:manualLayout>
                  <c:x val="-7.2587635191763825E-2"/>
                  <c:y val="1.805680402948797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6396-4EE4-88C7-CA5A30A599D8}"/>
                </c:ext>
              </c:extLst>
            </c:dLbl>
            <c:dLbl>
              <c:idx val="4"/>
              <c:layout>
                <c:manualLayout>
                  <c:x val="-7.0059988810686646E-2"/>
                  <c:y val="6.98754469397183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6396-4EE4-88C7-CA5A30A599D8}"/>
                </c:ext>
              </c:extLst>
            </c:dLbl>
            <c:dLbl>
              <c:idx val="5"/>
              <c:layout>
                <c:manualLayout>
                  <c:x val="-1.5529979158293752E-2"/>
                  <c:y val="3.48009315736941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6396-4EE4-88C7-CA5A30A599D8}"/>
                </c:ext>
              </c:extLst>
            </c:dLbl>
            <c:dLbl>
              <c:idx val="6"/>
              <c:layout>
                <c:manualLayout>
                  <c:x val="-2.7009150038584499E-2"/>
                  <c:y val="3.873239436619713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6396-4EE4-88C7-CA5A30A599D8}"/>
                </c:ext>
              </c:extLst>
            </c:dLbl>
            <c:dLbl>
              <c:idx val="7"/>
              <c:layout>
                <c:manualLayout>
                  <c:x val="-3.8033292911476134E-2"/>
                  <c:y val="3.873239436619713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6396-4EE4-88C7-CA5A30A599D8}"/>
                </c:ext>
              </c:extLst>
            </c:dLbl>
            <c:dLbl>
              <c:idx val="8"/>
              <c:layout>
                <c:manualLayout>
                  <c:x val="-3.8033292911476134E-2"/>
                  <c:y val="5.28169014084507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6396-4EE4-88C7-CA5A30A599D8}"/>
                </c:ext>
              </c:extLst>
            </c:dLbl>
            <c:spPr>
              <a:noFill/>
              <a:ln>
                <a:noFill/>
              </a:ln>
              <a:effectLst/>
            </c:spPr>
            <c:txPr>
              <a:bodyPr rot="0" spcFirstLastPara="1" vertOverflow="ellipsis" vert="horz" wrap="square" anchor="ctr" anchorCtr="1"/>
              <a:lstStyle/>
              <a:p>
                <a:pPr>
                  <a:defRPr sz="1000" b="1" i="0" u="none" strike="noStrike" kern="1200" baseline="0">
                    <a:solidFill>
                      <a:schemeClr val="accent5">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TM!$AA$469:$AI$469</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TM!$AA$473:$AI$473</c:f>
              <c:numCache>
                <c:formatCode>#,##0.00</c:formatCode>
                <c:ptCount val="9"/>
                <c:pt idx="0">
                  <c:v>0.9319059999999999</c:v>
                </c:pt>
                <c:pt idx="1">
                  <c:v>0.95346399999999942</c:v>
                </c:pt>
                <c:pt idx="2">
                  <c:v>1.2438630000000022</c:v>
                </c:pt>
                <c:pt idx="3">
                  <c:v>1.1302320000000006</c:v>
                </c:pt>
                <c:pt idx="4">
                  <c:v>1.0831969999999997</c:v>
                </c:pt>
                <c:pt idx="5">
                  <c:v>1.4156267999999999</c:v>
                </c:pt>
                <c:pt idx="6">
                  <c:v>1.449568</c:v>
                </c:pt>
                <c:pt idx="7">
                  <c:v>1.449568</c:v>
                </c:pt>
                <c:pt idx="8">
                  <c:v>1.449568</c:v>
                </c:pt>
              </c:numCache>
            </c:numRef>
          </c:val>
          <c:smooth val="1"/>
          <c:extLst>
            <c:ext xmlns:c16="http://schemas.microsoft.com/office/drawing/2014/chart" uri="{C3380CC4-5D6E-409C-BE32-E72D297353CC}">
              <c16:uniqueId val="{00000017-6396-4EE4-88C7-CA5A30A599D8}"/>
            </c:ext>
          </c:extLst>
        </c:ser>
        <c:dLbls>
          <c:dLblPos val="t"/>
          <c:showLegendKey val="0"/>
          <c:showVal val="1"/>
          <c:showCatName val="0"/>
          <c:showSerName val="0"/>
          <c:showPercent val="0"/>
          <c:showBubbleSize val="0"/>
        </c:dLbls>
        <c:marker val="1"/>
        <c:smooth val="0"/>
        <c:axId val="1701915344"/>
        <c:axId val="1800329056"/>
      </c:lineChart>
      <c:catAx>
        <c:axId val="181122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800325728"/>
        <c:crosses val="autoZero"/>
        <c:auto val="1"/>
        <c:lblAlgn val="ctr"/>
        <c:lblOffset val="100"/>
        <c:noMultiLvlLbl val="0"/>
      </c:catAx>
      <c:valAx>
        <c:axId val="1800325728"/>
        <c:scaling>
          <c:orientation val="minMax"/>
          <c:min val="1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a:t>Ekspertīžu skaits</a:t>
                </a:r>
              </a:p>
            </c:rich>
          </c:tx>
          <c:layout>
            <c:manualLayout>
              <c:xMode val="edge"/>
              <c:yMode val="edge"/>
              <c:x val="0"/>
              <c:y val="0.232044097607959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811220336"/>
        <c:crosses val="autoZero"/>
        <c:crossBetween val="between"/>
      </c:valAx>
      <c:valAx>
        <c:axId val="1800329056"/>
        <c:scaling>
          <c:orientation val="minMax"/>
          <c:max val="1.6"/>
          <c:min val="0.9"/>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a:t>Izdevumi milj. </a:t>
                </a:r>
                <a:r>
                  <a:rPr lang="lv-LV" i="1"/>
                  <a:t>euro</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01915344"/>
        <c:crosses val="max"/>
        <c:crossBetween val="between"/>
      </c:valAx>
      <c:catAx>
        <c:axId val="1701915344"/>
        <c:scaling>
          <c:orientation val="minMax"/>
        </c:scaling>
        <c:delete val="1"/>
        <c:axPos val="b"/>
        <c:numFmt formatCode="General" sourceLinked="1"/>
        <c:majorTickMark val="out"/>
        <c:minorTickMark val="none"/>
        <c:tickLblPos val="nextTo"/>
        <c:crossAx val="1800329056"/>
        <c:crosses val="autoZero"/>
        <c:auto val="1"/>
        <c:lblAlgn val="ctr"/>
        <c:lblOffset val="100"/>
        <c:noMultiLvlLbl val="0"/>
      </c:catAx>
      <c:spPr>
        <a:noFill/>
        <a:ln>
          <a:noFill/>
        </a:ln>
        <a:effectLst/>
      </c:spPr>
    </c:plotArea>
    <c:legend>
      <c:legendPos val="b"/>
      <c:layout>
        <c:manualLayout>
          <c:xMode val="edge"/>
          <c:yMode val="edge"/>
          <c:x val="2.765027829706981E-2"/>
          <c:y val="0.91405789065099252"/>
          <c:w val="0.9325257432447398"/>
          <c:h val="8.594210934900743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77562956320442E-2"/>
          <c:y val="7.1428571428571425E-2"/>
          <c:w val="0.89545953491255426"/>
          <c:h val="0.66538909908988653"/>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6E84-422D-95D2-068E0C8F0BEF}"/>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6E84-422D-95D2-068E0C8F0BEF}"/>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6E84-422D-95D2-068E0C8F0BEF}"/>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Sheet1!$P$55:$X$56</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Sheet1!$P$57:$X$57</c:f>
              <c:numCache>
                <c:formatCode>#,##0.0</c:formatCode>
                <c:ptCount val="9"/>
                <c:pt idx="0">
                  <c:v>3.794718</c:v>
                </c:pt>
                <c:pt idx="1">
                  <c:v>3.7339689999999996</c:v>
                </c:pt>
                <c:pt idx="2">
                  <c:v>5.9864509999999997</c:v>
                </c:pt>
                <c:pt idx="3">
                  <c:v>4.1126019999999999</c:v>
                </c:pt>
                <c:pt idx="4">
                  <c:v>4.708367</c:v>
                </c:pt>
                <c:pt idx="5">
                  <c:v>4.1594589399999986</c:v>
                </c:pt>
                <c:pt idx="6">
                  <c:v>7.7179080000000004</c:v>
                </c:pt>
                <c:pt idx="7">
                  <c:v>6.2183619999999999</c:v>
                </c:pt>
                <c:pt idx="8">
                  <c:v>5.5263520000000002</c:v>
                </c:pt>
              </c:numCache>
            </c:numRef>
          </c:val>
          <c:extLst>
            <c:ext xmlns:c16="http://schemas.microsoft.com/office/drawing/2014/chart" uri="{C3380CC4-5D6E-409C-BE32-E72D297353CC}">
              <c16:uniqueId val="{00000006-6E84-422D-95D2-068E0C8F0BEF}"/>
            </c:ext>
          </c:extLst>
        </c:ser>
        <c:dLbls>
          <c:showLegendKey val="0"/>
          <c:showVal val="1"/>
          <c:showCatName val="0"/>
          <c:showSerName val="0"/>
          <c:showPercent val="0"/>
          <c:showBubbleSize val="0"/>
        </c:dLbls>
        <c:gapWidth val="70"/>
        <c:overlap val="10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327332981111241E-2"/>
          <c:y val="6.7201946472019464E-2"/>
          <c:w val="0.85285314637657905"/>
          <c:h val="0.65275590551181106"/>
        </c:manualLayout>
      </c:layout>
      <c:lineChart>
        <c:grouping val="standard"/>
        <c:varyColors val="0"/>
        <c:ser>
          <c:idx val="1"/>
          <c:order val="0"/>
          <c:tx>
            <c:strRef>
              <c:f>ZM!$T$8</c:f>
              <c:strCache>
                <c:ptCount val="1"/>
                <c:pt idx="0">
                  <c:v>Lauksaimniecības un mežsaimniecības traktortehnikas reģistrācija (skaits tūkst.)</c:v>
                </c:pt>
              </c:strCache>
            </c:strRef>
          </c:tx>
          <c:spPr>
            <a:ln w="50800" cap="rnd">
              <a:solidFill>
                <a:schemeClr val="accent2"/>
              </a:solidFill>
              <a:round/>
            </a:ln>
            <a:effectLst>
              <a:outerShdw blurRad="50800" dist="38100" dir="5400000" algn="t" rotWithShape="0">
                <a:prstClr val="black">
                  <a:alpha val="40000"/>
                </a:prstClr>
              </a:outerShdw>
            </a:effectLst>
          </c:spPr>
          <c:marker>
            <c:symbol val="none"/>
          </c:marker>
          <c:dLbls>
            <c:dLbl>
              <c:idx val="1"/>
              <c:layout>
                <c:manualLayout>
                  <c:x val="-2.1708881032137545E-2"/>
                  <c:y val="-5.613042895185547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B89-4095-86F9-D81D0BF69E8A}"/>
                </c:ext>
              </c:extLst>
            </c:dLbl>
            <c:dLbl>
              <c:idx val="2"/>
              <c:layout>
                <c:manualLayout>
                  <c:x val="-7.765684013343553E-3"/>
                  <c:y val="-2.63237350805601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B89-4095-86F9-D81D0BF69E8A}"/>
                </c:ext>
              </c:extLst>
            </c:dLbl>
            <c:spPr>
              <a:noFill/>
              <a:ln>
                <a:noFill/>
              </a:ln>
              <a:effectLst/>
            </c:spPr>
            <c:txPr>
              <a:bodyPr rot="0" spcFirstLastPara="1" vertOverflow="ellipsis" vert="horz" wrap="square" anchor="ctr" anchorCtr="1"/>
              <a:lstStyle/>
              <a:p>
                <a:pPr>
                  <a:defRPr sz="1000" b="1" i="0" u="none" strike="noStrike" kern="1200" baseline="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ZM!$U$6:$AC$6</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ZM!$U$8:$AC$8</c:f>
              <c:numCache>
                <c:formatCode>#,##0.0</c:formatCode>
                <c:ptCount val="9"/>
                <c:pt idx="1">
                  <c:v>14.957000000000001</c:v>
                </c:pt>
                <c:pt idx="2">
                  <c:v>14.65</c:v>
                </c:pt>
                <c:pt idx="3">
                  <c:v>13.86</c:v>
                </c:pt>
                <c:pt idx="4">
                  <c:v>12.962999999999999</c:v>
                </c:pt>
                <c:pt idx="5">
                  <c:v>12.897</c:v>
                </c:pt>
              </c:numCache>
            </c:numRef>
          </c:val>
          <c:smooth val="1"/>
          <c:extLst>
            <c:ext xmlns:c16="http://schemas.microsoft.com/office/drawing/2014/chart" uri="{C3380CC4-5D6E-409C-BE32-E72D297353CC}">
              <c16:uniqueId val="{00000002-8B89-4095-86F9-D81D0BF69E8A}"/>
            </c:ext>
          </c:extLst>
        </c:ser>
        <c:ser>
          <c:idx val="0"/>
          <c:order val="1"/>
          <c:tx>
            <c:strRef>
              <c:f>ZM!$T$7</c:f>
              <c:strCache>
                <c:ptCount val="1"/>
                <c:pt idx="0">
                  <c:v>Rādītāja plānotās vērtības</c:v>
                </c:pt>
              </c:strCache>
            </c:strRef>
          </c:tx>
          <c:spPr>
            <a:ln w="28575" cap="rnd">
              <a:noFill/>
              <a:round/>
            </a:ln>
            <a:effectLst>
              <a:outerShdw blurRad="50800" dist="38100" dir="2700000" algn="tl" rotWithShape="0">
                <a:prstClr val="black">
                  <a:alpha val="40000"/>
                </a:prstClr>
              </a:outerShdw>
            </a:effectLst>
          </c:spPr>
          <c:marker>
            <c:symbol val="diamond"/>
            <c:size val="15"/>
            <c:spPr>
              <a:solidFill>
                <a:schemeClr val="accent6"/>
              </a:solidFill>
              <a:ln w="9525">
                <a:noFill/>
              </a:ln>
              <a:effectLst>
                <a:outerShdw blurRad="50800" dist="38100" dir="2700000" algn="tl" rotWithShape="0">
                  <a:prstClr val="black">
                    <a:alpha val="40000"/>
                  </a:prstClr>
                </a:outerShdw>
              </a:effectLst>
            </c:spPr>
          </c:marker>
          <c:dLbls>
            <c:dLbl>
              <c:idx val="0"/>
              <c:layout>
                <c:manualLayout>
                  <c:x val="-5.4073323585718439E-2"/>
                  <c:y val="6.12129528587173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89-4095-86F9-D81D0BF69E8A}"/>
                </c:ext>
              </c:extLst>
            </c:dLbl>
            <c:dLbl>
              <c:idx val="1"/>
              <c:layout>
                <c:manualLayout>
                  <c:x val="-8.9295557270422224E-2"/>
                  <c:y val="-4.74452554744525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B89-4095-86F9-D81D0BF69E8A}"/>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ZM!$U$6:$AC$6</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ZM!$U$7:$AC$7</c:f>
              <c:numCache>
                <c:formatCode>#,##0.0</c:formatCode>
                <c:ptCount val="9"/>
                <c:pt idx="1">
                  <c:v>14.5</c:v>
                </c:pt>
                <c:pt idx="2">
                  <c:v>15</c:v>
                </c:pt>
                <c:pt idx="3">
                  <c:v>15.5</c:v>
                </c:pt>
                <c:pt idx="4">
                  <c:v>15.5</c:v>
                </c:pt>
                <c:pt idx="5">
                  <c:v>15.5</c:v>
                </c:pt>
                <c:pt idx="6">
                  <c:v>15.5</c:v>
                </c:pt>
                <c:pt idx="7">
                  <c:v>15.5</c:v>
                </c:pt>
                <c:pt idx="8">
                  <c:v>15.5</c:v>
                </c:pt>
              </c:numCache>
            </c:numRef>
          </c:val>
          <c:smooth val="0"/>
          <c:extLst>
            <c:ext xmlns:c16="http://schemas.microsoft.com/office/drawing/2014/chart" uri="{C3380CC4-5D6E-409C-BE32-E72D297353CC}">
              <c16:uniqueId val="{00000005-8B89-4095-86F9-D81D0BF69E8A}"/>
            </c:ext>
          </c:extLst>
        </c:ser>
        <c:dLbls>
          <c:showLegendKey val="0"/>
          <c:showVal val="0"/>
          <c:showCatName val="0"/>
          <c:showSerName val="0"/>
          <c:showPercent val="0"/>
          <c:showBubbleSize val="0"/>
        </c:dLbls>
        <c:marker val="1"/>
        <c:smooth val="0"/>
        <c:axId val="1023808320"/>
        <c:axId val="1104184784"/>
      </c:lineChart>
      <c:lineChart>
        <c:grouping val="standard"/>
        <c:varyColors val="0"/>
        <c:ser>
          <c:idx val="2"/>
          <c:order val="2"/>
          <c:tx>
            <c:strRef>
              <c:f>ZM!$T$9</c:f>
              <c:strCache>
                <c:ptCount val="1"/>
                <c:pt idx="0">
                  <c:v>Izdevumi</c:v>
                </c:pt>
              </c:strCache>
            </c:strRef>
          </c:tx>
          <c:spPr>
            <a:ln w="38100" cap="rnd">
              <a:solidFill>
                <a:schemeClr val="accent1"/>
              </a:solidFill>
              <a:prstDash val="dash"/>
              <a:round/>
            </a:ln>
            <a:effectLst>
              <a:outerShdw blurRad="50800" dist="38100" dir="5400000" algn="t" rotWithShape="0">
                <a:prstClr val="black">
                  <a:alpha val="40000"/>
                </a:prstClr>
              </a:outerShdw>
            </a:effectLst>
          </c:spPr>
          <c:marker>
            <c:symbol val="none"/>
          </c:marker>
          <c:dLbls>
            <c:dLbl>
              <c:idx val="2"/>
              <c:layout>
                <c:manualLayout>
                  <c:x val="-7.3967583855053962E-2"/>
                  <c:y val="-2.36690446330168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B89-4095-86F9-D81D0BF69E8A}"/>
                </c:ext>
              </c:extLst>
            </c:dLbl>
            <c:dLbl>
              <c:idx val="3"/>
              <c:layout>
                <c:manualLayout>
                  <c:x val="-1.8500385137296519E-2"/>
                  <c:y val="-6.285166543902839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B89-4095-86F9-D81D0BF69E8A}"/>
                </c:ext>
              </c:extLst>
            </c:dLbl>
            <c:spPr>
              <a:noFill/>
              <a:ln>
                <a:noFill/>
              </a:ln>
              <a:effectLst/>
            </c:spPr>
            <c:txPr>
              <a:bodyPr rot="0" spcFirstLastPara="1" vertOverflow="ellipsis" vert="horz" wrap="square" anchor="ctr" anchorCtr="1"/>
              <a:lstStyle/>
              <a:p>
                <a:pPr>
                  <a:defRPr sz="1000" b="1" i="0" u="none" strike="noStrike" kern="1200" baseline="0">
                    <a:solidFill>
                      <a:schemeClr val="accent5">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ZM!$U$6:$AC$6</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ZM!$U$9:$AC$9</c:f>
              <c:numCache>
                <c:formatCode>#,##0.0</c:formatCode>
                <c:ptCount val="9"/>
                <c:pt idx="0">
                  <c:v>17.192204000000011</c:v>
                </c:pt>
                <c:pt idx="1">
                  <c:v>17.008327999999988</c:v>
                </c:pt>
                <c:pt idx="2">
                  <c:v>17.902013000000004</c:v>
                </c:pt>
                <c:pt idx="3">
                  <c:v>18.753240999999981</c:v>
                </c:pt>
                <c:pt idx="4">
                  <c:v>18.798244999999994</c:v>
                </c:pt>
                <c:pt idx="5">
                  <c:v>18.815539119999997</c:v>
                </c:pt>
                <c:pt idx="6">
                  <c:v>19.181571000000002</c:v>
                </c:pt>
                <c:pt idx="7">
                  <c:v>19.194913</c:v>
                </c:pt>
                <c:pt idx="8">
                  <c:v>19.194913</c:v>
                </c:pt>
              </c:numCache>
            </c:numRef>
          </c:val>
          <c:smooth val="1"/>
          <c:extLst>
            <c:ext xmlns:c16="http://schemas.microsoft.com/office/drawing/2014/chart" uri="{C3380CC4-5D6E-409C-BE32-E72D297353CC}">
              <c16:uniqueId val="{00000008-8B89-4095-86F9-D81D0BF69E8A}"/>
            </c:ext>
          </c:extLst>
        </c:ser>
        <c:dLbls>
          <c:showLegendKey val="0"/>
          <c:showVal val="0"/>
          <c:showCatName val="0"/>
          <c:showSerName val="0"/>
          <c:showPercent val="0"/>
          <c:showBubbleSize val="0"/>
        </c:dLbls>
        <c:marker val="1"/>
        <c:smooth val="0"/>
        <c:axId val="1299947983"/>
        <c:axId val="1080799535"/>
      </c:lineChart>
      <c:catAx>
        <c:axId val="102380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04184784"/>
        <c:crosses val="autoZero"/>
        <c:auto val="1"/>
        <c:lblAlgn val="ctr"/>
        <c:lblOffset val="100"/>
        <c:noMultiLvlLbl val="0"/>
      </c:catAx>
      <c:valAx>
        <c:axId val="1104184784"/>
        <c:scaling>
          <c:orientation val="minMax"/>
          <c:max val="16"/>
          <c:min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Reģistrāciju skaits tūkst.</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023808320"/>
        <c:crosses val="autoZero"/>
        <c:crossBetween val="between"/>
        <c:majorUnit val="1"/>
      </c:valAx>
      <c:valAx>
        <c:axId val="1080799535"/>
        <c:scaling>
          <c:orientation val="minMax"/>
          <c:max val="20"/>
          <c:min val="16"/>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Izdevumi milj. </a:t>
                </a:r>
                <a:r>
                  <a:rPr lang="lv-LV" sz="900" i="1"/>
                  <a:t>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99947983"/>
        <c:crosses val="max"/>
        <c:crossBetween val="between"/>
        <c:majorUnit val="1"/>
      </c:valAx>
      <c:catAx>
        <c:axId val="1299947983"/>
        <c:scaling>
          <c:orientation val="minMax"/>
        </c:scaling>
        <c:delete val="1"/>
        <c:axPos val="b"/>
        <c:numFmt formatCode="General" sourceLinked="1"/>
        <c:majorTickMark val="out"/>
        <c:minorTickMark val="none"/>
        <c:tickLblPos val="nextTo"/>
        <c:crossAx val="1080799535"/>
        <c:crosses val="autoZero"/>
        <c:auto val="1"/>
        <c:lblAlgn val="ctr"/>
        <c:lblOffset val="100"/>
        <c:noMultiLvlLbl val="0"/>
      </c:catAx>
      <c:spPr>
        <a:noFill/>
        <a:ln>
          <a:noFill/>
        </a:ln>
        <a:effectLst/>
      </c:spPr>
    </c:plotArea>
    <c:legend>
      <c:legendPos val="b"/>
      <c:layout>
        <c:manualLayout>
          <c:xMode val="edge"/>
          <c:yMode val="edge"/>
          <c:x val="0"/>
          <c:y val="0.82385194551411001"/>
          <c:w val="1"/>
          <c:h val="0.1718386114144491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36-444F-BF9F-04955BD466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36-444F-BF9F-04955BD466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36-444F-BF9F-04955BD466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B36-444F-BF9F-04955BD46613}"/>
              </c:ext>
            </c:extLst>
          </c:dPt>
          <c:dLbls>
            <c:dLbl>
              <c:idx val="0"/>
              <c:layout>
                <c:manualLayout>
                  <c:x val="-0.24224596979670288"/>
                  <c:y val="6.5824180624829585E-3"/>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FB36-444F-BF9F-04955BD46613}"/>
                </c:ext>
              </c:extLst>
            </c:dLbl>
            <c:dLbl>
              <c:idx val="1"/>
              <c:layout>
                <c:manualLayout>
                  <c:x val="0.12523515456760173"/>
                  <c:y val="-0.1980913759416958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FB36-444F-BF9F-04955BD46613}"/>
                </c:ext>
              </c:extLst>
            </c:dLbl>
            <c:dLbl>
              <c:idx val="2"/>
              <c:layout>
                <c:manualLayout>
                  <c:x val="0.20293916134379245"/>
                  <c:y val="0.1910223867893689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FB36-444F-BF9F-04955BD4661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KOPSAVILKUMS!$B$22:$B$25</c:f>
              <c:strCache>
                <c:ptCount val="3"/>
                <c:pt idx="0">
                  <c:v>0-2 gadi</c:v>
                </c:pt>
                <c:pt idx="1">
                  <c:v>2-5 gadi</c:v>
                </c:pt>
                <c:pt idx="2">
                  <c:v>5 un vairāk gadi</c:v>
                </c:pt>
              </c:strCache>
            </c:strRef>
          </c:cat>
          <c:val>
            <c:numRef>
              <c:f>KOPSAVILKUMS!$C$22:$C$25</c:f>
              <c:numCache>
                <c:formatCode>General</c:formatCode>
                <c:ptCount val="4"/>
                <c:pt idx="0">
                  <c:v>39</c:v>
                </c:pt>
                <c:pt idx="1">
                  <c:v>19</c:v>
                </c:pt>
                <c:pt idx="2">
                  <c:v>21</c:v>
                </c:pt>
              </c:numCache>
            </c:numRef>
          </c:val>
          <c:extLst>
            <c:ext xmlns:c16="http://schemas.microsoft.com/office/drawing/2014/chart" uri="{C3380CC4-5D6E-409C-BE32-E72D297353CC}">
              <c16:uniqueId val="{00000008-FB36-444F-BF9F-04955BD46613}"/>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79603356488706E-2"/>
          <c:y val="2.794012286925673E-2"/>
          <c:w val="0.92455390980997132"/>
          <c:h val="0.50923480718756309"/>
        </c:manualLayout>
      </c:layout>
      <c:barChart>
        <c:barDir val="col"/>
        <c:grouping val="stacked"/>
        <c:varyColors val="0"/>
        <c:ser>
          <c:idx val="0"/>
          <c:order val="0"/>
          <c:tx>
            <c:strRef>
              <c:f>VI_dati!$P$4</c:f>
              <c:strCache>
                <c:ptCount val="1"/>
                <c:pt idx="0">
                  <c:v>līdz 35 gadi</c:v>
                </c:pt>
              </c:strCache>
            </c:strRef>
          </c:tx>
          <c:spPr>
            <a:solidFill>
              <a:schemeClr val="accent1">
                <a:alpha val="70000"/>
              </a:schemeClr>
            </a:solidFill>
            <a:ln>
              <a:noFill/>
            </a:ln>
            <a:effectLst/>
          </c:spPr>
          <c:invertIfNegative val="0"/>
          <c:cat>
            <c:strRef>
              <c:f>VI_dati!$O$5:$O$49</c:f>
              <c:strCache>
                <c:ptCount val="45"/>
                <c:pt idx="0">
                  <c:v>Anesteziologs, reanimatologs  
</c:v>
                </c:pt>
                <c:pt idx="1">
                  <c:v>Arodveselības un arodslimību ārsts 
</c:v>
                </c:pt>
                <c:pt idx="2">
                  <c:v>Asinsvadu ķirurgs 
</c:v>
                </c:pt>
                <c:pt idx="3">
                  <c:v>Bērnu ķirurgs
</c:v>
                </c:pt>
                <c:pt idx="4">
                  <c:v>Bērnu neirologs  </c:v>
                </c:pt>
                <c:pt idx="5">
                  <c:v>Bērnu psihiatrs 
</c:v>
                </c:pt>
                <c:pt idx="6">
                  <c:v>Dermatologs, venerologs 
</c:v>
                </c:pt>
                <c:pt idx="7">
                  <c:v>Endokrinologs 
</c:v>
                </c:pt>
                <c:pt idx="8">
                  <c:v>Fizikālās un rehabilitācijas medicīnas ārsts 
</c:v>
                </c:pt>
                <c:pt idx="9">
                  <c:v>Gastroenterologs 
</c:v>
                </c:pt>
                <c:pt idx="10">
                  <c:v>Geriatrs 
</c:v>
                </c:pt>
                <c:pt idx="11">
                  <c:v>Ginekologs, dzemdību speciālists 
</c:v>
                </c:pt>
                <c:pt idx="12">
                  <c:v>Ģimenes (vispārējās prakses) ārsts 
</c:v>
                </c:pt>
                <c:pt idx="13">
                  <c:v>Hematologs  </c:v>
                </c:pt>
                <c:pt idx="14">
                  <c:v>Infektologs
</c:v>
                </c:pt>
                <c:pt idx="15">
                  <c:v>Internists
</c:v>
                </c:pt>
                <c:pt idx="16">
                  <c:v>Kardiologs 
</c:v>
                </c:pt>
                <c:pt idx="17">
                  <c:v>Ķirurgs 
</c:v>
                </c:pt>
                <c:pt idx="18">
                  <c:v>Laboratorijas ārsts 
</c:v>
                </c:pt>
                <c:pt idx="19">
                  <c:v>Medicīnas ģenētiķis</c:v>
                </c:pt>
                <c:pt idx="20">
                  <c:v>Mutes, sejas un žokļu ķirurgs
</c:v>
                </c:pt>
                <c:pt idx="21">
                  <c:v>Narkologs 
</c:v>
                </c:pt>
                <c:pt idx="22">
                  <c:v>Neatliekamās medicīnas ārsts 
</c:v>
                </c:pt>
                <c:pt idx="23">
                  <c:v>Nefrologs 
</c:v>
                </c:pt>
                <c:pt idx="24">
                  <c:v>Neiroķirurgs
</c:v>
                </c:pt>
                <c:pt idx="25">
                  <c:v>Neirologs 
</c:v>
                </c:pt>
                <c:pt idx="26">
                  <c:v>Oftalmologs 
</c:v>
                </c:pt>
                <c:pt idx="27">
                  <c:v>Onkologs ķīmijterapeits 
</c:v>
                </c:pt>
                <c:pt idx="28">
                  <c:v>Otolaringologs 
</c:v>
                </c:pt>
                <c:pt idx="29">
                  <c:v>Patologs 
</c:v>
                </c:pt>
                <c:pt idx="30">
                  <c:v>Pediatrs 
</c:v>
                </c:pt>
                <c:pt idx="31">
                  <c:v>Plastikas ķirurgs 
</c:v>
                </c:pt>
                <c:pt idx="32">
                  <c:v>Pneimonologs 
</c:v>
                </c:pt>
                <c:pt idx="33">
                  <c:v>Psihiatrs 
</c:v>
                </c:pt>
                <c:pt idx="34">
                  <c:v>Psihoterapeits 
</c:v>
                </c:pt>
                <c:pt idx="35">
                  <c:v>Radiologs
</c:v>
                </c:pt>
                <c:pt idx="36">
                  <c:v>Radiologs terapeits 
</c:v>
                </c:pt>
                <c:pt idx="37">
                  <c:v>Reimatologs 
</c:v>
                </c:pt>
                <c:pt idx="38">
                  <c:v>Sabiedrības veselības ārsts 
</c:v>
                </c:pt>
                <c:pt idx="39">
                  <c:v>Sirds ķirurgs 
</c:v>
                </c:pt>
                <c:pt idx="40">
                  <c:v>Sporta ārsts 
</c:v>
                </c:pt>
                <c:pt idx="41">
                  <c:v>Tiesu medicīnas eksperts 
</c:v>
                </c:pt>
                <c:pt idx="42">
                  <c:v>Torakālais ķirurgs
</c:v>
                </c:pt>
                <c:pt idx="43">
                  <c:v>Traumatologs, ortopēds 
</c:v>
                </c:pt>
                <c:pt idx="44">
                  <c:v>Urologs 
</c:v>
                </c:pt>
              </c:strCache>
            </c:strRef>
          </c:cat>
          <c:val>
            <c:numRef>
              <c:f>VI_dati!$P$5:$P$49</c:f>
              <c:numCache>
                <c:formatCode>0%</c:formatCode>
                <c:ptCount val="45"/>
                <c:pt idx="0">
                  <c:v>0.10789473684210527</c:v>
                </c:pt>
                <c:pt idx="1">
                  <c:v>5.8309037900874635E-3</c:v>
                </c:pt>
                <c:pt idx="2">
                  <c:v>5.2631578947368418E-2</c:v>
                </c:pt>
                <c:pt idx="3">
                  <c:v>2.1276595744680851E-2</c:v>
                </c:pt>
                <c:pt idx="4">
                  <c:v>4.7619047619047616E-2</c:v>
                </c:pt>
                <c:pt idx="5">
                  <c:v>0</c:v>
                </c:pt>
                <c:pt idx="6">
                  <c:v>0.19230769230769232</c:v>
                </c:pt>
                <c:pt idx="7">
                  <c:v>6.6666666666666666E-2</c:v>
                </c:pt>
                <c:pt idx="8">
                  <c:v>0.12751677852348994</c:v>
                </c:pt>
                <c:pt idx="9">
                  <c:v>9.6153846153846159E-2</c:v>
                </c:pt>
                <c:pt idx="10">
                  <c:v>0.14285714285714285</c:v>
                </c:pt>
                <c:pt idx="11">
                  <c:v>5.7692307692307696E-2</c:v>
                </c:pt>
                <c:pt idx="12">
                  <c:v>9.8816979819067507E-2</c:v>
                </c:pt>
                <c:pt idx="13">
                  <c:v>9.5238095238095233E-2</c:v>
                </c:pt>
                <c:pt idx="14">
                  <c:v>0.13333333333333333</c:v>
                </c:pt>
                <c:pt idx="15">
                  <c:v>0.14428571428571429</c:v>
                </c:pt>
                <c:pt idx="16">
                  <c:v>8.1395348837209308E-2</c:v>
                </c:pt>
                <c:pt idx="17">
                  <c:v>0.12786885245901639</c:v>
                </c:pt>
                <c:pt idx="18">
                  <c:v>5.3571428571428568E-2</c:v>
                </c:pt>
                <c:pt idx="19">
                  <c:v>7.6923076923076927E-2</c:v>
                </c:pt>
                <c:pt idx="20">
                  <c:v>3.0303030303030304E-2</c:v>
                </c:pt>
                <c:pt idx="21">
                  <c:v>9.5744680851063829E-2</c:v>
                </c:pt>
                <c:pt idx="22">
                  <c:v>0.13740458015267176</c:v>
                </c:pt>
                <c:pt idx="23">
                  <c:v>0.11627906976744186</c:v>
                </c:pt>
                <c:pt idx="24">
                  <c:v>4.4444444444444446E-2</c:v>
                </c:pt>
                <c:pt idx="25">
                  <c:v>9.9236641221374045E-2</c:v>
                </c:pt>
                <c:pt idx="26">
                  <c:v>0.1111111111111111</c:v>
                </c:pt>
                <c:pt idx="27">
                  <c:v>2.9411764705882353E-2</c:v>
                </c:pt>
                <c:pt idx="28">
                  <c:v>0.15151515151515152</c:v>
                </c:pt>
                <c:pt idx="29">
                  <c:v>0.30232558139534882</c:v>
                </c:pt>
                <c:pt idx="30">
                  <c:v>8.553654743390357E-2</c:v>
                </c:pt>
                <c:pt idx="31">
                  <c:v>6.25E-2</c:v>
                </c:pt>
                <c:pt idx="32">
                  <c:v>0.10084033613445378</c:v>
                </c:pt>
                <c:pt idx="33">
                  <c:v>0.10469314079422383</c:v>
                </c:pt>
                <c:pt idx="34">
                  <c:v>0.12162162162162163</c:v>
                </c:pt>
                <c:pt idx="35">
                  <c:v>0.16236162361623616</c:v>
                </c:pt>
                <c:pt idx="36">
                  <c:v>0</c:v>
                </c:pt>
                <c:pt idx="37">
                  <c:v>0.1875</c:v>
                </c:pt>
                <c:pt idx="38">
                  <c:v>0</c:v>
                </c:pt>
                <c:pt idx="39">
                  <c:v>0.15789473684210525</c:v>
                </c:pt>
                <c:pt idx="40">
                  <c:v>0.12244897959183673</c:v>
                </c:pt>
                <c:pt idx="41">
                  <c:v>0.22448979591836735</c:v>
                </c:pt>
                <c:pt idx="42">
                  <c:v>0.13333333333333333</c:v>
                </c:pt>
                <c:pt idx="43">
                  <c:v>0.12365591397849462</c:v>
                </c:pt>
                <c:pt idx="44">
                  <c:v>0.19178082191780821</c:v>
                </c:pt>
              </c:numCache>
            </c:numRef>
          </c:val>
          <c:extLst>
            <c:ext xmlns:c16="http://schemas.microsoft.com/office/drawing/2014/chart" uri="{C3380CC4-5D6E-409C-BE32-E72D297353CC}">
              <c16:uniqueId val="{00000000-0DD1-46B6-A22D-0F96C51D2350}"/>
            </c:ext>
          </c:extLst>
        </c:ser>
        <c:ser>
          <c:idx val="1"/>
          <c:order val="1"/>
          <c:tx>
            <c:strRef>
              <c:f>VI_dati!$Q$4</c:f>
              <c:strCache>
                <c:ptCount val="1"/>
                <c:pt idx="0">
                  <c:v>36-64 gadi</c:v>
                </c:pt>
              </c:strCache>
            </c:strRef>
          </c:tx>
          <c:spPr>
            <a:solidFill>
              <a:schemeClr val="accent2">
                <a:alpha val="70000"/>
              </a:schemeClr>
            </a:solidFill>
            <a:ln>
              <a:noFill/>
            </a:ln>
            <a:effectLst/>
          </c:spPr>
          <c:invertIfNegative val="0"/>
          <c:cat>
            <c:strRef>
              <c:f>VI_dati!$O$5:$O$49</c:f>
              <c:strCache>
                <c:ptCount val="45"/>
                <c:pt idx="0">
                  <c:v>Anesteziologs, reanimatologs  
</c:v>
                </c:pt>
                <c:pt idx="1">
                  <c:v>Arodveselības un arodslimību ārsts 
</c:v>
                </c:pt>
                <c:pt idx="2">
                  <c:v>Asinsvadu ķirurgs 
</c:v>
                </c:pt>
                <c:pt idx="3">
                  <c:v>Bērnu ķirurgs
</c:v>
                </c:pt>
                <c:pt idx="4">
                  <c:v>Bērnu neirologs  </c:v>
                </c:pt>
                <c:pt idx="5">
                  <c:v>Bērnu psihiatrs 
</c:v>
                </c:pt>
                <c:pt idx="6">
                  <c:v>Dermatologs, venerologs 
</c:v>
                </c:pt>
                <c:pt idx="7">
                  <c:v>Endokrinologs 
</c:v>
                </c:pt>
                <c:pt idx="8">
                  <c:v>Fizikālās un rehabilitācijas medicīnas ārsts 
</c:v>
                </c:pt>
                <c:pt idx="9">
                  <c:v>Gastroenterologs 
</c:v>
                </c:pt>
                <c:pt idx="10">
                  <c:v>Geriatrs 
</c:v>
                </c:pt>
                <c:pt idx="11">
                  <c:v>Ginekologs, dzemdību speciālists 
</c:v>
                </c:pt>
                <c:pt idx="12">
                  <c:v>Ģimenes (vispārējās prakses) ārsts 
</c:v>
                </c:pt>
                <c:pt idx="13">
                  <c:v>Hematologs  </c:v>
                </c:pt>
                <c:pt idx="14">
                  <c:v>Infektologs
</c:v>
                </c:pt>
                <c:pt idx="15">
                  <c:v>Internists
</c:v>
                </c:pt>
                <c:pt idx="16">
                  <c:v>Kardiologs 
</c:v>
                </c:pt>
                <c:pt idx="17">
                  <c:v>Ķirurgs 
</c:v>
                </c:pt>
                <c:pt idx="18">
                  <c:v>Laboratorijas ārsts 
</c:v>
                </c:pt>
                <c:pt idx="19">
                  <c:v>Medicīnas ģenētiķis</c:v>
                </c:pt>
                <c:pt idx="20">
                  <c:v>Mutes, sejas un žokļu ķirurgs
</c:v>
                </c:pt>
                <c:pt idx="21">
                  <c:v>Narkologs 
</c:v>
                </c:pt>
                <c:pt idx="22">
                  <c:v>Neatliekamās medicīnas ārsts 
</c:v>
                </c:pt>
                <c:pt idx="23">
                  <c:v>Nefrologs 
</c:v>
                </c:pt>
                <c:pt idx="24">
                  <c:v>Neiroķirurgs
</c:v>
                </c:pt>
                <c:pt idx="25">
                  <c:v>Neirologs 
</c:v>
                </c:pt>
                <c:pt idx="26">
                  <c:v>Oftalmologs 
</c:v>
                </c:pt>
                <c:pt idx="27">
                  <c:v>Onkologs ķīmijterapeits 
</c:v>
                </c:pt>
                <c:pt idx="28">
                  <c:v>Otolaringologs 
</c:v>
                </c:pt>
                <c:pt idx="29">
                  <c:v>Patologs 
</c:v>
                </c:pt>
                <c:pt idx="30">
                  <c:v>Pediatrs 
</c:v>
                </c:pt>
                <c:pt idx="31">
                  <c:v>Plastikas ķirurgs 
</c:v>
                </c:pt>
                <c:pt idx="32">
                  <c:v>Pneimonologs 
</c:v>
                </c:pt>
                <c:pt idx="33">
                  <c:v>Psihiatrs 
</c:v>
                </c:pt>
                <c:pt idx="34">
                  <c:v>Psihoterapeits 
</c:v>
                </c:pt>
                <c:pt idx="35">
                  <c:v>Radiologs
</c:v>
                </c:pt>
                <c:pt idx="36">
                  <c:v>Radiologs terapeits 
</c:v>
                </c:pt>
                <c:pt idx="37">
                  <c:v>Reimatologs 
</c:v>
                </c:pt>
                <c:pt idx="38">
                  <c:v>Sabiedrības veselības ārsts 
</c:v>
                </c:pt>
                <c:pt idx="39">
                  <c:v>Sirds ķirurgs 
</c:v>
                </c:pt>
                <c:pt idx="40">
                  <c:v>Sporta ārsts 
</c:v>
                </c:pt>
                <c:pt idx="41">
                  <c:v>Tiesu medicīnas eksperts 
</c:v>
                </c:pt>
                <c:pt idx="42">
                  <c:v>Torakālais ķirurgs
</c:v>
                </c:pt>
                <c:pt idx="43">
                  <c:v>Traumatologs, ortopēds 
</c:v>
                </c:pt>
                <c:pt idx="44">
                  <c:v>Urologs 
</c:v>
                </c:pt>
              </c:strCache>
            </c:strRef>
          </c:cat>
          <c:val>
            <c:numRef>
              <c:f>VI_dati!$Q$5:$Q$49</c:f>
              <c:numCache>
                <c:formatCode>0%</c:formatCode>
                <c:ptCount val="45"/>
                <c:pt idx="0">
                  <c:v>0.71578947368421053</c:v>
                </c:pt>
                <c:pt idx="1">
                  <c:v>0.67055393586005829</c:v>
                </c:pt>
                <c:pt idx="2">
                  <c:v>0.84210526315789469</c:v>
                </c:pt>
                <c:pt idx="3">
                  <c:v>0.74468085106382975</c:v>
                </c:pt>
                <c:pt idx="4">
                  <c:v>0.7857142857142857</c:v>
                </c:pt>
                <c:pt idx="5">
                  <c:v>0.72340425531914898</c:v>
                </c:pt>
                <c:pt idx="6">
                  <c:v>0.67032967032967028</c:v>
                </c:pt>
                <c:pt idx="7">
                  <c:v>0.67777777777777781</c:v>
                </c:pt>
                <c:pt idx="8">
                  <c:v>0.59731543624161076</c:v>
                </c:pt>
                <c:pt idx="9">
                  <c:v>0.69230769230769229</c:v>
                </c:pt>
                <c:pt idx="10">
                  <c:v>0.7142857142857143</c:v>
                </c:pt>
                <c:pt idx="11">
                  <c:v>0.70673076923076927</c:v>
                </c:pt>
                <c:pt idx="12">
                  <c:v>0.64787752261656228</c:v>
                </c:pt>
                <c:pt idx="13">
                  <c:v>0.66666666666666663</c:v>
                </c:pt>
                <c:pt idx="14">
                  <c:v>0.71666666666666667</c:v>
                </c:pt>
                <c:pt idx="15">
                  <c:v>0.64857142857142858</c:v>
                </c:pt>
                <c:pt idx="16">
                  <c:v>0.68992248062015504</c:v>
                </c:pt>
                <c:pt idx="17">
                  <c:v>0.61311475409836069</c:v>
                </c:pt>
                <c:pt idx="18">
                  <c:v>0.7589285714285714</c:v>
                </c:pt>
                <c:pt idx="19">
                  <c:v>0.53846153846153844</c:v>
                </c:pt>
                <c:pt idx="20">
                  <c:v>0.63636363636363635</c:v>
                </c:pt>
                <c:pt idx="21">
                  <c:v>0.67021276595744683</c:v>
                </c:pt>
                <c:pt idx="22">
                  <c:v>0.71755725190839692</c:v>
                </c:pt>
                <c:pt idx="23">
                  <c:v>0.46511627906976744</c:v>
                </c:pt>
                <c:pt idx="24">
                  <c:v>0.68888888888888888</c:v>
                </c:pt>
                <c:pt idx="25">
                  <c:v>0.60687022900763354</c:v>
                </c:pt>
                <c:pt idx="26">
                  <c:v>0.62301587301587302</c:v>
                </c:pt>
                <c:pt idx="27">
                  <c:v>0.76470588235294112</c:v>
                </c:pt>
                <c:pt idx="28">
                  <c:v>0.5636363636363636</c:v>
                </c:pt>
                <c:pt idx="29">
                  <c:v>0.53488372093023251</c:v>
                </c:pt>
                <c:pt idx="30">
                  <c:v>0.67185069984447898</c:v>
                </c:pt>
                <c:pt idx="31">
                  <c:v>0.8125</c:v>
                </c:pt>
                <c:pt idx="32">
                  <c:v>0.59663865546218486</c:v>
                </c:pt>
                <c:pt idx="33">
                  <c:v>0.59566787003610111</c:v>
                </c:pt>
                <c:pt idx="34">
                  <c:v>0.77027027027027029</c:v>
                </c:pt>
                <c:pt idx="35">
                  <c:v>0.64206642066420661</c:v>
                </c:pt>
                <c:pt idx="36">
                  <c:v>0.76</c:v>
                </c:pt>
                <c:pt idx="37">
                  <c:v>0.5625</c:v>
                </c:pt>
                <c:pt idx="38">
                  <c:v>0.85416666666666663</c:v>
                </c:pt>
                <c:pt idx="39">
                  <c:v>0.73684210526315785</c:v>
                </c:pt>
                <c:pt idx="40">
                  <c:v>0.69387755102040816</c:v>
                </c:pt>
                <c:pt idx="41">
                  <c:v>0.53061224489795922</c:v>
                </c:pt>
                <c:pt idx="42">
                  <c:v>0.73333333333333328</c:v>
                </c:pt>
                <c:pt idx="43">
                  <c:v>0.68817204301075274</c:v>
                </c:pt>
                <c:pt idx="44">
                  <c:v>0.54794520547945202</c:v>
                </c:pt>
              </c:numCache>
            </c:numRef>
          </c:val>
          <c:extLst>
            <c:ext xmlns:c16="http://schemas.microsoft.com/office/drawing/2014/chart" uri="{C3380CC4-5D6E-409C-BE32-E72D297353CC}">
              <c16:uniqueId val="{00000001-0DD1-46B6-A22D-0F96C51D2350}"/>
            </c:ext>
          </c:extLst>
        </c:ser>
        <c:ser>
          <c:idx val="2"/>
          <c:order val="2"/>
          <c:tx>
            <c:strRef>
              <c:f>VI_dati!$R$4</c:f>
              <c:strCache>
                <c:ptCount val="1"/>
                <c:pt idx="0">
                  <c:v>65+ gadi</c:v>
                </c:pt>
              </c:strCache>
            </c:strRef>
          </c:tx>
          <c:spPr>
            <a:solidFill>
              <a:schemeClr val="accent3">
                <a:alpha val="70000"/>
              </a:schemeClr>
            </a:solidFill>
            <a:ln>
              <a:noFill/>
            </a:ln>
            <a:effectLst/>
          </c:spPr>
          <c:invertIfNegative val="0"/>
          <c:cat>
            <c:strRef>
              <c:f>VI_dati!$O$5:$O$49</c:f>
              <c:strCache>
                <c:ptCount val="45"/>
                <c:pt idx="0">
                  <c:v>Anesteziologs, reanimatologs  
</c:v>
                </c:pt>
                <c:pt idx="1">
                  <c:v>Arodveselības un arodslimību ārsts 
</c:v>
                </c:pt>
                <c:pt idx="2">
                  <c:v>Asinsvadu ķirurgs 
</c:v>
                </c:pt>
                <c:pt idx="3">
                  <c:v>Bērnu ķirurgs
</c:v>
                </c:pt>
                <c:pt idx="4">
                  <c:v>Bērnu neirologs  </c:v>
                </c:pt>
                <c:pt idx="5">
                  <c:v>Bērnu psihiatrs 
</c:v>
                </c:pt>
                <c:pt idx="6">
                  <c:v>Dermatologs, venerologs 
</c:v>
                </c:pt>
                <c:pt idx="7">
                  <c:v>Endokrinologs 
</c:v>
                </c:pt>
                <c:pt idx="8">
                  <c:v>Fizikālās un rehabilitācijas medicīnas ārsts 
</c:v>
                </c:pt>
                <c:pt idx="9">
                  <c:v>Gastroenterologs 
</c:v>
                </c:pt>
                <c:pt idx="10">
                  <c:v>Geriatrs 
</c:v>
                </c:pt>
                <c:pt idx="11">
                  <c:v>Ginekologs, dzemdību speciālists 
</c:v>
                </c:pt>
                <c:pt idx="12">
                  <c:v>Ģimenes (vispārējās prakses) ārsts 
</c:v>
                </c:pt>
                <c:pt idx="13">
                  <c:v>Hematologs  </c:v>
                </c:pt>
                <c:pt idx="14">
                  <c:v>Infektologs
</c:v>
                </c:pt>
                <c:pt idx="15">
                  <c:v>Internists
</c:v>
                </c:pt>
                <c:pt idx="16">
                  <c:v>Kardiologs 
</c:v>
                </c:pt>
                <c:pt idx="17">
                  <c:v>Ķirurgs 
</c:v>
                </c:pt>
                <c:pt idx="18">
                  <c:v>Laboratorijas ārsts 
</c:v>
                </c:pt>
                <c:pt idx="19">
                  <c:v>Medicīnas ģenētiķis</c:v>
                </c:pt>
                <c:pt idx="20">
                  <c:v>Mutes, sejas un žokļu ķirurgs
</c:v>
                </c:pt>
                <c:pt idx="21">
                  <c:v>Narkologs 
</c:v>
                </c:pt>
                <c:pt idx="22">
                  <c:v>Neatliekamās medicīnas ārsts 
</c:v>
                </c:pt>
                <c:pt idx="23">
                  <c:v>Nefrologs 
</c:v>
                </c:pt>
                <c:pt idx="24">
                  <c:v>Neiroķirurgs
</c:v>
                </c:pt>
                <c:pt idx="25">
                  <c:v>Neirologs 
</c:v>
                </c:pt>
                <c:pt idx="26">
                  <c:v>Oftalmologs 
</c:v>
                </c:pt>
                <c:pt idx="27">
                  <c:v>Onkologs ķīmijterapeits 
</c:v>
                </c:pt>
                <c:pt idx="28">
                  <c:v>Otolaringologs 
</c:v>
                </c:pt>
                <c:pt idx="29">
                  <c:v>Patologs 
</c:v>
                </c:pt>
                <c:pt idx="30">
                  <c:v>Pediatrs 
</c:v>
                </c:pt>
                <c:pt idx="31">
                  <c:v>Plastikas ķirurgs 
</c:v>
                </c:pt>
                <c:pt idx="32">
                  <c:v>Pneimonologs 
</c:v>
                </c:pt>
                <c:pt idx="33">
                  <c:v>Psihiatrs 
</c:v>
                </c:pt>
                <c:pt idx="34">
                  <c:v>Psihoterapeits 
</c:v>
                </c:pt>
                <c:pt idx="35">
                  <c:v>Radiologs
</c:v>
                </c:pt>
                <c:pt idx="36">
                  <c:v>Radiologs terapeits 
</c:v>
                </c:pt>
                <c:pt idx="37">
                  <c:v>Reimatologs 
</c:v>
                </c:pt>
                <c:pt idx="38">
                  <c:v>Sabiedrības veselības ārsts 
</c:v>
                </c:pt>
                <c:pt idx="39">
                  <c:v>Sirds ķirurgs 
</c:v>
                </c:pt>
                <c:pt idx="40">
                  <c:v>Sporta ārsts 
</c:v>
                </c:pt>
                <c:pt idx="41">
                  <c:v>Tiesu medicīnas eksperts 
</c:v>
                </c:pt>
                <c:pt idx="42">
                  <c:v>Torakālais ķirurgs
</c:v>
                </c:pt>
                <c:pt idx="43">
                  <c:v>Traumatologs, ortopēds 
</c:v>
                </c:pt>
                <c:pt idx="44">
                  <c:v>Urologs 
</c:v>
                </c:pt>
              </c:strCache>
            </c:strRef>
          </c:cat>
          <c:val>
            <c:numRef>
              <c:f>VI_dati!$R$5:$R$49</c:f>
              <c:numCache>
                <c:formatCode>0%</c:formatCode>
                <c:ptCount val="45"/>
                <c:pt idx="0">
                  <c:v>0.1763157894736842</c:v>
                </c:pt>
                <c:pt idx="1">
                  <c:v>0.32361516034985421</c:v>
                </c:pt>
                <c:pt idx="2">
                  <c:v>0.10526315789473684</c:v>
                </c:pt>
                <c:pt idx="3">
                  <c:v>0.23404255319148937</c:v>
                </c:pt>
                <c:pt idx="4">
                  <c:v>0.16666666666666666</c:v>
                </c:pt>
                <c:pt idx="5">
                  <c:v>0.27659574468085107</c:v>
                </c:pt>
                <c:pt idx="6">
                  <c:v>0.13736263736263737</c:v>
                </c:pt>
                <c:pt idx="7">
                  <c:v>0.25555555555555554</c:v>
                </c:pt>
                <c:pt idx="8">
                  <c:v>0.27516778523489932</c:v>
                </c:pt>
                <c:pt idx="9">
                  <c:v>0.21153846153846154</c:v>
                </c:pt>
                <c:pt idx="10">
                  <c:v>0.14285714285714285</c:v>
                </c:pt>
                <c:pt idx="11">
                  <c:v>0.23557692307692307</c:v>
                </c:pt>
                <c:pt idx="12">
                  <c:v>0.25330549756437021</c:v>
                </c:pt>
                <c:pt idx="13">
                  <c:v>0.23809523809523808</c:v>
                </c:pt>
                <c:pt idx="14">
                  <c:v>0.15</c:v>
                </c:pt>
                <c:pt idx="15">
                  <c:v>0.20714285714285716</c:v>
                </c:pt>
                <c:pt idx="16">
                  <c:v>0.22868217054263565</c:v>
                </c:pt>
                <c:pt idx="17">
                  <c:v>0.25901639344262295</c:v>
                </c:pt>
                <c:pt idx="18">
                  <c:v>0.1875</c:v>
                </c:pt>
                <c:pt idx="19">
                  <c:v>0.38461538461538464</c:v>
                </c:pt>
                <c:pt idx="20">
                  <c:v>0.33333333333333331</c:v>
                </c:pt>
                <c:pt idx="21">
                  <c:v>0.23404255319148937</c:v>
                </c:pt>
                <c:pt idx="22">
                  <c:v>0.14503816793893129</c:v>
                </c:pt>
                <c:pt idx="23">
                  <c:v>0.41860465116279072</c:v>
                </c:pt>
                <c:pt idx="24">
                  <c:v>0.26666666666666666</c:v>
                </c:pt>
                <c:pt idx="25">
                  <c:v>0.29389312977099236</c:v>
                </c:pt>
                <c:pt idx="26">
                  <c:v>0.26587301587301587</c:v>
                </c:pt>
                <c:pt idx="27">
                  <c:v>0.20588235294117646</c:v>
                </c:pt>
                <c:pt idx="28">
                  <c:v>0.28484848484848485</c:v>
                </c:pt>
                <c:pt idx="29">
                  <c:v>0.16279069767441862</c:v>
                </c:pt>
                <c:pt idx="30">
                  <c:v>0.24261275272161742</c:v>
                </c:pt>
                <c:pt idx="31">
                  <c:v>0.125</c:v>
                </c:pt>
                <c:pt idx="32">
                  <c:v>0.30252100840336132</c:v>
                </c:pt>
                <c:pt idx="33">
                  <c:v>0.29963898916967507</c:v>
                </c:pt>
                <c:pt idx="34">
                  <c:v>0.10810810810810811</c:v>
                </c:pt>
                <c:pt idx="35">
                  <c:v>0.19557195571955718</c:v>
                </c:pt>
                <c:pt idx="36">
                  <c:v>0.24</c:v>
                </c:pt>
                <c:pt idx="37">
                  <c:v>0.25</c:v>
                </c:pt>
                <c:pt idx="38">
                  <c:v>0.14583333333333334</c:v>
                </c:pt>
                <c:pt idx="39">
                  <c:v>0.10526315789473684</c:v>
                </c:pt>
                <c:pt idx="40">
                  <c:v>0.18367346938775511</c:v>
                </c:pt>
                <c:pt idx="41">
                  <c:v>0.24489795918367346</c:v>
                </c:pt>
                <c:pt idx="42">
                  <c:v>0.13333333333333333</c:v>
                </c:pt>
                <c:pt idx="43">
                  <c:v>0.18817204301075269</c:v>
                </c:pt>
                <c:pt idx="44">
                  <c:v>0.26027397260273971</c:v>
                </c:pt>
              </c:numCache>
            </c:numRef>
          </c:val>
          <c:extLst>
            <c:ext xmlns:c16="http://schemas.microsoft.com/office/drawing/2014/chart" uri="{C3380CC4-5D6E-409C-BE32-E72D297353CC}">
              <c16:uniqueId val="{00000002-0DD1-46B6-A22D-0F96C51D2350}"/>
            </c:ext>
          </c:extLst>
        </c:ser>
        <c:dLbls>
          <c:showLegendKey val="0"/>
          <c:showVal val="0"/>
          <c:showCatName val="0"/>
          <c:showSerName val="0"/>
          <c:showPercent val="0"/>
          <c:showBubbleSize val="0"/>
        </c:dLbls>
        <c:gapWidth val="50"/>
        <c:overlap val="100"/>
        <c:axId val="512004304"/>
        <c:axId val="512004720"/>
      </c:barChart>
      <c:catAx>
        <c:axId val="51200430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12004720"/>
        <c:crosses val="autoZero"/>
        <c:auto val="1"/>
        <c:lblAlgn val="ctr"/>
        <c:lblOffset val="100"/>
        <c:noMultiLvlLbl val="0"/>
      </c:catAx>
      <c:valAx>
        <c:axId val="512004720"/>
        <c:scaling>
          <c:orientation val="minMax"/>
          <c:max val="1"/>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12004304"/>
        <c:crosses val="autoZero"/>
        <c:crossBetween val="between"/>
      </c:valAx>
      <c:spPr>
        <a:noFill/>
        <a:ln>
          <a:noFill/>
        </a:ln>
        <a:effectLst/>
      </c:spPr>
    </c:plotArea>
    <c:legend>
      <c:legendPos val="b"/>
      <c:layout>
        <c:manualLayout>
          <c:xMode val="edge"/>
          <c:yMode val="edge"/>
          <c:x val="0.57271350696547552"/>
          <c:y val="0.92631625669113804"/>
          <c:w val="0.35884649034255334"/>
          <c:h val="5.435695960778295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490-4E69-B849-EDADD02A20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490-4E69-B849-EDADD02A20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490-4E69-B849-EDADD02A209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490-4E69-B849-EDADD02A209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490-4E69-B849-EDADD02A209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490-4E69-B849-EDADD02A209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490-4E69-B849-EDADD02A209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490-4E69-B849-EDADD02A209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490-4E69-B849-EDADD02A2094}"/>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490-4E69-B849-EDADD02A2094}"/>
              </c:ext>
            </c:extLst>
          </c:dPt>
          <c:dLbls>
            <c:dLbl>
              <c:idx val="0"/>
              <c:layout>
                <c:manualLayout>
                  <c:x val="-0.13013950426614679"/>
                  <c:y val="-0.12006818735286955"/>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490-4E69-B849-EDADD02A2094}"/>
                </c:ext>
              </c:extLst>
            </c:dLbl>
            <c:dLbl>
              <c:idx val="1"/>
              <c:layout>
                <c:manualLayout>
                  <c:x val="-1.9135557695575823E-3"/>
                  <c:y val="9.4977161269549831E-2"/>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490-4E69-B849-EDADD02A2094}"/>
                </c:ext>
              </c:extLst>
            </c:dLbl>
            <c:dLbl>
              <c:idx val="2"/>
              <c:layout>
                <c:manualLayout>
                  <c:x val="-4.0382264403927804E-4"/>
                  <c:y val="-0.26759279060212071"/>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490-4E69-B849-EDADD02A2094}"/>
                </c:ext>
              </c:extLst>
            </c:dLbl>
            <c:dLbl>
              <c:idx val="3"/>
              <c:layout>
                <c:manualLayout>
                  <c:x val="-1.3888414198642531E-2"/>
                  <c:y val="0.13646411760324273"/>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490-4E69-B849-EDADD02A2094}"/>
                </c:ext>
              </c:extLst>
            </c:dLbl>
            <c:dLbl>
              <c:idx val="4"/>
              <c:layout>
                <c:manualLayout>
                  <c:x val="-0.12078854083139441"/>
                  <c:y val="6.7427236837995078E-2"/>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1490-4E69-B849-EDADD02A2094}"/>
                </c:ext>
              </c:extLst>
            </c:dLbl>
            <c:dLbl>
              <c:idx val="5"/>
              <c:layout>
                <c:manualLayout>
                  <c:x val="-0.18723349063837805"/>
                  <c:y val="2.2684229622349998E-2"/>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1490-4E69-B849-EDADD02A2094}"/>
                </c:ext>
              </c:extLst>
            </c:dLbl>
            <c:dLbl>
              <c:idx val="6"/>
              <c:layout>
                <c:manualLayout>
                  <c:x val="3.0384849640038736E-2"/>
                  <c:y val="0.10398914889987242"/>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1490-4E69-B849-EDADD02A2094}"/>
                </c:ext>
              </c:extLst>
            </c:dLbl>
            <c:dLbl>
              <c:idx val="8"/>
              <c:layout>
                <c:manualLayout>
                  <c:x val="5.500155552342266E-2"/>
                  <c:y val="-3.3765759444854257E-2"/>
                </c:manualLayout>
              </c:layout>
              <c:numFmt formatCode="#,##0.00" sourceLinked="0"/>
              <c:spPr>
                <a:no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1490-4E69-B849-EDADD02A2094}"/>
                </c:ext>
              </c:extLst>
            </c:dLbl>
            <c:dLbl>
              <c:idx val="9"/>
              <c:layout>
                <c:manualLayout>
                  <c:x val="-5.9997449329031831E-3"/>
                  <c:y val="-6.658375950428877E-2"/>
                </c:manualLayout>
              </c:layout>
              <c:showLegendKey val="0"/>
              <c:showVal val="0"/>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1490-4E69-B849-EDADD02A2094}"/>
                </c:ext>
              </c:extLst>
            </c:dLbl>
            <c:spPr>
              <a:noFill/>
              <a:ln>
                <a:solidFill>
                  <a:schemeClr val="tx1"/>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15:layout/>
              </c:ext>
            </c:extLst>
          </c:dLbls>
          <c:cat>
            <c:strRef>
              <c:f>Sheet1!$F$3:$F$12</c:f>
              <c:strCache>
                <c:ptCount val="10"/>
                <c:pt idx="0">
                  <c:v>Zāles cukura diabēta ārstēšnai (0,72 milj.EUR) (10 INN)</c:v>
                </c:pt>
                <c:pt idx="1">
                  <c:v>Zāles acu un to palīgorgānu slimības (0,04 milj.EUR) (6 INN)</c:v>
                </c:pt>
                <c:pt idx="2">
                  <c:v>Zāles Faktori, kas ietekmē veselību un saskari ar veselības aprūpes darbiniekiem (0.12 milj. EUR)(1 INN un 1 med.ierīcu grupa)</c:v>
                </c:pt>
                <c:pt idx="3">
                  <c:v>Zāles Asinsrites sistēmas slimību ārstēšanai (0.33 milj. EUR) (15 INN)</c:v>
                </c:pt>
                <c:pt idx="4">
                  <c:v>Zāles Elpošanas sistēmas slimību ārstēšanai (0.22 milj. EUR) (6 INN)</c:v>
                </c:pt>
                <c:pt idx="5">
                  <c:v>Zāles nervu sistēmas slimību ārstēšanai  (0.09 milj. EUR) (7 INN)</c:v>
                </c:pt>
                <c:pt idx="6">
                  <c:v>Onkoloģiskās zāles (1,07 milj. EUR) (6 INN)</c:v>
                </c:pt>
                <c:pt idx="7">
                  <c:v>Zāles psihisko un uzvedības traucējumu ārstēšanai  (0.02 milj. EUR) (3 INN)</c:v>
                </c:pt>
                <c:pt idx="8">
                  <c:v>Bioloģiskās zāles skeleta, muskuļu un saistaudu slimību ārstēšanai  (0.55 milj. EUR) (3 INN)</c:v>
                </c:pt>
                <c:pt idx="9">
                  <c:v>Zāles uroģenitālās sistēmas slimību ārstēšanai  (0.01 milj. EUR) (2 INN)</c:v>
                </c:pt>
              </c:strCache>
            </c:strRef>
          </c:cat>
          <c:val>
            <c:numRef>
              <c:f>Sheet1!$G$3:$G$12</c:f>
              <c:numCache>
                <c:formatCode>General</c:formatCode>
                <c:ptCount val="10"/>
                <c:pt idx="0">
                  <c:v>0.72</c:v>
                </c:pt>
                <c:pt idx="1">
                  <c:v>0.04</c:v>
                </c:pt>
                <c:pt idx="2">
                  <c:v>0.12</c:v>
                </c:pt>
                <c:pt idx="3">
                  <c:v>0.33</c:v>
                </c:pt>
                <c:pt idx="4">
                  <c:v>0.23</c:v>
                </c:pt>
                <c:pt idx="5">
                  <c:v>0.09</c:v>
                </c:pt>
                <c:pt idx="6">
                  <c:v>1.07</c:v>
                </c:pt>
                <c:pt idx="7">
                  <c:v>0.02</c:v>
                </c:pt>
                <c:pt idx="8">
                  <c:v>0.55000000000000004</c:v>
                </c:pt>
                <c:pt idx="9">
                  <c:v>0.01</c:v>
                </c:pt>
              </c:numCache>
            </c:numRef>
          </c:val>
          <c:extLst>
            <c:ext xmlns:c16="http://schemas.microsoft.com/office/drawing/2014/chart" uri="{C3380CC4-5D6E-409C-BE32-E72D297353CC}">
              <c16:uniqueId val="{00000014-1490-4E69-B849-EDADD02A209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LV!$A$3</c:f>
              <c:strCache>
                <c:ptCount val="1"/>
                <c:pt idx="0">
                  <c:v>Pacienta līdzmaksājums par valsts nekompensējamo daļu, milj. EUR</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LV!$I$2:$K$2</c:f>
              <c:strCache>
                <c:ptCount val="3"/>
                <c:pt idx="0">
                  <c:v>2018.gads</c:v>
                </c:pt>
                <c:pt idx="1">
                  <c:v>2019.gads</c:v>
                </c:pt>
                <c:pt idx="2">
                  <c:v>2020. gads</c:v>
                </c:pt>
              </c:strCache>
            </c:strRef>
          </c:cat>
          <c:val>
            <c:numRef>
              <c:f>LV!$I$3:$K$3</c:f>
              <c:numCache>
                <c:formatCode>0.00</c:formatCode>
                <c:ptCount val="3"/>
                <c:pt idx="0">
                  <c:v>16.79</c:v>
                </c:pt>
                <c:pt idx="1">
                  <c:v>18.372313579999986</c:v>
                </c:pt>
                <c:pt idx="2">
                  <c:v>19.161578649999992</c:v>
                </c:pt>
              </c:numCache>
            </c:numRef>
          </c:val>
          <c:extLst>
            <c:ext xmlns:c16="http://schemas.microsoft.com/office/drawing/2014/chart" uri="{C3380CC4-5D6E-409C-BE32-E72D297353CC}">
              <c16:uniqueId val="{00000000-90DD-4238-AA52-43F755F8742D}"/>
            </c:ext>
          </c:extLst>
        </c:ser>
        <c:ser>
          <c:idx val="1"/>
          <c:order val="1"/>
          <c:tx>
            <c:strRef>
              <c:f>LV!$A$4</c:f>
              <c:strCache>
                <c:ptCount val="1"/>
                <c:pt idx="0">
                  <c:v>Pacienta līdzmaksājums ne-references zālēm, milj. EUR</c:v>
                </c:pt>
              </c:strCache>
            </c:strRef>
          </c:tx>
          <c:spPr>
            <a:pattFill prst="wdDnDiag">
              <a:fgClr>
                <a:srgbClr val="FFC000"/>
              </a:fgClr>
              <a:bgClr>
                <a:schemeClr val="bg1"/>
              </a:bgClr>
            </a:pattFill>
            <a:ln>
              <a:noFill/>
            </a:ln>
            <a:effectLst/>
          </c:spPr>
          <c:invertIfNegative val="0"/>
          <c:dLbls>
            <c:dLbl>
              <c:idx val="0"/>
              <c:layout>
                <c:manualLayout>
                  <c:x val="-5.0925337632079971E-17"/>
                  <c:y val="-0.21037438028579761"/>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0DD-4238-AA52-43F755F8742D}"/>
                </c:ext>
              </c:extLst>
            </c:dLbl>
            <c:dLbl>
              <c:idx val="1"/>
              <c:layout>
                <c:manualLayout>
                  <c:x val="2.7777777777777779E-3"/>
                  <c:y val="-0.2129385389326334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0DD-4238-AA52-43F755F8742D}"/>
                </c:ext>
              </c:extLst>
            </c:dLbl>
            <c:dLbl>
              <c:idx val="2"/>
              <c:layout>
                <c:manualLayout>
                  <c:x val="-1.0185067526415994E-16"/>
                  <c:y val="-0.14041812481773111"/>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0DD-4238-AA52-43F755F8742D}"/>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LV!$I$2:$K$2</c:f>
              <c:strCache>
                <c:ptCount val="3"/>
                <c:pt idx="0">
                  <c:v>2018.gads</c:v>
                </c:pt>
                <c:pt idx="1">
                  <c:v>2019.gads</c:v>
                </c:pt>
                <c:pt idx="2">
                  <c:v>2020. gads</c:v>
                </c:pt>
              </c:strCache>
            </c:strRef>
          </c:cat>
          <c:val>
            <c:numRef>
              <c:f>LV!$I$4:$K$4</c:f>
              <c:numCache>
                <c:formatCode>0.00</c:formatCode>
                <c:ptCount val="3"/>
                <c:pt idx="0">
                  <c:v>25.38</c:v>
                </c:pt>
                <c:pt idx="1">
                  <c:v>25.069259029999998</c:v>
                </c:pt>
                <c:pt idx="2">
                  <c:v>16.943644280000008</c:v>
                </c:pt>
              </c:numCache>
            </c:numRef>
          </c:val>
          <c:extLst>
            <c:ext xmlns:c16="http://schemas.microsoft.com/office/drawing/2014/chart" uri="{C3380CC4-5D6E-409C-BE32-E72D297353CC}">
              <c16:uniqueId val="{00000004-90DD-4238-AA52-43F755F8742D}"/>
            </c:ext>
          </c:extLst>
        </c:ser>
        <c:dLbls>
          <c:showLegendKey val="0"/>
          <c:showVal val="0"/>
          <c:showCatName val="0"/>
          <c:showSerName val="0"/>
          <c:showPercent val="0"/>
          <c:showBubbleSize val="0"/>
        </c:dLbls>
        <c:gapWidth val="150"/>
        <c:overlap val="100"/>
        <c:axId val="469748880"/>
        <c:axId val="469741808"/>
      </c:barChart>
      <c:catAx>
        <c:axId val="46974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9741808"/>
        <c:crosses val="autoZero"/>
        <c:auto val="1"/>
        <c:lblAlgn val="ctr"/>
        <c:lblOffset val="100"/>
        <c:noMultiLvlLbl val="0"/>
      </c:catAx>
      <c:valAx>
        <c:axId val="469741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97488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'2019'!$B$2</c:f>
              <c:strCache>
                <c:ptCount val="1"/>
                <c:pt idx="0">
                  <c:v>Izdevumi kultūrai</c:v>
                </c:pt>
              </c:strCache>
            </c:strRef>
          </c:tx>
          <c:spPr>
            <a:solidFill>
              <a:schemeClr val="accent6"/>
            </a:solidFill>
            <a:ln w="25400">
              <a:noFill/>
            </a:ln>
          </c:spPr>
          <c:invertIfNegative val="0"/>
          <c:dPt>
            <c:idx val="0"/>
            <c:invertIfNegative val="0"/>
            <c:bubble3D val="0"/>
            <c:spPr>
              <a:solidFill>
                <a:schemeClr val="accent5"/>
              </a:solidFill>
              <a:ln w="25400">
                <a:noFill/>
              </a:ln>
            </c:spPr>
            <c:extLst>
              <c:ext xmlns:c16="http://schemas.microsoft.com/office/drawing/2014/chart" uri="{C3380CC4-5D6E-409C-BE32-E72D297353CC}">
                <c16:uniqueId val="{00000001-E65B-4644-A894-3561D010F567}"/>
              </c:ext>
            </c:extLst>
          </c:dPt>
          <c:dPt>
            <c:idx val="1"/>
            <c:invertIfNegative val="0"/>
            <c:bubble3D val="0"/>
            <c:extLst>
              <c:ext xmlns:c16="http://schemas.microsoft.com/office/drawing/2014/chart" uri="{C3380CC4-5D6E-409C-BE32-E72D297353CC}">
                <c16:uniqueId val="{00000002-E65B-4644-A894-3561D010F567}"/>
              </c:ext>
            </c:extLst>
          </c:dPt>
          <c:dPt>
            <c:idx val="2"/>
            <c:invertIfNegative val="0"/>
            <c:bubble3D val="0"/>
            <c:spPr>
              <a:solidFill>
                <a:schemeClr val="accent2"/>
              </a:solidFill>
              <a:ln w="25400">
                <a:noFill/>
              </a:ln>
            </c:spPr>
            <c:extLst>
              <c:ext xmlns:c16="http://schemas.microsoft.com/office/drawing/2014/chart" uri="{C3380CC4-5D6E-409C-BE32-E72D297353CC}">
                <c16:uniqueId val="{00000004-E65B-4644-A894-3561D010F567}"/>
              </c:ext>
            </c:extLst>
          </c:dPt>
          <c:dPt>
            <c:idx val="5"/>
            <c:invertIfNegative val="0"/>
            <c:bubble3D val="0"/>
            <c:spPr>
              <a:solidFill>
                <a:schemeClr val="accent4"/>
              </a:solidFill>
              <a:ln w="25400">
                <a:noFill/>
              </a:ln>
            </c:spPr>
            <c:extLst>
              <c:ext xmlns:c16="http://schemas.microsoft.com/office/drawing/2014/chart" uri="{C3380CC4-5D6E-409C-BE32-E72D297353CC}">
                <c16:uniqueId val="{00000006-E65B-4644-A894-3561D010F567}"/>
              </c:ext>
            </c:extLst>
          </c:dPt>
          <c:dPt>
            <c:idx val="6"/>
            <c:invertIfNegative val="0"/>
            <c:bubble3D val="0"/>
            <c:extLst>
              <c:ext xmlns:c16="http://schemas.microsoft.com/office/drawing/2014/chart" uri="{C3380CC4-5D6E-409C-BE32-E72D297353CC}">
                <c16:uniqueId val="{00000007-E65B-4644-A894-3561D010F567}"/>
              </c:ext>
            </c:extLst>
          </c:dPt>
          <c:dLbls>
            <c:dLbl>
              <c:idx val="1"/>
              <c:layout>
                <c:manualLayout>
                  <c:x val="-3.0864197530864213E-2"/>
                  <c:y val="0"/>
                </c:manualLayout>
              </c:layout>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65B-4644-A894-3561D010F567}"/>
                </c:ext>
              </c:extLst>
            </c:dLbl>
            <c:dLbl>
              <c:idx val="2"/>
              <c:layout/>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65B-4644-A894-3561D010F567}"/>
                </c:ext>
              </c:extLst>
            </c:dLbl>
            <c:dLbl>
              <c:idx val="6"/>
              <c:layout>
                <c:manualLayout>
                  <c:x val="-2.7886137833991503E-2"/>
                  <c:y val="-3.3224214475441807E-17"/>
                </c:manualLayout>
              </c:layout>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65B-4644-A894-3561D010F567}"/>
                </c:ext>
              </c:extLst>
            </c:dLbl>
            <c:spPr>
              <a:noFill/>
              <a:ln>
                <a:noFill/>
              </a:ln>
              <a:effectLst/>
            </c:spPr>
            <c:txPr>
              <a:bodyPr wrap="square" lIns="38100" tIns="19050" rIns="38100" bIns="19050" anchor="ctr">
                <a:spAutoFit/>
              </a:bodyPr>
              <a:lstStyle/>
              <a:p>
                <a:pPr>
                  <a:defRPr sz="900">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'2019'!$A$3:$A$30</c:f>
              <c:strCache>
                <c:ptCount val="28"/>
                <c:pt idx="0">
                  <c:v>Igaunija</c:v>
                </c:pt>
                <c:pt idx="1">
                  <c:v>Ungārija</c:v>
                </c:pt>
                <c:pt idx="2">
                  <c:v>Latvija</c:v>
                </c:pt>
                <c:pt idx="3">
                  <c:v>Francija</c:v>
                </c:pt>
                <c:pt idx="4">
                  <c:v>Horvātija</c:v>
                </c:pt>
                <c:pt idx="5">
                  <c:v>Lietuva</c:v>
                </c:pt>
                <c:pt idx="6">
                  <c:v>Malta</c:v>
                </c:pt>
                <c:pt idx="7">
                  <c:v>Polija</c:v>
                </c:pt>
                <c:pt idx="8">
                  <c:v>Čehija</c:v>
                </c:pt>
                <c:pt idx="9">
                  <c:v>Dānija</c:v>
                </c:pt>
                <c:pt idx="10">
                  <c:v>Slovēnija</c:v>
                </c:pt>
                <c:pt idx="11">
                  <c:v>Slovākija</c:v>
                </c:pt>
                <c:pt idx="12">
                  <c:v>Beļģija</c:v>
                </c:pt>
                <c:pt idx="13">
                  <c:v>Luksemburga</c:v>
                </c:pt>
                <c:pt idx="14">
                  <c:v>Austrija</c:v>
                </c:pt>
                <c:pt idx="15">
                  <c:v>Somija</c:v>
                </c:pt>
                <c:pt idx="16">
                  <c:v>Zviedrija</c:v>
                </c:pt>
                <c:pt idx="17">
                  <c:v>Bulgārija</c:v>
                </c:pt>
                <c:pt idx="18">
                  <c:v>Vācija</c:v>
                </c:pt>
                <c:pt idx="19">
                  <c:v>Spānija</c:v>
                </c:pt>
                <c:pt idx="20">
                  <c:v>Nīderlande</c:v>
                </c:pt>
                <c:pt idx="21">
                  <c:v>Rumānija</c:v>
                </c:pt>
                <c:pt idx="22">
                  <c:v>Itālija</c:v>
                </c:pt>
                <c:pt idx="23">
                  <c:v>Portugāle</c:v>
                </c:pt>
                <c:pt idx="24">
                  <c:v>Īrija</c:v>
                </c:pt>
                <c:pt idx="25">
                  <c:v>Kipra</c:v>
                </c:pt>
                <c:pt idx="26">
                  <c:v>Lielbritānija</c:v>
                </c:pt>
                <c:pt idx="27">
                  <c:v>Grieķija</c:v>
                </c:pt>
              </c:strCache>
            </c:strRef>
          </c:cat>
          <c:val>
            <c:numRef>
              <c:f>'2019'!$B$3:$B$30</c:f>
              <c:numCache>
                <c:formatCode>#,##0.##########</c:formatCode>
                <c:ptCount val="28"/>
                <c:pt idx="0">
                  <c:v>1.1000000000000001</c:v>
                </c:pt>
                <c:pt idx="1">
                  <c:v>1.1000000000000001</c:v>
                </c:pt>
                <c:pt idx="2" formatCode="#,##0.0">
                  <c:v>1</c:v>
                </c:pt>
                <c:pt idx="3">
                  <c:v>0.7</c:v>
                </c:pt>
                <c:pt idx="4">
                  <c:v>0.7</c:v>
                </c:pt>
                <c:pt idx="5">
                  <c:v>0.7</c:v>
                </c:pt>
                <c:pt idx="6">
                  <c:v>0.7</c:v>
                </c:pt>
                <c:pt idx="7">
                  <c:v>0.7</c:v>
                </c:pt>
                <c:pt idx="8">
                  <c:v>0.6</c:v>
                </c:pt>
                <c:pt idx="9">
                  <c:v>0.6</c:v>
                </c:pt>
                <c:pt idx="10">
                  <c:v>0.6</c:v>
                </c:pt>
                <c:pt idx="11">
                  <c:v>0.6</c:v>
                </c:pt>
                <c:pt idx="12">
                  <c:v>0.5</c:v>
                </c:pt>
                <c:pt idx="13">
                  <c:v>0.5</c:v>
                </c:pt>
                <c:pt idx="14">
                  <c:v>0.5</c:v>
                </c:pt>
                <c:pt idx="15">
                  <c:v>0.5</c:v>
                </c:pt>
                <c:pt idx="16">
                  <c:v>0.5</c:v>
                </c:pt>
                <c:pt idx="17">
                  <c:v>0.4</c:v>
                </c:pt>
                <c:pt idx="18">
                  <c:v>0.4</c:v>
                </c:pt>
                <c:pt idx="19">
                  <c:v>0.4</c:v>
                </c:pt>
                <c:pt idx="20">
                  <c:v>0.4</c:v>
                </c:pt>
                <c:pt idx="21">
                  <c:v>0.4</c:v>
                </c:pt>
                <c:pt idx="22">
                  <c:v>0.3</c:v>
                </c:pt>
                <c:pt idx="23">
                  <c:v>0.3</c:v>
                </c:pt>
                <c:pt idx="24">
                  <c:v>0.2</c:v>
                </c:pt>
                <c:pt idx="25">
                  <c:v>0.2</c:v>
                </c:pt>
                <c:pt idx="26">
                  <c:v>0.2</c:v>
                </c:pt>
                <c:pt idx="27">
                  <c:v>0.1</c:v>
                </c:pt>
              </c:numCache>
            </c:numRef>
          </c:val>
          <c:extLst>
            <c:ext xmlns:c16="http://schemas.microsoft.com/office/drawing/2014/chart" uri="{C3380CC4-5D6E-409C-BE32-E72D297353CC}">
              <c16:uniqueId val="{00000008-E65B-4644-A894-3561D010F567}"/>
            </c:ext>
          </c:extLst>
        </c:ser>
        <c:dLbls>
          <c:showLegendKey val="0"/>
          <c:showVal val="0"/>
          <c:showCatName val="0"/>
          <c:showSerName val="0"/>
          <c:showPercent val="0"/>
          <c:showBubbleSize val="0"/>
        </c:dLbls>
        <c:gapWidth val="50"/>
        <c:overlap val="-27"/>
        <c:axId val="1725536256"/>
        <c:axId val="1"/>
      </c:barChart>
      <c:lineChart>
        <c:grouping val="standard"/>
        <c:varyColors val="0"/>
        <c:ser>
          <c:idx val="1"/>
          <c:order val="1"/>
          <c:tx>
            <c:strRef>
              <c:f>'2019'!$C$2</c:f>
              <c:strCache>
                <c:ptCount val="1"/>
                <c:pt idx="0">
                  <c:v>ES vidēji </c:v>
                </c:pt>
              </c:strCache>
            </c:strRef>
          </c:tx>
          <c:spPr>
            <a:ln w="28575" cap="rnd">
              <a:solidFill>
                <a:srgbClr val="C00000"/>
              </a:solidFill>
              <a:prstDash val="dash"/>
              <a:round/>
            </a:ln>
            <a:effectLst/>
          </c:spPr>
          <c:marker>
            <c:symbol val="none"/>
          </c:marker>
          <c:cat>
            <c:strRef>
              <c:f>'2019'!$A$3:$A$30</c:f>
              <c:strCache>
                <c:ptCount val="28"/>
                <c:pt idx="0">
                  <c:v>Igaunija</c:v>
                </c:pt>
                <c:pt idx="1">
                  <c:v>Ungārija</c:v>
                </c:pt>
                <c:pt idx="2">
                  <c:v>Latvija</c:v>
                </c:pt>
                <c:pt idx="3">
                  <c:v>Francija</c:v>
                </c:pt>
                <c:pt idx="4">
                  <c:v>Horvātija</c:v>
                </c:pt>
                <c:pt idx="5">
                  <c:v>Lietuva</c:v>
                </c:pt>
                <c:pt idx="6">
                  <c:v>Malta</c:v>
                </c:pt>
                <c:pt idx="7">
                  <c:v>Polija</c:v>
                </c:pt>
                <c:pt idx="8">
                  <c:v>Čehija</c:v>
                </c:pt>
                <c:pt idx="9">
                  <c:v>Dānija</c:v>
                </c:pt>
                <c:pt idx="10">
                  <c:v>Slovēnija</c:v>
                </c:pt>
                <c:pt idx="11">
                  <c:v>Slovākija</c:v>
                </c:pt>
                <c:pt idx="12">
                  <c:v>Beļģija</c:v>
                </c:pt>
                <c:pt idx="13">
                  <c:v>Luksemburga</c:v>
                </c:pt>
                <c:pt idx="14">
                  <c:v>Austrija</c:v>
                </c:pt>
                <c:pt idx="15">
                  <c:v>Somija</c:v>
                </c:pt>
                <c:pt idx="16">
                  <c:v>Zviedrija</c:v>
                </c:pt>
                <c:pt idx="17">
                  <c:v>Bulgārija</c:v>
                </c:pt>
                <c:pt idx="18">
                  <c:v>Vācija</c:v>
                </c:pt>
                <c:pt idx="19">
                  <c:v>Spānija</c:v>
                </c:pt>
                <c:pt idx="20">
                  <c:v>Nīderlande</c:v>
                </c:pt>
                <c:pt idx="21">
                  <c:v>Rumānija</c:v>
                </c:pt>
                <c:pt idx="22">
                  <c:v>Itālija</c:v>
                </c:pt>
                <c:pt idx="23">
                  <c:v>Portugāle</c:v>
                </c:pt>
                <c:pt idx="24">
                  <c:v>Īrija</c:v>
                </c:pt>
                <c:pt idx="25">
                  <c:v>Kipra</c:v>
                </c:pt>
                <c:pt idx="26">
                  <c:v>Lielbritānija</c:v>
                </c:pt>
                <c:pt idx="27">
                  <c:v>Grieķija</c:v>
                </c:pt>
              </c:strCache>
            </c:strRef>
          </c:cat>
          <c:val>
            <c:numRef>
              <c:f>'2019'!$C$3:$C$30</c:f>
              <c:numCache>
                <c:formatCode>General</c:formatCode>
                <c:ptCount val="28"/>
                <c:pt idx="0">
                  <c:v>0.4</c:v>
                </c:pt>
                <c:pt idx="1">
                  <c:v>0.4</c:v>
                </c:pt>
                <c:pt idx="2">
                  <c:v>0.4</c:v>
                </c:pt>
                <c:pt idx="3">
                  <c:v>0.4</c:v>
                </c:pt>
                <c:pt idx="4">
                  <c:v>0.4</c:v>
                </c:pt>
                <c:pt idx="5">
                  <c:v>0.4</c:v>
                </c:pt>
                <c:pt idx="6">
                  <c:v>0.4</c:v>
                </c:pt>
                <c:pt idx="7">
                  <c:v>0.4</c:v>
                </c:pt>
                <c:pt idx="8">
                  <c:v>0.4</c:v>
                </c:pt>
                <c:pt idx="9">
                  <c:v>0.4</c:v>
                </c:pt>
                <c:pt idx="10">
                  <c:v>0.4</c:v>
                </c:pt>
                <c:pt idx="11">
                  <c:v>0.4</c:v>
                </c:pt>
                <c:pt idx="12">
                  <c:v>0.4</c:v>
                </c:pt>
                <c:pt idx="13">
                  <c:v>0.4</c:v>
                </c:pt>
                <c:pt idx="14">
                  <c:v>0.4</c:v>
                </c:pt>
                <c:pt idx="15">
                  <c:v>0.4</c:v>
                </c:pt>
                <c:pt idx="16">
                  <c:v>0.4</c:v>
                </c:pt>
                <c:pt idx="17">
                  <c:v>0.4</c:v>
                </c:pt>
                <c:pt idx="18">
                  <c:v>0.4</c:v>
                </c:pt>
                <c:pt idx="19">
                  <c:v>0.4</c:v>
                </c:pt>
                <c:pt idx="20">
                  <c:v>0.4</c:v>
                </c:pt>
                <c:pt idx="21">
                  <c:v>0.4</c:v>
                </c:pt>
                <c:pt idx="22">
                  <c:v>0.4</c:v>
                </c:pt>
                <c:pt idx="23">
                  <c:v>0.4</c:v>
                </c:pt>
                <c:pt idx="24">
                  <c:v>0.4</c:v>
                </c:pt>
                <c:pt idx="25">
                  <c:v>0.4</c:v>
                </c:pt>
                <c:pt idx="26">
                  <c:v>0.4</c:v>
                </c:pt>
                <c:pt idx="27">
                  <c:v>0.4</c:v>
                </c:pt>
              </c:numCache>
            </c:numRef>
          </c:val>
          <c:smooth val="0"/>
          <c:extLst>
            <c:ext xmlns:c16="http://schemas.microsoft.com/office/drawing/2014/chart" uri="{C3380CC4-5D6E-409C-BE32-E72D297353CC}">
              <c16:uniqueId val="{00000009-E65B-4644-A894-3561D010F567}"/>
            </c:ext>
          </c:extLst>
        </c:ser>
        <c:dLbls>
          <c:showLegendKey val="0"/>
          <c:showVal val="0"/>
          <c:showCatName val="0"/>
          <c:showSerName val="0"/>
          <c:showPercent val="0"/>
          <c:showBubbleSize val="0"/>
        </c:dLbls>
        <c:marker val="1"/>
        <c:smooth val="0"/>
        <c:axId val="1725536256"/>
        <c:axId val="1"/>
      </c:lineChart>
      <c:lineChart>
        <c:grouping val="standard"/>
        <c:varyColors val="0"/>
        <c:ser>
          <c:idx val="2"/>
          <c:order val="2"/>
          <c:tx>
            <c:strRef>
              <c:f>'2019'!$D$2</c:f>
              <c:strCache>
                <c:ptCount val="1"/>
                <c:pt idx="0">
                  <c:v>Kultūras eksports</c:v>
                </c:pt>
              </c:strCache>
            </c:strRef>
          </c:tx>
          <c:spPr>
            <a:ln w="19050">
              <a:noFill/>
            </a:ln>
          </c:spPr>
          <c:marker>
            <c:symbol val="diamond"/>
            <c:size val="11"/>
            <c:spPr>
              <a:solidFill>
                <a:schemeClr val="accent5">
                  <a:lumMod val="75000"/>
                </a:schemeClr>
              </a:solidFill>
              <a:ln w="9525">
                <a:solidFill>
                  <a:schemeClr val="accent5">
                    <a:lumMod val="75000"/>
                  </a:schemeClr>
                </a:solidFill>
              </a:ln>
              <a:effectLst/>
            </c:spPr>
          </c:marker>
          <c:dLbls>
            <c:dLbl>
              <c:idx val="1"/>
              <c:layout>
                <c:manualLayout>
                  <c:x val="-6.7908779968119448E-2"/>
                  <c:y val="-9.3786120156510042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0,57</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E65B-4644-A894-3561D010F567}"/>
                </c:ext>
              </c:extLst>
            </c:dLbl>
            <c:dLbl>
              <c:idx val="2"/>
              <c:layout>
                <c:manualLayout>
                  <c:x val="-4.2329932563109164E-2"/>
                  <c:y val="-5.0967913171781398E-2"/>
                </c:manualLayout>
              </c:layout>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E65B-4644-A894-3561D010F567}"/>
                </c:ext>
              </c:extLst>
            </c:dLbl>
            <c:dLbl>
              <c:idx val="6"/>
              <c:layout>
                <c:manualLayout>
                  <c:x val="-6.6365483561757269E-2"/>
                  <c:y val="-3.7579803249494205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r>
                      <a:rPr lang="en-US" sz="900">
                        <a:solidFill>
                          <a:schemeClr val="tx1"/>
                        </a:solidFill>
                        <a:latin typeface="Times New Roman" panose="02020603050405020304" pitchFamily="18" charset="0"/>
                        <a:cs typeface="Times New Roman" panose="02020603050405020304" pitchFamily="18" charset="0"/>
                      </a:rPr>
                      <a:t>0,38</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E65B-4644-A894-3561D010F567}"/>
                </c:ext>
              </c:extLst>
            </c:dLbl>
            <c:spPr>
              <a:noFill/>
              <a:ln>
                <a:noFill/>
              </a:ln>
              <a:effectLst/>
            </c:spPr>
            <c:txPr>
              <a:bodyPr wrap="square" lIns="38100" tIns="19050" rIns="38100" bIns="19050" anchor="ctr">
                <a:spAutoFit/>
              </a:bodyPr>
              <a:lstStyle/>
              <a:p>
                <a:pPr>
                  <a:defRPr sz="900">
                    <a:latin typeface="Times New Roman" panose="02020603050405020304" pitchFamily="18" charset="0"/>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'2019'!$A$3:$A$30</c:f>
              <c:strCache>
                <c:ptCount val="28"/>
                <c:pt idx="0">
                  <c:v>Igaunija</c:v>
                </c:pt>
                <c:pt idx="1">
                  <c:v>Ungārija</c:v>
                </c:pt>
                <c:pt idx="2">
                  <c:v>Latvija</c:v>
                </c:pt>
                <c:pt idx="3">
                  <c:v>Francija</c:v>
                </c:pt>
                <c:pt idx="4">
                  <c:v>Horvātija</c:v>
                </c:pt>
                <c:pt idx="5">
                  <c:v>Lietuva</c:v>
                </c:pt>
                <c:pt idx="6">
                  <c:v>Malta</c:v>
                </c:pt>
                <c:pt idx="7">
                  <c:v>Polija</c:v>
                </c:pt>
                <c:pt idx="8">
                  <c:v>Čehija</c:v>
                </c:pt>
                <c:pt idx="9">
                  <c:v>Dānija</c:v>
                </c:pt>
                <c:pt idx="10">
                  <c:v>Slovēnija</c:v>
                </c:pt>
                <c:pt idx="11">
                  <c:v>Slovākija</c:v>
                </c:pt>
                <c:pt idx="12">
                  <c:v>Beļģija</c:v>
                </c:pt>
                <c:pt idx="13">
                  <c:v>Luksemburga</c:v>
                </c:pt>
                <c:pt idx="14">
                  <c:v>Austrija</c:v>
                </c:pt>
                <c:pt idx="15">
                  <c:v>Somija</c:v>
                </c:pt>
                <c:pt idx="16">
                  <c:v>Zviedrija</c:v>
                </c:pt>
                <c:pt idx="17">
                  <c:v>Bulgārija</c:v>
                </c:pt>
                <c:pt idx="18">
                  <c:v>Vācija</c:v>
                </c:pt>
                <c:pt idx="19">
                  <c:v>Spānija</c:v>
                </c:pt>
                <c:pt idx="20">
                  <c:v>Nīderlande</c:v>
                </c:pt>
                <c:pt idx="21">
                  <c:v>Rumānija</c:v>
                </c:pt>
                <c:pt idx="22">
                  <c:v>Itālija</c:v>
                </c:pt>
                <c:pt idx="23">
                  <c:v>Portugāle</c:v>
                </c:pt>
                <c:pt idx="24">
                  <c:v>Īrija</c:v>
                </c:pt>
                <c:pt idx="25">
                  <c:v>Kipra</c:v>
                </c:pt>
                <c:pt idx="26">
                  <c:v>Lielbritānija</c:v>
                </c:pt>
                <c:pt idx="27">
                  <c:v>Grieķija</c:v>
                </c:pt>
              </c:strCache>
            </c:strRef>
          </c:cat>
          <c:val>
            <c:numRef>
              <c:f>'2019'!$D$3:$D$30</c:f>
              <c:numCache>
                <c:formatCode>#,##0.##########</c:formatCode>
                <c:ptCount val="28"/>
                <c:pt idx="0">
                  <c:v>0.56999999999999995</c:v>
                </c:pt>
                <c:pt idx="1">
                  <c:v>0.15</c:v>
                </c:pt>
                <c:pt idx="2">
                  <c:v>1.08</c:v>
                </c:pt>
                <c:pt idx="3">
                  <c:v>1.96</c:v>
                </c:pt>
                <c:pt idx="4">
                  <c:v>0.43</c:v>
                </c:pt>
                <c:pt idx="5">
                  <c:v>0.38</c:v>
                </c:pt>
                <c:pt idx="6">
                  <c:v>0.59</c:v>
                </c:pt>
                <c:pt idx="7">
                  <c:v>1.42</c:v>
                </c:pt>
                <c:pt idx="8">
                  <c:v>0.88</c:v>
                </c:pt>
                <c:pt idx="9">
                  <c:v>0.43</c:v>
                </c:pt>
                <c:pt idx="10">
                  <c:v>0.41</c:v>
                </c:pt>
                <c:pt idx="11">
                  <c:v>0.44</c:v>
                </c:pt>
                <c:pt idx="12">
                  <c:v>0.27</c:v>
                </c:pt>
                <c:pt idx="13">
                  <c:v>0.27</c:v>
                </c:pt>
                <c:pt idx="14">
                  <c:v>0.67</c:v>
                </c:pt>
                <c:pt idx="15">
                  <c:v>0.12</c:v>
                </c:pt>
                <c:pt idx="16">
                  <c:v>0.36</c:v>
                </c:pt>
                <c:pt idx="17">
                  <c:v>0.42</c:v>
                </c:pt>
                <c:pt idx="18">
                  <c:v>0.64</c:v>
                </c:pt>
                <c:pt idx="19">
                  <c:v>0.7</c:v>
                </c:pt>
                <c:pt idx="20">
                  <c:v>0.65</c:v>
                </c:pt>
                <c:pt idx="21">
                  <c:v>0.21</c:v>
                </c:pt>
                <c:pt idx="22">
                  <c:v>1.74</c:v>
                </c:pt>
                <c:pt idx="23">
                  <c:v>0.33</c:v>
                </c:pt>
                <c:pt idx="24">
                  <c:v>0.42</c:v>
                </c:pt>
                <c:pt idx="25">
                  <c:v>0.4</c:v>
                </c:pt>
                <c:pt idx="26">
                  <c:v>4.91</c:v>
                </c:pt>
                <c:pt idx="27">
                  <c:v>0.5</c:v>
                </c:pt>
              </c:numCache>
            </c:numRef>
          </c:val>
          <c:smooth val="0"/>
          <c:extLst>
            <c:ext xmlns:c16="http://schemas.microsoft.com/office/drawing/2014/chart" uri="{C3380CC4-5D6E-409C-BE32-E72D297353CC}">
              <c16:uniqueId val="{0000000D-E65B-4644-A894-3561D010F567}"/>
            </c:ext>
          </c:extLst>
        </c:ser>
        <c:dLbls>
          <c:showLegendKey val="0"/>
          <c:showVal val="0"/>
          <c:showCatName val="0"/>
          <c:showSerName val="0"/>
          <c:showPercent val="0"/>
          <c:showBubbleSize val="0"/>
        </c:dLbls>
        <c:marker val="1"/>
        <c:smooth val="0"/>
        <c:axId val="3"/>
        <c:axId val="4"/>
      </c:lineChart>
      <c:catAx>
        <c:axId val="17255362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Batang" panose="02030600000101010101"/>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lv-LV" sz="900">
                    <a:latin typeface="Times New Roman" panose="02020603050405020304" pitchFamily="18" charset="0"/>
                    <a:cs typeface="Times New Roman" panose="02020603050405020304" pitchFamily="18" charset="0"/>
                  </a:rPr>
                  <a:t>Izdevumi,</a:t>
                </a:r>
                <a:r>
                  <a:rPr lang="lv-LV" sz="900" baseline="0">
                    <a:latin typeface="Times New Roman" panose="02020603050405020304" pitchFamily="18" charset="0"/>
                    <a:cs typeface="Times New Roman" panose="02020603050405020304" pitchFamily="18" charset="0"/>
                  </a:rPr>
                  <a:t> % no IKP</a:t>
                </a:r>
                <a:endParaRPr lang="lv-LV" sz="900">
                  <a:latin typeface="Times New Roman" panose="02020603050405020304" pitchFamily="18" charset="0"/>
                  <a:cs typeface="Times New Roman" panose="02020603050405020304" pitchFamily="18" charset="0"/>
                </a:endParaRPr>
              </a:p>
            </c:rich>
          </c:tx>
          <c:layout/>
          <c:overlay val="0"/>
          <c:spPr>
            <a:noFill/>
            <a:ln w="25400">
              <a:noFill/>
            </a:ln>
          </c:spPr>
        </c:title>
        <c:numFmt formatCode="#\ ##0.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72553625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lv-LV" sz="900">
                    <a:latin typeface="Times New Roman" panose="02020603050405020304" pitchFamily="18" charset="0"/>
                    <a:cs typeface="Times New Roman" panose="02020603050405020304" pitchFamily="18" charset="0"/>
                  </a:rPr>
                  <a:t>Eksports</a:t>
                </a:r>
                <a:r>
                  <a:rPr lang="lv-LV" sz="900" baseline="0">
                    <a:latin typeface="Times New Roman" panose="02020603050405020304" pitchFamily="18" charset="0"/>
                    <a:cs typeface="Times New Roman" panose="02020603050405020304" pitchFamily="18" charset="0"/>
                  </a:rPr>
                  <a:t> % no kopējā eksporta apjoma</a:t>
                </a:r>
                <a:endParaRPr lang="lv-LV" sz="900">
                  <a:latin typeface="Times New Roman" panose="02020603050405020304" pitchFamily="18" charset="0"/>
                  <a:cs typeface="Times New Roman" panose="02020603050405020304" pitchFamily="18" charset="0"/>
                </a:endParaRPr>
              </a:p>
            </c:rich>
          </c:tx>
          <c:layout/>
          <c:overlay val="0"/>
          <c:spPr>
            <a:noFill/>
            <a:ln w="25400">
              <a:noFill/>
            </a:ln>
          </c:spPr>
        </c:title>
        <c:numFmt formatCode="#\ ##0.0" sourceLinked="0"/>
        <c:majorTickMark val="out"/>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3"/>
        <c:crosses val="max"/>
        <c:crossBetween val="between"/>
      </c:valAx>
      <c:spPr>
        <a:noFill/>
        <a:ln w="25400">
          <a:noFill/>
        </a:ln>
      </c:spPr>
    </c:plotArea>
    <c:legend>
      <c:legendPos val="b"/>
      <c:legendEntry>
        <c:idx val="1"/>
        <c:delete val="1"/>
      </c:legendEntry>
      <c:layout/>
      <c:overlay val="0"/>
      <c:spPr>
        <a:noFill/>
        <a:ln w="25400">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lv-LV"/>
    </a:p>
  </c:txPr>
  <c:externalData r:id="rId1">
    <c:autoUpdate val="0"/>
  </c:externalData>
  <c:userShapes r:id="rId2"/>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92466082584747"/>
          <c:y val="3.6124794745484398E-2"/>
          <c:w val="0.73533621677571992"/>
          <c:h val="0.53938662839558849"/>
        </c:manualLayout>
      </c:layout>
      <c:barChart>
        <c:barDir val="col"/>
        <c:grouping val="percentStacked"/>
        <c:varyColors val="0"/>
        <c:ser>
          <c:idx val="1"/>
          <c:order val="1"/>
          <c:tx>
            <c:strRef>
              <c:f>Sheet2!$C$1</c:f>
              <c:strCache>
                <c:ptCount val="1"/>
                <c:pt idx="0">
                  <c:v>Māksla (gleznas, skulptūras, gravējumi utt.)</c:v>
                </c:pt>
              </c:strCache>
            </c:strRef>
          </c:tx>
          <c:spPr>
            <a:solidFill>
              <a:schemeClr val="accent2"/>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Sheet2!$C$2:$C$29</c:f>
              <c:numCache>
                <c:formatCode>General</c:formatCode>
                <c:ptCount val="28"/>
                <c:pt idx="0">
                  <c:v>45.8</c:v>
                </c:pt>
                <c:pt idx="1">
                  <c:v>11.1</c:v>
                </c:pt>
                <c:pt idx="2">
                  <c:v>8.1</c:v>
                </c:pt>
                <c:pt idx="3">
                  <c:v>4.2</c:v>
                </c:pt>
                <c:pt idx="4">
                  <c:v>2.7</c:v>
                </c:pt>
                <c:pt idx="5">
                  <c:v>1.2</c:v>
                </c:pt>
                <c:pt idx="6">
                  <c:v>5.5</c:v>
                </c:pt>
                <c:pt idx="7">
                  <c:v>1.8</c:v>
                </c:pt>
                <c:pt idx="8">
                  <c:v>12</c:v>
                </c:pt>
                <c:pt idx="9">
                  <c:v>9.6999999999999993</c:v>
                </c:pt>
                <c:pt idx="10">
                  <c:v>2.4</c:v>
                </c:pt>
                <c:pt idx="11">
                  <c:v>6.9</c:v>
                </c:pt>
                <c:pt idx="12">
                  <c:v>9.1</c:v>
                </c:pt>
                <c:pt idx="13">
                  <c:v>1.1000000000000001</c:v>
                </c:pt>
                <c:pt idx="14">
                  <c:v>5.7</c:v>
                </c:pt>
                <c:pt idx="15">
                  <c:v>8.6</c:v>
                </c:pt>
                <c:pt idx="16">
                  <c:v>1.9</c:v>
                </c:pt>
                <c:pt idx="17">
                  <c:v>2.2000000000000002</c:v>
                </c:pt>
                <c:pt idx="18">
                  <c:v>0.2</c:v>
                </c:pt>
                <c:pt idx="19">
                  <c:v>0.2</c:v>
                </c:pt>
                <c:pt idx="20">
                  <c:v>1.2</c:v>
                </c:pt>
                <c:pt idx="21">
                  <c:v>1.2</c:v>
                </c:pt>
                <c:pt idx="22">
                  <c:v>4.4000000000000004</c:v>
                </c:pt>
                <c:pt idx="23">
                  <c:v>6.5</c:v>
                </c:pt>
                <c:pt idx="24">
                  <c:v>0.5</c:v>
                </c:pt>
                <c:pt idx="25">
                  <c:v>47.4</c:v>
                </c:pt>
                <c:pt idx="26">
                  <c:v>2.9</c:v>
                </c:pt>
                <c:pt idx="27">
                  <c:v>1.2</c:v>
                </c:pt>
              </c:numCache>
            </c:numRef>
          </c:val>
          <c:extLst>
            <c:ext xmlns:c16="http://schemas.microsoft.com/office/drawing/2014/chart" uri="{C3380CC4-5D6E-409C-BE32-E72D297353CC}">
              <c16:uniqueId val="{00000000-7936-4BA3-B055-AD1A4C37E4CB}"/>
            </c:ext>
          </c:extLst>
        </c:ser>
        <c:ser>
          <c:idx val="2"/>
          <c:order val="2"/>
          <c:tx>
            <c:strRef>
              <c:f>Sheet2!$D$1</c:f>
              <c:strCache>
                <c:ptCount val="1"/>
                <c:pt idx="0">
                  <c:v>Amatnieku darinājumi</c:v>
                </c:pt>
              </c:strCache>
            </c:strRef>
          </c:tx>
          <c:spPr>
            <a:solidFill>
              <a:schemeClr val="accent3"/>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Sheet2!$D$2:$D$29</c:f>
              <c:numCache>
                <c:formatCode>General</c:formatCode>
                <c:ptCount val="28"/>
                <c:pt idx="0">
                  <c:v>0.2</c:v>
                </c:pt>
                <c:pt idx="1">
                  <c:v>2</c:v>
                </c:pt>
                <c:pt idx="2">
                  <c:v>3.8</c:v>
                </c:pt>
                <c:pt idx="3">
                  <c:v>5.8</c:v>
                </c:pt>
                <c:pt idx="4">
                  <c:v>3</c:v>
                </c:pt>
                <c:pt idx="5">
                  <c:v>1</c:v>
                </c:pt>
                <c:pt idx="6">
                  <c:v>6.2</c:v>
                </c:pt>
                <c:pt idx="7">
                  <c:v>1.5</c:v>
                </c:pt>
                <c:pt idx="8">
                  <c:v>4.5999999999999996</c:v>
                </c:pt>
                <c:pt idx="9">
                  <c:v>9.1999999999999993</c:v>
                </c:pt>
                <c:pt idx="10">
                  <c:v>0.3</c:v>
                </c:pt>
                <c:pt idx="11">
                  <c:v>1.8</c:v>
                </c:pt>
                <c:pt idx="12">
                  <c:v>7.3</c:v>
                </c:pt>
                <c:pt idx="13">
                  <c:v>2.2000000000000002</c:v>
                </c:pt>
                <c:pt idx="14">
                  <c:v>33.200000000000003</c:v>
                </c:pt>
                <c:pt idx="15">
                  <c:v>19.100000000000001</c:v>
                </c:pt>
                <c:pt idx="16">
                  <c:v>19.100000000000001</c:v>
                </c:pt>
                <c:pt idx="17">
                  <c:v>20.8</c:v>
                </c:pt>
                <c:pt idx="18">
                  <c:v>10.199999999999999</c:v>
                </c:pt>
                <c:pt idx="19">
                  <c:v>7.1</c:v>
                </c:pt>
                <c:pt idx="20">
                  <c:v>8.6</c:v>
                </c:pt>
                <c:pt idx="21">
                  <c:v>8.6</c:v>
                </c:pt>
                <c:pt idx="22">
                  <c:v>1.5</c:v>
                </c:pt>
                <c:pt idx="23">
                  <c:v>1.2</c:v>
                </c:pt>
                <c:pt idx="24">
                  <c:v>12.9</c:v>
                </c:pt>
                <c:pt idx="25">
                  <c:v>1</c:v>
                </c:pt>
                <c:pt idx="26">
                  <c:v>0</c:v>
                </c:pt>
                <c:pt idx="27">
                  <c:v>0.1</c:v>
                </c:pt>
              </c:numCache>
            </c:numRef>
          </c:val>
          <c:extLst>
            <c:ext xmlns:c16="http://schemas.microsoft.com/office/drawing/2014/chart" uri="{C3380CC4-5D6E-409C-BE32-E72D297353CC}">
              <c16:uniqueId val="{00000001-7936-4BA3-B055-AD1A4C37E4CB}"/>
            </c:ext>
          </c:extLst>
        </c:ser>
        <c:ser>
          <c:idx val="3"/>
          <c:order val="3"/>
          <c:tx>
            <c:strRef>
              <c:f>Sheet2!$E$1</c:f>
              <c:strCache>
                <c:ptCount val="1"/>
                <c:pt idx="0">
                  <c:v>Grāmatas</c:v>
                </c:pt>
              </c:strCache>
            </c:strRef>
          </c:tx>
          <c:spPr>
            <a:solidFill>
              <a:schemeClr val="accent4"/>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Sheet2!$E$2:$E$29</c:f>
              <c:numCache>
                <c:formatCode>General</c:formatCode>
                <c:ptCount val="28"/>
                <c:pt idx="0">
                  <c:v>11.1</c:v>
                </c:pt>
                <c:pt idx="1">
                  <c:v>6.8</c:v>
                </c:pt>
                <c:pt idx="2">
                  <c:v>18.3</c:v>
                </c:pt>
                <c:pt idx="3">
                  <c:v>5.0999999999999996</c:v>
                </c:pt>
                <c:pt idx="4">
                  <c:v>15.6</c:v>
                </c:pt>
                <c:pt idx="5">
                  <c:v>29.4</c:v>
                </c:pt>
                <c:pt idx="6">
                  <c:v>24.5</c:v>
                </c:pt>
                <c:pt idx="7">
                  <c:v>27</c:v>
                </c:pt>
                <c:pt idx="8">
                  <c:v>24.7</c:v>
                </c:pt>
                <c:pt idx="9">
                  <c:v>5.6</c:v>
                </c:pt>
                <c:pt idx="10">
                  <c:v>10.9</c:v>
                </c:pt>
                <c:pt idx="11">
                  <c:v>15.2</c:v>
                </c:pt>
                <c:pt idx="12">
                  <c:v>17.100000000000001</c:v>
                </c:pt>
                <c:pt idx="13">
                  <c:v>32</c:v>
                </c:pt>
                <c:pt idx="14">
                  <c:v>14.4</c:v>
                </c:pt>
                <c:pt idx="15">
                  <c:v>28.6</c:v>
                </c:pt>
                <c:pt idx="16">
                  <c:v>48.5</c:v>
                </c:pt>
                <c:pt idx="17">
                  <c:v>48.9</c:v>
                </c:pt>
                <c:pt idx="18">
                  <c:v>69.099999999999994</c:v>
                </c:pt>
                <c:pt idx="19">
                  <c:v>23.2</c:v>
                </c:pt>
                <c:pt idx="20">
                  <c:v>19.8</c:v>
                </c:pt>
                <c:pt idx="21">
                  <c:v>47.7</c:v>
                </c:pt>
                <c:pt idx="22">
                  <c:v>29.4</c:v>
                </c:pt>
                <c:pt idx="23">
                  <c:v>13.9</c:v>
                </c:pt>
                <c:pt idx="24">
                  <c:v>28.1</c:v>
                </c:pt>
                <c:pt idx="25">
                  <c:v>11</c:v>
                </c:pt>
                <c:pt idx="26">
                  <c:v>24.9</c:v>
                </c:pt>
                <c:pt idx="27">
                  <c:v>3.2</c:v>
                </c:pt>
              </c:numCache>
            </c:numRef>
          </c:val>
          <c:extLst>
            <c:ext xmlns:c16="http://schemas.microsoft.com/office/drawing/2014/chart" uri="{C3380CC4-5D6E-409C-BE32-E72D297353CC}">
              <c16:uniqueId val="{00000002-7936-4BA3-B055-AD1A4C37E4CB}"/>
            </c:ext>
          </c:extLst>
        </c:ser>
        <c:ser>
          <c:idx val="4"/>
          <c:order val="4"/>
          <c:tx>
            <c:strRef>
              <c:f>Sheet2!$F$1</c:f>
              <c:strCache>
                <c:ptCount val="1"/>
                <c:pt idx="0">
                  <c:v>Laikraksti, žurnāli un periodika</c:v>
                </c:pt>
              </c:strCache>
            </c:strRef>
          </c:tx>
          <c:spPr>
            <a:solidFill>
              <a:schemeClr val="accent5"/>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Sheet2!$F$2:$F$29</c:f>
              <c:numCache>
                <c:formatCode>General</c:formatCode>
                <c:ptCount val="28"/>
                <c:pt idx="0">
                  <c:v>1.4</c:v>
                </c:pt>
                <c:pt idx="1">
                  <c:v>2.2000000000000002</c:v>
                </c:pt>
                <c:pt idx="2">
                  <c:v>5.3</c:v>
                </c:pt>
                <c:pt idx="3">
                  <c:v>1.8</c:v>
                </c:pt>
                <c:pt idx="4">
                  <c:v>1.9</c:v>
                </c:pt>
                <c:pt idx="5">
                  <c:v>15.5</c:v>
                </c:pt>
                <c:pt idx="6">
                  <c:v>3.3</c:v>
                </c:pt>
                <c:pt idx="7">
                  <c:v>3.2</c:v>
                </c:pt>
                <c:pt idx="8">
                  <c:v>8.6</c:v>
                </c:pt>
                <c:pt idx="9">
                  <c:v>1.5</c:v>
                </c:pt>
                <c:pt idx="10">
                  <c:v>2.2999999999999998</c:v>
                </c:pt>
                <c:pt idx="11">
                  <c:v>4.5999999999999996</c:v>
                </c:pt>
                <c:pt idx="12">
                  <c:v>6.6</c:v>
                </c:pt>
                <c:pt idx="13">
                  <c:v>7.9</c:v>
                </c:pt>
                <c:pt idx="14">
                  <c:v>1.9</c:v>
                </c:pt>
                <c:pt idx="15">
                  <c:v>0.5</c:v>
                </c:pt>
                <c:pt idx="16">
                  <c:v>8.1999999999999993</c:v>
                </c:pt>
                <c:pt idx="17">
                  <c:v>2</c:v>
                </c:pt>
                <c:pt idx="18">
                  <c:v>4.8</c:v>
                </c:pt>
                <c:pt idx="19">
                  <c:v>20.2</c:v>
                </c:pt>
                <c:pt idx="20">
                  <c:v>1.6</c:v>
                </c:pt>
                <c:pt idx="21">
                  <c:v>11.6</c:v>
                </c:pt>
                <c:pt idx="22">
                  <c:v>42.1</c:v>
                </c:pt>
                <c:pt idx="23">
                  <c:v>18.7</c:v>
                </c:pt>
                <c:pt idx="24">
                  <c:v>22.2</c:v>
                </c:pt>
                <c:pt idx="25">
                  <c:v>1.4</c:v>
                </c:pt>
                <c:pt idx="26">
                  <c:v>0</c:v>
                </c:pt>
                <c:pt idx="27">
                  <c:v>0</c:v>
                </c:pt>
              </c:numCache>
            </c:numRef>
          </c:val>
          <c:extLst>
            <c:ext xmlns:c16="http://schemas.microsoft.com/office/drawing/2014/chart" uri="{C3380CC4-5D6E-409C-BE32-E72D297353CC}">
              <c16:uniqueId val="{00000003-7936-4BA3-B055-AD1A4C37E4CB}"/>
            </c:ext>
          </c:extLst>
        </c:ser>
        <c:ser>
          <c:idx val="5"/>
          <c:order val="5"/>
          <c:tx>
            <c:strRef>
              <c:f>Sheet2!$G$1</c:f>
              <c:strCache>
                <c:ptCount val="1"/>
                <c:pt idx="0">
                  <c:v>Audiovizuālais materiāls (mūzika, filmas utt.)</c:v>
                </c:pt>
              </c:strCache>
            </c:strRef>
          </c:tx>
          <c:spPr>
            <a:solidFill>
              <a:schemeClr val="accent6"/>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Sheet2!$G$2:$G$29</c:f>
              <c:numCache>
                <c:formatCode>General</c:formatCode>
                <c:ptCount val="28"/>
                <c:pt idx="0">
                  <c:v>2.4</c:v>
                </c:pt>
                <c:pt idx="1">
                  <c:v>5.0999999999999996</c:v>
                </c:pt>
                <c:pt idx="2">
                  <c:v>21.3</c:v>
                </c:pt>
                <c:pt idx="3">
                  <c:v>1.6</c:v>
                </c:pt>
                <c:pt idx="4">
                  <c:v>12.6</c:v>
                </c:pt>
                <c:pt idx="5">
                  <c:v>16.7</c:v>
                </c:pt>
                <c:pt idx="6">
                  <c:v>3.7</c:v>
                </c:pt>
                <c:pt idx="7">
                  <c:v>50.4</c:v>
                </c:pt>
                <c:pt idx="8">
                  <c:v>7.2</c:v>
                </c:pt>
                <c:pt idx="9">
                  <c:v>53.3</c:v>
                </c:pt>
                <c:pt idx="10">
                  <c:v>57</c:v>
                </c:pt>
                <c:pt idx="11">
                  <c:v>29.4</c:v>
                </c:pt>
                <c:pt idx="12">
                  <c:v>11.3</c:v>
                </c:pt>
                <c:pt idx="13">
                  <c:v>9.1999999999999993</c:v>
                </c:pt>
                <c:pt idx="14">
                  <c:v>6.8</c:v>
                </c:pt>
                <c:pt idx="15">
                  <c:v>6.4</c:v>
                </c:pt>
                <c:pt idx="16">
                  <c:v>10.9</c:v>
                </c:pt>
                <c:pt idx="17">
                  <c:v>14.5</c:v>
                </c:pt>
                <c:pt idx="18">
                  <c:v>3.8</c:v>
                </c:pt>
                <c:pt idx="19">
                  <c:v>23.3</c:v>
                </c:pt>
                <c:pt idx="20">
                  <c:v>28.8</c:v>
                </c:pt>
                <c:pt idx="21">
                  <c:v>5.6</c:v>
                </c:pt>
                <c:pt idx="22">
                  <c:v>8</c:v>
                </c:pt>
                <c:pt idx="23">
                  <c:v>32.4</c:v>
                </c:pt>
                <c:pt idx="24">
                  <c:v>9.4</c:v>
                </c:pt>
                <c:pt idx="25">
                  <c:v>9.1999999999999993</c:v>
                </c:pt>
                <c:pt idx="26">
                  <c:v>2.1</c:v>
                </c:pt>
                <c:pt idx="27">
                  <c:v>58.6</c:v>
                </c:pt>
              </c:numCache>
            </c:numRef>
          </c:val>
          <c:extLst>
            <c:ext xmlns:c16="http://schemas.microsoft.com/office/drawing/2014/chart" uri="{C3380CC4-5D6E-409C-BE32-E72D297353CC}">
              <c16:uniqueId val="{00000004-7936-4BA3-B055-AD1A4C37E4CB}"/>
            </c:ext>
          </c:extLst>
        </c:ser>
        <c:ser>
          <c:idx val="6"/>
          <c:order val="6"/>
          <c:tx>
            <c:strRef>
              <c:f>Sheet2!$H$1</c:f>
              <c:strCache>
                <c:ptCount val="1"/>
                <c:pt idx="0">
                  <c:v>Dārglietas</c:v>
                </c:pt>
              </c:strCache>
            </c:strRef>
          </c:tx>
          <c:spPr>
            <a:solidFill>
              <a:schemeClr val="accent1">
                <a:lumMod val="60000"/>
              </a:schemeClr>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Sheet2!$H$2:$H$29</c:f>
              <c:numCache>
                <c:formatCode>General</c:formatCode>
                <c:ptCount val="28"/>
                <c:pt idx="0">
                  <c:v>28.9</c:v>
                </c:pt>
                <c:pt idx="1">
                  <c:v>65.7</c:v>
                </c:pt>
                <c:pt idx="2">
                  <c:v>17.899999999999999</c:v>
                </c:pt>
                <c:pt idx="3">
                  <c:v>78.7</c:v>
                </c:pt>
                <c:pt idx="4">
                  <c:v>9.4</c:v>
                </c:pt>
                <c:pt idx="5">
                  <c:v>2.4</c:v>
                </c:pt>
                <c:pt idx="6">
                  <c:v>19</c:v>
                </c:pt>
                <c:pt idx="7">
                  <c:v>5.7</c:v>
                </c:pt>
                <c:pt idx="8">
                  <c:v>21</c:v>
                </c:pt>
                <c:pt idx="9">
                  <c:v>7.8</c:v>
                </c:pt>
                <c:pt idx="10">
                  <c:v>15.6</c:v>
                </c:pt>
                <c:pt idx="11">
                  <c:v>7.4</c:v>
                </c:pt>
                <c:pt idx="12">
                  <c:v>19</c:v>
                </c:pt>
                <c:pt idx="13">
                  <c:v>1.1000000000000001</c:v>
                </c:pt>
                <c:pt idx="14">
                  <c:v>29</c:v>
                </c:pt>
                <c:pt idx="15">
                  <c:v>27.6</c:v>
                </c:pt>
                <c:pt idx="16">
                  <c:v>3</c:v>
                </c:pt>
                <c:pt idx="17">
                  <c:v>3.7</c:v>
                </c:pt>
                <c:pt idx="18">
                  <c:v>5</c:v>
                </c:pt>
                <c:pt idx="19">
                  <c:v>0</c:v>
                </c:pt>
                <c:pt idx="20">
                  <c:v>21.7</c:v>
                </c:pt>
                <c:pt idx="21">
                  <c:v>6.4</c:v>
                </c:pt>
                <c:pt idx="22">
                  <c:v>9</c:v>
                </c:pt>
                <c:pt idx="23">
                  <c:v>5.8</c:v>
                </c:pt>
                <c:pt idx="24">
                  <c:v>7.6</c:v>
                </c:pt>
                <c:pt idx="25">
                  <c:v>25.4</c:v>
                </c:pt>
                <c:pt idx="26">
                  <c:v>69.099999999999994</c:v>
                </c:pt>
                <c:pt idx="27">
                  <c:v>35.799999999999997</c:v>
                </c:pt>
              </c:numCache>
            </c:numRef>
          </c:val>
          <c:extLst>
            <c:ext xmlns:c16="http://schemas.microsoft.com/office/drawing/2014/chart" uri="{C3380CC4-5D6E-409C-BE32-E72D297353CC}">
              <c16:uniqueId val="{00000005-7936-4BA3-B055-AD1A4C37E4CB}"/>
            </c:ext>
          </c:extLst>
        </c:ser>
        <c:ser>
          <c:idx val="7"/>
          <c:order val="7"/>
          <c:tx>
            <c:strRef>
              <c:f>Sheet2!$I$1</c:f>
              <c:strCache>
                <c:ptCount val="1"/>
                <c:pt idx="0">
                  <c:v>Mūzikas instrumenti</c:v>
                </c:pt>
              </c:strCache>
            </c:strRef>
          </c:tx>
          <c:spPr>
            <a:solidFill>
              <a:schemeClr val="accent2">
                <a:lumMod val="60000"/>
              </a:schemeClr>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Sheet2!$I$2:$I$29</c:f>
              <c:numCache>
                <c:formatCode>General</c:formatCode>
                <c:ptCount val="28"/>
                <c:pt idx="0">
                  <c:v>0.7</c:v>
                </c:pt>
                <c:pt idx="1">
                  <c:v>2.6</c:v>
                </c:pt>
                <c:pt idx="2">
                  <c:v>7.9</c:v>
                </c:pt>
                <c:pt idx="3">
                  <c:v>1.6</c:v>
                </c:pt>
                <c:pt idx="4">
                  <c:v>7.6</c:v>
                </c:pt>
                <c:pt idx="5">
                  <c:v>1</c:v>
                </c:pt>
                <c:pt idx="6">
                  <c:v>2.1</c:v>
                </c:pt>
                <c:pt idx="7">
                  <c:v>3.9</c:v>
                </c:pt>
                <c:pt idx="8">
                  <c:v>10.3</c:v>
                </c:pt>
                <c:pt idx="9">
                  <c:v>2.6</c:v>
                </c:pt>
                <c:pt idx="10">
                  <c:v>0.6</c:v>
                </c:pt>
                <c:pt idx="11">
                  <c:v>12.9</c:v>
                </c:pt>
                <c:pt idx="12">
                  <c:v>4.5999999999999996</c:v>
                </c:pt>
                <c:pt idx="13">
                  <c:v>5.0999999999999996</c:v>
                </c:pt>
                <c:pt idx="14">
                  <c:v>4.8</c:v>
                </c:pt>
                <c:pt idx="15">
                  <c:v>1.2</c:v>
                </c:pt>
                <c:pt idx="16">
                  <c:v>3.2</c:v>
                </c:pt>
                <c:pt idx="17">
                  <c:v>3.6</c:v>
                </c:pt>
                <c:pt idx="18">
                  <c:v>3.3</c:v>
                </c:pt>
                <c:pt idx="19">
                  <c:v>9.5</c:v>
                </c:pt>
                <c:pt idx="20">
                  <c:v>2.7</c:v>
                </c:pt>
                <c:pt idx="21">
                  <c:v>3.7</c:v>
                </c:pt>
                <c:pt idx="22">
                  <c:v>2</c:v>
                </c:pt>
                <c:pt idx="23">
                  <c:v>4.9000000000000004</c:v>
                </c:pt>
                <c:pt idx="24">
                  <c:v>3.3</c:v>
                </c:pt>
                <c:pt idx="25">
                  <c:v>0.3</c:v>
                </c:pt>
                <c:pt idx="26">
                  <c:v>0.8</c:v>
                </c:pt>
                <c:pt idx="27">
                  <c:v>0.7</c:v>
                </c:pt>
              </c:numCache>
            </c:numRef>
          </c:val>
          <c:extLst>
            <c:ext xmlns:c16="http://schemas.microsoft.com/office/drawing/2014/chart" uri="{C3380CC4-5D6E-409C-BE32-E72D297353CC}">
              <c16:uniqueId val="{00000006-7936-4BA3-B055-AD1A4C37E4CB}"/>
            </c:ext>
          </c:extLst>
        </c:ser>
        <c:ser>
          <c:idx val="8"/>
          <c:order val="8"/>
          <c:tx>
            <c:strRef>
              <c:f>Sheet2!$J$1</c:f>
              <c:strCache>
                <c:ptCount val="1"/>
                <c:pt idx="0">
                  <c:v>Cits</c:v>
                </c:pt>
              </c:strCache>
            </c:strRef>
          </c:tx>
          <c:spPr>
            <a:solidFill>
              <a:schemeClr val="accent3">
                <a:lumMod val="60000"/>
              </a:schemeClr>
            </a:solidFill>
            <a:ln>
              <a:noFill/>
            </a:ln>
            <a:effectLst/>
          </c:spPr>
          <c:invertIfNegative val="0"/>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Sheet2!$J$2:$J$29</c:f>
              <c:numCache>
                <c:formatCode>General</c:formatCode>
                <c:ptCount val="28"/>
                <c:pt idx="0">
                  <c:v>9.5</c:v>
                </c:pt>
                <c:pt idx="1">
                  <c:v>4.5</c:v>
                </c:pt>
                <c:pt idx="2">
                  <c:v>17.400000000000006</c:v>
                </c:pt>
                <c:pt idx="3">
                  <c:v>1.2000000000000028</c:v>
                </c:pt>
                <c:pt idx="4">
                  <c:v>47.2</c:v>
                </c:pt>
                <c:pt idx="5">
                  <c:v>32.799999999999997</c:v>
                </c:pt>
                <c:pt idx="6">
                  <c:v>35.700000000000003</c:v>
                </c:pt>
                <c:pt idx="7">
                  <c:v>6.4999999999999858</c:v>
                </c:pt>
                <c:pt idx="8">
                  <c:v>11.600000000000009</c:v>
                </c:pt>
                <c:pt idx="9">
                  <c:v>10.300000000000011</c:v>
                </c:pt>
                <c:pt idx="10">
                  <c:v>10.900000000000006</c:v>
                </c:pt>
                <c:pt idx="11">
                  <c:v>21.799999999999997</c:v>
                </c:pt>
                <c:pt idx="12">
                  <c:v>25</c:v>
                </c:pt>
                <c:pt idx="13">
                  <c:v>41.400000000000006</c:v>
                </c:pt>
                <c:pt idx="14">
                  <c:v>4.2000000000000028</c:v>
                </c:pt>
                <c:pt idx="15">
                  <c:v>7.9999999999999858</c:v>
                </c:pt>
                <c:pt idx="16">
                  <c:v>5.1999999999999886</c:v>
                </c:pt>
                <c:pt idx="17">
                  <c:v>4.2999999999999972</c:v>
                </c:pt>
                <c:pt idx="18">
                  <c:v>3.6000000000000085</c:v>
                </c:pt>
                <c:pt idx="19">
                  <c:v>16.5</c:v>
                </c:pt>
                <c:pt idx="20">
                  <c:v>15.599999999999994</c:v>
                </c:pt>
                <c:pt idx="21">
                  <c:v>15.200000000000003</c:v>
                </c:pt>
                <c:pt idx="22">
                  <c:v>3.5999999999999943</c:v>
                </c:pt>
                <c:pt idx="23">
                  <c:v>16.600000000000009</c:v>
                </c:pt>
                <c:pt idx="24">
                  <c:v>16</c:v>
                </c:pt>
                <c:pt idx="25">
                  <c:v>4.2999999999999972</c:v>
                </c:pt>
                <c:pt idx="26">
                  <c:v>0.20000000000000284</c:v>
                </c:pt>
                <c:pt idx="27">
                  <c:v>0.39999999999999147</c:v>
                </c:pt>
              </c:numCache>
            </c:numRef>
          </c:val>
          <c:extLst>
            <c:ext xmlns:c16="http://schemas.microsoft.com/office/drawing/2014/chart" uri="{C3380CC4-5D6E-409C-BE32-E72D297353CC}">
              <c16:uniqueId val="{00000007-7936-4BA3-B055-AD1A4C37E4CB}"/>
            </c:ext>
          </c:extLst>
        </c:ser>
        <c:dLbls>
          <c:showLegendKey val="0"/>
          <c:showVal val="0"/>
          <c:showCatName val="0"/>
          <c:showSerName val="0"/>
          <c:showPercent val="0"/>
          <c:showBubbleSize val="0"/>
        </c:dLbls>
        <c:gapWidth val="50"/>
        <c:overlap val="100"/>
        <c:axId val="531211656"/>
        <c:axId val="531215264"/>
      </c:barChart>
      <c:lineChart>
        <c:grouping val="standard"/>
        <c:varyColors val="0"/>
        <c:ser>
          <c:idx val="0"/>
          <c:order val="0"/>
          <c:tx>
            <c:strRef>
              <c:f>Sheet2!$B$1</c:f>
              <c:strCache>
                <c:ptCount val="1"/>
                <c:pt idx="0">
                  <c:v>Eksporta apjoms (Miljonos euro)</c:v>
                </c:pt>
              </c:strCache>
            </c:strRef>
          </c:tx>
          <c:spPr>
            <a:ln w="28575" cap="rnd">
              <a:solidFill>
                <a:srgbClr val="FF0000"/>
              </a:solidFill>
              <a:round/>
            </a:ln>
            <a:effectLst/>
          </c:spPr>
          <c:marker>
            <c:symbol val="none"/>
          </c:marker>
          <c:cat>
            <c:strRef>
              <c:f>Sheet2!$A$2:$A$29</c:f>
              <c:strCache>
                <c:ptCount val="28"/>
                <c:pt idx="0">
                  <c:v>Lielbritānija</c:v>
                </c:pt>
                <c:pt idx="1">
                  <c:v>Francija</c:v>
                </c:pt>
                <c:pt idx="2">
                  <c:v>Vācija</c:v>
                </c:pt>
                <c:pt idx="3">
                  <c:v>Itālija</c:v>
                </c:pt>
                <c:pt idx="4">
                  <c:v>Nīderlande</c:v>
                </c:pt>
                <c:pt idx="5">
                  <c:v>Polija</c:v>
                </c:pt>
                <c:pt idx="6">
                  <c:v>Spānija</c:v>
                </c:pt>
                <c:pt idx="7">
                  <c:v>Čehija</c:v>
                </c:pt>
                <c:pt idx="8">
                  <c:v>Beļģija</c:v>
                </c:pt>
                <c:pt idx="9">
                  <c:v>Austrija</c:v>
                </c:pt>
                <c:pt idx="10">
                  <c:v>Īrija</c:v>
                </c:pt>
                <c:pt idx="11">
                  <c:v>Zviedrija</c:v>
                </c:pt>
                <c:pt idx="12">
                  <c:v>Dānija</c:v>
                </c:pt>
                <c:pt idx="13">
                  <c:v>Slovākija</c:v>
                </c:pt>
                <c:pt idx="14">
                  <c:v>Portugāle</c:v>
                </c:pt>
                <c:pt idx="15">
                  <c:v>Grieķija</c:v>
                </c:pt>
                <c:pt idx="16">
                  <c:v>Ungārija</c:v>
                </c:pt>
                <c:pt idx="17">
                  <c:v>Slovēnija</c:v>
                </c:pt>
                <c:pt idx="18">
                  <c:v>Latvija</c:v>
                </c:pt>
                <c:pt idx="19">
                  <c:v>Rumānija</c:v>
                </c:pt>
                <c:pt idx="20">
                  <c:v>Bulgārija</c:v>
                </c:pt>
                <c:pt idx="21">
                  <c:v>Lietuva</c:v>
                </c:pt>
                <c:pt idx="22">
                  <c:v>Igaunija</c:v>
                </c:pt>
                <c:pt idx="23">
                  <c:v>Somija</c:v>
                </c:pt>
                <c:pt idx="24">
                  <c:v>Horvātija</c:v>
                </c:pt>
                <c:pt idx="25">
                  <c:v>Luksemburga</c:v>
                </c:pt>
                <c:pt idx="26">
                  <c:v>Malta</c:v>
                </c:pt>
                <c:pt idx="27">
                  <c:v>Kipra</c:v>
                </c:pt>
              </c:strCache>
            </c:strRef>
          </c:cat>
          <c:val>
            <c:numRef>
              <c:f>Sheet2!$B$2:$B$29</c:f>
              <c:numCache>
                <c:formatCode>General</c:formatCode>
                <c:ptCount val="28"/>
                <c:pt idx="0">
                  <c:v>20611</c:v>
                </c:pt>
                <c:pt idx="1">
                  <c:v>9970</c:v>
                </c:pt>
                <c:pt idx="2">
                  <c:v>8493</c:v>
                </c:pt>
                <c:pt idx="3">
                  <c:v>8295</c:v>
                </c:pt>
                <c:pt idx="4">
                  <c:v>4093</c:v>
                </c:pt>
                <c:pt idx="5">
                  <c:v>3351</c:v>
                </c:pt>
                <c:pt idx="6">
                  <c:v>2077</c:v>
                </c:pt>
                <c:pt idx="7">
                  <c:v>1572</c:v>
                </c:pt>
                <c:pt idx="8">
                  <c:v>1078</c:v>
                </c:pt>
                <c:pt idx="9">
                  <c:v>1071</c:v>
                </c:pt>
                <c:pt idx="10">
                  <c:v>634</c:v>
                </c:pt>
                <c:pt idx="11">
                  <c:v>517</c:v>
                </c:pt>
                <c:pt idx="12">
                  <c:v>421</c:v>
                </c:pt>
                <c:pt idx="13">
                  <c:v>355</c:v>
                </c:pt>
                <c:pt idx="14">
                  <c:v>195</c:v>
                </c:pt>
                <c:pt idx="15">
                  <c:v>170</c:v>
                </c:pt>
                <c:pt idx="16">
                  <c:v>167</c:v>
                </c:pt>
                <c:pt idx="17">
                  <c:v>166</c:v>
                </c:pt>
                <c:pt idx="18">
                  <c:v>151</c:v>
                </c:pt>
                <c:pt idx="19">
                  <c:v>141</c:v>
                </c:pt>
                <c:pt idx="20">
                  <c:v>124</c:v>
                </c:pt>
                <c:pt idx="21">
                  <c:v>114</c:v>
                </c:pt>
                <c:pt idx="22">
                  <c:v>82</c:v>
                </c:pt>
                <c:pt idx="23">
                  <c:v>78</c:v>
                </c:pt>
                <c:pt idx="24">
                  <c:v>67</c:v>
                </c:pt>
                <c:pt idx="25">
                  <c:v>40</c:v>
                </c:pt>
                <c:pt idx="26">
                  <c:v>16</c:v>
                </c:pt>
                <c:pt idx="27">
                  <c:v>12</c:v>
                </c:pt>
              </c:numCache>
            </c:numRef>
          </c:val>
          <c:smooth val="0"/>
          <c:extLst>
            <c:ext xmlns:c16="http://schemas.microsoft.com/office/drawing/2014/chart" uri="{C3380CC4-5D6E-409C-BE32-E72D297353CC}">
              <c16:uniqueId val="{00000008-7936-4BA3-B055-AD1A4C37E4CB}"/>
            </c:ext>
          </c:extLst>
        </c:ser>
        <c:dLbls>
          <c:showLegendKey val="0"/>
          <c:showVal val="0"/>
          <c:showCatName val="0"/>
          <c:showSerName val="0"/>
          <c:showPercent val="0"/>
          <c:showBubbleSize val="0"/>
        </c:dLbls>
        <c:marker val="1"/>
        <c:smooth val="0"/>
        <c:axId val="531205752"/>
        <c:axId val="531213624"/>
      </c:lineChart>
      <c:catAx>
        <c:axId val="53121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1215264"/>
        <c:crosses val="autoZero"/>
        <c:auto val="1"/>
        <c:lblAlgn val="ctr"/>
        <c:lblOffset val="100"/>
        <c:noMultiLvlLbl val="0"/>
      </c:catAx>
      <c:valAx>
        <c:axId val="531215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Eksporta apjoms, % no kopējā kultūras eksporta</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1211656"/>
        <c:crosses val="autoZero"/>
        <c:crossBetween val="between"/>
      </c:valAx>
      <c:valAx>
        <c:axId val="531213624"/>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Kultūras eksporta apjoms, miljonos 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1205752"/>
        <c:crosses val="max"/>
        <c:crossBetween val="between"/>
      </c:valAx>
      <c:catAx>
        <c:axId val="531205752"/>
        <c:scaling>
          <c:orientation val="minMax"/>
        </c:scaling>
        <c:delete val="1"/>
        <c:axPos val="b"/>
        <c:numFmt formatCode="General" sourceLinked="1"/>
        <c:majorTickMark val="out"/>
        <c:minorTickMark val="none"/>
        <c:tickLblPos val="nextTo"/>
        <c:crossAx val="531213624"/>
        <c:crosses val="autoZero"/>
        <c:auto val="1"/>
        <c:lblAlgn val="ctr"/>
        <c:lblOffset val="100"/>
        <c:noMultiLvlLbl val="0"/>
      </c:catAx>
      <c:spPr>
        <a:noFill/>
        <a:ln>
          <a:noFill/>
        </a:ln>
        <a:effectLst/>
      </c:spPr>
    </c:plotArea>
    <c:legend>
      <c:legendPos val="b"/>
      <c:layout>
        <c:manualLayout>
          <c:xMode val="edge"/>
          <c:yMode val="edge"/>
          <c:x val="1.0185575394624967E-2"/>
          <c:y val="0.78617224571066546"/>
          <c:w val="0.96326803465032895"/>
          <c:h val="0.199025380448133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7D-43A8-B46F-D4EDFF916D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7D-43A8-B46F-D4EDFF916D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A7D-43A8-B46F-D4EDFF916D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A7D-43A8-B46F-D4EDFF916DD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A7D-43A8-B46F-D4EDFF916DD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A7D-43A8-B46F-D4EDFF916DD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A7D-43A8-B46F-D4EDFF916DD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A7D-43A8-B46F-D4EDFF916DD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A7D-43A8-B46F-D4EDFF916DD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7A7D-43A8-B46F-D4EDFF916DD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7A7D-43A8-B46F-D4EDFF916DD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7A7D-43A8-B46F-D4EDFF916DD9}"/>
              </c:ext>
            </c:extLst>
          </c:dPt>
          <c:dLbls>
            <c:dLbl>
              <c:idx val="0"/>
              <c:layout>
                <c:manualLayout>
                  <c:x val="4.0015933666444937E-2"/>
                  <c:y val="-1.2578616352201259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4609590795256681"/>
                      <c:h val="7.5075917397117817E-2"/>
                    </c:manualLayout>
                  </c15:layout>
                </c:ext>
                <c:ext xmlns:c16="http://schemas.microsoft.com/office/drawing/2014/chart" uri="{C3380CC4-5D6E-409C-BE32-E72D297353CC}">
                  <c16:uniqueId val="{00000001-7A7D-43A8-B46F-D4EDFF916DD9}"/>
                </c:ext>
              </c:extLst>
            </c:dLbl>
            <c:dLbl>
              <c:idx val="1"/>
              <c:layout>
                <c:manualLayout>
                  <c:x val="5.3848507435859935E-2"/>
                  <c:y val="2.5952960259529603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3446788338893623"/>
                      <c:h val="9.1477394197618217E-2"/>
                    </c:manualLayout>
                  </c15:layout>
                </c:ext>
                <c:ext xmlns:c16="http://schemas.microsoft.com/office/drawing/2014/chart" uri="{C3380CC4-5D6E-409C-BE32-E72D297353CC}">
                  <c16:uniqueId val="{00000003-7A7D-43A8-B46F-D4EDFF916DD9}"/>
                </c:ext>
              </c:extLst>
            </c:dLbl>
            <c:dLbl>
              <c:idx val="4"/>
              <c:layout>
                <c:manualLayout>
                  <c:x val="2.1829294913774125E-2"/>
                  <c:y val="-6.0377358490566038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7A7D-43A8-B46F-D4EDFF916DD9}"/>
                </c:ext>
              </c:extLst>
            </c:dLbl>
            <c:dLbl>
              <c:idx val="5"/>
              <c:layout>
                <c:manualLayout>
                  <c:x val="4.8167972127256112E-2"/>
                  <c:y val="-6.1173277868568222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7A7D-43A8-B46F-D4EDFF916DD9}"/>
                </c:ext>
              </c:extLst>
            </c:dLbl>
            <c:dLbl>
              <c:idx val="6"/>
              <c:layout>
                <c:manualLayout>
                  <c:x val="4.3658589827548569E-3"/>
                  <c:y val="-1.8448424198791234E-16"/>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D-7A7D-43A8-B46F-D4EDFF916DD9}"/>
                </c:ext>
              </c:extLst>
            </c:dLbl>
            <c:dLbl>
              <c:idx val="7"/>
              <c:layout>
                <c:manualLayout>
                  <c:x val="-0.11044420036886352"/>
                  <c:y val="-3.3432971821918483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F-7A7D-43A8-B46F-D4EDFF916DD9}"/>
                </c:ext>
              </c:extLst>
            </c:dLbl>
            <c:dLbl>
              <c:idx val="8"/>
              <c:layout>
                <c:manualLayout>
                  <c:x val="-7.4857293133053851E-2"/>
                  <c:y val="-0.18686317040558609"/>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1-7A7D-43A8-B46F-D4EDFF916DD9}"/>
                </c:ext>
              </c:extLst>
            </c:dLbl>
            <c:dLbl>
              <c:idx val="9"/>
              <c:layout>
                <c:manualLayout>
                  <c:x val="-2.4012224405151713E-2"/>
                  <c:y val="-7.54716981132076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13-7A7D-43A8-B46F-D4EDFF916DD9}"/>
                </c:ext>
              </c:extLst>
            </c:dLbl>
            <c:dLbl>
              <c:idx val="10"/>
              <c:layout>
                <c:manualLayout>
                  <c:x val="-3.8674721160837235E-2"/>
                  <c:y val="8.1871143465557378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27157119187346374"/>
                      <c:h val="9.1477394197618217E-2"/>
                    </c:manualLayout>
                  </c15:layout>
                </c:ext>
                <c:ext xmlns:c16="http://schemas.microsoft.com/office/drawing/2014/chart" uri="{C3380CC4-5D6E-409C-BE32-E72D297353CC}">
                  <c16:uniqueId val="{00000015-7A7D-43A8-B46F-D4EDFF916DD9}"/>
                </c:ext>
              </c:extLst>
            </c:dLbl>
            <c:dLbl>
              <c:idx val="11"/>
              <c:layout>
                <c:manualLayout>
                  <c:x val="-0.10127967795774055"/>
                  <c:y val="-9.5849056603773582E-3"/>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37801480610601473"/>
                      <c:h val="9.7446045659386887E-2"/>
                    </c:manualLayout>
                  </c15:layout>
                </c:ext>
                <c:ext xmlns:c16="http://schemas.microsoft.com/office/drawing/2014/chart" uri="{C3380CC4-5D6E-409C-BE32-E72D297353CC}">
                  <c16:uniqueId val="{00000017-7A7D-43A8-B46F-D4EDFF916DD9}"/>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Sheet1!$A$3:$A$14</c:f>
              <c:strCache>
                <c:ptCount val="12"/>
                <c:pt idx="0">
                  <c:v>Literatūra</c:v>
                </c:pt>
                <c:pt idx="1">
                  <c:v>Mūzika un deja</c:v>
                </c:pt>
                <c:pt idx="2">
                  <c:v>Teātris</c:v>
                </c:pt>
                <c:pt idx="3">
                  <c:v>Filmas</c:v>
                </c:pt>
                <c:pt idx="4">
                  <c:v>Vizuālā māksla</c:v>
                </c:pt>
                <c:pt idx="5">
                  <c:v>Kultūras mantojums</c:v>
                </c:pt>
                <c:pt idx="6">
                  <c:v>Tradicionālā kultūra</c:v>
                </c:pt>
                <c:pt idx="7">
                  <c:v>Dizains un arhitektūra</c:v>
                </c:pt>
                <c:pt idx="8">
                  <c:v>Starpdisciplinārā nozare</c:v>
                </c:pt>
                <c:pt idx="9">
                  <c:v>Starpdisciplinārās mērķprogrammas un kultūras programmas</c:v>
                </c:pt>
                <c:pt idx="10">
                  <c:v>Mūža stipendijas</c:v>
                </c:pt>
                <c:pt idx="11">
                  <c:v>Radošo personu atbalsts</c:v>
                </c:pt>
              </c:strCache>
            </c:strRef>
          </c:cat>
          <c:val>
            <c:numRef>
              <c:f>Sheet1!$B$3:$B$14</c:f>
              <c:numCache>
                <c:formatCode>#,##0</c:formatCode>
                <c:ptCount val="12"/>
                <c:pt idx="0">
                  <c:v>546997</c:v>
                </c:pt>
                <c:pt idx="1">
                  <c:v>987183</c:v>
                </c:pt>
                <c:pt idx="2">
                  <c:v>626483</c:v>
                </c:pt>
                <c:pt idx="3">
                  <c:v>670803</c:v>
                </c:pt>
                <c:pt idx="4">
                  <c:v>925766</c:v>
                </c:pt>
                <c:pt idx="5">
                  <c:v>844148</c:v>
                </c:pt>
                <c:pt idx="6">
                  <c:v>296373</c:v>
                </c:pt>
                <c:pt idx="7">
                  <c:v>336083</c:v>
                </c:pt>
                <c:pt idx="8">
                  <c:v>513358</c:v>
                </c:pt>
                <c:pt idx="9">
                  <c:v>2792131</c:v>
                </c:pt>
                <c:pt idx="10">
                  <c:v>496798</c:v>
                </c:pt>
                <c:pt idx="11">
                  <c:v>453535</c:v>
                </c:pt>
              </c:numCache>
            </c:numRef>
          </c:val>
          <c:extLst>
            <c:ext xmlns:c16="http://schemas.microsoft.com/office/drawing/2014/chart" uri="{C3380CC4-5D6E-409C-BE32-E72D297353CC}">
              <c16:uniqueId val="{00000018-7A7D-43A8-B46F-D4EDFF916DD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8243891100328"/>
          <c:y val="3.9898440333696043E-2"/>
          <c:w val="0.76592072958131152"/>
          <c:h val="0.69663248024356039"/>
        </c:manualLayout>
      </c:layout>
      <c:barChart>
        <c:barDir val="col"/>
        <c:grouping val="percentStacked"/>
        <c:varyColors val="0"/>
        <c:ser>
          <c:idx val="1"/>
          <c:order val="1"/>
          <c:tx>
            <c:strRef>
              <c:f>Sheet3!$C$1</c:f>
              <c:strCache>
                <c:ptCount val="1"/>
                <c:pt idx="0">
                  <c:v>Māksla (gleznas, skulptūras, gravējumi utt.)</c:v>
                </c:pt>
              </c:strCache>
            </c:strRef>
          </c:tx>
          <c:spPr>
            <a:solidFill>
              <a:schemeClr val="accent2"/>
            </a:solidFill>
            <a:ln>
              <a:noFill/>
            </a:ln>
            <a:effectLst/>
          </c:spPr>
          <c:invertIfNegative val="0"/>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Sheet3!$C$2:$C$11</c:f>
              <c:numCache>
                <c:formatCode>General</c:formatCode>
                <c:ptCount val="10"/>
                <c:pt idx="0">
                  <c:v>0.2</c:v>
                </c:pt>
                <c:pt idx="1">
                  <c:v>0.5</c:v>
                </c:pt>
                <c:pt idx="2">
                  <c:v>0.4</c:v>
                </c:pt>
                <c:pt idx="3">
                  <c:v>0.4</c:v>
                </c:pt>
                <c:pt idx="4">
                  <c:v>0.2</c:v>
                </c:pt>
                <c:pt idx="5">
                  <c:v>0.6</c:v>
                </c:pt>
                <c:pt idx="6">
                  <c:v>0.1</c:v>
                </c:pt>
                <c:pt idx="7">
                  <c:v>0.2</c:v>
                </c:pt>
                <c:pt idx="8">
                  <c:v>0.3</c:v>
                </c:pt>
                <c:pt idx="9">
                  <c:v>0.2</c:v>
                </c:pt>
              </c:numCache>
            </c:numRef>
          </c:val>
          <c:extLst>
            <c:ext xmlns:c16="http://schemas.microsoft.com/office/drawing/2014/chart" uri="{C3380CC4-5D6E-409C-BE32-E72D297353CC}">
              <c16:uniqueId val="{00000000-15B7-4342-BCE5-D9FA20033B56}"/>
            </c:ext>
          </c:extLst>
        </c:ser>
        <c:ser>
          <c:idx val="2"/>
          <c:order val="2"/>
          <c:tx>
            <c:strRef>
              <c:f>Sheet3!$D$1</c:f>
              <c:strCache>
                <c:ptCount val="1"/>
                <c:pt idx="0">
                  <c:v>Amatnieku darinājumi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Sheet3!$D$2:$D$11</c:f>
              <c:numCache>
                <c:formatCode>General</c:formatCode>
                <c:ptCount val="10"/>
                <c:pt idx="0">
                  <c:v>21.6</c:v>
                </c:pt>
                <c:pt idx="1">
                  <c:v>16.8</c:v>
                </c:pt>
                <c:pt idx="2">
                  <c:v>17.7</c:v>
                </c:pt>
                <c:pt idx="3">
                  <c:v>14.4</c:v>
                </c:pt>
                <c:pt idx="4">
                  <c:v>13.3</c:v>
                </c:pt>
                <c:pt idx="5">
                  <c:v>8.8000000000000007</c:v>
                </c:pt>
                <c:pt idx="6">
                  <c:v>9.1999999999999993</c:v>
                </c:pt>
                <c:pt idx="7">
                  <c:v>9.9</c:v>
                </c:pt>
                <c:pt idx="8">
                  <c:v>12.1</c:v>
                </c:pt>
                <c:pt idx="9">
                  <c:v>10.199999999999999</c:v>
                </c:pt>
              </c:numCache>
            </c:numRef>
          </c:val>
          <c:extLst>
            <c:ext xmlns:c16="http://schemas.microsoft.com/office/drawing/2014/chart" uri="{C3380CC4-5D6E-409C-BE32-E72D297353CC}">
              <c16:uniqueId val="{00000001-15B7-4342-BCE5-D9FA20033B56}"/>
            </c:ext>
          </c:extLst>
        </c:ser>
        <c:ser>
          <c:idx val="3"/>
          <c:order val="3"/>
          <c:tx>
            <c:strRef>
              <c:f>Sheet3!$E$1</c:f>
              <c:strCache>
                <c:ptCount val="1"/>
                <c:pt idx="0">
                  <c:v>Grāmatas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Sheet3!$E$2:$E$11</c:f>
              <c:numCache>
                <c:formatCode>General</c:formatCode>
                <c:ptCount val="10"/>
                <c:pt idx="0">
                  <c:v>62.1</c:v>
                </c:pt>
                <c:pt idx="1">
                  <c:v>56.1</c:v>
                </c:pt>
                <c:pt idx="2">
                  <c:v>61.3</c:v>
                </c:pt>
                <c:pt idx="3">
                  <c:v>65.400000000000006</c:v>
                </c:pt>
                <c:pt idx="4">
                  <c:v>53.8</c:v>
                </c:pt>
                <c:pt idx="5">
                  <c:v>54.7</c:v>
                </c:pt>
                <c:pt idx="6">
                  <c:v>54.2</c:v>
                </c:pt>
                <c:pt idx="7">
                  <c:v>62.1</c:v>
                </c:pt>
                <c:pt idx="8">
                  <c:v>69</c:v>
                </c:pt>
                <c:pt idx="9">
                  <c:v>69.099999999999994</c:v>
                </c:pt>
              </c:numCache>
            </c:numRef>
          </c:val>
          <c:extLst>
            <c:ext xmlns:c16="http://schemas.microsoft.com/office/drawing/2014/chart" uri="{C3380CC4-5D6E-409C-BE32-E72D297353CC}">
              <c16:uniqueId val="{00000002-15B7-4342-BCE5-D9FA20033B56}"/>
            </c:ext>
          </c:extLst>
        </c:ser>
        <c:ser>
          <c:idx val="4"/>
          <c:order val="4"/>
          <c:tx>
            <c:strRef>
              <c:f>Sheet3!$F$1</c:f>
              <c:strCache>
                <c:ptCount val="1"/>
                <c:pt idx="0">
                  <c:v>Laikraksti, žurnāli un periodika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Sheet3!$F$2:$F$11</c:f>
              <c:numCache>
                <c:formatCode>General</c:formatCode>
                <c:ptCount val="10"/>
                <c:pt idx="0">
                  <c:v>5.7</c:v>
                </c:pt>
                <c:pt idx="1">
                  <c:v>5</c:v>
                </c:pt>
                <c:pt idx="2">
                  <c:v>5</c:v>
                </c:pt>
                <c:pt idx="3">
                  <c:v>4.8</c:v>
                </c:pt>
                <c:pt idx="4">
                  <c:v>5.7</c:v>
                </c:pt>
                <c:pt idx="5">
                  <c:v>4.7</c:v>
                </c:pt>
                <c:pt idx="6">
                  <c:v>3.4</c:v>
                </c:pt>
                <c:pt idx="7">
                  <c:v>4.3</c:v>
                </c:pt>
                <c:pt idx="8">
                  <c:v>4.5999999999999996</c:v>
                </c:pt>
                <c:pt idx="9">
                  <c:v>4.8</c:v>
                </c:pt>
              </c:numCache>
            </c:numRef>
          </c:val>
          <c:extLst>
            <c:ext xmlns:c16="http://schemas.microsoft.com/office/drawing/2014/chart" uri="{C3380CC4-5D6E-409C-BE32-E72D297353CC}">
              <c16:uniqueId val="{00000003-15B7-4342-BCE5-D9FA20033B56}"/>
            </c:ext>
          </c:extLst>
        </c:ser>
        <c:ser>
          <c:idx val="5"/>
          <c:order val="5"/>
          <c:tx>
            <c:strRef>
              <c:f>Sheet3!$G$1</c:f>
              <c:strCache>
                <c:ptCount val="1"/>
                <c:pt idx="0">
                  <c:v>Audiovizuālais materiāls (mūzika, filmas utt.)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Sheet3!$G$2:$G$11</c:f>
              <c:numCache>
                <c:formatCode>General</c:formatCode>
                <c:ptCount val="10"/>
                <c:pt idx="0">
                  <c:v>1.8</c:v>
                </c:pt>
                <c:pt idx="1">
                  <c:v>8.6999999999999993</c:v>
                </c:pt>
                <c:pt idx="2">
                  <c:v>5.5</c:v>
                </c:pt>
                <c:pt idx="3">
                  <c:v>3.5</c:v>
                </c:pt>
                <c:pt idx="4">
                  <c:v>1.4</c:v>
                </c:pt>
                <c:pt idx="5">
                  <c:v>8.3000000000000007</c:v>
                </c:pt>
                <c:pt idx="6">
                  <c:v>4.9000000000000004</c:v>
                </c:pt>
                <c:pt idx="7">
                  <c:v>2.8</c:v>
                </c:pt>
                <c:pt idx="8">
                  <c:v>3.7</c:v>
                </c:pt>
                <c:pt idx="9">
                  <c:v>3.8</c:v>
                </c:pt>
              </c:numCache>
            </c:numRef>
          </c:val>
          <c:extLst>
            <c:ext xmlns:c16="http://schemas.microsoft.com/office/drawing/2014/chart" uri="{C3380CC4-5D6E-409C-BE32-E72D297353CC}">
              <c16:uniqueId val="{00000004-15B7-4342-BCE5-D9FA20033B56}"/>
            </c:ext>
          </c:extLst>
        </c:ser>
        <c:ser>
          <c:idx val="6"/>
          <c:order val="6"/>
          <c:tx>
            <c:strRef>
              <c:f>Sheet3!$H$1</c:f>
              <c:strCache>
                <c:ptCount val="1"/>
                <c:pt idx="0">
                  <c:v>Dārglietas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Sheet3!$H$2:$H$11</c:f>
              <c:numCache>
                <c:formatCode>General</c:formatCode>
                <c:ptCount val="10"/>
                <c:pt idx="0">
                  <c:v>6.3</c:v>
                </c:pt>
                <c:pt idx="1">
                  <c:v>9.4</c:v>
                </c:pt>
                <c:pt idx="2">
                  <c:v>7.3</c:v>
                </c:pt>
                <c:pt idx="3">
                  <c:v>9.1999999999999993</c:v>
                </c:pt>
                <c:pt idx="4">
                  <c:v>21.1</c:v>
                </c:pt>
                <c:pt idx="5">
                  <c:v>14.1</c:v>
                </c:pt>
                <c:pt idx="6">
                  <c:v>22.4</c:v>
                </c:pt>
                <c:pt idx="7">
                  <c:v>13.7</c:v>
                </c:pt>
                <c:pt idx="8">
                  <c:v>4.2</c:v>
                </c:pt>
                <c:pt idx="9">
                  <c:v>5</c:v>
                </c:pt>
              </c:numCache>
            </c:numRef>
          </c:val>
          <c:extLst>
            <c:ext xmlns:c16="http://schemas.microsoft.com/office/drawing/2014/chart" uri="{C3380CC4-5D6E-409C-BE32-E72D297353CC}">
              <c16:uniqueId val="{00000005-15B7-4342-BCE5-D9FA20033B56}"/>
            </c:ext>
          </c:extLst>
        </c:ser>
        <c:ser>
          <c:idx val="7"/>
          <c:order val="7"/>
          <c:tx>
            <c:strRef>
              <c:f>Sheet3!$I$1</c:f>
              <c:strCache>
                <c:ptCount val="1"/>
                <c:pt idx="0">
                  <c:v>Mūzikas instrumenti</c:v>
                </c:pt>
              </c:strCache>
            </c:strRef>
          </c:tx>
          <c:spPr>
            <a:solidFill>
              <a:schemeClr val="accent2">
                <a:lumMod val="60000"/>
              </a:schemeClr>
            </a:solidFill>
            <a:ln>
              <a:noFill/>
            </a:ln>
            <a:effectLst/>
          </c:spPr>
          <c:invertIfNegative val="0"/>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Sheet3!$I$2:$I$11</c:f>
              <c:numCache>
                <c:formatCode>General</c:formatCode>
                <c:ptCount val="10"/>
                <c:pt idx="0">
                  <c:v>0.7</c:v>
                </c:pt>
                <c:pt idx="1">
                  <c:v>1</c:v>
                </c:pt>
                <c:pt idx="2">
                  <c:v>1.4</c:v>
                </c:pt>
                <c:pt idx="3">
                  <c:v>1.2</c:v>
                </c:pt>
                <c:pt idx="4">
                  <c:v>1.7</c:v>
                </c:pt>
                <c:pt idx="5">
                  <c:v>1.4</c:v>
                </c:pt>
                <c:pt idx="6">
                  <c:v>1.7</c:v>
                </c:pt>
                <c:pt idx="7">
                  <c:v>2.1</c:v>
                </c:pt>
                <c:pt idx="8">
                  <c:v>2.4</c:v>
                </c:pt>
                <c:pt idx="9">
                  <c:v>3.3</c:v>
                </c:pt>
              </c:numCache>
            </c:numRef>
          </c:val>
          <c:extLst>
            <c:ext xmlns:c16="http://schemas.microsoft.com/office/drawing/2014/chart" uri="{C3380CC4-5D6E-409C-BE32-E72D297353CC}">
              <c16:uniqueId val="{00000006-15B7-4342-BCE5-D9FA20033B56}"/>
            </c:ext>
          </c:extLst>
        </c:ser>
        <c:ser>
          <c:idx val="8"/>
          <c:order val="8"/>
          <c:tx>
            <c:strRef>
              <c:f>Sheet3!$J$1</c:f>
              <c:strCache>
                <c:ptCount val="1"/>
                <c:pt idx="0">
                  <c:v>Cits</c:v>
                </c:pt>
              </c:strCache>
            </c:strRef>
          </c:tx>
          <c:spPr>
            <a:solidFill>
              <a:schemeClr val="accent3">
                <a:lumMod val="60000"/>
              </a:schemeClr>
            </a:solidFill>
            <a:ln>
              <a:noFill/>
            </a:ln>
            <a:effectLst/>
          </c:spPr>
          <c:invertIfNegative val="0"/>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Sheet3!$J$2:$J$11</c:f>
              <c:numCache>
                <c:formatCode>General</c:formatCode>
                <c:ptCount val="10"/>
                <c:pt idx="0">
                  <c:v>1.5999999999999943</c:v>
                </c:pt>
                <c:pt idx="1">
                  <c:v>2.4999999999999858</c:v>
                </c:pt>
                <c:pt idx="2">
                  <c:v>1.4000000000000057</c:v>
                </c:pt>
                <c:pt idx="3">
                  <c:v>1.0999999999999943</c:v>
                </c:pt>
                <c:pt idx="4">
                  <c:v>2.7999999999999972</c:v>
                </c:pt>
                <c:pt idx="5">
                  <c:v>7.3999999999999915</c:v>
                </c:pt>
                <c:pt idx="6">
                  <c:v>4.0999999999999801</c:v>
                </c:pt>
                <c:pt idx="7">
                  <c:v>4.9000000000000057</c:v>
                </c:pt>
                <c:pt idx="8">
                  <c:v>3.6999999999999886</c:v>
                </c:pt>
                <c:pt idx="9">
                  <c:v>3.6000000000000085</c:v>
                </c:pt>
              </c:numCache>
            </c:numRef>
          </c:val>
          <c:extLst>
            <c:ext xmlns:c16="http://schemas.microsoft.com/office/drawing/2014/chart" uri="{C3380CC4-5D6E-409C-BE32-E72D297353CC}">
              <c16:uniqueId val="{00000007-15B7-4342-BCE5-D9FA20033B56}"/>
            </c:ext>
          </c:extLst>
        </c:ser>
        <c:dLbls>
          <c:showLegendKey val="0"/>
          <c:showVal val="0"/>
          <c:showCatName val="0"/>
          <c:showSerName val="0"/>
          <c:showPercent val="0"/>
          <c:showBubbleSize val="0"/>
        </c:dLbls>
        <c:gapWidth val="50"/>
        <c:overlap val="100"/>
        <c:axId val="616036800"/>
        <c:axId val="616037784"/>
      </c:barChart>
      <c:lineChart>
        <c:grouping val="standard"/>
        <c:varyColors val="0"/>
        <c:ser>
          <c:idx val="0"/>
          <c:order val="0"/>
          <c:tx>
            <c:strRef>
              <c:f>Sheet3!$B$1</c:f>
              <c:strCache>
                <c:ptCount val="1"/>
                <c:pt idx="0">
                  <c:v>Eksporta apjoms (Miljonos euro)</c:v>
                </c:pt>
              </c:strCache>
            </c:strRef>
          </c:tx>
          <c:spPr>
            <a:ln w="28575" cap="rnd">
              <a:solidFill>
                <a:srgbClr val="FF0000"/>
              </a:solidFill>
              <a:round/>
            </a:ln>
            <a:effectLst/>
          </c:spPr>
          <c:marker>
            <c:symbol val="none"/>
          </c:marker>
          <c:cat>
            <c:numRef>
              <c:f>Sheet3!$A$2:$A$11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Sheet3!$B$2:$B$11</c:f>
              <c:numCache>
                <c:formatCode>General</c:formatCode>
                <c:ptCount val="10"/>
                <c:pt idx="0">
                  <c:v>63</c:v>
                </c:pt>
                <c:pt idx="1">
                  <c:v>98</c:v>
                </c:pt>
                <c:pt idx="2">
                  <c:v>103</c:v>
                </c:pt>
                <c:pt idx="3">
                  <c:v>116</c:v>
                </c:pt>
                <c:pt idx="4">
                  <c:v>130</c:v>
                </c:pt>
                <c:pt idx="5">
                  <c:v>140</c:v>
                </c:pt>
                <c:pt idx="6">
                  <c:v>163</c:v>
                </c:pt>
                <c:pt idx="7">
                  <c:v>157</c:v>
                </c:pt>
                <c:pt idx="8">
                  <c:v>141</c:v>
                </c:pt>
                <c:pt idx="9">
                  <c:v>151</c:v>
                </c:pt>
              </c:numCache>
            </c:numRef>
          </c:val>
          <c:smooth val="0"/>
          <c:extLst>
            <c:ext xmlns:c16="http://schemas.microsoft.com/office/drawing/2014/chart" uri="{C3380CC4-5D6E-409C-BE32-E72D297353CC}">
              <c16:uniqueId val="{00000008-15B7-4342-BCE5-D9FA20033B56}"/>
            </c:ext>
          </c:extLst>
        </c:ser>
        <c:dLbls>
          <c:showLegendKey val="0"/>
          <c:showVal val="0"/>
          <c:showCatName val="0"/>
          <c:showSerName val="0"/>
          <c:showPercent val="0"/>
          <c:showBubbleSize val="0"/>
        </c:dLbls>
        <c:marker val="1"/>
        <c:smooth val="0"/>
        <c:axId val="538638360"/>
        <c:axId val="538845688"/>
      </c:lineChart>
      <c:catAx>
        <c:axId val="61603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6037784"/>
        <c:crosses val="autoZero"/>
        <c:auto val="1"/>
        <c:lblAlgn val="ctr"/>
        <c:lblOffset val="100"/>
        <c:noMultiLvlLbl val="0"/>
      </c:catAx>
      <c:valAx>
        <c:axId val="616037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Eksporta apjoms, % no kopējā kultūras eksporta</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6036800"/>
        <c:crosses val="autoZero"/>
        <c:crossBetween val="between"/>
      </c:valAx>
      <c:valAx>
        <c:axId val="538845688"/>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Kultūras eksporta apjoms, miljonos 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8638360"/>
        <c:crosses val="max"/>
        <c:crossBetween val="between"/>
      </c:valAx>
      <c:catAx>
        <c:axId val="538638360"/>
        <c:scaling>
          <c:orientation val="minMax"/>
        </c:scaling>
        <c:delete val="1"/>
        <c:axPos val="b"/>
        <c:numFmt formatCode="General" sourceLinked="1"/>
        <c:majorTickMark val="out"/>
        <c:minorTickMark val="none"/>
        <c:tickLblPos val="nextTo"/>
        <c:crossAx val="538845688"/>
        <c:crosses val="autoZero"/>
        <c:auto val="1"/>
        <c:lblAlgn val="ctr"/>
        <c:lblOffset val="100"/>
        <c:noMultiLvlLbl val="0"/>
      </c:catAx>
      <c:spPr>
        <a:noFill/>
        <a:ln>
          <a:noFill/>
        </a:ln>
        <a:effectLst/>
      </c:spPr>
    </c:plotArea>
    <c:legend>
      <c:legendPos val="b"/>
      <c:layout>
        <c:manualLayout>
          <c:xMode val="edge"/>
          <c:yMode val="edge"/>
          <c:x val="5.1578616671993489E-2"/>
          <c:y val="0.7936011127009559"/>
          <c:w val="0.90606785890693553"/>
          <c:h val="0.1795058533896538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Sheet1!$A$8</c:f>
              <c:strCache>
                <c:ptCount val="1"/>
                <c:pt idx="0">
                  <c:v>Arhīvā glabājamo vienību skaits</c:v>
                </c:pt>
              </c:strCache>
            </c:strRef>
          </c:tx>
          <c:spPr>
            <a:solidFill>
              <a:schemeClr val="accent6"/>
            </a:solidFill>
            <a:ln>
              <a:noFill/>
            </a:ln>
            <a:effectLst/>
          </c:spPr>
          <c:invertIfNegative val="0"/>
          <c:dLbls>
            <c:dLbl>
              <c:idx val="0"/>
              <c:layout/>
              <c:tx>
                <c:rich>
                  <a:bodyPr/>
                  <a:lstStyle/>
                  <a:p>
                    <a:r>
                      <a:rPr lang="en-US"/>
                      <a:t>43,4</a:t>
                    </a:r>
                  </a:p>
                </c:rich>
              </c:tx>
              <c:dLblPos val="inBase"/>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767-41A7-A6C8-882B1CBDACCF}"/>
                </c:ext>
              </c:extLst>
            </c:dLbl>
            <c:dLbl>
              <c:idx val="1"/>
              <c:layout/>
              <c:tx>
                <c:rich>
                  <a:bodyPr/>
                  <a:lstStyle/>
                  <a:p>
                    <a:r>
                      <a:rPr lang="en-US"/>
                      <a:t>43,7</a:t>
                    </a:r>
                  </a:p>
                </c:rich>
              </c:tx>
              <c:dLblPos val="inBase"/>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767-41A7-A6C8-882B1CBDACCF}"/>
                </c:ext>
              </c:extLst>
            </c:dLbl>
            <c:dLbl>
              <c:idx val="2"/>
              <c:layout/>
              <c:tx>
                <c:rich>
                  <a:bodyPr/>
                  <a:lstStyle/>
                  <a:p>
                    <a:r>
                      <a:rPr lang="en-US"/>
                      <a:t>43,9</a:t>
                    </a:r>
                  </a:p>
                </c:rich>
              </c:tx>
              <c:dLblPos val="inBase"/>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767-41A7-A6C8-882B1CBDACCF}"/>
                </c:ext>
              </c:extLst>
            </c:dLbl>
            <c:dLbl>
              <c:idx val="3"/>
              <c:layout/>
              <c:tx>
                <c:rich>
                  <a:bodyPr/>
                  <a:lstStyle/>
                  <a:p>
                    <a:r>
                      <a:rPr lang="en-US"/>
                      <a:t>44,3</a:t>
                    </a:r>
                  </a:p>
                </c:rich>
              </c:tx>
              <c:dLblPos val="inBase"/>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767-41A7-A6C8-882B1CBDACCF}"/>
                </c:ext>
              </c:extLst>
            </c:dLbl>
            <c:dLbl>
              <c:idx val="4"/>
              <c:layout/>
              <c:tx>
                <c:rich>
                  <a:bodyPr/>
                  <a:lstStyle/>
                  <a:p>
                    <a:r>
                      <a:rPr lang="en-US"/>
                      <a:t>44,6</a:t>
                    </a:r>
                  </a:p>
                </c:rich>
              </c:tx>
              <c:dLblPos val="inBase"/>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767-41A7-A6C8-882B1CBDACCF}"/>
                </c:ext>
              </c:extLst>
            </c:dLbl>
            <c:dLbl>
              <c:idx val="5"/>
              <c:layout/>
              <c:tx>
                <c:rich>
                  <a:bodyPr/>
                  <a:lstStyle/>
                  <a:p>
                    <a:r>
                      <a:rPr lang="en-US"/>
                      <a:t>45</a:t>
                    </a:r>
                  </a:p>
                </c:rich>
              </c:tx>
              <c:dLblPos val="inBase"/>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767-41A7-A6C8-882B1CBDACC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Sheet1!$B$8:$H$8</c:f>
              <c:numCache>
                <c:formatCode>#,##0</c:formatCode>
                <c:ptCount val="7"/>
                <c:pt idx="0">
                  <c:v>43443044</c:v>
                </c:pt>
                <c:pt idx="1">
                  <c:v>43715134</c:v>
                </c:pt>
                <c:pt idx="2">
                  <c:v>43943180</c:v>
                </c:pt>
                <c:pt idx="3">
                  <c:v>44263626</c:v>
                </c:pt>
                <c:pt idx="4">
                  <c:v>44552192</c:v>
                </c:pt>
                <c:pt idx="5">
                  <c:v>45013432</c:v>
                </c:pt>
              </c:numCache>
            </c:numRef>
          </c:val>
          <c:extLst>
            <c:ext xmlns:c16="http://schemas.microsoft.com/office/drawing/2014/chart" uri="{C3380CC4-5D6E-409C-BE32-E72D297353CC}">
              <c16:uniqueId val="{00000006-B767-41A7-A6C8-882B1CBDACCF}"/>
            </c:ext>
          </c:extLst>
        </c:ser>
        <c:dLbls>
          <c:showLegendKey val="0"/>
          <c:showVal val="0"/>
          <c:showCatName val="0"/>
          <c:showSerName val="0"/>
          <c:showPercent val="0"/>
          <c:showBubbleSize val="0"/>
        </c:dLbls>
        <c:gapWidth val="50"/>
        <c:axId val="541872384"/>
        <c:axId val="541875336"/>
      </c:barChart>
      <c:lineChart>
        <c:grouping val="standard"/>
        <c:varyColors val="0"/>
        <c:ser>
          <c:idx val="0"/>
          <c:order val="0"/>
          <c:tx>
            <c:strRef>
              <c:f>Sheet1!$A$2</c:f>
              <c:strCache>
                <c:ptCount val="1"/>
                <c:pt idx="0">
                  <c:v>Dotācijas</c:v>
                </c:pt>
              </c:strCache>
            </c:strRef>
          </c:tx>
          <c:spPr>
            <a:ln w="28575" cap="rnd">
              <a:solidFill>
                <a:schemeClr val="accent2"/>
              </a:solidFill>
              <a:round/>
            </a:ln>
            <a:effectLst/>
          </c:spPr>
          <c:marker>
            <c:symbol val="none"/>
          </c:marker>
          <c:dLbls>
            <c:dLbl>
              <c:idx val="0"/>
              <c:layout/>
              <c:tx>
                <c:rich>
                  <a:bodyPr/>
                  <a:lstStyle/>
                  <a:p>
                    <a:r>
                      <a:rPr lang="en-US"/>
                      <a:t>5,1</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B767-41A7-A6C8-882B1CBDACCF}"/>
                </c:ext>
              </c:extLst>
            </c:dLbl>
            <c:dLbl>
              <c:idx val="1"/>
              <c:layout/>
              <c:tx>
                <c:rich>
                  <a:bodyPr/>
                  <a:lstStyle/>
                  <a:p>
                    <a:r>
                      <a:rPr lang="en-US"/>
                      <a:t>5,6</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B767-41A7-A6C8-882B1CBDACCF}"/>
                </c:ext>
              </c:extLst>
            </c:dLbl>
            <c:dLbl>
              <c:idx val="2"/>
              <c:layout/>
              <c:tx>
                <c:rich>
                  <a:bodyPr/>
                  <a:lstStyle/>
                  <a:p>
                    <a:r>
                      <a:rPr lang="en-US"/>
                      <a:t>5,4</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B767-41A7-A6C8-882B1CBDACCF}"/>
                </c:ext>
              </c:extLst>
            </c:dLbl>
            <c:dLbl>
              <c:idx val="3"/>
              <c:layout/>
              <c:tx>
                <c:rich>
                  <a:bodyPr/>
                  <a:lstStyle/>
                  <a:p>
                    <a:r>
                      <a:rPr lang="en-US"/>
                      <a:t>5,7</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B767-41A7-A6C8-882B1CBDACCF}"/>
                </c:ext>
              </c:extLst>
            </c:dLbl>
            <c:dLbl>
              <c:idx val="4"/>
              <c:layout/>
              <c:tx>
                <c:rich>
                  <a:bodyPr/>
                  <a:lstStyle/>
                  <a:p>
                    <a:r>
                      <a:rPr lang="en-US"/>
                      <a:t>6,4</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B767-41A7-A6C8-882B1CBDACCF}"/>
                </c:ext>
              </c:extLst>
            </c:dLbl>
            <c:dLbl>
              <c:idx val="5"/>
              <c:layout/>
              <c:tx>
                <c:rich>
                  <a:bodyPr/>
                  <a:lstStyle/>
                  <a:p>
                    <a:r>
                      <a:rPr lang="en-US"/>
                      <a:t>7,1</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B767-41A7-A6C8-882B1CBDACCF}"/>
                </c:ext>
              </c:extLst>
            </c:dLbl>
            <c:dLbl>
              <c:idx val="6"/>
              <c:layout/>
              <c:tx>
                <c:rich>
                  <a:bodyPr/>
                  <a:lstStyle/>
                  <a:p>
                    <a:r>
                      <a:rPr lang="en-US"/>
                      <a:t>8,4</a:t>
                    </a:r>
                  </a:p>
                </c:rich>
              </c:tx>
              <c:dLblPos val="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B767-41A7-A6C8-882B1CBDACC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Sheet1!$B$1:$H$1</c:f>
              <c:numCache>
                <c:formatCode>General</c:formatCode>
                <c:ptCount val="7"/>
                <c:pt idx="0">
                  <c:v>2014</c:v>
                </c:pt>
                <c:pt idx="1">
                  <c:v>2015</c:v>
                </c:pt>
                <c:pt idx="2">
                  <c:v>2016</c:v>
                </c:pt>
                <c:pt idx="3">
                  <c:v>2017</c:v>
                </c:pt>
                <c:pt idx="4">
                  <c:v>2018</c:v>
                </c:pt>
                <c:pt idx="5">
                  <c:v>2019</c:v>
                </c:pt>
                <c:pt idx="6">
                  <c:v>2020</c:v>
                </c:pt>
              </c:numCache>
            </c:numRef>
          </c:cat>
          <c:val>
            <c:numRef>
              <c:f>Sheet1!$B$2:$H$2</c:f>
              <c:numCache>
                <c:formatCode>#,##0</c:formatCode>
                <c:ptCount val="7"/>
                <c:pt idx="0">
                  <c:v>5146953</c:v>
                </c:pt>
                <c:pt idx="1">
                  <c:v>5558266</c:v>
                </c:pt>
                <c:pt idx="2">
                  <c:v>5427519</c:v>
                </c:pt>
                <c:pt idx="3">
                  <c:v>5747080</c:v>
                </c:pt>
                <c:pt idx="4">
                  <c:v>6392028</c:v>
                </c:pt>
                <c:pt idx="5">
                  <c:v>7125827</c:v>
                </c:pt>
                <c:pt idx="6">
                  <c:v>8438294</c:v>
                </c:pt>
              </c:numCache>
            </c:numRef>
          </c:val>
          <c:smooth val="0"/>
          <c:extLst>
            <c:ext xmlns:c16="http://schemas.microsoft.com/office/drawing/2014/chart" uri="{C3380CC4-5D6E-409C-BE32-E72D297353CC}">
              <c16:uniqueId val="{0000000E-B767-41A7-A6C8-882B1CBDACCF}"/>
            </c:ext>
          </c:extLst>
        </c:ser>
        <c:dLbls>
          <c:showLegendKey val="0"/>
          <c:showVal val="0"/>
          <c:showCatName val="0"/>
          <c:showSerName val="0"/>
          <c:showPercent val="0"/>
          <c:showBubbleSize val="0"/>
        </c:dLbls>
        <c:marker val="1"/>
        <c:smooth val="0"/>
        <c:axId val="541873040"/>
        <c:axId val="541868448"/>
      </c:lineChart>
      <c:catAx>
        <c:axId val="54187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1875336"/>
        <c:crosses val="autoZero"/>
        <c:auto val="1"/>
        <c:lblAlgn val="ctr"/>
        <c:lblOffset val="100"/>
        <c:noMultiLvlLbl val="0"/>
      </c:catAx>
      <c:valAx>
        <c:axId val="541875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Arhīvā glabājamo vienību skaits</a:t>
                </a:r>
                <a:r>
                  <a:rPr lang="lv-LV" sz="900">
                    <a:solidFill>
                      <a:sysClr val="windowText" lastClr="000000"/>
                    </a:solidFill>
                    <a:latin typeface="Times New Roman" panose="02020603050405020304" pitchFamily="18" charset="0"/>
                    <a:cs typeface="Times New Roman" panose="02020603050405020304" pitchFamily="18" charset="0"/>
                  </a:rPr>
                  <a:t>, miljonos</a:t>
                </a:r>
                <a:endParaRPr lang="en-US" sz="900">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1872384"/>
        <c:crosses val="autoZero"/>
        <c:crossBetween val="between"/>
      </c:valAx>
      <c:valAx>
        <c:axId val="541868448"/>
        <c:scaling>
          <c:orientation val="minMax"/>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Valsts budžeta dotācija, milj. euro</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1873040"/>
        <c:crosses val="max"/>
        <c:crossBetween val="between"/>
      </c:valAx>
      <c:catAx>
        <c:axId val="541873040"/>
        <c:scaling>
          <c:orientation val="minMax"/>
        </c:scaling>
        <c:delete val="1"/>
        <c:axPos val="b"/>
        <c:numFmt formatCode="General" sourceLinked="1"/>
        <c:majorTickMark val="out"/>
        <c:minorTickMark val="none"/>
        <c:tickLblPos val="nextTo"/>
        <c:crossAx val="54186844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6"/>
            </a:solidFill>
            <a:ln>
              <a:noFill/>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5B3E-4B2B-A879-9CB46F80C8BC}"/>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5B3E-4B2B-A879-9CB46F80C8BC}"/>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5B3E-4B2B-A879-9CB46F80C8BC}"/>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Dati!$U$97:$AC$98</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Dati!$U$99:$AC$99</c:f>
              <c:numCache>
                <c:formatCode>#,##0.0</c:formatCode>
                <c:ptCount val="9"/>
                <c:pt idx="0">
                  <c:v>837.83500000000004</c:v>
                </c:pt>
                <c:pt idx="1">
                  <c:v>798.98700000000019</c:v>
                </c:pt>
                <c:pt idx="2">
                  <c:v>752.81299999999999</c:v>
                </c:pt>
                <c:pt idx="3">
                  <c:v>728.6819999999999</c:v>
                </c:pt>
                <c:pt idx="4">
                  <c:v>752.81299999999999</c:v>
                </c:pt>
                <c:pt idx="5">
                  <c:v>670.99913000000015</c:v>
                </c:pt>
                <c:pt idx="6">
                  <c:v>747.41800000000001</c:v>
                </c:pt>
                <c:pt idx="7">
                  <c:v>751.71799999999996</c:v>
                </c:pt>
                <c:pt idx="8">
                  <c:v>751.71799999999996</c:v>
                </c:pt>
              </c:numCache>
            </c:numRef>
          </c:val>
          <c:extLst>
            <c:ext xmlns:c16="http://schemas.microsoft.com/office/drawing/2014/chart" uri="{C3380CC4-5D6E-409C-BE32-E72D297353CC}">
              <c16:uniqueId val="{00000006-5B3E-4B2B-A879-9CB46F80C8BC}"/>
            </c:ext>
          </c:extLst>
        </c:ser>
        <c:dLbls>
          <c:showLegendKey val="0"/>
          <c:showVal val="1"/>
          <c:showCatName val="0"/>
          <c:showSerName val="0"/>
          <c:showPercent val="0"/>
          <c:showBubbleSize val="0"/>
        </c:dLbls>
        <c:gapWidth val="8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900"/>
          <c:min val="5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Sheet2!$B$3:$L$4</c:f>
              <c:multiLvlStrCache>
                <c:ptCount val="11"/>
                <c:lvl>
                  <c:pt idx="0">
                    <c:v>Plāns</c:v>
                  </c:pt>
                  <c:pt idx="1">
                    <c:v>Izpilde</c:v>
                  </c:pt>
                  <c:pt idx="2">
                    <c:v>Plāns</c:v>
                  </c:pt>
                  <c:pt idx="3">
                    <c:v>Izpilde</c:v>
                  </c:pt>
                  <c:pt idx="4">
                    <c:v>Plāns</c:v>
                  </c:pt>
                  <c:pt idx="5">
                    <c:v>Izpilde</c:v>
                  </c:pt>
                  <c:pt idx="6">
                    <c:v>Plāns</c:v>
                  </c:pt>
                  <c:pt idx="7">
                    <c:v>Izpilde</c:v>
                  </c:pt>
                  <c:pt idx="8">
                    <c:v>Plāns</c:v>
                  </c:pt>
                  <c:pt idx="9">
                    <c:v>Plāns</c:v>
                  </c:pt>
                  <c:pt idx="10">
                    <c:v>Plāns</c:v>
                  </c:pt>
                </c:lvl>
                <c:lvl>
                  <c:pt idx="0">
                    <c:v>2017</c:v>
                  </c:pt>
                  <c:pt idx="2">
                    <c:v>2018</c:v>
                  </c:pt>
                  <c:pt idx="4">
                    <c:v>2019</c:v>
                  </c:pt>
                  <c:pt idx="6">
                    <c:v>2020</c:v>
                  </c:pt>
                  <c:pt idx="8">
                    <c:v>2021</c:v>
                  </c:pt>
                  <c:pt idx="9">
                    <c:v>2022</c:v>
                  </c:pt>
                  <c:pt idx="10">
                    <c:v>2023</c:v>
                  </c:pt>
                </c:lvl>
              </c:multiLvlStrCache>
            </c:multiLvlStrRef>
          </c:cat>
          <c:val>
            <c:numRef>
              <c:f>Sheet2!$B$5:$L$5</c:f>
              <c:numCache>
                <c:formatCode>#,##0</c:formatCode>
                <c:ptCount val="11"/>
                <c:pt idx="0">
                  <c:v>690000</c:v>
                </c:pt>
                <c:pt idx="1">
                  <c:v>959448</c:v>
                </c:pt>
                <c:pt idx="2">
                  <c:v>900000</c:v>
                </c:pt>
                <c:pt idx="3">
                  <c:v>10111450</c:v>
                </c:pt>
                <c:pt idx="4">
                  <c:v>1300000</c:v>
                </c:pt>
                <c:pt idx="5">
                  <c:v>5587410</c:v>
                </c:pt>
                <c:pt idx="6">
                  <c:v>1400000</c:v>
                </c:pt>
                <c:pt idx="7">
                  <c:v>2972580</c:v>
                </c:pt>
                <c:pt idx="8">
                  <c:v>1400000</c:v>
                </c:pt>
                <c:pt idx="9">
                  <c:v>1400000</c:v>
                </c:pt>
                <c:pt idx="10">
                  <c:v>1400000</c:v>
                </c:pt>
              </c:numCache>
            </c:numRef>
          </c:val>
          <c:extLst>
            <c:ext xmlns:c16="http://schemas.microsoft.com/office/drawing/2014/chart" uri="{C3380CC4-5D6E-409C-BE32-E72D297353CC}">
              <c16:uniqueId val="{00000000-6EFD-4470-82B6-19AAD19045A0}"/>
            </c:ext>
          </c:extLst>
        </c:ser>
        <c:dLbls>
          <c:showLegendKey val="0"/>
          <c:showVal val="0"/>
          <c:showCatName val="0"/>
          <c:showSerName val="0"/>
          <c:showPercent val="0"/>
          <c:showBubbleSize val="0"/>
        </c:dLbls>
        <c:gapWidth val="50"/>
        <c:overlap val="5"/>
        <c:axId val="549263688"/>
        <c:axId val="549606504"/>
      </c:barChart>
      <c:catAx>
        <c:axId val="54926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9606504"/>
        <c:crosses val="autoZero"/>
        <c:auto val="1"/>
        <c:lblAlgn val="ctr"/>
        <c:lblOffset val="100"/>
        <c:noMultiLvlLbl val="0"/>
      </c:catAx>
      <c:valAx>
        <c:axId val="549606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92636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28206441398"/>
          <c:y val="4.4444444444444446E-2"/>
          <c:w val="0.85446482126565837"/>
          <c:h val="0.67471590189157382"/>
        </c:manualLayout>
      </c:layout>
      <c:barChart>
        <c:barDir val="col"/>
        <c:grouping val="stacked"/>
        <c:varyColors val="0"/>
        <c:ser>
          <c:idx val="0"/>
          <c:order val="0"/>
          <c:tx>
            <c:strRef>
              <c:f>'jauns_KOPĀ (2)'!$A$4</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6"/>
              <c:layout>
                <c:manualLayout>
                  <c:x val="0"/>
                  <c:y val="1.3793103448275862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447-4121-9D4E-29A782F02237}"/>
                </c:ext>
              </c:extLst>
            </c:dLbl>
            <c:dLbl>
              <c:idx val="7"/>
              <c:layout>
                <c:manualLayout>
                  <c:x val="0"/>
                  <c:y val="3.6363636363636292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447-4121-9D4E-29A782F02237}"/>
                </c:ext>
              </c:extLst>
            </c:dLbl>
            <c:dLbl>
              <c:idx val="8"/>
              <c:layout>
                <c:manualLayout>
                  <c:x val="-1.6168556099701281E-16"/>
                  <c:y val="1.797266720970223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447-4121-9D4E-29A782F02237}"/>
                </c:ext>
              </c:extLst>
            </c:dLbl>
            <c:numFmt formatCode="#\ ###\ ##0;\-#\ ##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'jauns_KOPĀ (2)'!$B$3:$J$3</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'jauns_KOPĀ (2)'!$B$4:$J$4</c:f>
              <c:numCache>
                <c:formatCode>_(* #,##0_);_(* \(#,##0\);_(* "-"??_);_(@_)</c:formatCode>
                <c:ptCount val="9"/>
                <c:pt idx="0">
                  <c:v>1094293.98</c:v>
                </c:pt>
                <c:pt idx="1">
                  <c:v>1072456.6000000001</c:v>
                </c:pt>
                <c:pt idx="2">
                  <c:v>1410023.8499999999</c:v>
                </c:pt>
                <c:pt idx="3">
                  <c:v>2529098.62</c:v>
                </c:pt>
                <c:pt idx="4">
                  <c:v>3480785.86</c:v>
                </c:pt>
                <c:pt idx="5">
                  <c:v>2584397.4999999995</c:v>
                </c:pt>
                <c:pt idx="6">
                  <c:v>3678956</c:v>
                </c:pt>
                <c:pt idx="7">
                  <c:v>3705525</c:v>
                </c:pt>
                <c:pt idx="8">
                  <c:v>3706025</c:v>
                </c:pt>
              </c:numCache>
            </c:numRef>
          </c:val>
          <c:extLst>
            <c:ext xmlns:c16="http://schemas.microsoft.com/office/drawing/2014/chart" uri="{C3380CC4-5D6E-409C-BE32-E72D297353CC}">
              <c16:uniqueId val="{00000003-A447-4121-9D4E-29A782F02237}"/>
            </c:ext>
          </c:extLst>
        </c:ser>
        <c:ser>
          <c:idx val="1"/>
          <c:order val="1"/>
          <c:tx>
            <c:strRef>
              <c:f>'jauns_KOPĀ (2)'!$A$5</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0"/>
              <c:layout>
                <c:manualLayout>
                  <c:x val="0"/>
                  <c:y val="-2.75862068965518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447-4121-9D4E-29A782F02237}"/>
                </c:ext>
              </c:extLst>
            </c:dLbl>
            <c:dLbl>
              <c:idx val="1"/>
              <c:layout>
                <c:manualLayout>
                  <c:x val="0"/>
                  <c:y val="-3.67816091954022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447-4121-9D4E-29A782F02237}"/>
                </c:ext>
              </c:extLst>
            </c:dLbl>
            <c:dLbl>
              <c:idx val="2"/>
              <c:layout>
                <c:manualLayout>
                  <c:x val="-2.7031588859324418E-3"/>
                  <c:y val="-2.081300173468994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447-4121-9D4E-29A782F02237}"/>
                </c:ext>
              </c:extLst>
            </c:dLbl>
            <c:dLbl>
              <c:idx val="3"/>
              <c:layout>
                <c:manualLayout>
                  <c:x val="-8.0842780498506403E-17"/>
                  <c:y val="-4.040404040404044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447-4121-9D4E-29A782F02237}"/>
                </c:ext>
              </c:extLst>
            </c:dLbl>
            <c:dLbl>
              <c:idx val="4"/>
              <c:layout>
                <c:manualLayout>
                  <c:x val="-4.4096571491566532E-3"/>
                  <c:y val="-6.548284912661779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447-4121-9D4E-29A782F02237}"/>
                </c:ext>
              </c:extLst>
            </c:dLbl>
            <c:dLbl>
              <c:idx val="5"/>
              <c:layout>
                <c:manualLayout>
                  <c:x val="4.4096571491566532E-3"/>
                  <c:y val="-6.1301475246628651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447-4121-9D4E-29A782F02237}"/>
                </c:ext>
              </c:extLst>
            </c:dLbl>
            <c:dLbl>
              <c:idx val="6"/>
              <c:delete val="1"/>
              <c:extLst>
                <c:ext xmlns:c15="http://schemas.microsoft.com/office/drawing/2012/chart" uri="{CE6537A1-D6FC-4f65-9D91-7224C49458BB}"/>
                <c:ext xmlns:c16="http://schemas.microsoft.com/office/drawing/2014/chart" uri="{C3380CC4-5D6E-409C-BE32-E72D297353CC}">
                  <c16:uniqueId val="{0000000A-A447-4121-9D4E-29A782F02237}"/>
                </c:ext>
              </c:extLst>
            </c:dLbl>
            <c:dLbl>
              <c:idx val="7"/>
              <c:delete val="1"/>
              <c:extLst>
                <c:ext xmlns:c15="http://schemas.microsoft.com/office/drawing/2012/chart" uri="{CE6537A1-D6FC-4f65-9D91-7224C49458BB}"/>
                <c:ext xmlns:c16="http://schemas.microsoft.com/office/drawing/2014/chart" uri="{C3380CC4-5D6E-409C-BE32-E72D297353CC}">
                  <c16:uniqueId val="{0000000B-A447-4121-9D4E-29A782F02237}"/>
                </c:ext>
              </c:extLst>
            </c:dLbl>
            <c:dLbl>
              <c:idx val="8"/>
              <c:delete val="1"/>
              <c:extLst>
                <c:ext xmlns:c15="http://schemas.microsoft.com/office/drawing/2012/chart" uri="{CE6537A1-D6FC-4f65-9D91-7224C49458BB}"/>
                <c:ext xmlns:c16="http://schemas.microsoft.com/office/drawing/2014/chart" uri="{C3380CC4-5D6E-409C-BE32-E72D297353CC}">
                  <c16:uniqueId val="{0000000C-A447-4121-9D4E-29A782F02237}"/>
                </c:ext>
              </c:extLst>
            </c:dLbl>
            <c:numFmt formatCode="#\ ###\ ##0;\-#\ ##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'jauns_KOPĀ (2)'!$B$3:$J$3</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'jauns_KOPĀ (2)'!$B$5:$J$5</c:f>
              <c:numCache>
                <c:formatCode>0</c:formatCode>
                <c:ptCount val="9"/>
                <c:pt idx="0">
                  <c:v>133052.02000000002</c:v>
                </c:pt>
                <c:pt idx="1">
                  <c:v>158720.39999999991</c:v>
                </c:pt>
                <c:pt idx="2">
                  <c:v>68090.000000000233</c:v>
                </c:pt>
                <c:pt idx="3">
                  <c:v>227116.37999999989</c:v>
                </c:pt>
                <c:pt idx="4">
                  <c:v>435180.4</c:v>
                </c:pt>
                <c:pt idx="5">
                  <c:v>1142130.6000000006</c:v>
                </c:pt>
              </c:numCache>
            </c:numRef>
          </c:val>
          <c:extLst>
            <c:ext xmlns:c16="http://schemas.microsoft.com/office/drawing/2014/chart" uri="{C3380CC4-5D6E-409C-BE32-E72D297353CC}">
              <c16:uniqueId val="{0000000D-A447-4121-9D4E-29A782F02237}"/>
            </c:ext>
          </c:extLst>
        </c:ser>
        <c:ser>
          <c:idx val="2"/>
          <c:order val="2"/>
          <c:tx>
            <c:strRef>
              <c:f>'jauns_KOPĀ (2)'!$A$6</c:f>
              <c:strCache>
                <c:ptCount val="1"/>
                <c:pt idx="0">
                  <c:v>Papildus nepieciešamais finansējums (Plāns darbam ar diasporu 2021.-2023.gadam)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dLbl>
              <c:idx val="7"/>
              <c:layout>
                <c:manualLayout>
                  <c:x val="-8.8193142983133063E-3"/>
                  <c:y val="-8.080808080808080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A447-4121-9D4E-29A782F02237}"/>
                </c:ext>
              </c:extLst>
            </c:dLbl>
            <c:dLbl>
              <c:idx val="8"/>
              <c:layout>
                <c:manualLayout>
                  <c:x val="-1.6168556099701281E-16"/>
                  <c:y val="-8.080808080808061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A447-4121-9D4E-29A782F0223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'jauns_KOPĀ (2)'!$B$3:$J$3</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'jauns_KOPĀ (2)'!$B$6:$J$6</c:f>
              <c:numCache>
                <c:formatCode>General</c:formatCode>
                <c:ptCount val="9"/>
                <c:pt idx="7" formatCode="#,##0">
                  <c:v>1007115</c:v>
                </c:pt>
                <c:pt idx="8" formatCode="#,##0">
                  <c:v>1105615</c:v>
                </c:pt>
              </c:numCache>
            </c:numRef>
          </c:val>
          <c:extLst>
            <c:ext xmlns:c16="http://schemas.microsoft.com/office/drawing/2014/chart" uri="{C3380CC4-5D6E-409C-BE32-E72D297353CC}">
              <c16:uniqueId val="{00000010-A447-4121-9D4E-29A782F02237}"/>
            </c:ext>
          </c:extLst>
        </c:ser>
        <c:dLbls>
          <c:showLegendKey val="0"/>
          <c:showVal val="0"/>
          <c:showCatName val="0"/>
          <c:showSerName val="0"/>
          <c:showPercent val="0"/>
          <c:showBubbleSize val="0"/>
        </c:dLbls>
        <c:gapWidth val="50"/>
        <c:overlap val="100"/>
        <c:axId val="1199047199"/>
        <c:axId val="1203076095"/>
      </c:barChart>
      <c:lineChart>
        <c:grouping val="standard"/>
        <c:varyColors val="0"/>
        <c:ser>
          <c:idx val="3"/>
          <c:order val="3"/>
          <c:tx>
            <c:strRef>
              <c:f>'jauns_KOPĀ (2)'!$A$7</c:f>
              <c:strCache>
                <c:ptCount val="1"/>
                <c:pt idx="0">
                  <c:v>2015.-2020. gada vidējā izpilde, euro</c:v>
                </c:pt>
              </c:strCache>
            </c:strRef>
          </c:tx>
          <c:spPr>
            <a:ln w="28575" cap="rnd">
              <a:solidFill>
                <a:srgbClr val="C00000"/>
              </a:solidFill>
              <a:prstDash val="dash"/>
              <a:round/>
            </a:ln>
            <a:effectLst/>
          </c:spPr>
          <c:marker>
            <c:symbol val="none"/>
          </c:marker>
          <c:cat>
            <c:strRef>
              <c:f>'jauns_KOPĀ (2)'!$B$3:$J$3</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'jauns_KOPĀ (2)'!$B$7:$J$7</c:f>
              <c:numCache>
                <c:formatCode>_(* #,##0_);_(* \(#,##0\);_(* "-"??_);_(@_)</c:formatCode>
                <c:ptCount val="9"/>
                <c:pt idx="0">
                  <c:v>2028509.4016666666</c:v>
                </c:pt>
                <c:pt idx="1">
                  <c:v>2028509.4016666666</c:v>
                </c:pt>
                <c:pt idx="2">
                  <c:v>2028509.4016666666</c:v>
                </c:pt>
                <c:pt idx="3">
                  <c:v>2028509.4016666666</c:v>
                </c:pt>
                <c:pt idx="4">
                  <c:v>2028509.4016666666</c:v>
                </c:pt>
                <c:pt idx="5">
                  <c:v>2028509.4016666666</c:v>
                </c:pt>
                <c:pt idx="6">
                  <c:v>2028509.4016666666</c:v>
                </c:pt>
                <c:pt idx="7">
                  <c:v>2028509.4016666666</c:v>
                </c:pt>
                <c:pt idx="8">
                  <c:v>2028509.4016666666</c:v>
                </c:pt>
              </c:numCache>
            </c:numRef>
          </c:val>
          <c:smooth val="0"/>
          <c:extLst>
            <c:ext xmlns:c16="http://schemas.microsoft.com/office/drawing/2014/chart" uri="{C3380CC4-5D6E-409C-BE32-E72D297353CC}">
              <c16:uniqueId val="{00000011-A447-4121-9D4E-29A782F02237}"/>
            </c:ext>
          </c:extLst>
        </c:ser>
        <c:dLbls>
          <c:showLegendKey val="0"/>
          <c:showVal val="0"/>
          <c:showCatName val="0"/>
          <c:showSerName val="0"/>
          <c:showPercent val="0"/>
          <c:showBubbleSize val="0"/>
        </c:dLbls>
        <c:marker val="1"/>
        <c:smooth val="0"/>
        <c:axId val="1199047199"/>
        <c:axId val="1203076095"/>
      </c:lineChart>
      <c:catAx>
        <c:axId val="1199047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03076095"/>
        <c:crosses val="autoZero"/>
        <c:auto val="1"/>
        <c:lblAlgn val="ctr"/>
        <c:lblOffset val="100"/>
        <c:noMultiLvlLbl val="0"/>
      </c:catAx>
      <c:valAx>
        <c:axId val="1203076095"/>
        <c:scaling>
          <c:orientation val="minMax"/>
          <c:max val="5000000"/>
        </c:scaling>
        <c:delete val="0"/>
        <c:axPos val="l"/>
        <c:majorGridlines>
          <c:spPr>
            <a:ln w="9525" cap="flat" cmpd="sng" algn="ctr">
              <a:solidFill>
                <a:schemeClr val="tx1">
                  <a:lumMod val="15000"/>
                  <a:lumOff val="85000"/>
                </a:schemeClr>
              </a:solidFill>
              <a:round/>
            </a:ln>
            <a:effectLst/>
          </c:spPr>
        </c:majorGridlines>
        <c:numFmt formatCode="#\ ###\ ##0;\-#\ ##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99047199"/>
        <c:crosses val="autoZero"/>
        <c:crossBetween val="between"/>
        <c:majorUnit val="1000000"/>
      </c:valAx>
      <c:spPr>
        <a:noFill/>
        <a:ln>
          <a:noFill/>
        </a:ln>
        <a:effectLst/>
      </c:spPr>
    </c:plotArea>
    <c:legend>
      <c:legendPos val="b"/>
      <c:legendEntry>
        <c:idx val="3"/>
        <c:delete val="1"/>
      </c:legendEntry>
      <c:layout>
        <c:manualLayout>
          <c:xMode val="edge"/>
          <c:yMode val="edge"/>
          <c:x val="3.3001249113511343E-2"/>
          <c:y val="0.8685075572449994"/>
          <c:w val="0.91415387099322321"/>
          <c:h val="0.1256406585540444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userShapes r:id="rId4"/>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89655013771498"/>
          <c:y val="4.3550138424477761E-2"/>
          <c:w val="0.84564550696734508"/>
          <c:h val="0.79510634124471091"/>
        </c:manualLayout>
      </c:layout>
      <c:barChart>
        <c:barDir val="col"/>
        <c:grouping val="clustered"/>
        <c:varyColors val="0"/>
        <c:ser>
          <c:idx val="0"/>
          <c:order val="0"/>
          <c:tx>
            <c:strRef>
              <c:f>Sheet1!$F$27</c:f>
              <c:strCache>
                <c:ptCount val="1"/>
                <c:pt idx="0">
                  <c:v>Plāns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0"/>
              <c:layout/>
              <c:numFmt formatCode="#\ ###\ ###"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985-4087-A00E-E707C5C0CD38}"/>
                </c:ext>
              </c:extLst>
            </c:dLbl>
            <c:dLbl>
              <c:idx val="1"/>
              <c:layout/>
              <c:numFmt formatCode="#\ ###\ ###"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985-4087-A00E-E707C5C0CD38}"/>
                </c:ext>
              </c:extLst>
            </c:dLbl>
            <c:numFmt formatCode="#\ ###\ ###"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Sheet1!$G$26:$H$26</c:f>
              <c:strCache>
                <c:ptCount val="2"/>
                <c:pt idx="0">
                  <c:v>2019. gads</c:v>
                </c:pt>
                <c:pt idx="1">
                  <c:v>2020. gads </c:v>
                </c:pt>
              </c:strCache>
            </c:strRef>
          </c:cat>
          <c:val>
            <c:numRef>
              <c:f>Sheet1!$G$27:$H$27</c:f>
              <c:numCache>
                <c:formatCode>_(* #\ ##0_);_(* \(#\ ##0\);_(* "-"??_);_(@_)</c:formatCode>
                <c:ptCount val="2"/>
                <c:pt idx="0">
                  <c:v>2638297</c:v>
                </c:pt>
                <c:pt idx="1">
                  <c:v>996795</c:v>
                </c:pt>
              </c:numCache>
            </c:numRef>
          </c:val>
          <c:extLst>
            <c:ext xmlns:c16="http://schemas.microsoft.com/office/drawing/2014/chart" uri="{C3380CC4-5D6E-409C-BE32-E72D297353CC}">
              <c16:uniqueId val="{00000002-C985-4087-A00E-E707C5C0CD38}"/>
            </c:ext>
          </c:extLst>
        </c:ser>
        <c:ser>
          <c:idx val="1"/>
          <c:order val="1"/>
          <c:tx>
            <c:strRef>
              <c:f>Sheet1!$F$28</c:f>
              <c:strCache>
                <c:ptCount val="1"/>
                <c:pt idx="0">
                  <c:v>Izpilde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numFmt formatCode="#\ ###\ ###"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Sheet1!$G$26:$H$26</c:f>
              <c:strCache>
                <c:ptCount val="2"/>
                <c:pt idx="0">
                  <c:v>2019. gads</c:v>
                </c:pt>
                <c:pt idx="1">
                  <c:v>2020. gads </c:v>
                </c:pt>
              </c:strCache>
            </c:strRef>
          </c:cat>
          <c:val>
            <c:numRef>
              <c:f>Sheet1!$G$28:$H$28</c:f>
              <c:numCache>
                <c:formatCode>_(* #\ ##0_);_(* \(#\ ##0\);_(* "-"??_);_(@_)</c:formatCode>
                <c:ptCount val="2"/>
                <c:pt idx="0">
                  <c:v>2110610.21</c:v>
                </c:pt>
                <c:pt idx="1">
                  <c:v>359660.92680000002</c:v>
                </c:pt>
              </c:numCache>
            </c:numRef>
          </c:val>
          <c:extLst>
            <c:ext xmlns:c16="http://schemas.microsoft.com/office/drawing/2014/chart" uri="{C3380CC4-5D6E-409C-BE32-E72D297353CC}">
              <c16:uniqueId val="{00000003-C985-4087-A00E-E707C5C0CD38}"/>
            </c:ext>
          </c:extLst>
        </c:ser>
        <c:dLbls>
          <c:showLegendKey val="0"/>
          <c:showVal val="0"/>
          <c:showCatName val="0"/>
          <c:showSerName val="0"/>
          <c:showPercent val="0"/>
          <c:showBubbleSize val="0"/>
        </c:dLbls>
        <c:gapWidth val="50"/>
        <c:axId val="236080031"/>
        <c:axId val="463946207"/>
      </c:barChart>
      <c:catAx>
        <c:axId val="23608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63946207"/>
        <c:crossesAt val="0"/>
        <c:auto val="1"/>
        <c:lblAlgn val="ctr"/>
        <c:lblOffset val="100"/>
        <c:noMultiLvlLbl val="0"/>
      </c:catAx>
      <c:valAx>
        <c:axId val="463946207"/>
        <c:scaling>
          <c:orientation val="minMax"/>
        </c:scaling>
        <c:delete val="0"/>
        <c:axPos val="l"/>
        <c:majorGridlines>
          <c:spPr>
            <a:ln w="9525" cap="flat" cmpd="sng" algn="ctr">
              <a:solidFill>
                <a:schemeClr val="tx1">
                  <a:lumMod val="15000"/>
                  <a:lumOff val="85000"/>
                </a:schemeClr>
              </a:solidFill>
              <a:round/>
            </a:ln>
            <a:effectLst/>
          </c:spPr>
        </c:majorGridlines>
        <c:numFmt formatCode="#\ ###\ ##0;\-#\ ##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36080031"/>
        <c:crosses val="autoZero"/>
        <c:crossBetween val="between"/>
      </c:valAx>
      <c:spPr>
        <a:noFill/>
        <a:ln>
          <a:noFill/>
        </a:ln>
        <a:effectLst/>
      </c:spPr>
    </c:plotArea>
    <c:legend>
      <c:legendPos val="b"/>
      <c:layout>
        <c:manualLayout>
          <c:xMode val="edge"/>
          <c:yMode val="edge"/>
          <c:x val="0.36450590572882169"/>
          <c:y val="0.90015819940315678"/>
          <c:w val="0.25775904348633744"/>
          <c:h val="7.244454032287060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24000831698564E-2"/>
          <c:y val="7.0981559997308027E-2"/>
          <c:w val="0.86775993757036574"/>
          <c:h val="0.71221751127262933"/>
        </c:manualLayout>
      </c:layout>
      <c:barChart>
        <c:barDir val="col"/>
        <c:grouping val="stacked"/>
        <c:varyColors val="0"/>
        <c:ser>
          <c:idx val="0"/>
          <c:order val="0"/>
          <c:tx>
            <c:strRef>
              <c:f>RTV!$A$50</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numFmt formatCode="#\ ##0;\-#\ ##0" sourceLinked="0"/>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RTV!$B$49:$G$49</c:f>
              <c:strCache>
                <c:ptCount val="6"/>
                <c:pt idx="0">
                  <c:v>2015.-2018. gads* (izpilde)</c:v>
                </c:pt>
                <c:pt idx="1">
                  <c:v>2019. gads (izpilde)</c:v>
                </c:pt>
                <c:pt idx="2">
                  <c:v>2020. gads (izpilde)</c:v>
                </c:pt>
                <c:pt idx="3">
                  <c:v>2021. gads (plāns)</c:v>
                </c:pt>
                <c:pt idx="4">
                  <c:v>2022. gads (plāns)</c:v>
                </c:pt>
                <c:pt idx="5">
                  <c:v>2023. gads (plāns)</c:v>
                </c:pt>
              </c:strCache>
            </c:strRef>
          </c:cat>
          <c:val>
            <c:numRef>
              <c:f>RTV!$B$50:$G$50</c:f>
              <c:numCache>
                <c:formatCode>0</c:formatCode>
                <c:ptCount val="6"/>
                <c:pt idx="0">
                  <c:v>23000</c:v>
                </c:pt>
                <c:pt idx="1">
                  <c:v>36029.5</c:v>
                </c:pt>
                <c:pt idx="2">
                  <c:v>36868.129999999997</c:v>
                </c:pt>
                <c:pt idx="3" formatCode="General">
                  <c:v>38000</c:v>
                </c:pt>
                <c:pt idx="4" formatCode="General">
                  <c:v>38000</c:v>
                </c:pt>
                <c:pt idx="5" formatCode="General">
                  <c:v>38000</c:v>
                </c:pt>
              </c:numCache>
            </c:numRef>
          </c:val>
          <c:extLst>
            <c:ext xmlns:c16="http://schemas.microsoft.com/office/drawing/2014/chart" uri="{C3380CC4-5D6E-409C-BE32-E72D297353CC}">
              <c16:uniqueId val="{00000000-17A9-4400-9C3C-4F56189DBE5D}"/>
            </c:ext>
          </c:extLst>
        </c:ser>
        <c:ser>
          <c:idx val="1"/>
          <c:order val="2"/>
          <c:tx>
            <c:strRef>
              <c:f>RTV!$A$51</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7A9-4400-9C3C-4F56189DBE5D}"/>
                </c:ext>
              </c:extLst>
            </c:dLbl>
            <c:dLbl>
              <c:idx val="1"/>
              <c:layout>
                <c:manualLayout>
                  <c:x val="0"/>
                  <c:y val="-3.831617201695941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7A9-4400-9C3C-4F56189DBE5D}"/>
                </c:ext>
              </c:extLst>
            </c:dLbl>
            <c:dLbl>
              <c:idx val="3"/>
              <c:delete val="1"/>
              <c:extLst>
                <c:ext xmlns:c15="http://schemas.microsoft.com/office/drawing/2012/chart" uri="{CE6537A1-D6FC-4f65-9D91-7224C49458BB}"/>
                <c:ext xmlns:c16="http://schemas.microsoft.com/office/drawing/2014/chart" uri="{C3380CC4-5D6E-409C-BE32-E72D297353CC}">
                  <c16:uniqueId val="{00000003-17A9-4400-9C3C-4F56189DBE5D}"/>
                </c:ext>
              </c:extLst>
            </c:dLbl>
            <c:spPr>
              <a:noFill/>
              <a:ln>
                <a:noFill/>
              </a:ln>
              <a:effectLst/>
            </c:spPr>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RTV!$B$49:$G$49</c:f>
              <c:strCache>
                <c:ptCount val="6"/>
                <c:pt idx="0">
                  <c:v>2015.-2018. gads* (izpilde)</c:v>
                </c:pt>
                <c:pt idx="1">
                  <c:v>2019. gads (izpilde)</c:v>
                </c:pt>
                <c:pt idx="2">
                  <c:v>2020. gads (izpilde)</c:v>
                </c:pt>
                <c:pt idx="3">
                  <c:v>2021. gads (plāns)</c:v>
                </c:pt>
                <c:pt idx="4">
                  <c:v>2022. gads (plāns)</c:v>
                </c:pt>
                <c:pt idx="5">
                  <c:v>2023. gads (plāns)</c:v>
                </c:pt>
              </c:strCache>
            </c:strRef>
          </c:cat>
          <c:val>
            <c:numRef>
              <c:f>RTV!$B$51:$G$51</c:f>
              <c:numCache>
                <c:formatCode>0</c:formatCode>
                <c:ptCount val="6"/>
                <c:pt idx="0">
                  <c:v>0</c:v>
                </c:pt>
                <c:pt idx="1">
                  <c:v>1970.5</c:v>
                </c:pt>
                <c:pt idx="2">
                  <c:v>1131.8700000000026</c:v>
                </c:pt>
                <c:pt idx="3">
                  <c:v>0</c:v>
                </c:pt>
              </c:numCache>
            </c:numRef>
          </c:val>
          <c:extLst>
            <c:ext xmlns:c16="http://schemas.microsoft.com/office/drawing/2014/chart" uri="{C3380CC4-5D6E-409C-BE32-E72D297353CC}">
              <c16:uniqueId val="{00000004-17A9-4400-9C3C-4F56189DBE5D}"/>
            </c:ext>
          </c:extLst>
        </c:ser>
        <c:dLbls>
          <c:showLegendKey val="0"/>
          <c:showVal val="0"/>
          <c:showCatName val="0"/>
          <c:showSerName val="0"/>
          <c:showPercent val="0"/>
          <c:showBubbleSize val="0"/>
        </c:dLbls>
        <c:gapWidth val="50"/>
        <c:overlap val="100"/>
        <c:axId val="1198348479"/>
        <c:axId val="618401071"/>
      </c:barChart>
      <c:lineChart>
        <c:grouping val="standard"/>
        <c:varyColors val="0"/>
        <c:ser>
          <c:idx val="3"/>
          <c:order val="1"/>
          <c:tx>
            <c:strRef>
              <c:f>RTV!$A$53</c:f>
              <c:strCache>
                <c:ptCount val="1"/>
                <c:pt idx="0">
                  <c:v>2015.-2020. gada vidējā izpilde, euro</c:v>
                </c:pt>
              </c:strCache>
            </c:strRef>
          </c:tx>
          <c:spPr>
            <a:ln w="28575" cap="rnd">
              <a:solidFill>
                <a:srgbClr val="C00000"/>
              </a:solidFill>
              <a:prstDash val="dash"/>
              <a:round/>
            </a:ln>
            <a:effectLst/>
          </c:spPr>
          <c:marker>
            <c:symbol val="none"/>
          </c:marker>
          <c:cat>
            <c:strRef>
              <c:f>RTV!$B$49:$G$49</c:f>
              <c:strCache>
                <c:ptCount val="6"/>
                <c:pt idx="0">
                  <c:v>2015.-2018. gads* (izpilde)</c:v>
                </c:pt>
                <c:pt idx="1">
                  <c:v>2019. gads (izpilde)</c:v>
                </c:pt>
                <c:pt idx="2">
                  <c:v>2020. gads (izpilde)</c:v>
                </c:pt>
                <c:pt idx="3">
                  <c:v>2021. gads (plāns)</c:v>
                </c:pt>
                <c:pt idx="4">
                  <c:v>2022. gads (plāns)</c:v>
                </c:pt>
                <c:pt idx="5">
                  <c:v>2023. gads (plāns)</c:v>
                </c:pt>
              </c:strCache>
            </c:strRef>
          </c:cat>
          <c:val>
            <c:numRef>
              <c:f>RTV!$B$53:$G$53</c:f>
              <c:numCache>
                <c:formatCode>0</c:formatCode>
                <c:ptCount val="6"/>
                <c:pt idx="0">
                  <c:v>27482.938333333335</c:v>
                </c:pt>
                <c:pt idx="1">
                  <c:v>27482.938333333335</c:v>
                </c:pt>
                <c:pt idx="2">
                  <c:v>27482.938333333335</c:v>
                </c:pt>
                <c:pt idx="3">
                  <c:v>27482.938333333335</c:v>
                </c:pt>
                <c:pt idx="4">
                  <c:v>27482.938333333335</c:v>
                </c:pt>
                <c:pt idx="5">
                  <c:v>27482.938333333335</c:v>
                </c:pt>
              </c:numCache>
            </c:numRef>
          </c:val>
          <c:smooth val="0"/>
          <c:extLst>
            <c:ext xmlns:c16="http://schemas.microsoft.com/office/drawing/2014/chart" uri="{C3380CC4-5D6E-409C-BE32-E72D297353CC}">
              <c16:uniqueId val="{00000005-17A9-4400-9C3C-4F56189DBE5D}"/>
            </c:ext>
          </c:extLst>
        </c:ser>
        <c:dLbls>
          <c:showLegendKey val="0"/>
          <c:showVal val="0"/>
          <c:showCatName val="0"/>
          <c:showSerName val="0"/>
          <c:showPercent val="0"/>
          <c:showBubbleSize val="0"/>
        </c:dLbls>
        <c:marker val="1"/>
        <c:smooth val="0"/>
        <c:axId val="1198348479"/>
        <c:axId val="618401071"/>
      </c:lineChart>
      <c:catAx>
        <c:axId val="1198348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18401071"/>
        <c:crosses val="autoZero"/>
        <c:auto val="1"/>
        <c:lblAlgn val="ctr"/>
        <c:lblOffset val="100"/>
        <c:noMultiLvlLbl val="0"/>
      </c:catAx>
      <c:valAx>
        <c:axId val="618401071"/>
        <c:scaling>
          <c:orientation val="minMax"/>
          <c:max val="50000"/>
        </c:scaling>
        <c:delete val="0"/>
        <c:axPos val="l"/>
        <c:majorGridlines>
          <c:spPr>
            <a:ln w="9525" cap="flat" cmpd="sng" algn="ctr">
              <a:solidFill>
                <a:schemeClr val="tx1">
                  <a:lumMod val="15000"/>
                  <a:lumOff val="85000"/>
                </a:schemeClr>
              </a:solidFill>
              <a:round/>
            </a:ln>
            <a:effectLst/>
          </c:spPr>
        </c:majorGridlines>
        <c:numFmt formatCode="#\ ##0;\-#\ ##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98348479"/>
        <c:crosses val="autoZero"/>
        <c:crossBetween val="between"/>
        <c:majorUnit val="10000"/>
      </c:valAx>
      <c:spPr>
        <a:noFill/>
        <a:ln>
          <a:noFill/>
        </a:ln>
        <a:effectLst/>
      </c:spPr>
    </c:plotArea>
    <c:legend>
      <c:legendPos val="b"/>
      <c:legendEntry>
        <c:idx val="2"/>
        <c:delete val="1"/>
      </c:legendEntry>
      <c:layout>
        <c:manualLayout>
          <c:xMode val="edge"/>
          <c:yMode val="edge"/>
          <c:x val="0.13667645529536457"/>
          <c:y val="0.91103883403718966"/>
          <c:w val="0.71341100001128455"/>
          <c:h val="7.402516497765288E-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userShapes r:id="rId4"/>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54102153006422"/>
          <c:y val="0.1634355878624017"/>
          <c:w val="0.88067710806350952"/>
          <c:h val="0.63838904770529492"/>
        </c:manualLayout>
      </c:layout>
      <c:barChart>
        <c:barDir val="col"/>
        <c:grouping val="stacked"/>
        <c:varyColors val="0"/>
        <c:ser>
          <c:idx val="0"/>
          <c:order val="0"/>
          <c:tx>
            <c:strRef>
              <c:f>SIF!$P$12</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SIF!$Q$11:$W$11</c:f>
              <c:strCache>
                <c:ptCount val="7"/>
                <c:pt idx="0">
                  <c:v>2015. gads (izpilde)</c:v>
                </c:pt>
                <c:pt idx="1">
                  <c:v>2016. gads (izpilde)</c:v>
                </c:pt>
                <c:pt idx="2">
                  <c:v>2017. gads (izpilde)</c:v>
                </c:pt>
                <c:pt idx="3">
                  <c:v>2018. gads (izpilde)</c:v>
                </c:pt>
                <c:pt idx="4">
                  <c:v>2019. gads (izpilde)</c:v>
                </c:pt>
                <c:pt idx="5">
                  <c:v>2020. gads (izpilde)</c:v>
                </c:pt>
                <c:pt idx="6">
                  <c:v>2021.-2023. gads (plāns)</c:v>
                </c:pt>
              </c:strCache>
            </c:strRef>
          </c:cat>
          <c:val>
            <c:numRef>
              <c:f>SIF!$Q$12:$W$12</c:f>
              <c:numCache>
                <c:formatCode>_(* #,##0_);_(* \(#,##0\);_(* "-"??_);_(@_)</c:formatCode>
                <c:ptCount val="7"/>
                <c:pt idx="0">
                  <c:v>351360</c:v>
                </c:pt>
                <c:pt idx="1">
                  <c:v>339248</c:v>
                </c:pt>
                <c:pt idx="2">
                  <c:v>338989</c:v>
                </c:pt>
                <c:pt idx="3">
                  <c:v>328628</c:v>
                </c:pt>
                <c:pt idx="4">
                  <c:v>361885</c:v>
                </c:pt>
                <c:pt idx="5">
                  <c:v>158589</c:v>
                </c:pt>
                <c:pt idx="6">
                  <c:v>389687</c:v>
                </c:pt>
              </c:numCache>
            </c:numRef>
          </c:val>
          <c:extLst>
            <c:ext xmlns:c16="http://schemas.microsoft.com/office/drawing/2014/chart" uri="{C3380CC4-5D6E-409C-BE32-E72D297353CC}">
              <c16:uniqueId val="{00000000-5502-4F08-B252-9D49D4B60EE8}"/>
            </c:ext>
          </c:extLst>
        </c:ser>
        <c:ser>
          <c:idx val="1"/>
          <c:order val="1"/>
          <c:tx>
            <c:strRef>
              <c:f>SIF!$P$13</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6"/>
              <c:delete val="1"/>
              <c:extLst>
                <c:ext xmlns:c15="http://schemas.microsoft.com/office/drawing/2012/chart" uri="{CE6537A1-D6FC-4f65-9D91-7224C49458BB}"/>
                <c:ext xmlns:c16="http://schemas.microsoft.com/office/drawing/2014/chart" uri="{C3380CC4-5D6E-409C-BE32-E72D297353CC}">
                  <c16:uniqueId val="{00000001-5502-4F08-B252-9D49D4B60EE8}"/>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SIF!$Q$11:$W$11</c:f>
              <c:strCache>
                <c:ptCount val="7"/>
                <c:pt idx="0">
                  <c:v>2015. gads (izpilde)</c:v>
                </c:pt>
                <c:pt idx="1">
                  <c:v>2016. gads (izpilde)</c:v>
                </c:pt>
                <c:pt idx="2">
                  <c:v>2017. gads (izpilde)</c:v>
                </c:pt>
                <c:pt idx="3">
                  <c:v>2018. gads (izpilde)</c:v>
                </c:pt>
                <c:pt idx="4">
                  <c:v>2019. gads (izpilde)</c:v>
                </c:pt>
                <c:pt idx="5">
                  <c:v>2020. gads (izpilde)</c:v>
                </c:pt>
                <c:pt idx="6">
                  <c:v>2021.-2023. gads (plāns)</c:v>
                </c:pt>
              </c:strCache>
            </c:strRef>
          </c:cat>
          <c:val>
            <c:numRef>
              <c:f>SIF!$Q$13:$W$13</c:f>
              <c:numCache>
                <c:formatCode>_(* #,##0_);_(* \(#,##0\);_(* "-"??_);_(@_)</c:formatCode>
                <c:ptCount val="7"/>
                <c:pt idx="0">
                  <c:v>38507</c:v>
                </c:pt>
                <c:pt idx="1">
                  <c:v>50619</c:v>
                </c:pt>
                <c:pt idx="2">
                  <c:v>16729</c:v>
                </c:pt>
                <c:pt idx="3">
                  <c:v>26910</c:v>
                </c:pt>
                <c:pt idx="4">
                  <c:v>27802</c:v>
                </c:pt>
                <c:pt idx="5">
                  <c:v>76186</c:v>
                </c:pt>
                <c:pt idx="6">
                  <c:v>0</c:v>
                </c:pt>
              </c:numCache>
            </c:numRef>
          </c:val>
          <c:extLst>
            <c:ext xmlns:c16="http://schemas.microsoft.com/office/drawing/2014/chart" uri="{C3380CC4-5D6E-409C-BE32-E72D297353CC}">
              <c16:uniqueId val="{00000002-5502-4F08-B252-9D49D4B60EE8}"/>
            </c:ext>
          </c:extLst>
        </c:ser>
        <c:dLbls>
          <c:showLegendKey val="0"/>
          <c:showVal val="0"/>
          <c:showCatName val="0"/>
          <c:showSerName val="0"/>
          <c:showPercent val="0"/>
          <c:showBubbleSize val="0"/>
        </c:dLbls>
        <c:gapWidth val="50"/>
        <c:overlap val="100"/>
        <c:axId val="2060655760"/>
        <c:axId val="1841130928"/>
      </c:barChart>
      <c:lineChart>
        <c:grouping val="standard"/>
        <c:varyColors val="0"/>
        <c:ser>
          <c:idx val="2"/>
          <c:order val="2"/>
          <c:tx>
            <c:strRef>
              <c:f>SIF!$P$14</c:f>
              <c:strCache>
                <c:ptCount val="1"/>
                <c:pt idx="0">
                  <c:v>2015.-2020. gada vidējā izpilde, euro</c:v>
                </c:pt>
              </c:strCache>
            </c:strRef>
          </c:tx>
          <c:spPr>
            <a:ln w="28575" cap="rnd">
              <a:solidFill>
                <a:srgbClr val="C00000"/>
              </a:solidFill>
              <a:prstDash val="dash"/>
              <a:round/>
            </a:ln>
            <a:effectLst/>
          </c:spPr>
          <c:marker>
            <c:symbol val="none"/>
          </c:marker>
          <c:cat>
            <c:strRef>
              <c:f>SIF!$Q$11:$W$11</c:f>
              <c:strCache>
                <c:ptCount val="7"/>
                <c:pt idx="0">
                  <c:v>2015. gads (izpilde)</c:v>
                </c:pt>
                <c:pt idx="1">
                  <c:v>2016. gads (izpilde)</c:v>
                </c:pt>
                <c:pt idx="2">
                  <c:v>2017. gads (izpilde)</c:v>
                </c:pt>
                <c:pt idx="3">
                  <c:v>2018. gads (izpilde)</c:v>
                </c:pt>
                <c:pt idx="4">
                  <c:v>2019. gads (izpilde)</c:v>
                </c:pt>
                <c:pt idx="5">
                  <c:v>2020. gads (izpilde)</c:v>
                </c:pt>
                <c:pt idx="6">
                  <c:v>2021.-2023. gads (plāns)</c:v>
                </c:pt>
              </c:strCache>
            </c:strRef>
          </c:cat>
          <c:val>
            <c:numRef>
              <c:f>SIF!$Q$14:$W$14</c:f>
              <c:numCache>
                <c:formatCode>_(* #,##0_);_(* \(#,##0\);_(* "-"??_);_(@_)</c:formatCode>
                <c:ptCount val="7"/>
                <c:pt idx="0">
                  <c:v>313116.5</c:v>
                </c:pt>
                <c:pt idx="1">
                  <c:v>313116.5</c:v>
                </c:pt>
                <c:pt idx="2">
                  <c:v>313116.5</c:v>
                </c:pt>
                <c:pt idx="3">
                  <c:v>313116.5</c:v>
                </c:pt>
                <c:pt idx="4">
                  <c:v>313116.5</c:v>
                </c:pt>
                <c:pt idx="5">
                  <c:v>313116.5</c:v>
                </c:pt>
                <c:pt idx="6">
                  <c:v>313116.5</c:v>
                </c:pt>
              </c:numCache>
            </c:numRef>
          </c:val>
          <c:smooth val="0"/>
          <c:extLst>
            <c:ext xmlns:c16="http://schemas.microsoft.com/office/drawing/2014/chart" uri="{C3380CC4-5D6E-409C-BE32-E72D297353CC}">
              <c16:uniqueId val="{00000003-5502-4F08-B252-9D49D4B60EE8}"/>
            </c:ext>
          </c:extLst>
        </c:ser>
        <c:dLbls>
          <c:showLegendKey val="0"/>
          <c:showVal val="0"/>
          <c:showCatName val="0"/>
          <c:showSerName val="0"/>
          <c:showPercent val="0"/>
          <c:showBubbleSize val="0"/>
        </c:dLbls>
        <c:marker val="1"/>
        <c:smooth val="0"/>
        <c:axId val="2060655760"/>
        <c:axId val="1841130928"/>
      </c:lineChart>
      <c:catAx>
        <c:axId val="206065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841130928"/>
        <c:crosses val="autoZero"/>
        <c:auto val="1"/>
        <c:lblAlgn val="ctr"/>
        <c:lblOffset val="100"/>
        <c:noMultiLvlLbl val="0"/>
      </c:catAx>
      <c:valAx>
        <c:axId val="1841130928"/>
        <c:scaling>
          <c:orientation val="minMax"/>
          <c:max val="400000"/>
        </c:scaling>
        <c:delete val="0"/>
        <c:axPos val="l"/>
        <c:majorGridlines>
          <c:spPr>
            <a:ln w="9525" cap="flat" cmpd="sng" algn="ctr">
              <a:solidFill>
                <a:schemeClr val="tx1">
                  <a:lumMod val="15000"/>
                  <a:lumOff val="85000"/>
                </a:schemeClr>
              </a:solidFill>
              <a:round/>
            </a:ln>
            <a:effectLst/>
          </c:spPr>
        </c:majorGridlines>
        <c:numFmt formatCode="#\ ##0;\-#\ ##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60655760"/>
        <c:crosses val="autoZero"/>
        <c:crossBetween val="between"/>
        <c:majorUnit val="100000"/>
      </c:valAx>
      <c:spPr>
        <a:noFill/>
        <a:ln>
          <a:noFill/>
        </a:ln>
        <a:effectLst/>
      </c:spPr>
    </c:plotArea>
    <c:legend>
      <c:legendPos val="b"/>
      <c:legendEntry>
        <c:idx val="2"/>
        <c:delete val="1"/>
      </c:legendEntry>
      <c:layout>
        <c:manualLayout>
          <c:xMode val="edge"/>
          <c:yMode val="edge"/>
          <c:x val="0.28804331880519124"/>
          <c:y val="0.91954387845223406"/>
          <c:w val="0.41950370524046088"/>
          <c:h val="8.045612154776597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userShapes r:id="rId4"/>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641091029379301E-2"/>
          <c:y val="0.13794594829446177"/>
          <c:w val="0.90381456901079305"/>
          <c:h val="0.66091843611639556"/>
        </c:manualLayout>
      </c:layout>
      <c:barChart>
        <c:barDir val="col"/>
        <c:grouping val="stacked"/>
        <c:varyColors val="0"/>
        <c:ser>
          <c:idx val="0"/>
          <c:order val="0"/>
          <c:tx>
            <c:strRef>
              <c:f>ĀM!$G$66</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numFmt formatCode="#\ ##0;\-#\ ##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ĀM!$H$65:$N$65</c:f>
              <c:strCache>
                <c:ptCount val="7"/>
                <c:pt idx="0">
                  <c:v>2015. gads (izpilde)</c:v>
                </c:pt>
                <c:pt idx="1">
                  <c:v>2016. gads (izpilde)</c:v>
                </c:pt>
                <c:pt idx="2">
                  <c:v>2017. gads (izpilde)</c:v>
                </c:pt>
                <c:pt idx="3">
                  <c:v>2018. gads (izpilde)</c:v>
                </c:pt>
                <c:pt idx="4">
                  <c:v>2019. gads (izpilde)</c:v>
                </c:pt>
                <c:pt idx="5">
                  <c:v>2020. gads (izpilde)</c:v>
                </c:pt>
                <c:pt idx="6">
                  <c:v>2021.-2023. gads (plāns)</c:v>
                </c:pt>
              </c:strCache>
            </c:strRef>
          </c:cat>
          <c:val>
            <c:numRef>
              <c:f>ĀM!$H$66:$N$66</c:f>
              <c:numCache>
                <c:formatCode>General</c:formatCode>
                <c:ptCount val="7"/>
                <c:pt idx="0">
                  <c:v>173959</c:v>
                </c:pt>
                <c:pt idx="1">
                  <c:v>160862</c:v>
                </c:pt>
                <c:pt idx="2">
                  <c:v>177067</c:v>
                </c:pt>
                <c:pt idx="3">
                  <c:v>202851</c:v>
                </c:pt>
                <c:pt idx="4">
                  <c:v>214433</c:v>
                </c:pt>
                <c:pt idx="5">
                  <c:v>102699</c:v>
                </c:pt>
                <c:pt idx="6">
                  <c:v>226238</c:v>
                </c:pt>
              </c:numCache>
            </c:numRef>
          </c:val>
          <c:extLst>
            <c:ext xmlns:c16="http://schemas.microsoft.com/office/drawing/2014/chart" uri="{C3380CC4-5D6E-409C-BE32-E72D297353CC}">
              <c16:uniqueId val="{00000000-CEB8-4CF4-AB34-1FD91A61CBDD}"/>
            </c:ext>
          </c:extLst>
        </c:ser>
        <c:ser>
          <c:idx val="1"/>
          <c:order val="1"/>
          <c:tx>
            <c:strRef>
              <c:f>ĀM!$G$67</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5"/>
              <c:layout>
                <c:manualLayout>
                  <c:x val="0"/>
                  <c:y val="1.73347778981581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EB8-4CF4-AB34-1FD91A61CBDD}"/>
                </c:ext>
              </c:extLst>
            </c:dLbl>
            <c:numFmt formatCode="#\ ##0;\-#\ ##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ĀM!$H$65:$N$65</c:f>
              <c:strCache>
                <c:ptCount val="7"/>
                <c:pt idx="0">
                  <c:v>2015. gads (izpilde)</c:v>
                </c:pt>
                <c:pt idx="1">
                  <c:v>2016. gads (izpilde)</c:v>
                </c:pt>
                <c:pt idx="2">
                  <c:v>2017. gads (izpilde)</c:v>
                </c:pt>
                <c:pt idx="3">
                  <c:v>2018. gads (izpilde)</c:v>
                </c:pt>
                <c:pt idx="4">
                  <c:v>2019. gads (izpilde)</c:v>
                </c:pt>
                <c:pt idx="5">
                  <c:v>2020. gads (izpilde)</c:v>
                </c:pt>
                <c:pt idx="6">
                  <c:v>2021.-2023. gads (plāns)</c:v>
                </c:pt>
              </c:strCache>
            </c:strRef>
          </c:cat>
          <c:val>
            <c:numRef>
              <c:f>ĀM!$H$67:$M$67</c:f>
              <c:numCache>
                <c:formatCode>General</c:formatCode>
                <c:ptCount val="6"/>
                <c:pt idx="0">
                  <c:v>52279</c:v>
                </c:pt>
                <c:pt idx="1">
                  <c:v>61661</c:v>
                </c:pt>
                <c:pt idx="2">
                  <c:v>49171</c:v>
                </c:pt>
                <c:pt idx="3">
                  <c:v>23387</c:v>
                </c:pt>
                <c:pt idx="4">
                  <c:v>11805</c:v>
                </c:pt>
                <c:pt idx="5" formatCode="_(* #,##0_);_(* \(#,##0\);_(* &quot;-&quot;??_);_(@_)">
                  <c:v>123539</c:v>
                </c:pt>
              </c:numCache>
            </c:numRef>
          </c:val>
          <c:extLst>
            <c:ext xmlns:c16="http://schemas.microsoft.com/office/drawing/2014/chart" uri="{C3380CC4-5D6E-409C-BE32-E72D297353CC}">
              <c16:uniqueId val="{00000002-CEB8-4CF4-AB34-1FD91A61CBDD}"/>
            </c:ext>
          </c:extLst>
        </c:ser>
        <c:dLbls>
          <c:showLegendKey val="0"/>
          <c:showVal val="0"/>
          <c:showCatName val="0"/>
          <c:showSerName val="0"/>
          <c:showPercent val="0"/>
          <c:showBubbleSize val="0"/>
        </c:dLbls>
        <c:gapWidth val="50"/>
        <c:overlap val="100"/>
        <c:axId val="1028991647"/>
        <c:axId val="1222940175"/>
      </c:barChart>
      <c:lineChart>
        <c:grouping val="standard"/>
        <c:varyColors val="0"/>
        <c:ser>
          <c:idx val="2"/>
          <c:order val="2"/>
          <c:tx>
            <c:strRef>
              <c:f>ĀM!$G$68</c:f>
              <c:strCache>
                <c:ptCount val="1"/>
                <c:pt idx="0">
                  <c:v>2015.-2020. gada vidējā izpilde, euro</c:v>
                </c:pt>
              </c:strCache>
            </c:strRef>
          </c:tx>
          <c:spPr>
            <a:ln w="28575" cap="rnd">
              <a:solidFill>
                <a:srgbClr val="C00000"/>
              </a:solidFill>
              <a:prstDash val="dash"/>
              <a:round/>
            </a:ln>
            <a:effectLst/>
          </c:spPr>
          <c:marker>
            <c:symbol val="none"/>
          </c:marker>
          <c:cat>
            <c:strRef>
              <c:f>ĀM!$H$65:$N$65</c:f>
              <c:strCache>
                <c:ptCount val="7"/>
                <c:pt idx="0">
                  <c:v>2015. gads (izpilde)</c:v>
                </c:pt>
                <c:pt idx="1">
                  <c:v>2016. gads (izpilde)</c:v>
                </c:pt>
                <c:pt idx="2">
                  <c:v>2017. gads (izpilde)</c:v>
                </c:pt>
                <c:pt idx="3">
                  <c:v>2018. gads (izpilde)</c:v>
                </c:pt>
                <c:pt idx="4">
                  <c:v>2019. gads (izpilde)</c:v>
                </c:pt>
                <c:pt idx="5">
                  <c:v>2020. gads (izpilde)</c:v>
                </c:pt>
                <c:pt idx="6">
                  <c:v>2021.-2023. gads (plāns)</c:v>
                </c:pt>
              </c:strCache>
            </c:strRef>
          </c:cat>
          <c:val>
            <c:numRef>
              <c:f>ĀM!$H$68:$N$68</c:f>
              <c:numCache>
                <c:formatCode>0</c:formatCode>
                <c:ptCount val="7"/>
                <c:pt idx="0">
                  <c:v>171978.5</c:v>
                </c:pt>
                <c:pt idx="1">
                  <c:v>171978.66666666666</c:v>
                </c:pt>
                <c:pt idx="2">
                  <c:v>171978.66666666666</c:v>
                </c:pt>
                <c:pt idx="3">
                  <c:v>171978.66666666666</c:v>
                </c:pt>
                <c:pt idx="4">
                  <c:v>171978.66666666666</c:v>
                </c:pt>
                <c:pt idx="5">
                  <c:v>171978.66666666666</c:v>
                </c:pt>
                <c:pt idx="6">
                  <c:v>171978.66666666666</c:v>
                </c:pt>
              </c:numCache>
            </c:numRef>
          </c:val>
          <c:smooth val="0"/>
          <c:extLst>
            <c:ext xmlns:c16="http://schemas.microsoft.com/office/drawing/2014/chart" uri="{C3380CC4-5D6E-409C-BE32-E72D297353CC}">
              <c16:uniqueId val="{00000003-CEB8-4CF4-AB34-1FD91A61CBDD}"/>
            </c:ext>
          </c:extLst>
        </c:ser>
        <c:dLbls>
          <c:showLegendKey val="0"/>
          <c:showVal val="0"/>
          <c:showCatName val="0"/>
          <c:showSerName val="0"/>
          <c:showPercent val="0"/>
          <c:showBubbleSize val="0"/>
        </c:dLbls>
        <c:marker val="1"/>
        <c:smooth val="0"/>
        <c:axId val="1028991647"/>
        <c:axId val="1222940175"/>
      </c:lineChart>
      <c:catAx>
        <c:axId val="102899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22940175"/>
        <c:crosses val="autoZero"/>
        <c:auto val="1"/>
        <c:lblAlgn val="ctr"/>
        <c:lblOffset val="100"/>
        <c:noMultiLvlLbl val="0"/>
      </c:catAx>
      <c:valAx>
        <c:axId val="12229401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028991647"/>
        <c:crosses val="autoZero"/>
        <c:crossBetween val="between"/>
      </c:valAx>
      <c:spPr>
        <a:noFill/>
        <a:ln>
          <a:noFill/>
        </a:ln>
        <a:effectLst/>
      </c:spPr>
    </c:plotArea>
    <c:legend>
      <c:legendPos val="b"/>
      <c:legendEntry>
        <c:idx val="2"/>
        <c:delete val="1"/>
      </c:legendEntry>
      <c:layout>
        <c:manualLayout>
          <c:xMode val="edge"/>
          <c:yMode val="edge"/>
          <c:x val="0.30465123344533973"/>
          <c:y val="0.91824331817677718"/>
          <c:w val="0.3774683880533013"/>
          <c:h val="6.87555983996041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userShapes r:id="rId4"/>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193071803628"/>
          <c:y val="0.11622175566668924"/>
          <c:w val="0.87803304985950725"/>
          <c:h val="0.72442370688272384"/>
        </c:manualLayout>
      </c:layout>
      <c:barChart>
        <c:barDir val="col"/>
        <c:grouping val="stacked"/>
        <c:varyColors val="0"/>
        <c:ser>
          <c:idx val="0"/>
          <c:order val="0"/>
          <c:tx>
            <c:strRef>
              <c:f>EM!$A$17</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2"/>
              <c:layout>
                <c:manualLayout>
                  <c:x val="0"/>
                  <c:y val="-4.97962879130828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FF3-4536-9695-C239AE2C3D1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EM!$B$16:$D$16</c:f>
              <c:strCache>
                <c:ptCount val="3"/>
                <c:pt idx="0">
                  <c:v>2019. gads (izpilde)</c:v>
                </c:pt>
                <c:pt idx="1">
                  <c:v>2020. gads (izpilde)</c:v>
                </c:pt>
                <c:pt idx="2">
                  <c:v>2021.-2023. gads (plāns)</c:v>
                </c:pt>
              </c:strCache>
            </c:strRef>
          </c:cat>
          <c:val>
            <c:numRef>
              <c:f>EM!$B$17:$D$17</c:f>
              <c:numCache>
                <c:formatCode>_(* #,##0_);_(* \(#,##0\);_(* "-"??_);_(@_)</c:formatCode>
                <c:ptCount val="3"/>
                <c:pt idx="0">
                  <c:v>117326.1</c:v>
                </c:pt>
                <c:pt idx="1">
                  <c:v>100819.47</c:v>
                </c:pt>
                <c:pt idx="2">
                  <c:v>263225</c:v>
                </c:pt>
              </c:numCache>
            </c:numRef>
          </c:val>
          <c:extLst>
            <c:ext xmlns:c16="http://schemas.microsoft.com/office/drawing/2014/chart" uri="{C3380CC4-5D6E-409C-BE32-E72D297353CC}">
              <c16:uniqueId val="{00000001-CFF3-4536-9695-C239AE2C3D1B}"/>
            </c:ext>
          </c:extLst>
        </c:ser>
        <c:ser>
          <c:idx val="1"/>
          <c:order val="1"/>
          <c:tx>
            <c:strRef>
              <c:f>EM!$A$18</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EM!$B$16:$D$16</c:f>
              <c:strCache>
                <c:ptCount val="3"/>
                <c:pt idx="0">
                  <c:v>2019. gads (izpilde)</c:v>
                </c:pt>
                <c:pt idx="1">
                  <c:v>2020. gads (izpilde)</c:v>
                </c:pt>
                <c:pt idx="2">
                  <c:v>2021.-2023. gads (plāns)</c:v>
                </c:pt>
              </c:strCache>
            </c:strRef>
          </c:cat>
          <c:val>
            <c:numRef>
              <c:f>EM!$B$18:$D$18</c:f>
              <c:numCache>
                <c:formatCode>_(* #,##0_);_(* \(#,##0\);_(* "-"??_);_(@_)</c:formatCode>
                <c:ptCount val="3"/>
                <c:pt idx="0">
                  <c:v>109398.9</c:v>
                </c:pt>
                <c:pt idx="1">
                  <c:v>162405.53</c:v>
                </c:pt>
              </c:numCache>
            </c:numRef>
          </c:val>
          <c:extLst>
            <c:ext xmlns:c16="http://schemas.microsoft.com/office/drawing/2014/chart" uri="{C3380CC4-5D6E-409C-BE32-E72D297353CC}">
              <c16:uniqueId val="{00000002-CFF3-4536-9695-C239AE2C3D1B}"/>
            </c:ext>
          </c:extLst>
        </c:ser>
        <c:dLbls>
          <c:showLegendKey val="0"/>
          <c:showVal val="0"/>
          <c:showCatName val="0"/>
          <c:showSerName val="0"/>
          <c:showPercent val="0"/>
          <c:showBubbleSize val="0"/>
        </c:dLbls>
        <c:gapWidth val="50"/>
        <c:overlap val="100"/>
        <c:axId val="2068833168"/>
        <c:axId val="1841140080"/>
      </c:barChart>
      <c:lineChart>
        <c:grouping val="standard"/>
        <c:varyColors val="0"/>
        <c:ser>
          <c:idx val="2"/>
          <c:order val="2"/>
          <c:tx>
            <c:strRef>
              <c:f>EM!$A$19</c:f>
              <c:strCache>
                <c:ptCount val="1"/>
                <c:pt idx="0">
                  <c:v>2015.-2020. gada vidējā izpilde, euro</c:v>
                </c:pt>
              </c:strCache>
            </c:strRef>
          </c:tx>
          <c:spPr>
            <a:ln w="28575" cap="rnd">
              <a:solidFill>
                <a:srgbClr val="C00000"/>
              </a:solidFill>
              <a:prstDash val="dash"/>
              <a:round/>
            </a:ln>
            <a:effectLst/>
          </c:spPr>
          <c:marker>
            <c:symbol val="none"/>
          </c:marker>
          <c:cat>
            <c:strRef>
              <c:f>EM!$B$16:$D$16</c:f>
              <c:strCache>
                <c:ptCount val="3"/>
                <c:pt idx="0">
                  <c:v>2019. gads (izpilde)</c:v>
                </c:pt>
                <c:pt idx="1">
                  <c:v>2020. gads (izpilde)</c:v>
                </c:pt>
                <c:pt idx="2">
                  <c:v>2021.-2023. gads (plāns)</c:v>
                </c:pt>
              </c:strCache>
            </c:strRef>
          </c:cat>
          <c:val>
            <c:numRef>
              <c:f>EM!$B$19:$D$19</c:f>
              <c:numCache>
                <c:formatCode>_(* #,##0_);_(* \(#,##0\);_(* "-"??_);_(@_)</c:formatCode>
                <c:ptCount val="3"/>
                <c:pt idx="0">
                  <c:v>109072.785</c:v>
                </c:pt>
                <c:pt idx="1">
                  <c:v>109072.785</c:v>
                </c:pt>
                <c:pt idx="2">
                  <c:v>109072.785</c:v>
                </c:pt>
              </c:numCache>
            </c:numRef>
          </c:val>
          <c:smooth val="0"/>
          <c:extLst>
            <c:ext xmlns:c16="http://schemas.microsoft.com/office/drawing/2014/chart" uri="{C3380CC4-5D6E-409C-BE32-E72D297353CC}">
              <c16:uniqueId val="{00000003-CFF3-4536-9695-C239AE2C3D1B}"/>
            </c:ext>
          </c:extLst>
        </c:ser>
        <c:dLbls>
          <c:showLegendKey val="0"/>
          <c:showVal val="0"/>
          <c:showCatName val="0"/>
          <c:showSerName val="0"/>
          <c:showPercent val="0"/>
          <c:showBubbleSize val="0"/>
        </c:dLbls>
        <c:marker val="1"/>
        <c:smooth val="0"/>
        <c:axId val="2068833168"/>
        <c:axId val="1841140080"/>
      </c:lineChart>
      <c:catAx>
        <c:axId val="206883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41140080"/>
        <c:crosses val="autoZero"/>
        <c:auto val="1"/>
        <c:lblAlgn val="ctr"/>
        <c:lblOffset val="100"/>
        <c:noMultiLvlLbl val="0"/>
      </c:catAx>
      <c:valAx>
        <c:axId val="1841140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8833168"/>
        <c:crosses val="autoZero"/>
        <c:crossBetween val="between"/>
      </c:valAx>
      <c:spPr>
        <a:noFill/>
        <a:ln>
          <a:noFill/>
        </a:ln>
        <a:effectLst/>
      </c:spPr>
    </c:plotArea>
    <c:legend>
      <c:legendPos val="b"/>
      <c:legendEntry>
        <c:idx val="2"/>
        <c:delete val="1"/>
      </c:legendEntry>
      <c:layout>
        <c:manualLayout>
          <c:xMode val="edge"/>
          <c:yMode val="edge"/>
          <c:x val="0.31126571916907469"/>
          <c:y val="0.91459776219688249"/>
          <c:w val="0.3774683880533013"/>
          <c:h val="7.182143200864038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76999297753418"/>
          <c:y val="0.14200641319285387"/>
          <c:w val="0.8599768927021042"/>
          <c:h val="0.70372419663758234"/>
        </c:manualLayout>
      </c:layout>
      <c:barChart>
        <c:barDir val="col"/>
        <c:grouping val="stacked"/>
        <c:varyColors val="0"/>
        <c:ser>
          <c:idx val="0"/>
          <c:order val="0"/>
          <c:tx>
            <c:strRef>
              <c:f>'VARAM '!$A$28</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3"/>
              <c:layout>
                <c:manualLayout>
                  <c:x val="0"/>
                  <c:y val="-9.619789280806230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D41-431B-AF60-29CEB1DC7BEF}"/>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'VARAM '!$B$27:$E$27</c:f>
              <c:strCache>
                <c:ptCount val="4"/>
                <c:pt idx="0">
                  <c:v>2018. gads (izpilde)</c:v>
                </c:pt>
                <c:pt idx="1">
                  <c:v>2019. gads (izpilde)</c:v>
                </c:pt>
                <c:pt idx="2">
                  <c:v>2020. gads (izpilde)</c:v>
                </c:pt>
                <c:pt idx="3">
                  <c:v>2021.-2023. gads (plāns)</c:v>
                </c:pt>
              </c:strCache>
            </c:strRef>
          </c:cat>
          <c:val>
            <c:numRef>
              <c:f>'VARAM '!$B$28:$E$28</c:f>
              <c:numCache>
                <c:formatCode>_(* #,##0_);_(* \(#,##0\);_(* "-"??_);_(@_)</c:formatCode>
                <c:ptCount val="4"/>
                <c:pt idx="0">
                  <c:v>309110</c:v>
                </c:pt>
                <c:pt idx="1">
                  <c:v>420923</c:v>
                </c:pt>
                <c:pt idx="2">
                  <c:v>222902</c:v>
                </c:pt>
                <c:pt idx="3">
                  <c:v>643529</c:v>
                </c:pt>
              </c:numCache>
            </c:numRef>
          </c:val>
          <c:extLst>
            <c:ext xmlns:c16="http://schemas.microsoft.com/office/drawing/2014/chart" uri="{C3380CC4-5D6E-409C-BE32-E72D297353CC}">
              <c16:uniqueId val="{00000001-0D41-431B-AF60-29CEB1DC7BEF}"/>
            </c:ext>
          </c:extLst>
        </c:ser>
        <c:ser>
          <c:idx val="1"/>
          <c:order val="1"/>
          <c:tx>
            <c:strRef>
              <c:f>'VARAM '!$A$29</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2-0D41-431B-AF60-29CEB1DC7BEF}"/>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'VARAM '!$B$27:$E$27</c:f>
              <c:strCache>
                <c:ptCount val="4"/>
                <c:pt idx="0">
                  <c:v>2018. gads (izpilde)</c:v>
                </c:pt>
                <c:pt idx="1">
                  <c:v>2019. gads (izpilde)</c:v>
                </c:pt>
                <c:pt idx="2">
                  <c:v>2020. gads (izpilde)</c:v>
                </c:pt>
                <c:pt idx="3">
                  <c:v>2021.-2023. gads (plāns)</c:v>
                </c:pt>
              </c:strCache>
            </c:strRef>
          </c:cat>
          <c:val>
            <c:numRef>
              <c:f>'VARAM '!$B$29:$E$29</c:f>
              <c:numCache>
                <c:formatCode>_(* #,##0_);_(* \(#,##0\);_(* "-"??_);_(@_)</c:formatCode>
                <c:ptCount val="4"/>
                <c:pt idx="0">
                  <c:v>116589</c:v>
                </c:pt>
                <c:pt idx="1">
                  <c:v>236106</c:v>
                </c:pt>
                <c:pt idx="2">
                  <c:v>420627</c:v>
                </c:pt>
                <c:pt idx="3">
                  <c:v>0</c:v>
                </c:pt>
              </c:numCache>
            </c:numRef>
          </c:val>
          <c:extLst>
            <c:ext xmlns:c16="http://schemas.microsoft.com/office/drawing/2014/chart" uri="{C3380CC4-5D6E-409C-BE32-E72D297353CC}">
              <c16:uniqueId val="{00000003-0D41-431B-AF60-29CEB1DC7BEF}"/>
            </c:ext>
          </c:extLst>
        </c:ser>
        <c:dLbls>
          <c:showLegendKey val="0"/>
          <c:showVal val="0"/>
          <c:showCatName val="0"/>
          <c:showSerName val="0"/>
          <c:showPercent val="0"/>
          <c:showBubbleSize val="0"/>
        </c:dLbls>
        <c:gapWidth val="50"/>
        <c:overlap val="100"/>
        <c:axId val="17542368"/>
        <c:axId val="1917978352"/>
      </c:barChart>
      <c:lineChart>
        <c:grouping val="standard"/>
        <c:varyColors val="0"/>
        <c:ser>
          <c:idx val="2"/>
          <c:order val="2"/>
          <c:tx>
            <c:strRef>
              <c:f>'VARAM '!$A$30</c:f>
              <c:strCache>
                <c:ptCount val="1"/>
                <c:pt idx="0">
                  <c:v>2015.-2020. gada vidējā izpilde, euro</c:v>
                </c:pt>
              </c:strCache>
            </c:strRef>
          </c:tx>
          <c:spPr>
            <a:ln w="28575" cap="rnd">
              <a:solidFill>
                <a:srgbClr val="C00000"/>
              </a:solidFill>
              <a:prstDash val="dash"/>
              <a:round/>
            </a:ln>
            <a:effectLst/>
          </c:spPr>
          <c:marker>
            <c:symbol val="none"/>
          </c:marker>
          <c:cat>
            <c:strRef>
              <c:f>'VARAM '!$B$27:$E$27</c:f>
              <c:strCache>
                <c:ptCount val="4"/>
                <c:pt idx="0">
                  <c:v>2018. gads (izpilde)</c:v>
                </c:pt>
                <c:pt idx="1">
                  <c:v>2019. gads (izpilde)</c:v>
                </c:pt>
                <c:pt idx="2">
                  <c:v>2020. gads (izpilde)</c:v>
                </c:pt>
                <c:pt idx="3">
                  <c:v>2021.-2023. gads (plāns)</c:v>
                </c:pt>
              </c:strCache>
            </c:strRef>
          </c:cat>
          <c:val>
            <c:numRef>
              <c:f>'VARAM '!$B$30:$E$30</c:f>
              <c:numCache>
                <c:formatCode>_(* #,##0_);_(* \(#,##0\);_(* "-"??_);_(@_)</c:formatCode>
                <c:ptCount val="4"/>
                <c:pt idx="0">
                  <c:v>317645</c:v>
                </c:pt>
                <c:pt idx="1">
                  <c:v>317615</c:v>
                </c:pt>
                <c:pt idx="2">
                  <c:v>317615</c:v>
                </c:pt>
                <c:pt idx="3">
                  <c:v>317615</c:v>
                </c:pt>
              </c:numCache>
            </c:numRef>
          </c:val>
          <c:smooth val="0"/>
          <c:extLst>
            <c:ext xmlns:c16="http://schemas.microsoft.com/office/drawing/2014/chart" uri="{C3380CC4-5D6E-409C-BE32-E72D297353CC}">
              <c16:uniqueId val="{00000004-0D41-431B-AF60-29CEB1DC7BEF}"/>
            </c:ext>
          </c:extLst>
        </c:ser>
        <c:dLbls>
          <c:showLegendKey val="0"/>
          <c:showVal val="0"/>
          <c:showCatName val="0"/>
          <c:showSerName val="0"/>
          <c:showPercent val="0"/>
          <c:showBubbleSize val="0"/>
        </c:dLbls>
        <c:marker val="1"/>
        <c:smooth val="0"/>
        <c:axId val="17542368"/>
        <c:axId val="1917978352"/>
      </c:lineChart>
      <c:catAx>
        <c:axId val="1754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17978352"/>
        <c:crosses val="autoZero"/>
        <c:auto val="1"/>
        <c:lblAlgn val="ctr"/>
        <c:lblOffset val="100"/>
        <c:noMultiLvlLbl val="0"/>
      </c:catAx>
      <c:valAx>
        <c:axId val="191797835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542368"/>
        <c:crosses val="autoZero"/>
        <c:crossBetween val="between"/>
      </c:valAx>
      <c:spPr>
        <a:noFill/>
        <a:ln>
          <a:noFill/>
        </a:ln>
        <a:effectLst/>
      </c:spPr>
    </c:plotArea>
    <c:legend>
      <c:legendPos val="b"/>
      <c:legendEntry>
        <c:idx val="2"/>
        <c:delete val="1"/>
      </c:legendEntry>
      <c:layout>
        <c:manualLayout>
          <c:xMode val="edge"/>
          <c:yMode val="edge"/>
          <c:x val="0.29561872784863419"/>
          <c:y val="0.93041069866266712"/>
          <c:w val="0.42846312163796196"/>
          <c:h val="6.024145057909904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19742640865541E-2"/>
          <c:y val="9.0665311997290665E-2"/>
          <c:w val="0.90449737261103236"/>
          <c:h val="0.66437829142324945"/>
        </c:manualLayout>
      </c:layout>
      <c:barChart>
        <c:barDir val="col"/>
        <c:grouping val="stacked"/>
        <c:varyColors val="0"/>
        <c:ser>
          <c:idx val="0"/>
          <c:order val="0"/>
          <c:tx>
            <c:strRef>
              <c:f>IZM!$O$15</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6"/>
              <c:layout>
                <c:manualLayout>
                  <c:x val="0"/>
                  <c:y val="1.3502109704641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B50-40DB-B057-B1AF7A2D6012}"/>
                </c:ext>
              </c:extLst>
            </c:dLbl>
            <c:dLbl>
              <c:idx val="8"/>
              <c:layout>
                <c:manualLayout>
                  <c:x val="0"/>
                  <c:y val="1.3502109704641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B50-40DB-B057-B1AF7A2D601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IZM!$P$14:$X$14</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IZM!$P$15:$X$15</c:f>
              <c:numCache>
                <c:formatCode>_(* #,##0_);_(* \(#,##0\);_(* "-"??_);_(@_)</c:formatCode>
                <c:ptCount val="9"/>
                <c:pt idx="0">
                  <c:v>256954.99999999997</c:v>
                </c:pt>
                <c:pt idx="1">
                  <c:v>256883</c:v>
                </c:pt>
                <c:pt idx="2">
                  <c:v>522658.84999999992</c:v>
                </c:pt>
                <c:pt idx="3">
                  <c:v>905795.62000000011</c:v>
                </c:pt>
                <c:pt idx="4">
                  <c:v>1380405.26</c:v>
                </c:pt>
                <c:pt idx="5">
                  <c:v>1343825.8999999997</c:v>
                </c:pt>
                <c:pt idx="6">
                  <c:v>1330042</c:v>
                </c:pt>
                <c:pt idx="7">
                  <c:v>1347411</c:v>
                </c:pt>
                <c:pt idx="8">
                  <c:v>1347911</c:v>
                </c:pt>
              </c:numCache>
            </c:numRef>
          </c:val>
          <c:extLst>
            <c:ext xmlns:c16="http://schemas.microsoft.com/office/drawing/2014/chart" uri="{C3380CC4-5D6E-409C-BE32-E72D297353CC}">
              <c16:uniqueId val="{00000002-DB50-40DB-B057-B1AF7A2D6012}"/>
            </c:ext>
          </c:extLst>
        </c:ser>
        <c:ser>
          <c:idx val="1"/>
          <c:order val="1"/>
          <c:tx>
            <c:strRef>
              <c:f>IZM!$O$16</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DB50-40DB-B057-B1AF7A2D6012}"/>
                </c:ext>
              </c:extLst>
            </c:dLbl>
            <c:dLbl>
              <c:idx val="1"/>
              <c:delete val="1"/>
              <c:extLst>
                <c:ext xmlns:c15="http://schemas.microsoft.com/office/drawing/2012/chart" uri="{CE6537A1-D6FC-4f65-9D91-7224C49458BB}"/>
                <c:ext xmlns:c16="http://schemas.microsoft.com/office/drawing/2014/chart" uri="{C3380CC4-5D6E-409C-BE32-E72D297353CC}">
                  <c16:uniqueId val="{00000004-DB50-40DB-B057-B1AF7A2D6012}"/>
                </c:ext>
              </c:extLst>
            </c:dLbl>
            <c:dLbl>
              <c:idx val="2"/>
              <c:delete val="1"/>
              <c:extLst>
                <c:ext xmlns:c15="http://schemas.microsoft.com/office/drawing/2012/chart" uri="{CE6537A1-D6FC-4f65-9D91-7224C49458BB}"/>
                <c:ext xmlns:c16="http://schemas.microsoft.com/office/drawing/2014/chart" uri="{C3380CC4-5D6E-409C-BE32-E72D297353CC}">
                  <c16:uniqueId val="{00000005-DB50-40DB-B057-B1AF7A2D6012}"/>
                </c:ext>
              </c:extLst>
            </c:dLbl>
            <c:dLbl>
              <c:idx val="3"/>
              <c:layout>
                <c:manualLayout>
                  <c:x val="-8.0842780498506403E-17"/>
                  <c:y val="-2.70042194092827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DB50-40DB-B057-B1AF7A2D6012}"/>
                </c:ext>
              </c:extLst>
            </c:dLbl>
            <c:dLbl>
              <c:idx val="5"/>
              <c:layout>
                <c:manualLayout>
                  <c:x val="-8.0842780498506403E-17"/>
                  <c:y val="-3.9426067844190946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DB50-40DB-B057-B1AF7A2D6012}"/>
                </c:ext>
              </c:extLst>
            </c:dLbl>
            <c:dLbl>
              <c:idx val="6"/>
              <c:delete val="1"/>
              <c:extLst>
                <c:ext xmlns:c15="http://schemas.microsoft.com/office/drawing/2012/chart" uri="{CE6537A1-D6FC-4f65-9D91-7224C49458BB}"/>
                <c:ext xmlns:c16="http://schemas.microsoft.com/office/drawing/2014/chart" uri="{C3380CC4-5D6E-409C-BE32-E72D297353CC}">
                  <c16:uniqueId val="{00000008-DB50-40DB-B057-B1AF7A2D6012}"/>
                </c:ext>
              </c:extLst>
            </c:dLbl>
            <c:dLbl>
              <c:idx val="7"/>
              <c:delete val="1"/>
              <c:extLst>
                <c:ext xmlns:c15="http://schemas.microsoft.com/office/drawing/2012/chart" uri="{CE6537A1-D6FC-4f65-9D91-7224C49458BB}"/>
                <c:ext xmlns:c16="http://schemas.microsoft.com/office/drawing/2014/chart" uri="{C3380CC4-5D6E-409C-BE32-E72D297353CC}">
                  <c16:uniqueId val="{00000009-DB50-40DB-B057-B1AF7A2D6012}"/>
                </c:ext>
              </c:extLst>
            </c:dLbl>
            <c:dLbl>
              <c:idx val="8"/>
              <c:delete val="1"/>
              <c:extLst>
                <c:ext xmlns:c15="http://schemas.microsoft.com/office/drawing/2012/chart" uri="{CE6537A1-D6FC-4f65-9D91-7224C49458BB}"/>
                <c:ext xmlns:c16="http://schemas.microsoft.com/office/drawing/2014/chart" uri="{C3380CC4-5D6E-409C-BE32-E72D297353CC}">
                  <c16:uniqueId val="{0000000A-DB50-40DB-B057-B1AF7A2D601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IZM!$P$14:$X$14</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IZM!$P$16:$X$16</c:f>
              <c:numCache>
                <c:formatCode>0.00</c:formatCode>
                <c:ptCount val="9"/>
                <c:pt idx="0">
                  <c:v>0</c:v>
                </c:pt>
                <c:pt idx="1">
                  <c:v>0</c:v>
                </c:pt>
                <c:pt idx="2">
                  <c:v>0</c:v>
                </c:pt>
                <c:pt idx="3" formatCode="_(* #,##0_);_(* \(#,##0\);_(* &quot;-&quot;??_);_(@_)">
                  <c:v>23706.379999999888</c:v>
                </c:pt>
                <c:pt idx="4" formatCode="_(* #,##0_);_(* \(#,##0\);_(* &quot;-&quot;??_);_(@_)">
                  <c:v>0</c:v>
                </c:pt>
                <c:pt idx="5" formatCode="_(* #,##0_);_(* \(#,##0\);_(* &quot;-&quot;??_);_(@_)">
                  <c:v>127276.20000000042</c:v>
                </c:pt>
                <c:pt idx="6" formatCode="_(* #,##0_);_(* \(#,##0\);_(* &quot;-&quot;??_);_(@_)">
                  <c:v>0</c:v>
                </c:pt>
                <c:pt idx="7" formatCode="_(* #,##0_);_(* \(#,##0\);_(* &quot;-&quot;??_);_(@_)">
                  <c:v>0</c:v>
                </c:pt>
                <c:pt idx="8" formatCode="_(* #,##0_);_(* \(#,##0\);_(* &quot;-&quot;??_);_(@_)">
                  <c:v>0</c:v>
                </c:pt>
              </c:numCache>
            </c:numRef>
          </c:val>
          <c:extLst>
            <c:ext xmlns:c16="http://schemas.microsoft.com/office/drawing/2014/chart" uri="{C3380CC4-5D6E-409C-BE32-E72D297353CC}">
              <c16:uniqueId val="{0000000B-DB50-40DB-B057-B1AF7A2D6012}"/>
            </c:ext>
          </c:extLst>
        </c:ser>
        <c:ser>
          <c:idx val="3"/>
          <c:order val="3"/>
          <c:tx>
            <c:strRef>
              <c:f>IZM!$O$18</c:f>
              <c:strCache>
                <c:ptCount val="1"/>
                <c:pt idx="0">
                  <c:v>Papildus nepieciešamais finansējums (Plāns darbam ar diasporu 2021.-2023.gadam)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dLbl>
              <c:idx val="7"/>
              <c:layout>
                <c:manualLayout>
                  <c:x val="0"/>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DB50-40DB-B057-B1AF7A2D6012}"/>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IZM!$P$14:$X$14</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IZM!$P$18:$X$18</c:f>
              <c:numCache>
                <c:formatCode>General</c:formatCode>
                <c:ptCount val="9"/>
                <c:pt idx="7" formatCode="#,##0">
                  <c:v>100136</c:v>
                </c:pt>
                <c:pt idx="8" formatCode="#,##0">
                  <c:v>88636</c:v>
                </c:pt>
              </c:numCache>
            </c:numRef>
          </c:val>
          <c:extLst>
            <c:ext xmlns:c16="http://schemas.microsoft.com/office/drawing/2014/chart" uri="{C3380CC4-5D6E-409C-BE32-E72D297353CC}">
              <c16:uniqueId val="{0000000D-DB50-40DB-B057-B1AF7A2D6012}"/>
            </c:ext>
          </c:extLst>
        </c:ser>
        <c:dLbls>
          <c:showLegendKey val="0"/>
          <c:showVal val="0"/>
          <c:showCatName val="0"/>
          <c:showSerName val="0"/>
          <c:showPercent val="0"/>
          <c:showBubbleSize val="0"/>
        </c:dLbls>
        <c:gapWidth val="50"/>
        <c:overlap val="100"/>
        <c:axId val="99924816"/>
        <c:axId val="2056712304"/>
      </c:barChart>
      <c:lineChart>
        <c:grouping val="standard"/>
        <c:varyColors val="0"/>
        <c:ser>
          <c:idx val="2"/>
          <c:order val="2"/>
          <c:tx>
            <c:strRef>
              <c:f>IZM!$O$17</c:f>
              <c:strCache>
                <c:ptCount val="1"/>
                <c:pt idx="0">
                  <c:v>2015.-2020. gada vidējā izpilde, euro</c:v>
                </c:pt>
              </c:strCache>
            </c:strRef>
          </c:tx>
          <c:spPr>
            <a:ln w="28575" cap="rnd">
              <a:solidFill>
                <a:srgbClr val="C00000"/>
              </a:solidFill>
              <a:prstDash val="dash"/>
              <a:round/>
            </a:ln>
            <a:effectLst/>
          </c:spPr>
          <c:marker>
            <c:symbol val="none"/>
          </c:marker>
          <c:cat>
            <c:strRef>
              <c:f>IZM!$P$14:$X$14</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IZM!$P$17:$X$17</c:f>
              <c:numCache>
                <c:formatCode>_(* #,##0_);_(* \(#,##0\);_(* "-"??_);_(@_)</c:formatCode>
                <c:ptCount val="9"/>
                <c:pt idx="0">
                  <c:v>777753.93833333335</c:v>
                </c:pt>
                <c:pt idx="1">
                  <c:v>777753.93833333335</c:v>
                </c:pt>
                <c:pt idx="2">
                  <c:v>777753.93833333335</c:v>
                </c:pt>
                <c:pt idx="3">
                  <c:v>777753.93833333335</c:v>
                </c:pt>
                <c:pt idx="4">
                  <c:v>777753.93833333335</c:v>
                </c:pt>
                <c:pt idx="5">
                  <c:v>777753.93833333335</c:v>
                </c:pt>
                <c:pt idx="6">
                  <c:v>777753.93833333335</c:v>
                </c:pt>
                <c:pt idx="7">
                  <c:v>777753.93833333335</c:v>
                </c:pt>
                <c:pt idx="8">
                  <c:v>777753.93833333335</c:v>
                </c:pt>
              </c:numCache>
            </c:numRef>
          </c:val>
          <c:smooth val="0"/>
          <c:extLst>
            <c:ext xmlns:c16="http://schemas.microsoft.com/office/drawing/2014/chart" uri="{C3380CC4-5D6E-409C-BE32-E72D297353CC}">
              <c16:uniqueId val="{0000000E-DB50-40DB-B057-B1AF7A2D6012}"/>
            </c:ext>
          </c:extLst>
        </c:ser>
        <c:dLbls>
          <c:showLegendKey val="0"/>
          <c:showVal val="0"/>
          <c:showCatName val="0"/>
          <c:showSerName val="0"/>
          <c:showPercent val="0"/>
          <c:showBubbleSize val="0"/>
        </c:dLbls>
        <c:marker val="1"/>
        <c:smooth val="0"/>
        <c:axId val="99924816"/>
        <c:axId val="2056712304"/>
      </c:lineChart>
      <c:catAx>
        <c:axId val="9992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56712304"/>
        <c:crosses val="autoZero"/>
        <c:auto val="1"/>
        <c:lblAlgn val="ctr"/>
        <c:lblOffset val="100"/>
        <c:noMultiLvlLbl val="0"/>
      </c:catAx>
      <c:valAx>
        <c:axId val="2056712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0;\-#\ ##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9924816"/>
        <c:crosses val="autoZero"/>
        <c:crossBetween val="between"/>
      </c:valAx>
      <c:spPr>
        <a:noFill/>
        <a:ln>
          <a:noFill/>
        </a:ln>
        <a:effectLst/>
      </c:spPr>
    </c:plotArea>
    <c:legend>
      <c:legendPos val="b"/>
      <c:legendEntry>
        <c:idx val="3"/>
        <c:delete val="1"/>
      </c:legendEntry>
      <c:layout>
        <c:manualLayout>
          <c:xMode val="edge"/>
          <c:yMode val="edge"/>
          <c:x val="0.11381602875652008"/>
          <c:y val="0.87715605169606958"/>
          <c:w val="0.814259685403948"/>
          <c:h val="0.116092893451609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userShapes r:id="rId4"/>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331494082425245E-2"/>
          <c:y val="7.9399360794186441E-2"/>
          <c:w val="0.89347391674195931"/>
          <c:h val="0.64034921166769054"/>
        </c:manualLayout>
      </c:layout>
      <c:barChart>
        <c:barDir val="col"/>
        <c:grouping val="stacked"/>
        <c:varyColors val="0"/>
        <c:ser>
          <c:idx val="0"/>
          <c:order val="0"/>
          <c:tx>
            <c:strRef>
              <c:f>KM!$L$29</c:f>
              <c:strCache>
                <c:ptCount val="1"/>
                <c:pt idx="0">
                  <c:v>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6"/>
              <c:layout>
                <c:manualLayout>
                  <c:x val="0"/>
                  <c:y val="4.5351473922902496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9BE-4C5E-91D7-0C9934044D05}"/>
                </c:ext>
              </c:extLst>
            </c:dLbl>
            <c:dLbl>
              <c:idx val="7"/>
              <c:layout>
                <c:manualLayout>
                  <c:x val="0"/>
                  <c:y val="1.36054421768707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9BE-4C5E-91D7-0C9934044D05}"/>
                </c:ext>
              </c:extLst>
            </c:dLbl>
            <c:dLbl>
              <c:idx val="8"/>
              <c:layout>
                <c:manualLayout>
                  <c:x val="-1.6168556099701281E-16"/>
                  <c:y val="1.360544217687074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9BE-4C5E-91D7-0C9934044D0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KM!$M$28:$U$28</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KM!$M$29:$U$29</c:f>
              <c:numCache>
                <c:formatCode>_(* #,##0_);_(* \(#,##0\);_(* "-"??_);_(@_)</c:formatCode>
                <c:ptCount val="9"/>
                <c:pt idx="0">
                  <c:v>200382</c:v>
                </c:pt>
                <c:pt idx="1">
                  <c:v>204235</c:v>
                </c:pt>
                <c:pt idx="2">
                  <c:v>348309</c:v>
                </c:pt>
                <c:pt idx="3">
                  <c:v>759714</c:v>
                </c:pt>
                <c:pt idx="4">
                  <c:v>949784</c:v>
                </c:pt>
                <c:pt idx="5" formatCode="#,##0">
                  <c:v>618694</c:v>
                </c:pt>
                <c:pt idx="6">
                  <c:v>788235</c:v>
                </c:pt>
                <c:pt idx="7">
                  <c:v>797435</c:v>
                </c:pt>
                <c:pt idx="8">
                  <c:v>797435</c:v>
                </c:pt>
              </c:numCache>
            </c:numRef>
          </c:val>
          <c:extLst>
            <c:ext xmlns:c16="http://schemas.microsoft.com/office/drawing/2014/chart" uri="{C3380CC4-5D6E-409C-BE32-E72D297353CC}">
              <c16:uniqueId val="{00000003-99BE-4C5E-91D7-0C9934044D05}"/>
            </c:ext>
          </c:extLst>
        </c:ser>
        <c:ser>
          <c:idx val="1"/>
          <c:order val="1"/>
          <c:tx>
            <c:strRef>
              <c:f>KM!$L$30</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99BE-4C5E-91D7-0C9934044D05}"/>
                </c:ext>
              </c:extLst>
            </c:dLbl>
            <c:dLbl>
              <c:idx val="1"/>
              <c:layout>
                <c:manualLayout>
                  <c:x val="0"/>
                  <c:y val="-2.21633332955218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9BE-4C5E-91D7-0C9934044D05}"/>
                </c:ext>
              </c:extLst>
            </c:dLbl>
            <c:dLbl>
              <c:idx val="2"/>
              <c:layout>
                <c:manualLayout>
                  <c:x val="2.2048285745782862E-3"/>
                  <c:y val="-1.93108004356599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9BE-4C5E-91D7-0C9934044D05}"/>
                </c:ext>
              </c:extLst>
            </c:dLbl>
            <c:dLbl>
              <c:idx val="3"/>
              <c:layout>
                <c:manualLayout>
                  <c:x val="0"/>
                  <c:y val="-3.628117913832199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9BE-4C5E-91D7-0C9934044D05}"/>
                </c:ext>
              </c:extLst>
            </c:dLbl>
            <c:dLbl>
              <c:idx val="4"/>
              <c:layout>
                <c:manualLayout>
                  <c:x val="0"/>
                  <c:y val="-3.174603174603174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9BE-4C5E-91D7-0C9934044D05}"/>
                </c:ext>
              </c:extLst>
            </c:dLbl>
            <c:dLbl>
              <c:idx val="6"/>
              <c:delete val="1"/>
              <c:extLst>
                <c:ext xmlns:c15="http://schemas.microsoft.com/office/drawing/2012/chart" uri="{CE6537A1-D6FC-4f65-9D91-7224C49458BB}"/>
                <c:ext xmlns:c16="http://schemas.microsoft.com/office/drawing/2014/chart" uri="{C3380CC4-5D6E-409C-BE32-E72D297353CC}">
                  <c16:uniqueId val="{00000009-99BE-4C5E-91D7-0C9934044D05}"/>
                </c:ext>
              </c:extLst>
            </c:dLbl>
            <c:dLbl>
              <c:idx val="7"/>
              <c:delete val="1"/>
              <c:extLst>
                <c:ext xmlns:c15="http://schemas.microsoft.com/office/drawing/2012/chart" uri="{CE6537A1-D6FC-4f65-9D91-7224C49458BB}"/>
                <c:ext xmlns:c16="http://schemas.microsoft.com/office/drawing/2014/chart" uri="{C3380CC4-5D6E-409C-BE32-E72D297353CC}">
                  <c16:uniqueId val="{0000000A-99BE-4C5E-91D7-0C9934044D05}"/>
                </c:ext>
              </c:extLst>
            </c:dLbl>
            <c:dLbl>
              <c:idx val="8"/>
              <c:delete val="1"/>
              <c:extLst>
                <c:ext xmlns:c15="http://schemas.microsoft.com/office/drawing/2012/chart" uri="{CE6537A1-D6FC-4f65-9D91-7224C49458BB}"/>
                <c:ext xmlns:c16="http://schemas.microsoft.com/office/drawing/2014/chart" uri="{C3380CC4-5D6E-409C-BE32-E72D297353CC}">
                  <c16:uniqueId val="{0000000B-99BE-4C5E-91D7-0C9934044D05}"/>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KM!$M$28:$U$28</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KM!$M$30:$U$30</c:f>
              <c:numCache>
                <c:formatCode>_(* #,##0_);_(* \(#,##0\);_(* "-"??_);_(@_)</c:formatCode>
                <c:ptCount val="9"/>
                <c:pt idx="0">
                  <c:v>0</c:v>
                </c:pt>
                <c:pt idx="1">
                  <c:v>3765</c:v>
                </c:pt>
                <c:pt idx="2">
                  <c:v>2190</c:v>
                </c:pt>
                <c:pt idx="3">
                  <c:v>36524</c:v>
                </c:pt>
                <c:pt idx="4">
                  <c:v>48098</c:v>
                </c:pt>
                <c:pt idx="5" formatCode="#,##0">
                  <c:v>230965</c:v>
                </c:pt>
                <c:pt idx="6">
                  <c:v>0</c:v>
                </c:pt>
                <c:pt idx="7">
                  <c:v>0</c:v>
                </c:pt>
                <c:pt idx="8">
                  <c:v>0</c:v>
                </c:pt>
              </c:numCache>
            </c:numRef>
          </c:val>
          <c:extLst>
            <c:ext xmlns:c16="http://schemas.microsoft.com/office/drawing/2014/chart" uri="{C3380CC4-5D6E-409C-BE32-E72D297353CC}">
              <c16:uniqueId val="{0000000C-99BE-4C5E-91D7-0C9934044D05}"/>
            </c:ext>
          </c:extLst>
        </c:ser>
        <c:ser>
          <c:idx val="3"/>
          <c:order val="3"/>
          <c:tx>
            <c:strRef>
              <c:f>KM!$L$37</c:f>
              <c:strCache>
                <c:ptCount val="1"/>
                <c:pt idx="0">
                  <c:v>Papildus nepieciešamais finansējums (Plāns darbam ar diasporu 2021.-2023.gadam)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KM!$M$28:$U$28</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KM!$M$37:$U$37</c:f>
              <c:numCache>
                <c:formatCode>General</c:formatCode>
                <c:ptCount val="9"/>
                <c:pt idx="7" formatCode="_(* #,##0_);_(* \(#,##0\);_(* &quot;-&quot;??_);_(@_)">
                  <c:v>81000</c:v>
                </c:pt>
                <c:pt idx="8" formatCode="_(* #,##0_);_(* \(#,##0\);_(* &quot;-&quot;??_);_(@_)">
                  <c:v>366000</c:v>
                </c:pt>
              </c:numCache>
            </c:numRef>
          </c:val>
          <c:extLst>
            <c:ext xmlns:c16="http://schemas.microsoft.com/office/drawing/2014/chart" uri="{C3380CC4-5D6E-409C-BE32-E72D297353CC}">
              <c16:uniqueId val="{0000000D-99BE-4C5E-91D7-0C9934044D05}"/>
            </c:ext>
          </c:extLst>
        </c:ser>
        <c:dLbls>
          <c:showLegendKey val="0"/>
          <c:showVal val="0"/>
          <c:showCatName val="0"/>
          <c:showSerName val="0"/>
          <c:showPercent val="0"/>
          <c:showBubbleSize val="0"/>
        </c:dLbls>
        <c:gapWidth val="50"/>
        <c:overlap val="100"/>
        <c:axId val="1788602176"/>
        <c:axId val="1917947984"/>
      </c:barChart>
      <c:lineChart>
        <c:grouping val="standard"/>
        <c:varyColors val="0"/>
        <c:ser>
          <c:idx val="2"/>
          <c:order val="2"/>
          <c:tx>
            <c:strRef>
              <c:f>KM!$L$36</c:f>
              <c:strCache>
                <c:ptCount val="1"/>
                <c:pt idx="0">
                  <c:v>2015.-2020. gada vidējā izpilde, euro</c:v>
                </c:pt>
              </c:strCache>
            </c:strRef>
          </c:tx>
          <c:spPr>
            <a:ln w="28575" cap="rnd">
              <a:solidFill>
                <a:srgbClr val="C00000"/>
              </a:solidFill>
              <a:prstDash val="dash"/>
              <a:round/>
            </a:ln>
            <a:effectLst/>
          </c:spPr>
          <c:marker>
            <c:symbol val="none"/>
          </c:marker>
          <c:cat>
            <c:strRef>
              <c:f>KM!$M$28:$U$28</c:f>
              <c:strCache>
                <c:ptCount val="9"/>
                <c:pt idx="0">
                  <c:v>2015. gads (izpilde)</c:v>
                </c:pt>
                <c:pt idx="1">
                  <c:v>2016. gads (izpilde)</c:v>
                </c:pt>
                <c:pt idx="2">
                  <c:v>2017. gads (izpilde)</c:v>
                </c:pt>
                <c:pt idx="3">
                  <c:v>2018. gads (izpilde)</c:v>
                </c:pt>
                <c:pt idx="4">
                  <c:v>2019. gads (izpilde)</c:v>
                </c:pt>
                <c:pt idx="5">
                  <c:v>2020. gads (izpilde)</c:v>
                </c:pt>
                <c:pt idx="6">
                  <c:v>2021. gads (plāns)</c:v>
                </c:pt>
                <c:pt idx="7">
                  <c:v>2022. gads (plāns)</c:v>
                </c:pt>
                <c:pt idx="8">
                  <c:v>2023. gads (plāns)</c:v>
                </c:pt>
              </c:strCache>
            </c:strRef>
          </c:cat>
          <c:val>
            <c:numRef>
              <c:f>KM!$M$36:$U$36</c:f>
              <c:numCache>
                <c:formatCode>_(* #,##0_);_(* \(#,##0\);_(* "-"??_);_(@_)</c:formatCode>
                <c:ptCount val="9"/>
                <c:pt idx="0">
                  <c:v>513520</c:v>
                </c:pt>
                <c:pt idx="1">
                  <c:v>513520</c:v>
                </c:pt>
                <c:pt idx="2">
                  <c:v>513520</c:v>
                </c:pt>
                <c:pt idx="3">
                  <c:v>513520</c:v>
                </c:pt>
                <c:pt idx="4">
                  <c:v>513520</c:v>
                </c:pt>
                <c:pt idx="5">
                  <c:v>513520</c:v>
                </c:pt>
                <c:pt idx="6">
                  <c:v>513520</c:v>
                </c:pt>
                <c:pt idx="7">
                  <c:v>513520</c:v>
                </c:pt>
                <c:pt idx="8">
                  <c:v>513520</c:v>
                </c:pt>
              </c:numCache>
            </c:numRef>
          </c:val>
          <c:smooth val="0"/>
          <c:extLst>
            <c:ext xmlns:c16="http://schemas.microsoft.com/office/drawing/2014/chart" uri="{C3380CC4-5D6E-409C-BE32-E72D297353CC}">
              <c16:uniqueId val="{0000000E-99BE-4C5E-91D7-0C9934044D05}"/>
            </c:ext>
          </c:extLst>
        </c:ser>
        <c:dLbls>
          <c:showLegendKey val="0"/>
          <c:showVal val="0"/>
          <c:showCatName val="0"/>
          <c:showSerName val="0"/>
          <c:showPercent val="0"/>
          <c:showBubbleSize val="0"/>
        </c:dLbls>
        <c:marker val="1"/>
        <c:smooth val="0"/>
        <c:axId val="1788602176"/>
        <c:axId val="1917947984"/>
      </c:lineChart>
      <c:catAx>
        <c:axId val="178860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17947984"/>
        <c:crosses val="autoZero"/>
        <c:auto val="1"/>
        <c:lblAlgn val="ctr"/>
        <c:lblOffset val="100"/>
        <c:noMultiLvlLbl val="0"/>
      </c:catAx>
      <c:valAx>
        <c:axId val="1917947984"/>
        <c:scaling>
          <c:orientation val="minMax"/>
          <c:max val="1200000"/>
          <c:min val="0"/>
        </c:scaling>
        <c:delete val="0"/>
        <c:axPos val="l"/>
        <c:majorGridlines>
          <c:spPr>
            <a:ln w="9525" cap="flat" cmpd="sng" algn="ctr">
              <a:solidFill>
                <a:schemeClr val="tx1">
                  <a:lumMod val="15000"/>
                  <a:lumOff val="85000"/>
                </a:schemeClr>
              </a:solidFill>
              <a:round/>
            </a:ln>
            <a:effectLst/>
          </c:spPr>
        </c:majorGridlines>
        <c:numFmt formatCode="#\ ###\ ##0;\-#\ ##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788602176"/>
        <c:crosses val="autoZero"/>
        <c:crossBetween val="between"/>
      </c:valAx>
      <c:spPr>
        <a:noFill/>
        <a:ln>
          <a:noFill/>
        </a:ln>
        <a:effectLst/>
      </c:spPr>
    </c:plotArea>
    <c:legend>
      <c:legendPos val="b"/>
      <c:legendEntry>
        <c:idx val="3"/>
        <c:delete val="1"/>
      </c:legendEntry>
      <c:layout>
        <c:manualLayout>
          <c:xMode val="edge"/>
          <c:yMode val="edge"/>
          <c:x val="0.14544750641700599"/>
          <c:y val="0.87258021318763723"/>
          <c:w val="0.75540621362358373"/>
          <c:h val="0.127419786812362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2BB1-46BE-9733-70373543AB01}"/>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2BB1-46BE-9733-70373543AB01}"/>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2BB1-46BE-9733-70373543AB01}"/>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Dati!$U$122:$AC$123</c:f>
              <c:multiLvlStrCache>
                <c:ptCount val="9"/>
                <c:lvl>
                  <c:pt idx="0">
                    <c:v>Plāns</c:v>
                  </c:pt>
                  <c:pt idx="1">
                    <c:v>Izpilde</c:v>
                  </c:pt>
                  <c:pt idx="2">
                    <c:v>Plāns</c:v>
                  </c:pt>
                  <c:pt idx="3">
                    <c:v>Izpilde</c:v>
                  </c:pt>
                  <c:pt idx="4">
                    <c:v>Plāns</c:v>
                  </c:pt>
                  <c:pt idx="5">
                    <c:v>Izpilde</c:v>
                  </c:pt>
                  <c:pt idx="6">
                    <c:v>Plāns</c:v>
                  </c:pt>
                  <c:pt idx="7">
                    <c:v>Plāns</c:v>
                  </c:pt>
                  <c:pt idx="8">
                    <c:v>Plāns</c:v>
                  </c:pt>
                </c:lvl>
                <c:lvl>
                  <c:pt idx="0">
                    <c:v>2018</c:v>
                  </c:pt>
                  <c:pt idx="2">
                    <c:v>2019</c:v>
                  </c:pt>
                  <c:pt idx="4">
                    <c:v>2020</c:v>
                  </c:pt>
                  <c:pt idx="6">
                    <c:v>2021</c:v>
                  </c:pt>
                  <c:pt idx="7">
                    <c:v>2022</c:v>
                  </c:pt>
                  <c:pt idx="8">
                    <c:v>2023</c:v>
                  </c:pt>
                </c:lvl>
              </c:multiLvlStrCache>
            </c:multiLvlStrRef>
          </c:cat>
          <c:val>
            <c:numRef>
              <c:f>Dati!$U$124:$AC$124</c:f>
              <c:numCache>
                <c:formatCode>#,##0.0</c:formatCode>
                <c:ptCount val="9"/>
                <c:pt idx="0">
                  <c:v>230.083</c:v>
                </c:pt>
                <c:pt idx="1">
                  <c:v>206.739</c:v>
                </c:pt>
                <c:pt idx="2">
                  <c:v>230.083</c:v>
                </c:pt>
                <c:pt idx="3">
                  <c:v>201.82400000000004</c:v>
                </c:pt>
                <c:pt idx="4">
                  <c:v>230.083</c:v>
                </c:pt>
                <c:pt idx="5">
                  <c:v>199.64920999999998</c:v>
                </c:pt>
                <c:pt idx="6">
                  <c:v>230.083</c:v>
                </c:pt>
                <c:pt idx="7">
                  <c:v>230.083</c:v>
                </c:pt>
                <c:pt idx="8">
                  <c:v>230.083</c:v>
                </c:pt>
              </c:numCache>
            </c:numRef>
          </c:val>
          <c:extLst>
            <c:ext xmlns:c16="http://schemas.microsoft.com/office/drawing/2014/chart" uri="{C3380CC4-5D6E-409C-BE32-E72D297353CC}">
              <c16:uniqueId val="{00000006-2BB1-46BE-9733-70373543AB01}"/>
            </c:ext>
          </c:extLst>
        </c:ser>
        <c:dLbls>
          <c:showLegendKey val="0"/>
          <c:showVal val="1"/>
          <c:showCatName val="0"/>
          <c:showSerName val="0"/>
          <c:showPercent val="0"/>
          <c:showBubbleSize val="0"/>
        </c:dLbls>
        <c:gapWidth val="80"/>
        <c:axId val="526693904"/>
        <c:axId val="588896864"/>
      </c:barChart>
      <c:catAx>
        <c:axId val="5266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88896864"/>
        <c:crosses val="autoZero"/>
        <c:auto val="1"/>
        <c:lblAlgn val="ctr"/>
        <c:lblOffset val="100"/>
        <c:noMultiLvlLbl val="0"/>
      </c:catAx>
      <c:valAx>
        <c:axId val="588896864"/>
        <c:scaling>
          <c:orientation val="minMax"/>
          <c:max val="250"/>
          <c:min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26693904"/>
        <c:crosses val="autoZero"/>
        <c:crossBetween val="between"/>
        <c:majorUnit val="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4077135706873"/>
          <c:y val="0.12609088785367797"/>
          <c:w val="0.82283795920858727"/>
          <c:h val="0.74800268469559794"/>
        </c:manualLayout>
      </c:layout>
      <c:barChart>
        <c:barDir val="bar"/>
        <c:grouping val="stacked"/>
        <c:varyColors val="0"/>
        <c:ser>
          <c:idx val="0"/>
          <c:order val="0"/>
          <c:tx>
            <c:strRef>
              <c:f>'Aprēķinu tabula un grafiki'!$B$214</c:f>
              <c:strCache>
                <c:ptCount val="1"/>
                <c:pt idx="0">
                  <c:v>Pamata un pārējo funkciju veicēju īpatsvars</c:v>
                </c:pt>
              </c:strCache>
            </c:strRef>
          </c:tx>
          <c:spPr>
            <a:solidFill>
              <a:srgbClr val="92D050"/>
            </a:solidFill>
            <a:ln>
              <a:noFill/>
            </a:ln>
            <a:effectLst/>
          </c:spPr>
          <c:invertIfNegative val="0"/>
          <c:dLbls>
            <c:spPr>
              <a:solidFill>
                <a:schemeClr val="accent6">
                  <a:lumMod val="40000"/>
                  <a:lumOff val="60000"/>
                </a:schemeClr>
              </a:solidFill>
              <a:ln w="15875">
                <a:solidFill>
                  <a:srgbClr val="00B050"/>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'Aprēķinu tabula un grafiki'!$A$215:$A$228</c:f>
              <c:strCache>
                <c:ptCount val="14"/>
                <c:pt idx="0">
                  <c:v>VM</c:v>
                </c:pt>
                <c:pt idx="1">
                  <c:v>FM</c:v>
                </c:pt>
                <c:pt idx="2">
                  <c:v>MK</c:v>
                </c:pt>
                <c:pt idx="3">
                  <c:v>IEM</c:v>
                </c:pt>
                <c:pt idx="4">
                  <c:v>TM</c:v>
                </c:pt>
                <c:pt idx="5">
                  <c:v>VARAM</c:v>
                </c:pt>
                <c:pt idx="6">
                  <c:v>ZM</c:v>
                </c:pt>
                <c:pt idx="7">
                  <c:v>AIM</c:v>
                </c:pt>
                <c:pt idx="8">
                  <c:v>EM</c:v>
                </c:pt>
                <c:pt idx="9">
                  <c:v>LM</c:v>
                </c:pt>
                <c:pt idx="10">
                  <c:v>SAM</c:v>
                </c:pt>
                <c:pt idx="11">
                  <c:v>KM</c:v>
                </c:pt>
                <c:pt idx="12">
                  <c:v>IZM</c:v>
                </c:pt>
                <c:pt idx="13">
                  <c:v>AM</c:v>
                </c:pt>
              </c:strCache>
            </c:strRef>
          </c:cat>
          <c:val>
            <c:numRef>
              <c:f>'Aprēķinu tabula un grafiki'!$B$215:$B$228</c:f>
              <c:numCache>
                <c:formatCode>0.0</c:formatCode>
                <c:ptCount val="14"/>
                <c:pt idx="0">
                  <c:v>97.749137774550732</c:v>
                </c:pt>
                <c:pt idx="1">
                  <c:v>97.579031612645068</c:v>
                </c:pt>
                <c:pt idx="2">
                  <c:v>97.41935483870968</c:v>
                </c:pt>
                <c:pt idx="3">
                  <c:v>97.085919634106489</c:v>
                </c:pt>
                <c:pt idx="4">
                  <c:v>96.900514061082546</c:v>
                </c:pt>
                <c:pt idx="5">
                  <c:v>96.77734375</c:v>
                </c:pt>
                <c:pt idx="6">
                  <c:v>96.726303768557287</c:v>
                </c:pt>
                <c:pt idx="7">
                  <c:v>96.570359592600298</c:v>
                </c:pt>
                <c:pt idx="8">
                  <c:v>96.348096348096348</c:v>
                </c:pt>
                <c:pt idx="9">
                  <c:v>96.057412790697683</c:v>
                </c:pt>
                <c:pt idx="10">
                  <c:v>95.876288659793815</c:v>
                </c:pt>
                <c:pt idx="11">
                  <c:v>95.820895522388057</c:v>
                </c:pt>
                <c:pt idx="12">
                  <c:v>95.431472081218274</c:v>
                </c:pt>
                <c:pt idx="13">
                  <c:v>94.342762063227951</c:v>
                </c:pt>
              </c:numCache>
            </c:numRef>
          </c:val>
          <c:extLst>
            <c:ext xmlns:c16="http://schemas.microsoft.com/office/drawing/2014/chart" uri="{C3380CC4-5D6E-409C-BE32-E72D297353CC}">
              <c16:uniqueId val="{00000000-0F28-4CDB-A97F-A16D2208291B}"/>
            </c:ext>
          </c:extLst>
        </c:ser>
        <c:ser>
          <c:idx val="1"/>
          <c:order val="1"/>
          <c:tx>
            <c:strRef>
              <c:f>'Aprēķinu tabula un grafiki'!$C$214</c:f>
              <c:strCache>
                <c:ptCount val="1"/>
                <c:pt idx="0">
                  <c:v>Atbalsta funkciju veicēju īparsvars</c:v>
                </c:pt>
              </c:strCache>
            </c:strRef>
          </c:tx>
          <c:spPr>
            <a:solidFill>
              <a:srgbClr val="FFC000"/>
            </a:solidFill>
            <a:ln>
              <a:noFill/>
            </a:ln>
            <a:effectLst/>
          </c:spPr>
          <c:invertIfNegative val="0"/>
          <c:dLbls>
            <c:dLbl>
              <c:idx val="0"/>
              <c:layout>
                <c:manualLayout>
                  <c:x val="3.1495759912228062E-2"/>
                  <c:y val="2.5960539979231569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F28-4CDB-A97F-A16D2208291B}"/>
                </c:ext>
              </c:extLst>
            </c:dLbl>
            <c:dLbl>
              <c:idx val="1"/>
              <c:layout>
                <c:manualLayout>
                  <c:x val="2.8380704721378509E-2"/>
                  <c:y val="2.5960539979231569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F28-4CDB-A97F-A16D2208291B}"/>
                </c:ext>
              </c:extLst>
            </c:dLbl>
            <c:dLbl>
              <c:idx val="2"/>
              <c:layout>
                <c:manualLayout>
                  <c:x val="2.9069908409254705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F28-4CDB-A97F-A16D2208291B}"/>
                </c:ext>
              </c:extLst>
            </c:dLbl>
            <c:dLbl>
              <c:idx val="3"/>
              <c:layout>
                <c:manualLayout>
                  <c:x val="2.8584374412782696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F28-4CDB-A97F-A16D2208291B}"/>
                </c:ext>
              </c:extLst>
            </c:dLbl>
            <c:dLbl>
              <c:idx val="4"/>
              <c:layout>
                <c:manualLayout>
                  <c:x val="2.7460099531438336E-2"/>
                  <c:y val="-9.5187546975850416E-17"/>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F28-4CDB-A97F-A16D2208291B}"/>
                </c:ext>
              </c:extLst>
            </c:dLbl>
            <c:dLbl>
              <c:idx val="5"/>
              <c:layout>
                <c:manualLayout>
                  <c:x val="2.6067144320585794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F28-4CDB-A97F-A16D2208291B}"/>
                </c:ext>
              </c:extLst>
            </c:dLbl>
            <c:dLbl>
              <c:idx val="6"/>
              <c:layout>
                <c:manualLayout>
                  <c:x val="3.0136446570044797E-2"/>
                  <c:y val="2.5960539979231569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0F28-4CDB-A97F-A16D2208291B}"/>
                </c:ext>
              </c:extLst>
            </c:dLbl>
            <c:dLbl>
              <c:idx val="7"/>
              <c:layout>
                <c:manualLayout>
                  <c:x val="3.080958702333109E-2"/>
                  <c:y val="-2.5960539979231569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0F28-4CDB-A97F-A16D2208291B}"/>
                </c:ext>
              </c:extLst>
            </c:dLbl>
            <c:dLbl>
              <c:idx val="8"/>
              <c:layout>
                <c:manualLayout>
                  <c:x val="3.1768834900256407E-2"/>
                  <c:y val="-2.5960539979231569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0F28-4CDB-A97F-A16D2208291B}"/>
                </c:ext>
              </c:extLst>
            </c:dLbl>
            <c:dLbl>
              <c:idx val="9"/>
              <c:layout>
                <c:manualLayout>
                  <c:x val="2.9174319434089213E-2"/>
                  <c:y val="-7.7881619937695181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0F28-4CDB-A97F-A16D2208291B}"/>
                </c:ext>
              </c:extLst>
            </c:dLbl>
            <c:dLbl>
              <c:idx val="10"/>
              <c:layout>
                <c:manualLayout>
                  <c:x val="2.8031405139022608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0F28-4CDB-A97F-A16D2208291B}"/>
                </c:ext>
              </c:extLst>
            </c:dLbl>
            <c:dLbl>
              <c:idx val="11"/>
              <c:layout>
                <c:manualLayout>
                  <c:x val="3.4044207233911002E-2"/>
                  <c:y val="0"/>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0F28-4CDB-A97F-A16D2208291B}"/>
                </c:ext>
              </c:extLst>
            </c:dLbl>
            <c:dLbl>
              <c:idx val="12"/>
              <c:layout>
                <c:manualLayout>
                  <c:x val="2.8026555860655986E-2"/>
                  <c:y val="5.1921079958463139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0F28-4CDB-A97F-A16D2208291B}"/>
                </c:ext>
              </c:extLst>
            </c:dLbl>
            <c:dLbl>
              <c:idx val="13"/>
              <c:layout>
                <c:manualLayout>
                  <c:x val="3.0800797706291332E-2"/>
                  <c:y val="2.5960539979231569E-3"/>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0F28-4CDB-A97F-A16D2208291B}"/>
                </c:ext>
              </c:extLst>
            </c:dLbl>
            <c:spPr>
              <a:solidFill>
                <a:schemeClr val="accent2">
                  <a:lumMod val="20000"/>
                  <a:lumOff val="80000"/>
                </a:schemeClr>
              </a:solidFill>
              <a:ln w="15875">
                <a:solidFill>
                  <a:schemeClr val="accent2">
                    <a:lumMod val="75000"/>
                  </a:schemeClr>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'Aprēķinu tabula un grafiki'!$A$215:$A$228</c:f>
              <c:strCache>
                <c:ptCount val="14"/>
                <c:pt idx="0">
                  <c:v>VM</c:v>
                </c:pt>
                <c:pt idx="1">
                  <c:v>FM</c:v>
                </c:pt>
                <c:pt idx="2">
                  <c:v>MK</c:v>
                </c:pt>
                <c:pt idx="3">
                  <c:v>IEM</c:v>
                </c:pt>
                <c:pt idx="4">
                  <c:v>TM</c:v>
                </c:pt>
                <c:pt idx="5">
                  <c:v>VARAM</c:v>
                </c:pt>
                <c:pt idx="6">
                  <c:v>ZM</c:v>
                </c:pt>
                <c:pt idx="7">
                  <c:v>AIM</c:v>
                </c:pt>
                <c:pt idx="8">
                  <c:v>EM</c:v>
                </c:pt>
                <c:pt idx="9">
                  <c:v>LM</c:v>
                </c:pt>
                <c:pt idx="10">
                  <c:v>SAM</c:v>
                </c:pt>
                <c:pt idx="11">
                  <c:v>KM</c:v>
                </c:pt>
                <c:pt idx="12">
                  <c:v>IZM</c:v>
                </c:pt>
                <c:pt idx="13">
                  <c:v>AM</c:v>
                </c:pt>
              </c:strCache>
            </c:strRef>
          </c:cat>
          <c:val>
            <c:numRef>
              <c:f>'Aprēķinu tabula un grafiki'!$C$215:$C$228</c:f>
              <c:numCache>
                <c:formatCode>0.0</c:formatCode>
                <c:ptCount val="14"/>
                <c:pt idx="0">
                  <c:v>2.2508622254492647</c:v>
                </c:pt>
                <c:pt idx="1">
                  <c:v>2.4209683873549421</c:v>
                </c:pt>
                <c:pt idx="2">
                  <c:v>2.5806451612903225</c:v>
                </c:pt>
                <c:pt idx="3">
                  <c:v>2.9140803658934988</c:v>
                </c:pt>
                <c:pt idx="4">
                  <c:v>3.0994859389174478</c:v>
                </c:pt>
                <c:pt idx="5">
                  <c:v>3.22265625</c:v>
                </c:pt>
                <c:pt idx="6">
                  <c:v>3.2736962314427105</c:v>
                </c:pt>
                <c:pt idx="7">
                  <c:v>3.4296404073997091</c:v>
                </c:pt>
                <c:pt idx="8">
                  <c:v>3.6519036519036523</c:v>
                </c:pt>
                <c:pt idx="9">
                  <c:v>3.9425872093023258</c:v>
                </c:pt>
                <c:pt idx="10">
                  <c:v>4.1237113402061851</c:v>
                </c:pt>
                <c:pt idx="11">
                  <c:v>4.1791044776119399</c:v>
                </c:pt>
                <c:pt idx="12">
                  <c:v>4.5685279187817258</c:v>
                </c:pt>
                <c:pt idx="13">
                  <c:v>5.6572379367720469</c:v>
                </c:pt>
              </c:numCache>
            </c:numRef>
          </c:val>
          <c:extLst>
            <c:ext xmlns:c16="http://schemas.microsoft.com/office/drawing/2014/chart" uri="{C3380CC4-5D6E-409C-BE32-E72D297353CC}">
              <c16:uniqueId val="{0000000F-0F28-4CDB-A97F-A16D2208291B}"/>
            </c:ext>
          </c:extLst>
        </c:ser>
        <c:dLbls>
          <c:showLegendKey val="0"/>
          <c:showVal val="0"/>
          <c:showCatName val="0"/>
          <c:showSerName val="0"/>
          <c:showPercent val="0"/>
          <c:showBubbleSize val="0"/>
        </c:dLbls>
        <c:gapWidth val="100"/>
        <c:overlap val="100"/>
        <c:axId val="887172248"/>
        <c:axId val="887170280"/>
      </c:barChart>
      <c:catAx>
        <c:axId val="887172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170280"/>
        <c:crosses val="autoZero"/>
        <c:auto val="1"/>
        <c:lblAlgn val="ctr"/>
        <c:lblOffset val="100"/>
        <c:noMultiLvlLbl val="0"/>
      </c:catAx>
      <c:valAx>
        <c:axId val="887170280"/>
        <c:scaling>
          <c:orientation val="minMax"/>
          <c:max val="100"/>
          <c:min val="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87172248"/>
        <c:crosses val="autoZero"/>
        <c:crossBetween val="between"/>
      </c:valAx>
      <c:spPr>
        <a:noFill/>
        <a:ln>
          <a:noFill/>
        </a:ln>
        <a:effectLst/>
      </c:spPr>
    </c:plotArea>
    <c:legend>
      <c:legendPos val="b"/>
      <c:layout>
        <c:manualLayout>
          <c:xMode val="edge"/>
          <c:yMode val="edge"/>
          <c:x val="5.6458524079838861E-2"/>
          <c:y val="0.94364180947969734"/>
          <c:w val="0.88708295184032226"/>
          <c:h val="5.322093561834182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612449563207596E-2"/>
          <c:y val="5.3104523024246966E-2"/>
          <c:w val="0.92353159835120113"/>
          <c:h val="0.71263483606503109"/>
        </c:manualLayout>
      </c:layout>
      <c:barChart>
        <c:barDir val="col"/>
        <c:grouping val="clustered"/>
        <c:varyColors val="0"/>
        <c:ser>
          <c:idx val="0"/>
          <c:order val="0"/>
          <c:tx>
            <c:strRef>
              <c:f>'Aprēķinu tabula un grafiki'!$B$162</c:f>
              <c:strCache>
                <c:ptCount val="1"/>
                <c:pt idx="0">
                  <c:v>Amatu saime "Grāmatvedība" klasificēto amata vietu skaits resorā</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solidFill>
                <a:schemeClr val="accent2">
                  <a:lumMod val="20000"/>
                  <a:lumOff val="80000"/>
                </a:schemeClr>
              </a:solidFill>
              <a:ln w="12700">
                <a:solidFill>
                  <a:srgbClr val="0070C0"/>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'Aprēķinu tabula un grafiki'!$A$163:$A$176</c:f>
              <c:strCache>
                <c:ptCount val="14"/>
                <c:pt idx="0">
                  <c:v>KM</c:v>
                </c:pt>
                <c:pt idx="1">
                  <c:v>IZM</c:v>
                </c:pt>
                <c:pt idx="2">
                  <c:v>SAM</c:v>
                </c:pt>
                <c:pt idx="3">
                  <c:v>AM</c:v>
                </c:pt>
                <c:pt idx="4">
                  <c:v>EM</c:v>
                </c:pt>
                <c:pt idx="5">
                  <c:v>VARAM</c:v>
                </c:pt>
                <c:pt idx="6">
                  <c:v>TM</c:v>
                </c:pt>
                <c:pt idx="7">
                  <c:v>LM</c:v>
                </c:pt>
                <c:pt idx="8">
                  <c:v>ZM</c:v>
                </c:pt>
                <c:pt idx="9">
                  <c:v>VM</c:v>
                </c:pt>
                <c:pt idx="10">
                  <c:v>AIM</c:v>
                </c:pt>
                <c:pt idx="11">
                  <c:v>IEM</c:v>
                </c:pt>
                <c:pt idx="12">
                  <c:v>FM</c:v>
                </c:pt>
                <c:pt idx="13">
                  <c:v>MK</c:v>
                </c:pt>
              </c:strCache>
            </c:strRef>
          </c:cat>
          <c:val>
            <c:numRef>
              <c:f>'Aprēķinu tabula un grafiki'!$B$163:$B$176</c:f>
              <c:numCache>
                <c:formatCode>0.0</c:formatCode>
                <c:ptCount val="14"/>
                <c:pt idx="0">
                  <c:v>2.5373134328358207</c:v>
                </c:pt>
                <c:pt idx="1">
                  <c:v>2.436548223350254</c:v>
                </c:pt>
                <c:pt idx="2">
                  <c:v>2.4054982817869415</c:v>
                </c:pt>
                <c:pt idx="3">
                  <c:v>2.1630615640599</c:v>
                </c:pt>
                <c:pt idx="4">
                  <c:v>1.8648018648018649</c:v>
                </c:pt>
                <c:pt idx="5">
                  <c:v>1.7578125</c:v>
                </c:pt>
                <c:pt idx="6">
                  <c:v>1.6480193528878138</c:v>
                </c:pt>
                <c:pt idx="7">
                  <c:v>1.5806686046511629</c:v>
                </c:pt>
                <c:pt idx="8">
                  <c:v>1.4845831747240199</c:v>
                </c:pt>
                <c:pt idx="9">
                  <c:v>1.2524959157741875</c:v>
                </c:pt>
                <c:pt idx="10">
                  <c:v>1.1639991685720226</c:v>
                </c:pt>
                <c:pt idx="11">
                  <c:v>1.0976804965697484</c:v>
                </c:pt>
                <c:pt idx="12">
                  <c:v>0.82032813125250104</c:v>
                </c:pt>
                <c:pt idx="13">
                  <c:v>0</c:v>
                </c:pt>
              </c:numCache>
            </c:numRef>
          </c:val>
          <c:extLst>
            <c:ext xmlns:c16="http://schemas.microsoft.com/office/drawing/2014/chart" uri="{C3380CC4-5D6E-409C-BE32-E72D297353CC}">
              <c16:uniqueId val="{00000000-B247-4A6A-A2D3-04C891DDED1B}"/>
            </c:ext>
          </c:extLst>
        </c:ser>
        <c:dLbls>
          <c:showLegendKey val="0"/>
          <c:showVal val="0"/>
          <c:showCatName val="0"/>
          <c:showSerName val="0"/>
          <c:showPercent val="0"/>
          <c:showBubbleSize val="0"/>
        </c:dLbls>
        <c:gapWidth val="120"/>
        <c:overlap val="-27"/>
        <c:axId val="1073635080"/>
        <c:axId val="1073636064"/>
      </c:barChart>
      <c:lineChart>
        <c:grouping val="standard"/>
        <c:varyColors val="0"/>
        <c:ser>
          <c:idx val="1"/>
          <c:order val="1"/>
          <c:tx>
            <c:strRef>
              <c:f>'Aprēķinu tabula un grafiki'!$C$162</c:f>
              <c:strCache>
                <c:ptCount val="1"/>
                <c:pt idx="0">
                  <c:v>Vidējais valsts pārvaldē amatu saimē "Grāmatvedībā" klasificētais amata vietu skaits uz 100 amata vietām</c:v>
                </c:pt>
              </c:strCache>
            </c:strRef>
          </c:tx>
          <c:spPr>
            <a:ln w="28575" cap="rnd">
              <a:solidFill>
                <a:schemeClr val="accent2"/>
              </a:solidFill>
              <a:round/>
            </a:ln>
            <a:effectLst/>
          </c:spPr>
          <c:marker>
            <c:symbol val="none"/>
          </c:marker>
          <c:cat>
            <c:strRef>
              <c:f>'Aprēķinu tabula un grafiki'!$A$163:$A$176</c:f>
              <c:strCache>
                <c:ptCount val="14"/>
                <c:pt idx="0">
                  <c:v>KM</c:v>
                </c:pt>
                <c:pt idx="1">
                  <c:v>IZM</c:v>
                </c:pt>
                <c:pt idx="2">
                  <c:v>SAM</c:v>
                </c:pt>
                <c:pt idx="3">
                  <c:v>AM</c:v>
                </c:pt>
                <c:pt idx="4">
                  <c:v>EM</c:v>
                </c:pt>
                <c:pt idx="5">
                  <c:v>VARAM</c:v>
                </c:pt>
                <c:pt idx="6">
                  <c:v>TM</c:v>
                </c:pt>
                <c:pt idx="7">
                  <c:v>LM</c:v>
                </c:pt>
                <c:pt idx="8">
                  <c:v>ZM</c:v>
                </c:pt>
                <c:pt idx="9">
                  <c:v>VM</c:v>
                </c:pt>
                <c:pt idx="10">
                  <c:v>AIM</c:v>
                </c:pt>
                <c:pt idx="11">
                  <c:v>IEM</c:v>
                </c:pt>
                <c:pt idx="12">
                  <c:v>FM</c:v>
                </c:pt>
                <c:pt idx="13">
                  <c:v>MK</c:v>
                </c:pt>
              </c:strCache>
            </c:strRef>
          </c:cat>
          <c:val>
            <c:numRef>
              <c:f>'Aprēķinu tabula un grafiki'!$C$163:$C$176</c:f>
              <c:numCache>
                <c:formatCode>0.0</c:formatCode>
                <c:ptCount val="14"/>
                <c:pt idx="0">
                  <c:v>1.3</c:v>
                </c:pt>
                <c:pt idx="1">
                  <c:v>1.3</c:v>
                </c:pt>
                <c:pt idx="2">
                  <c:v>1.3</c:v>
                </c:pt>
                <c:pt idx="3">
                  <c:v>1.3</c:v>
                </c:pt>
                <c:pt idx="4">
                  <c:v>1.3</c:v>
                </c:pt>
                <c:pt idx="5">
                  <c:v>1.3</c:v>
                </c:pt>
                <c:pt idx="6">
                  <c:v>1.3</c:v>
                </c:pt>
                <c:pt idx="7">
                  <c:v>1.3</c:v>
                </c:pt>
                <c:pt idx="8">
                  <c:v>1.3</c:v>
                </c:pt>
                <c:pt idx="9">
                  <c:v>1.3</c:v>
                </c:pt>
                <c:pt idx="10">
                  <c:v>1.3</c:v>
                </c:pt>
                <c:pt idx="11">
                  <c:v>1.3</c:v>
                </c:pt>
                <c:pt idx="12">
                  <c:v>1.3</c:v>
                </c:pt>
                <c:pt idx="13">
                  <c:v>1.3</c:v>
                </c:pt>
              </c:numCache>
            </c:numRef>
          </c:val>
          <c:smooth val="0"/>
          <c:extLst>
            <c:ext xmlns:c16="http://schemas.microsoft.com/office/drawing/2014/chart" uri="{C3380CC4-5D6E-409C-BE32-E72D297353CC}">
              <c16:uniqueId val="{00000001-B247-4A6A-A2D3-04C891DDED1B}"/>
            </c:ext>
          </c:extLst>
        </c:ser>
        <c:dLbls>
          <c:showLegendKey val="0"/>
          <c:showVal val="0"/>
          <c:showCatName val="0"/>
          <c:showSerName val="0"/>
          <c:showPercent val="0"/>
          <c:showBubbleSize val="0"/>
        </c:dLbls>
        <c:marker val="1"/>
        <c:smooth val="0"/>
        <c:axId val="1073635080"/>
        <c:axId val="1073636064"/>
      </c:lineChart>
      <c:catAx>
        <c:axId val="107363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6064"/>
        <c:crosses val="autoZero"/>
        <c:auto val="1"/>
        <c:lblAlgn val="ctr"/>
        <c:lblOffset val="100"/>
        <c:noMultiLvlLbl val="0"/>
      </c:catAx>
      <c:valAx>
        <c:axId val="1073636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5080"/>
        <c:crosses val="autoZero"/>
        <c:crossBetween val="between"/>
      </c:valAx>
      <c:spPr>
        <a:noFill/>
        <a:ln>
          <a:noFill/>
        </a:ln>
        <a:effectLst/>
      </c:spPr>
    </c:plotArea>
    <c:legend>
      <c:legendPos val="b"/>
      <c:layout>
        <c:manualLayout>
          <c:xMode val="edge"/>
          <c:yMode val="edge"/>
          <c:x val="3.1457062892014123E-2"/>
          <c:y val="0.89648244532742638"/>
          <c:w val="0.95330397845006221"/>
          <c:h val="9.898618902669115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346572244507173E-2"/>
          <c:y val="4.2513019748487799E-2"/>
          <c:w val="0.91468697856066961"/>
          <c:h val="0.72215350421259206"/>
        </c:manualLayout>
      </c:layout>
      <c:barChart>
        <c:barDir val="col"/>
        <c:grouping val="clustered"/>
        <c:varyColors val="0"/>
        <c:ser>
          <c:idx val="0"/>
          <c:order val="0"/>
          <c:tx>
            <c:strRef>
              <c:f>'Aprēķinu tabula un grafiki'!$B$179</c:f>
              <c:strCache>
                <c:ptCount val="1"/>
                <c:pt idx="0">
                  <c:v>Amatu saime "Apgāde (iepirkšana)" klasificēto amata vietu skaits resorā</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solidFill>
                <a:schemeClr val="accent2">
                  <a:lumMod val="40000"/>
                  <a:lumOff val="60000"/>
                </a:schemeClr>
              </a:solidFill>
              <a:ln w="12700">
                <a:solidFill>
                  <a:srgbClr val="0070C0"/>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'Aprēķinu tabula un grafiki'!$A$180:$A$193</c:f>
              <c:strCache>
                <c:ptCount val="14"/>
                <c:pt idx="0">
                  <c:v>AM</c:v>
                </c:pt>
                <c:pt idx="1">
                  <c:v>AIM</c:v>
                </c:pt>
                <c:pt idx="2">
                  <c:v>LM</c:v>
                </c:pt>
                <c:pt idx="3">
                  <c:v>MK</c:v>
                </c:pt>
                <c:pt idx="4">
                  <c:v>ZM</c:v>
                </c:pt>
                <c:pt idx="5">
                  <c:v>IEM</c:v>
                </c:pt>
                <c:pt idx="6">
                  <c:v>FM</c:v>
                </c:pt>
                <c:pt idx="7">
                  <c:v>TM</c:v>
                </c:pt>
                <c:pt idx="8">
                  <c:v>VARAM</c:v>
                </c:pt>
                <c:pt idx="9">
                  <c:v>IZM</c:v>
                </c:pt>
                <c:pt idx="10">
                  <c:v>EM</c:v>
                </c:pt>
                <c:pt idx="11">
                  <c:v>KM</c:v>
                </c:pt>
                <c:pt idx="12">
                  <c:v>VM</c:v>
                </c:pt>
                <c:pt idx="13">
                  <c:v>SAM</c:v>
                </c:pt>
              </c:strCache>
            </c:strRef>
          </c:cat>
          <c:val>
            <c:numRef>
              <c:f>'Aprēķinu tabula un grafiki'!$B$180:$B$193</c:f>
              <c:numCache>
                <c:formatCode>0.0</c:formatCode>
                <c:ptCount val="14"/>
                <c:pt idx="0">
                  <c:v>2.1630615640599</c:v>
                </c:pt>
                <c:pt idx="1">
                  <c:v>1.818748700893785</c:v>
                </c:pt>
                <c:pt idx="2">
                  <c:v>1.5625</c:v>
                </c:pt>
                <c:pt idx="3">
                  <c:v>1.2903225806451613</c:v>
                </c:pt>
                <c:pt idx="4">
                  <c:v>0.79939094023601065</c:v>
                </c:pt>
                <c:pt idx="5">
                  <c:v>0.77098987259065654</c:v>
                </c:pt>
                <c:pt idx="6">
                  <c:v>0.74029611844737897</c:v>
                </c:pt>
                <c:pt idx="7">
                  <c:v>0.71061384941034167</c:v>
                </c:pt>
                <c:pt idx="8">
                  <c:v>0.68359375</c:v>
                </c:pt>
                <c:pt idx="9">
                  <c:v>0.6091370558375635</c:v>
                </c:pt>
                <c:pt idx="10">
                  <c:v>0.46620046620046623</c:v>
                </c:pt>
                <c:pt idx="11">
                  <c:v>0.39800995024875618</c:v>
                </c:pt>
                <c:pt idx="12">
                  <c:v>0.36304229442730074</c:v>
                </c:pt>
                <c:pt idx="13">
                  <c:v>0.3436426116838488</c:v>
                </c:pt>
              </c:numCache>
            </c:numRef>
          </c:val>
          <c:extLst>
            <c:ext xmlns:c16="http://schemas.microsoft.com/office/drawing/2014/chart" uri="{C3380CC4-5D6E-409C-BE32-E72D297353CC}">
              <c16:uniqueId val="{00000000-5465-462C-8BA8-C9C0127BB917}"/>
            </c:ext>
          </c:extLst>
        </c:ser>
        <c:dLbls>
          <c:showLegendKey val="0"/>
          <c:showVal val="0"/>
          <c:showCatName val="0"/>
          <c:showSerName val="0"/>
          <c:showPercent val="0"/>
          <c:showBubbleSize val="0"/>
        </c:dLbls>
        <c:gapWidth val="120"/>
        <c:overlap val="-27"/>
        <c:axId val="1073635080"/>
        <c:axId val="1073636064"/>
      </c:barChart>
      <c:lineChart>
        <c:grouping val="standard"/>
        <c:varyColors val="0"/>
        <c:ser>
          <c:idx val="1"/>
          <c:order val="1"/>
          <c:tx>
            <c:strRef>
              <c:f>'Aprēķinu tabula un grafiki'!$C$179</c:f>
              <c:strCache>
                <c:ptCount val="1"/>
                <c:pt idx="0">
                  <c:v>Vidējais valsts pārvaldē amatu saimē "Apgāde (Iepirkšana)" klasificētais amata vietu skaits uz 100 amata vietām</c:v>
                </c:pt>
              </c:strCache>
            </c:strRef>
          </c:tx>
          <c:spPr>
            <a:ln w="28575" cap="rnd">
              <a:solidFill>
                <a:schemeClr val="accent2"/>
              </a:solidFill>
              <a:round/>
            </a:ln>
            <a:effectLst/>
          </c:spPr>
          <c:marker>
            <c:symbol val="none"/>
          </c:marker>
          <c:cat>
            <c:strRef>
              <c:f>'Aprēķinu tabula un grafiki'!$A$180:$A$193</c:f>
              <c:strCache>
                <c:ptCount val="14"/>
                <c:pt idx="0">
                  <c:v>AM</c:v>
                </c:pt>
                <c:pt idx="1">
                  <c:v>AIM</c:v>
                </c:pt>
                <c:pt idx="2">
                  <c:v>LM</c:v>
                </c:pt>
                <c:pt idx="3">
                  <c:v>MK</c:v>
                </c:pt>
                <c:pt idx="4">
                  <c:v>ZM</c:v>
                </c:pt>
                <c:pt idx="5">
                  <c:v>IEM</c:v>
                </c:pt>
                <c:pt idx="6">
                  <c:v>FM</c:v>
                </c:pt>
                <c:pt idx="7">
                  <c:v>TM</c:v>
                </c:pt>
                <c:pt idx="8">
                  <c:v>VARAM</c:v>
                </c:pt>
                <c:pt idx="9">
                  <c:v>IZM</c:v>
                </c:pt>
                <c:pt idx="10">
                  <c:v>EM</c:v>
                </c:pt>
                <c:pt idx="11">
                  <c:v>KM</c:v>
                </c:pt>
                <c:pt idx="12">
                  <c:v>VM</c:v>
                </c:pt>
                <c:pt idx="13">
                  <c:v>SAM</c:v>
                </c:pt>
              </c:strCache>
            </c:strRef>
          </c:cat>
          <c:val>
            <c:numRef>
              <c:f>'Aprēķinu tabula un grafiki'!$C$180:$C$193</c:f>
              <c:numCache>
                <c:formatCode>0.0</c:formatCode>
                <c:ptCount val="14"/>
                <c:pt idx="0">
                  <c:v>1</c:v>
                </c:pt>
                <c:pt idx="1">
                  <c:v>1</c:v>
                </c:pt>
                <c:pt idx="2">
                  <c:v>1</c:v>
                </c:pt>
                <c:pt idx="3">
                  <c:v>1</c:v>
                </c:pt>
                <c:pt idx="4">
                  <c:v>1</c:v>
                </c:pt>
                <c:pt idx="5">
                  <c:v>1</c:v>
                </c:pt>
                <c:pt idx="6">
                  <c:v>1</c:v>
                </c:pt>
                <c:pt idx="7">
                  <c:v>1</c:v>
                </c:pt>
                <c:pt idx="8">
                  <c:v>1</c:v>
                </c:pt>
                <c:pt idx="9">
                  <c:v>1</c:v>
                </c:pt>
                <c:pt idx="10">
                  <c:v>1</c:v>
                </c:pt>
                <c:pt idx="11">
                  <c:v>1</c:v>
                </c:pt>
                <c:pt idx="12">
                  <c:v>1</c:v>
                </c:pt>
                <c:pt idx="13">
                  <c:v>1</c:v>
                </c:pt>
              </c:numCache>
            </c:numRef>
          </c:val>
          <c:smooth val="0"/>
          <c:extLst>
            <c:ext xmlns:c16="http://schemas.microsoft.com/office/drawing/2014/chart" uri="{C3380CC4-5D6E-409C-BE32-E72D297353CC}">
              <c16:uniqueId val="{00000001-5465-462C-8BA8-C9C0127BB917}"/>
            </c:ext>
          </c:extLst>
        </c:ser>
        <c:dLbls>
          <c:showLegendKey val="0"/>
          <c:showVal val="0"/>
          <c:showCatName val="0"/>
          <c:showSerName val="0"/>
          <c:showPercent val="0"/>
          <c:showBubbleSize val="0"/>
        </c:dLbls>
        <c:marker val="1"/>
        <c:smooth val="0"/>
        <c:axId val="1073635080"/>
        <c:axId val="1073636064"/>
      </c:lineChart>
      <c:catAx>
        <c:axId val="107363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6064"/>
        <c:crosses val="autoZero"/>
        <c:auto val="1"/>
        <c:lblAlgn val="ctr"/>
        <c:lblOffset val="100"/>
        <c:noMultiLvlLbl val="0"/>
      </c:catAx>
      <c:valAx>
        <c:axId val="1073636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5080"/>
        <c:crosses val="autoZero"/>
        <c:crossBetween val="between"/>
      </c:valAx>
      <c:spPr>
        <a:noFill/>
        <a:ln>
          <a:noFill/>
        </a:ln>
        <a:effectLst/>
      </c:spPr>
    </c:plotArea>
    <c:legend>
      <c:legendPos val="b"/>
      <c:layout>
        <c:manualLayout>
          <c:xMode val="edge"/>
          <c:yMode val="edge"/>
          <c:x val="4.0891954621374807E-2"/>
          <c:y val="0.88174261466543447"/>
          <c:w val="0.95330397845006221"/>
          <c:h val="9.236734468910902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253718285214348E-2"/>
          <c:y val="7.9405708727496693E-2"/>
          <c:w val="0.9257980752405951"/>
          <c:h val="0.65941696864931176"/>
        </c:manualLayout>
      </c:layout>
      <c:barChart>
        <c:barDir val="col"/>
        <c:grouping val="clustered"/>
        <c:varyColors val="0"/>
        <c:ser>
          <c:idx val="0"/>
          <c:order val="0"/>
          <c:tx>
            <c:strRef>
              <c:f>'Aprēķinu tabula un grafiki'!$B$197</c:f>
              <c:strCache>
                <c:ptCount val="1"/>
                <c:pt idx="0">
                  <c:v>Amatu saime "Personālvadība" klasificēto amata vietu skaits resorā</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solidFill>
                <a:schemeClr val="accent2">
                  <a:lumMod val="40000"/>
                  <a:lumOff val="60000"/>
                </a:schemeClr>
              </a:solidFill>
              <a:ln w="12700">
                <a:solidFill>
                  <a:srgbClr val="0070C0"/>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'Aprēķinu tabula un grafiki'!$A$198:$A$211</c:f>
              <c:strCache>
                <c:ptCount val="14"/>
                <c:pt idx="0">
                  <c:v>IZM</c:v>
                </c:pt>
                <c:pt idx="1">
                  <c:v>SAM</c:v>
                </c:pt>
                <c:pt idx="2">
                  <c:v>AM</c:v>
                </c:pt>
                <c:pt idx="3">
                  <c:v>EM</c:v>
                </c:pt>
                <c:pt idx="4">
                  <c:v>MK</c:v>
                </c:pt>
                <c:pt idx="5">
                  <c:v>KM</c:v>
                </c:pt>
                <c:pt idx="6">
                  <c:v>IEM</c:v>
                </c:pt>
                <c:pt idx="7">
                  <c:v>ZM</c:v>
                </c:pt>
                <c:pt idx="8">
                  <c:v>FM</c:v>
                </c:pt>
                <c:pt idx="9">
                  <c:v>LM</c:v>
                </c:pt>
                <c:pt idx="10">
                  <c:v>VARAM</c:v>
                </c:pt>
                <c:pt idx="11">
                  <c:v>TM</c:v>
                </c:pt>
                <c:pt idx="12">
                  <c:v>VM</c:v>
                </c:pt>
                <c:pt idx="13">
                  <c:v>AIM</c:v>
                </c:pt>
              </c:strCache>
            </c:strRef>
          </c:cat>
          <c:val>
            <c:numRef>
              <c:f>'Aprēķinu tabula un grafiki'!$B$198:$B$211</c:f>
              <c:numCache>
                <c:formatCode>0.0</c:formatCode>
                <c:ptCount val="14"/>
                <c:pt idx="0">
                  <c:v>1.5228426395939088</c:v>
                </c:pt>
                <c:pt idx="1">
                  <c:v>1.3745704467353952</c:v>
                </c:pt>
                <c:pt idx="2">
                  <c:v>1.3311148086522464</c:v>
                </c:pt>
                <c:pt idx="3">
                  <c:v>1.320901320901321</c:v>
                </c:pt>
                <c:pt idx="4">
                  <c:v>1.2903225806451613</c:v>
                </c:pt>
                <c:pt idx="5">
                  <c:v>1.2437810945273631</c:v>
                </c:pt>
                <c:pt idx="6">
                  <c:v>1.0454099967330936</c:v>
                </c:pt>
                <c:pt idx="7">
                  <c:v>0.98972211648267983</c:v>
                </c:pt>
                <c:pt idx="8">
                  <c:v>0.86034413765506212</c:v>
                </c:pt>
                <c:pt idx="9">
                  <c:v>0.79941860465116277</c:v>
                </c:pt>
                <c:pt idx="10">
                  <c:v>0.78125</c:v>
                </c:pt>
                <c:pt idx="11">
                  <c:v>0.74085273661929241</c:v>
                </c:pt>
                <c:pt idx="12">
                  <c:v>0.63532401524777637</c:v>
                </c:pt>
                <c:pt idx="13">
                  <c:v>0.44689253793390149</c:v>
                </c:pt>
              </c:numCache>
            </c:numRef>
          </c:val>
          <c:extLst>
            <c:ext xmlns:c16="http://schemas.microsoft.com/office/drawing/2014/chart" uri="{C3380CC4-5D6E-409C-BE32-E72D297353CC}">
              <c16:uniqueId val="{00000000-2971-4A5A-AF7D-EDE070AAFFE0}"/>
            </c:ext>
          </c:extLst>
        </c:ser>
        <c:dLbls>
          <c:showLegendKey val="0"/>
          <c:showVal val="0"/>
          <c:showCatName val="0"/>
          <c:showSerName val="0"/>
          <c:showPercent val="0"/>
          <c:showBubbleSize val="0"/>
        </c:dLbls>
        <c:gapWidth val="120"/>
        <c:overlap val="-27"/>
        <c:axId val="1073635080"/>
        <c:axId val="1073636064"/>
      </c:barChart>
      <c:lineChart>
        <c:grouping val="standard"/>
        <c:varyColors val="0"/>
        <c:ser>
          <c:idx val="1"/>
          <c:order val="1"/>
          <c:tx>
            <c:strRef>
              <c:f>'Aprēķinu tabula un grafiki'!$C$197</c:f>
              <c:strCache>
                <c:ptCount val="1"/>
                <c:pt idx="0">
                  <c:v>Vidējais valsts pārvaldē amatu saimē "Personālvadība" klasificētais amata vietu skaits uz 100 amata vietām</c:v>
                </c:pt>
              </c:strCache>
            </c:strRef>
          </c:tx>
          <c:spPr>
            <a:ln w="28575" cap="rnd">
              <a:solidFill>
                <a:schemeClr val="accent2"/>
              </a:solidFill>
              <a:round/>
            </a:ln>
            <a:effectLst/>
          </c:spPr>
          <c:marker>
            <c:symbol val="none"/>
          </c:marker>
          <c:cat>
            <c:strRef>
              <c:f>'Aprēķinu tabula un grafiki'!$A$198:$A$211</c:f>
              <c:strCache>
                <c:ptCount val="14"/>
                <c:pt idx="0">
                  <c:v>IZM</c:v>
                </c:pt>
                <c:pt idx="1">
                  <c:v>SAM</c:v>
                </c:pt>
                <c:pt idx="2">
                  <c:v>AM</c:v>
                </c:pt>
                <c:pt idx="3">
                  <c:v>EM</c:v>
                </c:pt>
                <c:pt idx="4">
                  <c:v>MK</c:v>
                </c:pt>
                <c:pt idx="5">
                  <c:v>KM</c:v>
                </c:pt>
                <c:pt idx="6">
                  <c:v>IEM</c:v>
                </c:pt>
                <c:pt idx="7">
                  <c:v>ZM</c:v>
                </c:pt>
                <c:pt idx="8">
                  <c:v>FM</c:v>
                </c:pt>
                <c:pt idx="9">
                  <c:v>LM</c:v>
                </c:pt>
                <c:pt idx="10">
                  <c:v>VARAM</c:v>
                </c:pt>
                <c:pt idx="11">
                  <c:v>TM</c:v>
                </c:pt>
                <c:pt idx="12">
                  <c:v>VM</c:v>
                </c:pt>
                <c:pt idx="13">
                  <c:v>AIM</c:v>
                </c:pt>
              </c:strCache>
            </c:strRef>
          </c:cat>
          <c:val>
            <c:numRef>
              <c:f>'Aprēķinu tabula un grafiki'!$C$198:$C$211</c:f>
              <c:numCache>
                <c:formatCode>0.0</c:formatCode>
                <c:ptCount val="14"/>
                <c:pt idx="0">
                  <c:v>0.8</c:v>
                </c:pt>
                <c:pt idx="1">
                  <c:v>0.8</c:v>
                </c:pt>
                <c:pt idx="2">
                  <c:v>0.8</c:v>
                </c:pt>
                <c:pt idx="3">
                  <c:v>0.8</c:v>
                </c:pt>
                <c:pt idx="4">
                  <c:v>0.8</c:v>
                </c:pt>
                <c:pt idx="5">
                  <c:v>0.8</c:v>
                </c:pt>
                <c:pt idx="6">
                  <c:v>0.8</c:v>
                </c:pt>
                <c:pt idx="7">
                  <c:v>0.8</c:v>
                </c:pt>
                <c:pt idx="8">
                  <c:v>0.8</c:v>
                </c:pt>
                <c:pt idx="9">
                  <c:v>0.8</c:v>
                </c:pt>
                <c:pt idx="10">
                  <c:v>0.8</c:v>
                </c:pt>
                <c:pt idx="11">
                  <c:v>0.8</c:v>
                </c:pt>
                <c:pt idx="12">
                  <c:v>0.8</c:v>
                </c:pt>
                <c:pt idx="13">
                  <c:v>0.8</c:v>
                </c:pt>
              </c:numCache>
            </c:numRef>
          </c:val>
          <c:smooth val="0"/>
          <c:extLst>
            <c:ext xmlns:c16="http://schemas.microsoft.com/office/drawing/2014/chart" uri="{C3380CC4-5D6E-409C-BE32-E72D297353CC}">
              <c16:uniqueId val="{00000001-2971-4A5A-AF7D-EDE070AAFFE0}"/>
            </c:ext>
          </c:extLst>
        </c:ser>
        <c:dLbls>
          <c:showLegendKey val="0"/>
          <c:showVal val="0"/>
          <c:showCatName val="0"/>
          <c:showSerName val="0"/>
          <c:showPercent val="0"/>
          <c:showBubbleSize val="0"/>
        </c:dLbls>
        <c:marker val="1"/>
        <c:smooth val="0"/>
        <c:axId val="1073635080"/>
        <c:axId val="1073636064"/>
      </c:lineChart>
      <c:catAx>
        <c:axId val="107363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6064"/>
        <c:crosses val="autoZero"/>
        <c:auto val="1"/>
        <c:lblAlgn val="ctr"/>
        <c:lblOffset val="100"/>
        <c:noMultiLvlLbl val="0"/>
      </c:catAx>
      <c:valAx>
        <c:axId val="1073636064"/>
        <c:scaling>
          <c:orientation val="minMax"/>
          <c:max val="1.6"/>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3635080"/>
        <c:crosses val="autoZero"/>
        <c:crossBetween val="between"/>
      </c:valAx>
      <c:spPr>
        <a:noFill/>
        <a:ln>
          <a:noFill/>
        </a:ln>
        <a:effectLst/>
      </c:spPr>
    </c:plotArea>
    <c:legend>
      <c:legendPos val="b"/>
      <c:layout>
        <c:manualLayout>
          <c:xMode val="edge"/>
          <c:yMode val="edge"/>
          <c:x val="3.4225196850393706E-2"/>
          <c:y val="0.86281476899979648"/>
          <c:w val="0.95330397845006221"/>
          <c:h val="0.1258346483124654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'Aprēķinu tabula un grafiki'!$E$251:$E$260</cx:f>
        <cx:lvl ptCount="10">
          <cx:pt idx="0">Juridiskās palīdzības administrācija 11,8%</cx:pt>
          <cx:pt idx="1">Uzturlīdzekļu garantiju fonda administrācija 10,3%</cx:pt>
          <cx:pt idx="2">Transporta nelaimes gadījumu un incidentu izmeklēšanas birojs 10,0%</cx:pt>
          <cx:pt idx="3">Patentu valde 9,1%</cx:pt>
          <cx:pt idx="4">Valsts tehniskās uzraudzības aģentūra 7,9%</cx:pt>
          <cx:pt idx="5">LR IEM Informācijas centrs 7,5%</cx:pt>
          <cx:pt idx="6">Kultūras informācijas sistēmu centrs 7,4%</cx:pt>
          <cx:pt idx="7">Latvijas Nacionālais kultūras centrs 6,9%</cx:pt>
          <cx:pt idx="8">Maksātnespējas kontroles dienests 6,7%</cx:pt>
          <cx:pt idx="9">Latviešu valodas aģentūra 6,7%</cx:pt>
        </cx:lvl>
      </cx:strDim>
      <cx:numDim type="size">
        <cx:f>'Aprēķinu tabula un grafiki'!$F$251:$F$260</cx:f>
        <cx:lvl ptCount="10" formatCode="0,0">
          <cx:pt idx="0">11.76470588235294</cx:pt>
          <cx:pt idx="1">10.256410256410255</cx:pt>
          <cx:pt idx="2">10</cx:pt>
          <cx:pt idx="3">9.0909090909090899</cx:pt>
          <cx:pt idx="4">7.8947368421052628</cx:pt>
          <cx:pt idx="5">7.5409836065573774</cx:pt>
          <cx:pt idx="6">7.4074074074074066</cx:pt>
          <cx:pt idx="7">6.8965517241379315</cx:pt>
          <cx:pt idx="8">6.666666666666667</cx:pt>
          <cx:pt idx="9">6.6666666666666661</cx:pt>
        </cx:lvl>
      </cx:numDim>
    </cx:data>
  </cx:chartData>
  <cx:chart>
    <cx:plotArea>
      <cx:plotAreaRegion>
        <cx:series layoutId="treemap" uniqueId="{3ED54128-3BFA-4FF3-937A-721366D071B7}">
          <cx:dataLabels pos="inEnd">
            <cx:txPr>
              <a:bodyPr vertOverflow="overflow" horzOverflow="overflow" wrap="square" lIns="0" tIns="0" rIns="0" bIns="0"/>
              <a:lstStyle/>
              <a:p>
                <a:pPr algn="ctr" rtl="0">
                  <a:defRPr sz="1000" b="0" i="0">
                    <a:solidFill>
                      <a:srgbClr val="FFFFFF"/>
                    </a:solidFill>
                    <a:latin typeface="Times New Roman" panose="02020603050405020304" pitchFamily="18" charset="0"/>
                    <a:ea typeface="Times New Roman" panose="02020603050405020304" pitchFamily="18" charset="0"/>
                    <a:cs typeface="Times New Roman" panose="02020603050405020304" pitchFamily="18" charset="0"/>
                  </a:defRPr>
                </a:pPr>
                <a:endParaRPr lang="lv-LV" sz="1000">
                  <a:latin typeface="Times New Roman" panose="02020603050405020304" pitchFamily="18" charset="0"/>
                  <a:cs typeface="Times New Roman" panose="02020603050405020304" pitchFamily="18" charset="0"/>
                </a:endParaRPr>
              </a:p>
            </cx:txPr>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02343F-7A94-4C4A-8B5C-5D99E4A2459E}" type="doc">
      <dgm:prSet loTypeId="urn:diagrams.loki3.com/BracketList" loCatId="list" qsTypeId="urn:microsoft.com/office/officeart/2005/8/quickstyle/simple1" qsCatId="simple" csTypeId="urn:microsoft.com/office/officeart/2005/8/colors/accent0_1" csCatId="mainScheme" phldr="1"/>
      <dgm:spPr/>
      <dgm:t>
        <a:bodyPr/>
        <a:lstStyle/>
        <a:p>
          <a:endParaRPr lang="lv-LV"/>
        </a:p>
      </dgm:t>
    </dgm:pt>
    <dgm:pt modelId="{2907850F-6E29-4EE1-B779-B76C32C2FE74}">
      <dgm:prSet custT="1"/>
      <dgm:spPr>
        <a:xfrm>
          <a:off x="0" y="8092"/>
          <a:ext cx="1440021" cy="970200"/>
        </a:xfrm>
        <a:prstGeom prst="rect">
          <a:avLst/>
        </a:prstGeom>
        <a:noFill/>
        <a:ln>
          <a:noFill/>
        </a:ln>
        <a:effectLst/>
      </dgm:spPr>
      <dgm:t>
        <a:bodyPr/>
        <a:lstStyle/>
        <a:p>
          <a:pPr algn="just"/>
          <a:r>
            <a:rPr lang="lv-LV" sz="11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SM piedāvā izslēgt no pakalpojumu apmaksas mehānisma posmus, kas rada lieku administratīvo slogu, paredzot, ka:</a:t>
          </a:r>
        </a:p>
      </dgm:t>
    </dgm:pt>
    <dgm:pt modelId="{F3D2508F-AC7D-487B-924E-E5EE8708247D}" type="parTrans" cxnId="{90EACD65-EDA9-4E2B-BE98-51EAF57A03C7}">
      <dgm:prSet/>
      <dgm:spPr/>
      <dgm:t>
        <a:bodyPr/>
        <a:lstStyle/>
        <a:p>
          <a:endParaRPr lang="lv-LV" sz="1100">
            <a:latin typeface="Times New Roman" panose="02020603050405020304" pitchFamily="18" charset="0"/>
            <a:cs typeface="Times New Roman" panose="02020603050405020304" pitchFamily="18" charset="0"/>
          </a:endParaRPr>
        </a:p>
      </dgm:t>
    </dgm:pt>
    <dgm:pt modelId="{A5A1CF33-FE0D-4F4A-9973-A733BA554E0E}" type="sibTrans" cxnId="{90EACD65-EDA9-4E2B-BE98-51EAF57A03C7}">
      <dgm:prSet/>
      <dgm:spPr/>
      <dgm:t>
        <a:bodyPr/>
        <a:lstStyle/>
        <a:p>
          <a:endParaRPr lang="lv-LV" sz="1100">
            <a:latin typeface="Times New Roman" panose="02020603050405020304" pitchFamily="18" charset="0"/>
            <a:cs typeface="Times New Roman" panose="02020603050405020304" pitchFamily="18" charset="0"/>
          </a:endParaRPr>
        </a:p>
      </dgm:t>
    </dgm:pt>
    <dgm:pt modelId="{C0FBB3C6-0351-4541-9C7E-F15FDBD1294D}">
      <dgm:prSet custT="1"/>
      <dgm:spPr>
        <a:xfrm>
          <a:off x="1843227" y="8092"/>
          <a:ext cx="3916857" cy="97020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lv-LV" sz="11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ņēmējs nepastarpināti apmaksā LVRTC sniegtos pakalpojumus</a:t>
          </a:r>
        </a:p>
      </dgm:t>
    </dgm:pt>
    <dgm:pt modelId="{67550999-CE6E-47FC-B35A-CE5E852DCB47}" type="parTrans" cxnId="{8E8A730A-6CD1-47D3-B48D-1173C3C76657}">
      <dgm:prSet/>
      <dgm:spPr/>
      <dgm:t>
        <a:bodyPr/>
        <a:lstStyle/>
        <a:p>
          <a:endParaRPr lang="lv-LV" sz="1100">
            <a:latin typeface="Times New Roman" panose="02020603050405020304" pitchFamily="18" charset="0"/>
            <a:cs typeface="Times New Roman" panose="02020603050405020304" pitchFamily="18" charset="0"/>
          </a:endParaRPr>
        </a:p>
      </dgm:t>
    </dgm:pt>
    <dgm:pt modelId="{B606F21F-FB4A-4356-8C27-ECD40A0091A2}" type="sibTrans" cxnId="{8E8A730A-6CD1-47D3-B48D-1173C3C76657}">
      <dgm:prSet/>
      <dgm:spPr/>
      <dgm:t>
        <a:bodyPr/>
        <a:lstStyle/>
        <a:p>
          <a:endParaRPr lang="lv-LV" sz="1100">
            <a:latin typeface="Times New Roman" panose="02020603050405020304" pitchFamily="18" charset="0"/>
            <a:cs typeface="Times New Roman" panose="02020603050405020304" pitchFamily="18" charset="0"/>
          </a:endParaRPr>
        </a:p>
      </dgm:t>
    </dgm:pt>
    <dgm:pt modelId="{DF31E10D-C44F-48F2-B4B3-E26FCE283399}">
      <dgm:prSet custT="1"/>
      <dgm:spPr>
        <a:xfrm>
          <a:off x="1843227" y="1154692"/>
          <a:ext cx="3916857" cy="121275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marL="0" marR="0" lvl="0" indent="0" algn="just" defTabSz="914400" eaLnBrk="1" fontAlgn="auto" latinLnBrk="0" hangingPunct="1">
            <a:lnSpc>
              <a:spcPct val="100000"/>
            </a:lnSpc>
            <a:spcBef>
              <a:spcPts val="0"/>
            </a:spcBef>
            <a:spcAft>
              <a:spcPts val="0"/>
            </a:spcAft>
            <a:buClrTx/>
            <a:buSzTx/>
            <a:buFontTx/>
            <a:buNone/>
            <a:tabLst/>
            <a:defRPr/>
          </a:pPr>
          <a:r>
            <a:rPr lang="lv-LV" sz="11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Veikt grozījumus MK 2018. gada 6. februāra instrukcijā Nr. 1;</a:t>
          </a:r>
        </a:p>
      </dgm:t>
    </dgm:pt>
    <dgm:pt modelId="{EBD917F4-2B35-4660-BCED-CE460438BA84}" type="parTrans" cxnId="{28CB139D-59CC-4327-A56B-3127C9E72F72}">
      <dgm:prSet/>
      <dgm:spPr/>
      <dgm:t>
        <a:bodyPr/>
        <a:lstStyle/>
        <a:p>
          <a:endParaRPr lang="lv-LV" sz="1100">
            <a:latin typeface="Times New Roman" panose="02020603050405020304" pitchFamily="18" charset="0"/>
            <a:cs typeface="Times New Roman" panose="02020603050405020304" pitchFamily="18" charset="0"/>
          </a:endParaRPr>
        </a:p>
      </dgm:t>
    </dgm:pt>
    <dgm:pt modelId="{6B578CE7-BD8F-4216-AD25-723732317B93}" type="sibTrans" cxnId="{28CB139D-59CC-4327-A56B-3127C9E72F72}">
      <dgm:prSet/>
      <dgm:spPr/>
      <dgm:t>
        <a:bodyPr/>
        <a:lstStyle/>
        <a:p>
          <a:endParaRPr lang="lv-LV" sz="1100">
            <a:latin typeface="Times New Roman" panose="02020603050405020304" pitchFamily="18" charset="0"/>
            <a:cs typeface="Times New Roman" panose="02020603050405020304" pitchFamily="18" charset="0"/>
          </a:endParaRPr>
        </a:p>
      </dgm:t>
    </dgm:pt>
    <dgm:pt modelId="{EFEC18A8-8171-487E-937F-E4CD941E7C9A}">
      <dgm:prSet custT="1"/>
      <dgm:spPr>
        <a:xfrm>
          <a:off x="0" y="1275967"/>
          <a:ext cx="1440021" cy="970200"/>
        </a:xfrm>
        <a:prstGeom prst="rect">
          <a:avLst/>
        </a:prstGeom>
        <a:noFill/>
        <a:ln>
          <a:noFill/>
        </a:ln>
        <a:effectLst/>
      </dgm:spPr>
      <dgm:t>
        <a:bodyPr/>
        <a:lstStyle/>
        <a:p>
          <a:pPr algn="just"/>
          <a:r>
            <a:rPr lang="lv-LV" sz="11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Nepieciešams veikt izmaiņas normatīvajos aktos:</a:t>
          </a:r>
        </a:p>
      </dgm:t>
    </dgm:pt>
    <dgm:pt modelId="{0F917E90-F04B-4738-A749-6A84A9B73136}" type="parTrans" cxnId="{92D3E168-4C64-498D-9823-A42FE141AB18}">
      <dgm:prSet/>
      <dgm:spPr/>
      <dgm:t>
        <a:bodyPr/>
        <a:lstStyle/>
        <a:p>
          <a:endParaRPr lang="lv-LV" sz="1100">
            <a:latin typeface="Times New Roman" panose="02020603050405020304" pitchFamily="18" charset="0"/>
            <a:cs typeface="Times New Roman" panose="02020603050405020304" pitchFamily="18" charset="0"/>
          </a:endParaRPr>
        </a:p>
      </dgm:t>
    </dgm:pt>
    <dgm:pt modelId="{0B87ED94-DFE9-433F-A184-914178C781ED}" type="sibTrans" cxnId="{92D3E168-4C64-498D-9823-A42FE141AB18}">
      <dgm:prSet/>
      <dgm:spPr/>
      <dgm:t>
        <a:bodyPr/>
        <a:lstStyle/>
        <a:p>
          <a:endParaRPr lang="lv-LV" sz="1100">
            <a:latin typeface="Times New Roman" panose="02020603050405020304" pitchFamily="18" charset="0"/>
            <a:cs typeface="Times New Roman" panose="02020603050405020304" pitchFamily="18" charset="0"/>
          </a:endParaRPr>
        </a:p>
      </dgm:t>
    </dgm:pt>
    <dgm:pt modelId="{6E062A5A-C183-4D6A-AC6E-A5B73458618F}">
      <dgm:prSet custT="1"/>
      <dgm:spPr>
        <a:xfrm>
          <a:off x="1843227" y="8092"/>
          <a:ext cx="3916857" cy="97020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lv-LV" sz="11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LVRTC izraksta ikmēneša rēķinu tieši pakalpojumu ņēmējam tādā apjomā, kādā tie ir sniegti;</a:t>
          </a:r>
        </a:p>
      </dgm:t>
    </dgm:pt>
    <dgm:pt modelId="{7BF3BBF0-916B-4451-A1F8-FA26428DFABF}" type="parTrans" cxnId="{FD6ADCD2-A0BA-4E55-81D2-D6E40BFC2401}">
      <dgm:prSet/>
      <dgm:spPr/>
      <dgm:t>
        <a:bodyPr/>
        <a:lstStyle/>
        <a:p>
          <a:endParaRPr lang="lv-LV" sz="1100">
            <a:latin typeface="Times New Roman" panose="02020603050405020304" pitchFamily="18" charset="0"/>
            <a:cs typeface="Times New Roman" panose="02020603050405020304" pitchFamily="18" charset="0"/>
          </a:endParaRPr>
        </a:p>
      </dgm:t>
    </dgm:pt>
    <dgm:pt modelId="{ECD94E71-6D9E-47FE-9E8B-C302752DF712}" type="sibTrans" cxnId="{FD6ADCD2-A0BA-4E55-81D2-D6E40BFC2401}">
      <dgm:prSet/>
      <dgm:spPr/>
      <dgm:t>
        <a:bodyPr/>
        <a:lstStyle/>
        <a:p>
          <a:endParaRPr lang="lv-LV" sz="1100">
            <a:latin typeface="Times New Roman" panose="02020603050405020304" pitchFamily="18" charset="0"/>
            <a:cs typeface="Times New Roman" panose="02020603050405020304" pitchFamily="18" charset="0"/>
          </a:endParaRPr>
        </a:p>
      </dgm:t>
    </dgm:pt>
    <dgm:pt modelId="{1C90B1A9-5D74-4B08-8927-601C55F92203}">
      <dgm:prSet custT="1"/>
      <dgm:spPr>
        <a:xfrm>
          <a:off x="1843227" y="1154692"/>
          <a:ext cx="3916857" cy="121275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marL="0" marR="0" lvl="0" indent="0" algn="just" defTabSz="914400" eaLnBrk="1" fontAlgn="auto" latinLnBrk="0" hangingPunct="1">
            <a:lnSpc>
              <a:spcPct val="100000"/>
            </a:lnSpc>
            <a:spcBef>
              <a:spcPts val="0"/>
            </a:spcBef>
            <a:spcAft>
              <a:spcPts val="0"/>
            </a:spcAft>
            <a:buClrTx/>
            <a:buSzTx/>
            <a:buFontTx/>
            <a:buNone/>
            <a:tabLst/>
            <a:defRPr/>
          </a:pPr>
          <a:r>
            <a:rPr lang="lv-LV" sz="11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Veikt grozījumus deleģēšanas līgumā, nosakot LVRTC pienākumu administrēt samaksu par VESPC pakalpojumiem, kas noteikta izmantojot l</a:t>
          </a:r>
          <a:r>
            <a:rPr lang="lv-LV" sz="1100" u="none"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īguma ietvaros sniegto pakalpojumu cenu noteikšanas metodiku (pievienot pielikumā) </a:t>
          </a:r>
          <a:r>
            <a:rPr lang="lv-LV" sz="11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saglabājot SM kontroli par LVRTC iesniegtajām atskaitēm, kas sagatavotas saskaņā ar deleģēšanas līguma 1. un 2. pielikumu.</a:t>
          </a:r>
        </a:p>
      </dgm:t>
    </dgm:pt>
    <dgm:pt modelId="{26FAB6B0-2D3C-4520-8A57-00EBC562241E}" type="parTrans" cxnId="{D7297211-733A-4271-9E4B-6AF447097946}">
      <dgm:prSet/>
      <dgm:spPr/>
      <dgm:t>
        <a:bodyPr/>
        <a:lstStyle/>
        <a:p>
          <a:endParaRPr lang="lv-LV" sz="1100">
            <a:latin typeface="Times New Roman" panose="02020603050405020304" pitchFamily="18" charset="0"/>
            <a:cs typeface="Times New Roman" panose="02020603050405020304" pitchFamily="18" charset="0"/>
          </a:endParaRPr>
        </a:p>
      </dgm:t>
    </dgm:pt>
    <dgm:pt modelId="{9E8B405E-EF2D-420F-9CD2-8DA2DD5D6425}" type="sibTrans" cxnId="{D7297211-733A-4271-9E4B-6AF447097946}">
      <dgm:prSet/>
      <dgm:spPr/>
      <dgm:t>
        <a:bodyPr/>
        <a:lstStyle/>
        <a:p>
          <a:endParaRPr lang="lv-LV" sz="1100">
            <a:latin typeface="Times New Roman" panose="02020603050405020304" pitchFamily="18" charset="0"/>
            <a:cs typeface="Times New Roman" panose="02020603050405020304" pitchFamily="18" charset="0"/>
          </a:endParaRPr>
        </a:p>
      </dgm:t>
    </dgm:pt>
    <dgm:pt modelId="{FEF047BB-0CD1-4EB4-95ED-98CD569124A3}" type="pres">
      <dgm:prSet presAssocID="{2D02343F-7A94-4C4A-8B5C-5D99E4A2459E}" presName="Name0" presStyleCnt="0">
        <dgm:presLayoutVars>
          <dgm:dir/>
          <dgm:animLvl val="lvl"/>
          <dgm:resizeHandles val="exact"/>
        </dgm:presLayoutVars>
      </dgm:prSet>
      <dgm:spPr/>
      <dgm:t>
        <a:bodyPr/>
        <a:lstStyle/>
        <a:p>
          <a:endParaRPr lang="en-US"/>
        </a:p>
      </dgm:t>
    </dgm:pt>
    <dgm:pt modelId="{16E328EC-018C-496F-ADDE-5AD20C4548B5}" type="pres">
      <dgm:prSet presAssocID="{2907850F-6E29-4EE1-B779-B76C32C2FE74}" presName="linNode" presStyleCnt="0"/>
      <dgm:spPr/>
    </dgm:pt>
    <dgm:pt modelId="{AA78A3BF-854C-4CB9-8E8C-08A26994E183}" type="pres">
      <dgm:prSet presAssocID="{2907850F-6E29-4EE1-B779-B76C32C2FE74}" presName="parTx" presStyleLbl="revTx" presStyleIdx="0" presStyleCnt="2">
        <dgm:presLayoutVars>
          <dgm:chMax val="1"/>
          <dgm:bulletEnabled val="1"/>
        </dgm:presLayoutVars>
      </dgm:prSet>
      <dgm:spPr/>
      <dgm:t>
        <a:bodyPr/>
        <a:lstStyle/>
        <a:p>
          <a:endParaRPr lang="en-US"/>
        </a:p>
      </dgm:t>
    </dgm:pt>
    <dgm:pt modelId="{BCC6E01B-0F03-4D89-9918-7AF6F19D96E7}" type="pres">
      <dgm:prSet presAssocID="{2907850F-6E29-4EE1-B779-B76C32C2FE74}" presName="bracket" presStyleLbl="parChTrans1D1" presStyleIdx="0" presStyleCnt="2"/>
      <dgm:spPr>
        <a:xfrm>
          <a:off x="1440021" y="8092"/>
          <a:ext cx="288004" cy="97020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gm:spPr>
    </dgm:pt>
    <dgm:pt modelId="{FD7E687C-81DD-4AF2-8C2E-F1CA938C5136}" type="pres">
      <dgm:prSet presAssocID="{2907850F-6E29-4EE1-B779-B76C32C2FE74}" presName="spH" presStyleCnt="0"/>
      <dgm:spPr/>
    </dgm:pt>
    <dgm:pt modelId="{FEF2C817-9D9F-46F7-94BC-59C055370440}" type="pres">
      <dgm:prSet presAssocID="{2907850F-6E29-4EE1-B779-B76C32C2FE74}" presName="desTx" presStyleLbl="node1" presStyleIdx="0" presStyleCnt="2">
        <dgm:presLayoutVars>
          <dgm:bulletEnabled val="1"/>
        </dgm:presLayoutVars>
      </dgm:prSet>
      <dgm:spPr/>
      <dgm:t>
        <a:bodyPr/>
        <a:lstStyle/>
        <a:p>
          <a:endParaRPr lang="en-US"/>
        </a:p>
      </dgm:t>
    </dgm:pt>
    <dgm:pt modelId="{58FE997D-AB48-42BB-A556-3BF408D77155}" type="pres">
      <dgm:prSet presAssocID="{A5A1CF33-FE0D-4F4A-9973-A733BA554E0E}" presName="spV" presStyleCnt="0"/>
      <dgm:spPr/>
    </dgm:pt>
    <dgm:pt modelId="{17AB9622-53D3-4F8E-921E-497574BED3BC}" type="pres">
      <dgm:prSet presAssocID="{EFEC18A8-8171-487E-937F-E4CD941E7C9A}" presName="linNode" presStyleCnt="0"/>
      <dgm:spPr/>
    </dgm:pt>
    <dgm:pt modelId="{8BDF4078-3092-4406-BABD-66560A994567}" type="pres">
      <dgm:prSet presAssocID="{EFEC18A8-8171-487E-937F-E4CD941E7C9A}" presName="parTx" presStyleLbl="revTx" presStyleIdx="1" presStyleCnt="2">
        <dgm:presLayoutVars>
          <dgm:chMax val="1"/>
          <dgm:bulletEnabled val="1"/>
        </dgm:presLayoutVars>
      </dgm:prSet>
      <dgm:spPr/>
      <dgm:t>
        <a:bodyPr/>
        <a:lstStyle/>
        <a:p>
          <a:endParaRPr lang="en-US"/>
        </a:p>
      </dgm:t>
    </dgm:pt>
    <dgm:pt modelId="{EDD3649C-443C-4FF8-BDCD-E8D723710A52}" type="pres">
      <dgm:prSet presAssocID="{EFEC18A8-8171-487E-937F-E4CD941E7C9A}" presName="bracket" presStyleLbl="parChTrans1D1" presStyleIdx="1" presStyleCnt="2"/>
      <dgm:spPr>
        <a:xfrm>
          <a:off x="1440021" y="1154692"/>
          <a:ext cx="288004" cy="121275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gm:spPr>
    </dgm:pt>
    <dgm:pt modelId="{FFB00682-E3CB-4ED5-A0ED-E9BE8C7732B8}" type="pres">
      <dgm:prSet presAssocID="{EFEC18A8-8171-487E-937F-E4CD941E7C9A}" presName="spH" presStyleCnt="0"/>
      <dgm:spPr/>
    </dgm:pt>
    <dgm:pt modelId="{08D654D2-B251-415B-A742-A260018FD070}" type="pres">
      <dgm:prSet presAssocID="{EFEC18A8-8171-487E-937F-E4CD941E7C9A}" presName="desTx" presStyleLbl="node1" presStyleIdx="1" presStyleCnt="2">
        <dgm:presLayoutVars>
          <dgm:bulletEnabled val="1"/>
        </dgm:presLayoutVars>
      </dgm:prSet>
      <dgm:spPr/>
      <dgm:t>
        <a:bodyPr/>
        <a:lstStyle/>
        <a:p>
          <a:endParaRPr lang="en-US"/>
        </a:p>
      </dgm:t>
    </dgm:pt>
  </dgm:ptLst>
  <dgm:cxnLst>
    <dgm:cxn modelId="{AF4CBDBB-9729-4B9E-BC64-CF8241EB6304}" type="presOf" srcId="{6E062A5A-C183-4D6A-AC6E-A5B73458618F}" destId="{FEF2C817-9D9F-46F7-94BC-59C055370440}" srcOrd="0" destOrd="0" presId="urn:diagrams.loki3.com/BracketList"/>
    <dgm:cxn modelId="{B1C362EC-05C9-49B9-BA20-51F36FD89808}" type="presOf" srcId="{1C90B1A9-5D74-4B08-8927-601C55F92203}" destId="{08D654D2-B251-415B-A742-A260018FD070}" srcOrd="0" destOrd="1" presId="urn:diagrams.loki3.com/BracketList"/>
    <dgm:cxn modelId="{0CFC957C-4F5E-4ADB-B9E1-C083A923F1AB}" type="presOf" srcId="{C0FBB3C6-0351-4541-9C7E-F15FDBD1294D}" destId="{FEF2C817-9D9F-46F7-94BC-59C055370440}" srcOrd="0" destOrd="1" presId="urn:diagrams.loki3.com/BracketList"/>
    <dgm:cxn modelId="{28CB139D-59CC-4327-A56B-3127C9E72F72}" srcId="{EFEC18A8-8171-487E-937F-E4CD941E7C9A}" destId="{DF31E10D-C44F-48F2-B4B3-E26FCE283399}" srcOrd="0" destOrd="0" parTransId="{EBD917F4-2B35-4660-BCED-CE460438BA84}" sibTransId="{6B578CE7-BD8F-4216-AD25-723732317B93}"/>
    <dgm:cxn modelId="{8E8A730A-6CD1-47D3-B48D-1173C3C76657}" srcId="{2907850F-6E29-4EE1-B779-B76C32C2FE74}" destId="{C0FBB3C6-0351-4541-9C7E-F15FDBD1294D}" srcOrd="1" destOrd="0" parTransId="{67550999-CE6E-47FC-B35A-CE5E852DCB47}" sibTransId="{B606F21F-FB4A-4356-8C27-ECD40A0091A2}"/>
    <dgm:cxn modelId="{92D3E168-4C64-498D-9823-A42FE141AB18}" srcId="{2D02343F-7A94-4C4A-8B5C-5D99E4A2459E}" destId="{EFEC18A8-8171-487E-937F-E4CD941E7C9A}" srcOrd="1" destOrd="0" parTransId="{0F917E90-F04B-4738-A749-6A84A9B73136}" sibTransId="{0B87ED94-DFE9-433F-A184-914178C781ED}"/>
    <dgm:cxn modelId="{FD6ADCD2-A0BA-4E55-81D2-D6E40BFC2401}" srcId="{2907850F-6E29-4EE1-B779-B76C32C2FE74}" destId="{6E062A5A-C183-4D6A-AC6E-A5B73458618F}" srcOrd="0" destOrd="0" parTransId="{7BF3BBF0-916B-4451-A1F8-FA26428DFABF}" sibTransId="{ECD94E71-6D9E-47FE-9E8B-C302752DF712}"/>
    <dgm:cxn modelId="{73783D99-987B-412C-971F-FAD6373EFBEB}" type="presOf" srcId="{2D02343F-7A94-4C4A-8B5C-5D99E4A2459E}" destId="{FEF047BB-0CD1-4EB4-95ED-98CD569124A3}" srcOrd="0" destOrd="0" presId="urn:diagrams.loki3.com/BracketList"/>
    <dgm:cxn modelId="{62672151-102E-4132-A1FD-819F92C5085F}" type="presOf" srcId="{2907850F-6E29-4EE1-B779-B76C32C2FE74}" destId="{AA78A3BF-854C-4CB9-8E8C-08A26994E183}" srcOrd="0" destOrd="0" presId="urn:diagrams.loki3.com/BracketList"/>
    <dgm:cxn modelId="{90EACD65-EDA9-4E2B-BE98-51EAF57A03C7}" srcId="{2D02343F-7A94-4C4A-8B5C-5D99E4A2459E}" destId="{2907850F-6E29-4EE1-B779-B76C32C2FE74}" srcOrd="0" destOrd="0" parTransId="{F3D2508F-AC7D-487B-924E-E5EE8708247D}" sibTransId="{A5A1CF33-FE0D-4F4A-9973-A733BA554E0E}"/>
    <dgm:cxn modelId="{B8D09548-95E7-4D36-BF9B-50883EB33752}" type="presOf" srcId="{EFEC18A8-8171-487E-937F-E4CD941E7C9A}" destId="{8BDF4078-3092-4406-BABD-66560A994567}" srcOrd="0" destOrd="0" presId="urn:diagrams.loki3.com/BracketList"/>
    <dgm:cxn modelId="{64583A55-324A-41DE-ADF5-9E6D833F74DB}" type="presOf" srcId="{DF31E10D-C44F-48F2-B4B3-E26FCE283399}" destId="{08D654D2-B251-415B-A742-A260018FD070}" srcOrd="0" destOrd="0" presId="urn:diagrams.loki3.com/BracketList"/>
    <dgm:cxn modelId="{D7297211-733A-4271-9E4B-6AF447097946}" srcId="{EFEC18A8-8171-487E-937F-E4CD941E7C9A}" destId="{1C90B1A9-5D74-4B08-8927-601C55F92203}" srcOrd="1" destOrd="0" parTransId="{26FAB6B0-2D3C-4520-8A57-00EBC562241E}" sibTransId="{9E8B405E-EF2D-420F-9CD2-8DA2DD5D6425}"/>
    <dgm:cxn modelId="{41FC36DB-4B45-4317-8895-DFFCBCA02686}" type="presParOf" srcId="{FEF047BB-0CD1-4EB4-95ED-98CD569124A3}" destId="{16E328EC-018C-496F-ADDE-5AD20C4548B5}" srcOrd="0" destOrd="0" presId="urn:diagrams.loki3.com/BracketList"/>
    <dgm:cxn modelId="{DE3BC2C5-9B09-41DE-8008-24A0FB3E6819}" type="presParOf" srcId="{16E328EC-018C-496F-ADDE-5AD20C4548B5}" destId="{AA78A3BF-854C-4CB9-8E8C-08A26994E183}" srcOrd="0" destOrd="0" presId="urn:diagrams.loki3.com/BracketList"/>
    <dgm:cxn modelId="{27B1D2E3-6E0A-45C9-9516-145ACCB0DC66}" type="presParOf" srcId="{16E328EC-018C-496F-ADDE-5AD20C4548B5}" destId="{BCC6E01B-0F03-4D89-9918-7AF6F19D96E7}" srcOrd="1" destOrd="0" presId="urn:diagrams.loki3.com/BracketList"/>
    <dgm:cxn modelId="{531E1253-1A24-4A99-9923-FEE7D755319B}" type="presParOf" srcId="{16E328EC-018C-496F-ADDE-5AD20C4548B5}" destId="{FD7E687C-81DD-4AF2-8C2E-F1CA938C5136}" srcOrd="2" destOrd="0" presId="urn:diagrams.loki3.com/BracketList"/>
    <dgm:cxn modelId="{4463BA4F-1FA0-42FC-BB4A-5EDDFE38A55E}" type="presParOf" srcId="{16E328EC-018C-496F-ADDE-5AD20C4548B5}" destId="{FEF2C817-9D9F-46F7-94BC-59C055370440}" srcOrd="3" destOrd="0" presId="urn:diagrams.loki3.com/BracketList"/>
    <dgm:cxn modelId="{26732E3A-7092-4789-9E06-E2F8A2BDFFDB}" type="presParOf" srcId="{FEF047BB-0CD1-4EB4-95ED-98CD569124A3}" destId="{58FE997D-AB48-42BB-A556-3BF408D77155}" srcOrd="1" destOrd="0" presId="urn:diagrams.loki3.com/BracketList"/>
    <dgm:cxn modelId="{423BD876-AD24-4B40-8A8F-534297093EFA}" type="presParOf" srcId="{FEF047BB-0CD1-4EB4-95ED-98CD569124A3}" destId="{17AB9622-53D3-4F8E-921E-497574BED3BC}" srcOrd="2" destOrd="0" presId="urn:diagrams.loki3.com/BracketList"/>
    <dgm:cxn modelId="{9538A861-CAA5-467C-9408-D3271CD26585}" type="presParOf" srcId="{17AB9622-53D3-4F8E-921E-497574BED3BC}" destId="{8BDF4078-3092-4406-BABD-66560A994567}" srcOrd="0" destOrd="0" presId="urn:diagrams.loki3.com/BracketList"/>
    <dgm:cxn modelId="{85B8E15D-0CD6-4814-8725-B87BA499FB78}" type="presParOf" srcId="{17AB9622-53D3-4F8E-921E-497574BED3BC}" destId="{EDD3649C-443C-4FF8-BDCD-E8D723710A52}" srcOrd="1" destOrd="0" presId="urn:diagrams.loki3.com/BracketList"/>
    <dgm:cxn modelId="{C81AD919-DBC6-4F09-B593-EB165927A65A}" type="presParOf" srcId="{17AB9622-53D3-4F8E-921E-497574BED3BC}" destId="{FFB00682-E3CB-4ED5-A0ED-E9BE8C7732B8}" srcOrd="2" destOrd="0" presId="urn:diagrams.loki3.com/BracketList"/>
    <dgm:cxn modelId="{CB586641-8499-44F1-858F-25C98FE27C79}" type="presParOf" srcId="{17AB9622-53D3-4F8E-921E-497574BED3BC}" destId="{08D654D2-B251-415B-A742-A260018FD070}" srcOrd="3" destOrd="0" presId="urn:diagrams.loki3.com/BracketList"/>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78A3BF-854C-4CB9-8E8C-08A26994E183}">
      <dsp:nvSpPr>
        <dsp:cNvPr id="0" name=""/>
        <dsp:cNvSpPr/>
      </dsp:nvSpPr>
      <dsp:spPr>
        <a:xfrm>
          <a:off x="0" y="8092"/>
          <a:ext cx="1440021" cy="970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lvl="0" algn="just" defTabSz="488950">
            <a:lnSpc>
              <a:spcPct val="90000"/>
            </a:lnSpc>
            <a:spcBef>
              <a:spcPct val="0"/>
            </a:spcBef>
            <a:spcAft>
              <a:spcPct val="35000"/>
            </a:spcAft>
          </a:pPr>
          <a:r>
            <a:rPr lang="lv-LV" sz="11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SM piedāvā izslēgt no pakalpojumu apmaksas mehānisma posmus, kas rada lieku administratīvo slogu, paredzot, ka:</a:t>
          </a:r>
        </a:p>
      </dsp:txBody>
      <dsp:txXfrm>
        <a:off x="0" y="8092"/>
        <a:ext cx="1440021" cy="970200"/>
      </dsp:txXfrm>
    </dsp:sp>
    <dsp:sp modelId="{BCC6E01B-0F03-4D89-9918-7AF6F19D96E7}">
      <dsp:nvSpPr>
        <dsp:cNvPr id="0" name=""/>
        <dsp:cNvSpPr/>
      </dsp:nvSpPr>
      <dsp:spPr>
        <a:xfrm>
          <a:off x="1440021" y="8092"/>
          <a:ext cx="288004" cy="97020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EF2C817-9D9F-46F7-94BC-59C055370440}">
      <dsp:nvSpPr>
        <dsp:cNvPr id="0" name=""/>
        <dsp:cNvSpPr/>
      </dsp:nvSpPr>
      <dsp:spPr>
        <a:xfrm>
          <a:off x="1843227" y="8092"/>
          <a:ext cx="3916857" cy="97020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just" defTabSz="488950">
            <a:lnSpc>
              <a:spcPct val="90000"/>
            </a:lnSpc>
            <a:spcBef>
              <a:spcPct val="0"/>
            </a:spcBef>
            <a:spcAft>
              <a:spcPct val="15000"/>
            </a:spcAft>
            <a:buChar char="••"/>
          </a:pPr>
          <a:r>
            <a:rPr lang="lv-LV" sz="11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LVRTC izraksta ikmēneša rēķinu tieši pakalpojumu ņēmējam tādā apjomā, kādā tie ir sniegti;</a:t>
          </a:r>
        </a:p>
        <a:p>
          <a:pPr marL="57150" lvl="1" indent="-57150" algn="just" defTabSz="488950">
            <a:lnSpc>
              <a:spcPct val="90000"/>
            </a:lnSpc>
            <a:spcBef>
              <a:spcPct val="0"/>
            </a:spcBef>
            <a:spcAft>
              <a:spcPct val="15000"/>
            </a:spcAft>
            <a:buChar char="••"/>
          </a:pPr>
          <a:r>
            <a:rPr lang="lv-LV" sz="11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ņēmējs nepastarpināti apmaksā LVRTC sniegtos pakalpojumus</a:t>
          </a:r>
        </a:p>
      </dsp:txBody>
      <dsp:txXfrm>
        <a:off x="1843227" y="8092"/>
        <a:ext cx="3916857" cy="970200"/>
      </dsp:txXfrm>
    </dsp:sp>
    <dsp:sp modelId="{8BDF4078-3092-4406-BABD-66560A994567}">
      <dsp:nvSpPr>
        <dsp:cNvPr id="0" name=""/>
        <dsp:cNvSpPr/>
      </dsp:nvSpPr>
      <dsp:spPr>
        <a:xfrm>
          <a:off x="0" y="1275967"/>
          <a:ext cx="1440021" cy="970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lvl="0" algn="just" defTabSz="488950">
            <a:lnSpc>
              <a:spcPct val="90000"/>
            </a:lnSpc>
            <a:spcBef>
              <a:spcPct val="0"/>
            </a:spcBef>
            <a:spcAft>
              <a:spcPct val="35000"/>
            </a:spcAft>
          </a:pPr>
          <a:r>
            <a:rPr lang="lv-LV" sz="11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Nepieciešams veikt izmaiņas normatīvajos aktos:</a:t>
          </a:r>
        </a:p>
      </dsp:txBody>
      <dsp:txXfrm>
        <a:off x="0" y="1275967"/>
        <a:ext cx="1440021" cy="970200"/>
      </dsp:txXfrm>
    </dsp:sp>
    <dsp:sp modelId="{EDD3649C-443C-4FF8-BDCD-E8D723710A52}">
      <dsp:nvSpPr>
        <dsp:cNvPr id="0" name=""/>
        <dsp:cNvSpPr/>
      </dsp:nvSpPr>
      <dsp:spPr>
        <a:xfrm>
          <a:off x="1440021" y="1154692"/>
          <a:ext cx="288004" cy="1212750"/>
        </a:xfrm>
        <a:prstGeom prst="leftBrace">
          <a:avLst>
            <a:gd name="adj1" fmla="val 35000"/>
            <a:gd name="adj2" fmla="val 50000"/>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8D654D2-B251-415B-A742-A260018FD070}">
      <dsp:nvSpPr>
        <dsp:cNvPr id="0" name=""/>
        <dsp:cNvSpPr/>
      </dsp:nvSpPr>
      <dsp:spPr>
        <a:xfrm>
          <a:off x="1843227" y="1154692"/>
          <a:ext cx="3916857" cy="121275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marR="0" lvl="0" indent="0" algn="just" defTabSz="914400" eaLnBrk="1" fontAlgn="auto" latinLnBrk="0" hangingPunct="1">
            <a:lnSpc>
              <a:spcPct val="100000"/>
            </a:lnSpc>
            <a:spcBef>
              <a:spcPct val="0"/>
            </a:spcBef>
            <a:spcAft>
              <a:spcPts val="0"/>
            </a:spcAft>
            <a:buClrTx/>
            <a:buSzTx/>
            <a:buFontTx/>
            <a:buChar char="••"/>
            <a:tabLst/>
            <a:defRPr/>
          </a:pPr>
          <a:r>
            <a:rPr lang="lv-LV" sz="11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Veikt grozījumus MK 2018. gada 6. februāra instrukcijā Nr. 1;</a:t>
          </a:r>
        </a:p>
        <a:p>
          <a:pPr marL="0" marR="0" lvl="0" indent="0" algn="just" defTabSz="914400" eaLnBrk="1" fontAlgn="auto" latinLnBrk="0" hangingPunct="1">
            <a:lnSpc>
              <a:spcPct val="100000"/>
            </a:lnSpc>
            <a:spcBef>
              <a:spcPct val="0"/>
            </a:spcBef>
            <a:spcAft>
              <a:spcPts val="0"/>
            </a:spcAft>
            <a:buClrTx/>
            <a:buSzTx/>
            <a:buFontTx/>
            <a:buChar char="••"/>
            <a:tabLst/>
            <a:defRPr/>
          </a:pPr>
          <a:r>
            <a:rPr lang="lv-LV" sz="11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Veikt grozījumus deleģēšanas līgumā, nosakot LVRTC pienākumu administrēt samaksu par VESPC pakalpojumiem, kas noteikta izmantojot l</a:t>
          </a:r>
          <a:r>
            <a:rPr lang="lv-LV" sz="1100" u="none" kern="1200" dirty="0">
              <a:solidFill>
                <a:sysClr val="windowText" lastClr="000000">
                  <a:hueOff val="0"/>
                  <a:satOff val="0"/>
                  <a:lumOff val="0"/>
                  <a:alphaOff val="0"/>
                </a:sysClr>
              </a:solidFill>
              <a:effectLst/>
              <a:latin typeface="Times New Roman" panose="02020603050405020304" pitchFamily="18" charset="0"/>
              <a:ea typeface="+mn-ea"/>
              <a:cs typeface="Times New Roman" panose="02020603050405020304" pitchFamily="18" charset="0"/>
            </a:rPr>
            <a:t>īguma ietvaros sniegto pakalpojumu cenu noteikšanas metodiku (pievienot pielikumā) </a:t>
          </a:r>
          <a:r>
            <a:rPr lang="lv-LV" sz="11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saglabājot SM kontroli par LVRTC iesniegtajām atskaitēm, kas sagatavotas saskaņā ar deleģēšanas līguma 1. un 2. pielikumu.</a:t>
          </a:r>
        </a:p>
      </dsp:txBody>
      <dsp:txXfrm>
        <a:off x="1843227" y="1154692"/>
        <a:ext cx="3916857" cy="1212750"/>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31.xml.rels><?xml version="1.0" encoding="UTF-8" standalone="yes"?>
<Relationships xmlns="http://schemas.openxmlformats.org/package/2006/relationships"><Relationship Id="rId1" Type="http://schemas.openxmlformats.org/officeDocument/2006/relationships/image" Target="../media/image12.png"/></Relationships>
</file>

<file path=word/drawings/_rels/drawing32.xml.rels><?xml version="1.0" encoding="UTF-8" standalone="yes"?>
<Relationships xmlns="http://schemas.openxmlformats.org/package/2006/relationships"><Relationship Id="rId1" Type="http://schemas.openxmlformats.org/officeDocument/2006/relationships/image" Target="../media/image13.png"/></Relationships>
</file>

<file path=word/drawings/drawing1.xml><?xml version="1.0" encoding="utf-8"?>
<c:userShapes xmlns:c="http://schemas.openxmlformats.org/drawingml/2006/chart">
  <cdr:relSizeAnchor xmlns:cdr="http://schemas.openxmlformats.org/drawingml/2006/chartDrawing">
    <cdr:from>
      <cdr:x>0.14119</cdr:x>
      <cdr:y>0.03205</cdr:y>
    </cdr:from>
    <cdr:to>
      <cdr:x>0.25954</cdr:x>
      <cdr:y>0.10708</cdr:y>
    </cdr:to>
    <cdr:sp macro="" textlink="">
      <cdr:nvSpPr>
        <cdr:cNvPr id="2" name="TextBox 1"/>
        <cdr:cNvSpPr txBox="1"/>
      </cdr:nvSpPr>
      <cdr:spPr>
        <a:xfrm xmlns:a="http://schemas.openxmlformats.org/drawingml/2006/main">
          <a:off x="803161" y="96943"/>
          <a:ext cx="673214" cy="2269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=53,6</a:t>
          </a:r>
        </a:p>
        <a:p xmlns:a="http://schemas.openxmlformats.org/drawingml/2006/main">
          <a:endParaRPr lang="lv-LV" sz="1100"/>
        </a:p>
      </cdr:txBody>
    </cdr:sp>
  </cdr:relSizeAnchor>
  <cdr:relSizeAnchor xmlns:cdr="http://schemas.openxmlformats.org/drawingml/2006/chartDrawing">
    <cdr:from>
      <cdr:x>0.36558</cdr:x>
      <cdr:y>0.09509</cdr:y>
    </cdr:from>
    <cdr:to>
      <cdr:x>0.5051</cdr:x>
      <cdr:y>0.19247</cdr:y>
    </cdr:to>
    <cdr:sp macro="" textlink="">
      <cdr:nvSpPr>
        <cdr:cNvPr id="3" name="TextBox 1"/>
        <cdr:cNvSpPr txBox="1"/>
      </cdr:nvSpPr>
      <cdr:spPr>
        <a:xfrm xmlns:a="http://schemas.openxmlformats.org/drawingml/2006/main">
          <a:off x="2079554" y="287608"/>
          <a:ext cx="793636" cy="29452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=46,4</a:t>
          </a:r>
        </a:p>
        <a:p xmlns:a="http://schemas.openxmlformats.org/drawingml/2006/main">
          <a:endParaRPr lang="lv-LV" sz="1100"/>
        </a:p>
      </cdr:txBody>
    </cdr:sp>
  </cdr:relSizeAnchor>
  <cdr:relSizeAnchor xmlns:cdr="http://schemas.openxmlformats.org/drawingml/2006/chartDrawing">
    <cdr:from>
      <cdr:x>0.81433</cdr:x>
      <cdr:y>0.21171</cdr:y>
    </cdr:from>
    <cdr:to>
      <cdr:x>0.92766</cdr:x>
      <cdr:y>0.30863</cdr:y>
    </cdr:to>
    <cdr:sp macro="" textlink="">
      <cdr:nvSpPr>
        <cdr:cNvPr id="5" name="TextBox 1"/>
        <cdr:cNvSpPr txBox="1"/>
      </cdr:nvSpPr>
      <cdr:spPr>
        <a:xfrm xmlns:a="http://schemas.openxmlformats.org/drawingml/2006/main">
          <a:off x="4632155" y="640314"/>
          <a:ext cx="644696" cy="2931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=36,8</a:t>
          </a:r>
        </a:p>
        <a:p xmlns:a="http://schemas.openxmlformats.org/drawingml/2006/main">
          <a:endParaRPr lang="lv-LV" sz="1100"/>
        </a:p>
      </cdr:txBody>
    </cdr:sp>
  </cdr:relSizeAnchor>
  <cdr:relSizeAnchor xmlns:cdr="http://schemas.openxmlformats.org/drawingml/2006/chartDrawing">
    <cdr:from>
      <cdr:x>0.59754</cdr:x>
      <cdr:y>0.20539</cdr:y>
    </cdr:from>
    <cdr:to>
      <cdr:x>0.71165</cdr:x>
      <cdr:y>0.28658</cdr:y>
    </cdr:to>
    <cdr:sp macro="" textlink="">
      <cdr:nvSpPr>
        <cdr:cNvPr id="6" name="TextBox 1"/>
        <cdr:cNvSpPr txBox="1"/>
      </cdr:nvSpPr>
      <cdr:spPr>
        <a:xfrm xmlns:a="http://schemas.openxmlformats.org/drawingml/2006/main">
          <a:off x="3399001" y="621188"/>
          <a:ext cx="649124" cy="2455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b="1" i="0">
              <a:effectLst/>
              <a:latin typeface="+mn-lt"/>
              <a:ea typeface="+mn-ea"/>
              <a:cs typeface="+mn-cs"/>
            </a:rPr>
            <a:t>Σ</a:t>
          </a:r>
          <a:r>
            <a:rPr lang="lv-LV" sz="1000" b="1">
              <a:solidFill>
                <a:sysClr val="windowText" lastClr="000000"/>
              </a:solidFill>
              <a:latin typeface="Times New Roman" panose="02020603050405020304" pitchFamily="18" charset="0"/>
              <a:cs typeface="Times New Roman" panose="02020603050405020304" pitchFamily="18" charset="0"/>
            </a:rPr>
            <a:t>=38,4</a:t>
          </a:r>
        </a:p>
        <a:p xmlns:a="http://schemas.openxmlformats.org/drawingml/2006/main">
          <a:endParaRPr lang="lv-LV" sz="1100"/>
        </a:p>
      </cdr:txBody>
    </cdr:sp>
  </cdr:relSizeAnchor>
</c:userShapes>
</file>

<file path=word/drawings/drawing10.xml><?xml version="1.0" encoding="utf-8"?>
<c:userShapes xmlns:c="http://schemas.openxmlformats.org/drawingml/2006/chart">
  <cdr:relSizeAnchor xmlns:cdr="http://schemas.openxmlformats.org/drawingml/2006/chartDrawing">
    <cdr:from>
      <cdr:x>0.13514</cdr:x>
      <cdr:y>0.38848</cdr:y>
    </cdr:from>
    <cdr:to>
      <cdr:x>0.18192</cdr:x>
      <cdr:y>0.46693</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19826" y="801229"/>
          <a:ext cx="249169" cy="16180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0.14238</cdr:x>
      <cdr:y>0.30388</cdr:y>
    </cdr:from>
    <cdr:to>
      <cdr:x>0.22711</cdr:x>
      <cdr:y>0.38375</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58375" y="626738"/>
          <a:ext cx="451304" cy="1647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-0,19</a:t>
          </a:r>
        </a:p>
      </cdr:txBody>
    </cdr:sp>
  </cdr:relSizeAnchor>
  <cdr:relSizeAnchor xmlns:cdr="http://schemas.openxmlformats.org/drawingml/2006/chartDrawing">
    <cdr:from>
      <cdr:x>0.34289</cdr:x>
      <cdr:y>0.40093</cdr:y>
    </cdr:from>
    <cdr:to>
      <cdr:x>0.38895</cdr:x>
      <cdr:y>0.41702</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819198" y="976104"/>
          <a:ext cx="244368" cy="3917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0.32831</cdr:x>
      <cdr:y>0.28788</cdr:y>
    </cdr:from>
    <cdr:to>
      <cdr:x>0.41304</cdr:x>
      <cdr:y>0.36774</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741834" y="700870"/>
          <a:ext cx="449528" cy="1944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-0,05</a:t>
          </a:r>
        </a:p>
      </cdr:txBody>
    </cdr:sp>
  </cdr:relSizeAnchor>
  <cdr:relSizeAnchor xmlns:cdr="http://schemas.openxmlformats.org/drawingml/2006/chartDrawing">
    <cdr:from>
      <cdr:x>0.5416</cdr:x>
      <cdr:y>0.39994</cdr:y>
    </cdr:from>
    <cdr:to>
      <cdr:x>0.59139</cdr:x>
      <cdr:y>0.44062</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873430" y="973699"/>
          <a:ext cx="264157" cy="99039"/>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0.53919</cdr:x>
      <cdr:y>0.29558</cdr:y>
    </cdr:from>
    <cdr:to>
      <cdr:x>0.62392</cdr:x>
      <cdr:y>0.37544</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860642" y="719604"/>
          <a:ext cx="449529" cy="1944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userShapes>
</file>

<file path=word/drawings/drawing11.xml><?xml version="1.0" encoding="utf-8"?>
<c:userShapes xmlns:c="http://schemas.openxmlformats.org/drawingml/2006/chart">
  <cdr:relSizeAnchor xmlns:cdr="http://schemas.openxmlformats.org/drawingml/2006/chartDrawing">
    <cdr:from>
      <cdr:x>0.16788</cdr:x>
      <cdr:y>0.45037</cdr:y>
    </cdr:from>
    <cdr:to>
      <cdr:x>0.2026</cdr:x>
      <cdr:y>0.45701</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81742" y="928876"/>
          <a:ext cx="161672" cy="13694"/>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0.15749</cdr:x>
      <cdr:y>0.33051</cdr:y>
    </cdr:from>
    <cdr:to>
      <cdr:x>0.24222</cdr:x>
      <cdr:y>0.41038</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33332" y="681665"/>
          <a:ext cx="394541" cy="1647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0.36757</cdr:x>
      <cdr:y>0.4253</cdr:y>
    </cdr:from>
    <cdr:to>
      <cdr:x>0.40395</cdr:x>
      <cdr:y>0.46513</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711575" y="877180"/>
          <a:ext cx="169402" cy="8214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0.37183</cdr:x>
      <cdr:y>0.32188</cdr:y>
    </cdr:from>
    <cdr:to>
      <cdr:x>0.45656</cdr:x>
      <cdr:y>0.40174</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731411" y="663875"/>
          <a:ext cx="394542" cy="1647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-0,3</a:t>
          </a:r>
        </a:p>
      </cdr:txBody>
    </cdr:sp>
  </cdr:relSizeAnchor>
  <cdr:relSizeAnchor xmlns:cdr="http://schemas.openxmlformats.org/drawingml/2006/chartDrawing">
    <cdr:from>
      <cdr:x>0.55852</cdr:x>
      <cdr:y>0.24874</cdr:y>
    </cdr:from>
    <cdr:to>
      <cdr:x>0.60152</cdr:x>
      <cdr:y>0.39148</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600738" y="489172"/>
          <a:ext cx="200228" cy="280712"/>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0.57881</cdr:x>
      <cdr:y>0.19418</cdr:y>
    </cdr:from>
    <cdr:to>
      <cdr:x>0.66354</cdr:x>
      <cdr:y>0.27404</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695219" y="400498"/>
          <a:ext cx="394542" cy="1647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-1,1</a:t>
          </a:r>
        </a:p>
      </cdr:txBody>
    </cdr:sp>
  </cdr:relSizeAnchor>
</c:userShapes>
</file>

<file path=word/drawings/drawing12.xml><?xml version="1.0" encoding="utf-8"?>
<c:userShapes xmlns:c="http://schemas.openxmlformats.org/drawingml/2006/chart">
  <cdr:relSizeAnchor xmlns:cdr="http://schemas.openxmlformats.org/drawingml/2006/chartDrawing">
    <cdr:from>
      <cdr:x>0.16829</cdr:x>
      <cdr:y>0.24392</cdr:y>
    </cdr:from>
    <cdr:to>
      <cdr:x>0.20648</cdr:x>
      <cdr:y>0.32726</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92831" y="492703"/>
          <a:ext cx="202615" cy="16834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0.16924</cdr:x>
      <cdr:y>0.18319</cdr:y>
    </cdr:from>
    <cdr:to>
      <cdr:x>0.25397</cdr:x>
      <cdr:y>0.26306</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894657" y="375154"/>
          <a:ext cx="447914" cy="1635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-31,4</a:t>
          </a:r>
        </a:p>
      </cdr:txBody>
    </cdr:sp>
  </cdr:relSizeAnchor>
  <cdr:relSizeAnchor xmlns:cdr="http://schemas.openxmlformats.org/drawingml/2006/chartDrawing">
    <cdr:from>
      <cdr:x>0.36227</cdr:x>
      <cdr:y>0.2823</cdr:y>
    </cdr:from>
    <cdr:to>
      <cdr:x>0.40419</cdr:x>
      <cdr:y>0.3311</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21987" y="537249"/>
          <a:ext cx="222403" cy="9287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0.36374</cdr:x>
      <cdr:y>0.19414</cdr:y>
    </cdr:from>
    <cdr:to>
      <cdr:x>0.44847</cdr:x>
      <cdr:y>0.274</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095178" y="538223"/>
          <a:ext cx="488052" cy="2214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-19,1</a:t>
          </a:r>
        </a:p>
      </cdr:txBody>
    </cdr:sp>
  </cdr:relSizeAnchor>
  <cdr:relSizeAnchor xmlns:cdr="http://schemas.openxmlformats.org/drawingml/2006/chartDrawing">
    <cdr:from>
      <cdr:x>0.5571</cdr:x>
      <cdr:y>0.17133</cdr:y>
    </cdr:from>
    <cdr:to>
      <cdr:x>0.59696</cdr:x>
      <cdr:y>0.38823</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208959" y="475008"/>
          <a:ext cx="229566" cy="60131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0.58199</cdr:x>
      <cdr:y>0.20737</cdr:y>
    </cdr:from>
    <cdr:to>
      <cdr:x>0.66672</cdr:x>
      <cdr:y>0.28723</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352301" y="574918"/>
          <a:ext cx="488052" cy="2214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-75,4</a:t>
          </a:r>
        </a:p>
      </cdr:txBody>
    </cdr:sp>
  </cdr:relSizeAnchor>
</c:userShapes>
</file>

<file path=word/drawings/drawing13.xml><?xml version="1.0" encoding="utf-8"?>
<c:userShapes xmlns:c="http://schemas.openxmlformats.org/drawingml/2006/chart">
  <cdr:relSizeAnchor xmlns:cdr="http://schemas.openxmlformats.org/drawingml/2006/chartDrawing">
    <cdr:from>
      <cdr:x>0.15375</cdr:x>
      <cdr:y>0.27925</cdr:y>
    </cdr:from>
    <cdr:to>
      <cdr:x>0.20275</cdr:x>
      <cdr:y>0.32091</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89458" y="486930"/>
          <a:ext cx="251596" cy="7264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0.15658</cdr:x>
      <cdr:y>0.09476</cdr:y>
    </cdr:from>
    <cdr:to>
      <cdr:x>0.24131</cdr:x>
      <cdr:y>0.21342</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803994" y="165237"/>
          <a:ext cx="435055" cy="2069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cs typeface="Times New Roman" panose="02020603050405020304" pitchFamily="18" charset="0"/>
            </a:rPr>
            <a:t>-</a:t>
          </a:r>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0,3</a:t>
          </a:r>
        </a:p>
      </cdr:txBody>
    </cdr:sp>
  </cdr:relSizeAnchor>
  <cdr:relSizeAnchor xmlns:cdr="http://schemas.openxmlformats.org/drawingml/2006/chartDrawing">
    <cdr:from>
      <cdr:x>0.36146</cdr:x>
      <cdr:y>0.15803</cdr:y>
    </cdr:from>
    <cdr:to>
      <cdr:x>0.40449</cdr:x>
      <cdr:y>0.19506</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855976" y="275554"/>
          <a:ext cx="220942" cy="6457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0.36256</cdr:x>
      <cdr:y>0.00633</cdr:y>
    </cdr:from>
    <cdr:to>
      <cdr:x>0.44729</cdr:x>
      <cdr:y>0.08619</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861612" y="11033"/>
          <a:ext cx="435055" cy="13925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-0,2</a:t>
          </a:r>
        </a:p>
      </cdr:txBody>
    </cdr:sp>
  </cdr:relSizeAnchor>
  <cdr:relSizeAnchor xmlns:cdr="http://schemas.openxmlformats.org/drawingml/2006/chartDrawing">
    <cdr:from>
      <cdr:x>0.55688</cdr:x>
      <cdr:y>0.23937</cdr:y>
    </cdr:from>
    <cdr:to>
      <cdr:x>0.5986</cdr:x>
      <cdr:y>0.33892</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859357" y="417399"/>
          <a:ext cx="214216" cy="17358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0.56886</cdr:x>
      <cdr:y>0.13001</cdr:y>
    </cdr:from>
    <cdr:to>
      <cdr:x>0.65359</cdr:x>
      <cdr:y>0.20987</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920879" y="226708"/>
          <a:ext cx="435055" cy="13925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-0,4</a:t>
          </a:r>
        </a:p>
      </cdr:txBody>
    </cdr:sp>
  </cdr:relSizeAnchor>
</c:userShapes>
</file>

<file path=word/drawings/drawing14.xml><?xml version="1.0" encoding="utf-8"?>
<c:userShapes xmlns:c="http://schemas.openxmlformats.org/drawingml/2006/chart">
  <cdr:relSizeAnchor xmlns:cdr="http://schemas.openxmlformats.org/drawingml/2006/chartDrawing">
    <cdr:from>
      <cdr:x>0.17348</cdr:x>
      <cdr:y>0.39635</cdr:y>
    </cdr:from>
    <cdr:to>
      <cdr:x>0.21726</cdr:x>
      <cdr:y>0.41719</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79737" y="830052"/>
          <a:ext cx="222013" cy="43644"/>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0.16575</cdr:x>
      <cdr:y>0.27744</cdr:y>
    </cdr:from>
    <cdr:to>
      <cdr:x>0.24385</cdr:x>
      <cdr:y>0.36734</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840537" y="581016"/>
          <a:ext cx="396054" cy="1882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0.37181</cdr:x>
      <cdr:y>0.1472</cdr:y>
    </cdr:from>
    <cdr:to>
      <cdr:x>0.41231</cdr:x>
      <cdr:y>0.18042</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885507" y="308271"/>
          <a:ext cx="205380" cy="6957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0.35878</cdr:x>
      <cdr:y>0.05671</cdr:y>
    </cdr:from>
    <cdr:to>
      <cdr:x>0.44351</cdr:x>
      <cdr:y>0.13657</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445129" y="155579"/>
          <a:ext cx="577447" cy="2190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-2,4</a:t>
          </a:r>
        </a:p>
      </cdr:txBody>
    </cdr:sp>
  </cdr:relSizeAnchor>
  <cdr:relSizeAnchor xmlns:cdr="http://schemas.openxmlformats.org/drawingml/2006/chartDrawing">
    <cdr:from>
      <cdr:x>0.56892</cdr:x>
      <cdr:y>0.30741</cdr:y>
    </cdr:from>
    <cdr:to>
      <cdr:x>0.6011</cdr:x>
      <cdr:y>0.34214</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885039" y="643794"/>
          <a:ext cx="163189" cy="7273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0.55695</cdr:x>
      <cdr:y>0.19185</cdr:y>
    </cdr:from>
    <cdr:to>
      <cdr:x>0.64168</cdr:x>
      <cdr:y>0.27171</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824338" y="401779"/>
          <a:ext cx="429675" cy="16724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-2,4</a:t>
          </a:r>
        </a:p>
      </cdr:txBody>
    </cdr:sp>
  </cdr:relSizeAnchor>
</c:userShapes>
</file>

<file path=word/drawings/drawing15.xml><?xml version="1.0" encoding="utf-8"?>
<c:userShapes xmlns:c="http://schemas.openxmlformats.org/drawingml/2006/chart">
  <cdr:relSizeAnchor xmlns:cdr="http://schemas.openxmlformats.org/drawingml/2006/chartDrawing">
    <cdr:from>
      <cdr:x>0.15502</cdr:x>
      <cdr:y>0.17207</cdr:y>
    </cdr:from>
    <cdr:to>
      <cdr:x>0.19844</cdr:x>
      <cdr:y>0.37643</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71870" y="340242"/>
          <a:ext cx="244215" cy="40410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0.16726</cdr:x>
      <cdr:y>0.0988</cdr:y>
    </cdr:from>
    <cdr:to>
      <cdr:x>0.26758</cdr:x>
      <cdr:y>0.27317</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928806" y="192918"/>
          <a:ext cx="557093" cy="3404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-0,38</a:t>
          </a:r>
        </a:p>
      </cdr:txBody>
    </cdr:sp>
  </cdr:relSizeAnchor>
  <cdr:relSizeAnchor xmlns:cdr="http://schemas.openxmlformats.org/drawingml/2006/chartDrawing">
    <cdr:from>
      <cdr:x>0.35496</cdr:x>
      <cdr:y>0.10236</cdr:y>
    </cdr:from>
    <cdr:to>
      <cdr:x>0.39701</cdr:x>
      <cdr:y>0.19895</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96364" y="202406"/>
          <a:ext cx="236473" cy="190999"/>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0.38028</cdr:x>
      <cdr:y>0.02922</cdr:y>
    </cdr:from>
    <cdr:to>
      <cdr:x>0.46501</cdr:x>
      <cdr:y>0.10908</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190428" y="81023"/>
          <a:ext cx="488052" cy="2214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-0,16</a:t>
          </a:r>
        </a:p>
      </cdr:txBody>
    </cdr:sp>
  </cdr:relSizeAnchor>
  <cdr:relSizeAnchor xmlns:cdr="http://schemas.openxmlformats.org/drawingml/2006/chartDrawing">
    <cdr:from>
      <cdr:x>0.5571</cdr:x>
      <cdr:y>0.21256</cdr:y>
    </cdr:from>
    <cdr:to>
      <cdr:x>0.59696</cdr:x>
      <cdr:y>0.23706</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208959" y="589308"/>
          <a:ext cx="229566" cy="6791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0.55057</cdr:x>
      <cdr:y>0.11461</cdr:y>
    </cdr:from>
    <cdr:to>
      <cdr:x>0.6353</cdr:x>
      <cdr:y>0.19447</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171326" y="317743"/>
          <a:ext cx="488052" cy="2214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-0,04</a:t>
          </a:r>
        </a:p>
      </cdr:txBody>
    </cdr:sp>
  </cdr:relSizeAnchor>
</c:userShapes>
</file>

<file path=word/drawings/drawing16.xml><?xml version="1.0" encoding="utf-8"?>
<c:userShapes xmlns:c="http://schemas.openxmlformats.org/drawingml/2006/chart">
  <cdr:relSizeAnchor xmlns:cdr="http://schemas.openxmlformats.org/drawingml/2006/chartDrawing">
    <cdr:from>
      <cdr:x>0.15653</cdr:x>
      <cdr:y>0.31968</cdr:y>
    </cdr:from>
    <cdr:to>
      <cdr:x>0.19846</cdr:x>
      <cdr:y>0.34051</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60582" y="643703"/>
          <a:ext cx="203739" cy="4194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0.15772</cdr:x>
      <cdr:y>0.18821</cdr:y>
    </cdr:from>
    <cdr:to>
      <cdr:x>0.24245</cdr:x>
      <cdr:y>0.26808</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66354" y="378968"/>
          <a:ext cx="411705" cy="1608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-0,7</a:t>
          </a:r>
        </a:p>
      </cdr:txBody>
    </cdr:sp>
  </cdr:relSizeAnchor>
  <cdr:relSizeAnchor xmlns:cdr="http://schemas.openxmlformats.org/drawingml/2006/chartDrawing">
    <cdr:from>
      <cdr:x>0.36133</cdr:x>
      <cdr:y>0.28252</cdr:y>
    </cdr:from>
    <cdr:to>
      <cdr:x>0.40258</cdr:x>
      <cdr:y>0.3219</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755702" y="568868"/>
          <a:ext cx="200419" cy="7931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0.34578</cdr:x>
      <cdr:y>0.12037</cdr:y>
    </cdr:from>
    <cdr:to>
      <cdr:x>0.43051</cdr:x>
      <cdr:y>0.20023</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680162" y="242374"/>
          <a:ext cx="411705" cy="1608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-0,2</a:t>
          </a:r>
        </a:p>
      </cdr:txBody>
    </cdr:sp>
  </cdr:relSizeAnchor>
  <cdr:relSizeAnchor xmlns:cdr="http://schemas.openxmlformats.org/drawingml/2006/chartDrawing">
    <cdr:from>
      <cdr:x>0.56574</cdr:x>
      <cdr:y>0.23862</cdr:y>
    </cdr:from>
    <cdr:to>
      <cdr:x>0.60492</cdr:x>
      <cdr:y>0.28376</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748935" y="480479"/>
          <a:ext cx="190376" cy="9089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0.56189</cdr:x>
      <cdr:y>0.12628</cdr:y>
    </cdr:from>
    <cdr:to>
      <cdr:x>0.64662</cdr:x>
      <cdr:y>0.20614</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730253" y="254267"/>
          <a:ext cx="411705" cy="1608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-1,1</a:t>
          </a:r>
        </a:p>
      </cdr:txBody>
    </cdr:sp>
  </cdr:relSizeAnchor>
</c:userShapes>
</file>

<file path=word/drawings/drawing17.xml><?xml version="1.0" encoding="utf-8"?>
<c:userShapes xmlns:c="http://schemas.openxmlformats.org/drawingml/2006/chart">
  <cdr:relSizeAnchor xmlns:cdr="http://schemas.openxmlformats.org/drawingml/2006/chartDrawing">
    <cdr:from>
      <cdr:x>0.15328</cdr:x>
      <cdr:y>0.30555</cdr:y>
    </cdr:from>
    <cdr:to>
      <cdr:x>0.19986</cdr:x>
      <cdr:y>0.32986</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1044657" y="838194"/>
          <a:ext cx="317449" cy="6668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0.15941</cdr:x>
      <cdr:y>0.2247</cdr:y>
    </cdr:from>
    <cdr:to>
      <cdr:x>0.24414</cdr:x>
      <cdr:y>0.30457</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1338225" y="951524"/>
          <a:ext cx="711302" cy="3382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-0,2</a:t>
          </a:r>
        </a:p>
      </cdr:txBody>
    </cdr:sp>
  </cdr:relSizeAnchor>
  <cdr:relSizeAnchor xmlns:cdr="http://schemas.openxmlformats.org/drawingml/2006/chartDrawing">
    <cdr:from>
      <cdr:x>0.35203</cdr:x>
      <cdr:y>0.23471</cdr:y>
    </cdr:from>
    <cdr:to>
      <cdr:x>0.40112</cdr:x>
      <cdr:y>0.29861</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955235" y="993913"/>
          <a:ext cx="412139" cy="27057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0.36369</cdr:x>
      <cdr:y>0.18523</cdr:y>
    </cdr:from>
    <cdr:to>
      <cdr:x>0.44842</cdr:x>
      <cdr:y>0.26509</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3053188" y="784350"/>
          <a:ext cx="711302" cy="33817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-0,5</a:t>
          </a:r>
        </a:p>
      </cdr:txBody>
    </cdr:sp>
  </cdr:relSizeAnchor>
  <cdr:relSizeAnchor xmlns:cdr="http://schemas.openxmlformats.org/drawingml/2006/chartDrawing">
    <cdr:from>
      <cdr:x>0.55482</cdr:x>
      <cdr:y>0.28472</cdr:y>
    </cdr:from>
    <cdr:to>
      <cdr:x>0.60618</cdr:x>
      <cdr:y>0.33173</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4657675" y="1205668"/>
          <a:ext cx="431160" cy="199062"/>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0.56701</cdr:x>
      <cdr:y>0.21996</cdr:y>
    </cdr:from>
    <cdr:to>
      <cdr:x>0.65174</cdr:x>
      <cdr:y>0.29982</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4759983" y="931417"/>
          <a:ext cx="711302" cy="33817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-0,4</a:t>
          </a:r>
        </a:p>
      </cdr:txBody>
    </cdr:sp>
  </cdr:relSizeAnchor>
</c:userShapes>
</file>

<file path=word/drawings/drawing18.xml><?xml version="1.0" encoding="utf-8"?>
<c:userShapes xmlns:c="http://schemas.openxmlformats.org/drawingml/2006/chart">
  <cdr:relSizeAnchor xmlns:cdr="http://schemas.openxmlformats.org/drawingml/2006/chartDrawing">
    <cdr:from>
      <cdr:x>0.16898</cdr:x>
      <cdr:y>0.11155</cdr:y>
    </cdr:from>
    <cdr:to>
      <cdr:x>0.21045</cdr:x>
      <cdr:y>0.15965</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98330" y="245513"/>
          <a:ext cx="220463" cy="105864"/>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0.17418</cdr:x>
      <cdr:y>0.00554</cdr:y>
    </cdr:from>
    <cdr:to>
      <cdr:x>0.25891</cdr:x>
      <cdr:y>0.14946</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925997" y="11146"/>
          <a:ext cx="450444" cy="2897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-17,7</a:t>
          </a:r>
        </a:p>
      </cdr:txBody>
    </cdr:sp>
  </cdr:relSizeAnchor>
  <cdr:relSizeAnchor xmlns:cdr="http://schemas.openxmlformats.org/drawingml/2006/chartDrawing">
    <cdr:from>
      <cdr:x>0.36867</cdr:x>
      <cdr:y>0.47565</cdr:y>
    </cdr:from>
    <cdr:to>
      <cdr:x>0.40671</cdr:x>
      <cdr:y>0.52032</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59940" y="957764"/>
          <a:ext cx="202229" cy="8994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0.3708</cdr:x>
      <cdr:y>0.36078</cdr:y>
    </cdr:from>
    <cdr:to>
      <cdr:x>0.45553</cdr:x>
      <cdr:y>0.44064</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971249" y="726465"/>
          <a:ext cx="450443" cy="1608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-13,2</a:t>
          </a:r>
        </a:p>
      </cdr:txBody>
    </cdr:sp>
  </cdr:relSizeAnchor>
  <cdr:relSizeAnchor xmlns:cdr="http://schemas.openxmlformats.org/drawingml/2006/chartDrawing">
    <cdr:from>
      <cdr:x>0.55928</cdr:x>
      <cdr:y>0.5247</cdr:y>
    </cdr:from>
    <cdr:to>
      <cdr:x>0.60079</cdr:x>
      <cdr:y>0.5492</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973240" y="1056535"/>
          <a:ext cx="220676" cy="4933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0.5511</cdr:x>
      <cdr:y>0.39457</cdr:y>
    </cdr:from>
    <cdr:to>
      <cdr:x>0.63583</cdr:x>
      <cdr:y>0.47443</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929754" y="794494"/>
          <a:ext cx="450444" cy="1608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-10,4</a:t>
          </a:r>
        </a:p>
      </cdr:txBody>
    </cdr:sp>
  </cdr:relSizeAnchor>
</c:userShapes>
</file>

<file path=word/drawings/drawing19.xml><?xml version="1.0" encoding="utf-8"?>
<c:userShapes xmlns:c="http://schemas.openxmlformats.org/drawingml/2006/chart">
  <cdr:relSizeAnchor xmlns:cdr="http://schemas.openxmlformats.org/drawingml/2006/chartDrawing">
    <cdr:from>
      <cdr:x>0.17198</cdr:x>
      <cdr:y>0.41009</cdr:y>
    </cdr:from>
    <cdr:to>
      <cdr:x>0.20701</cdr:x>
      <cdr:y>0.5</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990600" y="1238250"/>
          <a:ext cx="201795" cy="27146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0.18187</cdr:x>
      <cdr:y>0.35567</cdr:y>
    </cdr:from>
    <cdr:to>
      <cdr:x>0.30789</cdr:x>
      <cdr:y>0.50805</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85084" y="707139"/>
          <a:ext cx="543986" cy="3029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-9,8</a:t>
          </a:r>
        </a:p>
      </cdr:txBody>
    </cdr:sp>
  </cdr:relSizeAnchor>
  <cdr:relSizeAnchor xmlns:cdr="http://schemas.openxmlformats.org/drawingml/2006/chartDrawing">
    <cdr:from>
      <cdr:x>0.36876</cdr:x>
      <cdr:y>0.36909</cdr:y>
    </cdr:from>
    <cdr:to>
      <cdr:x>0.40514</cdr:x>
      <cdr:y>0.43218</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124075" y="1114425"/>
          <a:ext cx="209550" cy="19050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0.37399</cdr:x>
      <cdr:y>0.32584</cdr:y>
    </cdr:from>
    <cdr:to>
      <cdr:x>0.47503</cdr:x>
      <cdr:y>0.43232</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154204" y="983847"/>
          <a:ext cx="581999" cy="3215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-7,2</a:t>
          </a:r>
        </a:p>
      </cdr:txBody>
    </cdr:sp>
  </cdr:relSizeAnchor>
  <cdr:relSizeAnchor xmlns:cdr="http://schemas.openxmlformats.org/drawingml/2006/chartDrawing">
    <cdr:from>
      <cdr:x>0.56616</cdr:x>
      <cdr:y>0.32004</cdr:y>
    </cdr:from>
    <cdr:to>
      <cdr:x>0.60032</cdr:x>
      <cdr:y>0.39238</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4711775" y="1275437"/>
          <a:ext cx="284293" cy="28832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0.57539</cdr:x>
      <cdr:y>0.27044</cdr:y>
    </cdr:from>
    <cdr:to>
      <cdr:x>0.69562</cdr:x>
      <cdr:y>0.37678</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314269" y="816581"/>
          <a:ext cx="692535" cy="32108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-7,2</a:t>
          </a:r>
        </a:p>
      </cdr:txBody>
    </cdr:sp>
  </cdr:relSizeAnchor>
</c:userShapes>
</file>

<file path=word/drawings/drawing2.xml><?xml version="1.0" encoding="utf-8"?>
<c:userShapes xmlns:c="http://schemas.openxmlformats.org/drawingml/2006/chart">
  <cdr:relSizeAnchor xmlns:cdr="http://schemas.openxmlformats.org/drawingml/2006/chartDrawing">
    <cdr:from>
      <cdr:x>0.15724</cdr:x>
      <cdr:y>0.59244</cdr:y>
    </cdr:from>
    <cdr:to>
      <cdr:x>0.20195</cdr:x>
      <cdr:y>0.66231</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23789" y="1247102"/>
          <a:ext cx="205806" cy="147079"/>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0.16265</cdr:x>
      <cdr:y>0.461</cdr:y>
    </cdr:from>
    <cdr:to>
      <cdr:x>0.24738</cdr:x>
      <cdr:y>0.54087</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48694" y="970415"/>
          <a:ext cx="390022" cy="1681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-0,3</a:t>
          </a:r>
        </a:p>
      </cdr:txBody>
    </cdr:sp>
  </cdr:relSizeAnchor>
  <cdr:relSizeAnchor xmlns:cdr="http://schemas.openxmlformats.org/drawingml/2006/chartDrawing">
    <cdr:from>
      <cdr:x>0.35519</cdr:x>
      <cdr:y>0.31435</cdr:y>
    </cdr:from>
    <cdr:to>
      <cdr:x>0.39453</cdr:x>
      <cdr:y>0.35647</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634978" y="661705"/>
          <a:ext cx="181086" cy="88664"/>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0.36739</cdr:x>
      <cdr:y>0.19984</cdr:y>
    </cdr:from>
    <cdr:to>
      <cdr:x>0.45212</cdr:x>
      <cdr:y>0.2797</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691137" y="420663"/>
          <a:ext cx="390022" cy="1681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-0,2</a:t>
          </a:r>
        </a:p>
      </cdr:txBody>
    </cdr:sp>
  </cdr:relSizeAnchor>
  <cdr:relSizeAnchor xmlns:cdr="http://schemas.openxmlformats.org/drawingml/2006/chartDrawing">
    <cdr:from>
      <cdr:x>0.55159</cdr:x>
      <cdr:y>0.27255</cdr:y>
    </cdr:from>
    <cdr:to>
      <cdr:x>0.59331</cdr:x>
      <cdr:y>0.48647</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539031" y="573716"/>
          <a:ext cx="192042" cy="45030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0.56859</cdr:x>
      <cdr:y>0.27182</cdr:y>
    </cdr:from>
    <cdr:to>
      <cdr:x>0.65332</cdr:x>
      <cdr:y>0.35168</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617285" y="572181"/>
          <a:ext cx="390022" cy="1681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-1,2</a:t>
          </a:r>
        </a:p>
      </cdr:txBody>
    </cdr:sp>
  </cdr:relSizeAnchor>
</c:userShapes>
</file>

<file path=word/drawings/drawing20.xml><?xml version="1.0" encoding="utf-8"?>
<c:userShapes xmlns:c="http://schemas.openxmlformats.org/drawingml/2006/chart">
  <cdr:relSizeAnchor xmlns:cdr="http://schemas.openxmlformats.org/drawingml/2006/chartDrawing">
    <cdr:from>
      <cdr:x>0.14834</cdr:x>
      <cdr:y>0.40722</cdr:y>
    </cdr:from>
    <cdr:to>
      <cdr:x>0.18495</cdr:x>
      <cdr:y>0.47908</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33425" y="809625"/>
          <a:ext cx="180975" cy="14287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0.15252</cdr:x>
      <cdr:y>0.31491</cdr:y>
    </cdr:from>
    <cdr:to>
      <cdr:x>0.24082</cdr:x>
      <cdr:y>0.42159</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54075" y="626103"/>
          <a:ext cx="436549" cy="2120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-0,3</a:t>
          </a:r>
        </a:p>
      </cdr:txBody>
    </cdr:sp>
  </cdr:relSizeAnchor>
  <cdr:relSizeAnchor xmlns:cdr="http://schemas.openxmlformats.org/drawingml/2006/chartDrawing">
    <cdr:from>
      <cdr:x>0.34631</cdr:x>
      <cdr:y>0.41783</cdr:y>
    </cdr:from>
    <cdr:to>
      <cdr:x>0.39273</cdr:x>
      <cdr:y>0.51389</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360179" y="1146179"/>
          <a:ext cx="316346" cy="26352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0.35423</cdr:x>
      <cdr:y>0.34932</cdr:y>
    </cdr:from>
    <cdr:to>
      <cdr:x>0.43896</cdr:x>
      <cdr:y>0.42918</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751337" y="694503"/>
          <a:ext cx="418914" cy="1587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-0,4</a:t>
          </a:r>
        </a:p>
      </cdr:txBody>
    </cdr:sp>
  </cdr:relSizeAnchor>
  <cdr:relSizeAnchor xmlns:cdr="http://schemas.openxmlformats.org/drawingml/2006/chartDrawing">
    <cdr:from>
      <cdr:x>0.5457</cdr:x>
      <cdr:y>0.31136</cdr:y>
    </cdr:from>
    <cdr:to>
      <cdr:x>0.59034</cdr:x>
      <cdr:y>0.45055</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143250" y="809625"/>
          <a:ext cx="257175" cy="36195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0.5627</cdr:x>
      <cdr:y>0.26523</cdr:y>
    </cdr:from>
    <cdr:to>
      <cdr:x>0.64743</cdr:x>
      <cdr:y>0.34509</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782070" y="527317"/>
          <a:ext cx="418914" cy="1587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b="1">
              <a:solidFill>
                <a:srgbClr val="C00000"/>
              </a:solidFill>
              <a:latin typeface="Verdana" panose="020B0604030504040204" pitchFamily="34" charset="0"/>
              <a:ea typeface="Verdana" panose="020B0604030504040204" pitchFamily="34" charset="0"/>
              <a:cs typeface="Times New Roman" panose="02020603050405020304" pitchFamily="18" charset="0"/>
            </a:rPr>
            <a:t>-</a:t>
          </a:r>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0,5</a:t>
          </a:r>
        </a:p>
      </cdr:txBody>
    </cdr:sp>
  </cdr:relSizeAnchor>
</c:userShapes>
</file>

<file path=word/drawings/drawing21.xml><?xml version="1.0" encoding="utf-8"?>
<c:userShapes xmlns:c="http://schemas.openxmlformats.org/drawingml/2006/chart">
  <cdr:relSizeAnchor xmlns:cdr="http://schemas.openxmlformats.org/drawingml/2006/chartDrawing">
    <cdr:from>
      <cdr:x>0.13843</cdr:x>
      <cdr:y>0.59987</cdr:y>
    </cdr:from>
    <cdr:to>
      <cdr:x>0.18387</cdr:x>
      <cdr:y>0.62178</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977037" y="1665566"/>
          <a:ext cx="320743" cy="6084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0.13676</cdr:x>
      <cdr:y>0.49579</cdr:y>
    </cdr:from>
    <cdr:to>
      <cdr:x>0.22149</cdr:x>
      <cdr:y>0.57566</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87729" y="1123293"/>
          <a:ext cx="488052" cy="1809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-0,03</a:t>
          </a:r>
        </a:p>
      </cdr:txBody>
    </cdr:sp>
  </cdr:relSizeAnchor>
  <cdr:relSizeAnchor xmlns:cdr="http://schemas.openxmlformats.org/drawingml/2006/chartDrawing">
    <cdr:from>
      <cdr:x>0.34254</cdr:x>
      <cdr:y>0.51188</cdr:y>
    </cdr:from>
    <cdr:to>
      <cdr:x>0.38124</cdr:x>
      <cdr:y>0.51887</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417650" y="1421246"/>
          <a:ext cx="273162" cy="19412"/>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0.33232</cdr:x>
      <cdr:y>0.40143</cdr:y>
    </cdr:from>
    <cdr:to>
      <cdr:x>0.41705</cdr:x>
      <cdr:y>0.48129</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345514" y="1114591"/>
          <a:ext cx="598026" cy="2217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-0,03</a:t>
          </a:r>
        </a:p>
      </cdr:txBody>
    </cdr:sp>
  </cdr:relSizeAnchor>
  <cdr:relSizeAnchor xmlns:cdr="http://schemas.openxmlformats.org/drawingml/2006/chartDrawing">
    <cdr:from>
      <cdr:x>0.5422</cdr:x>
      <cdr:y>0.35093</cdr:y>
    </cdr:from>
    <cdr:to>
      <cdr:x>0.58704</cdr:x>
      <cdr:y>0.36878</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826829" y="974370"/>
          <a:ext cx="316545" cy="49569"/>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0.53328</cdr:x>
      <cdr:y>0.24305</cdr:y>
    </cdr:from>
    <cdr:to>
      <cdr:x>0.61801</cdr:x>
      <cdr:y>0.32291</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763894" y="674843"/>
          <a:ext cx="598027" cy="2217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-0,04</a:t>
          </a:r>
        </a:p>
      </cdr:txBody>
    </cdr:sp>
  </cdr:relSizeAnchor>
</c:userShapes>
</file>

<file path=word/drawings/drawing22.xml><?xml version="1.0" encoding="utf-8"?>
<c:userShapes xmlns:c="http://schemas.openxmlformats.org/drawingml/2006/chart">
  <cdr:relSizeAnchor xmlns:cdr="http://schemas.openxmlformats.org/drawingml/2006/chartDrawing">
    <cdr:from>
      <cdr:x>0.14005</cdr:x>
      <cdr:y>0.21737</cdr:y>
    </cdr:from>
    <cdr:to>
      <cdr:x>0.17808</cdr:x>
      <cdr:y>0.36023</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28099" y="387457"/>
          <a:ext cx="197708" cy="25464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0.16013</cdr:x>
      <cdr:y>0.16828</cdr:y>
    </cdr:from>
    <cdr:to>
      <cdr:x>0.24486</cdr:x>
      <cdr:y>0.32284</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837356" y="339815"/>
          <a:ext cx="443072" cy="3121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-0,6</a:t>
          </a:r>
        </a:p>
      </cdr:txBody>
    </cdr:sp>
  </cdr:relSizeAnchor>
  <cdr:relSizeAnchor xmlns:cdr="http://schemas.openxmlformats.org/drawingml/2006/chartDrawing">
    <cdr:from>
      <cdr:x>0.35063</cdr:x>
      <cdr:y>0.16327</cdr:y>
    </cdr:from>
    <cdr:to>
      <cdr:x>0.38867</cdr:x>
      <cdr:y>0.37415</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822832" y="291020"/>
          <a:ext cx="197761" cy="375882"/>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0.3727</cdr:x>
      <cdr:y>0.16348</cdr:y>
    </cdr:from>
    <cdr:to>
      <cdr:x>0.50334</cdr:x>
      <cdr:y>0.24954</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948932" y="330111"/>
          <a:ext cx="683146" cy="1737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-0,9</a:t>
          </a:r>
        </a:p>
      </cdr:txBody>
    </cdr:sp>
  </cdr:relSizeAnchor>
  <cdr:relSizeAnchor xmlns:cdr="http://schemas.openxmlformats.org/drawingml/2006/chartDrawing">
    <cdr:from>
      <cdr:x>0.55626</cdr:x>
      <cdr:y>0.10204</cdr:y>
    </cdr:from>
    <cdr:to>
      <cdr:x>0.59925</cdr:x>
      <cdr:y>0.2619</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891831" y="181881"/>
          <a:ext cx="223494" cy="28494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0.57832</cdr:x>
      <cdr:y>0.08748</cdr:y>
    </cdr:from>
    <cdr:to>
      <cdr:x>0.66305</cdr:x>
      <cdr:y>0.16734</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024171" y="176656"/>
          <a:ext cx="443072" cy="16126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-0,7</a:t>
          </a:r>
        </a:p>
      </cdr:txBody>
    </cdr:sp>
  </cdr:relSizeAnchor>
</c:userShapes>
</file>

<file path=word/drawings/drawing23.xml><?xml version="1.0" encoding="utf-8"?>
<c:userShapes xmlns:c="http://schemas.openxmlformats.org/drawingml/2006/chart">
  <cdr:relSizeAnchor xmlns:cdr="http://schemas.openxmlformats.org/drawingml/2006/chartDrawing">
    <cdr:from>
      <cdr:x>0.1573</cdr:x>
      <cdr:y>0.17669</cdr:y>
    </cdr:from>
    <cdr:to>
      <cdr:x>0.19534</cdr:x>
      <cdr:y>0.24606</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19160" y="364428"/>
          <a:ext cx="173919" cy="143074"/>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0.15656</cdr:x>
      <cdr:y>0.10763</cdr:y>
    </cdr:from>
    <cdr:to>
      <cdr:x>0.24129</cdr:x>
      <cdr:y>0.1875</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1053543" y="295260"/>
          <a:ext cx="570184" cy="2190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-0,6</a:t>
          </a:r>
        </a:p>
      </cdr:txBody>
    </cdr:sp>
  </cdr:relSizeAnchor>
  <cdr:relSizeAnchor xmlns:cdr="http://schemas.openxmlformats.org/drawingml/2006/chartDrawing">
    <cdr:from>
      <cdr:x>0.34621</cdr:x>
      <cdr:y>0.16088</cdr:y>
    </cdr:from>
    <cdr:to>
      <cdr:x>0.38783</cdr:x>
      <cdr:y>0.17708</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329767" y="441338"/>
          <a:ext cx="280078" cy="4444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0.34759</cdr:x>
      <cdr:y>0.05671</cdr:y>
    </cdr:from>
    <cdr:to>
      <cdr:x>0.43232</cdr:x>
      <cdr:y>0.13657</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339071" y="155561"/>
          <a:ext cx="570183" cy="2190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0.55202</cdr:x>
      <cdr:y>0.16319</cdr:y>
    </cdr:from>
    <cdr:to>
      <cdr:x>0.59448</cdr:x>
      <cdr:y>0.21181</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714750" y="447675"/>
          <a:ext cx="285750" cy="13335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0.55555</cdr:x>
      <cdr:y>0.08797</cdr:y>
    </cdr:from>
    <cdr:to>
      <cdr:x>0.64028</cdr:x>
      <cdr:y>0.16783</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738548" y="241316"/>
          <a:ext cx="570184" cy="2190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-0,4</a:t>
          </a:r>
        </a:p>
      </cdr:txBody>
    </cdr:sp>
  </cdr:relSizeAnchor>
</c:userShapes>
</file>

<file path=word/drawings/drawing24.xml><?xml version="1.0" encoding="utf-8"?>
<c:userShapes xmlns:c="http://schemas.openxmlformats.org/drawingml/2006/chart">
  <cdr:relSizeAnchor xmlns:cdr="http://schemas.openxmlformats.org/drawingml/2006/chartDrawing">
    <cdr:from>
      <cdr:x>0.15274</cdr:x>
      <cdr:y>0.18598</cdr:y>
    </cdr:from>
    <cdr:to>
      <cdr:x>0.19096</cdr:x>
      <cdr:y>0.24605</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08044" y="347923"/>
          <a:ext cx="177169" cy="112374"/>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0.15197</cdr:x>
      <cdr:y>0.07353</cdr:y>
    </cdr:from>
    <cdr:to>
      <cdr:x>0.2367</cdr:x>
      <cdr:y>0.23303</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04469" y="137549"/>
          <a:ext cx="392766" cy="2983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-0,4</a:t>
          </a:r>
        </a:p>
      </cdr:txBody>
    </cdr:sp>
  </cdr:relSizeAnchor>
  <cdr:relSizeAnchor xmlns:cdr="http://schemas.openxmlformats.org/drawingml/2006/chartDrawing">
    <cdr:from>
      <cdr:x>0.3537</cdr:x>
      <cdr:y>0.25886</cdr:y>
    </cdr:from>
    <cdr:to>
      <cdr:x>0.39956</cdr:x>
      <cdr:y>0.30978</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639580" y="484257"/>
          <a:ext cx="212584" cy="95256"/>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0.35292</cdr:x>
      <cdr:y>0.12179</cdr:y>
    </cdr:from>
    <cdr:to>
      <cdr:x>0.43765</cdr:x>
      <cdr:y>0.20165</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635947" y="227837"/>
          <a:ext cx="392766" cy="1493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-0,4</a:t>
          </a:r>
        </a:p>
      </cdr:txBody>
    </cdr:sp>
  </cdr:relSizeAnchor>
  <cdr:relSizeAnchor xmlns:cdr="http://schemas.openxmlformats.org/drawingml/2006/chartDrawing">
    <cdr:from>
      <cdr:x>0.5515</cdr:x>
      <cdr:y>0.137</cdr:y>
    </cdr:from>
    <cdr:to>
      <cdr:x>0.59698</cdr:x>
      <cdr:y>0.27203</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556464" y="256291"/>
          <a:ext cx="210822" cy="252602"/>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0.57794</cdr:x>
      <cdr:y>0.05311</cdr:y>
    </cdr:from>
    <cdr:to>
      <cdr:x>0.66267</cdr:x>
      <cdr:y>0.13297</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679063" y="99361"/>
          <a:ext cx="392766" cy="1493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-1,1</a:t>
          </a:r>
        </a:p>
      </cdr:txBody>
    </cdr:sp>
  </cdr:relSizeAnchor>
</c:userShapes>
</file>

<file path=word/drawings/drawing25.xml><?xml version="1.0" encoding="utf-8"?>
<c:userShapes xmlns:c="http://schemas.openxmlformats.org/drawingml/2006/chart">
  <cdr:relSizeAnchor xmlns:cdr="http://schemas.openxmlformats.org/drawingml/2006/chartDrawing">
    <cdr:from>
      <cdr:x>0.13638</cdr:x>
      <cdr:y>0.10091</cdr:y>
    </cdr:from>
    <cdr:to>
      <cdr:x>0.18851</cdr:x>
      <cdr:y>0.21455</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85540" y="264319"/>
          <a:ext cx="300310" cy="297656"/>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0.15131</cdr:x>
      <cdr:y>0.05455</cdr:y>
    </cdr:from>
    <cdr:to>
      <cdr:x>0.23604</cdr:x>
      <cdr:y>0.13442</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871568" y="142875"/>
          <a:ext cx="488052" cy="2092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b="1">
              <a:solidFill>
                <a:srgbClr val="C00000"/>
              </a:solidFill>
              <a:latin typeface="Times New Roman" panose="02020603050405020304" pitchFamily="18" charset="0"/>
              <a:cs typeface="Times New Roman" panose="02020603050405020304" pitchFamily="18" charset="0"/>
            </a:rPr>
            <a:t>-0,1</a:t>
          </a:r>
        </a:p>
      </cdr:txBody>
    </cdr:sp>
  </cdr:relSizeAnchor>
  <cdr:relSizeAnchor xmlns:cdr="http://schemas.openxmlformats.org/drawingml/2006/chartDrawing">
    <cdr:from>
      <cdr:x>0.34213</cdr:x>
      <cdr:y>0.30551</cdr:y>
    </cdr:from>
    <cdr:to>
      <cdr:x>0.3886</cdr:x>
      <cdr:y>0.32727</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70698" y="800252"/>
          <a:ext cx="267677" cy="5699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0.33745</cdr:x>
      <cdr:y>0.18896</cdr:y>
    </cdr:from>
    <cdr:to>
      <cdr:x>0.42218</cdr:x>
      <cdr:y>0.26882</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943747" y="494948"/>
          <a:ext cx="488052" cy="20918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b="1">
              <a:solidFill>
                <a:srgbClr val="C00000"/>
              </a:solidFill>
              <a:latin typeface="Times New Roman" panose="02020603050405020304" pitchFamily="18" charset="0"/>
              <a:cs typeface="Times New Roman" panose="02020603050405020304" pitchFamily="18" charset="0"/>
            </a:rPr>
            <a:t>-0,1</a:t>
          </a:r>
        </a:p>
      </cdr:txBody>
    </cdr:sp>
  </cdr:relSizeAnchor>
  <cdr:relSizeAnchor xmlns:cdr="http://schemas.openxmlformats.org/drawingml/2006/chartDrawing">
    <cdr:from>
      <cdr:x>0.54551</cdr:x>
      <cdr:y>0.26898</cdr:y>
    </cdr:from>
    <cdr:to>
      <cdr:x>0.59034</cdr:x>
      <cdr:y>0.35273</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142163" y="704567"/>
          <a:ext cx="258262" cy="21935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0.5511</cdr:x>
      <cdr:y>0.20452</cdr:y>
    </cdr:from>
    <cdr:to>
      <cdr:x>0.63583</cdr:x>
      <cdr:y>0.28438</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174410" y="535705"/>
          <a:ext cx="488052" cy="20918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b="1">
              <a:solidFill>
                <a:srgbClr val="C00000"/>
              </a:solidFill>
              <a:latin typeface="Times New Roman" panose="02020603050405020304" pitchFamily="18" charset="0"/>
              <a:cs typeface="Times New Roman" panose="02020603050405020304" pitchFamily="18" charset="0"/>
            </a:rPr>
            <a:t>-0,1</a:t>
          </a:r>
        </a:p>
      </cdr:txBody>
    </cdr:sp>
  </cdr:relSizeAnchor>
</c:userShapes>
</file>

<file path=word/drawings/drawing26.xml><?xml version="1.0" encoding="utf-8"?>
<c:userShapes xmlns:c="http://schemas.openxmlformats.org/drawingml/2006/chart">
  <cdr:relSizeAnchor xmlns:cdr="http://schemas.openxmlformats.org/drawingml/2006/chartDrawing">
    <cdr:from>
      <cdr:x>0.15293</cdr:x>
      <cdr:y>0.18523</cdr:y>
    </cdr:from>
    <cdr:to>
      <cdr:x>0.19627</cdr:x>
      <cdr:y>0.21649</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80906" y="518700"/>
          <a:ext cx="249642" cy="87539"/>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0.15634</cdr:x>
      <cdr:y>0.11195</cdr:y>
    </cdr:from>
    <cdr:to>
      <cdr:x>0.24107</cdr:x>
      <cdr:y>0.19182</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900521" y="313509"/>
          <a:ext cx="488052" cy="2236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-0,2</a:t>
          </a:r>
        </a:p>
      </cdr:txBody>
    </cdr:sp>
  </cdr:relSizeAnchor>
  <cdr:relSizeAnchor xmlns:cdr="http://schemas.openxmlformats.org/drawingml/2006/chartDrawing">
    <cdr:from>
      <cdr:x>0.35466</cdr:x>
      <cdr:y>0.13103</cdr:y>
    </cdr:from>
    <cdr:to>
      <cdr:x>0.39522</cdr:x>
      <cdr:y>0.21429</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042851" y="366934"/>
          <a:ext cx="233624" cy="23314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0.37308</cdr:x>
      <cdr:y>0.10929</cdr:y>
    </cdr:from>
    <cdr:to>
      <cdr:x>0.45781</cdr:x>
      <cdr:y>0.18915</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148982" y="306052"/>
          <a:ext cx="488052" cy="2236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-0,4</a:t>
          </a:r>
        </a:p>
      </cdr:txBody>
    </cdr:sp>
  </cdr:relSizeAnchor>
  <cdr:relSizeAnchor xmlns:cdr="http://schemas.openxmlformats.org/drawingml/2006/chartDrawing">
    <cdr:from>
      <cdr:x>0.55296</cdr:x>
      <cdr:y>0.24397</cdr:y>
    </cdr:from>
    <cdr:to>
      <cdr:x>0.59861</cdr:x>
      <cdr:y>0.48299</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185112" y="683208"/>
          <a:ext cx="262938" cy="669342"/>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0.57537</cdr:x>
      <cdr:y>0.2992</cdr:y>
    </cdr:from>
    <cdr:to>
      <cdr:x>0.6601</cdr:x>
      <cdr:y>0.37906</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314180" y="837867"/>
          <a:ext cx="488052" cy="2236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-1,0</a:t>
          </a:r>
        </a:p>
      </cdr:txBody>
    </cdr:sp>
  </cdr:relSizeAnchor>
</c:userShapes>
</file>

<file path=word/drawings/drawing27.xml><?xml version="1.0" encoding="utf-8"?>
<c:userShapes xmlns:c="http://schemas.openxmlformats.org/drawingml/2006/chart">
  <cdr:relSizeAnchor xmlns:cdr="http://schemas.openxmlformats.org/drawingml/2006/chartDrawing">
    <cdr:from>
      <cdr:x>0.13942</cdr:x>
      <cdr:y>0.17421</cdr:y>
    </cdr:from>
    <cdr:to>
      <cdr:x>0.18686</cdr:x>
      <cdr:y>0.21929</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03071" y="506990"/>
          <a:ext cx="273254" cy="13118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0.13925</cdr:x>
      <cdr:y>0.07016</cdr:y>
    </cdr:from>
    <cdr:to>
      <cdr:x>0.25046</cdr:x>
      <cdr:y>0.18779</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25503" y="142344"/>
          <a:ext cx="579422" cy="2386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0.34213</cdr:x>
      <cdr:y>0.15046</cdr:y>
    </cdr:from>
    <cdr:to>
      <cdr:x>0.39109</cdr:x>
      <cdr:y>0.2118</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341440" y="412748"/>
          <a:ext cx="335068" cy="16826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0.35347</cdr:x>
      <cdr:y>0.07322</cdr:y>
    </cdr:from>
    <cdr:to>
      <cdr:x>0.457</cdr:x>
      <cdr:y>0.15307</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841660" y="148542"/>
          <a:ext cx="539409" cy="1620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0.54577</cdr:x>
      <cdr:y>0.20602</cdr:y>
    </cdr:from>
    <cdr:to>
      <cdr:x>0.59034</cdr:x>
      <cdr:y>0.24547</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143682" y="599560"/>
          <a:ext cx="256743" cy="11481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0.54781</cdr:x>
      <cdr:y>0.09799</cdr:y>
    </cdr:from>
    <cdr:to>
      <cdr:x>0.63254</cdr:x>
      <cdr:y>0.17785</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854176" y="198807"/>
          <a:ext cx="441458" cy="1620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userShapes>
</file>

<file path=word/drawings/drawing28.xml><?xml version="1.0" encoding="utf-8"?>
<c:userShapes xmlns:c="http://schemas.openxmlformats.org/drawingml/2006/chart">
  <cdr:relSizeAnchor xmlns:cdr="http://schemas.openxmlformats.org/drawingml/2006/chartDrawing">
    <cdr:from>
      <cdr:x>0.1616</cdr:x>
      <cdr:y>0.41536</cdr:y>
    </cdr:from>
    <cdr:to>
      <cdr:x>0.20009</cdr:x>
      <cdr:y>0.48047</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930808" y="1012817"/>
          <a:ext cx="221717" cy="15875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0.1641</cdr:x>
      <cdr:y>0.32204</cdr:y>
    </cdr:from>
    <cdr:to>
      <cdr:x>0.24883</cdr:x>
      <cdr:y>0.40191</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945224" y="785256"/>
          <a:ext cx="488052" cy="1947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-22,6</a:t>
          </a:r>
        </a:p>
      </cdr:txBody>
    </cdr:sp>
  </cdr:relSizeAnchor>
  <cdr:relSizeAnchor xmlns:cdr="http://schemas.openxmlformats.org/drawingml/2006/chartDrawing">
    <cdr:from>
      <cdr:x>0.35789</cdr:x>
      <cdr:y>0.41392</cdr:y>
    </cdr:from>
    <cdr:to>
      <cdr:x>0.40018</cdr:x>
      <cdr:y>0.54688</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061450" y="1009312"/>
          <a:ext cx="243600" cy="32418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0.36965</cdr:x>
      <cdr:y>0.34534</cdr:y>
    </cdr:from>
    <cdr:to>
      <cdr:x>0.45438</cdr:x>
      <cdr:y>0.4252</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129230" y="842068"/>
          <a:ext cx="488052" cy="1947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-48,7</a:t>
          </a:r>
        </a:p>
      </cdr:txBody>
    </cdr:sp>
  </cdr:relSizeAnchor>
  <cdr:relSizeAnchor xmlns:cdr="http://schemas.openxmlformats.org/drawingml/2006/chartDrawing">
    <cdr:from>
      <cdr:x>0.55755</cdr:x>
      <cdr:y>0.12196</cdr:y>
    </cdr:from>
    <cdr:to>
      <cdr:x>0.60357</cdr:x>
      <cdr:y>0.24609</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211524" y="297378"/>
          <a:ext cx="265101" cy="30269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0.57537</cdr:x>
      <cdr:y>0.08058</cdr:y>
    </cdr:from>
    <cdr:to>
      <cdr:x>0.6601</cdr:x>
      <cdr:y>0.16044</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314180" y="196495"/>
          <a:ext cx="488052" cy="1947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-40,9</a:t>
          </a:r>
        </a:p>
      </cdr:txBody>
    </cdr:sp>
  </cdr:relSizeAnchor>
</c:userShapes>
</file>

<file path=word/drawings/drawing29.xml><?xml version="1.0" encoding="utf-8"?>
<c:userShapes xmlns:c="http://schemas.openxmlformats.org/drawingml/2006/chart">
  <cdr:relSizeAnchor xmlns:cdr="http://schemas.openxmlformats.org/drawingml/2006/chartDrawing">
    <cdr:from>
      <cdr:x>0.13905</cdr:x>
      <cdr:y>0.21826</cdr:y>
    </cdr:from>
    <cdr:to>
      <cdr:x>0.18024</cdr:x>
      <cdr:y>0.34603</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00967" y="654862"/>
          <a:ext cx="237258" cy="38336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0.15023</cdr:x>
      <cdr:y>0.2009</cdr:y>
    </cdr:from>
    <cdr:to>
      <cdr:x>0.23496</cdr:x>
      <cdr:y>0.28077</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865318" y="602773"/>
          <a:ext cx="488052" cy="239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-0,5</a:t>
          </a:r>
        </a:p>
      </cdr:txBody>
    </cdr:sp>
  </cdr:relSizeAnchor>
  <cdr:relSizeAnchor xmlns:cdr="http://schemas.openxmlformats.org/drawingml/2006/chartDrawing">
    <cdr:from>
      <cdr:x>0.34757</cdr:x>
      <cdr:y>0.17062</cdr:y>
    </cdr:from>
    <cdr:to>
      <cdr:x>0.38529</cdr:x>
      <cdr:y>0.32381</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2002044" y="511924"/>
          <a:ext cx="217281" cy="459626"/>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0.35867</cdr:x>
      <cdr:y>0.17081</cdr:y>
    </cdr:from>
    <cdr:to>
      <cdr:x>0.4434</cdr:x>
      <cdr:y>0.25067</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065997" y="512492"/>
          <a:ext cx="488052" cy="2396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-0,7</a:t>
          </a:r>
        </a:p>
      </cdr:txBody>
    </cdr:sp>
  </cdr:relSizeAnchor>
  <cdr:relSizeAnchor xmlns:cdr="http://schemas.openxmlformats.org/drawingml/2006/chartDrawing">
    <cdr:from>
      <cdr:x>0.54976</cdr:x>
      <cdr:y>0.16607</cdr:y>
    </cdr:from>
    <cdr:to>
      <cdr:x>0.59034</cdr:x>
      <cdr:y>0.32698</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166638" y="498275"/>
          <a:ext cx="233787" cy="48280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0.55999</cdr:x>
      <cdr:y>0.16593</cdr:y>
    </cdr:from>
    <cdr:to>
      <cdr:x>0.64472</cdr:x>
      <cdr:y>0.24579</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225613" y="497861"/>
          <a:ext cx="488052" cy="23961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-0,7</a:t>
          </a:r>
        </a:p>
      </cdr:txBody>
    </cdr:sp>
  </cdr:relSizeAnchor>
</c:userShapes>
</file>

<file path=word/drawings/drawing3.xml><?xml version="1.0" encoding="utf-8"?>
<c:userShapes xmlns:c="http://schemas.openxmlformats.org/drawingml/2006/chart">
  <cdr:relSizeAnchor xmlns:cdr="http://schemas.openxmlformats.org/drawingml/2006/chartDrawing">
    <cdr:from>
      <cdr:x>0.16818</cdr:x>
      <cdr:y>0.32584</cdr:y>
    </cdr:from>
    <cdr:to>
      <cdr:x>0.20785</cdr:x>
      <cdr:y>0.34185</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07784" y="698326"/>
          <a:ext cx="190541" cy="3431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0.16416</cdr:x>
      <cdr:y>0.2142</cdr:y>
    </cdr:from>
    <cdr:to>
      <cdr:x>0.24889</cdr:x>
      <cdr:y>0.29406</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788476" y="459057"/>
          <a:ext cx="406970" cy="171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0.36234</cdr:x>
      <cdr:y>0.36663</cdr:y>
    </cdr:from>
    <cdr:to>
      <cdr:x>0.40607</cdr:x>
      <cdr:y>0.43145</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740375" y="785724"/>
          <a:ext cx="210041" cy="13891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0.37489</cdr:x>
      <cdr:y>0.29622</cdr:y>
    </cdr:from>
    <cdr:to>
      <cdr:x>0.45962</cdr:x>
      <cdr:y>0.37608</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800641" y="634826"/>
          <a:ext cx="406970" cy="1711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-1,0</a:t>
          </a:r>
        </a:p>
      </cdr:txBody>
    </cdr:sp>
  </cdr:relSizeAnchor>
  <cdr:relSizeAnchor xmlns:cdr="http://schemas.openxmlformats.org/drawingml/2006/chartDrawing">
    <cdr:from>
      <cdr:x>0.56496</cdr:x>
      <cdr:y>0.32111</cdr:y>
    </cdr:from>
    <cdr:to>
      <cdr:x>0.6036</cdr:x>
      <cdr:y>0.43664</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713586" y="688179"/>
          <a:ext cx="185593" cy="24759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0.56953</cdr:x>
      <cdr:y>0.29557</cdr:y>
    </cdr:from>
    <cdr:to>
      <cdr:x>0.65426</cdr:x>
      <cdr:y>0.37543</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280536" y="793916"/>
          <a:ext cx="488052" cy="2145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-2,1</a:t>
          </a:r>
        </a:p>
      </cdr:txBody>
    </cdr:sp>
  </cdr:relSizeAnchor>
</c:userShapes>
</file>

<file path=word/drawings/drawing30.xml><?xml version="1.0" encoding="utf-8"?>
<c:userShapes xmlns:c="http://schemas.openxmlformats.org/drawingml/2006/chart">
  <cdr:relSizeAnchor xmlns:cdr="http://schemas.openxmlformats.org/drawingml/2006/chartDrawing">
    <cdr:from>
      <cdr:x>0.70279</cdr:x>
      <cdr:y>0.65778</cdr:y>
    </cdr:from>
    <cdr:to>
      <cdr:x>0.8913</cdr:x>
      <cdr:y>0.7767</cdr:y>
    </cdr:to>
    <cdr:sp macro="" textlink="">
      <cdr:nvSpPr>
        <cdr:cNvPr id="2" name="TextBox 2">
          <a:extLst xmlns:a="http://schemas.openxmlformats.org/drawingml/2006/main">
            <a:ext uri="{FF2B5EF4-FFF2-40B4-BE49-F238E27FC236}">
              <a16:creationId xmlns:a16="http://schemas.microsoft.com/office/drawing/2014/main" id="{2A7FA581-0AE8-49E0-B9FF-884ECCA043E6}"/>
            </a:ext>
          </a:extLst>
        </cdr:cNvPr>
        <cdr:cNvSpPr txBox="1"/>
      </cdr:nvSpPr>
      <cdr:spPr>
        <a:xfrm xmlns:a="http://schemas.openxmlformats.org/drawingml/2006/main">
          <a:off x="4048125" y="1935995"/>
          <a:ext cx="1085839" cy="350005"/>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noAutofit/>
        </a:bodyPr>
        <a:lstStyle xmlns:a="http://schemas.openxmlformats.org/drawingml/2006/main">
          <a:defPPr>
            <a:defRPr lang="en-US"/>
          </a:defPPr>
          <a:lvl1pPr algn="l" defTabSz="938213" rtl="0" fontAlgn="base">
            <a:spcBef>
              <a:spcPct val="0"/>
            </a:spcBef>
            <a:spcAft>
              <a:spcPct val="0"/>
            </a:spcAft>
            <a:defRPr sz="1700" kern="1200">
              <a:solidFill>
                <a:schemeClr val="dk1"/>
              </a:solidFill>
              <a:latin typeface="+mn-lt"/>
              <a:ea typeface="+mn-ea"/>
              <a:cs typeface="+mn-cs"/>
            </a:defRPr>
          </a:lvl1pPr>
          <a:lvl2pPr marL="468313" indent="-11113" algn="l" defTabSz="938213" rtl="0" fontAlgn="base">
            <a:spcBef>
              <a:spcPct val="0"/>
            </a:spcBef>
            <a:spcAft>
              <a:spcPct val="0"/>
            </a:spcAft>
            <a:defRPr sz="1700" kern="1200">
              <a:solidFill>
                <a:schemeClr val="dk1"/>
              </a:solidFill>
              <a:latin typeface="+mn-lt"/>
              <a:ea typeface="+mn-ea"/>
              <a:cs typeface="+mn-cs"/>
            </a:defRPr>
          </a:lvl2pPr>
          <a:lvl3pPr marL="938213" indent="-23813" algn="l" defTabSz="938213" rtl="0" fontAlgn="base">
            <a:spcBef>
              <a:spcPct val="0"/>
            </a:spcBef>
            <a:spcAft>
              <a:spcPct val="0"/>
            </a:spcAft>
            <a:defRPr sz="1700" kern="1200">
              <a:solidFill>
                <a:schemeClr val="dk1"/>
              </a:solidFill>
              <a:latin typeface="+mn-lt"/>
              <a:ea typeface="+mn-ea"/>
              <a:cs typeface="+mn-cs"/>
            </a:defRPr>
          </a:lvl3pPr>
          <a:lvl4pPr marL="1408113" indent="-36513" algn="l" defTabSz="938213" rtl="0" fontAlgn="base">
            <a:spcBef>
              <a:spcPct val="0"/>
            </a:spcBef>
            <a:spcAft>
              <a:spcPct val="0"/>
            </a:spcAft>
            <a:defRPr sz="1700" kern="1200">
              <a:solidFill>
                <a:schemeClr val="dk1"/>
              </a:solidFill>
              <a:latin typeface="+mn-lt"/>
              <a:ea typeface="+mn-ea"/>
              <a:cs typeface="+mn-cs"/>
            </a:defRPr>
          </a:lvl4pPr>
          <a:lvl5pPr marL="1878013" indent="-49213" algn="l" defTabSz="938213" rtl="0" fontAlgn="base">
            <a:spcBef>
              <a:spcPct val="0"/>
            </a:spcBef>
            <a:spcAft>
              <a:spcPct val="0"/>
            </a:spcAft>
            <a:defRPr sz="1700" kern="1200">
              <a:solidFill>
                <a:schemeClr val="dk1"/>
              </a:solidFill>
              <a:latin typeface="+mn-lt"/>
              <a:ea typeface="+mn-ea"/>
              <a:cs typeface="+mn-cs"/>
            </a:defRPr>
          </a:lvl5pPr>
          <a:lvl6pPr marL="2286000" algn="l" defTabSz="914400" rtl="0" eaLnBrk="1" latinLnBrk="0" hangingPunct="1">
            <a:defRPr sz="1700" kern="1200">
              <a:solidFill>
                <a:schemeClr val="dk1"/>
              </a:solidFill>
              <a:latin typeface="+mn-lt"/>
              <a:ea typeface="+mn-ea"/>
              <a:cs typeface="+mn-cs"/>
            </a:defRPr>
          </a:lvl6pPr>
          <a:lvl7pPr marL="2743200" algn="l" defTabSz="914400" rtl="0" eaLnBrk="1" latinLnBrk="0" hangingPunct="1">
            <a:defRPr sz="1700" kern="1200">
              <a:solidFill>
                <a:schemeClr val="dk1"/>
              </a:solidFill>
              <a:latin typeface="+mn-lt"/>
              <a:ea typeface="+mn-ea"/>
              <a:cs typeface="+mn-cs"/>
            </a:defRPr>
          </a:lvl7pPr>
          <a:lvl8pPr marL="3200400" algn="l" defTabSz="914400" rtl="0" eaLnBrk="1" latinLnBrk="0" hangingPunct="1">
            <a:defRPr sz="1700" kern="1200">
              <a:solidFill>
                <a:schemeClr val="dk1"/>
              </a:solidFill>
              <a:latin typeface="+mn-lt"/>
              <a:ea typeface="+mn-ea"/>
              <a:cs typeface="+mn-cs"/>
            </a:defRPr>
          </a:lvl8pPr>
          <a:lvl9pPr marL="3657600" algn="l" defTabSz="914400" rtl="0" eaLnBrk="1" latinLnBrk="0" hangingPunct="1">
            <a:defRPr sz="1700" kern="1200">
              <a:solidFill>
                <a:schemeClr val="dk1"/>
              </a:solidFill>
              <a:latin typeface="+mn-lt"/>
              <a:ea typeface="+mn-ea"/>
              <a:cs typeface="+mn-cs"/>
            </a:defRPr>
          </a:lvl9pPr>
        </a:lstStyle>
        <a:p xmlns:a="http://schemas.openxmlformats.org/drawingml/2006/main">
          <a:pPr algn="ctr"/>
          <a:r>
            <a:rPr lang="lv-LV" sz="900" dirty="0">
              <a:latin typeface="Times New Roman" panose="02020603050405020304" pitchFamily="18" charset="0"/>
              <a:ea typeface="Verdana" panose="020B0604030504040204" pitchFamily="34" charset="0"/>
              <a:cs typeface="Times New Roman" panose="02020603050405020304" pitchFamily="18" charset="0"/>
            </a:rPr>
            <a:t>Igaunija – 3. vieta</a:t>
          </a:r>
        </a:p>
        <a:p xmlns:a="http://schemas.openxmlformats.org/drawingml/2006/main">
          <a:pPr algn="ctr"/>
          <a:r>
            <a:rPr lang="lv-LV" sz="900" dirty="0">
              <a:latin typeface="Times New Roman" panose="02020603050405020304" pitchFamily="18" charset="0"/>
              <a:ea typeface="Verdana" panose="020B0604030504040204" pitchFamily="34" charset="0"/>
              <a:cs typeface="Times New Roman" panose="02020603050405020304" pitchFamily="18" charset="0"/>
            </a:rPr>
            <a:t>Lietuva – 40. vieta</a:t>
          </a:r>
        </a:p>
      </cdr:txBody>
    </cdr:sp>
  </cdr:relSizeAnchor>
</c:userShapes>
</file>

<file path=word/drawings/drawing31.xml><?xml version="1.0" encoding="utf-8"?>
<c:userShapes xmlns:c="http://schemas.openxmlformats.org/drawingml/2006/chart">
  <cdr:relSizeAnchor xmlns:cdr="http://schemas.openxmlformats.org/drawingml/2006/chartDrawing">
    <cdr:from>
      <cdr:x>0.28773</cdr:x>
      <cdr:y>0.01504</cdr:y>
    </cdr:from>
    <cdr:to>
      <cdr:x>0.92107</cdr:x>
      <cdr:y>0.24812</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657350" y="38100"/>
          <a:ext cx="3648075" cy="590549"/>
        </a:xfrm>
        <a:prstGeom xmlns:a="http://schemas.openxmlformats.org/drawingml/2006/main" prst="rect">
          <a:avLst/>
        </a:prstGeom>
      </cdr:spPr>
    </cdr:pic>
  </cdr:relSizeAnchor>
</c:userShapes>
</file>

<file path=word/drawings/drawing32.xml><?xml version="1.0" encoding="utf-8"?>
<c:userShapes xmlns:c="http://schemas.openxmlformats.org/drawingml/2006/chart">
  <cdr:relSizeAnchor xmlns:cdr="http://schemas.openxmlformats.org/drawingml/2006/chartDrawing">
    <cdr:from>
      <cdr:x>0.0882</cdr:x>
      <cdr:y>0.49312</cdr:y>
    </cdr:from>
    <cdr:to>
      <cdr:x>0.63555</cdr:x>
      <cdr:y>0.71889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8021" y="1479550"/>
          <a:ext cx="3152782" cy="677399"/>
        </a:xfrm>
        <a:prstGeom xmlns:a="http://schemas.openxmlformats.org/drawingml/2006/main" prst="rect">
          <a:avLst/>
        </a:prstGeom>
      </cdr:spPr>
    </cdr:pic>
  </cdr:relSizeAnchor>
</c:userShapes>
</file>

<file path=word/drawings/drawing33.xml><?xml version="1.0" encoding="utf-8"?>
<c:userShapes xmlns:c="http://schemas.openxmlformats.org/drawingml/2006/chart">
  <cdr:relSizeAnchor xmlns:cdr="http://schemas.openxmlformats.org/drawingml/2006/chartDrawing">
    <cdr:from>
      <cdr:x>0.27285</cdr:x>
      <cdr:y>0.03758</cdr:y>
    </cdr:from>
    <cdr:to>
      <cdr:x>0.49609</cdr:x>
      <cdr:y>0.10762</cdr:y>
    </cdr:to>
    <cdr:sp macro="" textlink="">
      <cdr:nvSpPr>
        <cdr:cNvPr id="2" name="TextBox 2">
          <a:extLst xmlns:a="http://schemas.openxmlformats.org/drawingml/2006/main">
            <a:ext uri="{FF2B5EF4-FFF2-40B4-BE49-F238E27FC236}">
              <a16:creationId xmlns:a16="http://schemas.microsoft.com/office/drawing/2014/main" id="{FCD510CF-1972-40E8-96DF-A355A61DC894}"/>
            </a:ext>
          </a:extLst>
        </cdr:cNvPr>
        <cdr:cNvSpPr txBox="1"/>
      </cdr:nvSpPr>
      <cdr:spPr>
        <a:xfrm xmlns:a="http://schemas.openxmlformats.org/drawingml/2006/main">
          <a:off x="1571625" y="106417"/>
          <a:ext cx="1285876" cy="198383"/>
        </a:xfrm>
        <a:prstGeom xmlns:a="http://schemas.openxmlformats.org/drawingml/2006/main" prst="rect">
          <a:avLst/>
        </a:prstGeom>
        <a:noFill xmlns:a="http://schemas.openxmlformats.org/drawingml/2006/main"/>
        <a:ln xmlns:a="http://schemas.openxmlformats.org/drawingml/2006/main">
          <a:solidFill>
            <a:srgbClr val="C0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noAutofit/>
        </a:bodyPr>
        <a:lstStyle xmlns:a="http://schemas.openxmlformats.org/drawingml/2006/main">
          <a:defPPr>
            <a:defRPr lang="en-US"/>
          </a:defPPr>
          <a:lvl1pPr algn="l" defTabSz="938213" rtl="0" fontAlgn="base">
            <a:spcBef>
              <a:spcPct val="0"/>
            </a:spcBef>
            <a:spcAft>
              <a:spcPct val="0"/>
            </a:spcAft>
            <a:defRPr sz="1700" kern="1200">
              <a:solidFill>
                <a:schemeClr val="dk1"/>
              </a:solidFill>
              <a:latin typeface="+mn-lt"/>
              <a:ea typeface="+mn-ea"/>
              <a:cs typeface="+mn-cs"/>
            </a:defRPr>
          </a:lvl1pPr>
          <a:lvl2pPr marL="468313" indent="-11113" algn="l" defTabSz="938213" rtl="0" fontAlgn="base">
            <a:spcBef>
              <a:spcPct val="0"/>
            </a:spcBef>
            <a:spcAft>
              <a:spcPct val="0"/>
            </a:spcAft>
            <a:defRPr sz="1700" kern="1200">
              <a:solidFill>
                <a:schemeClr val="dk1"/>
              </a:solidFill>
              <a:latin typeface="+mn-lt"/>
              <a:ea typeface="+mn-ea"/>
              <a:cs typeface="+mn-cs"/>
            </a:defRPr>
          </a:lvl2pPr>
          <a:lvl3pPr marL="938213" indent="-23813" algn="l" defTabSz="938213" rtl="0" fontAlgn="base">
            <a:spcBef>
              <a:spcPct val="0"/>
            </a:spcBef>
            <a:spcAft>
              <a:spcPct val="0"/>
            </a:spcAft>
            <a:defRPr sz="1700" kern="1200">
              <a:solidFill>
                <a:schemeClr val="dk1"/>
              </a:solidFill>
              <a:latin typeface="+mn-lt"/>
              <a:ea typeface="+mn-ea"/>
              <a:cs typeface="+mn-cs"/>
            </a:defRPr>
          </a:lvl3pPr>
          <a:lvl4pPr marL="1408113" indent="-36513" algn="l" defTabSz="938213" rtl="0" fontAlgn="base">
            <a:spcBef>
              <a:spcPct val="0"/>
            </a:spcBef>
            <a:spcAft>
              <a:spcPct val="0"/>
            </a:spcAft>
            <a:defRPr sz="1700" kern="1200">
              <a:solidFill>
                <a:schemeClr val="dk1"/>
              </a:solidFill>
              <a:latin typeface="+mn-lt"/>
              <a:ea typeface="+mn-ea"/>
              <a:cs typeface="+mn-cs"/>
            </a:defRPr>
          </a:lvl4pPr>
          <a:lvl5pPr marL="1878013" indent="-49213" algn="l" defTabSz="938213" rtl="0" fontAlgn="base">
            <a:spcBef>
              <a:spcPct val="0"/>
            </a:spcBef>
            <a:spcAft>
              <a:spcPct val="0"/>
            </a:spcAft>
            <a:defRPr sz="1700" kern="1200">
              <a:solidFill>
                <a:schemeClr val="dk1"/>
              </a:solidFill>
              <a:latin typeface="+mn-lt"/>
              <a:ea typeface="+mn-ea"/>
              <a:cs typeface="+mn-cs"/>
            </a:defRPr>
          </a:lvl5pPr>
          <a:lvl6pPr marL="2286000" algn="l" defTabSz="914400" rtl="0" eaLnBrk="1" latinLnBrk="0" hangingPunct="1">
            <a:defRPr sz="1700" kern="1200">
              <a:solidFill>
                <a:schemeClr val="dk1"/>
              </a:solidFill>
              <a:latin typeface="+mn-lt"/>
              <a:ea typeface="+mn-ea"/>
              <a:cs typeface="+mn-cs"/>
            </a:defRPr>
          </a:lvl6pPr>
          <a:lvl7pPr marL="2743200" algn="l" defTabSz="914400" rtl="0" eaLnBrk="1" latinLnBrk="0" hangingPunct="1">
            <a:defRPr sz="1700" kern="1200">
              <a:solidFill>
                <a:schemeClr val="dk1"/>
              </a:solidFill>
              <a:latin typeface="+mn-lt"/>
              <a:ea typeface="+mn-ea"/>
              <a:cs typeface="+mn-cs"/>
            </a:defRPr>
          </a:lvl7pPr>
          <a:lvl8pPr marL="3200400" algn="l" defTabSz="914400" rtl="0" eaLnBrk="1" latinLnBrk="0" hangingPunct="1">
            <a:defRPr sz="1700" kern="1200">
              <a:solidFill>
                <a:schemeClr val="dk1"/>
              </a:solidFill>
              <a:latin typeface="+mn-lt"/>
              <a:ea typeface="+mn-ea"/>
              <a:cs typeface="+mn-cs"/>
            </a:defRPr>
          </a:lvl8pPr>
          <a:lvl9pPr marL="3657600" algn="l" defTabSz="914400" rtl="0" eaLnBrk="1" latinLnBrk="0" hangingPunct="1">
            <a:defRPr sz="1700" kern="1200">
              <a:solidFill>
                <a:schemeClr val="dk1"/>
              </a:solidFill>
              <a:latin typeface="+mn-lt"/>
              <a:ea typeface="+mn-ea"/>
              <a:cs typeface="+mn-cs"/>
            </a:defRPr>
          </a:lvl9pPr>
        </a:lstStyle>
        <a:p xmlns:a="http://schemas.openxmlformats.org/drawingml/2006/main">
          <a:pPr algn="ctr"/>
          <a:r>
            <a:rPr lang="lv-LV" sz="900" dirty="0">
              <a:latin typeface="Times New Roman" panose="02020603050405020304" pitchFamily="18" charset="0"/>
              <a:ea typeface="Verdana" panose="020B0604030504040204" pitchFamily="34" charset="0"/>
              <a:cs typeface="Times New Roman" panose="02020603050405020304" pitchFamily="18" charset="0"/>
            </a:rPr>
            <a:t>Rādītāju plānotā vērtība</a:t>
          </a:r>
        </a:p>
      </cdr:txBody>
    </cdr:sp>
  </cdr:relSizeAnchor>
  <cdr:relSizeAnchor xmlns:cdr="http://schemas.openxmlformats.org/drawingml/2006/chartDrawing">
    <cdr:from>
      <cdr:x>0.49518</cdr:x>
      <cdr:y>0.03739</cdr:y>
    </cdr:from>
    <cdr:to>
      <cdr:x>0.56885</cdr:x>
      <cdr:y>0.12108</cdr:y>
    </cdr:to>
    <cdr:cxnSp macro="">
      <cdr:nvCxnSpPr>
        <cdr:cNvPr id="3" name="Straight Arrow Connector 2">
          <a:extLst xmlns:a="http://schemas.openxmlformats.org/drawingml/2006/main">
            <a:ext uri="{FF2B5EF4-FFF2-40B4-BE49-F238E27FC236}">
              <a16:creationId xmlns:a16="http://schemas.microsoft.com/office/drawing/2014/main" id="{0405CC01-52C7-464A-BD04-A744BD2C221F}"/>
            </a:ext>
          </a:extLst>
        </cdr:cNvPr>
        <cdr:cNvCxnSpPr>
          <a:cxnSpLocks xmlns:a="http://schemas.openxmlformats.org/drawingml/2006/main"/>
        </cdr:cNvCxnSpPr>
      </cdr:nvCxnSpPr>
      <cdr:spPr>
        <a:xfrm xmlns:a="http://schemas.openxmlformats.org/drawingml/2006/main">
          <a:off x="2852284" y="105879"/>
          <a:ext cx="424316" cy="237021"/>
        </a:xfrm>
        <a:prstGeom xmlns:a="http://schemas.openxmlformats.org/drawingml/2006/main" prst="straightConnector1">
          <a:avLst/>
        </a:prstGeom>
        <a:ln xmlns:a="http://schemas.openxmlformats.org/drawingml/2006/main">
          <a:solidFill>
            <a:srgbClr val="C00000"/>
          </a:solidFill>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0.66138</cdr:x>
      <cdr:y>0.49783</cdr:y>
    </cdr:from>
    <cdr:to>
      <cdr:x>0.90122</cdr:x>
      <cdr:y>0.57727</cdr:y>
    </cdr:to>
    <cdr:sp macro="" textlink="">
      <cdr:nvSpPr>
        <cdr:cNvPr id="8" name="TextBox 11">
          <a:extLst xmlns:a="http://schemas.openxmlformats.org/drawingml/2006/main">
            <a:ext uri="{FF2B5EF4-FFF2-40B4-BE49-F238E27FC236}">
              <a16:creationId xmlns:a16="http://schemas.microsoft.com/office/drawing/2014/main" id="{2129562E-6439-44CF-A698-C0483EB2C0E0}"/>
            </a:ext>
          </a:extLst>
        </cdr:cNvPr>
        <cdr:cNvSpPr txBox="1"/>
      </cdr:nvSpPr>
      <cdr:spPr>
        <a:xfrm xmlns:a="http://schemas.openxmlformats.org/drawingml/2006/main">
          <a:off x="3809631" y="1409898"/>
          <a:ext cx="1381493" cy="224998"/>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wrap="square" rtlCol="0">
          <a:spAutoFit/>
        </a:bodyPr>
        <a:lstStyle xmlns:a="http://schemas.openxmlformats.org/drawingml/2006/main">
          <a:defPPr>
            <a:defRPr lang="en-US"/>
          </a:defPPr>
          <a:lvl1pPr algn="l" defTabSz="938213" rtl="0" fontAlgn="base">
            <a:spcBef>
              <a:spcPct val="0"/>
            </a:spcBef>
            <a:spcAft>
              <a:spcPct val="0"/>
            </a:spcAft>
            <a:defRPr sz="1700" kern="1200">
              <a:solidFill>
                <a:schemeClr val="dk1"/>
              </a:solidFill>
              <a:latin typeface="+mn-lt"/>
              <a:ea typeface="+mn-ea"/>
              <a:cs typeface="+mn-cs"/>
            </a:defRPr>
          </a:lvl1pPr>
          <a:lvl2pPr marL="468313" indent="-11113" algn="l" defTabSz="938213" rtl="0" fontAlgn="base">
            <a:spcBef>
              <a:spcPct val="0"/>
            </a:spcBef>
            <a:spcAft>
              <a:spcPct val="0"/>
            </a:spcAft>
            <a:defRPr sz="1700" kern="1200">
              <a:solidFill>
                <a:schemeClr val="dk1"/>
              </a:solidFill>
              <a:latin typeface="+mn-lt"/>
              <a:ea typeface="+mn-ea"/>
              <a:cs typeface="+mn-cs"/>
            </a:defRPr>
          </a:lvl2pPr>
          <a:lvl3pPr marL="938213" indent="-23813" algn="l" defTabSz="938213" rtl="0" fontAlgn="base">
            <a:spcBef>
              <a:spcPct val="0"/>
            </a:spcBef>
            <a:spcAft>
              <a:spcPct val="0"/>
            </a:spcAft>
            <a:defRPr sz="1700" kern="1200">
              <a:solidFill>
                <a:schemeClr val="dk1"/>
              </a:solidFill>
              <a:latin typeface="+mn-lt"/>
              <a:ea typeface="+mn-ea"/>
              <a:cs typeface="+mn-cs"/>
            </a:defRPr>
          </a:lvl3pPr>
          <a:lvl4pPr marL="1408113" indent="-36513" algn="l" defTabSz="938213" rtl="0" fontAlgn="base">
            <a:spcBef>
              <a:spcPct val="0"/>
            </a:spcBef>
            <a:spcAft>
              <a:spcPct val="0"/>
            </a:spcAft>
            <a:defRPr sz="1700" kern="1200">
              <a:solidFill>
                <a:schemeClr val="dk1"/>
              </a:solidFill>
              <a:latin typeface="+mn-lt"/>
              <a:ea typeface="+mn-ea"/>
              <a:cs typeface="+mn-cs"/>
            </a:defRPr>
          </a:lvl4pPr>
          <a:lvl5pPr marL="1878013" indent="-49213" algn="l" defTabSz="938213" rtl="0" fontAlgn="base">
            <a:spcBef>
              <a:spcPct val="0"/>
            </a:spcBef>
            <a:spcAft>
              <a:spcPct val="0"/>
            </a:spcAft>
            <a:defRPr sz="1700" kern="1200">
              <a:solidFill>
                <a:schemeClr val="dk1"/>
              </a:solidFill>
              <a:latin typeface="+mn-lt"/>
              <a:ea typeface="+mn-ea"/>
              <a:cs typeface="+mn-cs"/>
            </a:defRPr>
          </a:lvl5pPr>
          <a:lvl6pPr marL="2286000" algn="l" defTabSz="914400" rtl="0" eaLnBrk="1" latinLnBrk="0" hangingPunct="1">
            <a:defRPr sz="1700" kern="1200">
              <a:solidFill>
                <a:schemeClr val="dk1"/>
              </a:solidFill>
              <a:latin typeface="+mn-lt"/>
              <a:ea typeface="+mn-ea"/>
              <a:cs typeface="+mn-cs"/>
            </a:defRPr>
          </a:lvl6pPr>
          <a:lvl7pPr marL="2743200" algn="l" defTabSz="914400" rtl="0" eaLnBrk="1" latinLnBrk="0" hangingPunct="1">
            <a:defRPr sz="1700" kern="1200">
              <a:solidFill>
                <a:schemeClr val="dk1"/>
              </a:solidFill>
              <a:latin typeface="+mn-lt"/>
              <a:ea typeface="+mn-ea"/>
              <a:cs typeface="+mn-cs"/>
            </a:defRPr>
          </a:lvl7pPr>
          <a:lvl8pPr marL="3200400" algn="l" defTabSz="914400" rtl="0" eaLnBrk="1" latinLnBrk="0" hangingPunct="1">
            <a:defRPr sz="1700" kern="1200">
              <a:solidFill>
                <a:schemeClr val="dk1"/>
              </a:solidFill>
              <a:latin typeface="+mn-lt"/>
              <a:ea typeface="+mn-ea"/>
              <a:cs typeface="+mn-cs"/>
            </a:defRPr>
          </a:lvl8pPr>
          <a:lvl9pPr marL="3657600" algn="l" defTabSz="914400" rtl="0" eaLnBrk="1" latinLnBrk="0" hangingPunct="1">
            <a:defRPr sz="1700" kern="1200">
              <a:solidFill>
                <a:schemeClr val="dk1"/>
              </a:solidFill>
              <a:latin typeface="+mn-lt"/>
              <a:ea typeface="+mn-ea"/>
              <a:cs typeface="+mn-cs"/>
            </a:defRPr>
          </a:lvl9pPr>
        </a:lstStyle>
        <a:p xmlns:a="http://schemas.openxmlformats.org/drawingml/2006/main">
          <a:r>
            <a:rPr lang="lv-LV" sz="900" dirty="0">
              <a:latin typeface="Times New Roman" panose="02020603050405020304" pitchFamily="18" charset="0"/>
              <a:ea typeface="Verdana" panose="020B0604030504040204" pitchFamily="34" charset="0"/>
              <a:cs typeface="Times New Roman" panose="02020603050405020304" pitchFamily="18" charset="0"/>
            </a:rPr>
            <a:t>Plāns 2027. gadam - </a:t>
          </a:r>
          <a:r>
            <a:rPr lang="lv-LV" sz="900" b="1" dirty="0">
              <a:solidFill>
                <a:schemeClr val="accent6">
                  <a:lumMod val="50000"/>
                </a:schemeClr>
              </a:solidFill>
              <a:latin typeface="Times New Roman" panose="02020603050405020304" pitchFamily="18" charset="0"/>
              <a:ea typeface="Verdana" panose="020B0604030504040204" pitchFamily="34" charset="0"/>
              <a:cs typeface="Times New Roman" panose="02020603050405020304" pitchFamily="18" charset="0"/>
            </a:rPr>
            <a:t>25</a:t>
          </a:r>
        </a:p>
      </cdr:txBody>
    </cdr:sp>
  </cdr:relSizeAnchor>
  <cdr:relSizeAnchor xmlns:cdr="http://schemas.openxmlformats.org/drawingml/2006/chartDrawing">
    <cdr:from>
      <cdr:x>0.66138</cdr:x>
      <cdr:y>0.40702</cdr:y>
    </cdr:from>
    <cdr:to>
      <cdr:x>0.90122</cdr:x>
      <cdr:y>0.48647</cdr:y>
    </cdr:to>
    <cdr:sp macro="" textlink="">
      <cdr:nvSpPr>
        <cdr:cNvPr id="9" name="TextBox 12">
          <a:extLst xmlns:a="http://schemas.openxmlformats.org/drawingml/2006/main">
            <a:ext uri="{FF2B5EF4-FFF2-40B4-BE49-F238E27FC236}">
              <a16:creationId xmlns:a16="http://schemas.microsoft.com/office/drawing/2014/main" id="{316023E3-A9E4-4904-984D-AE11F78E67C4}"/>
            </a:ext>
          </a:extLst>
        </cdr:cNvPr>
        <cdr:cNvSpPr txBox="1"/>
      </cdr:nvSpPr>
      <cdr:spPr>
        <a:xfrm xmlns:a="http://schemas.openxmlformats.org/drawingml/2006/main">
          <a:off x="3809632" y="1152722"/>
          <a:ext cx="1381493" cy="224998"/>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spAutoFit/>
        </a:bodyPr>
        <a:lstStyle xmlns:a="http://schemas.openxmlformats.org/drawingml/2006/main">
          <a:defPPr>
            <a:defRPr lang="en-US"/>
          </a:defPPr>
          <a:lvl1pPr algn="l" defTabSz="938213" rtl="0" fontAlgn="base">
            <a:spcBef>
              <a:spcPct val="0"/>
            </a:spcBef>
            <a:spcAft>
              <a:spcPct val="0"/>
            </a:spcAft>
            <a:defRPr sz="1700" kern="1200">
              <a:solidFill>
                <a:schemeClr val="dk1"/>
              </a:solidFill>
              <a:latin typeface="+mn-lt"/>
              <a:ea typeface="+mn-ea"/>
              <a:cs typeface="+mn-cs"/>
            </a:defRPr>
          </a:lvl1pPr>
          <a:lvl2pPr marL="468313" indent="-11113" algn="l" defTabSz="938213" rtl="0" fontAlgn="base">
            <a:spcBef>
              <a:spcPct val="0"/>
            </a:spcBef>
            <a:spcAft>
              <a:spcPct val="0"/>
            </a:spcAft>
            <a:defRPr sz="1700" kern="1200">
              <a:solidFill>
                <a:schemeClr val="dk1"/>
              </a:solidFill>
              <a:latin typeface="+mn-lt"/>
              <a:ea typeface="+mn-ea"/>
              <a:cs typeface="+mn-cs"/>
            </a:defRPr>
          </a:lvl2pPr>
          <a:lvl3pPr marL="938213" indent="-23813" algn="l" defTabSz="938213" rtl="0" fontAlgn="base">
            <a:spcBef>
              <a:spcPct val="0"/>
            </a:spcBef>
            <a:spcAft>
              <a:spcPct val="0"/>
            </a:spcAft>
            <a:defRPr sz="1700" kern="1200">
              <a:solidFill>
                <a:schemeClr val="dk1"/>
              </a:solidFill>
              <a:latin typeface="+mn-lt"/>
              <a:ea typeface="+mn-ea"/>
              <a:cs typeface="+mn-cs"/>
            </a:defRPr>
          </a:lvl3pPr>
          <a:lvl4pPr marL="1408113" indent="-36513" algn="l" defTabSz="938213" rtl="0" fontAlgn="base">
            <a:spcBef>
              <a:spcPct val="0"/>
            </a:spcBef>
            <a:spcAft>
              <a:spcPct val="0"/>
            </a:spcAft>
            <a:defRPr sz="1700" kern="1200">
              <a:solidFill>
                <a:schemeClr val="dk1"/>
              </a:solidFill>
              <a:latin typeface="+mn-lt"/>
              <a:ea typeface="+mn-ea"/>
              <a:cs typeface="+mn-cs"/>
            </a:defRPr>
          </a:lvl4pPr>
          <a:lvl5pPr marL="1878013" indent="-49213" algn="l" defTabSz="938213" rtl="0" fontAlgn="base">
            <a:spcBef>
              <a:spcPct val="0"/>
            </a:spcBef>
            <a:spcAft>
              <a:spcPct val="0"/>
            </a:spcAft>
            <a:defRPr sz="1700" kern="1200">
              <a:solidFill>
                <a:schemeClr val="dk1"/>
              </a:solidFill>
              <a:latin typeface="+mn-lt"/>
              <a:ea typeface="+mn-ea"/>
              <a:cs typeface="+mn-cs"/>
            </a:defRPr>
          </a:lvl5pPr>
          <a:lvl6pPr marL="2286000" algn="l" defTabSz="914400" rtl="0" eaLnBrk="1" latinLnBrk="0" hangingPunct="1">
            <a:defRPr sz="1700" kern="1200">
              <a:solidFill>
                <a:schemeClr val="dk1"/>
              </a:solidFill>
              <a:latin typeface="+mn-lt"/>
              <a:ea typeface="+mn-ea"/>
              <a:cs typeface="+mn-cs"/>
            </a:defRPr>
          </a:lvl6pPr>
          <a:lvl7pPr marL="2743200" algn="l" defTabSz="914400" rtl="0" eaLnBrk="1" latinLnBrk="0" hangingPunct="1">
            <a:defRPr sz="1700" kern="1200">
              <a:solidFill>
                <a:schemeClr val="dk1"/>
              </a:solidFill>
              <a:latin typeface="+mn-lt"/>
              <a:ea typeface="+mn-ea"/>
              <a:cs typeface="+mn-cs"/>
            </a:defRPr>
          </a:lvl7pPr>
          <a:lvl8pPr marL="3200400" algn="l" defTabSz="914400" rtl="0" eaLnBrk="1" latinLnBrk="0" hangingPunct="1">
            <a:defRPr sz="1700" kern="1200">
              <a:solidFill>
                <a:schemeClr val="dk1"/>
              </a:solidFill>
              <a:latin typeface="+mn-lt"/>
              <a:ea typeface="+mn-ea"/>
              <a:cs typeface="+mn-cs"/>
            </a:defRPr>
          </a:lvl8pPr>
          <a:lvl9pPr marL="3657600" algn="l" defTabSz="914400" rtl="0" eaLnBrk="1" latinLnBrk="0" hangingPunct="1">
            <a:defRPr sz="1700" kern="1200">
              <a:solidFill>
                <a:schemeClr val="dk1"/>
              </a:solidFill>
              <a:latin typeface="+mn-lt"/>
              <a:ea typeface="+mn-ea"/>
              <a:cs typeface="+mn-cs"/>
            </a:defRPr>
          </a:lvl9pPr>
        </a:lstStyle>
        <a:p xmlns:a="http://schemas.openxmlformats.org/drawingml/2006/main">
          <a:r>
            <a:rPr lang="lv-LV" sz="900" dirty="0">
              <a:latin typeface="Times New Roman" panose="02020603050405020304" pitchFamily="18" charset="0"/>
              <a:ea typeface="Verdana" panose="020B0604030504040204" pitchFamily="34" charset="0"/>
              <a:cs typeface="Times New Roman" panose="02020603050405020304" pitchFamily="18" charset="0"/>
            </a:rPr>
            <a:t>Plāns 2027. gadam - </a:t>
          </a:r>
          <a:r>
            <a:rPr lang="lv-LV" sz="900" b="1" dirty="0">
              <a:solidFill>
                <a:schemeClr val="accent2">
                  <a:lumMod val="50000"/>
                </a:schemeClr>
              </a:solidFill>
              <a:latin typeface="Times New Roman" panose="02020603050405020304" pitchFamily="18" charset="0"/>
              <a:ea typeface="Verdana" panose="020B0604030504040204" pitchFamily="34" charset="0"/>
              <a:cs typeface="Times New Roman" panose="02020603050405020304" pitchFamily="18" charset="0"/>
            </a:rPr>
            <a:t>50</a:t>
          </a:r>
        </a:p>
      </cdr:txBody>
    </cdr:sp>
  </cdr:relSizeAnchor>
</c:userShapes>
</file>

<file path=word/drawings/drawing34.xml><?xml version="1.0" encoding="utf-8"?>
<c:userShapes xmlns:c="http://schemas.openxmlformats.org/drawingml/2006/chart">
  <cdr:relSizeAnchor xmlns:cdr="http://schemas.openxmlformats.org/drawingml/2006/chartDrawing">
    <cdr:from>
      <cdr:x>0.69572</cdr:x>
      <cdr:y>0.32192</cdr:y>
    </cdr:from>
    <cdr:to>
      <cdr:x>0.73752</cdr:x>
      <cdr:y>0.68151</cdr:y>
    </cdr:to>
    <cdr:sp macro="" textlink="">
      <cdr:nvSpPr>
        <cdr:cNvPr id="2" name="TextBox 1">
          <a:extLst xmlns:a="http://schemas.openxmlformats.org/drawingml/2006/main">
            <a:ext uri="{FF2B5EF4-FFF2-40B4-BE49-F238E27FC236}">
              <a16:creationId xmlns:a16="http://schemas.microsoft.com/office/drawing/2014/main" id="{43B4C50A-E39D-4B63-B749-3FABC76AAEAC}"/>
            </a:ext>
          </a:extLst>
        </cdr:cNvPr>
        <cdr:cNvSpPr txBox="1"/>
      </cdr:nvSpPr>
      <cdr:spPr>
        <a:xfrm xmlns:a="http://schemas.openxmlformats.org/drawingml/2006/main" rot="16200000">
          <a:off x="3661979" y="1179457"/>
          <a:ext cx="931626" cy="240772"/>
        </a:xfrm>
        <a:prstGeom xmlns:a="http://schemas.openxmlformats.org/drawingml/2006/main" prst="rect">
          <a:avLst/>
        </a:prstGeom>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900" dirty="0">
              <a:latin typeface="Times New Roman" panose="02020603050405020304" pitchFamily="18" charset="0"/>
              <a:ea typeface="Verdana" panose="020B0604030504040204" pitchFamily="34" charset="0"/>
              <a:cs typeface="Times New Roman" panose="02020603050405020304" pitchFamily="18" charset="0"/>
            </a:rPr>
            <a:t>Plānotās vērtības</a:t>
          </a:r>
        </a:p>
      </cdr:txBody>
    </cdr:sp>
  </cdr:relSizeAnchor>
  <cdr:relSizeAnchor xmlns:cdr="http://schemas.openxmlformats.org/drawingml/2006/chartDrawing">
    <cdr:from>
      <cdr:x>0.6631</cdr:x>
      <cdr:y>0.38082</cdr:y>
    </cdr:from>
    <cdr:to>
      <cdr:x>0.6846</cdr:x>
      <cdr:y>0.64726</cdr:y>
    </cdr:to>
    <cdr:sp macro="" textlink="">
      <cdr:nvSpPr>
        <cdr:cNvPr id="3" name="Right Brace 2">
          <a:extLst xmlns:a="http://schemas.openxmlformats.org/drawingml/2006/main">
            <a:ext uri="{FF2B5EF4-FFF2-40B4-BE49-F238E27FC236}">
              <a16:creationId xmlns:a16="http://schemas.microsoft.com/office/drawing/2014/main" id="{69B8152A-F746-4A9A-A24E-3B204325F7DC}"/>
            </a:ext>
          </a:extLst>
        </cdr:cNvPr>
        <cdr:cNvSpPr/>
      </cdr:nvSpPr>
      <cdr:spPr>
        <a:xfrm xmlns:a="http://schemas.openxmlformats.org/drawingml/2006/main">
          <a:off x="3819541" y="1059175"/>
          <a:ext cx="123809" cy="741050"/>
        </a:xfrm>
        <a:prstGeom xmlns:a="http://schemas.openxmlformats.org/drawingml/2006/main" prst="rightBrace">
          <a:avLst>
            <a:gd name="adj1" fmla="val 8333"/>
            <a:gd name="adj2" fmla="val 51684"/>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defPPr>
            <a:defRPr lang="en-US"/>
          </a:defPPr>
          <a:lvl1pPr algn="l" defTabSz="938213" rtl="0" fontAlgn="base">
            <a:spcBef>
              <a:spcPct val="0"/>
            </a:spcBef>
            <a:spcAft>
              <a:spcPct val="0"/>
            </a:spcAft>
            <a:defRPr sz="1700" kern="1200">
              <a:solidFill>
                <a:schemeClr val="tx1"/>
              </a:solidFill>
              <a:latin typeface="+mn-lt"/>
              <a:ea typeface="+mn-ea"/>
              <a:cs typeface="+mn-cs"/>
            </a:defRPr>
          </a:lvl1pPr>
          <a:lvl2pPr marL="468313" indent="-11113" algn="l" defTabSz="938213" rtl="0" fontAlgn="base">
            <a:spcBef>
              <a:spcPct val="0"/>
            </a:spcBef>
            <a:spcAft>
              <a:spcPct val="0"/>
            </a:spcAft>
            <a:defRPr sz="1700" kern="1200">
              <a:solidFill>
                <a:schemeClr val="tx1"/>
              </a:solidFill>
              <a:latin typeface="+mn-lt"/>
              <a:ea typeface="+mn-ea"/>
              <a:cs typeface="+mn-cs"/>
            </a:defRPr>
          </a:lvl2pPr>
          <a:lvl3pPr marL="938213" indent="-23813" algn="l" defTabSz="938213" rtl="0" fontAlgn="base">
            <a:spcBef>
              <a:spcPct val="0"/>
            </a:spcBef>
            <a:spcAft>
              <a:spcPct val="0"/>
            </a:spcAft>
            <a:defRPr sz="1700" kern="1200">
              <a:solidFill>
                <a:schemeClr val="tx1"/>
              </a:solidFill>
              <a:latin typeface="+mn-lt"/>
              <a:ea typeface="+mn-ea"/>
              <a:cs typeface="+mn-cs"/>
            </a:defRPr>
          </a:lvl3pPr>
          <a:lvl4pPr marL="1408113" indent="-36513" algn="l" defTabSz="938213" rtl="0" fontAlgn="base">
            <a:spcBef>
              <a:spcPct val="0"/>
            </a:spcBef>
            <a:spcAft>
              <a:spcPct val="0"/>
            </a:spcAft>
            <a:defRPr sz="1700" kern="1200">
              <a:solidFill>
                <a:schemeClr val="tx1"/>
              </a:solidFill>
              <a:latin typeface="+mn-lt"/>
              <a:ea typeface="+mn-ea"/>
              <a:cs typeface="+mn-cs"/>
            </a:defRPr>
          </a:lvl4pPr>
          <a:lvl5pPr marL="1878013" indent="-49213" algn="l" defTabSz="938213" rtl="0" fontAlgn="base">
            <a:spcBef>
              <a:spcPct val="0"/>
            </a:spcBef>
            <a:spcAft>
              <a:spcPct val="0"/>
            </a:spcAft>
            <a:defRPr sz="1700" kern="1200">
              <a:solidFill>
                <a:schemeClr val="tx1"/>
              </a:solidFill>
              <a:latin typeface="+mn-lt"/>
              <a:ea typeface="+mn-ea"/>
              <a:cs typeface="+mn-cs"/>
            </a:defRPr>
          </a:lvl5pPr>
          <a:lvl6pPr marL="2286000" algn="l" defTabSz="914400" rtl="0" eaLnBrk="1" latinLnBrk="0" hangingPunct="1">
            <a:defRPr sz="1700" kern="1200">
              <a:solidFill>
                <a:schemeClr val="tx1"/>
              </a:solidFill>
              <a:latin typeface="+mn-lt"/>
              <a:ea typeface="+mn-ea"/>
              <a:cs typeface="+mn-cs"/>
            </a:defRPr>
          </a:lvl6pPr>
          <a:lvl7pPr marL="2743200" algn="l" defTabSz="914400" rtl="0" eaLnBrk="1" latinLnBrk="0" hangingPunct="1">
            <a:defRPr sz="1700" kern="1200">
              <a:solidFill>
                <a:schemeClr val="tx1"/>
              </a:solidFill>
              <a:latin typeface="+mn-lt"/>
              <a:ea typeface="+mn-ea"/>
              <a:cs typeface="+mn-cs"/>
            </a:defRPr>
          </a:lvl7pPr>
          <a:lvl8pPr marL="3200400" algn="l" defTabSz="914400" rtl="0" eaLnBrk="1" latinLnBrk="0" hangingPunct="1">
            <a:defRPr sz="1700" kern="1200">
              <a:solidFill>
                <a:schemeClr val="tx1"/>
              </a:solidFill>
              <a:latin typeface="+mn-lt"/>
              <a:ea typeface="+mn-ea"/>
              <a:cs typeface="+mn-cs"/>
            </a:defRPr>
          </a:lvl8pPr>
          <a:lvl9pPr marL="3657600" algn="l" defTabSz="914400" rtl="0" eaLnBrk="1" latinLnBrk="0" hangingPunct="1">
            <a:defRPr sz="1700" kern="1200">
              <a:solidFill>
                <a:schemeClr val="tx1"/>
              </a:solidFill>
              <a:latin typeface="+mn-lt"/>
              <a:ea typeface="+mn-ea"/>
              <a:cs typeface="+mn-cs"/>
            </a:defRPr>
          </a:lvl9pPr>
        </a:lstStyle>
        <a:p xmlns:a="http://schemas.openxmlformats.org/drawingml/2006/main">
          <a:pPr algn="ctr"/>
          <a:endParaRPr lang="lv-LV"/>
        </a:p>
      </cdr:txBody>
    </cdr:sp>
  </cdr:relSizeAnchor>
</c:userShapes>
</file>

<file path=word/drawings/drawing35.xml><?xml version="1.0" encoding="utf-8"?>
<c:userShapes xmlns:c="http://schemas.openxmlformats.org/drawingml/2006/chart">
  <cdr:relSizeAnchor xmlns:cdr="http://schemas.openxmlformats.org/drawingml/2006/chartDrawing">
    <cdr:from>
      <cdr:x>0.70853</cdr:x>
      <cdr:y>0.52583</cdr:y>
    </cdr:from>
    <cdr:to>
      <cdr:x>0.90409</cdr:x>
      <cdr:y>0.60871</cdr:y>
    </cdr:to>
    <cdr:sp macro="" textlink="">
      <cdr:nvSpPr>
        <cdr:cNvPr id="2" name="TextBox 2">
          <a:extLst xmlns:a="http://schemas.openxmlformats.org/drawingml/2006/main">
            <a:ext uri="{FF2B5EF4-FFF2-40B4-BE49-F238E27FC236}">
              <a16:creationId xmlns:a16="http://schemas.microsoft.com/office/drawing/2014/main" id="{835F5DBD-8179-4472-BD71-EA76191EB62D}"/>
            </a:ext>
          </a:extLst>
        </cdr:cNvPr>
        <cdr:cNvSpPr txBox="1"/>
      </cdr:nvSpPr>
      <cdr:spPr>
        <a:xfrm xmlns:a="http://schemas.openxmlformats.org/drawingml/2006/main">
          <a:off x="4081193" y="1427431"/>
          <a:ext cx="1126442" cy="224998"/>
        </a:xfrm>
        <a:prstGeom xmlns:a="http://schemas.openxmlformats.org/drawingml/2006/main" prst="rect">
          <a:avLst/>
        </a:prstGeom>
        <a:ln xmlns:a="http://schemas.openxmlformats.org/drawingml/2006/main">
          <a:solidFill>
            <a:srgbClr val="C0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spAutoFit/>
        </a:bodyPr>
        <a:lstStyle xmlns:a="http://schemas.openxmlformats.org/drawingml/2006/main">
          <a:defPPr>
            <a:defRPr lang="en-US"/>
          </a:defPPr>
          <a:lvl1pPr algn="l" defTabSz="938213" rtl="0" fontAlgn="base">
            <a:spcBef>
              <a:spcPct val="0"/>
            </a:spcBef>
            <a:spcAft>
              <a:spcPct val="0"/>
            </a:spcAft>
            <a:defRPr sz="1700" kern="1200">
              <a:solidFill>
                <a:schemeClr val="dk1"/>
              </a:solidFill>
              <a:latin typeface="+mn-lt"/>
              <a:ea typeface="+mn-ea"/>
              <a:cs typeface="+mn-cs"/>
            </a:defRPr>
          </a:lvl1pPr>
          <a:lvl2pPr marL="468313" indent="-11113" algn="l" defTabSz="938213" rtl="0" fontAlgn="base">
            <a:spcBef>
              <a:spcPct val="0"/>
            </a:spcBef>
            <a:spcAft>
              <a:spcPct val="0"/>
            </a:spcAft>
            <a:defRPr sz="1700" kern="1200">
              <a:solidFill>
                <a:schemeClr val="dk1"/>
              </a:solidFill>
              <a:latin typeface="+mn-lt"/>
              <a:ea typeface="+mn-ea"/>
              <a:cs typeface="+mn-cs"/>
            </a:defRPr>
          </a:lvl2pPr>
          <a:lvl3pPr marL="938213" indent="-23813" algn="l" defTabSz="938213" rtl="0" fontAlgn="base">
            <a:spcBef>
              <a:spcPct val="0"/>
            </a:spcBef>
            <a:spcAft>
              <a:spcPct val="0"/>
            </a:spcAft>
            <a:defRPr sz="1700" kern="1200">
              <a:solidFill>
                <a:schemeClr val="dk1"/>
              </a:solidFill>
              <a:latin typeface="+mn-lt"/>
              <a:ea typeface="+mn-ea"/>
              <a:cs typeface="+mn-cs"/>
            </a:defRPr>
          </a:lvl3pPr>
          <a:lvl4pPr marL="1408113" indent="-36513" algn="l" defTabSz="938213" rtl="0" fontAlgn="base">
            <a:spcBef>
              <a:spcPct val="0"/>
            </a:spcBef>
            <a:spcAft>
              <a:spcPct val="0"/>
            </a:spcAft>
            <a:defRPr sz="1700" kern="1200">
              <a:solidFill>
                <a:schemeClr val="dk1"/>
              </a:solidFill>
              <a:latin typeface="+mn-lt"/>
              <a:ea typeface="+mn-ea"/>
              <a:cs typeface="+mn-cs"/>
            </a:defRPr>
          </a:lvl4pPr>
          <a:lvl5pPr marL="1878013" indent="-49213" algn="l" defTabSz="938213" rtl="0" fontAlgn="base">
            <a:spcBef>
              <a:spcPct val="0"/>
            </a:spcBef>
            <a:spcAft>
              <a:spcPct val="0"/>
            </a:spcAft>
            <a:defRPr sz="1700" kern="1200">
              <a:solidFill>
                <a:schemeClr val="dk1"/>
              </a:solidFill>
              <a:latin typeface="+mn-lt"/>
              <a:ea typeface="+mn-ea"/>
              <a:cs typeface="+mn-cs"/>
            </a:defRPr>
          </a:lvl5pPr>
          <a:lvl6pPr marL="2286000" algn="l" defTabSz="914400" rtl="0" eaLnBrk="1" latinLnBrk="0" hangingPunct="1">
            <a:defRPr sz="1700" kern="1200">
              <a:solidFill>
                <a:schemeClr val="dk1"/>
              </a:solidFill>
              <a:latin typeface="+mn-lt"/>
              <a:ea typeface="+mn-ea"/>
              <a:cs typeface="+mn-cs"/>
            </a:defRPr>
          </a:lvl6pPr>
          <a:lvl7pPr marL="2743200" algn="l" defTabSz="914400" rtl="0" eaLnBrk="1" latinLnBrk="0" hangingPunct="1">
            <a:defRPr sz="1700" kern="1200">
              <a:solidFill>
                <a:schemeClr val="dk1"/>
              </a:solidFill>
              <a:latin typeface="+mn-lt"/>
              <a:ea typeface="+mn-ea"/>
              <a:cs typeface="+mn-cs"/>
            </a:defRPr>
          </a:lvl7pPr>
          <a:lvl8pPr marL="3200400" algn="l" defTabSz="914400" rtl="0" eaLnBrk="1" latinLnBrk="0" hangingPunct="1">
            <a:defRPr sz="1700" kern="1200">
              <a:solidFill>
                <a:schemeClr val="dk1"/>
              </a:solidFill>
              <a:latin typeface="+mn-lt"/>
              <a:ea typeface="+mn-ea"/>
              <a:cs typeface="+mn-cs"/>
            </a:defRPr>
          </a:lvl8pPr>
          <a:lvl9pPr marL="3657600" algn="l" defTabSz="914400" rtl="0" eaLnBrk="1" latinLnBrk="0" hangingPunct="1">
            <a:defRPr sz="1700" kern="1200">
              <a:solidFill>
                <a:schemeClr val="dk1"/>
              </a:solidFill>
              <a:latin typeface="+mn-lt"/>
              <a:ea typeface="+mn-ea"/>
              <a:cs typeface="+mn-cs"/>
            </a:defRPr>
          </a:lvl9pPr>
        </a:lstStyle>
        <a:p xmlns:a="http://schemas.openxmlformats.org/drawingml/2006/main">
          <a:pPr algn="ctr"/>
          <a:r>
            <a:rPr lang="lv-LV" sz="900" dirty="0">
              <a:latin typeface="Times New Roman" panose="02020603050405020304" pitchFamily="18" charset="0"/>
              <a:ea typeface="Verdana" panose="020B0604030504040204" pitchFamily="34" charset="0"/>
              <a:cs typeface="Times New Roman" panose="02020603050405020304" pitchFamily="18" charset="0"/>
            </a:rPr>
            <a:t>Covid-19 ietekme</a:t>
          </a:r>
        </a:p>
      </cdr:txBody>
    </cdr:sp>
  </cdr:relSizeAnchor>
  <cdr:relSizeAnchor xmlns:cdr="http://schemas.openxmlformats.org/drawingml/2006/chartDrawing">
    <cdr:from>
      <cdr:x>0.64326</cdr:x>
      <cdr:y>0.52218</cdr:y>
    </cdr:from>
    <cdr:to>
      <cdr:x>0.70853</cdr:x>
      <cdr:y>0.56727</cdr:y>
    </cdr:to>
    <cdr:cxnSp macro="">
      <cdr:nvCxnSpPr>
        <cdr:cNvPr id="3" name="Straight Arrow Connector 2">
          <a:extLst xmlns:a="http://schemas.openxmlformats.org/drawingml/2006/main">
            <a:ext uri="{FF2B5EF4-FFF2-40B4-BE49-F238E27FC236}">
              <a16:creationId xmlns:a16="http://schemas.microsoft.com/office/drawing/2014/main" id="{5AB8E43F-2EF7-408F-8677-1F06BD30D5FB}"/>
            </a:ext>
          </a:extLst>
        </cdr:cNvPr>
        <cdr:cNvCxnSpPr>
          <a:cxnSpLocks xmlns:a="http://schemas.openxmlformats.org/drawingml/2006/main"/>
          <a:stCxn xmlns:a="http://schemas.openxmlformats.org/drawingml/2006/main" id="2" idx="1"/>
        </cdr:cNvCxnSpPr>
      </cdr:nvCxnSpPr>
      <cdr:spPr>
        <a:xfrm xmlns:a="http://schemas.openxmlformats.org/drawingml/2006/main" flipH="1" flipV="1">
          <a:off x="3705233" y="1417524"/>
          <a:ext cx="375960" cy="122406"/>
        </a:xfrm>
        <a:prstGeom xmlns:a="http://schemas.openxmlformats.org/drawingml/2006/main" prst="straightConnector1">
          <a:avLst/>
        </a:prstGeom>
        <a:ln xmlns:a="http://schemas.openxmlformats.org/drawingml/2006/main">
          <a:solidFill>
            <a:srgbClr val="C00000"/>
          </a:solidFill>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36.xml><?xml version="1.0" encoding="utf-8"?>
<c:userShapes xmlns:c="http://schemas.openxmlformats.org/drawingml/2006/chart">
  <cdr:relSizeAnchor xmlns:cdr="http://schemas.openxmlformats.org/drawingml/2006/chartDrawing">
    <cdr:from>
      <cdr:x>0.63474</cdr:x>
      <cdr:y>0.37543</cdr:y>
    </cdr:from>
    <cdr:to>
      <cdr:x>0.90647</cdr:x>
      <cdr:y>0.45272</cdr:y>
    </cdr:to>
    <cdr:sp macro="" textlink="">
      <cdr:nvSpPr>
        <cdr:cNvPr id="2" name="TextBox 2"/>
        <cdr:cNvSpPr txBox="1"/>
      </cdr:nvSpPr>
      <cdr:spPr>
        <a:xfrm xmlns:a="http://schemas.openxmlformats.org/drawingml/2006/main">
          <a:off x="3825850" y="1315483"/>
          <a:ext cx="1637820" cy="2708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lv-LV" sz="1100" b="1">
              <a:solidFill>
                <a:srgbClr val="C00000"/>
              </a:solidFill>
              <a:latin typeface="Times New Roman" panose="02020603050405020304" pitchFamily="18" charset="0"/>
              <a:ea typeface="Tahoma" panose="020B0604030504040204" pitchFamily="34" charset="0"/>
              <a:cs typeface="Times New Roman" panose="02020603050405020304" pitchFamily="18" charset="0"/>
            </a:rPr>
            <a:t>Izdevumi vidēji ES 0,4</a:t>
          </a:r>
        </a:p>
      </cdr:txBody>
    </cdr:sp>
  </cdr:relSizeAnchor>
</c:userShapes>
</file>

<file path=word/drawings/drawing37.xml><?xml version="1.0" encoding="utf-8"?>
<c:userShapes xmlns:c="http://schemas.openxmlformats.org/drawingml/2006/chart">
  <cdr:relSizeAnchor xmlns:cdr="http://schemas.openxmlformats.org/drawingml/2006/chartDrawing">
    <cdr:from>
      <cdr:x>0.15281</cdr:x>
      <cdr:y>0.31438</cdr:y>
    </cdr:from>
    <cdr:to>
      <cdr:x>0.37868</cdr:x>
      <cdr:y>0.4302</cdr:y>
    </cdr:to>
    <cdr:sp macro="" textlink="">
      <cdr:nvSpPr>
        <cdr:cNvPr id="3" name="TextBox 1">
          <a:extLst xmlns:a="http://schemas.openxmlformats.org/drawingml/2006/main">
            <a:ext uri="{FF2B5EF4-FFF2-40B4-BE49-F238E27FC236}">
              <a16:creationId xmlns:a16="http://schemas.microsoft.com/office/drawing/2014/main" id="{DFCDDDF4-2C0C-4CDC-A171-E0345237DB19}"/>
            </a:ext>
          </a:extLst>
        </cdr:cNvPr>
        <cdr:cNvSpPr txBox="1"/>
      </cdr:nvSpPr>
      <cdr:spPr>
        <a:xfrm xmlns:a="http://schemas.openxmlformats.org/drawingml/2006/main">
          <a:off x="880223" y="868398"/>
          <a:ext cx="1301002" cy="31991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2015 -2020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0.11754</cdr:x>
      <cdr:y>0.00854</cdr:y>
    </cdr:from>
    <cdr:to>
      <cdr:x>0.71602</cdr:x>
      <cdr:y>0.13093</cdr:y>
    </cdr:to>
    <cdr:sp macro="" textlink="">
      <cdr:nvSpPr>
        <cdr:cNvPr id="4" name="TextBox 1">
          <a:extLst xmlns:a="http://schemas.openxmlformats.org/drawingml/2006/main">
            <a:ext uri="{FF2B5EF4-FFF2-40B4-BE49-F238E27FC236}">
              <a16:creationId xmlns:a16="http://schemas.microsoft.com/office/drawing/2014/main" id="{00000000-0008-0000-0900-000003000000}"/>
            </a:ext>
          </a:extLst>
        </cdr:cNvPr>
        <cdr:cNvSpPr txBox="1"/>
      </cdr:nvSpPr>
      <cdr:spPr>
        <a:xfrm xmlns:a="http://schemas.openxmlformats.org/drawingml/2006/main">
          <a:off x="677053" y="26839"/>
          <a:ext cx="3447271" cy="384709"/>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cs typeface="Times New Roman" panose="02020603050405020304" pitchFamily="18" charset="0"/>
            </a:rPr>
            <a:t>2015-2020</a:t>
          </a:r>
          <a:r>
            <a:rPr lang="lv-LV" sz="900" b="1" baseline="0">
              <a:latin typeface="Times New Roman" panose="02020603050405020304" pitchFamily="18" charset="0"/>
              <a:cs typeface="Times New Roman" panose="02020603050405020304" pitchFamily="18" charset="0"/>
            </a:rPr>
            <a:t> vidējais finansējuma atlikums – </a:t>
          </a:r>
          <a:r>
            <a:rPr lang="lv-LV" sz="900" b="1">
              <a:latin typeface="Times New Roman" panose="02020603050405020304" pitchFamily="18" charset="0"/>
              <a:cs typeface="Times New Roman" panose="02020603050405020304" pitchFamily="18" charset="0"/>
            </a:rPr>
            <a:t>360 158 </a:t>
          </a:r>
          <a:r>
            <a:rPr lang="lv-LV" sz="900" b="1" i="1" baseline="0">
              <a:latin typeface="Times New Roman" panose="02020603050405020304" pitchFamily="18" charset="0"/>
              <a:cs typeface="Times New Roman" panose="02020603050405020304" pitchFamily="18" charset="0"/>
            </a:rPr>
            <a:t>euro </a:t>
          </a:r>
          <a:r>
            <a:rPr lang="lv-LV" sz="900" b="1" i="0" baseline="0">
              <a:latin typeface="Times New Roman" panose="02020603050405020304" pitchFamily="18" charset="0"/>
              <a:cs typeface="Times New Roman" panose="02020603050405020304" pitchFamily="18" charset="0"/>
            </a:rPr>
            <a:t>jeb 13%</a:t>
          </a:r>
          <a:endParaRPr lang="lv-LV" sz="900" b="1" i="1" baseline="0">
            <a:latin typeface="Times New Roman" panose="02020603050405020304" pitchFamily="18" charset="0"/>
            <a:cs typeface="Times New Roman" panose="02020603050405020304" pitchFamily="18" charset="0"/>
          </a:endParaRP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mn-ea"/>
              <a:cs typeface="Times New Roman" panose="02020603050405020304" pitchFamily="18" charset="0"/>
            </a:rPr>
            <a:t>2015-2020</a:t>
          </a:r>
          <a:r>
            <a:rPr lang="lv-LV" sz="900" b="1" baseline="0">
              <a:solidFill>
                <a:schemeClr val="dk1"/>
              </a:solidFill>
              <a:effectLst/>
              <a:latin typeface="Times New Roman" panose="02020603050405020304" pitchFamily="18" charset="0"/>
              <a:ea typeface="+mn-ea"/>
              <a:cs typeface="Times New Roman" panose="02020603050405020304" pitchFamily="18" charset="0"/>
            </a:rPr>
            <a:t> vidējā finansējuma izpilde – 2 028 509 </a:t>
          </a:r>
          <a:r>
            <a:rPr lang="lv-LV" sz="900" b="1" i="1" baseline="0">
              <a:solidFill>
                <a:schemeClr val="dk1"/>
              </a:solidFill>
              <a:effectLst/>
              <a:latin typeface="Times New Roman" panose="02020603050405020304" pitchFamily="18" charset="0"/>
              <a:ea typeface="+mn-ea"/>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mn-ea"/>
              <a:cs typeface="Times New Roman" panose="02020603050405020304" pitchFamily="18" charset="0"/>
            </a:rPr>
            <a:t>jeb 87%</a:t>
          </a:r>
        </a:p>
        <a:p xmlns:a="http://schemas.openxmlformats.org/drawingml/2006/main">
          <a:pPr algn="ctr"/>
          <a:endParaRPr lang="lv-LV" sz="900" b="1" i="1" baseline="0"/>
        </a:p>
      </cdr:txBody>
    </cdr:sp>
  </cdr:relSizeAnchor>
</c:userShapes>
</file>

<file path=word/drawings/drawing38.xml><?xml version="1.0" encoding="utf-8"?>
<c:userShapes xmlns:c="http://schemas.openxmlformats.org/drawingml/2006/chart">
  <cdr:relSizeAnchor xmlns:cdr="http://schemas.openxmlformats.org/drawingml/2006/chartDrawing">
    <cdr:from>
      <cdr:x>0.5437</cdr:x>
      <cdr:y>0.31576</cdr:y>
    </cdr:from>
    <cdr:to>
      <cdr:x>0.90419</cdr:x>
      <cdr:y>0.38131</cdr:y>
    </cdr:to>
    <cdr:sp macro="" textlink="">
      <cdr:nvSpPr>
        <cdr:cNvPr id="2" name="TextBox 1">
          <a:extLst xmlns:a="http://schemas.openxmlformats.org/drawingml/2006/main">
            <a:ext uri="{FF2B5EF4-FFF2-40B4-BE49-F238E27FC236}">
              <a16:creationId xmlns:a16="http://schemas.microsoft.com/office/drawing/2014/main" id="{22491EF5-7F73-4157-86AE-DCB77F43906F}"/>
            </a:ext>
          </a:extLst>
        </cdr:cNvPr>
        <cdr:cNvSpPr txBox="1"/>
      </cdr:nvSpPr>
      <cdr:spPr>
        <a:xfrm xmlns:a="http://schemas.openxmlformats.org/drawingml/2006/main">
          <a:off x="3131731" y="938370"/>
          <a:ext cx="2076453" cy="194801"/>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2015 -2020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0.07211</cdr:x>
      <cdr:y>0.01335</cdr:y>
    </cdr:from>
    <cdr:to>
      <cdr:x>0.62507</cdr:x>
      <cdr:y>0.14144</cdr:y>
    </cdr:to>
    <cdr:sp macro="" textlink="">
      <cdr:nvSpPr>
        <cdr:cNvPr id="3" name="TextBox 1">
          <a:extLst xmlns:a="http://schemas.openxmlformats.org/drawingml/2006/main">
            <a:ext uri="{FF2B5EF4-FFF2-40B4-BE49-F238E27FC236}">
              <a16:creationId xmlns:a16="http://schemas.microsoft.com/office/drawing/2014/main" id="{00000000-0008-0000-0900-000003000000}"/>
            </a:ext>
          </a:extLst>
        </cdr:cNvPr>
        <cdr:cNvSpPr txBox="1"/>
      </cdr:nvSpPr>
      <cdr:spPr>
        <a:xfrm xmlns:a="http://schemas.openxmlformats.org/drawingml/2006/main">
          <a:off x="415366" y="36862"/>
          <a:ext cx="3185083" cy="353654"/>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cs typeface="Times New Roman" panose="02020603050405020304" pitchFamily="18" charset="0"/>
            </a:rPr>
            <a:t>2015-2020</a:t>
          </a:r>
          <a:r>
            <a:rPr lang="lv-LV" sz="900" b="1" baseline="0">
              <a:latin typeface="Times New Roman" panose="02020603050405020304" pitchFamily="18" charset="0"/>
              <a:cs typeface="Times New Roman" panose="02020603050405020304" pitchFamily="18" charset="0"/>
            </a:rPr>
            <a:t> vidējais finansējuma atlikums – </a:t>
          </a:r>
          <a:r>
            <a:rPr lang="lv-LV" sz="900" b="1">
              <a:latin typeface="Times New Roman" panose="02020603050405020304" pitchFamily="18" charset="0"/>
              <a:cs typeface="Times New Roman" panose="02020603050405020304" pitchFamily="18" charset="0"/>
            </a:rPr>
            <a:t>517 </a:t>
          </a:r>
          <a:r>
            <a:rPr lang="lv-LV" sz="900" b="1" i="1" baseline="0">
              <a:latin typeface="Times New Roman" panose="02020603050405020304" pitchFamily="18" charset="0"/>
              <a:cs typeface="Times New Roman" panose="02020603050405020304" pitchFamily="18" charset="0"/>
            </a:rPr>
            <a:t>euro </a:t>
          </a:r>
          <a:r>
            <a:rPr lang="lv-LV" sz="900" b="1" i="0" baseline="0">
              <a:latin typeface="Times New Roman" panose="02020603050405020304" pitchFamily="18" charset="0"/>
              <a:cs typeface="Times New Roman" panose="02020603050405020304" pitchFamily="18" charset="0"/>
            </a:rPr>
            <a:t>jeb 1%</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mn-ea"/>
              <a:cs typeface="Times New Roman" panose="02020603050405020304" pitchFamily="18" charset="0"/>
            </a:rPr>
            <a:t>2015-2020</a:t>
          </a:r>
          <a:r>
            <a:rPr lang="lv-LV" sz="900" b="1" baseline="0">
              <a:solidFill>
                <a:schemeClr val="dk1"/>
              </a:solidFill>
              <a:effectLst/>
              <a:latin typeface="Times New Roman" panose="02020603050405020304" pitchFamily="18" charset="0"/>
              <a:ea typeface="+mn-ea"/>
              <a:cs typeface="Times New Roman" panose="02020603050405020304" pitchFamily="18" charset="0"/>
            </a:rPr>
            <a:t> vidējā finansējuma izpilde – </a:t>
          </a:r>
          <a:r>
            <a:rPr lang="lv-LV" sz="900" b="1">
              <a:solidFill>
                <a:schemeClr val="dk1"/>
              </a:solidFill>
              <a:effectLst/>
              <a:latin typeface="Times New Roman" panose="02020603050405020304" pitchFamily="18" charset="0"/>
              <a:ea typeface="+mn-ea"/>
              <a:cs typeface="Times New Roman" panose="02020603050405020304" pitchFamily="18" charset="0"/>
            </a:rPr>
            <a:t>27 483 </a:t>
          </a:r>
          <a:r>
            <a:rPr lang="lv-LV" sz="900" b="1" i="1" baseline="0">
              <a:solidFill>
                <a:schemeClr val="dk1"/>
              </a:solidFill>
              <a:effectLst/>
              <a:latin typeface="Times New Roman" panose="02020603050405020304" pitchFamily="18" charset="0"/>
              <a:ea typeface="+mn-ea"/>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mn-ea"/>
              <a:cs typeface="Times New Roman" panose="02020603050405020304" pitchFamily="18" charset="0"/>
            </a:rPr>
            <a:t>jeb 99%</a:t>
          </a:r>
          <a:endParaRPr lang="lv-LV" sz="900" b="1" i="0">
            <a:effectLst/>
            <a:latin typeface="Times New Roman" panose="02020603050405020304" pitchFamily="18" charset="0"/>
            <a:cs typeface="Times New Roman" panose="02020603050405020304" pitchFamily="18" charset="0"/>
          </a:endParaRPr>
        </a:p>
        <a:p xmlns:a="http://schemas.openxmlformats.org/drawingml/2006/main">
          <a:pPr algn="ctr"/>
          <a:endParaRPr lang="lv-LV" sz="900" b="1" i="1" baseline="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0.81524</cdr:x>
      <cdr:y>0.18269</cdr:y>
    </cdr:from>
    <cdr:to>
      <cdr:x>0.86154</cdr:x>
      <cdr:y>0.21795</cdr:y>
    </cdr:to>
    <cdr:cxnSp macro="">
      <cdr:nvCxnSpPr>
        <cdr:cNvPr id="4" name="Straight Arrow Connector 3"/>
        <cdr:cNvCxnSpPr/>
      </cdr:nvCxnSpPr>
      <cdr:spPr>
        <a:xfrm xmlns:a="http://schemas.openxmlformats.org/drawingml/2006/main">
          <a:off x="4695825" y="542925"/>
          <a:ext cx="266700" cy="104775"/>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accent4"/>
        </a:lnRef>
        <a:fillRef xmlns:a="http://schemas.openxmlformats.org/drawingml/2006/main" idx="0">
          <a:schemeClr val="accent4"/>
        </a:fillRef>
        <a:effectRef xmlns:a="http://schemas.openxmlformats.org/drawingml/2006/main" idx="2">
          <a:schemeClr val="accent4"/>
        </a:effectRef>
        <a:fontRef xmlns:a="http://schemas.openxmlformats.org/drawingml/2006/main" idx="minor">
          <a:schemeClr val="tx1"/>
        </a:fontRef>
      </cdr:style>
    </cdr:cxnSp>
  </cdr:relSizeAnchor>
</c:userShapes>
</file>

<file path=word/drawings/drawing39.xml><?xml version="1.0" encoding="utf-8"?>
<c:userShapes xmlns:c="http://schemas.openxmlformats.org/drawingml/2006/chart">
  <cdr:relSizeAnchor xmlns:cdr="http://schemas.openxmlformats.org/drawingml/2006/chartDrawing">
    <cdr:from>
      <cdr:x>0.61184</cdr:x>
      <cdr:y>0.22428</cdr:y>
    </cdr:from>
    <cdr:to>
      <cdr:x>0.9796</cdr:x>
      <cdr:y>0.28812</cdr:y>
    </cdr:to>
    <cdr:sp macro="" textlink="">
      <cdr:nvSpPr>
        <cdr:cNvPr id="2" name="TextBox 1">
          <a:extLst xmlns:a="http://schemas.openxmlformats.org/drawingml/2006/main">
            <a:ext uri="{FF2B5EF4-FFF2-40B4-BE49-F238E27FC236}">
              <a16:creationId xmlns:a16="http://schemas.microsoft.com/office/drawing/2014/main" id="{A62EE010-7FE3-454B-8BE4-3B2AD0D9B20D}"/>
            </a:ext>
          </a:extLst>
        </cdr:cNvPr>
        <cdr:cNvSpPr txBox="1"/>
      </cdr:nvSpPr>
      <cdr:spPr>
        <a:xfrm xmlns:a="http://schemas.openxmlformats.org/drawingml/2006/main">
          <a:off x="3524250" y="600578"/>
          <a:ext cx="2118303" cy="170948"/>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2015-2020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0.09543</cdr:x>
      <cdr:y>0.0203</cdr:y>
    </cdr:from>
    <cdr:to>
      <cdr:x>0.67302</cdr:x>
      <cdr:y>0.13081</cdr:y>
    </cdr:to>
    <cdr:sp macro="" textlink="">
      <cdr:nvSpPr>
        <cdr:cNvPr id="3" name="TextBox 1">
          <a:extLst xmlns:a="http://schemas.openxmlformats.org/drawingml/2006/main">
            <a:ext uri="{FF2B5EF4-FFF2-40B4-BE49-F238E27FC236}">
              <a16:creationId xmlns:a16="http://schemas.microsoft.com/office/drawing/2014/main" id="{3A7BD7A3-D52E-4331-A8E0-01B64EFC47A3}"/>
            </a:ext>
          </a:extLst>
        </cdr:cNvPr>
        <cdr:cNvSpPr txBox="1"/>
      </cdr:nvSpPr>
      <cdr:spPr>
        <a:xfrm xmlns:a="http://schemas.openxmlformats.org/drawingml/2006/main">
          <a:off x="549685" y="66516"/>
          <a:ext cx="3326967" cy="362110"/>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39 459 </a:t>
          </a:r>
          <a:r>
            <a:rPr lang="lv-LV" sz="900" b="1" i="1" baseline="0">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latin typeface="Times New Roman" panose="02020603050405020304" pitchFamily="18" charset="0"/>
              <a:ea typeface="Verdana" panose="020B0604030504040204" pitchFamily="34" charset="0"/>
              <a:cs typeface="Times New Roman" panose="02020603050405020304" pitchFamily="18" charset="0"/>
            </a:rPr>
            <a:t>jeb 12%</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1" baseline="0">
              <a:solidFill>
                <a:schemeClr val="dk1"/>
              </a:solidFill>
              <a:effectLst/>
              <a:latin typeface="Times New Roman" panose="02020603050405020304" pitchFamily="18" charset="0"/>
              <a:ea typeface="+mn-ea"/>
              <a:cs typeface="Times New Roman" panose="02020603050405020304" pitchFamily="18" charset="0"/>
            </a:rPr>
            <a:t>313 117 </a:t>
          </a:r>
          <a:r>
            <a:rPr lang="lv-LV" sz="900" b="1"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jeb 88%</a:t>
          </a:r>
          <a:endParaRPr lang="lv-LV" sz="900" i="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0.15001</cdr:x>
      <cdr:y>0.14507</cdr:y>
    </cdr:from>
    <cdr:to>
      <cdr:x>0.20505</cdr:x>
      <cdr:y>0.70921</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16633" y="285286"/>
          <a:ext cx="299629" cy="110943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0.1781</cdr:x>
      <cdr:y>0.29904</cdr:y>
    </cdr:from>
    <cdr:to>
      <cdr:x>0.2745</cdr:x>
      <cdr:y>0.39657</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1025854" y="775711"/>
          <a:ext cx="555296" cy="2529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-137,3</a:t>
          </a:r>
        </a:p>
      </cdr:txBody>
    </cdr:sp>
  </cdr:relSizeAnchor>
  <cdr:relSizeAnchor xmlns:cdr="http://schemas.openxmlformats.org/drawingml/2006/chartDrawing">
    <cdr:from>
      <cdr:x>0.35472</cdr:x>
      <cdr:y>0.14347</cdr:y>
    </cdr:from>
    <cdr:to>
      <cdr:x>0.40243</cdr:x>
      <cdr:y>0.23012</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31024" y="282146"/>
          <a:ext cx="259726" cy="17040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0.35712</cdr:x>
      <cdr:y>0.03785</cdr:y>
    </cdr:from>
    <cdr:to>
      <cdr:x>0.44185</cdr:x>
      <cdr:y>0.11771</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944109" y="74428"/>
          <a:ext cx="461258" cy="1570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-17,5</a:t>
          </a:r>
        </a:p>
      </cdr:txBody>
    </cdr:sp>
  </cdr:relSizeAnchor>
  <cdr:relSizeAnchor xmlns:cdr="http://schemas.openxmlformats.org/drawingml/2006/chartDrawing">
    <cdr:from>
      <cdr:x>0.55798</cdr:x>
      <cdr:y>0.16744</cdr:y>
    </cdr:from>
    <cdr:to>
      <cdr:x>0.60612</cdr:x>
      <cdr:y>0.35996</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037559" y="329290"/>
          <a:ext cx="262067" cy="378609"/>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0.57357</cdr:x>
      <cdr:y>0.1429</cdr:y>
    </cdr:from>
    <cdr:to>
      <cdr:x>0.6583</cdr:x>
      <cdr:y>0.22276</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122411" y="281018"/>
          <a:ext cx="461258" cy="1570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-56,0</a:t>
          </a:r>
        </a:p>
      </cdr:txBody>
    </cdr:sp>
  </cdr:relSizeAnchor>
</c:userShapes>
</file>

<file path=word/drawings/drawing40.xml><?xml version="1.0" encoding="utf-8"?>
<c:userShapes xmlns:c="http://schemas.openxmlformats.org/drawingml/2006/chart">
  <cdr:relSizeAnchor xmlns:cdr="http://schemas.openxmlformats.org/drawingml/2006/chartDrawing">
    <cdr:from>
      <cdr:x>0.61019</cdr:x>
      <cdr:y>0.27155</cdr:y>
    </cdr:from>
    <cdr:to>
      <cdr:x>0.99383</cdr:x>
      <cdr:y>0.39382</cdr:y>
    </cdr:to>
    <cdr:sp macro="" textlink="">
      <cdr:nvSpPr>
        <cdr:cNvPr id="2" name="TextBox 1">
          <a:extLst xmlns:a="http://schemas.openxmlformats.org/drawingml/2006/main">
            <a:ext uri="{FF2B5EF4-FFF2-40B4-BE49-F238E27FC236}">
              <a16:creationId xmlns:a16="http://schemas.microsoft.com/office/drawing/2014/main" id="{AD31BFBB-CE30-42B8-AE4E-B515765D0F3E}"/>
            </a:ext>
          </a:extLst>
        </cdr:cNvPr>
        <cdr:cNvSpPr txBox="1"/>
      </cdr:nvSpPr>
      <cdr:spPr>
        <a:xfrm xmlns:a="http://schemas.openxmlformats.org/drawingml/2006/main">
          <a:off x="3514726" y="795795"/>
          <a:ext cx="2209800" cy="358315"/>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2015 -2020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0.09134</cdr:x>
      <cdr:y>0.03204</cdr:y>
    </cdr:from>
    <cdr:to>
      <cdr:x>0.72925</cdr:x>
      <cdr:y>0.14301</cdr:y>
    </cdr:to>
    <cdr:sp macro="" textlink="">
      <cdr:nvSpPr>
        <cdr:cNvPr id="3" name="TextBox 1">
          <a:extLst xmlns:a="http://schemas.openxmlformats.org/drawingml/2006/main">
            <a:ext uri="{FF2B5EF4-FFF2-40B4-BE49-F238E27FC236}">
              <a16:creationId xmlns:a16="http://schemas.microsoft.com/office/drawing/2014/main" id="{00000000-0008-0000-0900-000003000000}"/>
            </a:ext>
          </a:extLst>
        </cdr:cNvPr>
        <cdr:cNvSpPr txBox="1"/>
      </cdr:nvSpPr>
      <cdr:spPr>
        <a:xfrm xmlns:a="http://schemas.openxmlformats.org/drawingml/2006/main">
          <a:off x="526132" y="93899"/>
          <a:ext cx="3674393" cy="325201"/>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53 640 </a:t>
          </a:r>
          <a:r>
            <a:rPr lang="lv-LV" sz="900" b="1" i="1" baseline="0">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latin typeface="Times New Roman" panose="02020603050405020304" pitchFamily="18" charset="0"/>
              <a:ea typeface="Verdana" panose="020B0604030504040204" pitchFamily="34" charset="0"/>
              <a:cs typeface="Times New Roman" panose="02020603050405020304" pitchFamily="18" charset="0"/>
            </a:rPr>
            <a:t>jeb 24%</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1" baseline="0">
              <a:solidFill>
                <a:schemeClr val="dk1"/>
              </a:solidFill>
              <a:effectLst/>
              <a:latin typeface="Times New Roman" panose="02020603050405020304" pitchFamily="18" charset="0"/>
              <a:ea typeface="+mn-ea"/>
              <a:cs typeface="Times New Roman" panose="02020603050405020304" pitchFamily="18" charset="0"/>
            </a:rPr>
            <a:t>171 979</a:t>
          </a:r>
          <a:r>
            <a:rPr lang="lv-LV" sz="900" b="1">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a:t>
          </a:r>
          <a:r>
            <a:rPr lang="lv-LV" sz="900" b="1"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jeb 76%</a:t>
          </a:r>
          <a:endParaRPr lang="lv-LV" sz="900" i="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userShapes>
</file>

<file path=word/drawings/drawing41.xml><?xml version="1.0" encoding="utf-8"?>
<c:userShapes xmlns:c="http://schemas.openxmlformats.org/drawingml/2006/chart">
  <cdr:relSizeAnchor xmlns:cdr="http://schemas.openxmlformats.org/drawingml/2006/chartDrawing">
    <cdr:from>
      <cdr:x>0.09408</cdr:x>
      <cdr:y>0.0277</cdr:y>
    </cdr:from>
    <cdr:to>
      <cdr:x>0.68956</cdr:x>
      <cdr:y>0.15278</cdr:y>
    </cdr:to>
    <cdr:sp macro="" textlink="">
      <cdr:nvSpPr>
        <cdr:cNvPr id="2" name="TextBox 1">
          <a:extLst xmlns:a="http://schemas.openxmlformats.org/drawingml/2006/main">
            <a:ext uri="{FF2B5EF4-FFF2-40B4-BE49-F238E27FC236}">
              <a16:creationId xmlns:a16="http://schemas.microsoft.com/office/drawing/2014/main" id="{931667C0-D887-4AE3-9345-636C969F2CAF}"/>
            </a:ext>
          </a:extLst>
        </cdr:cNvPr>
        <cdr:cNvSpPr txBox="1"/>
      </cdr:nvSpPr>
      <cdr:spPr>
        <a:xfrm xmlns:a="http://schemas.openxmlformats.org/drawingml/2006/main">
          <a:off x="541927" y="77698"/>
          <a:ext cx="3429997" cy="350927"/>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ea typeface="Verdana" panose="020B0604030504040204" pitchFamily="34" charset="0"/>
              <a:cs typeface="Times New Roman" panose="02020603050405020304" pitchFamily="18" charset="0"/>
            </a:rPr>
            <a:t>2019-2020</a:t>
          </a:r>
          <a:r>
            <a:rPr lang="lv-LV" sz="900" b="1"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135 903 </a:t>
          </a:r>
          <a:r>
            <a:rPr lang="lv-LV" sz="900" b="1" i="1" baseline="0">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latin typeface="Times New Roman" panose="02020603050405020304" pitchFamily="18" charset="0"/>
              <a:ea typeface="Verdana" panose="020B0604030504040204" pitchFamily="34" charset="0"/>
              <a:cs typeface="Times New Roman" panose="02020603050405020304" pitchFamily="18" charset="0"/>
            </a:rPr>
            <a:t>jeb 55%</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2019-2020</a:t>
          </a:r>
          <a:r>
            <a:rPr lang="lv-LV" sz="900" b="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1" baseline="0">
              <a:solidFill>
                <a:schemeClr val="dk1"/>
              </a:solidFill>
              <a:effectLst/>
              <a:latin typeface="Times New Roman" panose="02020603050405020304" pitchFamily="18" charset="0"/>
              <a:ea typeface="+mn-ea"/>
              <a:cs typeface="Times New Roman" panose="02020603050405020304" pitchFamily="18" charset="0"/>
            </a:rPr>
            <a:t>109 073 </a:t>
          </a:r>
          <a:r>
            <a:rPr lang="lv-LV" sz="900" b="1"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jeb 45%</a:t>
          </a:r>
          <a:endParaRPr lang="lv-LV" sz="900" i="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dr:relSizeAnchor xmlns:cdr="http://schemas.openxmlformats.org/drawingml/2006/chartDrawing">
    <cdr:from>
      <cdr:x>0.47128</cdr:x>
      <cdr:y>0.49894</cdr:y>
    </cdr:from>
    <cdr:to>
      <cdr:x>0.86056</cdr:x>
      <cdr:y>0.58234</cdr:y>
    </cdr:to>
    <cdr:sp macro="" textlink="">
      <cdr:nvSpPr>
        <cdr:cNvPr id="3" name="TextBox 1">
          <a:extLst xmlns:a="http://schemas.openxmlformats.org/drawingml/2006/main">
            <a:ext uri="{FF2B5EF4-FFF2-40B4-BE49-F238E27FC236}">
              <a16:creationId xmlns:a16="http://schemas.microsoft.com/office/drawing/2014/main" id="{282FF922-C855-4AAC-BADB-45BFCBAE9D5B}"/>
            </a:ext>
          </a:extLst>
        </cdr:cNvPr>
        <cdr:cNvSpPr txBox="1"/>
      </cdr:nvSpPr>
      <cdr:spPr>
        <a:xfrm xmlns:a="http://schemas.openxmlformats.org/drawingml/2006/main">
          <a:off x="2714625" y="1316412"/>
          <a:ext cx="2242255" cy="220051"/>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2019-2020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userShapes>
</file>

<file path=word/drawings/drawing42.xml><?xml version="1.0" encoding="utf-8"?>
<c:userShapes xmlns:c="http://schemas.openxmlformats.org/drawingml/2006/chart">
  <cdr:relSizeAnchor xmlns:cdr="http://schemas.openxmlformats.org/drawingml/2006/chartDrawing">
    <cdr:from>
      <cdr:x>0.45971</cdr:x>
      <cdr:y>0.4496</cdr:y>
    </cdr:from>
    <cdr:to>
      <cdr:x>0.90398</cdr:x>
      <cdr:y>0.56456</cdr:y>
    </cdr:to>
    <cdr:sp macro="" textlink="">
      <cdr:nvSpPr>
        <cdr:cNvPr id="2" name="TextBox 1">
          <a:extLst xmlns:a="http://schemas.openxmlformats.org/drawingml/2006/main">
            <a:ext uri="{FF2B5EF4-FFF2-40B4-BE49-F238E27FC236}">
              <a16:creationId xmlns:a16="http://schemas.microsoft.com/office/drawing/2014/main" id="{3F590D74-F970-4E6D-9E73-C56E8097E11D}"/>
            </a:ext>
          </a:extLst>
        </cdr:cNvPr>
        <cdr:cNvSpPr txBox="1"/>
      </cdr:nvSpPr>
      <cdr:spPr>
        <a:xfrm xmlns:a="http://schemas.openxmlformats.org/drawingml/2006/main">
          <a:off x="2647950" y="1246465"/>
          <a:ext cx="2559024" cy="318716"/>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2018 -2020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0.11514</cdr:x>
      <cdr:y>0.01883</cdr:y>
    </cdr:from>
    <cdr:to>
      <cdr:x>0.75405</cdr:x>
      <cdr:y>0.1443</cdr:y>
    </cdr:to>
    <cdr:sp macro="" textlink="">
      <cdr:nvSpPr>
        <cdr:cNvPr id="3" name="TextBox 1">
          <a:extLst xmlns:a="http://schemas.openxmlformats.org/drawingml/2006/main">
            <a:ext uri="{FF2B5EF4-FFF2-40B4-BE49-F238E27FC236}">
              <a16:creationId xmlns:a16="http://schemas.microsoft.com/office/drawing/2014/main" id="{C177747C-36F6-4249-85DA-2E74AED9D537}"/>
            </a:ext>
          </a:extLst>
        </cdr:cNvPr>
        <cdr:cNvSpPr txBox="1"/>
      </cdr:nvSpPr>
      <cdr:spPr>
        <a:xfrm xmlns:a="http://schemas.openxmlformats.org/drawingml/2006/main">
          <a:off x="663190" y="52192"/>
          <a:ext cx="3680210" cy="347858"/>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ea typeface="Verdana" panose="020B0604030504040204" pitchFamily="34" charset="0"/>
              <a:cs typeface="Times New Roman" panose="02020603050405020304" pitchFamily="18" charset="0"/>
            </a:rPr>
            <a:t>2018-2020</a:t>
          </a:r>
          <a:r>
            <a:rPr lang="lv-LV" sz="900" b="1"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257 774 </a:t>
          </a:r>
          <a:r>
            <a:rPr lang="lv-LV" sz="900" b="1" i="1" baseline="0">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latin typeface="Times New Roman" panose="02020603050405020304" pitchFamily="18" charset="0"/>
              <a:ea typeface="Verdana" panose="020B0604030504040204" pitchFamily="34" charset="0"/>
              <a:cs typeface="Times New Roman" panose="02020603050405020304" pitchFamily="18" charset="0"/>
            </a:rPr>
            <a:t>jeb 43%</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2018-2020</a:t>
          </a:r>
          <a:r>
            <a:rPr lang="lv-LV" sz="900" b="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1" baseline="0">
              <a:solidFill>
                <a:schemeClr val="dk1"/>
              </a:solidFill>
              <a:effectLst/>
              <a:latin typeface="Times New Roman" panose="02020603050405020304" pitchFamily="18" charset="0"/>
              <a:ea typeface="+mn-ea"/>
              <a:cs typeface="Times New Roman" panose="02020603050405020304" pitchFamily="18" charset="0"/>
            </a:rPr>
            <a:t>317 645 </a:t>
          </a:r>
          <a:r>
            <a:rPr lang="lv-LV" sz="900" b="1"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jeb 57%</a:t>
          </a:r>
          <a:endParaRPr lang="lv-LV" sz="900" i="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userShapes>
</file>

<file path=word/drawings/drawing43.xml><?xml version="1.0" encoding="utf-8"?>
<c:userShapes xmlns:c="http://schemas.openxmlformats.org/drawingml/2006/chart">
  <cdr:relSizeAnchor xmlns:cdr="http://schemas.openxmlformats.org/drawingml/2006/chartDrawing">
    <cdr:from>
      <cdr:x>0.12018</cdr:x>
      <cdr:y>0.33326</cdr:y>
    </cdr:from>
    <cdr:to>
      <cdr:x>0.38033</cdr:x>
      <cdr:y>0.46571</cdr:y>
    </cdr:to>
    <cdr:sp macro="" textlink="">
      <cdr:nvSpPr>
        <cdr:cNvPr id="4" name="TextBox 1">
          <a:extLst xmlns:a="http://schemas.openxmlformats.org/drawingml/2006/main">
            <a:ext uri="{FF2B5EF4-FFF2-40B4-BE49-F238E27FC236}">
              <a16:creationId xmlns:a16="http://schemas.microsoft.com/office/drawing/2014/main" id="{604A54BD-889F-4215-A80B-7E4DD7C2F585}"/>
            </a:ext>
          </a:extLst>
        </cdr:cNvPr>
        <cdr:cNvSpPr txBox="1"/>
      </cdr:nvSpPr>
      <cdr:spPr>
        <a:xfrm xmlns:a="http://schemas.openxmlformats.org/drawingml/2006/main">
          <a:off x="692239" y="1180857"/>
          <a:ext cx="1498511" cy="469310"/>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2015-2020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0.09099</cdr:x>
      <cdr:y>0.01136</cdr:y>
    </cdr:from>
    <cdr:to>
      <cdr:x>0.66972</cdr:x>
      <cdr:y>0.11959</cdr:y>
    </cdr:to>
    <cdr:sp macro="" textlink="">
      <cdr:nvSpPr>
        <cdr:cNvPr id="5" name="TextBox 1">
          <a:extLst xmlns:a="http://schemas.openxmlformats.org/drawingml/2006/main">
            <a:ext uri="{FF2B5EF4-FFF2-40B4-BE49-F238E27FC236}">
              <a16:creationId xmlns:a16="http://schemas.microsoft.com/office/drawing/2014/main" id="{B40240F4-C17C-4057-B1E9-774F3559D444}"/>
            </a:ext>
          </a:extLst>
        </cdr:cNvPr>
        <cdr:cNvSpPr txBox="1"/>
      </cdr:nvSpPr>
      <cdr:spPr>
        <a:xfrm xmlns:a="http://schemas.openxmlformats.org/drawingml/2006/main">
          <a:off x="524098" y="33531"/>
          <a:ext cx="3333527" cy="319594"/>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25 164 </a:t>
          </a:r>
          <a:r>
            <a:rPr lang="lv-LV" sz="900" b="1" i="1" baseline="0">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latin typeface="Times New Roman" panose="02020603050405020304" pitchFamily="18" charset="0"/>
              <a:ea typeface="Verdana" panose="020B0604030504040204" pitchFamily="34" charset="0"/>
              <a:cs typeface="Times New Roman" panose="02020603050405020304" pitchFamily="18" charset="0"/>
            </a:rPr>
            <a:t>jeb 2%</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1" baseline="0">
              <a:solidFill>
                <a:schemeClr val="dk1"/>
              </a:solidFill>
              <a:effectLst/>
              <a:latin typeface="Times New Roman" panose="02020603050405020304" pitchFamily="18" charset="0"/>
              <a:ea typeface="+mn-ea"/>
              <a:cs typeface="Times New Roman" panose="02020603050405020304" pitchFamily="18" charset="0"/>
            </a:rPr>
            <a:t>777 754 </a:t>
          </a:r>
          <a:r>
            <a:rPr lang="lv-LV" sz="900" b="1"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jeb 98%</a:t>
          </a:r>
          <a:endParaRPr lang="lv-LV" sz="900" i="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userShapes>
</file>

<file path=word/drawings/drawing44.xml><?xml version="1.0" encoding="utf-8"?>
<c:userShapes xmlns:c="http://schemas.openxmlformats.org/drawingml/2006/chart">
  <cdr:relSizeAnchor xmlns:cdr="http://schemas.openxmlformats.org/drawingml/2006/chartDrawing">
    <cdr:from>
      <cdr:x>0.13433</cdr:x>
      <cdr:y>0.3208</cdr:y>
    </cdr:from>
    <cdr:to>
      <cdr:x>0.40988</cdr:x>
      <cdr:y>0.43976</cdr:y>
    </cdr:to>
    <cdr:sp macro="" textlink="">
      <cdr:nvSpPr>
        <cdr:cNvPr id="2" name="TextBox 1">
          <a:extLst xmlns:a="http://schemas.openxmlformats.org/drawingml/2006/main">
            <a:ext uri="{FF2B5EF4-FFF2-40B4-BE49-F238E27FC236}">
              <a16:creationId xmlns:a16="http://schemas.microsoft.com/office/drawing/2014/main" id="{A7822F02-E4F6-40E9-BB21-106054AD0092}"/>
            </a:ext>
          </a:extLst>
        </cdr:cNvPr>
        <cdr:cNvSpPr txBox="1"/>
      </cdr:nvSpPr>
      <cdr:spPr>
        <a:xfrm xmlns:a="http://schemas.openxmlformats.org/drawingml/2006/main">
          <a:off x="773760" y="1005285"/>
          <a:ext cx="1587192" cy="372788"/>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a:solidFill>
                <a:srgbClr val="C00000"/>
              </a:solidFill>
              <a:latin typeface="Times New Roman" panose="02020603050405020304" pitchFamily="18" charset="0"/>
              <a:cs typeface="Times New Roman" panose="02020603050405020304" pitchFamily="18" charset="0"/>
            </a:rPr>
            <a:t>2015-2020 vidējā </a:t>
          </a:r>
          <a:r>
            <a:rPr lang="lv-LV" sz="900" b="1" baseline="0">
              <a:solidFill>
                <a:srgbClr val="C00000"/>
              </a:solidFill>
              <a:latin typeface="Times New Roman" panose="02020603050405020304" pitchFamily="18" charset="0"/>
              <a:cs typeface="Times New Roman" panose="02020603050405020304" pitchFamily="18" charset="0"/>
            </a:rPr>
            <a:t>finansējuma izpilde</a:t>
          </a:r>
          <a:endParaRPr lang="en-US" sz="900" b="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0.11172</cdr:x>
      <cdr:y>0.01818</cdr:y>
    </cdr:from>
    <cdr:to>
      <cdr:x>0.70444</cdr:x>
      <cdr:y>0.14672</cdr:y>
    </cdr:to>
    <cdr:sp macro="" textlink="">
      <cdr:nvSpPr>
        <cdr:cNvPr id="3" name="TextBox 1">
          <a:extLst xmlns:a="http://schemas.openxmlformats.org/drawingml/2006/main">
            <a:ext uri="{FF2B5EF4-FFF2-40B4-BE49-F238E27FC236}">
              <a16:creationId xmlns:a16="http://schemas.microsoft.com/office/drawing/2014/main" id="{B32DC858-1F6B-468F-9F3A-FF39A1BC1B57}"/>
            </a:ext>
          </a:extLst>
        </cdr:cNvPr>
        <cdr:cNvSpPr txBox="1"/>
      </cdr:nvSpPr>
      <cdr:spPr>
        <a:xfrm xmlns:a="http://schemas.openxmlformats.org/drawingml/2006/main">
          <a:off x="643526" y="44854"/>
          <a:ext cx="3414123" cy="317096"/>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1">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53 590 </a:t>
          </a:r>
          <a:r>
            <a:rPr lang="lv-LV" sz="900" b="1" i="1" baseline="0">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latin typeface="Times New Roman" panose="02020603050405020304" pitchFamily="18" charset="0"/>
              <a:ea typeface="Verdana" panose="020B0604030504040204" pitchFamily="34" charset="0"/>
              <a:cs typeface="Times New Roman" panose="02020603050405020304" pitchFamily="18" charset="0"/>
            </a:rPr>
            <a:t>jeb 7%</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1">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2015-2020</a:t>
          </a:r>
          <a:r>
            <a:rPr lang="lv-LV" sz="900" b="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1" baseline="0">
              <a:solidFill>
                <a:schemeClr val="dk1"/>
              </a:solidFill>
              <a:effectLst/>
              <a:latin typeface="Times New Roman" panose="02020603050405020304" pitchFamily="18" charset="0"/>
              <a:ea typeface="+mn-ea"/>
              <a:cs typeface="Times New Roman" panose="02020603050405020304" pitchFamily="18" charset="0"/>
            </a:rPr>
            <a:t>513 520 </a:t>
          </a:r>
          <a:r>
            <a:rPr lang="lv-LV" sz="900" b="1"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a:t>
          </a:r>
          <a:r>
            <a:rPr lang="lv-LV" sz="900" b="1" i="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jeb 94%</a:t>
          </a:r>
          <a:endParaRPr lang="lv-LV" sz="900" i="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userShapes>
</file>

<file path=word/drawings/drawing45.xml><?xml version="1.0" encoding="utf-8"?>
<c:userShapes xmlns:c="http://schemas.openxmlformats.org/drawingml/2006/chart">
  <cdr:relSizeAnchor xmlns:cdr="http://schemas.openxmlformats.org/drawingml/2006/chartDrawing">
    <cdr:from>
      <cdr:x>0.79402</cdr:x>
      <cdr:y>0.01787</cdr:y>
    </cdr:from>
    <cdr:to>
      <cdr:x>1</cdr:x>
      <cdr:y>0.12887</cdr:y>
    </cdr:to>
    <cdr:sp macro="" textlink="">
      <cdr:nvSpPr>
        <cdr:cNvPr id="3" name="Arrow: Down 2">
          <a:extLst xmlns:a="http://schemas.openxmlformats.org/drawingml/2006/main">
            <a:ext uri="{FF2B5EF4-FFF2-40B4-BE49-F238E27FC236}">
              <a16:creationId xmlns:a16="http://schemas.microsoft.com/office/drawing/2014/main" id="{73A3833F-EFFA-41F9-84F9-C4116AD0B0C0}"/>
            </a:ext>
          </a:extLst>
        </cdr:cNvPr>
        <cdr:cNvSpPr/>
      </cdr:nvSpPr>
      <cdr:spPr>
        <a:xfrm xmlns:a="http://schemas.openxmlformats.org/drawingml/2006/main">
          <a:off x="4552950" y="72346"/>
          <a:ext cx="1181100" cy="449320"/>
        </a:xfrm>
        <a:prstGeom xmlns:a="http://schemas.openxmlformats.org/drawingml/2006/main" prst="downArrow">
          <a:avLst>
            <a:gd name="adj1" fmla="val 62676"/>
            <a:gd name="adj2" fmla="val 23994"/>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lv-LV" sz="90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0.83747</cdr:x>
      <cdr:y>0.00796</cdr:y>
    </cdr:from>
    <cdr:to>
      <cdr:x>1</cdr:x>
      <cdr:y>0.14725</cdr:y>
    </cdr:to>
    <cdr:sp macro="" textlink="">
      <cdr:nvSpPr>
        <cdr:cNvPr id="2" name="Text Box 1"/>
        <cdr:cNvSpPr txBox="1"/>
      </cdr:nvSpPr>
      <cdr:spPr>
        <a:xfrm xmlns:a="http://schemas.openxmlformats.org/drawingml/2006/main">
          <a:off x="4802077" y="32209"/>
          <a:ext cx="931973" cy="563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a:solidFill>
                <a:sysClr val="windowText" lastClr="000000"/>
              </a:solidFill>
              <a:latin typeface="Times New Roman" panose="02020603050405020304" pitchFamily="18" charset="0"/>
              <a:cs typeface="Times New Roman" panose="02020603050405020304" pitchFamily="18" charset="0"/>
            </a:rPr>
            <a:t>Atbalsta</a:t>
          </a:r>
        </a:p>
        <a:p xmlns:a="http://schemas.openxmlformats.org/drawingml/2006/main">
          <a:r>
            <a:rPr lang="lv-LV" sz="900">
              <a:solidFill>
                <a:sysClr val="windowText" lastClr="000000"/>
              </a:solidFill>
              <a:latin typeface="Times New Roman" panose="02020603050405020304" pitchFamily="18" charset="0"/>
              <a:cs typeface="Times New Roman" panose="02020603050405020304" pitchFamily="18" charset="0"/>
            </a:rPr>
            <a:t>funkcijas</a:t>
          </a:r>
        </a:p>
        <a:p xmlns:a="http://schemas.openxmlformats.org/drawingml/2006/main">
          <a:r>
            <a:rPr lang="lv-LV" sz="900">
              <a:solidFill>
                <a:sysClr val="windowText" lastClr="000000"/>
              </a:solidFill>
              <a:latin typeface="Times New Roman" panose="02020603050405020304" pitchFamily="18" charset="0"/>
              <a:cs typeface="Times New Roman" panose="02020603050405020304" pitchFamily="18" charset="0"/>
            </a:rPr>
            <a:t>vidēji 3,2%</a:t>
          </a:r>
        </a:p>
        <a:p xmlns:a="http://schemas.openxmlformats.org/drawingml/2006/main">
          <a:endParaRPr lang="lv-LV" sz="900"/>
        </a:p>
      </cdr:txBody>
    </cdr:sp>
  </cdr:relSizeAnchor>
</c:userShapes>
</file>

<file path=word/drawings/drawing46.xml><?xml version="1.0" encoding="utf-8"?>
<c:userShapes xmlns:c="http://schemas.openxmlformats.org/drawingml/2006/chart">
  <cdr:relSizeAnchor xmlns:cdr="http://schemas.openxmlformats.org/drawingml/2006/chartDrawing">
    <cdr:from>
      <cdr:x>0.24117</cdr:x>
      <cdr:y>0.34705</cdr:y>
    </cdr:from>
    <cdr:to>
      <cdr:x>0.33985</cdr:x>
      <cdr:y>0.44324</cdr:y>
    </cdr:to>
    <cdr:sp macro="" textlink="">
      <cdr:nvSpPr>
        <cdr:cNvPr id="2" name="Down Arrow Callout 1"/>
        <cdr:cNvSpPr/>
      </cdr:nvSpPr>
      <cdr:spPr>
        <a:xfrm xmlns:a="http://schemas.openxmlformats.org/drawingml/2006/main">
          <a:off x="1385202" y="1310587"/>
          <a:ext cx="566776" cy="363246"/>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0.26072</cdr:x>
      <cdr:y>0.34822</cdr:y>
    </cdr:from>
    <cdr:to>
      <cdr:x>0.48525</cdr:x>
      <cdr:y>0.52823</cdr:y>
    </cdr:to>
    <cdr:sp macro="" textlink="">
      <cdr:nvSpPr>
        <cdr:cNvPr id="4" name="TextBox 3"/>
        <cdr:cNvSpPr txBox="1"/>
      </cdr:nvSpPr>
      <cdr:spPr>
        <a:xfrm xmlns:a="http://schemas.openxmlformats.org/drawingml/2006/main">
          <a:off x="1497485" y="1315005"/>
          <a:ext cx="1289605" cy="6797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1,3</a:t>
          </a:r>
          <a:endParaRPr lang="en-US" sz="1000">
            <a:latin typeface="Times New Roman" panose="02020603050405020304" pitchFamily="18" charset="0"/>
            <a:cs typeface="Times New Roman" panose="02020603050405020304" pitchFamily="18" charset="0"/>
          </a:endParaRPr>
        </a:p>
      </cdr:txBody>
    </cdr:sp>
  </cdr:relSizeAnchor>
</c:userShapes>
</file>

<file path=word/drawings/drawing47.xml><?xml version="1.0" encoding="utf-8"?>
<c:userShapes xmlns:c="http://schemas.openxmlformats.org/drawingml/2006/chart">
  <cdr:relSizeAnchor xmlns:cdr="http://schemas.openxmlformats.org/drawingml/2006/chartDrawing">
    <cdr:from>
      <cdr:x>0.40414</cdr:x>
      <cdr:y>0.36938</cdr:y>
    </cdr:from>
    <cdr:to>
      <cdr:x>0.50282</cdr:x>
      <cdr:y>0.46557</cdr:y>
    </cdr:to>
    <cdr:sp macro="" textlink="">
      <cdr:nvSpPr>
        <cdr:cNvPr id="2" name="Down Arrow Callout 1"/>
        <cdr:cNvSpPr/>
      </cdr:nvSpPr>
      <cdr:spPr>
        <a:xfrm xmlns:a="http://schemas.openxmlformats.org/drawingml/2006/main">
          <a:off x="2328924" y="1440898"/>
          <a:ext cx="568656" cy="375219"/>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0.42264</cdr:x>
      <cdr:y>0.36516</cdr:y>
    </cdr:from>
    <cdr:to>
      <cdr:x>0.57484</cdr:x>
      <cdr:y>0.53553</cdr:y>
    </cdr:to>
    <cdr:sp macro="" textlink="">
      <cdr:nvSpPr>
        <cdr:cNvPr id="4" name="TextBox 3"/>
        <cdr:cNvSpPr txBox="1"/>
      </cdr:nvSpPr>
      <cdr:spPr>
        <a:xfrm xmlns:a="http://schemas.openxmlformats.org/drawingml/2006/main">
          <a:off x="2435516" y="1424416"/>
          <a:ext cx="877071" cy="6645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a:t>1,0</a:t>
          </a:r>
          <a:endParaRPr lang="en-US" sz="1100"/>
        </a:p>
      </cdr:txBody>
    </cdr:sp>
  </cdr:relSizeAnchor>
</c:userShapes>
</file>

<file path=word/drawings/drawing48.xml><?xml version="1.0" encoding="utf-8"?>
<c:userShapes xmlns:c="http://schemas.openxmlformats.org/drawingml/2006/chart">
  <cdr:relSizeAnchor xmlns:cdr="http://schemas.openxmlformats.org/drawingml/2006/chartDrawing">
    <cdr:from>
      <cdr:x>0.28507</cdr:x>
      <cdr:y>0.30568</cdr:y>
    </cdr:from>
    <cdr:to>
      <cdr:x>0.38375</cdr:x>
      <cdr:y>0.40187</cdr:y>
    </cdr:to>
    <cdr:sp macro="" textlink="">
      <cdr:nvSpPr>
        <cdr:cNvPr id="2" name="Down Arrow Callout 1"/>
        <cdr:cNvSpPr/>
      </cdr:nvSpPr>
      <cdr:spPr>
        <a:xfrm xmlns:a="http://schemas.openxmlformats.org/drawingml/2006/main">
          <a:off x="1629194" y="1156497"/>
          <a:ext cx="563956" cy="363918"/>
        </a:xfrm>
        <a:prstGeom xmlns:a="http://schemas.openxmlformats.org/drawingml/2006/main" prst="downArrowCallout">
          <a:avLst/>
        </a:prstGeom>
        <a:solidFill xmlns:a="http://schemas.openxmlformats.org/drawingml/2006/main">
          <a:schemeClr val="accent2">
            <a:lumMod val="40000"/>
            <a:lumOff val="60000"/>
          </a:schemeClr>
        </a:solidFill>
        <a:ln xmlns:a="http://schemas.openxmlformats.org/drawingml/2006/main">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0.30356</cdr:x>
      <cdr:y>0.30197</cdr:y>
    </cdr:from>
    <cdr:to>
      <cdr:x>0.57651</cdr:x>
      <cdr:y>0.54363</cdr:y>
    </cdr:to>
    <cdr:sp macro="" textlink="">
      <cdr:nvSpPr>
        <cdr:cNvPr id="4" name="TextBox 3"/>
        <cdr:cNvSpPr txBox="1"/>
      </cdr:nvSpPr>
      <cdr:spPr>
        <a:xfrm xmlns:a="http://schemas.openxmlformats.org/drawingml/2006/main">
          <a:off x="1734826" y="1075734"/>
          <a:ext cx="1559910" cy="8608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0,8</a:t>
          </a:r>
          <a:endParaRPr lang="en-US" sz="1000">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0.13512</cdr:x>
      <cdr:y>0.09649</cdr:y>
    </cdr:from>
    <cdr:to>
      <cdr:x>0.18024</cdr:x>
      <cdr:y>0.21788</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78319" y="244653"/>
          <a:ext cx="259906" cy="30779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0.15329</cdr:x>
      <cdr:y>0.07702</cdr:y>
    </cdr:from>
    <cdr:to>
      <cdr:x>0.23802</cdr:x>
      <cdr:y>0.15689</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882979" y="195280"/>
          <a:ext cx="488052" cy="2025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-2,0</a:t>
          </a:r>
        </a:p>
      </cdr:txBody>
    </cdr:sp>
  </cdr:relSizeAnchor>
  <cdr:relSizeAnchor xmlns:cdr="http://schemas.openxmlformats.org/drawingml/2006/chartDrawing">
    <cdr:from>
      <cdr:x>0.34254</cdr:x>
      <cdr:y>0.09866</cdr:y>
    </cdr:from>
    <cdr:to>
      <cdr:x>0.38695</cdr:x>
      <cdr:y>0.32682</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73060" y="250150"/>
          <a:ext cx="255790" cy="578525"/>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0.36705</cdr:x>
      <cdr:y>0.15725</cdr:y>
    </cdr:from>
    <cdr:to>
      <cdr:x>0.45178</cdr:x>
      <cdr:y>0.23711</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114216" y="398723"/>
          <a:ext cx="488052" cy="2024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-3,8</a:t>
          </a:r>
        </a:p>
      </cdr:txBody>
    </cdr:sp>
  </cdr:relSizeAnchor>
  <cdr:relSizeAnchor xmlns:cdr="http://schemas.openxmlformats.org/drawingml/2006/chartDrawing">
    <cdr:from>
      <cdr:x>0.5422</cdr:x>
      <cdr:y>0.09924</cdr:y>
    </cdr:from>
    <cdr:to>
      <cdr:x>0.58704</cdr:x>
      <cdr:y>0.40195</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123118" y="251627"/>
          <a:ext cx="258257" cy="76754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0.57131</cdr:x>
      <cdr:y>0.16792</cdr:y>
    </cdr:from>
    <cdr:to>
      <cdr:x>0.65604</cdr:x>
      <cdr:y>0.24778</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290813" y="425767"/>
          <a:ext cx="488052" cy="2024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-4,9</a:t>
          </a:r>
        </a:p>
      </cdr:txBody>
    </cdr:sp>
  </cdr:relSizeAnchor>
</c:userShapes>
</file>

<file path=word/drawings/drawing6.xml><?xml version="1.0" encoding="utf-8"?>
<c:userShapes xmlns:c="http://schemas.openxmlformats.org/drawingml/2006/chart">
  <cdr:relSizeAnchor xmlns:cdr="http://schemas.openxmlformats.org/drawingml/2006/chartDrawing">
    <cdr:from>
      <cdr:x>0.15533</cdr:x>
      <cdr:y>0.42224</cdr:y>
    </cdr:from>
    <cdr:to>
      <cdr:x>0.19632</cdr:x>
      <cdr:y>0.43613</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726655" y="825825"/>
          <a:ext cx="191753" cy="27166"/>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0.13321</cdr:x>
      <cdr:y>0.20792</cdr:y>
    </cdr:from>
    <cdr:to>
      <cdr:x>0.21794</cdr:x>
      <cdr:y>0.362</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623183" y="360315"/>
          <a:ext cx="396371" cy="2670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0.35573</cdr:x>
      <cdr:y>0.23264</cdr:y>
    </cdr:from>
    <cdr:to>
      <cdr:x>0.39542</cdr:x>
      <cdr:y>0.41121</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664114" y="454992"/>
          <a:ext cx="185671" cy="34924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0.37962</cdr:x>
      <cdr:y>0.18258</cdr:y>
    </cdr:from>
    <cdr:to>
      <cdr:x>0.46435</cdr:x>
      <cdr:y>0.26244</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775866" y="357095"/>
          <a:ext cx="396371" cy="1561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-1,9</a:t>
          </a:r>
        </a:p>
      </cdr:txBody>
    </cdr:sp>
  </cdr:relSizeAnchor>
  <cdr:relSizeAnchor xmlns:cdr="http://schemas.openxmlformats.org/drawingml/2006/chartDrawing">
    <cdr:from>
      <cdr:x>0.55514</cdr:x>
      <cdr:y>0.34238</cdr:y>
    </cdr:from>
    <cdr:to>
      <cdr:x>0.5971</cdr:x>
      <cdr:y>0.391</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596950" y="669635"/>
          <a:ext cx="196291" cy="95091"/>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0.5613</cdr:x>
      <cdr:y>0.23336</cdr:y>
    </cdr:from>
    <cdr:to>
      <cdr:x>0.64603</cdr:x>
      <cdr:y>0.31322</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2625800" y="456410"/>
          <a:ext cx="396371" cy="1561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-0,5</a:t>
          </a:r>
        </a:p>
      </cdr:txBody>
    </cdr:sp>
  </cdr:relSizeAnchor>
</c:userShapes>
</file>

<file path=word/drawings/drawing7.xml><?xml version="1.0" encoding="utf-8"?>
<c:userShapes xmlns:c="http://schemas.openxmlformats.org/drawingml/2006/chart">
  <cdr:relSizeAnchor xmlns:cdr="http://schemas.openxmlformats.org/drawingml/2006/chartDrawing">
    <cdr:from>
      <cdr:x>0.16659</cdr:x>
      <cdr:y>0.17025</cdr:y>
    </cdr:from>
    <cdr:to>
      <cdr:x>0.20971</cdr:x>
      <cdr:y>0.22867</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889113" y="338485"/>
          <a:ext cx="230139" cy="116149"/>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0.17239</cdr:x>
      <cdr:y>0.04928</cdr:y>
    </cdr:from>
    <cdr:to>
      <cdr:x>0.25712</cdr:x>
      <cdr:y>0.12915</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920069" y="97972"/>
          <a:ext cx="452219" cy="1587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-38,8</a:t>
          </a:r>
        </a:p>
      </cdr:txBody>
    </cdr:sp>
  </cdr:relSizeAnchor>
  <cdr:relSizeAnchor xmlns:cdr="http://schemas.openxmlformats.org/drawingml/2006/chartDrawing">
    <cdr:from>
      <cdr:x>0.36681</cdr:x>
      <cdr:y>0.31378</cdr:y>
    </cdr:from>
    <cdr:to>
      <cdr:x>0.40649</cdr:x>
      <cdr:y>0.35501</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57722" y="623845"/>
          <a:ext cx="211779" cy="8197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0.37108</cdr:x>
      <cdr:y>0.1815</cdr:y>
    </cdr:from>
    <cdr:to>
      <cdr:x>0.45581</cdr:x>
      <cdr:y>0.26136</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1980493" y="360846"/>
          <a:ext cx="452219" cy="1587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-24,1</a:t>
          </a:r>
        </a:p>
      </cdr:txBody>
    </cdr:sp>
  </cdr:relSizeAnchor>
  <cdr:relSizeAnchor xmlns:cdr="http://schemas.openxmlformats.org/drawingml/2006/chartDrawing">
    <cdr:from>
      <cdr:x>0.56125</cdr:x>
      <cdr:y>0.31378</cdr:y>
    </cdr:from>
    <cdr:to>
      <cdr:x>0.60094</cdr:x>
      <cdr:y>0.46495</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2995513" y="623845"/>
          <a:ext cx="211832" cy="300554"/>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0.5797</cdr:x>
      <cdr:y>0.26879</cdr:y>
    </cdr:from>
    <cdr:to>
      <cdr:x>0.66443</cdr:x>
      <cdr:y>0.34865</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093941" y="534411"/>
          <a:ext cx="452219" cy="1587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-81,8</a:t>
          </a:r>
        </a:p>
      </cdr:txBody>
    </cdr:sp>
  </cdr:relSizeAnchor>
</c:userShapes>
</file>

<file path=word/drawings/drawing8.xml><?xml version="1.0" encoding="utf-8"?>
<c:userShapes xmlns:c="http://schemas.openxmlformats.org/drawingml/2006/chart">
  <cdr:relSizeAnchor xmlns:cdr="http://schemas.openxmlformats.org/drawingml/2006/chartDrawing">
    <cdr:from>
      <cdr:x>0.16975</cdr:x>
      <cdr:y>0.1546</cdr:y>
    </cdr:from>
    <cdr:to>
      <cdr:x>0.20792</cdr:x>
      <cdr:y>0.26111</cdr:y>
    </cdr:to>
    <cdr:cxnSp macro="">
      <cdr:nvCxnSpPr>
        <cdr:cNvPr id="3" name="Straight Arrow Connector 2">
          <a:extLst xmlns:a="http://schemas.openxmlformats.org/drawingml/2006/main">
            <a:ext uri="{FF2B5EF4-FFF2-40B4-BE49-F238E27FC236}">
              <a16:creationId xmlns:a16="http://schemas.microsoft.com/office/drawing/2014/main" id="{E271CDE6-BC71-42C4-AB3B-BFB9E8754306}"/>
            </a:ext>
          </a:extLst>
        </cdr:cNvPr>
        <cdr:cNvCxnSpPr/>
      </cdr:nvCxnSpPr>
      <cdr:spPr>
        <a:xfrm xmlns:a="http://schemas.openxmlformats.org/drawingml/2006/main">
          <a:off x="922251" y="313951"/>
          <a:ext cx="207380" cy="216293"/>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0.17691</cdr:x>
      <cdr:y>0.08437</cdr:y>
    </cdr:from>
    <cdr:to>
      <cdr:x>0.26164</cdr:x>
      <cdr:y>0.16424</cdr:y>
    </cdr:to>
    <cdr:sp macro="" textlink="">
      <cdr:nvSpPr>
        <cdr:cNvPr id="4" name="TextBox 3">
          <a:extLst xmlns:a="http://schemas.openxmlformats.org/drawingml/2006/main">
            <a:ext uri="{FF2B5EF4-FFF2-40B4-BE49-F238E27FC236}">
              <a16:creationId xmlns:a16="http://schemas.microsoft.com/office/drawing/2014/main" id="{6E506FBC-DE4D-40EF-BE2B-A268D7668731}"/>
            </a:ext>
          </a:extLst>
        </cdr:cNvPr>
        <cdr:cNvSpPr txBox="1"/>
      </cdr:nvSpPr>
      <cdr:spPr>
        <a:xfrm xmlns:a="http://schemas.openxmlformats.org/drawingml/2006/main">
          <a:off x="961168" y="171336"/>
          <a:ext cx="460343" cy="1621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-23,4</a:t>
          </a:r>
        </a:p>
      </cdr:txBody>
    </cdr:sp>
  </cdr:relSizeAnchor>
  <cdr:relSizeAnchor xmlns:cdr="http://schemas.openxmlformats.org/drawingml/2006/chartDrawing">
    <cdr:from>
      <cdr:x>0.36579</cdr:x>
      <cdr:y>0.15733</cdr:y>
    </cdr:from>
    <cdr:to>
      <cdr:x>0.4077</cdr:x>
      <cdr:y>0.28172</cdr:y>
    </cdr:to>
    <cdr:cxnSp macro="">
      <cdr:nvCxnSpPr>
        <cdr:cNvPr id="5" name="Straight Arrow Connector 4">
          <a:extLst xmlns:a="http://schemas.openxmlformats.org/drawingml/2006/main">
            <a:ext uri="{FF2B5EF4-FFF2-40B4-BE49-F238E27FC236}">
              <a16:creationId xmlns:a16="http://schemas.microsoft.com/office/drawing/2014/main" id="{BF1B5476-5F4A-4782-81E5-C27F2E57F166}"/>
            </a:ext>
          </a:extLst>
        </cdr:cNvPr>
        <cdr:cNvCxnSpPr/>
      </cdr:nvCxnSpPr>
      <cdr:spPr>
        <a:xfrm xmlns:a="http://schemas.openxmlformats.org/drawingml/2006/main">
          <a:off x="1987365" y="319495"/>
          <a:ext cx="227699" cy="252602"/>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0.38284</cdr:x>
      <cdr:y>0.11463</cdr:y>
    </cdr:from>
    <cdr:to>
      <cdr:x>0.46757</cdr:x>
      <cdr:y>0.19449</cdr:y>
    </cdr:to>
    <cdr:sp macro="" textlink="">
      <cdr:nvSpPr>
        <cdr:cNvPr id="6" name="TextBox 2">
          <a:extLst xmlns:a="http://schemas.openxmlformats.org/drawingml/2006/main">
            <a:ext uri="{FF2B5EF4-FFF2-40B4-BE49-F238E27FC236}">
              <a16:creationId xmlns:a16="http://schemas.microsoft.com/office/drawing/2014/main" id="{34E12A18-3B7E-4CA2-A7AB-71D2EEB29E0B}"/>
            </a:ext>
          </a:extLst>
        </cdr:cNvPr>
        <cdr:cNvSpPr txBox="1"/>
      </cdr:nvSpPr>
      <cdr:spPr>
        <a:xfrm xmlns:a="http://schemas.openxmlformats.org/drawingml/2006/main">
          <a:off x="2079999" y="232773"/>
          <a:ext cx="460343" cy="1621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-28,3</a:t>
          </a:r>
        </a:p>
      </cdr:txBody>
    </cdr:sp>
  </cdr:relSizeAnchor>
  <cdr:relSizeAnchor xmlns:cdr="http://schemas.openxmlformats.org/drawingml/2006/chartDrawing">
    <cdr:from>
      <cdr:x>0.55936</cdr:x>
      <cdr:y>0.15596</cdr:y>
    </cdr:from>
    <cdr:to>
      <cdr:x>0.59756</cdr:x>
      <cdr:y>0.3007</cdr:y>
    </cdr:to>
    <cdr:cxnSp macro="">
      <cdr:nvCxnSpPr>
        <cdr:cNvPr id="8" name="Straight Arrow Connector 7">
          <a:extLst xmlns:a="http://schemas.openxmlformats.org/drawingml/2006/main">
            <a:ext uri="{FF2B5EF4-FFF2-40B4-BE49-F238E27FC236}">
              <a16:creationId xmlns:a16="http://schemas.microsoft.com/office/drawing/2014/main" id="{05ACB0AC-CE1D-4AF8-A6A4-36F64A8C09DB}"/>
            </a:ext>
          </a:extLst>
        </cdr:cNvPr>
        <cdr:cNvCxnSpPr/>
      </cdr:nvCxnSpPr>
      <cdr:spPr>
        <a:xfrm xmlns:a="http://schemas.openxmlformats.org/drawingml/2006/main">
          <a:off x="3039058" y="316705"/>
          <a:ext cx="207543" cy="293927"/>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0.57267</cdr:x>
      <cdr:y>0.1313</cdr:y>
    </cdr:from>
    <cdr:to>
      <cdr:x>0.6574</cdr:x>
      <cdr:y>0.21116</cdr:y>
    </cdr:to>
    <cdr:sp macro="" textlink="">
      <cdr:nvSpPr>
        <cdr:cNvPr id="9" name="TextBox 2">
          <a:extLst xmlns:a="http://schemas.openxmlformats.org/drawingml/2006/main">
            <a:ext uri="{FF2B5EF4-FFF2-40B4-BE49-F238E27FC236}">
              <a16:creationId xmlns:a16="http://schemas.microsoft.com/office/drawing/2014/main" id="{4CEEB340-3A4D-4A4F-98B4-576BEB201AE7}"/>
            </a:ext>
          </a:extLst>
        </cdr:cNvPr>
        <cdr:cNvSpPr txBox="1"/>
      </cdr:nvSpPr>
      <cdr:spPr>
        <a:xfrm xmlns:a="http://schemas.openxmlformats.org/drawingml/2006/main">
          <a:off x="3111372" y="266625"/>
          <a:ext cx="460343" cy="1621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solidFill>
                <a:srgbClr val="C00000"/>
              </a:solidFill>
              <a:latin typeface="Times New Roman" panose="02020603050405020304" pitchFamily="18" charset="0"/>
              <a:ea typeface="Verdana" panose="020B0604030504040204" pitchFamily="34" charset="0"/>
              <a:cs typeface="Times New Roman" panose="02020603050405020304" pitchFamily="18" charset="0"/>
            </a:rPr>
            <a:t>-30,5</a:t>
          </a:r>
        </a:p>
      </cdr:txBody>
    </cdr:sp>
  </cdr:relSizeAnchor>
</c:userShapes>
</file>

<file path=word/drawings/drawing9.xml><?xml version="1.0" encoding="utf-8"?>
<c:userShapes xmlns:c="http://schemas.openxmlformats.org/drawingml/2006/chart">
  <cdr:relSizeAnchor xmlns:cdr="http://schemas.openxmlformats.org/drawingml/2006/chartDrawing">
    <cdr:from>
      <cdr:x>0.14607</cdr:x>
      <cdr:y>0.0706</cdr:y>
    </cdr:from>
    <cdr:to>
      <cdr:x>0.18355</cdr:x>
      <cdr:y>0.10764</cdr:y>
    </cdr:to>
    <cdr:cxnSp macro="">
      <cdr:nvCxnSpPr>
        <cdr:cNvPr id="2" name="Straight Arrow Connector 1"/>
        <cdr:cNvCxnSpPr/>
      </cdr:nvCxnSpPr>
      <cdr:spPr>
        <a:xfrm xmlns:a="http://schemas.openxmlformats.org/drawingml/2006/main">
          <a:off x="841351" y="193677"/>
          <a:ext cx="215924" cy="101598"/>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0.14329</cdr:x>
      <cdr:y>0</cdr:y>
    </cdr:from>
    <cdr:to>
      <cdr:x>0.22802</cdr:x>
      <cdr:y>0.08541</cdr:y>
    </cdr:to>
    <cdr:sp macro="" textlink="">
      <cdr:nvSpPr>
        <cdr:cNvPr id="3" name="TextBox 2"/>
        <cdr:cNvSpPr txBox="1"/>
      </cdr:nvSpPr>
      <cdr:spPr>
        <a:xfrm xmlns:a="http://schemas.openxmlformats.org/drawingml/2006/main">
          <a:off x="825376" y="-4876800"/>
          <a:ext cx="488052" cy="23428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-0,1</a:t>
          </a:r>
        </a:p>
      </cdr:txBody>
    </cdr:sp>
  </cdr:relSizeAnchor>
  <cdr:relSizeAnchor xmlns:cdr="http://schemas.openxmlformats.org/drawingml/2006/chartDrawing">
    <cdr:from>
      <cdr:x>0.34781</cdr:x>
      <cdr:y>0.08102</cdr:y>
    </cdr:from>
    <cdr:to>
      <cdr:x>0.3875</cdr:x>
      <cdr:y>0.27199</cdr:y>
    </cdr:to>
    <cdr:cxnSp macro="">
      <cdr:nvCxnSpPr>
        <cdr:cNvPr id="5" name="Straight Arrow Connector 4"/>
        <cdr:cNvCxnSpPr/>
      </cdr:nvCxnSpPr>
      <cdr:spPr>
        <a:xfrm xmlns:a="http://schemas.openxmlformats.org/drawingml/2006/main">
          <a:off x="2003401" y="222252"/>
          <a:ext cx="228618" cy="52387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0.35992</cdr:x>
      <cdr:y>0.09605</cdr:y>
    </cdr:from>
    <cdr:to>
      <cdr:x>0.44465</cdr:x>
      <cdr:y>0.18145</cdr:y>
    </cdr:to>
    <cdr:sp macro="" textlink="">
      <cdr:nvSpPr>
        <cdr:cNvPr id="6" name="TextBox 2"/>
        <cdr:cNvSpPr txBox="1"/>
      </cdr:nvSpPr>
      <cdr:spPr>
        <a:xfrm xmlns:a="http://schemas.openxmlformats.org/drawingml/2006/main">
          <a:off x="2073151" y="263480"/>
          <a:ext cx="488052" cy="23428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-0,5</a:t>
          </a:r>
        </a:p>
      </cdr:txBody>
    </cdr:sp>
  </cdr:relSizeAnchor>
  <cdr:relSizeAnchor xmlns:cdr="http://schemas.openxmlformats.org/drawingml/2006/chartDrawing">
    <cdr:from>
      <cdr:x>0.54845</cdr:x>
      <cdr:y>0.07523</cdr:y>
    </cdr:from>
    <cdr:to>
      <cdr:x>0.58814</cdr:x>
      <cdr:y>0.2662</cdr:y>
    </cdr:to>
    <cdr:cxnSp macro="">
      <cdr:nvCxnSpPr>
        <cdr:cNvPr id="7" name="Straight Arrow Connector 6"/>
        <cdr:cNvCxnSpPr/>
      </cdr:nvCxnSpPr>
      <cdr:spPr>
        <a:xfrm xmlns:a="http://schemas.openxmlformats.org/drawingml/2006/main">
          <a:off x="3159101" y="206377"/>
          <a:ext cx="228618" cy="523870"/>
        </a:xfrm>
        <a:prstGeom xmlns:a="http://schemas.openxmlformats.org/drawingml/2006/main" prst="straightConnector1">
          <a:avLst/>
        </a:prstGeom>
        <a:ln xmlns:a="http://schemas.openxmlformats.org/drawingml/2006/main">
          <a:solidFill>
            <a:srgbClr val="C0000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0.56056</cdr:x>
      <cdr:y>0.09026</cdr:y>
    </cdr:from>
    <cdr:to>
      <cdr:x>0.64529</cdr:x>
      <cdr:y>0.17567</cdr:y>
    </cdr:to>
    <cdr:sp macro="" textlink="">
      <cdr:nvSpPr>
        <cdr:cNvPr id="8" name="TextBox 2"/>
        <cdr:cNvSpPr txBox="1"/>
      </cdr:nvSpPr>
      <cdr:spPr>
        <a:xfrm xmlns:a="http://schemas.openxmlformats.org/drawingml/2006/main">
          <a:off x="3228851" y="247605"/>
          <a:ext cx="488052" cy="23428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-0,5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26BAA-25A3-48F5-B076-DF5270DC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4039</TotalTime>
  <Pages>192</Pages>
  <Words>300497</Words>
  <Characters>171284</Characters>
  <Application>Microsoft Office Word</Application>
  <DocSecurity>0</DocSecurity>
  <Lines>1427</Lines>
  <Paragraphs>941</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rezultātiem un priekšlikumi par šo rezultātu izmantošanu likumprojekta “Par vidēja termiņa budžeta ietvaru 2022., 2023. un 2024. gadam” un likumprojekta “Par valsts budžetu 2022. gadam” izs</vt:lpstr>
    </vt:vector>
  </TitlesOfParts>
  <Company>Finanšu ministrija</Company>
  <LinksUpToDate>false</LinksUpToDate>
  <CharactersWithSpaces>470840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rezultātiem un priekšlikumi par šo rezultātu izmantošanu likumprojekta “Par vidēja termiņa budžeta ietvaru 2022., 2023. un 2024. gadam” un likumprojekta “Par valsts budžetu 2022. gadam” izstrādes procesā”</dc:title>
  <dc:subject>Informatīvais ziņojums</dc:subject>
  <dc:creator>Māra Aļļēna</dc:creator>
  <cp:keywords/>
  <dc:description>Mara.Allena@fm.gov.lv,_x000d_
67083912</dc:description>
  <cp:lastModifiedBy>Māra Aļļēna</cp:lastModifiedBy>
  <cp:revision>71</cp:revision>
  <cp:lastPrinted>2021-08-03T11:05:00Z</cp:lastPrinted>
  <dcterms:created xsi:type="dcterms:W3CDTF">2021-04-22T13:03:00Z</dcterms:created>
  <dcterms:modified xsi:type="dcterms:W3CDTF">2021-08-19T05:36:00Z</dcterms:modified>
</cp:coreProperties>
</file>