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ACC5F" w14:textId="5439B597" w:rsidR="00BE052F" w:rsidRPr="00461101" w:rsidRDefault="00324414" w:rsidP="00324414">
      <w:pPr>
        <w:jc w:val="center"/>
        <w:rPr>
          <w:rFonts w:ascii="Times New Roman" w:hAnsi="Times New Roman" w:cs="Times New Roman"/>
          <w:b/>
          <w:sz w:val="28"/>
          <w:szCs w:val="28"/>
        </w:rPr>
      </w:pPr>
      <w:r w:rsidRPr="00461101">
        <w:rPr>
          <w:rFonts w:ascii="Times New Roman" w:hAnsi="Times New Roman" w:cs="Times New Roman"/>
          <w:b/>
          <w:sz w:val="28"/>
          <w:szCs w:val="28"/>
        </w:rPr>
        <w:t xml:space="preserve">Informatīvais </w:t>
      </w:r>
      <w:r w:rsidRPr="00461101">
        <w:rPr>
          <w:rFonts w:ascii="Times New Roman" w:hAnsi="Times New Roman" w:cs="Times New Roman"/>
          <w:b/>
          <w:color w:val="000000" w:themeColor="text1"/>
          <w:sz w:val="28"/>
          <w:szCs w:val="28"/>
        </w:rPr>
        <w:t>ziņojums “</w:t>
      </w:r>
      <w:r w:rsidR="00FD55C1" w:rsidRPr="00461101">
        <w:rPr>
          <w:rFonts w:ascii="Times New Roman" w:hAnsi="Times New Roman" w:cs="Times New Roman"/>
          <w:b/>
          <w:color w:val="000000" w:themeColor="text1"/>
          <w:sz w:val="28"/>
          <w:szCs w:val="28"/>
        </w:rPr>
        <w:t xml:space="preserve">Par </w:t>
      </w:r>
      <w:r w:rsidR="00F35DAD" w:rsidRPr="00461101">
        <w:rPr>
          <w:rFonts w:ascii="Times New Roman" w:hAnsi="Times New Roman" w:cs="Times New Roman"/>
          <w:b/>
          <w:color w:val="000000" w:themeColor="text1"/>
          <w:sz w:val="28"/>
          <w:szCs w:val="28"/>
        </w:rPr>
        <w:t>priekšlikumiem valsts budžeta ieņēmumiem un izdevumiem</w:t>
      </w:r>
      <w:r w:rsidR="00FD55C1" w:rsidRPr="00461101">
        <w:rPr>
          <w:rFonts w:ascii="Times New Roman" w:hAnsi="Times New Roman" w:cs="Times New Roman"/>
          <w:b/>
          <w:sz w:val="28"/>
          <w:szCs w:val="28"/>
        </w:rPr>
        <w:t xml:space="preserve"> 20</w:t>
      </w:r>
      <w:r w:rsidR="0037629F" w:rsidRPr="00461101">
        <w:rPr>
          <w:rFonts w:ascii="Times New Roman" w:hAnsi="Times New Roman" w:cs="Times New Roman"/>
          <w:b/>
          <w:sz w:val="28"/>
          <w:szCs w:val="28"/>
        </w:rPr>
        <w:t>2</w:t>
      </w:r>
      <w:r w:rsidR="004E1F1D">
        <w:rPr>
          <w:rFonts w:ascii="Times New Roman" w:hAnsi="Times New Roman" w:cs="Times New Roman"/>
          <w:b/>
          <w:sz w:val="28"/>
          <w:szCs w:val="28"/>
        </w:rPr>
        <w:t>2</w:t>
      </w:r>
      <w:r w:rsidR="00FD55C1" w:rsidRPr="00461101">
        <w:rPr>
          <w:rFonts w:ascii="Times New Roman" w:hAnsi="Times New Roman" w:cs="Times New Roman"/>
          <w:b/>
          <w:sz w:val="28"/>
          <w:szCs w:val="28"/>
        </w:rPr>
        <w:t>.gadam un ietvaram 20</w:t>
      </w:r>
      <w:r w:rsidR="0037629F" w:rsidRPr="00461101">
        <w:rPr>
          <w:rFonts w:ascii="Times New Roman" w:hAnsi="Times New Roman" w:cs="Times New Roman"/>
          <w:b/>
          <w:sz w:val="28"/>
          <w:szCs w:val="28"/>
        </w:rPr>
        <w:t>2</w:t>
      </w:r>
      <w:r w:rsidR="004E1F1D">
        <w:rPr>
          <w:rFonts w:ascii="Times New Roman" w:hAnsi="Times New Roman" w:cs="Times New Roman"/>
          <w:b/>
          <w:sz w:val="28"/>
          <w:szCs w:val="28"/>
        </w:rPr>
        <w:t>2</w:t>
      </w:r>
      <w:r w:rsidR="0037629F" w:rsidRPr="00461101">
        <w:rPr>
          <w:rFonts w:ascii="Times New Roman" w:hAnsi="Times New Roman" w:cs="Times New Roman"/>
          <w:b/>
          <w:sz w:val="28"/>
          <w:szCs w:val="28"/>
        </w:rPr>
        <w:t>.–202</w:t>
      </w:r>
      <w:r w:rsidR="004E1F1D">
        <w:rPr>
          <w:rFonts w:ascii="Times New Roman" w:hAnsi="Times New Roman" w:cs="Times New Roman"/>
          <w:b/>
          <w:sz w:val="28"/>
          <w:szCs w:val="28"/>
        </w:rPr>
        <w:t>4</w:t>
      </w:r>
      <w:r w:rsidR="00FD55C1" w:rsidRPr="00461101">
        <w:rPr>
          <w:rFonts w:ascii="Times New Roman" w:hAnsi="Times New Roman" w:cs="Times New Roman"/>
          <w:b/>
          <w:sz w:val="28"/>
          <w:szCs w:val="28"/>
        </w:rPr>
        <w:t>.gadam”</w:t>
      </w:r>
    </w:p>
    <w:p w14:paraId="77EF0DB5" w14:textId="77777777" w:rsidR="008A001C" w:rsidRPr="00461101" w:rsidRDefault="008A001C" w:rsidP="00324414">
      <w:pPr>
        <w:jc w:val="center"/>
        <w:rPr>
          <w:rFonts w:ascii="Times New Roman" w:hAnsi="Times New Roman" w:cs="Times New Roman"/>
          <w:b/>
          <w:sz w:val="28"/>
          <w:szCs w:val="28"/>
        </w:rPr>
      </w:pPr>
    </w:p>
    <w:p w14:paraId="47754314" w14:textId="7BF5DD42" w:rsidR="00EC5231" w:rsidRDefault="001E4A6C" w:rsidP="0010662E">
      <w:pPr>
        <w:spacing w:after="120" w:line="240" w:lineRule="auto"/>
        <w:ind w:firstLine="709"/>
        <w:jc w:val="both"/>
        <w:rPr>
          <w:rFonts w:ascii="Times New Roman" w:hAnsi="Times New Roman" w:cs="Times New Roman"/>
          <w:color w:val="000000"/>
          <w:sz w:val="24"/>
          <w:szCs w:val="24"/>
        </w:rPr>
      </w:pPr>
      <w:r w:rsidRPr="00A91868">
        <w:rPr>
          <w:rFonts w:ascii="Times New Roman" w:hAnsi="Times New Roman" w:cs="Times New Roman"/>
          <w:sz w:val="24"/>
          <w:szCs w:val="24"/>
        </w:rPr>
        <w:t xml:space="preserve">Pamatojoties uz Ministru kabineta (turpmāk – MK) </w:t>
      </w:r>
      <w:r w:rsidR="00780F38" w:rsidRPr="00A91868">
        <w:rPr>
          <w:rFonts w:ascii="Times New Roman" w:hAnsi="Times New Roman" w:cs="Times New Roman"/>
          <w:sz w:val="24"/>
          <w:szCs w:val="24"/>
        </w:rPr>
        <w:t>20</w:t>
      </w:r>
      <w:r w:rsidR="00F85AF6" w:rsidRPr="00A91868">
        <w:rPr>
          <w:rFonts w:ascii="Times New Roman" w:hAnsi="Times New Roman" w:cs="Times New Roman"/>
          <w:sz w:val="24"/>
          <w:szCs w:val="24"/>
        </w:rPr>
        <w:t>2</w:t>
      </w:r>
      <w:r w:rsidR="004E1F1D" w:rsidRPr="00A91868">
        <w:rPr>
          <w:rFonts w:ascii="Times New Roman" w:hAnsi="Times New Roman" w:cs="Times New Roman"/>
          <w:sz w:val="24"/>
          <w:szCs w:val="24"/>
        </w:rPr>
        <w:t>1</w:t>
      </w:r>
      <w:r w:rsidR="00780F38" w:rsidRPr="00A91868">
        <w:rPr>
          <w:rFonts w:ascii="Times New Roman" w:hAnsi="Times New Roman" w:cs="Times New Roman"/>
          <w:sz w:val="24"/>
          <w:szCs w:val="24"/>
        </w:rPr>
        <w:t>.gada 2</w:t>
      </w:r>
      <w:r w:rsidR="004E1F1D" w:rsidRPr="00A91868">
        <w:rPr>
          <w:rFonts w:ascii="Times New Roman" w:hAnsi="Times New Roman" w:cs="Times New Roman"/>
          <w:sz w:val="24"/>
          <w:szCs w:val="24"/>
        </w:rPr>
        <w:t>5</w:t>
      </w:r>
      <w:r w:rsidR="00780F38" w:rsidRPr="00A91868">
        <w:rPr>
          <w:rFonts w:ascii="Times New Roman" w:hAnsi="Times New Roman" w:cs="Times New Roman"/>
          <w:sz w:val="24"/>
          <w:szCs w:val="24"/>
        </w:rPr>
        <w:t>.</w:t>
      </w:r>
      <w:r w:rsidR="004E1F1D" w:rsidRPr="00A91868">
        <w:rPr>
          <w:rFonts w:ascii="Times New Roman" w:hAnsi="Times New Roman" w:cs="Times New Roman"/>
          <w:sz w:val="24"/>
          <w:szCs w:val="24"/>
        </w:rPr>
        <w:t>marta</w:t>
      </w:r>
      <w:r w:rsidR="00780F38" w:rsidRPr="00A91868">
        <w:rPr>
          <w:rFonts w:ascii="Times New Roman" w:hAnsi="Times New Roman" w:cs="Times New Roman"/>
          <w:sz w:val="24"/>
          <w:szCs w:val="24"/>
        </w:rPr>
        <w:t xml:space="preserve"> rīkojum</w:t>
      </w:r>
      <w:r w:rsidR="00E00C48" w:rsidRPr="00A91868">
        <w:rPr>
          <w:rFonts w:ascii="Times New Roman" w:hAnsi="Times New Roman" w:cs="Times New Roman"/>
          <w:sz w:val="24"/>
          <w:szCs w:val="24"/>
        </w:rPr>
        <w:t>u</w:t>
      </w:r>
      <w:r w:rsidR="00780F38" w:rsidRPr="00A91868">
        <w:rPr>
          <w:rFonts w:ascii="Times New Roman" w:hAnsi="Times New Roman" w:cs="Times New Roman"/>
          <w:sz w:val="24"/>
          <w:szCs w:val="24"/>
        </w:rPr>
        <w:t xml:space="preserve"> Nr.</w:t>
      </w:r>
      <w:r w:rsidR="004E1F1D" w:rsidRPr="00A91868">
        <w:rPr>
          <w:rFonts w:ascii="Times New Roman" w:hAnsi="Times New Roman" w:cs="Times New Roman"/>
          <w:sz w:val="24"/>
          <w:szCs w:val="24"/>
        </w:rPr>
        <w:t>20</w:t>
      </w:r>
      <w:r w:rsidR="00F85AF6" w:rsidRPr="00A91868">
        <w:rPr>
          <w:rFonts w:ascii="Times New Roman" w:hAnsi="Times New Roman" w:cs="Times New Roman"/>
          <w:sz w:val="24"/>
          <w:szCs w:val="24"/>
        </w:rPr>
        <w:t>7</w:t>
      </w:r>
      <w:r w:rsidR="00780F38" w:rsidRPr="00A91868">
        <w:rPr>
          <w:rFonts w:ascii="Times New Roman" w:hAnsi="Times New Roman" w:cs="Times New Roman"/>
          <w:sz w:val="24"/>
          <w:szCs w:val="24"/>
        </w:rPr>
        <w:t xml:space="preserve"> “Par likumprojekta “Par vidēja termiņa budžeta ietvaru 202</w:t>
      </w:r>
      <w:r w:rsidR="004E1F1D" w:rsidRPr="00A91868">
        <w:rPr>
          <w:rFonts w:ascii="Times New Roman" w:hAnsi="Times New Roman" w:cs="Times New Roman"/>
          <w:sz w:val="24"/>
          <w:szCs w:val="24"/>
        </w:rPr>
        <w:t>2</w:t>
      </w:r>
      <w:r w:rsidR="00780F38" w:rsidRPr="00A91868">
        <w:rPr>
          <w:rFonts w:ascii="Times New Roman" w:hAnsi="Times New Roman" w:cs="Times New Roman"/>
          <w:sz w:val="24"/>
          <w:szCs w:val="24"/>
        </w:rPr>
        <w:t>., 202</w:t>
      </w:r>
      <w:r w:rsidR="004E1F1D" w:rsidRPr="00A91868">
        <w:rPr>
          <w:rFonts w:ascii="Times New Roman" w:hAnsi="Times New Roman" w:cs="Times New Roman"/>
          <w:sz w:val="24"/>
          <w:szCs w:val="24"/>
        </w:rPr>
        <w:t>3</w:t>
      </w:r>
      <w:r w:rsidR="00F85AF6" w:rsidRPr="00A91868">
        <w:rPr>
          <w:rFonts w:ascii="Times New Roman" w:hAnsi="Times New Roman" w:cs="Times New Roman"/>
          <w:sz w:val="24"/>
          <w:szCs w:val="24"/>
        </w:rPr>
        <w:t>. un 202</w:t>
      </w:r>
      <w:r w:rsidR="004E1F1D" w:rsidRPr="00A91868">
        <w:rPr>
          <w:rFonts w:ascii="Times New Roman" w:hAnsi="Times New Roman" w:cs="Times New Roman"/>
          <w:sz w:val="24"/>
          <w:szCs w:val="24"/>
        </w:rPr>
        <w:t>4</w:t>
      </w:r>
      <w:r w:rsidR="00780F38" w:rsidRPr="00A91868">
        <w:rPr>
          <w:rFonts w:ascii="Times New Roman" w:hAnsi="Times New Roman" w:cs="Times New Roman"/>
          <w:sz w:val="24"/>
          <w:szCs w:val="24"/>
        </w:rPr>
        <w:t>.gadam” un likumprojekta “Par valsts budžetu 202</w:t>
      </w:r>
      <w:r w:rsidR="004E1F1D" w:rsidRPr="00A91868">
        <w:rPr>
          <w:rFonts w:ascii="Times New Roman" w:hAnsi="Times New Roman" w:cs="Times New Roman"/>
          <w:sz w:val="24"/>
          <w:szCs w:val="24"/>
        </w:rPr>
        <w:t>2</w:t>
      </w:r>
      <w:r w:rsidR="00780F38" w:rsidRPr="00A91868">
        <w:rPr>
          <w:rFonts w:ascii="Times New Roman" w:hAnsi="Times New Roman" w:cs="Times New Roman"/>
          <w:sz w:val="24"/>
          <w:szCs w:val="24"/>
        </w:rPr>
        <w:t xml:space="preserve">.gadam” sagatavošanas grafiku” </w:t>
      </w:r>
      <w:r w:rsidR="00997136" w:rsidRPr="00A91868">
        <w:rPr>
          <w:rFonts w:ascii="Times New Roman" w:hAnsi="Times New Roman" w:cs="Times New Roman"/>
          <w:sz w:val="24"/>
          <w:szCs w:val="24"/>
        </w:rPr>
        <w:t>un 20</w:t>
      </w:r>
      <w:r w:rsidR="00F85AF6" w:rsidRPr="00A91868">
        <w:rPr>
          <w:rFonts w:ascii="Times New Roman" w:hAnsi="Times New Roman" w:cs="Times New Roman"/>
          <w:sz w:val="24"/>
          <w:szCs w:val="24"/>
        </w:rPr>
        <w:t>2</w:t>
      </w:r>
      <w:r w:rsidR="004E1F1D" w:rsidRPr="00A91868">
        <w:rPr>
          <w:rFonts w:ascii="Times New Roman" w:hAnsi="Times New Roman" w:cs="Times New Roman"/>
          <w:sz w:val="24"/>
          <w:szCs w:val="24"/>
        </w:rPr>
        <w:t>1</w:t>
      </w:r>
      <w:r w:rsidR="00997136" w:rsidRPr="00A91868">
        <w:rPr>
          <w:rFonts w:ascii="Times New Roman" w:hAnsi="Times New Roman" w:cs="Times New Roman"/>
          <w:sz w:val="24"/>
          <w:szCs w:val="24"/>
        </w:rPr>
        <w:t xml:space="preserve">.gada </w:t>
      </w:r>
      <w:r w:rsidR="004E1F1D" w:rsidRPr="00A91868">
        <w:rPr>
          <w:rFonts w:ascii="Times New Roman" w:hAnsi="Times New Roman" w:cs="Times New Roman"/>
          <w:sz w:val="24"/>
          <w:szCs w:val="24"/>
        </w:rPr>
        <w:t>24</w:t>
      </w:r>
      <w:r w:rsidR="00780F38" w:rsidRPr="00A91868">
        <w:rPr>
          <w:rFonts w:ascii="Times New Roman" w:hAnsi="Times New Roman" w:cs="Times New Roman"/>
          <w:sz w:val="24"/>
          <w:szCs w:val="24"/>
        </w:rPr>
        <w:t>.</w:t>
      </w:r>
      <w:r w:rsidR="004E1F1D" w:rsidRPr="00A91868">
        <w:rPr>
          <w:rFonts w:ascii="Times New Roman" w:hAnsi="Times New Roman" w:cs="Times New Roman"/>
          <w:sz w:val="24"/>
          <w:szCs w:val="24"/>
        </w:rPr>
        <w:t>augusta</w:t>
      </w:r>
      <w:r w:rsidR="00997136" w:rsidRPr="00A91868">
        <w:rPr>
          <w:rFonts w:ascii="Times New Roman" w:hAnsi="Times New Roman" w:cs="Times New Roman"/>
          <w:sz w:val="24"/>
          <w:szCs w:val="24"/>
        </w:rPr>
        <w:t xml:space="preserve"> MK sēdē nolemto, </w:t>
      </w:r>
      <w:r w:rsidR="00B07E38" w:rsidRPr="00A91868">
        <w:rPr>
          <w:rFonts w:ascii="Times New Roman" w:hAnsi="Times New Roman" w:cs="Times New Roman"/>
          <w:sz w:val="24"/>
          <w:szCs w:val="24"/>
        </w:rPr>
        <w:t>F</w:t>
      </w:r>
      <w:r w:rsidRPr="00A91868">
        <w:rPr>
          <w:rFonts w:ascii="Times New Roman" w:hAnsi="Times New Roman" w:cs="Times New Roman"/>
          <w:sz w:val="24"/>
          <w:szCs w:val="24"/>
        </w:rPr>
        <w:t xml:space="preserve">inanšu ministrija ir sagatavojusi informatīvo ziņojumu </w:t>
      </w:r>
      <w:r w:rsidR="00677C78" w:rsidRPr="00A91868">
        <w:rPr>
          <w:rFonts w:ascii="Times New Roman" w:hAnsi="Times New Roman" w:cs="Times New Roman"/>
          <w:sz w:val="24"/>
          <w:szCs w:val="24"/>
        </w:rPr>
        <w:t xml:space="preserve">“Par </w:t>
      </w:r>
      <w:r w:rsidR="00F35DAD" w:rsidRPr="00A91868">
        <w:rPr>
          <w:rFonts w:ascii="Times New Roman" w:hAnsi="Times New Roman" w:cs="Times New Roman"/>
          <w:sz w:val="24"/>
          <w:szCs w:val="24"/>
        </w:rPr>
        <w:t>priekšlikumiem valsts budžeta ieņēmumiem un izdevumiem</w:t>
      </w:r>
      <w:r w:rsidR="00677C78" w:rsidRPr="00A91868">
        <w:rPr>
          <w:rFonts w:ascii="Times New Roman" w:hAnsi="Times New Roman" w:cs="Times New Roman"/>
          <w:sz w:val="24"/>
          <w:szCs w:val="24"/>
        </w:rPr>
        <w:t xml:space="preserve"> 202</w:t>
      </w:r>
      <w:r w:rsidR="004E1F1D" w:rsidRPr="00A91868">
        <w:rPr>
          <w:rFonts w:ascii="Times New Roman" w:hAnsi="Times New Roman" w:cs="Times New Roman"/>
          <w:sz w:val="24"/>
          <w:szCs w:val="24"/>
        </w:rPr>
        <w:t>2</w:t>
      </w:r>
      <w:r w:rsidR="00677C78" w:rsidRPr="00A91868">
        <w:rPr>
          <w:rFonts w:ascii="Times New Roman" w:hAnsi="Times New Roman" w:cs="Times New Roman"/>
          <w:sz w:val="24"/>
          <w:szCs w:val="24"/>
        </w:rPr>
        <w:t>.gadam un ietvaram 202</w:t>
      </w:r>
      <w:r w:rsidR="004E1F1D" w:rsidRPr="00A91868">
        <w:rPr>
          <w:rFonts w:ascii="Times New Roman" w:hAnsi="Times New Roman" w:cs="Times New Roman"/>
          <w:sz w:val="24"/>
          <w:szCs w:val="24"/>
        </w:rPr>
        <w:t>2</w:t>
      </w:r>
      <w:r w:rsidR="00677C78" w:rsidRPr="00A91868">
        <w:rPr>
          <w:rFonts w:ascii="Times New Roman" w:hAnsi="Times New Roman" w:cs="Times New Roman"/>
          <w:sz w:val="24"/>
          <w:szCs w:val="24"/>
        </w:rPr>
        <w:t>.–202</w:t>
      </w:r>
      <w:r w:rsidR="004E1F1D" w:rsidRPr="00A91868">
        <w:rPr>
          <w:rFonts w:ascii="Times New Roman" w:hAnsi="Times New Roman" w:cs="Times New Roman"/>
          <w:sz w:val="24"/>
          <w:szCs w:val="24"/>
        </w:rPr>
        <w:t>4</w:t>
      </w:r>
      <w:r w:rsidR="00677C78" w:rsidRPr="00A91868">
        <w:rPr>
          <w:rFonts w:ascii="Times New Roman" w:hAnsi="Times New Roman" w:cs="Times New Roman"/>
          <w:sz w:val="24"/>
          <w:szCs w:val="24"/>
        </w:rPr>
        <w:t>.gadam” (turpmāk – informatīvais ziņojums)</w:t>
      </w:r>
      <w:r w:rsidR="00677C78" w:rsidRPr="00A91868">
        <w:rPr>
          <w:rFonts w:ascii="Times New Roman" w:hAnsi="Times New Roman" w:cs="Times New Roman"/>
          <w:color w:val="000000"/>
          <w:sz w:val="24"/>
          <w:szCs w:val="24"/>
        </w:rPr>
        <w:t>.</w:t>
      </w:r>
    </w:p>
    <w:p w14:paraId="223618F3" w14:textId="77777777" w:rsidR="0010662E" w:rsidRPr="00461101" w:rsidRDefault="0010662E" w:rsidP="00E97779">
      <w:pPr>
        <w:spacing w:before="120" w:after="120" w:line="240" w:lineRule="auto"/>
        <w:ind w:firstLine="709"/>
        <w:jc w:val="both"/>
        <w:rPr>
          <w:rFonts w:ascii="Times New Roman" w:hAnsi="Times New Roman" w:cs="Times New Roman"/>
          <w:color w:val="000000"/>
          <w:sz w:val="24"/>
          <w:szCs w:val="24"/>
        </w:rPr>
      </w:pPr>
    </w:p>
    <w:p w14:paraId="789B3413" w14:textId="77777777" w:rsidR="00A01338" w:rsidRPr="00461101" w:rsidRDefault="00A01338" w:rsidP="00994E90">
      <w:pPr>
        <w:pStyle w:val="ListParagraph"/>
        <w:numPr>
          <w:ilvl w:val="0"/>
          <w:numId w:val="1"/>
        </w:numPr>
        <w:shd w:val="clear" w:color="auto" w:fill="BDD6EE" w:themeFill="accent1" w:themeFillTint="66"/>
        <w:tabs>
          <w:tab w:val="left" w:pos="0"/>
          <w:tab w:val="left" w:pos="993"/>
        </w:tabs>
        <w:spacing w:before="120" w:after="120" w:line="240" w:lineRule="auto"/>
        <w:ind w:left="1077"/>
        <w:contextualSpacing w:val="0"/>
        <w:jc w:val="both"/>
        <w:rPr>
          <w:rFonts w:ascii="Times New Roman" w:hAnsi="Times New Roman" w:cs="Times New Roman"/>
          <w:b/>
          <w:sz w:val="28"/>
          <w:szCs w:val="28"/>
        </w:rPr>
      </w:pPr>
      <w:r w:rsidRPr="00461101">
        <w:rPr>
          <w:rFonts w:ascii="Times New Roman" w:hAnsi="Times New Roman" w:cs="Times New Roman"/>
          <w:b/>
          <w:sz w:val="28"/>
          <w:szCs w:val="28"/>
        </w:rPr>
        <w:t>Vispārējās valdības budžeta bilance pie nemainīgas valdības politikas</w:t>
      </w:r>
    </w:p>
    <w:p w14:paraId="7529A6A0" w14:textId="716021C8" w:rsidR="002B59B3" w:rsidRDefault="006C6594" w:rsidP="00E51752">
      <w:pPr>
        <w:spacing w:after="120" w:line="240" w:lineRule="auto"/>
        <w:ind w:firstLine="720"/>
        <w:jc w:val="both"/>
        <w:rPr>
          <w:rFonts w:ascii="Times New Roman" w:hAnsi="Times New Roman" w:cs="Times New Roman"/>
          <w:noProof/>
          <w:sz w:val="24"/>
          <w:szCs w:val="24"/>
        </w:rPr>
      </w:pPr>
      <w:r w:rsidRPr="00461101">
        <w:rPr>
          <w:rFonts w:ascii="Times New Roman" w:hAnsi="Times New Roman" w:cs="Times New Roman"/>
          <w:sz w:val="24"/>
          <w:szCs w:val="24"/>
        </w:rPr>
        <w:t>MK 20</w:t>
      </w:r>
      <w:r w:rsidR="007D7A2E" w:rsidRPr="00461101">
        <w:rPr>
          <w:rFonts w:ascii="Times New Roman" w:hAnsi="Times New Roman" w:cs="Times New Roman"/>
          <w:sz w:val="24"/>
          <w:szCs w:val="24"/>
        </w:rPr>
        <w:t>2</w:t>
      </w:r>
      <w:r w:rsidR="009E54A6">
        <w:rPr>
          <w:rFonts w:ascii="Times New Roman" w:hAnsi="Times New Roman" w:cs="Times New Roman"/>
          <w:sz w:val="24"/>
          <w:szCs w:val="24"/>
        </w:rPr>
        <w:t>1</w:t>
      </w:r>
      <w:r w:rsidR="0084432B" w:rsidRPr="00461101">
        <w:rPr>
          <w:rFonts w:ascii="Times New Roman" w:hAnsi="Times New Roman" w:cs="Times New Roman"/>
          <w:sz w:val="24"/>
          <w:szCs w:val="24"/>
        </w:rPr>
        <w:t xml:space="preserve">.gada </w:t>
      </w:r>
      <w:r w:rsidR="009E54A6">
        <w:rPr>
          <w:rFonts w:ascii="Times New Roman" w:hAnsi="Times New Roman" w:cs="Times New Roman"/>
          <w:sz w:val="24"/>
          <w:szCs w:val="24"/>
        </w:rPr>
        <w:t>24</w:t>
      </w:r>
      <w:r w:rsidR="0084432B" w:rsidRPr="00461101">
        <w:rPr>
          <w:rFonts w:ascii="Times New Roman" w:hAnsi="Times New Roman" w:cs="Times New Roman"/>
          <w:sz w:val="24"/>
          <w:szCs w:val="24"/>
        </w:rPr>
        <w:t>.augusta sēdē</w:t>
      </w:r>
      <w:r w:rsidR="002B59B3" w:rsidRPr="00461101">
        <w:rPr>
          <w:rFonts w:ascii="Times New Roman" w:hAnsi="Times New Roman" w:cs="Times New Roman"/>
          <w:sz w:val="24"/>
          <w:szCs w:val="24"/>
        </w:rPr>
        <w:t>,</w:t>
      </w:r>
      <w:r w:rsidR="00C13E5C" w:rsidRPr="00461101">
        <w:rPr>
          <w:rFonts w:ascii="Times New Roman" w:hAnsi="Times New Roman" w:cs="Times New Roman"/>
          <w:sz w:val="24"/>
          <w:szCs w:val="24"/>
        </w:rPr>
        <w:t xml:space="preserve"> izskat</w:t>
      </w:r>
      <w:r w:rsidR="002B59B3" w:rsidRPr="00461101">
        <w:rPr>
          <w:rFonts w:ascii="Times New Roman" w:hAnsi="Times New Roman" w:cs="Times New Roman"/>
          <w:sz w:val="24"/>
          <w:szCs w:val="24"/>
        </w:rPr>
        <w:t>ot</w:t>
      </w:r>
      <w:r w:rsidR="0084432B" w:rsidRPr="00461101">
        <w:rPr>
          <w:rFonts w:ascii="Times New Roman" w:hAnsi="Times New Roman" w:cs="Times New Roman"/>
          <w:sz w:val="24"/>
          <w:szCs w:val="24"/>
        </w:rPr>
        <w:t xml:space="preserve"> Finanšu ministrijas sagatavot</w:t>
      </w:r>
      <w:r w:rsidR="002B59B3" w:rsidRPr="00461101">
        <w:rPr>
          <w:rFonts w:ascii="Times New Roman" w:hAnsi="Times New Roman" w:cs="Times New Roman"/>
          <w:sz w:val="24"/>
          <w:szCs w:val="24"/>
        </w:rPr>
        <w:t>o</w:t>
      </w:r>
      <w:r w:rsidR="0084432B" w:rsidRPr="00461101">
        <w:rPr>
          <w:rFonts w:ascii="Times New Roman" w:hAnsi="Times New Roman" w:cs="Times New Roman"/>
          <w:sz w:val="24"/>
          <w:szCs w:val="24"/>
        </w:rPr>
        <w:t xml:space="preserve"> informatīv</w:t>
      </w:r>
      <w:r w:rsidR="002B59B3" w:rsidRPr="00461101">
        <w:rPr>
          <w:rFonts w:ascii="Times New Roman" w:hAnsi="Times New Roman" w:cs="Times New Roman"/>
          <w:sz w:val="24"/>
          <w:szCs w:val="24"/>
        </w:rPr>
        <w:t>o</w:t>
      </w:r>
      <w:r w:rsidR="00C13E5C" w:rsidRPr="00461101">
        <w:rPr>
          <w:rFonts w:ascii="Times New Roman" w:hAnsi="Times New Roman" w:cs="Times New Roman"/>
          <w:sz w:val="24"/>
          <w:szCs w:val="24"/>
        </w:rPr>
        <w:t xml:space="preserve"> </w:t>
      </w:r>
      <w:r w:rsidR="0084432B" w:rsidRPr="00461101">
        <w:rPr>
          <w:rFonts w:ascii="Times New Roman" w:hAnsi="Times New Roman" w:cs="Times New Roman"/>
          <w:sz w:val="24"/>
          <w:szCs w:val="24"/>
        </w:rPr>
        <w:t>ziņojum</w:t>
      </w:r>
      <w:r w:rsidR="002B59B3" w:rsidRPr="00461101">
        <w:rPr>
          <w:rFonts w:ascii="Times New Roman" w:hAnsi="Times New Roman" w:cs="Times New Roman"/>
          <w:sz w:val="24"/>
          <w:szCs w:val="24"/>
        </w:rPr>
        <w:t>u</w:t>
      </w:r>
      <w:r w:rsidR="0084432B" w:rsidRPr="00461101">
        <w:rPr>
          <w:rFonts w:ascii="Times New Roman" w:hAnsi="Times New Roman" w:cs="Times New Roman"/>
          <w:sz w:val="24"/>
          <w:szCs w:val="24"/>
        </w:rPr>
        <w:t xml:space="preserve"> </w:t>
      </w:r>
      <w:r w:rsidR="002B59B3" w:rsidRPr="00461101">
        <w:rPr>
          <w:rFonts w:ascii="Times New Roman" w:hAnsi="Times New Roman" w:cs="Times New Roman"/>
          <w:sz w:val="24"/>
          <w:szCs w:val="24"/>
        </w:rPr>
        <w:t>„Par makroekonomisko rādītāju, ieņēmumu un vispārējās valdības budžeta bilances prognozēm 202</w:t>
      </w:r>
      <w:r w:rsidR="009E54A6">
        <w:rPr>
          <w:rFonts w:ascii="Times New Roman" w:hAnsi="Times New Roman" w:cs="Times New Roman"/>
          <w:sz w:val="24"/>
          <w:szCs w:val="24"/>
        </w:rPr>
        <w:t>2</w:t>
      </w:r>
      <w:r w:rsidR="002B59B3" w:rsidRPr="00461101">
        <w:rPr>
          <w:rFonts w:ascii="Times New Roman" w:hAnsi="Times New Roman" w:cs="Times New Roman"/>
          <w:sz w:val="24"/>
          <w:szCs w:val="24"/>
        </w:rPr>
        <w:t>.-202</w:t>
      </w:r>
      <w:r w:rsidR="009E54A6">
        <w:rPr>
          <w:rFonts w:ascii="Times New Roman" w:hAnsi="Times New Roman" w:cs="Times New Roman"/>
          <w:sz w:val="24"/>
          <w:szCs w:val="24"/>
        </w:rPr>
        <w:t>4</w:t>
      </w:r>
      <w:r w:rsidR="002B59B3" w:rsidRPr="00461101">
        <w:rPr>
          <w:rFonts w:ascii="Times New Roman" w:hAnsi="Times New Roman" w:cs="Times New Roman"/>
          <w:sz w:val="24"/>
          <w:szCs w:val="24"/>
        </w:rPr>
        <w:t xml:space="preserve">.gadā”, tika </w:t>
      </w:r>
      <w:r w:rsidR="007D7A2E" w:rsidRPr="00461101">
        <w:rPr>
          <w:rFonts w:ascii="Times New Roman" w:hAnsi="Times New Roman" w:cs="Times New Roman"/>
          <w:sz w:val="24"/>
          <w:szCs w:val="24"/>
        </w:rPr>
        <w:t>pieņemts zināšanai</w:t>
      </w:r>
      <w:r w:rsidR="002B59B3" w:rsidRPr="00461101">
        <w:rPr>
          <w:rFonts w:ascii="Times New Roman" w:hAnsi="Times New Roman" w:cs="Times New Roman"/>
          <w:sz w:val="24"/>
          <w:szCs w:val="24"/>
        </w:rPr>
        <w:t xml:space="preserve">, ka </w:t>
      </w:r>
      <w:r w:rsidR="007D7A2E" w:rsidRPr="00461101">
        <w:rPr>
          <w:rFonts w:ascii="Times New Roman" w:hAnsi="Times New Roman" w:cs="Times New Roman"/>
          <w:sz w:val="24"/>
          <w:szCs w:val="24"/>
        </w:rPr>
        <w:t xml:space="preserve">vispārējās valdības budžeta bilance pie nemainīgas politikas tiek prognozēta </w:t>
      </w:r>
      <w:r w:rsidR="002B59B3" w:rsidRPr="00461101">
        <w:rPr>
          <w:rFonts w:ascii="Times New Roman" w:hAnsi="Times New Roman" w:cs="Times New Roman"/>
          <w:sz w:val="24"/>
          <w:szCs w:val="24"/>
        </w:rPr>
        <w:t xml:space="preserve"> </w:t>
      </w:r>
      <w:r w:rsidR="007D7A2E" w:rsidRPr="00461101">
        <w:rPr>
          <w:rFonts w:ascii="Times New Roman" w:hAnsi="Times New Roman" w:cs="Times New Roman"/>
          <w:noProof/>
          <w:sz w:val="24"/>
          <w:szCs w:val="24"/>
        </w:rPr>
        <w:t>202</w:t>
      </w:r>
      <w:r w:rsidR="002C4AA5">
        <w:rPr>
          <w:rFonts w:ascii="Times New Roman" w:hAnsi="Times New Roman" w:cs="Times New Roman"/>
          <w:noProof/>
          <w:sz w:val="24"/>
          <w:szCs w:val="24"/>
        </w:rPr>
        <w:t>2</w:t>
      </w:r>
      <w:r w:rsidR="007D7A2E" w:rsidRPr="00461101">
        <w:rPr>
          <w:rFonts w:ascii="Times New Roman" w:hAnsi="Times New Roman" w:cs="Times New Roman"/>
          <w:noProof/>
          <w:sz w:val="24"/>
          <w:szCs w:val="24"/>
        </w:rPr>
        <w:t>.</w:t>
      </w:r>
      <w:r w:rsidR="002B59B3" w:rsidRPr="00461101">
        <w:rPr>
          <w:rFonts w:ascii="Times New Roman" w:hAnsi="Times New Roman" w:cs="Times New Roman"/>
          <w:noProof/>
          <w:sz w:val="24"/>
          <w:szCs w:val="24"/>
        </w:rPr>
        <w:t>gadā -</w:t>
      </w:r>
      <w:r w:rsidR="007D7A2E" w:rsidRPr="00461101">
        <w:rPr>
          <w:rFonts w:ascii="Times New Roman" w:hAnsi="Times New Roman" w:cs="Times New Roman"/>
          <w:noProof/>
          <w:sz w:val="24"/>
          <w:szCs w:val="24"/>
        </w:rPr>
        <w:t>1</w:t>
      </w:r>
      <w:r w:rsidR="002C4AA5">
        <w:rPr>
          <w:rFonts w:ascii="Times New Roman" w:hAnsi="Times New Roman" w:cs="Times New Roman"/>
          <w:noProof/>
          <w:sz w:val="24"/>
          <w:szCs w:val="24"/>
        </w:rPr>
        <w:t>000</w:t>
      </w:r>
      <w:r w:rsidR="007D7A2E" w:rsidRPr="00461101">
        <w:rPr>
          <w:rFonts w:ascii="Times New Roman" w:hAnsi="Times New Roman" w:cs="Times New Roman"/>
          <w:noProof/>
          <w:sz w:val="24"/>
          <w:szCs w:val="24"/>
        </w:rPr>
        <w:t>,</w:t>
      </w:r>
      <w:r w:rsidR="002C4AA5">
        <w:rPr>
          <w:rFonts w:ascii="Times New Roman" w:hAnsi="Times New Roman" w:cs="Times New Roman"/>
          <w:noProof/>
          <w:sz w:val="24"/>
          <w:szCs w:val="24"/>
        </w:rPr>
        <w:t>1</w:t>
      </w:r>
      <w:r w:rsidR="002B59B3" w:rsidRPr="00461101">
        <w:rPr>
          <w:rFonts w:ascii="Times New Roman" w:hAnsi="Times New Roman" w:cs="Times New Roman"/>
          <w:noProof/>
          <w:sz w:val="24"/>
          <w:szCs w:val="24"/>
        </w:rPr>
        <w:t xml:space="preserve"> milj. </w:t>
      </w:r>
      <w:r w:rsidR="002B59B3" w:rsidRPr="00461101">
        <w:rPr>
          <w:rFonts w:ascii="Times New Roman" w:hAnsi="Times New Roman" w:cs="Times New Roman"/>
          <w:i/>
          <w:noProof/>
          <w:sz w:val="24"/>
          <w:szCs w:val="24"/>
        </w:rPr>
        <w:t>euro</w:t>
      </w:r>
      <w:r w:rsidR="00D66455">
        <w:rPr>
          <w:rFonts w:ascii="Times New Roman" w:hAnsi="Times New Roman" w:cs="Times New Roman"/>
          <w:iCs/>
          <w:noProof/>
          <w:sz w:val="24"/>
          <w:szCs w:val="24"/>
        </w:rPr>
        <w:t xml:space="preserve"> jeb -2,9% no IKP</w:t>
      </w:r>
      <w:r w:rsidR="002B59B3" w:rsidRPr="00461101">
        <w:rPr>
          <w:rFonts w:ascii="Times New Roman" w:hAnsi="Times New Roman" w:cs="Times New Roman"/>
          <w:noProof/>
          <w:sz w:val="24"/>
          <w:szCs w:val="24"/>
        </w:rPr>
        <w:t>, 202</w:t>
      </w:r>
      <w:r w:rsidR="002C4AA5">
        <w:rPr>
          <w:rFonts w:ascii="Times New Roman" w:hAnsi="Times New Roman" w:cs="Times New Roman"/>
          <w:noProof/>
          <w:sz w:val="24"/>
          <w:szCs w:val="24"/>
        </w:rPr>
        <w:t>3</w:t>
      </w:r>
      <w:r w:rsidR="002B59B3" w:rsidRPr="00461101">
        <w:rPr>
          <w:rFonts w:ascii="Times New Roman" w:hAnsi="Times New Roman" w:cs="Times New Roman"/>
          <w:noProof/>
          <w:sz w:val="24"/>
          <w:szCs w:val="24"/>
        </w:rPr>
        <w:t xml:space="preserve">.gadā  </w:t>
      </w:r>
      <w:r w:rsidR="007D7A2E" w:rsidRPr="00461101">
        <w:rPr>
          <w:rFonts w:ascii="Times New Roman" w:hAnsi="Times New Roman" w:cs="Times New Roman"/>
          <w:noProof/>
          <w:sz w:val="24"/>
          <w:szCs w:val="24"/>
        </w:rPr>
        <w:t>-</w:t>
      </w:r>
      <w:r w:rsidR="002C4AA5">
        <w:rPr>
          <w:rFonts w:ascii="Times New Roman" w:hAnsi="Times New Roman" w:cs="Times New Roman"/>
          <w:noProof/>
          <w:sz w:val="24"/>
          <w:szCs w:val="24"/>
        </w:rPr>
        <w:t>443</w:t>
      </w:r>
      <w:r w:rsidR="002B59B3" w:rsidRPr="00461101">
        <w:rPr>
          <w:rFonts w:ascii="Times New Roman" w:hAnsi="Times New Roman" w:cs="Times New Roman"/>
          <w:noProof/>
          <w:sz w:val="24"/>
          <w:szCs w:val="24"/>
        </w:rPr>
        <w:t>,</w:t>
      </w:r>
      <w:r w:rsidR="002C4AA5">
        <w:rPr>
          <w:rFonts w:ascii="Times New Roman" w:hAnsi="Times New Roman" w:cs="Times New Roman"/>
          <w:noProof/>
          <w:sz w:val="24"/>
          <w:szCs w:val="24"/>
        </w:rPr>
        <w:t>8</w:t>
      </w:r>
      <w:r w:rsidR="002B59B3" w:rsidRPr="00461101">
        <w:rPr>
          <w:rFonts w:ascii="Times New Roman" w:hAnsi="Times New Roman" w:cs="Times New Roman"/>
          <w:noProof/>
          <w:sz w:val="24"/>
          <w:szCs w:val="24"/>
        </w:rPr>
        <w:t xml:space="preserve"> milj. </w:t>
      </w:r>
      <w:r w:rsidR="002B59B3" w:rsidRPr="00461101">
        <w:rPr>
          <w:rFonts w:ascii="Times New Roman" w:hAnsi="Times New Roman" w:cs="Times New Roman"/>
          <w:i/>
          <w:noProof/>
          <w:sz w:val="24"/>
          <w:szCs w:val="24"/>
        </w:rPr>
        <w:t>euro</w:t>
      </w:r>
      <w:r w:rsidR="002B59B3" w:rsidRPr="00461101">
        <w:rPr>
          <w:rFonts w:ascii="Times New Roman" w:hAnsi="Times New Roman" w:cs="Times New Roman"/>
          <w:noProof/>
          <w:sz w:val="24"/>
          <w:szCs w:val="24"/>
        </w:rPr>
        <w:t xml:space="preserve"> </w:t>
      </w:r>
      <w:r w:rsidR="00D66455">
        <w:rPr>
          <w:rFonts w:ascii="Times New Roman" w:hAnsi="Times New Roman" w:cs="Times New Roman"/>
          <w:noProof/>
          <w:sz w:val="24"/>
          <w:szCs w:val="24"/>
        </w:rPr>
        <w:t xml:space="preserve">jeb 1,2% no IKP </w:t>
      </w:r>
      <w:r w:rsidR="002B59B3" w:rsidRPr="00461101">
        <w:rPr>
          <w:rFonts w:ascii="Times New Roman" w:hAnsi="Times New Roman" w:cs="Times New Roman"/>
          <w:noProof/>
          <w:sz w:val="24"/>
          <w:szCs w:val="24"/>
        </w:rPr>
        <w:t>un</w:t>
      </w:r>
      <w:r w:rsidR="002B59B3" w:rsidRPr="00461101">
        <w:rPr>
          <w:rFonts w:ascii="Times New Roman" w:hAnsi="Times New Roman" w:cs="Times New Roman"/>
          <w:sz w:val="24"/>
          <w:szCs w:val="24"/>
        </w:rPr>
        <w:t xml:space="preserve"> </w:t>
      </w:r>
      <w:r w:rsidR="002B59B3" w:rsidRPr="00461101">
        <w:rPr>
          <w:rFonts w:ascii="Times New Roman" w:hAnsi="Times New Roman" w:cs="Times New Roman"/>
          <w:noProof/>
          <w:sz w:val="24"/>
          <w:szCs w:val="24"/>
        </w:rPr>
        <w:t>202</w:t>
      </w:r>
      <w:r w:rsidR="002C4AA5">
        <w:rPr>
          <w:rFonts w:ascii="Times New Roman" w:hAnsi="Times New Roman" w:cs="Times New Roman"/>
          <w:noProof/>
          <w:sz w:val="24"/>
          <w:szCs w:val="24"/>
        </w:rPr>
        <w:t>4</w:t>
      </w:r>
      <w:r w:rsidR="007D7A2E" w:rsidRPr="00461101">
        <w:rPr>
          <w:rFonts w:ascii="Times New Roman" w:hAnsi="Times New Roman" w:cs="Times New Roman"/>
          <w:noProof/>
          <w:sz w:val="24"/>
          <w:szCs w:val="24"/>
        </w:rPr>
        <w:t>.</w:t>
      </w:r>
      <w:r w:rsidR="002B59B3" w:rsidRPr="00461101">
        <w:rPr>
          <w:rFonts w:ascii="Times New Roman" w:hAnsi="Times New Roman" w:cs="Times New Roman"/>
          <w:noProof/>
          <w:sz w:val="24"/>
          <w:szCs w:val="24"/>
        </w:rPr>
        <w:t xml:space="preserve">gadā  </w:t>
      </w:r>
      <w:r w:rsidR="007D7A2E" w:rsidRPr="00461101">
        <w:rPr>
          <w:rFonts w:ascii="Times New Roman" w:hAnsi="Times New Roman" w:cs="Times New Roman"/>
          <w:noProof/>
          <w:sz w:val="24"/>
          <w:szCs w:val="24"/>
        </w:rPr>
        <w:t>-</w:t>
      </w:r>
      <w:r w:rsidR="00D66455">
        <w:rPr>
          <w:rFonts w:ascii="Times New Roman" w:hAnsi="Times New Roman" w:cs="Times New Roman"/>
          <w:noProof/>
          <w:sz w:val="24"/>
          <w:szCs w:val="24"/>
        </w:rPr>
        <w:t>130</w:t>
      </w:r>
      <w:r w:rsidR="007D7A2E" w:rsidRPr="00461101">
        <w:rPr>
          <w:rFonts w:ascii="Times New Roman" w:hAnsi="Times New Roman" w:cs="Times New Roman"/>
          <w:noProof/>
          <w:sz w:val="24"/>
          <w:szCs w:val="24"/>
        </w:rPr>
        <w:t>,</w:t>
      </w:r>
      <w:r w:rsidR="00D66455">
        <w:rPr>
          <w:rFonts w:ascii="Times New Roman" w:hAnsi="Times New Roman" w:cs="Times New Roman"/>
          <w:noProof/>
          <w:sz w:val="24"/>
          <w:szCs w:val="24"/>
        </w:rPr>
        <w:t>6</w:t>
      </w:r>
      <w:r w:rsidR="002B59B3" w:rsidRPr="00461101">
        <w:rPr>
          <w:rFonts w:ascii="Times New Roman" w:hAnsi="Times New Roman" w:cs="Times New Roman"/>
          <w:noProof/>
          <w:sz w:val="24"/>
          <w:szCs w:val="24"/>
        </w:rPr>
        <w:t xml:space="preserve"> milj. </w:t>
      </w:r>
      <w:r w:rsidR="002B59B3" w:rsidRPr="00461101">
        <w:rPr>
          <w:rFonts w:ascii="Times New Roman" w:hAnsi="Times New Roman" w:cs="Times New Roman"/>
          <w:i/>
          <w:noProof/>
          <w:sz w:val="24"/>
          <w:szCs w:val="24"/>
        </w:rPr>
        <w:t>euro</w:t>
      </w:r>
      <w:r w:rsidR="00D66455">
        <w:rPr>
          <w:rFonts w:ascii="Times New Roman" w:hAnsi="Times New Roman" w:cs="Times New Roman"/>
          <w:i/>
          <w:noProof/>
          <w:sz w:val="24"/>
          <w:szCs w:val="24"/>
        </w:rPr>
        <w:t xml:space="preserve"> </w:t>
      </w:r>
      <w:r w:rsidR="00D66455">
        <w:rPr>
          <w:rFonts w:ascii="Times New Roman" w:hAnsi="Times New Roman" w:cs="Times New Roman"/>
          <w:iCs/>
          <w:noProof/>
          <w:sz w:val="24"/>
          <w:szCs w:val="24"/>
        </w:rPr>
        <w:t>jeb -0,3% no IKP</w:t>
      </w:r>
      <w:r w:rsidR="002B59B3" w:rsidRPr="00461101">
        <w:rPr>
          <w:rFonts w:ascii="Times New Roman" w:hAnsi="Times New Roman" w:cs="Times New Roman"/>
          <w:noProof/>
          <w:sz w:val="24"/>
          <w:szCs w:val="24"/>
        </w:rPr>
        <w:t>.</w:t>
      </w:r>
    </w:p>
    <w:p w14:paraId="4F291DBB" w14:textId="09B175EC" w:rsidR="00E51752" w:rsidRDefault="00D66455" w:rsidP="00E51752">
      <w:pPr>
        <w:spacing w:after="120" w:line="240" w:lineRule="auto"/>
        <w:ind w:firstLine="720"/>
        <w:jc w:val="both"/>
        <w:rPr>
          <w:rFonts w:ascii="Times New Roman" w:hAnsi="Times New Roman" w:cs="Times New Roman"/>
          <w:i/>
          <w:iCs/>
          <w:noProof/>
          <w:sz w:val="24"/>
          <w:szCs w:val="24"/>
        </w:rPr>
      </w:pPr>
      <w:r>
        <w:rPr>
          <w:rFonts w:ascii="Times New Roman" w:hAnsi="Times New Roman" w:cs="Times New Roman"/>
          <w:noProof/>
          <w:sz w:val="24"/>
          <w:szCs w:val="24"/>
        </w:rPr>
        <w:t xml:space="preserve">Tika noteikts, ka indikatīvā fiskālā telpa primārajiem kārtējiem nacionāli finansētajiem izdevumiem 2022., 2023. un 2024.gadā ir 302 000 000 </w:t>
      </w:r>
      <w:r w:rsidRPr="00D66455">
        <w:rPr>
          <w:rFonts w:ascii="Times New Roman" w:hAnsi="Times New Roman" w:cs="Times New Roman"/>
          <w:i/>
          <w:iCs/>
          <w:noProof/>
          <w:sz w:val="24"/>
          <w:szCs w:val="24"/>
        </w:rPr>
        <w:t>euro.</w:t>
      </w:r>
    </w:p>
    <w:tbl>
      <w:tblPr>
        <w:tblStyle w:val="GridTable2-Accent4"/>
        <w:tblW w:w="9356"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4253"/>
        <w:gridCol w:w="1701"/>
        <w:gridCol w:w="1701"/>
        <w:gridCol w:w="1701"/>
      </w:tblGrid>
      <w:tr w:rsidR="00B47381" w:rsidRPr="00461101" w14:paraId="5C4C3BC4" w14:textId="77777777" w:rsidTr="00147D3C">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4253" w:type="dxa"/>
            <w:tcBorders>
              <w:top w:val="none" w:sz="0" w:space="0" w:color="auto"/>
              <w:bottom w:val="none" w:sz="0" w:space="0" w:color="auto"/>
              <w:right w:val="none" w:sz="0" w:space="0" w:color="auto"/>
            </w:tcBorders>
            <w:shd w:val="clear" w:color="auto" w:fill="auto"/>
          </w:tcPr>
          <w:p w14:paraId="07DABED3" w14:textId="77777777" w:rsidR="00B47381" w:rsidRPr="00461101" w:rsidRDefault="00B47381" w:rsidP="00210902">
            <w:pPr>
              <w:tabs>
                <w:tab w:val="left" w:pos="851"/>
              </w:tabs>
              <w:spacing w:after="120"/>
              <w:rPr>
                <w:rFonts w:ascii="Times New Roman" w:hAnsi="Times New Roman" w:cs="Times New Roman"/>
                <w:b w:val="0"/>
                <w:sz w:val="20"/>
                <w:szCs w:val="20"/>
              </w:rPr>
            </w:pPr>
          </w:p>
        </w:tc>
        <w:tc>
          <w:tcPr>
            <w:tcW w:w="1701" w:type="dxa"/>
            <w:tcBorders>
              <w:top w:val="none" w:sz="0" w:space="0" w:color="auto"/>
              <w:left w:val="none" w:sz="0" w:space="0" w:color="auto"/>
              <w:bottom w:val="none" w:sz="0" w:space="0" w:color="auto"/>
              <w:right w:val="none" w:sz="0" w:space="0" w:color="auto"/>
            </w:tcBorders>
            <w:shd w:val="clear" w:color="auto" w:fill="auto"/>
          </w:tcPr>
          <w:p w14:paraId="6DD7520E" w14:textId="75E3D712" w:rsidR="00B47381" w:rsidRPr="00147D3C" w:rsidRDefault="00B47381" w:rsidP="00147D3C">
            <w:pPr>
              <w:tabs>
                <w:tab w:val="left" w:pos="851"/>
              </w:tabs>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0"/>
                <w:szCs w:val="20"/>
              </w:rPr>
            </w:pPr>
            <w:r w:rsidRPr="00461101">
              <w:rPr>
                <w:rFonts w:ascii="Times New Roman" w:hAnsi="Times New Roman" w:cs="Times New Roman"/>
                <w:sz w:val="20"/>
                <w:szCs w:val="20"/>
              </w:rPr>
              <w:t>202</w:t>
            </w:r>
            <w:r w:rsidR="00D66455">
              <w:rPr>
                <w:rFonts w:ascii="Times New Roman" w:hAnsi="Times New Roman" w:cs="Times New Roman"/>
                <w:sz w:val="20"/>
                <w:szCs w:val="20"/>
              </w:rPr>
              <w:t>2</w:t>
            </w:r>
            <w:r w:rsidRPr="00461101">
              <w:rPr>
                <w:rFonts w:ascii="Times New Roman" w:hAnsi="Times New Roman" w:cs="Times New Roman"/>
                <w:sz w:val="20"/>
                <w:szCs w:val="20"/>
              </w:rPr>
              <w:t>.gadā</w:t>
            </w:r>
          </w:p>
        </w:tc>
        <w:tc>
          <w:tcPr>
            <w:tcW w:w="1701" w:type="dxa"/>
            <w:tcBorders>
              <w:top w:val="none" w:sz="0" w:space="0" w:color="auto"/>
              <w:left w:val="none" w:sz="0" w:space="0" w:color="auto"/>
              <w:bottom w:val="none" w:sz="0" w:space="0" w:color="auto"/>
              <w:right w:val="none" w:sz="0" w:space="0" w:color="auto"/>
            </w:tcBorders>
            <w:shd w:val="clear" w:color="auto" w:fill="auto"/>
          </w:tcPr>
          <w:p w14:paraId="7873E622" w14:textId="050F7716" w:rsidR="00B47381" w:rsidRPr="00147D3C" w:rsidRDefault="00B47381" w:rsidP="00210902">
            <w:pPr>
              <w:tabs>
                <w:tab w:val="left" w:pos="851"/>
              </w:tabs>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0"/>
                <w:szCs w:val="20"/>
              </w:rPr>
            </w:pPr>
            <w:r w:rsidRPr="00461101">
              <w:rPr>
                <w:rFonts w:ascii="Times New Roman" w:hAnsi="Times New Roman" w:cs="Times New Roman"/>
                <w:sz w:val="20"/>
                <w:szCs w:val="20"/>
              </w:rPr>
              <w:t>202</w:t>
            </w:r>
            <w:r w:rsidR="00D66455">
              <w:rPr>
                <w:rFonts w:ascii="Times New Roman" w:hAnsi="Times New Roman" w:cs="Times New Roman"/>
                <w:sz w:val="20"/>
                <w:szCs w:val="20"/>
              </w:rPr>
              <w:t>3</w:t>
            </w:r>
            <w:r w:rsidRPr="00461101">
              <w:rPr>
                <w:rFonts w:ascii="Times New Roman" w:hAnsi="Times New Roman" w:cs="Times New Roman"/>
                <w:sz w:val="20"/>
                <w:szCs w:val="20"/>
              </w:rPr>
              <w:t>.gadā</w:t>
            </w:r>
          </w:p>
        </w:tc>
        <w:tc>
          <w:tcPr>
            <w:tcW w:w="1701" w:type="dxa"/>
            <w:tcBorders>
              <w:top w:val="none" w:sz="0" w:space="0" w:color="auto"/>
              <w:left w:val="none" w:sz="0" w:space="0" w:color="auto"/>
              <w:bottom w:val="none" w:sz="0" w:space="0" w:color="auto"/>
            </w:tcBorders>
            <w:shd w:val="clear" w:color="auto" w:fill="auto"/>
          </w:tcPr>
          <w:p w14:paraId="11509AB8" w14:textId="7CD052D9" w:rsidR="00B47381" w:rsidRPr="00461101" w:rsidRDefault="00B47381" w:rsidP="00210902">
            <w:pPr>
              <w:tabs>
                <w:tab w:val="left" w:pos="851"/>
              </w:tabs>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461101">
              <w:rPr>
                <w:rFonts w:ascii="Times New Roman" w:hAnsi="Times New Roman" w:cs="Times New Roman"/>
                <w:sz w:val="20"/>
                <w:szCs w:val="20"/>
              </w:rPr>
              <w:t>202</w:t>
            </w:r>
            <w:r w:rsidR="00D66455">
              <w:rPr>
                <w:rFonts w:ascii="Times New Roman" w:hAnsi="Times New Roman" w:cs="Times New Roman"/>
                <w:sz w:val="20"/>
                <w:szCs w:val="20"/>
              </w:rPr>
              <w:t>4</w:t>
            </w:r>
            <w:r w:rsidRPr="00461101">
              <w:rPr>
                <w:rFonts w:ascii="Times New Roman" w:hAnsi="Times New Roman" w:cs="Times New Roman"/>
                <w:sz w:val="20"/>
                <w:szCs w:val="20"/>
              </w:rPr>
              <w:t>.gadā</w:t>
            </w:r>
          </w:p>
        </w:tc>
      </w:tr>
      <w:tr w:rsidR="000E31B7" w:rsidRPr="00461101" w14:paraId="53AAD780" w14:textId="77777777" w:rsidTr="006373B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14:paraId="739DAD82" w14:textId="6A93D9C0" w:rsidR="00B47381" w:rsidRPr="00D66455" w:rsidRDefault="00B47381" w:rsidP="004E7619">
            <w:pPr>
              <w:tabs>
                <w:tab w:val="left" w:pos="851"/>
              </w:tabs>
              <w:spacing w:after="120"/>
              <w:rPr>
                <w:rFonts w:ascii="Times New Roman" w:hAnsi="Times New Roman" w:cs="Times New Roman"/>
                <w:b w:val="0"/>
                <w:bCs w:val="0"/>
                <w:sz w:val="20"/>
                <w:szCs w:val="20"/>
              </w:rPr>
            </w:pPr>
            <w:r w:rsidRPr="00D66455">
              <w:rPr>
                <w:rFonts w:ascii="Times New Roman" w:hAnsi="Times New Roman" w:cs="Times New Roman"/>
                <w:b w:val="0"/>
                <w:bCs w:val="0"/>
                <w:sz w:val="20"/>
                <w:szCs w:val="20"/>
              </w:rPr>
              <w:t>Vispārējās valdības budžeta bilance pie</w:t>
            </w:r>
            <w:r w:rsidR="004E7619" w:rsidRPr="00D66455">
              <w:rPr>
                <w:rFonts w:ascii="Times New Roman" w:hAnsi="Times New Roman" w:cs="Times New Roman"/>
                <w:b w:val="0"/>
                <w:bCs w:val="0"/>
                <w:sz w:val="20"/>
                <w:szCs w:val="20"/>
              </w:rPr>
              <w:t xml:space="preserve"> nemainīgas politikas</w:t>
            </w:r>
            <w:r w:rsidR="00D66455" w:rsidRPr="00D66455">
              <w:rPr>
                <w:rFonts w:ascii="Times New Roman" w:hAnsi="Times New Roman" w:cs="Times New Roman"/>
                <w:b w:val="0"/>
                <w:bCs w:val="0"/>
                <w:sz w:val="20"/>
                <w:szCs w:val="20"/>
              </w:rPr>
              <w:t xml:space="preserve">, milj. </w:t>
            </w:r>
            <w:r w:rsidR="00D66455" w:rsidRPr="00D66455">
              <w:rPr>
                <w:rFonts w:ascii="Times New Roman" w:hAnsi="Times New Roman" w:cs="Times New Roman"/>
                <w:b w:val="0"/>
                <w:bCs w:val="0"/>
                <w:i/>
                <w:iCs/>
                <w:sz w:val="20"/>
                <w:szCs w:val="20"/>
              </w:rPr>
              <w:t>euro</w:t>
            </w:r>
          </w:p>
        </w:tc>
        <w:tc>
          <w:tcPr>
            <w:tcW w:w="1701" w:type="dxa"/>
            <w:shd w:val="clear" w:color="auto" w:fill="auto"/>
          </w:tcPr>
          <w:p w14:paraId="0316563B" w14:textId="33B00895" w:rsidR="00B47381" w:rsidRPr="00D66455" w:rsidRDefault="00B47381" w:rsidP="00210902">
            <w:pPr>
              <w:tabs>
                <w:tab w:val="left" w:pos="851"/>
              </w:tabs>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6455">
              <w:rPr>
                <w:rFonts w:ascii="Times New Roman" w:hAnsi="Times New Roman" w:cs="Times New Roman"/>
                <w:noProof/>
                <w:sz w:val="20"/>
                <w:szCs w:val="20"/>
              </w:rPr>
              <w:t>-1</w:t>
            </w:r>
            <w:r w:rsidR="00D66455" w:rsidRPr="00D66455">
              <w:rPr>
                <w:rFonts w:ascii="Times New Roman" w:hAnsi="Times New Roman" w:cs="Times New Roman"/>
                <w:noProof/>
                <w:sz w:val="20"/>
                <w:szCs w:val="20"/>
              </w:rPr>
              <w:t>000</w:t>
            </w:r>
            <w:r w:rsidRPr="00D66455">
              <w:rPr>
                <w:rFonts w:ascii="Times New Roman" w:hAnsi="Times New Roman" w:cs="Times New Roman"/>
                <w:noProof/>
                <w:sz w:val="20"/>
                <w:szCs w:val="20"/>
              </w:rPr>
              <w:t>,</w:t>
            </w:r>
            <w:r w:rsidR="00D66455" w:rsidRPr="00D66455">
              <w:rPr>
                <w:rFonts w:ascii="Times New Roman" w:hAnsi="Times New Roman" w:cs="Times New Roman"/>
                <w:noProof/>
                <w:sz w:val="20"/>
                <w:szCs w:val="20"/>
              </w:rPr>
              <w:t>1</w:t>
            </w:r>
          </w:p>
        </w:tc>
        <w:tc>
          <w:tcPr>
            <w:tcW w:w="1701" w:type="dxa"/>
            <w:shd w:val="clear" w:color="auto" w:fill="auto"/>
          </w:tcPr>
          <w:p w14:paraId="0AF6CE9C" w14:textId="1E6C4213" w:rsidR="00B47381" w:rsidRPr="00D66455" w:rsidRDefault="00B47381" w:rsidP="00210902">
            <w:pPr>
              <w:tabs>
                <w:tab w:val="left" w:pos="851"/>
              </w:tabs>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6455">
              <w:rPr>
                <w:rFonts w:ascii="Times New Roman" w:hAnsi="Times New Roman" w:cs="Times New Roman"/>
                <w:noProof/>
                <w:sz w:val="20"/>
                <w:szCs w:val="20"/>
              </w:rPr>
              <w:t>-</w:t>
            </w:r>
            <w:r w:rsidR="00D66455" w:rsidRPr="00D66455">
              <w:rPr>
                <w:rFonts w:ascii="Times New Roman" w:hAnsi="Times New Roman" w:cs="Times New Roman"/>
                <w:noProof/>
                <w:sz w:val="20"/>
                <w:szCs w:val="20"/>
              </w:rPr>
              <w:t>443</w:t>
            </w:r>
            <w:r w:rsidRPr="00D66455">
              <w:rPr>
                <w:rFonts w:ascii="Times New Roman" w:hAnsi="Times New Roman" w:cs="Times New Roman"/>
                <w:noProof/>
                <w:sz w:val="20"/>
                <w:szCs w:val="20"/>
              </w:rPr>
              <w:t>,</w:t>
            </w:r>
            <w:r w:rsidR="00D66455" w:rsidRPr="00D66455">
              <w:rPr>
                <w:rFonts w:ascii="Times New Roman" w:hAnsi="Times New Roman" w:cs="Times New Roman"/>
                <w:noProof/>
                <w:sz w:val="20"/>
                <w:szCs w:val="20"/>
              </w:rPr>
              <w:t>8</w:t>
            </w:r>
          </w:p>
        </w:tc>
        <w:tc>
          <w:tcPr>
            <w:tcW w:w="1701" w:type="dxa"/>
            <w:shd w:val="clear" w:color="auto" w:fill="auto"/>
          </w:tcPr>
          <w:p w14:paraId="3960DA7E" w14:textId="491D6611" w:rsidR="00B47381" w:rsidRPr="00D66455" w:rsidRDefault="00B47381" w:rsidP="00210902">
            <w:pPr>
              <w:tabs>
                <w:tab w:val="left" w:pos="851"/>
              </w:tabs>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6455">
              <w:rPr>
                <w:rFonts w:ascii="Times New Roman" w:hAnsi="Times New Roman" w:cs="Times New Roman"/>
                <w:noProof/>
                <w:sz w:val="20"/>
                <w:szCs w:val="20"/>
              </w:rPr>
              <w:t>-</w:t>
            </w:r>
            <w:r w:rsidR="00D66455" w:rsidRPr="00D66455">
              <w:rPr>
                <w:rFonts w:ascii="Times New Roman" w:hAnsi="Times New Roman" w:cs="Times New Roman"/>
                <w:noProof/>
                <w:sz w:val="20"/>
                <w:szCs w:val="20"/>
              </w:rPr>
              <w:t>130</w:t>
            </w:r>
            <w:r w:rsidRPr="00D66455">
              <w:rPr>
                <w:rFonts w:ascii="Times New Roman" w:hAnsi="Times New Roman" w:cs="Times New Roman"/>
                <w:noProof/>
                <w:sz w:val="20"/>
                <w:szCs w:val="20"/>
              </w:rPr>
              <w:t>,</w:t>
            </w:r>
            <w:r w:rsidR="00D66455" w:rsidRPr="00D66455">
              <w:rPr>
                <w:rFonts w:ascii="Times New Roman" w:hAnsi="Times New Roman" w:cs="Times New Roman"/>
                <w:noProof/>
                <w:sz w:val="20"/>
                <w:szCs w:val="20"/>
              </w:rPr>
              <w:t>6</w:t>
            </w:r>
          </w:p>
        </w:tc>
      </w:tr>
      <w:tr w:rsidR="00D66455" w:rsidRPr="00461101" w14:paraId="57B22090" w14:textId="77777777" w:rsidTr="00147D3C">
        <w:trPr>
          <w:trHeight w:val="355"/>
        </w:trPr>
        <w:tc>
          <w:tcPr>
            <w:cnfStyle w:val="001000000000" w:firstRow="0" w:lastRow="0" w:firstColumn="1" w:lastColumn="0" w:oddVBand="0" w:evenVBand="0" w:oddHBand="0" w:evenHBand="0" w:firstRowFirstColumn="0" w:firstRowLastColumn="0" w:lastRowFirstColumn="0" w:lastRowLastColumn="0"/>
            <w:tcW w:w="4253" w:type="dxa"/>
          </w:tcPr>
          <w:p w14:paraId="2FA96D64" w14:textId="05589E9B" w:rsidR="00D66455" w:rsidRPr="00461101" w:rsidRDefault="00D66455" w:rsidP="004E7619">
            <w:pPr>
              <w:tabs>
                <w:tab w:val="left" w:pos="851"/>
              </w:tabs>
              <w:spacing w:after="120"/>
              <w:rPr>
                <w:rFonts w:ascii="Times New Roman" w:hAnsi="Times New Roman" w:cs="Times New Roman"/>
                <w:sz w:val="20"/>
                <w:szCs w:val="20"/>
              </w:rPr>
            </w:pPr>
            <w:r w:rsidRPr="00D66455">
              <w:rPr>
                <w:rFonts w:ascii="Times New Roman" w:hAnsi="Times New Roman" w:cs="Times New Roman"/>
                <w:b w:val="0"/>
                <w:bCs w:val="0"/>
                <w:sz w:val="20"/>
                <w:szCs w:val="20"/>
              </w:rPr>
              <w:t xml:space="preserve">Vispārējās valdības budžeta bilance pie nemainīgas politikas, </w:t>
            </w:r>
            <w:r>
              <w:rPr>
                <w:rFonts w:ascii="Times New Roman" w:hAnsi="Times New Roman" w:cs="Times New Roman"/>
                <w:b w:val="0"/>
                <w:bCs w:val="0"/>
                <w:sz w:val="20"/>
                <w:szCs w:val="20"/>
              </w:rPr>
              <w:t>% no IKP</w:t>
            </w:r>
          </w:p>
        </w:tc>
        <w:tc>
          <w:tcPr>
            <w:tcW w:w="1701" w:type="dxa"/>
          </w:tcPr>
          <w:p w14:paraId="11D65206" w14:textId="48BE3BE0" w:rsidR="00D66455" w:rsidRPr="00D66455" w:rsidRDefault="00D66455" w:rsidP="00210902">
            <w:pPr>
              <w:tabs>
                <w:tab w:val="left" w:pos="851"/>
              </w:tabs>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0"/>
                <w:szCs w:val="20"/>
              </w:rPr>
            </w:pPr>
            <w:r w:rsidRPr="00D66455">
              <w:rPr>
                <w:rFonts w:ascii="Times New Roman" w:hAnsi="Times New Roman" w:cs="Times New Roman"/>
                <w:bCs/>
                <w:noProof/>
                <w:sz w:val="20"/>
                <w:szCs w:val="20"/>
              </w:rPr>
              <w:t>-2,9%</w:t>
            </w:r>
          </w:p>
        </w:tc>
        <w:tc>
          <w:tcPr>
            <w:tcW w:w="1701" w:type="dxa"/>
          </w:tcPr>
          <w:p w14:paraId="66156899" w14:textId="6F07D502" w:rsidR="00D66455" w:rsidRPr="00D66455" w:rsidRDefault="00D66455" w:rsidP="00210902">
            <w:pPr>
              <w:tabs>
                <w:tab w:val="left" w:pos="851"/>
              </w:tabs>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0"/>
                <w:szCs w:val="20"/>
              </w:rPr>
            </w:pPr>
            <w:r w:rsidRPr="00D66455">
              <w:rPr>
                <w:rFonts w:ascii="Times New Roman" w:hAnsi="Times New Roman" w:cs="Times New Roman"/>
                <w:bCs/>
                <w:noProof/>
                <w:sz w:val="20"/>
                <w:szCs w:val="20"/>
              </w:rPr>
              <w:t>-1,2%</w:t>
            </w:r>
          </w:p>
        </w:tc>
        <w:tc>
          <w:tcPr>
            <w:tcW w:w="1701" w:type="dxa"/>
          </w:tcPr>
          <w:p w14:paraId="5E5AAD2B" w14:textId="565D064C" w:rsidR="00D66455" w:rsidRPr="00D66455" w:rsidRDefault="00D66455" w:rsidP="00210902">
            <w:pPr>
              <w:tabs>
                <w:tab w:val="left" w:pos="851"/>
              </w:tabs>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0"/>
                <w:szCs w:val="20"/>
              </w:rPr>
            </w:pPr>
            <w:r w:rsidRPr="00D66455">
              <w:rPr>
                <w:rFonts w:ascii="Times New Roman" w:hAnsi="Times New Roman" w:cs="Times New Roman"/>
                <w:bCs/>
                <w:noProof/>
                <w:sz w:val="20"/>
                <w:szCs w:val="20"/>
              </w:rPr>
              <w:t>-0,3%</w:t>
            </w:r>
          </w:p>
        </w:tc>
      </w:tr>
      <w:tr w:rsidR="006373B5" w:rsidRPr="00461101" w14:paraId="26EAA730" w14:textId="77777777" w:rsidTr="00F44B3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4253" w:type="dxa"/>
            <w:shd w:val="clear" w:color="auto" w:fill="DEEAF6" w:themeFill="accent1" w:themeFillTint="33"/>
          </w:tcPr>
          <w:p w14:paraId="1D833E31" w14:textId="5CDB7A1F" w:rsidR="006373B5" w:rsidRPr="00E415B4" w:rsidRDefault="006373B5" w:rsidP="004E7619">
            <w:pPr>
              <w:tabs>
                <w:tab w:val="left" w:pos="851"/>
              </w:tabs>
              <w:spacing w:after="120"/>
              <w:rPr>
                <w:rFonts w:ascii="Times New Roman" w:hAnsi="Times New Roman" w:cs="Times New Roman"/>
                <w:sz w:val="20"/>
                <w:szCs w:val="20"/>
              </w:rPr>
            </w:pPr>
            <w:r w:rsidRPr="00E415B4">
              <w:rPr>
                <w:rFonts w:ascii="Times New Roman" w:hAnsi="Times New Roman" w:cs="Times New Roman"/>
                <w:noProof/>
                <w:sz w:val="20"/>
                <w:szCs w:val="20"/>
              </w:rPr>
              <w:t>Indikatīvā fiskālā telpa primārajiem kārtējiem nacionāli finansētajiem izdevumiem,</w:t>
            </w:r>
            <w:r w:rsidR="00436298" w:rsidRPr="00E415B4">
              <w:rPr>
                <w:rFonts w:ascii="Times New Roman" w:hAnsi="Times New Roman" w:cs="Times New Roman"/>
                <w:noProof/>
                <w:sz w:val="20"/>
                <w:szCs w:val="20"/>
              </w:rPr>
              <w:t xml:space="preserve"> </w:t>
            </w:r>
            <w:r w:rsidRPr="00E415B4">
              <w:rPr>
                <w:rFonts w:ascii="Times New Roman" w:hAnsi="Times New Roman" w:cs="Times New Roman"/>
                <w:b w:val="0"/>
                <w:bCs w:val="0"/>
                <w:i/>
                <w:iCs/>
                <w:noProof/>
                <w:sz w:val="20"/>
                <w:szCs w:val="20"/>
              </w:rPr>
              <w:t>euro</w:t>
            </w:r>
          </w:p>
        </w:tc>
        <w:tc>
          <w:tcPr>
            <w:tcW w:w="1701" w:type="dxa"/>
            <w:shd w:val="clear" w:color="auto" w:fill="DEEAF6" w:themeFill="accent1" w:themeFillTint="33"/>
          </w:tcPr>
          <w:p w14:paraId="4EF59C11" w14:textId="435462FF" w:rsidR="006373B5" w:rsidRPr="00E415B4" w:rsidRDefault="00436298" w:rsidP="006373B5">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0"/>
                <w:szCs w:val="20"/>
              </w:rPr>
            </w:pPr>
            <w:r w:rsidRPr="00E415B4">
              <w:rPr>
                <w:rFonts w:ascii="Times New Roman" w:hAnsi="Times New Roman" w:cs="Times New Roman"/>
                <w:b/>
                <w:bCs/>
                <w:noProof/>
                <w:sz w:val="20"/>
                <w:szCs w:val="20"/>
              </w:rPr>
              <w:t>302 000 000</w:t>
            </w:r>
          </w:p>
        </w:tc>
        <w:tc>
          <w:tcPr>
            <w:tcW w:w="1701" w:type="dxa"/>
            <w:shd w:val="clear" w:color="auto" w:fill="DEEAF6" w:themeFill="accent1" w:themeFillTint="33"/>
          </w:tcPr>
          <w:p w14:paraId="3F710FD8" w14:textId="56EC2FE8" w:rsidR="006373B5" w:rsidRPr="00E415B4" w:rsidRDefault="00436298" w:rsidP="006373B5">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0"/>
                <w:szCs w:val="20"/>
              </w:rPr>
            </w:pPr>
            <w:r w:rsidRPr="00E415B4">
              <w:rPr>
                <w:rFonts w:ascii="Times New Roman" w:hAnsi="Times New Roman" w:cs="Times New Roman"/>
                <w:b/>
                <w:bCs/>
                <w:noProof/>
                <w:sz w:val="20"/>
                <w:szCs w:val="20"/>
              </w:rPr>
              <w:t>302 000 000</w:t>
            </w:r>
          </w:p>
        </w:tc>
        <w:tc>
          <w:tcPr>
            <w:tcW w:w="1701" w:type="dxa"/>
            <w:shd w:val="clear" w:color="auto" w:fill="DEEAF6" w:themeFill="accent1" w:themeFillTint="33"/>
          </w:tcPr>
          <w:p w14:paraId="6F7998DF" w14:textId="3F03A0C2" w:rsidR="006373B5" w:rsidRPr="00E415B4" w:rsidRDefault="00436298" w:rsidP="006373B5">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0"/>
                <w:szCs w:val="20"/>
              </w:rPr>
            </w:pPr>
            <w:r w:rsidRPr="00E415B4">
              <w:rPr>
                <w:rFonts w:ascii="Times New Roman" w:hAnsi="Times New Roman" w:cs="Times New Roman"/>
                <w:b/>
                <w:bCs/>
                <w:noProof/>
                <w:sz w:val="20"/>
                <w:szCs w:val="20"/>
              </w:rPr>
              <w:t>302 000 000</w:t>
            </w:r>
          </w:p>
        </w:tc>
      </w:tr>
    </w:tbl>
    <w:p w14:paraId="0719E09A" w14:textId="77777777" w:rsidR="00994E90" w:rsidRPr="00461101" w:rsidRDefault="00994E90" w:rsidP="00994E90">
      <w:pPr>
        <w:spacing w:before="120" w:after="120" w:line="240" w:lineRule="auto"/>
        <w:ind w:firstLine="720"/>
        <w:jc w:val="both"/>
        <w:rPr>
          <w:rFonts w:ascii="Times New Roman" w:hAnsi="Times New Roman" w:cs="Times New Roman"/>
          <w:noProof/>
          <w:sz w:val="24"/>
          <w:szCs w:val="24"/>
        </w:rPr>
      </w:pPr>
    </w:p>
    <w:p w14:paraId="0BFCF9D4" w14:textId="04862373" w:rsidR="00090EF5" w:rsidRDefault="00090EF5" w:rsidP="00994E90">
      <w:pPr>
        <w:pStyle w:val="ListParagraph"/>
        <w:numPr>
          <w:ilvl w:val="0"/>
          <w:numId w:val="29"/>
        </w:numPr>
        <w:shd w:val="clear" w:color="auto" w:fill="BDD6EE" w:themeFill="accent1" w:themeFillTint="66"/>
        <w:spacing w:before="120" w:after="120" w:line="240" w:lineRule="auto"/>
        <w:contextualSpacing w:val="0"/>
        <w:jc w:val="both"/>
        <w:rPr>
          <w:rFonts w:ascii="Times New Roman" w:hAnsi="Times New Roman" w:cs="Times New Roman"/>
          <w:b/>
          <w:sz w:val="28"/>
          <w:szCs w:val="28"/>
        </w:rPr>
      </w:pPr>
      <w:r>
        <w:rPr>
          <w:rFonts w:ascii="Times New Roman" w:hAnsi="Times New Roman" w:cs="Times New Roman"/>
          <w:b/>
          <w:sz w:val="28"/>
          <w:szCs w:val="28"/>
        </w:rPr>
        <w:t>Priekšlikums fiskālās telpas palielināšanai</w:t>
      </w:r>
    </w:p>
    <w:p w14:paraId="0C751A9A" w14:textId="77777777" w:rsidR="005D2CA9" w:rsidRDefault="005D2CA9" w:rsidP="00E51752">
      <w:pPr>
        <w:spacing w:after="120" w:line="240" w:lineRule="auto"/>
        <w:ind w:firstLine="720"/>
        <w:jc w:val="both"/>
        <w:rPr>
          <w:rFonts w:ascii="Times New Roman" w:hAnsi="Times New Roman" w:cs="Times New Roman"/>
          <w:sz w:val="24"/>
          <w:szCs w:val="24"/>
        </w:rPr>
      </w:pPr>
      <w:r w:rsidRPr="00195B7D">
        <w:rPr>
          <w:rFonts w:ascii="Times New Roman" w:hAnsi="Times New Roman" w:cs="Times New Roman"/>
          <w:sz w:val="24"/>
          <w:szCs w:val="24"/>
        </w:rPr>
        <w:t xml:space="preserve">Labklājības ministrija (turpmāk – LM), veicot detalizētu speciālā budžeta izdevumu analīzi 2021.gada janvārī-augustā ir secinājusi, ka atbilstoši 2021.gada izpildes tendencēm bezdarbnieka pabalstu izmaksām 2021.gadā būs nepieciešams mazāks finansējums nekā plānots (indikatīvi 13 milj. </w:t>
      </w:r>
      <w:r w:rsidRPr="00195B7D">
        <w:rPr>
          <w:rFonts w:ascii="Times New Roman" w:hAnsi="Times New Roman" w:cs="Times New Roman"/>
          <w:i/>
          <w:iCs/>
          <w:sz w:val="24"/>
          <w:szCs w:val="24"/>
        </w:rPr>
        <w:t>euro</w:t>
      </w:r>
      <w:r w:rsidRPr="00195B7D">
        <w:rPr>
          <w:rFonts w:ascii="Times New Roman" w:hAnsi="Times New Roman" w:cs="Times New Roman"/>
          <w:sz w:val="24"/>
          <w:szCs w:val="24"/>
        </w:rPr>
        <w:t xml:space="preserve">, kas tiks pārdalīts pensiju izdevumu segšanai, kam prognozējās finansējuma iztrūkums). </w:t>
      </w:r>
    </w:p>
    <w:p w14:paraId="31D0A2F2" w14:textId="77777777" w:rsidR="00E51752" w:rsidRDefault="005D2CA9" w:rsidP="00E5175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Pr="00195B7D">
        <w:rPr>
          <w:rFonts w:ascii="Times New Roman" w:hAnsi="Times New Roman" w:cs="Times New Roman"/>
          <w:sz w:val="24"/>
          <w:szCs w:val="24"/>
        </w:rPr>
        <w:t xml:space="preserve">Vienlaikus </w:t>
      </w:r>
      <w:r>
        <w:rPr>
          <w:rFonts w:ascii="Times New Roman" w:hAnsi="Times New Roman" w:cs="Times New Roman"/>
          <w:sz w:val="24"/>
          <w:szCs w:val="24"/>
        </w:rPr>
        <w:t>LM</w:t>
      </w:r>
      <w:r w:rsidRPr="00195B7D">
        <w:rPr>
          <w:rFonts w:ascii="Times New Roman" w:hAnsi="Times New Roman" w:cs="Times New Roman"/>
          <w:sz w:val="24"/>
          <w:szCs w:val="24"/>
        </w:rPr>
        <w:t xml:space="preserve"> pārvērtēja un veica </w:t>
      </w:r>
      <w:r>
        <w:rPr>
          <w:rFonts w:ascii="Times New Roman" w:hAnsi="Times New Roman" w:cs="Times New Roman"/>
          <w:sz w:val="24"/>
          <w:szCs w:val="24"/>
        </w:rPr>
        <w:t xml:space="preserve">atkārtotu </w:t>
      </w:r>
      <w:r w:rsidRPr="00195B7D">
        <w:rPr>
          <w:rFonts w:ascii="Times New Roman" w:hAnsi="Times New Roman" w:cs="Times New Roman"/>
          <w:sz w:val="24"/>
          <w:szCs w:val="24"/>
        </w:rPr>
        <w:t>detalizētu analīzi arī par 2022.-2024.gadā plānoto finansējumu bezdarbniek</w:t>
      </w:r>
      <w:r>
        <w:rPr>
          <w:rFonts w:ascii="Times New Roman" w:hAnsi="Times New Roman" w:cs="Times New Roman"/>
          <w:sz w:val="24"/>
          <w:szCs w:val="24"/>
        </w:rPr>
        <w:t>a</w:t>
      </w:r>
      <w:r w:rsidRPr="00195B7D">
        <w:rPr>
          <w:rFonts w:ascii="Times New Roman" w:hAnsi="Times New Roman" w:cs="Times New Roman"/>
          <w:sz w:val="24"/>
          <w:szCs w:val="24"/>
        </w:rPr>
        <w:t xml:space="preserve"> pabalstu izmaksām.</w:t>
      </w:r>
      <w:r>
        <w:rPr>
          <w:rFonts w:ascii="Times New Roman" w:hAnsi="Times New Roman" w:cs="Times New Roman"/>
          <w:sz w:val="24"/>
          <w:szCs w:val="24"/>
        </w:rPr>
        <w:t xml:space="preserve"> </w:t>
      </w:r>
      <w:r w:rsidRPr="00195B7D">
        <w:rPr>
          <w:rFonts w:ascii="Times New Roman" w:hAnsi="Times New Roman" w:cs="Times New Roman"/>
          <w:sz w:val="24"/>
          <w:szCs w:val="24"/>
        </w:rPr>
        <w:t>Šī gada jūlijā, plānojot izdevumus bezdarbnieka pabalstiem uz speciālā budžeta bāzes prognozēm 2022.gadā, tika ņemta vērā faktiskā izpilde 2021.gada 1.pusgadā un prognoze līdz gada beigām, ņemot vērā Finanšu ministrijas makroekonomisko rādītāju prognozes, tostarp par reģistrēto bezdarba līmeni,  kā arī pieņēmumi saistībā ar izmaiņām valsts atbalsta pasākumos nodokļu maksātājiem Covid-19 krīzes apstākļos.</w:t>
      </w:r>
      <w:r>
        <w:rPr>
          <w:rFonts w:ascii="Times New Roman" w:hAnsi="Times New Roman" w:cs="Times New Roman"/>
          <w:sz w:val="24"/>
          <w:szCs w:val="24"/>
        </w:rPr>
        <w:t xml:space="preserve"> </w:t>
      </w:r>
      <w:r w:rsidRPr="00195B7D">
        <w:rPr>
          <w:rFonts w:ascii="Times New Roman" w:hAnsi="Times New Roman" w:cs="Times New Roman"/>
          <w:sz w:val="24"/>
          <w:szCs w:val="24"/>
        </w:rPr>
        <w:t>2022.gada bāzes prognozēs tika ņemts vērā, ka 2021.gadā bezdarbnieka pabalsta saņēmēju īpatsvars reģistrēto bezdarbnieku skaitā sasniegs 56%, savukārt 2022.gadā 60%. Šobrīd finanšu un statistikas dati uz 2021.gada 10.septembri liecina, ka faktiskās izpildes tendences attiecībā uz bezdarbnieka pabalsta saņēmēju īpatsvaru reģistrēto bezdarbnieku skaitā jau šobrīd atpaliek no plānotā un 2021.gadā varētu sasniegt 52% (t.i., par 4%</w:t>
      </w:r>
      <w:r>
        <w:rPr>
          <w:rFonts w:ascii="Times New Roman" w:hAnsi="Times New Roman" w:cs="Times New Roman"/>
          <w:sz w:val="24"/>
          <w:szCs w:val="24"/>
        </w:rPr>
        <w:t xml:space="preserve"> </w:t>
      </w:r>
      <w:r w:rsidRPr="00195B7D">
        <w:rPr>
          <w:rFonts w:ascii="Times New Roman" w:hAnsi="Times New Roman" w:cs="Times New Roman"/>
          <w:sz w:val="24"/>
          <w:szCs w:val="24"/>
        </w:rPr>
        <w:t xml:space="preserve">punktiem mazāk nekā uz bāzes sagatavošanas brīdi), uzrādot attiecīgi mazāku bezdarbnieka pabalsta saņēmēju skaita attīstības tendenci, kas varētu ietekmēt arī nākamā gada budžeta izpildes rādītājus. Līdz ar to LM ir pārskatījusi bezdarbnieka pabalsta 2022.-2024.gada prognozes, piemērojot iepriekš minēto faktu, </w:t>
      </w:r>
      <w:r w:rsidRPr="00195B7D">
        <w:rPr>
          <w:rFonts w:ascii="Times New Roman" w:hAnsi="Times New Roman" w:cs="Times New Roman"/>
          <w:sz w:val="24"/>
          <w:szCs w:val="24"/>
        </w:rPr>
        <w:lastRenderedPageBreak/>
        <w:t>ka 2021.gadā  bezdarbnieka pabalsta saņēmēju īpatsvaru reģistrēto bezdarbnieku skaitā jau šobrīd atpaliek no plānotā par 4% punktiem un prognozē, ka 2022.gadā  bezdarbnieka pabalsta saņēmēju īpatsvars reģistrēto bezdarbnieku skaitā sasniegs 56% (iepriekš prognozēto 60% vietā).</w:t>
      </w:r>
      <w:r>
        <w:rPr>
          <w:rFonts w:ascii="Times New Roman" w:hAnsi="Times New Roman" w:cs="Times New Roman"/>
          <w:sz w:val="24"/>
          <w:szCs w:val="24"/>
        </w:rPr>
        <w:t xml:space="preserve"> </w:t>
      </w:r>
      <w:r w:rsidRPr="00195B7D">
        <w:rPr>
          <w:rFonts w:ascii="Times New Roman" w:hAnsi="Times New Roman" w:cs="Times New Roman"/>
          <w:sz w:val="24"/>
          <w:szCs w:val="24"/>
        </w:rPr>
        <w:t xml:space="preserve">Līdz ar to, LM prognozē, ka vidējais bezdarbnieka pabalsta saņēmēju skaits 2022.-2024.gadā samazināsies par ~2 tūkst. personām mēnesī, salīdzinot ar 2022.-2024.gadā plānoto. </w:t>
      </w:r>
    </w:p>
    <w:tbl>
      <w:tblPr>
        <w:tblStyle w:val="ListTable1Light-Accent5"/>
        <w:tblW w:w="10065" w:type="dxa"/>
        <w:tblInd w:w="-567" w:type="dxa"/>
        <w:tblLook w:val="04A0" w:firstRow="1" w:lastRow="0" w:firstColumn="1" w:lastColumn="0" w:noHBand="0" w:noVBand="1"/>
      </w:tblPr>
      <w:tblGrid>
        <w:gridCol w:w="1276"/>
        <w:gridCol w:w="992"/>
        <w:gridCol w:w="993"/>
        <w:gridCol w:w="850"/>
        <w:gridCol w:w="992"/>
        <w:gridCol w:w="993"/>
        <w:gridCol w:w="850"/>
        <w:gridCol w:w="1134"/>
        <w:gridCol w:w="992"/>
        <w:gridCol w:w="993"/>
      </w:tblGrid>
      <w:tr w:rsidR="00042B16" w:rsidRPr="00FD5B59" w14:paraId="7C9531FD" w14:textId="77777777" w:rsidTr="00042B16">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58C206D1" w14:textId="77777777" w:rsidR="00042B16" w:rsidRPr="00FD5B59" w:rsidRDefault="00042B16" w:rsidP="00FD16E0">
            <w:pPr>
              <w:ind w:left="-57" w:right="-57"/>
              <w:rPr>
                <w:rFonts w:ascii="Times New Roman" w:eastAsia="Times New Roman" w:hAnsi="Times New Roman" w:cs="Times New Roman"/>
                <w:sz w:val="16"/>
                <w:szCs w:val="16"/>
                <w:lang w:eastAsia="lv-LV"/>
              </w:rPr>
            </w:pPr>
            <w:r w:rsidRPr="00FD5B59">
              <w:rPr>
                <w:rFonts w:ascii="Times New Roman" w:eastAsia="Times New Roman" w:hAnsi="Times New Roman" w:cs="Times New Roman"/>
                <w:sz w:val="16"/>
                <w:szCs w:val="16"/>
                <w:lang w:eastAsia="lv-LV"/>
              </w:rPr>
              <w:t> </w:t>
            </w:r>
          </w:p>
        </w:tc>
        <w:tc>
          <w:tcPr>
            <w:tcW w:w="992" w:type="dxa"/>
            <w:hideMark/>
          </w:tcPr>
          <w:p w14:paraId="268C76D7" w14:textId="77777777" w:rsidR="00042B16" w:rsidRPr="00FD5B59" w:rsidRDefault="00042B16" w:rsidP="00FD16E0">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6"/>
                <w:szCs w:val="16"/>
                <w:lang w:eastAsia="lv-LV"/>
              </w:rPr>
            </w:pPr>
            <w:r w:rsidRPr="00FD5B59">
              <w:rPr>
                <w:rFonts w:ascii="Times New Roman" w:eastAsia="Times New Roman" w:hAnsi="Times New Roman" w:cs="Times New Roman"/>
                <w:b w:val="0"/>
                <w:bCs w:val="0"/>
                <w:sz w:val="16"/>
                <w:szCs w:val="16"/>
                <w:lang w:eastAsia="lv-LV"/>
              </w:rPr>
              <w:t>2022.gada bāzes projekts</w:t>
            </w:r>
          </w:p>
        </w:tc>
        <w:tc>
          <w:tcPr>
            <w:tcW w:w="993" w:type="dxa"/>
            <w:hideMark/>
          </w:tcPr>
          <w:p w14:paraId="75B7D3B2" w14:textId="77777777" w:rsidR="00042B16" w:rsidRPr="00FD5B59" w:rsidRDefault="00042B16" w:rsidP="00FD16E0">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6"/>
                <w:szCs w:val="16"/>
                <w:lang w:eastAsia="lv-LV"/>
              </w:rPr>
            </w:pPr>
            <w:r w:rsidRPr="00FD5B59">
              <w:rPr>
                <w:rFonts w:ascii="Times New Roman" w:eastAsia="Times New Roman" w:hAnsi="Times New Roman" w:cs="Times New Roman"/>
                <w:b w:val="0"/>
                <w:bCs w:val="0"/>
                <w:sz w:val="16"/>
                <w:szCs w:val="16"/>
                <w:lang w:eastAsia="lv-LV"/>
              </w:rPr>
              <w:t>2022.gada prognoze</w:t>
            </w:r>
          </w:p>
        </w:tc>
        <w:tc>
          <w:tcPr>
            <w:tcW w:w="850" w:type="dxa"/>
            <w:noWrap/>
            <w:hideMark/>
          </w:tcPr>
          <w:p w14:paraId="28413958" w14:textId="77777777" w:rsidR="00042B16" w:rsidRPr="00FD5B59" w:rsidRDefault="00042B16" w:rsidP="00FD16E0">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6"/>
                <w:szCs w:val="16"/>
                <w:lang w:eastAsia="lv-LV"/>
              </w:rPr>
            </w:pPr>
            <w:r w:rsidRPr="00FD5B59">
              <w:rPr>
                <w:rFonts w:ascii="Times New Roman" w:eastAsia="Times New Roman" w:hAnsi="Times New Roman" w:cs="Times New Roman"/>
                <w:b w:val="0"/>
                <w:bCs w:val="0"/>
                <w:sz w:val="16"/>
                <w:szCs w:val="16"/>
                <w:lang w:eastAsia="lv-LV"/>
              </w:rPr>
              <w:t>Starpība</w:t>
            </w:r>
          </w:p>
        </w:tc>
        <w:tc>
          <w:tcPr>
            <w:tcW w:w="992" w:type="dxa"/>
            <w:hideMark/>
          </w:tcPr>
          <w:p w14:paraId="6941AB2D" w14:textId="77777777" w:rsidR="00042B16" w:rsidRPr="00FD5B59" w:rsidRDefault="00042B16" w:rsidP="00FD16E0">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6"/>
                <w:szCs w:val="16"/>
                <w:lang w:eastAsia="lv-LV"/>
              </w:rPr>
            </w:pPr>
            <w:r w:rsidRPr="00FD5B59">
              <w:rPr>
                <w:rFonts w:ascii="Times New Roman" w:eastAsia="Times New Roman" w:hAnsi="Times New Roman" w:cs="Times New Roman"/>
                <w:b w:val="0"/>
                <w:bCs w:val="0"/>
                <w:sz w:val="16"/>
                <w:szCs w:val="16"/>
                <w:lang w:eastAsia="lv-LV"/>
              </w:rPr>
              <w:t>2023.gada bāzes projekts</w:t>
            </w:r>
          </w:p>
        </w:tc>
        <w:tc>
          <w:tcPr>
            <w:tcW w:w="993" w:type="dxa"/>
            <w:hideMark/>
          </w:tcPr>
          <w:p w14:paraId="1750BEC2" w14:textId="77777777" w:rsidR="00042B16" w:rsidRPr="00FD5B59" w:rsidRDefault="00042B16" w:rsidP="00FD16E0">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6"/>
                <w:szCs w:val="16"/>
                <w:lang w:eastAsia="lv-LV"/>
              </w:rPr>
            </w:pPr>
            <w:r w:rsidRPr="00FD5B59">
              <w:rPr>
                <w:rFonts w:ascii="Times New Roman" w:eastAsia="Times New Roman" w:hAnsi="Times New Roman" w:cs="Times New Roman"/>
                <w:b w:val="0"/>
                <w:bCs w:val="0"/>
                <w:sz w:val="16"/>
                <w:szCs w:val="16"/>
                <w:lang w:eastAsia="lv-LV"/>
              </w:rPr>
              <w:t>2023.gada prognoze</w:t>
            </w:r>
          </w:p>
        </w:tc>
        <w:tc>
          <w:tcPr>
            <w:tcW w:w="850" w:type="dxa"/>
            <w:noWrap/>
            <w:hideMark/>
          </w:tcPr>
          <w:p w14:paraId="0FB2D10D" w14:textId="77777777" w:rsidR="00042B16" w:rsidRPr="00FD5B59" w:rsidRDefault="00042B16" w:rsidP="00FD16E0">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6"/>
                <w:szCs w:val="16"/>
                <w:lang w:eastAsia="lv-LV"/>
              </w:rPr>
            </w:pPr>
            <w:r w:rsidRPr="00FD5B59">
              <w:rPr>
                <w:rFonts w:ascii="Times New Roman" w:eastAsia="Times New Roman" w:hAnsi="Times New Roman" w:cs="Times New Roman"/>
                <w:b w:val="0"/>
                <w:bCs w:val="0"/>
                <w:sz w:val="16"/>
                <w:szCs w:val="16"/>
                <w:lang w:eastAsia="lv-LV"/>
              </w:rPr>
              <w:t>Starpība</w:t>
            </w:r>
          </w:p>
        </w:tc>
        <w:tc>
          <w:tcPr>
            <w:tcW w:w="1134" w:type="dxa"/>
            <w:hideMark/>
          </w:tcPr>
          <w:p w14:paraId="5A0A9884" w14:textId="77777777" w:rsidR="00042B16" w:rsidRPr="00FD5B59" w:rsidRDefault="00042B16" w:rsidP="00FD16E0">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6"/>
                <w:szCs w:val="16"/>
                <w:lang w:eastAsia="lv-LV"/>
              </w:rPr>
            </w:pPr>
            <w:r w:rsidRPr="00FD5B59">
              <w:rPr>
                <w:rFonts w:ascii="Times New Roman" w:eastAsia="Times New Roman" w:hAnsi="Times New Roman" w:cs="Times New Roman"/>
                <w:b w:val="0"/>
                <w:bCs w:val="0"/>
                <w:sz w:val="16"/>
                <w:szCs w:val="16"/>
                <w:lang w:eastAsia="lv-LV"/>
              </w:rPr>
              <w:t>2024.gada bāzes projekts</w:t>
            </w:r>
          </w:p>
        </w:tc>
        <w:tc>
          <w:tcPr>
            <w:tcW w:w="992" w:type="dxa"/>
            <w:hideMark/>
          </w:tcPr>
          <w:p w14:paraId="6389F404" w14:textId="77777777" w:rsidR="00042B16" w:rsidRPr="00FD5B59" w:rsidRDefault="00042B16" w:rsidP="00FD16E0">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6"/>
                <w:szCs w:val="16"/>
                <w:lang w:eastAsia="lv-LV"/>
              </w:rPr>
            </w:pPr>
            <w:r w:rsidRPr="00FD5B59">
              <w:rPr>
                <w:rFonts w:ascii="Times New Roman" w:eastAsia="Times New Roman" w:hAnsi="Times New Roman" w:cs="Times New Roman"/>
                <w:b w:val="0"/>
                <w:bCs w:val="0"/>
                <w:sz w:val="16"/>
                <w:szCs w:val="16"/>
                <w:lang w:eastAsia="lv-LV"/>
              </w:rPr>
              <w:t>2024.gada prognoze</w:t>
            </w:r>
          </w:p>
        </w:tc>
        <w:tc>
          <w:tcPr>
            <w:tcW w:w="993" w:type="dxa"/>
            <w:noWrap/>
            <w:hideMark/>
          </w:tcPr>
          <w:p w14:paraId="3E632528" w14:textId="77777777" w:rsidR="00042B16" w:rsidRPr="00FD5B59" w:rsidRDefault="00042B16" w:rsidP="00FD16E0">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6"/>
                <w:szCs w:val="16"/>
                <w:lang w:eastAsia="lv-LV"/>
              </w:rPr>
            </w:pPr>
            <w:r w:rsidRPr="00FD5B59">
              <w:rPr>
                <w:rFonts w:ascii="Times New Roman" w:eastAsia="Times New Roman" w:hAnsi="Times New Roman" w:cs="Times New Roman"/>
                <w:b w:val="0"/>
                <w:bCs w:val="0"/>
                <w:sz w:val="16"/>
                <w:szCs w:val="16"/>
                <w:lang w:eastAsia="lv-LV"/>
              </w:rPr>
              <w:t>Starpība</w:t>
            </w:r>
          </w:p>
        </w:tc>
      </w:tr>
      <w:tr w:rsidR="00042B16" w:rsidRPr="00AA05D7" w14:paraId="2D8F255D" w14:textId="77777777" w:rsidTr="00042B16">
        <w:trPr>
          <w:cnfStyle w:val="000000100000" w:firstRow="0" w:lastRow="0" w:firstColumn="0" w:lastColumn="0" w:oddVBand="0" w:evenVBand="0" w:oddHBand="1"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hideMark/>
          </w:tcPr>
          <w:p w14:paraId="39FDBDB8" w14:textId="77777777" w:rsidR="00042B16" w:rsidRPr="00042B16" w:rsidRDefault="00042B16" w:rsidP="00042B16">
            <w:pPr>
              <w:ind w:left="-57" w:right="-57"/>
              <w:rPr>
                <w:rFonts w:ascii="Times New Roman" w:eastAsia="Times New Roman" w:hAnsi="Times New Roman" w:cs="Times New Roman"/>
                <w:b w:val="0"/>
                <w:bCs w:val="0"/>
                <w:sz w:val="16"/>
                <w:szCs w:val="16"/>
                <w:lang w:eastAsia="lv-LV"/>
              </w:rPr>
            </w:pPr>
            <w:r w:rsidRPr="00AA05D7">
              <w:rPr>
                <w:rFonts w:ascii="Times New Roman" w:eastAsia="Times New Roman" w:hAnsi="Times New Roman" w:cs="Times New Roman"/>
                <w:b w:val="0"/>
                <w:bCs w:val="0"/>
                <w:sz w:val="16"/>
                <w:szCs w:val="16"/>
                <w:lang w:eastAsia="lv-LV"/>
              </w:rPr>
              <w:t xml:space="preserve">Saņēmēju skaits, </w:t>
            </w:r>
          </w:p>
          <w:p w14:paraId="11463DBB" w14:textId="6073151C" w:rsidR="00042B16" w:rsidRPr="00AA05D7" w:rsidRDefault="00042B16" w:rsidP="00042B16">
            <w:pPr>
              <w:ind w:left="-57" w:right="-57"/>
              <w:rPr>
                <w:rFonts w:ascii="Times New Roman" w:eastAsia="Times New Roman" w:hAnsi="Times New Roman" w:cs="Times New Roman"/>
                <w:b w:val="0"/>
                <w:bCs w:val="0"/>
                <w:sz w:val="16"/>
                <w:szCs w:val="16"/>
                <w:lang w:eastAsia="lv-LV"/>
              </w:rPr>
            </w:pPr>
            <w:r w:rsidRPr="00AA05D7">
              <w:rPr>
                <w:rFonts w:ascii="Times New Roman" w:eastAsia="Times New Roman" w:hAnsi="Times New Roman" w:cs="Times New Roman"/>
                <w:b w:val="0"/>
                <w:bCs w:val="0"/>
                <w:sz w:val="16"/>
                <w:szCs w:val="16"/>
                <w:lang w:eastAsia="lv-LV"/>
              </w:rPr>
              <w:t>vid.</w:t>
            </w:r>
            <w:r w:rsidRPr="00042B16">
              <w:rPr>
                <w:rFonts w:ascii="Times New Roman" w:eastAsia="Times New Roman" w:hAnsi="Times New Roman" w:cs="Times New Roman"/>
                <w:b w:val="0"/>
                <w:bCs w:val="0"/>
                <w:sz w:val="16"/>
                <w:szCs w:val="16"/>
                <w:lang w:eastAsia="lv-LV"/>
              </w:rPr>
              <w:t xml:space="preserve"> </w:t>
            </w:r>
            <w:r w:rsidRPr="00AA05D7">
              <w:rPr>
                <w:rFonts w:ascii="Times New Roman" w:eastAsia="Times New Roman" w:hAnsi="Times New Roman" w:cs="Times New Roman"/>
                <w:b w:val="0"/>
                <w:bCs w:val="0"/>
                <w:sz w:val="16"/>
                <w:szCs w:val="16"/>
                <w:lang w:eastAsia="lv-LV"/>
              </w:rPr>
              <w:t>mēnesī</w:t>
            </w:r>
          </w:p>
        </w:tc>
        <w:tc>
          <w:tcPr>
            <w:tcW w:w="992" w:type="dxa"/>
            <w:shd w:val="clear" w:color="auto" w:fill="auto"/>
            <w:noWrap/>
            <w:hideMark/>
          </w:tcPr>
          <w:p w14:paraId="4EBAE2F0" w14:textId="77777777" w:rsidR="00042B16" w:rsidRPr="00AA05D7" w:rsidRDefault="00042B16" w:rsidP="00FD16E0">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lv-LV"/>
              </w:rPr>
            </w:pPr>
            <w:r w:rsidRPr="00AA05D7">
              <w:rPr>
                <w:rFonts w:ascii="Times New Roman" w:eastAsia="Times New Roman" w:hAnsi="Times New Roman" w:cs="Times New Roman"/>
                <w:sz w:val="16"/>
                <w:szCs w:val="16"/>
                <w:lang w:eastAsia="lv-LV"/>
              </w:rPr>
              <w:t>35 556</w:t>
            </w:r>
          </w:p>
        </w:tc>
        <w:tc>
          <w:tcPr>
            <w:tcW w:w="993" w:type="dxa"/>
            <w:shd w:val="clear" w:color="auto" w:fill="auto"/>
            <w:noWrap/>
            <w:hideMark/>
          </w:tcPr>
          <w:p w14:paraId="72A0DDE9" w14:textId="77777777" w:rsidR="00042B16" w:rsidRPr="00AA05D7" w:rsidRDefault="00042B16" w:rsidP="00FD16E0">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lv-LV"/>
              </w:rPr>
            </w:pPr>
            <w:r w:rsidRPr="00AA05D7">
              <w:rPr>
                <w:rFonts w:ascii="Times New Roman" w:eastAsia="Times New Roman" w:hAnsi="Times New Roman" w:cs="Times New Roman"/>
                <w:sz w:val="16"/>
                <w:szCs w:val="16"/>
                <w:lang w:eastAsia="lv-LV"/>
              </w:rPr>
              <w:t>33 555</w:t>
            </w:r>
          </w:p>
        </w:tc>
        <w:tc>
          <w:tcPr>
            <w:tcW w:w="850" w:type="dxa"/>
            <w:shd w:val="clear" w:color="auto" w:fill="auto"/>
            <w:noWrap/>
            <w:hideMark/>
          </w:tcPr>
          <w:p w14:paraId="206E33D9" w14:textId="77777777" w:rsidR="00042B16" w:rsidRPr="00AA05D7" w:rsidRDefault="00042B16" w:rsidP="00FD16E0">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lv-LV"/>
              </w:rPr>
            </w:pPr>
            <w:r w:rsidRPr="00AA05D7">
              <w:rPr>
                <w:rFonts w:ascii="Times New Roman" w:eastAsia="Times New Roman" w:hAnsi="Times New Roman" w:cs="Times New Roman"/>
                <w:sz w:val="16"/>
                <w:szCs w:val="16"/>
                <w:lang w:eastAsia="lv-LV"/>
              </w:rPr>
              <w:t>-2 001</w:t>
            </w:r>
          </w:p>
        </w:tc>
        <w:tc>
          <w:tcPr>
            <w:tcW w:w="992" w:type="dxa"/>
            <w:shd w:val="clear" w:color="auto" w:fill="auto"/>
            <w:noWrap/>
            <w:hideMark/>
          </w:tcPr>
          <w:p w14:paraId="3EC7DD94" w14:textId="77777777" w:rsidR="00042B16" w:rsidRPr="00AA05D7" w:rsidRDefault="00042B16" w:rsidP="00FD16E0">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lv-LV"/>
              </w:rPr>
            </w:pPr>
            <w:r w:rsidRPr="00AA05D7">
              <w:rPr>
                <w:rFonts w:ascii="Times New Roman" w:eastAsia="Times New Roman" w:hAnsi="Times New Roman" w:cs="Times New Roman"/>
                <w:sz w:val="16"/>
                <w:szCs w:val="16"/>
                <w:lang w:eastAsia="lv-LV"/>
              </w:rPr>
              <w:t>30 633</w:t>
            </w:r>
          </w:p>
        </w:tc>
        <w:tc>
          <w:tcPr>
            <w:tcW w:w="993" w:type="dxa"/>
            <w:shd w:val="clear" w:color="auto" w:fill="auto"/>
            <w:noWrap/>
            <w:hideMark/>
          </w:tcPr>
          <w:p w14:paraId="148C5720" w14:textId="77777777" w:rsidR="00042B16" w:rsidRPr="00AA05D7" w:rsidRDefault="00042B16" w:rsidP="00FD16E0">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lv-LV"/>
              </w:rPr>
            </w:pPr>
            <w:r w:rsidRPr="00AA05D7">
              <w:rPr>
                <w:rFonts w:ascii="Times New Roman" w:eastAsia="Times New Roman" w:hAnsi="Times New Roman" w:cs="Times New Roman"/>
                <w:sz w:val="16"/>
                <w:szCs w:val="16"/>
                <w:lang w:eastAsia="lv-LV"/>
              </w:rPr>
              <w:t>28 545</w:t>
            </w:r>
          </w:p>
        </w:tc>
        <w:tc>
          <w:tcPr>
            <w:tcW w:w="850" w:type="dxa"/>
            <w:shd w:val="clear" w:color="auto" w:fill="auto"/>
            <w:noWrap/>
            <w:hideMark/>
          </w:tcPr>
          <w:p w14:paraId="66F730BA" w14:textId="77777777" w:rsidR="00042B16" w:rsidRPr="00AA05D7" w:rsidRDefault="00042B16" w:rsidP="00FD16E0">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lv-LV"/>
              </w:rPr>
            </w:pPr>
            <w:r w:rsidRPr="00AA05D7">
              <w:rPr>
                <w:rFonts w:ascii="Times New Roman" w:eastAsia="Times New Roman" w:hAnsi="Times New Roman" w:cs="Times New Roman"/>
                <w:sz w:val="16"/>
                <w:szCs w:val="16"/>
                <w:lang w:eastAsia="lv-LV"/>
              </w:rPr>
              <w:t>-2 088</w:t>
            </w:r>
          </w:p>
        </w:tc>
        <w:tc>
          <w:tcPr>
            <w:tcW w:w="1134" w:type="dxa"/>
            <w:shd w:val="clear" w:color="auto" w:fill="auto"/>
            <w:noWrap/>
            <w:hideMark/>
          </w:tcPr>
          <w:p w14:paraId="34154210" w14:textId="77777777" w:rsidR="00042B16" w:rsidRPr="00AA05D7" w:rsidRDefault="00042B16" w:rsidP="00FD16E0">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lv-LV"/>
              </w:rPr>
            </w:pPr>
            <w:r w:rsidRPr="00AA05D7">
              <w:rPr>
                <w:rFonts w:ascii="Times New Roman" w:eastAsia="Times New Roman" w:hAnsi="Times New Roman" w:cs="Times New Roman"/>
                <w:sz w:val="16"/>
                <w:szCs w:val="16"/>
                <w:lang w:eastAsia="lv-LV"/>
              </w:rPr>
              <w:t>28 992</w:t>
            </w:r>
          </w:p>
        </w:tc>
        <w:tc>
          <w:tcPr>
            <w:tcW w:w="992" w:type="dxa"/>
            <w:shd w:val="clear" w:color="auto" w:fill="auto"/>
            <w:noWrap/>
            <w:hideMark/>
          </w:tcPr>
          <w:p w14:paraId="2E942845" w14:textId="77777777" w:rsidR="00042B16" w:rsidRPr="00AA05D7" w:rsidRDefault="00042B16" w:rsidP="00FD16E0">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lv-LV"/>
              </w:rPr>
            </w:pPr>
            <w:r w:rsidRPr="00AA05D7">
              <w:rPr>
                <w:rFonts w:ascii="Times New Roman" w:eastAsia="Times New Roman" w:hAnsi="Times New Roman" w:cs="Times New Roman"/>
                <w:sz w:val="16"/>
                <w:szCs w:val="16"/>
                <w:lang w:eastAsia="lv-LV"/>
              </w:rPr>
              <w:t>26 787</w:t>
            </w:r>
          </w:p>
        </w:tc>
        <w:tc>
          <w:tcPr>
            <w:tcW w:w="993" w:type="dxa"/>
            <w:shd w:val="clear" w:color="auto" w:fill="auto"/>
            <w:noWrap/>
            <w:hideMark/>
          </w:tcPr>
          <w:p w14:paraId="04D9AB59" w14:textId="77777777" w:rsidR="00042B16" w:rsidRPr="00AA05D7" w:rsidRDefault="00042B16" w:rsidP="00FD16E0">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lv-LV"/>
              </w:rPr>
            </w:pPr>
            <w:r w:rsidRPr="00AA05D7">
              <w:rPr>
                <w:rFonts w:ascii="Times New Roman" w:eastAsia="Times New Roman" w:hAnsi="Times New Roman" w:cs="Times New Roman"/>
                <w:sz w:val="16"/>
                <w:szCs w:val="16"/>
                <w:lang w:eastAsia="lv-LV"/>
              </w:rPr>
              <w:t>-2 205</w:t>
            </w:r>
          </w:p>
        </w:tc>
      </w:tr>
      <w:tr w:rsidR="00042B16" w:rsidRPr="00AA05D7" w14:paraId="30D9CB65" w14:textId="77777777" w:rsidTr="00042B16">
        <w:trPr>
          <w:trHeight w:val="630"/>
        </w:trPr>
        <w:tc>
          <w:tcPr>
            <w:cnfStyle w:val="001000000000" w:firstRow="0" w:lastRow="0" w:firstColumn="1" w:lastColumn="0" w:oddVBand="0" w:evenVBand="0" w:oddHBand="0" w:evenHBand="0" w:firstRowFirstColumn="0" w:firstRowLastColumn="0" w:lastRowFirstColumn="0" w:lastRowLastColumn="0"/>
            <w:tcW w:w="1276" w:type="dxa"/>
            <w:hideMark/>
          </w:tcPr>
          <w:p w14:paraId="679924D1" w14:textId="77777777" w:rsidR="00042B16" w:rsidRPr="00042B16" w:rsidRDefault="00042B16" w:rsidP="00042B16">
            <w:pPr>
              <w:ind w:left="-57" w:right="-57"/>
              <w:rPr>
                <w:rFonts w:ascii="Times New Roman" w:eastAsia="Times New Roman" w:hAnsi="Times New Roman" w:cs="Times New Roman"/>
                <w:b w:val="0"/>
                <w:bCs w:val="0"/>
                <w:sz w:val="16"/>
                <w:szCs w:val="16"/>
                <w:lang w:eastAsia="lv-LV"/>
              </w:rPr>
            </w:pPr>
            <w:r w:rsidRPr="00AA05D7">
              <w:rPr>
                <w:rFonts w:ascii="Times New Roman" w:eastAsia="Times New Roman" w:hAnsi="Times New Roman" w:cs="Times New Roman"/>
                <w:b w:val="0"/>
                <w:bCs w:val="0"/>
                <w:sz w:val="16"/>
                <w:szCs w:val="16"/>
                <w:lang w:eastAsia="lv-LV"/>
              </w:rPr>
              <w:t xml:space="preserve">Pabalsta apmērs, </w:t>
            </w:r>
          </w:p>
          <w:p w14:paraId="7926636D" w14:textId="77777777" w:rsidR="00042B16" w:rsidRPr="00AA05D7" w:rsidRDefault="00042B16" w:rsidP="00042B16">
            <w:pPr>
              <w:ind w:left="-57" w:right="-57"/>
              <w:rPr>
                <w:rFonts w:ascii="Times New Roman" w:eastAsia="Times New Roman" w:hAnsi="Times New Roman" w:cs="Times New Roman"/>
                <w:b w:val="0"/>
                <w:bCs w:val="0"/>
                <w:sz w:val="16"/>
                <w:szCs w:val="16"/>
                <w:lang w:eastAsia="lv-LV"/>
              </w:rPr>
            </w:pPr>
            <w:r w:rsidRPr="00AA05D7">
              <w:rPr>
                <w:rFonts w:ascii="Times New Roman" w:eastAsia="Times New Roman" w:hAnsi="Times New Roman" w:cs="Times New Roman"/>
                <w:b w:val="0"/>
                <w:bCs w:val="0"/>
                <w:sz w:val="16"/>
                <w:szCs w:val="16"/>
                <w:lang w:eastAsia="lv-LV"/>
              </w:rPr>
              <w:t>vid.</w:t>
            </w:r>
            <w:r w:rsidRPr="00042B16">
              <w:rPr>
                <w:rFonts w:ascii="Times New Roman" w:eastAsia="Times New Roman" w:hAnsi="Times New Roman" w:cs="Times New Roman"/>
                <w:b w:val="0"/>
                <w:bCs w:val="0"/>
                <w:sz w:val="16"/>
                <w:szCs w:val="16"/>
                <w:lang w:eastAsia="lv-LV"/>
              </w:rPr>
              <w:t xml:space="preserve"> </w:t>
            </w:r>
            <w:r w:rsidRPr="00AA05D7">
              <w:rPr>
                <w:rFonts w:ascii="Times New Roman" w:eastAsia="Times New Roman" w:hAnsi="Times New Roman" w:cs="Times New Roman"/>
                <w:b w:val="0"/>
                <w:bCs w:val="0"/>
                <w:sz w:val="16"/>
                <w:szCs w:val="16"/>
                <w:lang w:eastAsia="lv-LV"/>
              </w:rPr>
              <w:t>mēnesī</w:t>
            </w:r>
          </w:p>
        </w:tc>
        <w:tc>
          <w:tcPr>
            <w:tcW w:w="992" w:type="dxa"/>
            <w:noWrap/>
            <w:hideMark/>
          </w:tcPr>
          <w:p w14:paraId="50C15651" w14:textId="77777777" w:rsidR="00042B16" w:rsidRPr="00AA05D7" w:rsidRDefault="00042B16" w:rsidP="00FD16E0">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lv-LV"/>
              </w:rPr>
            </w:pPr>
            <w:r w:rsidRPr="00AA05D7">
              <w:rPr>
                <w:rFonts w:ascii="Times New Roman" w:eastAsia="Times New Roman" w:hAnsi="Times New Roman" w:cs="Times New Roman"/>
                <w:sz w:val="16"/>
                <w:szCs w:val="16"/>
                <w:lang w:eastAsia="lv-LV"/>
              </w:rPr>
              <w:t>373,46</w:t>
            </w:r>
          </w:p>
        </w:tc>
        <w:tc>
          <w:tcPr>
            <w:tcW w:w="993" w:type="dxa"/>
            <w:noWrap/>
            <w:hideMark/>
          </w:tcPr>
          <w:p w14:paraId="241935DF" w14:textId="77777777" w:rsidR="00042B16" w:rsidRPr="00AA05D7" w:rsidRDefault="00042B16" w:rsidP="00FD16E0">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lv-LV"/>
              </w:rPr>
            </w:pPr>
            <w:r w:rsidRPr="00AA05D7">
              <w:rPr>
                <w:rFonts w:ascii="Times New Roman" w:eastAsia="Times New Roman" w:hAnsi="Times New Roman" w:cs="Times New Roman"/>
                <w:sz w:val="16"/>
                <w:szCs w:val="16"/>
                <w:lang w:eastAsia="lv-LV"/>
              </w:rPr>
              <w:t>373,46</w:t>
            </w:r>
          </w:p>
        </w:tc>
        <w:tc>
          <w:tcPr>
            <w:tcW w:w="850" w:type="dxa"/>
            <w:noWrap/>
            <w:hideMark/>
          </w:tcPr>
          <w:p w14:paraId="76347AAF" w14:textId="77777777" w:rsidR="00042B16" w:rsidRPr="00AA05D7" w:rsidRDefault="00042B16" w:rsidP="00FD16E0">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lv-LV"/>
              </w:rPr>
            </w:pPr>
            <w:r w:rsidRPr="00AA05D7">
              <w:rPr>
                <w:rFonts w:ascii="Times New Roman" w:eastAsia="Times New Roman" w:hAnsi="Times New Roman" w:cs="Times New Roman"/>
                <w:sz w:val="16"/>
                <w:szCs w:val="16"/>
                <w:lang w:eastAsia="lv-LV"/>
              </w:rPr>
              <w:t>0</w:t>
            </w:r>
          </w:p>
        </w:tc>
        <w:tc>
          <w:tcPr>
            <w:tcW w:w="992" w:type="dxa"/>
            <w:noWrap/>
            <w:hideMark/>
          </w:tcPr>
          <w:p w14:paraId="56538123" w14:textId="77777777" w:rsidR="00042B16" w:rsidRPr="00AA05D7" w:rsidRDefault="00042B16" w:rsidP="00FD16E0">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lv-LV"/>
              </w:rPr>
            </w:pPr>
            <w:r w:rsidRPr="00AA05D7">
              <w:rPr>
                <w:rFonts w:ascii="Times New Roman" w:eastAsia="Times New Roman" w:hAnsi="Times New Roman" w:cs="Times New Roman"/>
                <w:sz w:val="16"/>
                <w:szCs w:val="16"/>
                <w:lang w:eastAsia="lv-LV"/>
              </w:rPr>
              <w:t>392,16</w:t>
            </w:r>
          </w:p>
        </w:tc>
        <w:tc>
          <w:tcPr>
            <w:tcW w:w="993" w:type="dxa"/>
            <w:noWrap/>
            <w:hideMark/>
          </w:tcPr>
          <w:p w14:paraId="5C8DF567" w14:textId="77777777" w:rsidR="00042B16" w:rsidRPr="00AA05D7" w:rsidRDefault="00042B16" w:rsidP="00FD16E0">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lv-LV"/>
              </w:rPr>
            </w:pPr>
            <w:r w:rsidRPr="00AA05D7">
              <w:rPr>
                <w:rFonts w:ascii="Times New Roman" w:eastAsia="Times New Roman" w:hAnsi="Times New Roman" w:cs="Times New Roman"/>
                <w:sz w:val="16"/>
                <w:szCs w:val="16"/>
                <w:lang w:eastAsia="lv-LV"/>
              </w:rPr>
              <w:t>392,16</w:t>
            </w:r>
          </w:p>
        </w:tc>
        <w:tc>
          <w:tcPr>
            <w:tcW w:w="850" w:type="dxa"/>
            <w:noWrap/>
            <w:hideMark/>
          </w:tcPr>
          <w:p w14:paraId="4D0C5A84" w14:textId="77777777" w:rsidR="00042B16" w:rsidRPr="00AA05D7" w:rsidRDefault="00042B16" w:rsidP="00FD16E0">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lv-LV"/>
              </w:rPr>
            </w:pPr>
            <w:r w:rsidRPr="00AA05D7">
              <w:rPr>
                <w:rFonts w:ascii="Times New Roman" w:eastAsia="Times New Roman" w:hAnsi="Times New Roman" w:cs="Times New Roman"/>
                <w:sz w:val="16"/>
                <w:szCs w:val="16"/>
                <w:lang w:eastAsia="lv-LV"/>
              </w:rPr>
              <w:t>0</w:t>
            </w:r>
          </w:p>
        </w:tc>
        <w:tc>
          <w:tcPr>
            <w:tcW w:w="1134" w:type="dxa"/>
            <w:noWrap/>
            <w:hideMark/>
          </w:tcPr>
          <w:p w14:paraId="6DF95B95" w14:textId="77777777" w:rsidR="00042B16" w:rsidRPr="00AA05D7" w:rsidRDefault="00042B16" w:rsidP="00FD16E0">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lv-LV"/>
              </w:rPr>
            </w:pPr>
            <w:r w:rsidRPr="00AA05D7">
              <w:rPr>
                <w:rFonts w:ascii="Times New Roman" w:eastAsia="Times New Roman" w:hAnsi="Times New Roman" w:cs="Times New Roman"/>
                <w:sz w:val="16"/>
                <w:szCs w:val="16"/>
                <w:lang w:eastAsia="lv-LV"/>
              </w:rPr>
              <w:t>411,76</w:t>
            </w:r>
          </w:p>
        </w:tc>
        <w:tc>
          <w:tcPr>
            <w:tcW w:w="992" w:type="dxa"/>
            <w:noWrap/>
            <w:hideMark/>
          </w:tcPr>
          <w:p w14:paraId="123B56F9" w14:textId="77777777" w:rsidR="00042B16" w:rsidRPr="00AA05D7" w:rsidRDefault="00042B16" w:rsidP="00FD16E0">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lv-LV"/>
              </w:rPr>
            </w:pPr>
            <w:r w:rsidRPr="00AA05D7">
              <w:rPr>
                <w:rFonts w:ascii="Times New Roman" w:eastAsia="Times New Roman" w:hAnsi="Times New Roman" w:cs="Times New Roman"/>
                <w:sz w:val="16"/>
                <w:szCs w:val="16"/>
                <w:lang w:eastAsia="lv-LV"/>
              </w:rPr>
              <w:t>411,76</w:t>
            </w:r>
          </w:p>
        </w:tc>
        <w:tc>
          <w:tcPr>
            <w:tcW w:w="993" w:type="dxa"/>
            <w:noWrap/>
            <w:hideMark/>
          </w:tcPr>
          <w:p w14:paraId="09843B0B" w14:textId="77777777" w:rsidR="00042B16" w:rsidRPr="00AA05D7" w:rsidRDefault="00042B16" w:rsidP="00FD16E0">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lv-LV"/>
              </w:rPr>
            </w:pPr>
            <w:r w:rsidRPr="00AA05D7">
              <w:rPr>
                <w:rFonts w:ascii="Times New Roman" w:eastAsia="Times New Roman" w:hAnsi="Times New Roman" w:cs="Times New Roman"/>
                <w:sz w:val="16"/>
                <w:szCs w:val="16"/>
                <w:lang w:eastAsia="lv-LV"/>
              </w:rPr>
              <w:t>0</w:t>
            </w:r>
          </w:p>
        </w:tc>
      </w:tr>
      <w:tr w:rsidR="00042B16" w:rsidRPr="00042B16" w14:paraId="5C343B15" w14:textId="77777777" w:rsidTr="00E415B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276" w:type="dxa"/>
            <w:hideMark/>
          </w:tcPr>
          <w:p w14:paraId="2E5CB696" w14:textId="77777777" w:rsidR="00042B16" w:rsidRPr="00AA05D7" w:rsidRDefault="00042B16" w:rsidP="00FD16E0">
            <w:pPr>
              <w:ind w:left="-57" w:right="-57"/>
              <w:rPr>
                <w:rFonts w:ascii="Times New Roman" w:eastAsia="Times New Roman" w:hAnsi="Times New Roman" w:cs="Times New Roman"/>
                <w:sz w:val="16"/>
                <w:szCs w:val="16"/>
                <w:lang w:eastAsia="lv-LV"/>
              </w:rPr>
            </w:pPr>
            <w:r w:rsidRPr="00AA05D7">
              <w:rPr>
                <w:rFonts w:ascii="Times New Roman" w:eastAsia="Times New Roman" w:hAnsi="Times New Roman" w:cs="Times New Roman"/>
                <w:sz w:val="16"/>
                <w:szCs w:val="16"/>
                <w:lang w:eastAsia="lv-LV"/>
              </w:rPr>
              <w:t>Izdevumi gadā</w:t>
            </w:r>
          </w:p>
        </w:tc>
        <w:tc>
          <w:tcPr>
            <w:tcW w:w="992" w:type="dxa"/>
            <w:noWrap/>
            <w:hideMark/>
          </w:tcPr>
          <w:p w14:paraId="35D56A9D" w14:textId="77777777" w:rsidR="00042B16" w:rsidRPr="00AA05D7" w:rsidRDefault="00042B16" w:rsidP="00FD16E0">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eastAsia="lv-LV"/>
              </w:rPr>
            </w:pPr>
            <w:r w:rsidRPr="00AA05D7">
              <w:rPr>
                <w:rFonts w:ascii="Times New Roman" w:eastAsia="Times New Roman" w:hAnsi="Times New Roman" w:cs="Times New Roman"/>
                <w:b/>
                <w:bCs/>
                <w:sz w:val="16"/>
                <w:szCs w:val="16"/>
                <w:lang w:eastAsia="lv-LV"/>
              </w:rPr>
              <w:t>159 345 932</w:t>
            </w:r>
          </w:p>
        </w:tc>
        <w:tc>
          <w:tcPr>
            <w:tcW w:w="993" w:type="dxa"/>
            <w:noWrap/>
            <w:hideMark/>
          </w:tcPr>
          <w:p w14:paraId="5767E5DF" w14:textId="77777777" w:rsidR="00042B16" w:rsidRPr="00AA05D7" w:rsidRDefault="00042B16" w:rsidP="00FD16E0">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eastAsia="lv-LV"/>
              </w:rPr>
            </w:pPr>
            <w:r w:rsidRPr="00AA05D7">
              <w:rPr>
                <w:rFonts w:ascii="Times New Roman" w:eastAsia="Times New Roman" w:hAnsi="Times New Roman" w:cs="Times New Roman"/>
                <w:b/>
                <w:bCs/>
                <w:sz w:val="16"/>
                <w:szCs w:val="16"/>
                <w:lang w:eastAsia="lv-LV"/>
              </w:rPr>
              <w:t>150 378 048</w:t>
            </w:r>
          </w:p>
        </w:tc>
        <w:tc>
          <w:tcPr>
            <w:tcW w:w="850" w:type="dxa"/>
            <w:noWrap/>
            <w:hideMark/>
          </w:tcPr>
          <w:p w14:paraId="47EA77E0" w14:textId="77777777" w:rsidR="00042B16" w:rsidRPr="00AA05D7" w:rsidRDefault="00042B16" w:rsidP="00FD16E0">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eastAsia="lv-LV"/>
              </w:rPr>
            </w:pPr>
            <w:r w:rsidRPr="00AA05D7">
              <w:rPr>
                <w:rFonts w:ascii="Times New Roman" w:eastAsia="Times New Roman" w:hAnsi="Times New Roman" w:cs="Times New Roman"/>
                <w:b/>
                <w:bCs/>
                <w:sz w:val="16"/>
                <w:szCs w:val="16"/>
                <w:lang w:eastAsia="lv-LV"/>
              </w:rPr>
              <w:t>-8 967 884</w:t>
            </w:r>
          </w:p>
        </w:tc>
        <w:tc>
          <w:tcPr>
            <w:tcW w:w="992" w:type="dxa"/>
            <w:noWrap/>
            <w:hideMark/>
          </w:tcPr>
          <w:p w14:paraId="09059A61" w14:textId="77777777" w:rsidR="00042B16" w:rsidRPr="00AA05D7" w:rsidRDefault="00042B16" w:rsidP="00042B16">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eastAsia="lv-LV"/>
              </w:rPr>
            </w:pPr>
            <w:r w:rsidRPr="00AA05D7">
              <w:rPr>
                <w:rFonts w:ascii="Times New Roman" w:eastAsia="Times New Roman" w:hAnsi="Times New Roman" w:cs="Times New Roman"/>
                <w:b/>
                <w:bCs/>
                <w:sz w:val="16"/>
                <w:szCs w:val="16"/>
                <w:lang w:eastAsia="lv-LV"/>
              </w:rPr>
              <w:t>144 156 447</w:t>
            </w:r>
          </w:p>
        </w:tc>
        <w:tc>
          <w:tcPr>
            <w:tcW w:w="993" w:type="dxa"/>
            <w:noWrap/>
            <w:hideMark/>
          </w:tcPr>
          <w:p w14:paraId="37003216" w14:textId="77777777" w:rsidR="00042B16" w:rsidRPr="00AA05D7" w:rsidRDefault="00042B16" w:rsidP="00FD16E0">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eastAsia="lv-LV"/>
              </w:rPr>
            </w:pPr>
            <w:r w:rsidRPr="00AA05D7">
              <w:rPr>
                <w:rFonts w:ascii="Times New Roman" w:eastAsia="Times New Roman" w:hAnsi="Times New Roman" w:cs="Times New Roman"/>
                <w:b/>
                <w:bCs/>
                <w:sz w:val="16"/>
                <w:szCs w:val="16"/>
                <w:lang w:eastAsia="lv-LV"/>
              </w:rPr>
              <w:t>134 329 075</w:t>
            </w:r>
          </w:p>
        </w:tc>
        <w:tc>
          <w:tcPr>
            <w:tcW w:w="850" w:type="dxa"/>
            <w:noWrap/>
            <w:hideMark/>
          </w:tcPr>
          <w:p w14:paraId="1D8E4E56" w14:textId="77777777" w:rsidR="00042B16" w:rsidRPr="00AA05D7" w:rsidRDefault="00042B16" w:rsidP="00FD16E0">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eastAsia="lv-LV"/>
              </w:rPr>
            </w:pPr>
            <w:r w:rsidRPr="00AA05D7">
              <w:rPr>
                <w:rFonts w:ascii="Times New Roman" w:eastAsia="Times New Roman" w:hAnsi="Times New Roman" w:cs="Times New Roman"/>
                <w:b/>
                <w:bCs/>
                <w:sz w:val="16"/>
                <w:szCs w:val="16"/>
                <w:lang w:eastAsia="lv-LV"/>
              </w:rPr>
              <w:t>-9 827 372</w:t>
            </w:r>
          </w:p>
        </w:tc>
        <w:tc>
          <w:tcPr>
            <w:tcW w:w="1134" w:type="dxa"/>
            <w:noWrap/>
            <w:hideMark/>
          </w:tcPr>
          <w:p w14:paraId="775FF2A2" w14:textId="77777777" w:rsidR="00042B16" w:rsidRPr="00AA05D7" w:rsidRDefault="00042B16" w:rsidP="00FD16E0">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eastAsia="lv-LV"/>
              </w:rPr>
            </w:pPr>
            <w:r w:rsidRPr="00AA05D7">
              <w:rPr>
                <w:rFonts w:ascii="Times New Roman" w:eastAsia="Times New Roman" w:hAnsi="Times New Roman" w:cs="Times New Roman"/>
                <w:b/>
                <w:bCs/>
                <w:sz w:val="16"/>
                <w:szCs w:val="16"/>
                <w:lang w:eastAsia="lv-LV"/>
              </w:rPr>
              <w:t>143 254 073</w:t>
            </w:r>
          </w:p>
        </w:tc>
        <w:tc>
          <w:tcPr>
            <w:tcW w:w="992" w:type="dxa"/>
            <w:noWrap/>
            <w:hideMark/>
          </w:tcPr>
          <w:p w14:paraId="36EC364D" w14:textId="77777777" w:rsidR="00042B16" w:rsidRPr="00AA05D7" w:rsidRDefault="00042B16" w:rsidP="00FD16E0">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eastAsia="lv-LV"/>
              </w:rPr>
            </w:pPr>
            <w:r w:rsidRPr="00AA05D7">
              <w:rPr>
                <w:rFonts w:ascii="Times New Roman" w:eastAsia="Times New Roman" w:hAnsi="Times New Roman" w:cs="Times New Roman"/>
                <w:b/>
                <w:bCs/>
                <w:sz w:val="16"/>
                <w:szCs w:val="16"/>
                <w:lang w:eastAsia="lv-LV"/>
              </w:rPr>
              <w:t>132 360 093</w:t>
            </w:r>
          </w:p>
        </w:tc>
        <w:tc>
          <w:tcPr>
            <w:tcW w:w="993" w:type="dxa"/>
            <w:noWrap/>
            <w:hideMark/>
          </w:tcPr>
          <w:p w14:paraId="1EEBEEC8" w14:textId="77777777" w:rsidR="00042B16" w:rsidRPr="00AA05D7" w:rsidRDefault="00042B16" w:rsidP="00FD16E0">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eastAsia="lv-LV"/>
              </w:rPr>
            </w:pPr>
            <w:r w:rsidRPr="00AA05D7">
              <w:rPr>
                <w:rFonts w:ascii="Times New Roman" w:eastAsia="Times New Roman" w:hAnsi="Times New Roman" w:cs="Times New Roman"/>
                <w:b/>
                <w:bCs/>
                <w:sz w:val="16"/>
                <w:szCs w:val="16"/>
                <w:lang w:eastAsia="lv-LV"/>
              </w:rPr>
              <w:t>-10 893 980</w:t>
            </w:r>
          </w:p>
        </w:tc>
      </w:tr>
    </w:tbl>
    <w:p w14:paraId="04D18E54" w14:textId="77777777" w:rsidR="00042B16" w:rsidRDefault="00042B16" w:rsidP="00E51752">
      <w:pPr>
        <w:autoSpaceDE w:val="0"/>
        <w:autoSpaceDN w:val="0"/>
        <w:spacing w:after="120" w:line="240" w:lineRule="auto"/>
        <w:ind w:firstLine="720"/>
        <w:jc w:val="both"/>
        <w:rPr>
          <w:rFonts w:ascii="Times New Roman" w:hAnsi="Times New Roman" w:cs="Times New Roman"/>
          <w:sz w:val="24"/>
          <w:szCs w:val="24"/>
          <w:lang w:eastAsia="lv-LV"/>
        </w:rPr>
      </w:pPr>
    </w:p>
    <w:p w14:paraId="19BCCE04" w14:textId="05180056" w:rsidR="005D2CA9" w:rsidRPr="00195B7D" w:rsidRDefault="005D2CA9" w:rsidP="00E51752">
      <w:pPr>
        <w:autoSpaceDE w:val="0"/>
        <w:autoSpaceDN w:val="0"/>
        <w:spacing w:after="120" w:line="240" w:lineRule="auto"/>
        <w:ind w:firstLine="720"/>
        <w:jc w:val="both"/>
        <w:rPr>
          <w:rFonts w:ascii="Times New Roman" w:hAnsi="Times New Roman" w:cs="Times New Roman"/>
          <w:sz w:val="24"/>
          <w:szCs w:val="24"/>
          <w:lang w:eastAsia="lv-LV"/>
        </w:rPr>
      </w:pPr>
      <w:r w:rsidRPr="00195B7D">
        <w:rPr>
          <w:rFonts w:ascii="Times New Roman" w:hAnsi="Times New Roman" w:cs="Times New Roman"/>
          <w:sz w:val="24"/>
          <w:szCs w:val="24"/>
          <w:lang w:eastAsia="lv-LV"/>
        </w:rPr>
        <w:t xml:space="preserve">Līdz ar to, LM lūdz atbalstīt priekšlikumu valsts sociālās apdrošināšanas speciālā budžeta apakšprogrammā 04.02.00 “Nodarbinātības speciālais budžets” samazināt izdevumus sociāla rakstura maksājumiem un kompensācijām 2022.gadā 8 967 884 </w:t>
      </w:r>
      <w:r w:rsidRPr="00195B7D">
        <w:rPr>
          <w:rFonts w:ascii="Times New Roman" w:hAnsi="Times New Roman" w:cs="Times New Roman"/>
          <w:i/>
          <w:iCs/>
          <w:sz w:val="24"/>
          <w:szCs w:val="24"/>
          <w:lang w:eastAsia="lv-LV"/>
        </w:rPr>
        <w:t>euro</w:t>
      </w:r>
      <w:r w:rsidRPr="00195B7D">
        <w:rPr>
          <w:rFonts w:ascii="Times New Roman" w:hAnsi="Times New Roman" w:cs="Times New Roman"/>
          <w:sz w:val="24"/>
          <w:szCs w:val="24"/>
          <w:lang w:eastAsia="lv-LV"/>
        </w:rPr>
        <w:t xml:space="preserve"> apmērā, 2023.gadā 9 827 372 </w:t>
      </w:r>
      <w:r w:rsidRPr="00195B7D">
        <w:rPr>
          <w:rFonts w:ascii="Times New Roman" w:hAnsi="Times New Roman" w:cs="Times New Roman"/>
          <w:i/>
          <w:iCs/>
          <w:sz w:val="24"/>
          <w:szCs w:val="24"/>
          <w:lang w:eastAsia="lv-LV"/>
        </w:rPr>
        <w:t>euro</w:t>
      </w:r>
      <w:r w:rsidRPr="00195B7D">
        <w:rPr>
          <w:rFonts w:ascii="Times New Roman" w:hAnsi="Times New Roman" w:cs="Times New Roman"/>
          <w:sz w:val="24"/>
          <w:szCs w:val="24"/>
          <w:lang w:eastAsia="lv-LV"/>
        </w:rPr>
        <w:t xml:space="preserve"> apmērā un 2024.gadā 10 893 980 </w:t>
      </w:r>
      <w:r w:rsidRPr="00195B7D">
        <w:rPr>
          <w:rFonts w:ascii="Times New Roman" w:hAnsi="Times New Roman" w:cs="Times New Roman"/>
          <w:i/>
          <w:iCs/>
          <w:sz w:val="24"/>
          <w:szCs w:val="24"/>
          <w:lang w:eastAsia="lv-LV"/>
        </w:rPr>
        <w:t>euro</w:t>
      </w:r>
      <w:r w:rsidRPr="00195B7D">
        <w:rPr>
          <w:rFonts w:ascii="Times New Roman" w:hAnsi="Times New Roman" w:cs="Times New Roman"/>
          <w:sz w:val="24"/>
          <w:szCs w:val="24"/>
          <w:lang w:eastAsia="lv-LV"/>
        </w:rPr>
        <w:t xml:space="preserve"> apmērā.</w:t>
      </w:r>
    </w:p>
    <w:p w14:paraId="3712C2E4" w14:textId="520849B7" w:rsidR="005D2CA9" w:rsidRPr="00C62C62" w:rsidRDefault="005D2CA9" w:rsidP="00E51752">
      <w:pPr>
        <w:pStyle w:val="xxmsonormal0"/>
        <w:spacing w:after="120"/>
        <w:ind w:firstLine="720"/>
        <w:jc w:val="both"/>
        <w:rPr>
          <w:rFonts w:ascii="Times New Roman" w:hAnsi="Times New Roman" w:cs="Times New Roman"/>
          <w:sz w:val="24"/>
          <w:szCs w:val="24"/>
        </w:rPr>
      </w:pPr>
      <w:r>
        <w:rPr>
          <w:rFonts w:ascii="Times New Roman" w:hAnsi="Times New Roman" w:cs="Times New Roman"/>
          <w:sz w:val="24"/>
          <w:szCs w:val="24"/>
        </w:rPr>
        <w:t>S</w:t>
      </w:r>
      <w:r w:rsidRPr="00C62C62">
        <w:rPr>
          <w:rFonts w:ascii="Times New Roman" w:hAnsi="Times New Roman" w:cs="Times New Roman"/>
          <w:sz w:val="24"/>
          <w:szCs w:val="24"/>
        </w:rPr>
        <w:t xml:space="preserve">amazinot </w:t>
      </w:r>
      <w:r>
        <w:rPr>
          <w:rFonts w:ascii="Times New Roman" w:hAnsi="Times New Roman" w:cs="Times New Roman"/>
          <w:sz w:val="24"/>
          <w:szCs w:val="24"/>
        </w:rPr>
        <w:t>speciālā budžeta</w:t>
      </w:r>
      <w:r w:rsidRPr="00C62C62">
        <w:rPr>
          <w:rFonts w:ascii="Times New Roman" w:hAnsi="Times New Roman" w:cs="Times New Roman"/>
          <w:sz w:val="24"/>
          <w:szCs w:val="24"/>
        </w:rPr>
        <w:t xml:space="preserve"> izdevumus</w:t>
      </w:r>
      <w:r>
        <w:rPr>
          <w:rFonts w:ascii="Times New Roman" w:hAnsi="Times New Roman" w:cs="Times New Roman"/>
          <w:sz w:val="24"/>
          <w:szCs w:val="24"/>
        </w:rPr>
        <w:t>, attiecīgi</w:t>
      </w:r>
      <w:r w:rsidRPr="00C62C62">
        <w:rPr>
          <w:rFonts w:ascii="Times New Roman" w:hAnsi="Times New Roman" w:cs="Times New Roman"/>
          <w:sz w:val="24"/>
          <w:szCs w:val="24"/>
        </w:rPr>
        <w:t xml:space="preserve"> atbrīvoj</w:t>
      </w:r>
      <w:r>
        <w:rPr>
          <w:rFonts w:ascii="Times New Roman" w:hAnsi="Times New Roman" w:cs="Times New Roman"/>
          <w:sz w:val="24"/>
          <w:szCs w:val="24"/>
        </w:rPr>
        <w:t>a</w:t>
      </w:r>
      <w:r w:rsidRPr="00C62C62">
        <w:rPr>
          <w:rFonts w:ascii="Times New Roman" w:hAnsi="Times New Roman" w:cs="Times New Roman"/>
          <w:sz w:val="24"/>
          <w:szCs w:val="24"/>
        </w:rPr>
        <w:t>s fiskālā telpa</w:t>
      </w:r>
      <w:r>
        <w:rPr>
          <w:rFonts w:ascii="Times New Roman" w:hAnsi="Times New Roman" w:cs="Times New Roman"/>
          <w:sz w:val="24"/>
          <w:szCs w:val="24"/>
        </w:rPr>
        <w:t>.</w:t>
      </w:r>
    </w:p>
    <w:tbl>
      <w:tblPr>
        <w:tblStyle w:val="GridTable2-Accent4"/>
        <w:tblW w:w="9356"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4253"/>
        <w:gridCol w:w="1701"/>
        <w:gridCol w:w="1701"/>
        <w:gridCol w:w="1701"/>
      </w:tblGrid>
      <w:tr w:rsidR="005D2CA9" w:rsidRPr="00461101" w14:paraId="60CAC29E" w14:textId="77777777" w:rsidTr="00FD16E0">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4253" w:type="dxa"/>
            <w:tcBorders>
              <w:top w:val="none" w:sz="0" w:space="0" w:color="auto"/>
              <w:bottom w:val="none" w:sz="0" w:space="0" w:color="auto"/>
              <w:right w:val="none" w:sz="0" w:space="0" w:color="auto"/>
            </w:tcBorders>
            <w:shd w:val="clear" w:color="auto" w:fill="auto"/>
          </w:tcPr>
          <w:p w14:paraId="46C7E5D5" w14:textId="77777777" w:rsidR="005D2CA9" w:rsidRPr="00461101" w:rsidRDefault="005D2CA9" w:rsidP="00FD16E0">
            <w:pPr>
              <w:tabs>
                <w:tab w:val="left" w:pos="851"/>
              </w:tabs>
              <w:spacing w:after="120"/>
              <w:rPr>
                <w:rFonts w:ascii="Times New Roman" w:hAnsi="Times New Roman" w:cs="Times New Roman"/>
                <w:b w:val="0"/>
                <w:sz w:val="20"/>
                <w:szCs w:val="20"/>
              </w:rPr>
            </w:pPr>
          </w:p>
        </w:tc>
        <w:tc>
          <w:tcPr>
            <w:tcW w:w="1701" w:type="dxa"/>
            <w:tcBorders>
              <w:top w:val="none" w:sz="0" w:space="0" w:color="auto"/>
              <w:left w:val="none" w:sz="0" w:space="0" w:color="auto"/>
              <w:bottom w:val="none" w:sz="0" w:space="0" w:color="auto"/>
              <w:right w:val="none" w:sz="0" w:space="0" w:color="auto"/>
            </w:tcBorders>
            <w:shd w:val="clear" w:color="auto" w:fill="auto"/>
          </w:tcPr>
          <w:p w14:paraId="7DC8FF0E" w14:textId="77777777" w:rsidR="005D2CA9" w:rsidRPr="00147D3C" w:rsidRDefault="005D2CA9" w:rsidP="00FD16E0">
            <w:pPr>
              <w:tabs>
                <w:tab w:val="left" w:pos="851"/>
              </w:tabs>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0"/>
                <w:szCs w:val="20"/>
              </w:rPr>
            </w:pPr>
            <w:r w:rsidRPr="00461101">
              <w:rPr>
                <w:rFonts w:ascii="Times New Roman" w:hAnsi="Times New Roman" w:cs="Times New Roman"/>
                <w:sz w:val="20"/>
                <w:szCs w:val="20"/>
              </w:rPr>
              <w:t>202</w:t>
            </w:r>
            <w:r>
              <w:rPr>
                <w:rFonts w:ascii="Times New Roman" w:hAnsi="Times New Roman" w:cs="Times New Roman"/>
                <w:sz w:val="20"/>
                <w:szCs w:val="20"/>
              </w:rPr>
              <w:t>2</w:t>
            </w:r>
            <w:r w:rsidRPr="00461101">
              <w:rPr>
                <w:rFonts w:ascii="Times New Roman" w:hAnsi="Times New Roman" w:cs="Times New Roman"/>
                <w:sz w:val="20"/>
                <w:szCs w:val="20"/>
              </w:rPr>
              <w:t>.gadā</w:t>
            </w:r>
          </w:p>
        </w:tc>
        <w:tc>
          <w:tcPr>
            <w:tcW w:w="1701" w:type="dxa"/>
            <w:tcBorders>
              <w:top w:val="none" w:sz="0" w:space="0" w:color="auto"/>
              <w:left w:val="none" w:sz="0" w:space="0" w:color="auto"/>
              <w:bottom w:val="none" w:sz="0" w:space="0" w:color="auto"/>
              <w:right w:val="none" w:sz="0" w:space="0" w:color="auto"/>
            </w:tcBorders>
            <w:shd w:val="clear" w:color="auto" w:fill="auto"/>
          </w:tcPr>
          <w:p w14:paraId="22EDC4C2" w14:textId="77777777" w:rsidR="005D2CA9" w:rsidRPr="00147D3C" w:rsidRDefault="005D2CA9" w:rsidP="00FD16E0">
            <w:pPr>
              <w:tabs>
                <w:tab w:val="left" w:pos="851"/>
              </w:tabs>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0"/>
                <w:szCs w:val="20"/>
              </w:rPr>
            </w:pPr>
            <w:r w:rsidRPr="00461101">
              <w:rPr>
                <w:rFonts w:ascii="Times New Roman" w:hAnsi="Times New Roman" w:cs="Times New Roman"/>
                <w:sz w:val="20"/>
                <w:szCs w:val="20"/>
              </w:rPr>
              <w:t>202</w:t>
            </w:r>
            <w:r>
              <w:rPr>
                <w:rFonts w:ascii="Times New Roman" w:hAnsi="Times New Roman" w:cs="Times New Roman"/>
                <w:sz w:val="20"/>
                <w:szCs w:val="20"/>
              </w:rPr>
              <w:t>3</w:t>
            </w:r>
            <w:r w:rsidRPr="00461101">
              <w:rPr>
                <w:rFonts w:ascii="Times New Roman" w:hAnsi="Times New Roman" w:cs="Times New Roman"/>
                <w:sz w:val="20"/>
                <w:szCs w:val="20"/>
              </w:rPr>
              <w:t>.gadā</w:t>
            </w:r>
          </w:p>
        </w:tc>
        <w:tc>
          <w:tcPr>
            <w:tcW w:w="1701" w:type="dxa"/>
            <w:tcBorders>
              <w:top w:val="none" w:sz="0" w:space="0" w:color="auto"/>
              <w:left w:val="none" w:sz="0" w:space="0" w:color="auto"/>
              <w:bottom w:val="none" w:sz="0" w:space="0" w:color="auto"/>
            </w:tcBorders>
            <w:shd w:val="clear" w:color="auto" w:fill="auto"/>
          </w:tcPr>
          <w:p w14:paraId="16A205F2" w14:textId="77777777" w:rsidR="005D2CA9" w:rsidRPr="00461101" w:rsidRDefault="005D2CA9" w:rsidP="00FD16E0">
            <w:pPr>
              <w:tabs>
                <w:tab w:val="left" w:pos="851"/>
              </w:tabs>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461101">
              <w:rPr>
                <w:rFonts w:ascii="Times New Roman" w:hAnsi="Times New Roman" w:cs="Times New Roman"/>
                <w:sz w:val="20"/>
                <w:szCs w:val="20"/>
              </w:rPr>
              <w:t>202</w:t>
            </w:r>
            <w:r>
              <w:rPr>
                <w:rFonts w:ascii="Times New Roman" w:hAnsi="Times New Roman" w:cs="Times New Roman"/>
                <w:sz w:val="20"/>
                <w:szCs w:val="20"/>
              </w:rPr>
              <w:t>4</w:t>
            </w:r>
            <w:r w:rsidRPr="00461101">
              <w:rPr>
                <w:rFonts w:ascii="Times New Roman" w:hAnsi="Times New Roman" w:cs="Times New Roman"/>
                <w:sz w:val="20"/>
                <w:szCs w:val="20"/>
              </w:rPr>
              <w:t>.gadā</w:t>
            </w:r>
          </w:p>
        </w:tc>
      </w:tr>
      <w:tr w:rsidR="005D2CA9" w:rsidRPr="00461101" w14:paraId="3576C9CA" w14:textId="77777777" w:rsidTr="00FD16E0">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14:paraId="5D991FF5" w14:textId="77777777" w:rsidR="005D2CA9" w:rsidRPr="00090EF5" w:rsidRDefault="005D2CA9" w:rsidP="00FD16E0">
            <w:pPr>
              <w:tabs>
                <w:tab w:val="left" w:pos="851"/>
              </w:tabs>
              <w:spacing w:after="120"/>
              <w:rPr>
                <w:rFonts w:ascii="Times New Roman" w:hAnsi="Times New Roman" w:cs="Times New Roman"/>
                <w:b w:val="0"/>
                <w:bCs w:val="0"/>
                <w:noProof/>
                <w:sz w:val="20"/>
                <w:szCs w:val="20"/>
              </w:rPr>
            </w:pPr>
            <w:r>
              <w:rPr>
                <w:rFonts w:ascii="Times New Roman" w:hAnsi="Times New Roman" w:cs="Times New Roman"/>
                <w:b w:val="0"/>
                <w:bCs w:val="0"/>
                <w:noProof/>
                <w:sz w:val="20"/>
                <w:szCs w:val="20"/>
              </w:rPr>
              <w:t xml:space="preserve">Labklājības ministrijas valsts speciālā budžeta pārrēķins, </w:t>
            </w:r>
            <w:r w:rsidRPr="00436298">
              <w:rPr>
                <w:rFonts w:ascii="Times New Roman" w:hAnsi="Times New Roman" w:cs="Times New Roman"/>
                <w:b w:val="0"/>
                <w:bCs w:val="0"/>
                <w:i/>
                <w:iCs/>
                <w:noProof/>
                <w:sz w:val="20"/>
                <w:szCs w:val="20"/>
              </w:rPr>
              <w:t>euro</w:t>
            </w:r>
          </w:p>
        </w:tc>
        <w:tc>
          <w:tcPr>
            <w:tcW w:w="1701" w:type="dxa"/>
            <w:shd w:val="clear" w:color="auto" w:fill="auto"/>
          </w:tcPr>
          <w:p w14:paraId="566BDDCF" w14:textId="77777777" w:rsidR="005D2CA9" w:rsidRDefault="005D2CA9" w:rsidP="00FD16E0">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sz w:val="20"/>
                <w:szCs w:val="20"/>
              </w:rPr>
            </w:pPr>
            <w:r>
              <w:rPr>
                <w:rFonts w:ascii="Times New Roman" w:hAnsi="Times New Roman" w:cs="Times New Roman"/>
                <w:bCs/>
                <w:noProof/>
                <w:sz w:val="20"/>
                <w:szCs w:val="20"/>
              </w:rPr>
              <w:t>8 967 884</w:t>
            </w:r>
          </w:p>
        </w:tc>
        <w:tc>
          <w:tcPr>
            <w:tcW w:w="1701" w:type="dxa"/>
            <w:shd w:val="clear" w:color="auto" w:fill="auto"/>
          </w:tcPr>
          <w:p w14:paraId="032925F2" w14:textId="77777777" w:rsidR="005D2CA9" w:rsidRDefault="005D2CA9" w:rsidP="00FD16E0">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sz w:val="20"/>
                <w:szCs w:val="20"/>
              </w:rPr>
            </w:pPr>
            <w:r>
              <w:rPr>
                <w:rFonts w:ascii="Times New Roman" w:hAnsi="Times New Roman" w:cs="Times New Roman"/>
                <w:bCs/>
                <w:noProof/>
                <w:sz w:val="20"/>
                <w:szCs w:val="20"/>
              </w:rPr>
              <w:t>9 827 372</w:t>
            </w:r>
          </w:p>
        </w:tc>
        <w:tc>
          <w:tcPr>
            <w:tcW w:w="1701" w:type="dxa"/>
            <w:shd w:val="clear" w:color="auto" w:fill="auto"/>
          </w:tcPr>
          <w:p w14:paraId="5CA15CED" w14:textId="77777777" w:rsidR="005D2CA9" w:rsidRDefault="005D2CA9" w:rsidP="00FD16E0">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sz w:val="20"/>
                <w:szCs w:val="20"/>
              </w:rPr>
            </w:pPr>
            <w:r>
              <w:rPr>
                <w:rFonts w:ascii="Times New Roman" w:hAnsi="Times New Roman" w:cs="Times New Roman"/>
                <w:bCs/>
                <w:noProof/>
                <w:sz w:val="20"/>
                <w:szCs w:val="20"/>
              </w:rPr>
              <w:t>10 893 980</w:t>
            </w:r>
          </w:p>
        </w:tc>
      </w:tr>
      <w:tr w:rsidR="005D2CA9" w:rsidRPr="00E415B4" w14:paraId="2BD6E8AA" w14:textId="77777777" w:rsidTr="00FD16E0">
        <w:trPr>
          <w:trHeight w:val="355"/>
        </w:trPr>
        <w:tc>
          <w:tcPr>
            <w:cnfStyle w:val="001000000000" w:firstRow="0" w:lastRow="0" w:firstColumn="1" w:lastColumn="0" w:oddVBand="0" w:evenVBand="0" w:oddHBand="0" w:evenHBand="0" w:firstRowFirstColumn="0" w:firstRowLastColumn="0" w:lastRowFirstColumn="0" w:lastRowLastColumn="0"/>
            <w:tcW w:w="4253" w:type="dxa"/>
            <w:shd w:val="clear" w:color="auto" w:fill="DEEAF6" w:themeFill="accent1" w:themeFillTint="33"/>
          </w:tcPr>
          <w:p w14:paraId="2928251F" w14:textId="77777777" w:rsidR="005D2CA9" w:rsidRPr="00E415B4" w:rsidRDefault="005D2CA9" w:rsidP="00FD16E0">
            <w:pPr>
              <w:tabs>
                <w:tab w:val="left" w:pos="851"/>
              </w:tabs>
              <w:spacing w:after="120"/>
              <w:rPr>
                <w:rFonts w:ascii="Times New Roman" w:hAnsi="Times New Roman" w:cs="Times New Roman"/>
                <w:noProof/>
                <w:sz w:val="20"/>
                <w:szCs w:val="20"/>
              </w:rPr>
            </w:pPr>
            <w:r w:rsidRPr="00E415B4">
              <w:rPr>
                <w:rFonts w:ascii="Times New Roman" w:hAnsi="Times New Roman" w:cs="Times New Roman"/>
                <w:noProof/>
                <w:sz w:val="20"/>
                <w:szCs w:val="20"/>
              </w:rPr>
              <w:t xml:space="preserve">Koriģēta fiskālā telpa, </w:t>
            </w:r>
            <w:r w:rsidRPr="00E415B4">
              <w:rPr>
                <w:rFonts w:ascii="Times New Roman" w:hAnsi="Times New Roman" w:cs="Times New Roman"/>
                <w:b w:val="0"/>
                <w:bCs w:val="0"/>
                <w:i/>
                <w:iCs/>
                <w:noProof/>
                <w:sz w:val="20"/>
                <w:szCs w:val="20"/>
              </w:rPr>
              <w:t>euro</w:t>
            </w:r>
          </w:p>
        </w:tc>
        <w:tc>
          <w:tcPr>
            <w:tcW w:w="1701" w:type="dxa"/>
            <w:shd w:val="clear" w:color="auto" w:fill="DEEAF6" w:themeFill="accent1" w:themeFillTint="33"/>
          </w:tcPr>
          <w:p w14:paraId="0424EED5" w14:textId="77777777" w:rsidR="005D2CA9" w:rsidRPr="00E415B4" w:rsidRDefault="005D2CA9" w:rsidP="00FD16E0">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20"/>
                <w:szCs w:val="20"/>
              </w:rPr>
            </w:pPr>
            <w:r w:rsidRPr="00E415B4">
              <w:rPr>
                <w:rFonts w:ascii="Times New Roman" w:hAnsi="Times New Roman" w:cs="Times New Roman"/>
                <w:b/>
                <w:bCs/>
                <w:noProof/>
                <w:sz w:val="20"/>
                <w:szCs w:val="20"/>
              </w:rPr>
              <w:t>310 967 884</w:t>
            </w:r>
          </w:p>
        </w:tc>
        <w:tc>
          <w:tcPr>
            <w:tcW w:w="1701" w:type="dxa"/>
            <w:shd w:val="clear" w:color="auto" w:fill="DEEAF6" w:themeFill="accent1" w:themeFillTint="33"/>
          </w:tcPr>
          <w:p w14:paraId="17EB0952" w14:textId="77777777" w:rsidR="005D2CA9" w:rsidRPr="00E415B4" w:rsidRDefault="005D2CA9" w:rsidP="00FD16E0">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20"/>
                <w:szCs w:val="20"/>
              </w:rPr>
            </w:pPr>
            <w:r w:rsidRPr="00E415B4">
              <w:rPr>
                <w:rFonts w:ascii="Times New Roman" w:hAnsi="Times New Roman" w:cs="Times New Roman"/>
                <w:b/>
                <w:bCs/>
                <w:noProof/>
                <w:sz w:val="20"/>
                <w:szCs w:val="20"/>
              </w:rPr>
              <w:t>311 827 372</w:t>
            </w:r>
          </w:p>
        </w:tc>
        <w:tc>
          <w:tcPr>
            <w:tcW w:w="1701" w:type="dxa"/>
            <w:shd w:val="clear" w:color="auto" w:fill="DEEAF6" w:themeFill="accent1" w:themeFillTint="33"/>
          </w:tcPr>
          <w:p w14:paraId="2ED13B26" w14:textId="77777777" w:rsidR="005D2CA9" w:rsidRPr="00E415B4" w:rsidRDefault="005D2CA9" w:rsidP="00FD16E0">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20"/>
                <w:szCs w:val="20"/>
              </w:rPr>
            </w:pPr>
            <w:r w:rsidRPr="00E415B4">
              <w:rPr>
                <w:rFonts w:ascii="Times New Roman" w:hAnsi="Times New Roman" w:cs="Times New Roman"/>
                <w:b/>
                <w:bCs/>
                <w:noProof/>
                <w:sz w:val="20"/>
                <w:szCs w:val="20"/>
              </w:rPr>
              <w:t>312 893 980</w:t>
            </w:r>
          </w:p>
        </w:tc>
      </w:tr>
    </w:tbl>
    <w:p w14:paraId="6691F5CA" w14:textId="6EA87CA6" w:rsidR="00C62C62" w:rsidRDefault="00C62C62" w:rsidP="00C62C62">
      <w:pPr>
        <w:pStyle w:val="xxmsonormal0"/>
        <w:jc w:val="both"/>
        <w:rPr>
          <w:rFonts w:ascii="Times New Roman" w:hAnsi="Times New Roman" w:cs="Times New Roman"/>
          <w:color w:val="1F497D"/>
          <w:sz w:val="24"/>
          <w:szCs w:val="24"/>
        </w:rPr>
      </w:pPr>
    </w:p>
    <w:p w14:paraId="405B0A08" w14:textId="77777777" w:rsidR="008C12D6" w:rsidRPr="00C62C62" w:rsidRDefault="008C12D6" w:rsidP="00C62C62">
      <w:pPr>
        <w:pStyle w:val="xxmsonormal0"/>
        <w:jc w:val="both"/>
        <w:rPr>
          <w:rFonts w:ascii="Times New Roman" w:hAnsi="Times New Roman" w:cs="Times New Roman"/>
          <w:sz w:val="24"/>
          <w:szCs w:val="24"/>
        </w:rPr>
      </w:pPr>
    </w:p>
    <w:p w14:paraId="2257E17B" w14:textId="0308FE94" w:rsidR="00B32B3D" w:rsidRPr="001A611E" w:rsidRDefault="00B32B3D" w:rsidP="001A611E">
      <w:pPr>
        <w:pStyle w:val="ListParagraph"/>
        <w:numPr>
          <w:ilvl w:val="0"/>
          <w:numId w:val="36"/>
        </w:numPr>
        <w:shd w:val="clear" w:color="auto" w:fill="BDD6EE" w:themeFill="accent1" w:themeFillTint="66"/>
        <w:spacing w:before="120" w:after="120" w:line="240" w:lineRule="auto"/>
        <w:contextualSpacing w:val="0"/>
        <w:jc w:val="both"/>
        <w:rPr>
          <w:rFonts w:ascii="Times New Roman" w:hAnsi="Times New Roman" w:cs="Times New Roman"/>
          <w:b/>
          <w:sz w:val="28"/>
          <w:szCs w:val="28"/>
        </w:rPr>
      </w:pPr>
      <w:r w:rsidRPr="001A611E">
        <w:rPr>
          <w:rFonts w:ascii="Times New Roman" w:hAnsi="Times New Roman" w:cs="Times New Roman"/>
          <w:b/>
          <w:sz w:val="28"/>
          <w:szCs w:val="28"/>
        </w:rPr>
        <w:t>Priekšlikumi prioritārajiem pasākumiem</w:t>
      </w:r>
    </w:p>
    <w:p w14:paraId="2071FABC" w14:textId="2706B968" w:rsidR="00B32B3D" w:rsidRPr="00C62C62" w:rsidRDefault="00B32B3D" w:rsidP="00E51752">
      <w:pPr>
        <w:spacing w:after="120" w:line="240" w:lineRule="auto"/>
        <w:ind w:firstLine="720"/>
        <w:jc w:val="both"/>
        <w:rPr>
          <w:rFonts w:ascii="Times New Roman" w:hAnsi="Times New Roman" w:cs="Times New Roman"/>
          <w:color w:val="000000"/>
          <w:sz w:val="24"/>
          <w:szCs w:val="24"/>
        </w:rPr>
      </w:pPr>
      <w:r w:rsidRPr="00C62C62">
        <w:rPr>
          <w:rFonts w:ascii="Times New Roman" w:hAnsi="Times New Roman" w:cs="Times New Roman"/>
          <w:sz w:val="24"/>
          <w:szCs w:val="24"/>
        </w:rPr>
        <w:t>MK 202</w:t>
      </w:r>
      <w:r w:rsidR="00A91868" w:rsidRPr="00C62C62">
        <w:rPr>
          <w:rFonts w:ascii="Times New Roman" w:hAnsi="Times New Roman" w:cs="Times New Roman"/>
          <w:sz w:val="24"/>
          <w:szCs w:val="24"/>
        </w:rPr>
        <w:t>1</w:t>
      </w:r>
      <w:r w:rsidRPr="00C62C62">
        <w:rPr>
          <w:rFonts w:ascii="Times New Roman" w:hAnsi="Times New Roman" w:cs="Times New Roman"/>
          <w:sz w:val="24"/>
          <w:szCs w:val="24"/>
        </w:rPr>
        <w:t>.gada 2</w:t>
      </w:r>
      <w:r w:rsidR="00A91868" w:rsidRPr="00C62C62">
        <w:rPr>
          <w:rFonts w:ascii="Times New Roman" w:hAnsi="Times New Roman" w:cs="Times New Roman"/>
          <w:sz w:val="24"/>
          <w:szCs w:val="24"/>
        </w:rPr>
        <w:t>4</w:t>
      </w:r>
      <w:r w:rsidRPr="00C62C62">
        <w:rPr>
          <w:rFonts w:ascii="Times New Roman" w:hAnsi="Times New Roman" w:cs="Times New Roman"/>
          <w:sz w:val="24"/>
          <w:szCs w:val="24"/>
        </w:rPr>
        <w:t>.</w:t>
      </w:r>
      <w:r w:rsidR="00A91868" w:rsidRPr="00C62C62">
        <w:rPr>
          <w:rFonts w:ascii="Times New Roman" w:hAnsi="Times New Roman" w:cs="Times New Roman"/>
          <w:sz w:val="24"/>
          <w:szCs w:val="24"/>
        </w:rPr>
        <w:t>augusta</w:t>
      </w:r>
      <w:r w:rsidRPr="00C62C62">
        <w:rPr>
          <w:rFonts w:ascii="Times New Roman" w:hAnsi="Times New Roman" w:cs="Times New Roman"/>
          <w:sz w:val="24"/>
          <w:szCs w:val="24"/>
        </w:rPr>
        <w:t xml:space="preserve"> sēdē (prot. Nr.5</w:t>
      </w:r>
      <w:r w:rsidR="00A91868" w:rsidRPr="00C62C62">
        <w:rPr>
          <w:rFonts w:ascii="Times New Roman" w:hAnsi="Times New Roman" w:cs="Times New Roman"/>
          <w:sz w:val="24"/>
          <w:szCs w:val="24"/>
        </w:rPr>
        <w:t>7</w:t>
      </w:r>
      <w:r w:rsidRPr="00C62C62">
        <w:rPr>
          <w:rFonts w:ascii="Times New Roman" w:hAnsi="Times New Roman" w:cs="Times New Roman"/>
          <w:sz w:val="24"/>
          <w:szCs w:val="24"/>
        </w:rPr>
        <w:t xml:space="preserve"> 5</w:t>
      </w:r>
      <w:r w:rsidR="00A91868" w:rsidRPr="00C62C62">
        <w:rPr>
          <w:rFonts w:ascii="Times New Roman" w:hAnsi="Times New Roman" w:cs="Times New Roman"/>
          <w:sz w:val="24"/>
          <w:szCs w:val="24"/>
        </w:rPr>
        <w:t>3</w:t>
      </w:r>
      <w:r w:rsidRPr="00C62C62">
        <w:rPr>
          <w:rFonts w:ascii="Times New Roman" w:hAnsi="Times New Roman" w:cs="Times New Roman"/>
          <w:sz w:val="24"/>
          <w:szCs w:val="24"/>
        </w:rPr>
        <w:t>.§), izskatot i</w:t>
      </w:r>
      <w:r w:rsidRPr="00C62C62">
        <w:rPr>
          <w:rFonts w:ascii="Times New Roman" w:hAnsi="Times New Roman" w:cs="Times New Roman"/>
          <w:color w:val="000000"/>
          <w:sz w:val="24"/>
          <w:szCs w:val="24"/>
        </w:rPr>
        <w:t>nformatīvo ziņojumu “Par ministriju un citu centrālo valsts iestāžu prioritārajiem pasākumiem 202</w:t>
      </w:r>
      <w:r w:rsidR="00A91868" w:rsidRPr="00C62C62">
        <w:rPr>
          <w:rFonts w:ascii="Times New Roman" w:hAnsi="Times New Roman" w:cs="Times New Roman"/>
          <w:color w:val="000000"/>
          <w:sz w:val="24"/>
          <w:szCs w:val="24"/>
        </w:rPr>
        <w:t>2</w:t>
      </w:r>
      <w:r w:rsidRPr="00C62C62">
        <w:rPr>
          <w:rFonts w:ascii="Times New Roman" w:hAnsi="Times New Roman" w:cs="Times New Roman"/>
          <w:color w:val="000000"/>
          <w:sz w:val="24"/>
          <w:szCs w:val="24"/>
        </w:rPr>
        <w:t>., 202</w:t>
      </w:r>
      <w:r w:rsidR="00A91868" w:rsidRPr="00C62C62">
        <w:rPr>
          <w:rFonts w:ascii="Times New Roman" w:hAnsi="Times New Roman" w:cs="Times New Roman"/>
          <w:color w:val="000000"/>
          <w:sz w:val="24"/>
          <w:szCs w:val="24"/>
        </w:rPr>
        <w:t>3</w:t>
      </w:r>
      <w:r w:rsidRPr="00C62C62">
        <w:rPr>
          <w:rFonts w:ascii="Times New Roman" w:hAnsi="Times New Roman" w:cs="Times New Roman"/>
          <w:color w:val="000000"/>
          <w:sz w:val="24"/>
          <w:szCs w:val="24"/>
        </w:rPr>
        <w:t>. un 202</w:t>
      </w:r>
      <w:r w:rsidR="00A91868" w:rsidRPr="00C62C62">
        <w:rPr>
          <w:rFonts w:ascii="Times New Roman" w:hAnsi="Times New Roman" w:cs="Times New Roman"/>
          <w:color w:val="000000"/>
          <w:sz w:val="24"/>
          <w:szCs w:val="24"/>
        </w:rPr>
        <w:t>4</w:t>
      </w:r>
      <w:r w:rsidRPr="00C62C62">
        <w:rPr>
          <w:rFonts w:ascii="Times New Roman" w:hAnsi="Times New Roman" w:cs="Times New Roman"/>
          <w:color w:val="000000"/>
          <w:sz w:val="24"/>
          <w:szCs w:val="24"/>
        </w:rPr>
        <w:t xml:space="preserve">. gadam”, tika </w:t>
      </w:r>
      <w:r w:rsidR="00A91868" w:rsidRPr="00C62C62">
        <w:rPr>
          <w:rFonts w:ascii="Times New Roman" w:hAnsi="Times New Roman" w:cs="Times New Roman"/>
          <w:color w:val="000000"/>
          <w:sz w:val="24"/>
          <w:szCs w:val="24"/>
        </w:rPr>
        <w:t xml:space="preserve">pieņemti zināšanai ministriju un citu centrālo valsts iestāžu </w:t>
      </w:r>
      <w:r w:rsidRPr="00C62C62">
        <w:rPr>
          <w:rFonts w:ascii="Times New Roman" w:hAnsi="Times New Roman" w:cs="Times New Roman"/>
          <w:color w:val="000000"/>
          <w:sz w:val="24"/>
          <w:szCs w:val="24"/>
        </w:rPr>
        <w:t xml:space="preserve"> </w:t>
      </w:r>
      <w:r w:rsidR="00A91868" w:rsidRPr="00C62C62">
        <w:rPr>
          <w:rFonts w:ascii="Times New Roman" w:hAnsi="Times New Roman" w:cs="Times New Roman"/>
          <w:sz w:val="24"/>
          <w:szCs w:val="24"/>
        </w:rPr>
        <w:t xml:space="preserve">(turpmāk – ministrija), </w:t>
      </w:r>
      <w:r w:rsidR="00A91868" w:rsidRPr="00C62C62">
        <w:rPr>
          <w:rFonts w:ascii="Times New Roman" w:hAnsi="Times New Roman" w:cs="Times New Roman"/>
          <w:color w:val="000000"/>
          <w:sz w:val="24"/>
          <w:szCs w:val="24"/>
        </w:rPr>
        <w:t>tai skaitā neatkarīgo iestāžu</w:t>
      </w:r>
      <w:r w:rsidR="00A91868" w:rsidRPr="00C62C62">
        <w:rPr>
          <w:rFonts w:ascii="Times New Roman" w:hAnsi="Times New Roman" w:cs="Times New Roman"/>
          <w:sz w:val="24"/>
          <w:szCs w:val="24"/>
        </w:rPr>
        <w:t xml:space="preserve"> </w:t>
      </w:r>
      <w:r w:rsidRPr="00C62C62">
        <w:rPr>
          <w:rFonts w:ascii="Times New Roman" w:hAnsi="Times New Roman" w:cs="Times New Roman"/>
          <w:color w:val="000000"/>
          <w:sz w:val="24"/>
          <w:szCs w:val="24"/>
        </w:rPr>
        <w:t>papildu finansējuma pieprasījum</w:t>
      </w:r>
      <w:r w:rsidR="00A91868" w:rsidRPr="00C62C62">
        <w:rPr>
          <w:rFonts w:ascii="Times New Roman" w:hAnsi="Times New Roman" w:cs="Times New Roman"/>
          <w:color w:val="000000"/>
          <w:sz w:val="24"/>
          <w:szCs w:val="24"/>
        </w:rPr>
        <w:t>i</w:t>
      </w:r>
      <w:r w:rsidRPr="00C62C62">
        <w:rPr>
          <w:rFonts w:ascii="Times New Roman" w:hAnsi="Times New Roman" w:cs="Times New Roman"/>
          <w:color w:val="000000"/>
          <w:sz w:val="24"/>
          <w:szCs w:val="24"/>
        </w:rPr>
        <w:t xml:space="preserve"> prioritārajiem pasākumiem. </w:t>
      </w:r>
    </w:p>
    <w:p w14:paraId="4FACC9F9" w14:textId="1EA325D9" w:rsidR="00B32B3D" w:rsidRPr="00C62C62" w:rsidRDefault="00B32B3D" w:rsidP="00E51752">
      <w:pPr>
        <w:spacing w:after="120" w:line="240" w:lineRule="auto"/>
        <w:ind w:firstLine="720"/>
        <w:jc w:val="both"/>
        <w:rPr>
          <w:rFonts w:ascii="Times New Roman" w:hAnsi="Times New Roman" w:cs="Times New Roman"/>
          <w:sz w:val="24"/>
          <w:szCs w:val="24"/>
        </w:rPr>
      </w:pPr>
      <w:r w:rsidRPr="00C62C62">
        <w:rPr>
          <w:rFonts w:ascii="Times New Roman" w:hAnsi="Times New Roman" w:cs="Times New Roman"/>
          <w:sz w:val="24"/>
          <w:szCs w:val="24"/>
        </w:rPr>
        <w:t xml:space="preserve">Valdību veidojošo partiju </w:t>
      </w:r>
      <w:r w:rsidR="0007470B">
        <w:rPr>
          <w:rFonts w:ascii="Times New Roman" w:hAnsi="Times New Roman" w:cs="Times New Roman"/>
          <w:sz w:val="24"/>
          <w:szCs w:val="24"/>
        </w:rPr>
        <w:t>pārstāvji</w:t>
      </w:r>
      <w:r w:rsidRPr="00C62C62">
        <w:rPr>
          <w:rFonts w:ascii="Times New Roman" w:hAnsi="Times New Roman" w:cs="Times New Roman"/>
          <w:sz w:val="24"/>
          <w:szCs w:val="24"/>
        </w:rPr>
        <w:t xml:space="preserve"> pēc MK 202</w:t>
      </w:r>
      <w:r w:rsidR="00A91868" w:rsidRPr="00C62C62">
        <w:rPr>
          <w:rFonts w:ascii="Times New Roman" w:hAnsi="Times New Roman" w:cs="Times New Roman"/>
          <w:sz w:val="24"/>
          <w:szCs w:val="24"/>
        </w:rPr>
        <w:t>1</w:t>
      </w:r>
      <w:r w:rsidRPr="00C62C62">
        <w:rPr>
          <w:rFonts w:ascii="Times New Roman" w:hAnsi="Times New Roman" w:cs="Times New Roman"/>
          <w:sz w:val="24"/>
          <w:szCs w:val="24"/>
        </w:rPr>
        <w:t>.gada 2</w:t>
      </w:r>
      <w:r w:rsidR="00A91868" w:rsidRPr="00C62C62">
        <w:rPr>
          <w:rFonts w:ascii="Times New Roman" w:hAnsi="Times New Roman" w:cs="Times New Roman"/>
          <w:sz w:val="24"/>
          <w:szCs w:val="24"/>
        </w:rPr>
        <w:t>4</w:t>
      </w:r>
      <w:r w:rsidRPr="00C62C62">
        <w:rPr>
          <w:rFonts w:ascii="Times New Roman" w:hAnsi="Times New Roman" w:cs="Times New Roman"/>
          <w:sz w:val="24"/>
          <w:szCs w:val="24"/>
        </w:rPr>
        <w:t>.</w:t>
      </w:r>
      <w:r w:rsidR="00A91868" w:rsidRPr="00C62C62">
        <w:rPr>
          <w:rFonts w:ascii="Times New Roman" w:hAnsi="Times New Roman" w:cs="Times New Roman"/>
          <w:sz w:val="24"/>
          <w:szCs w:val="24"/>
        </w:rPr>
        <w:t>augusta</w:t>
      </w:r>
      <w:r w:rsidRPr="00C62C62">
        <w:rPr>
          <w:rFonts w:ascii="Times New Roman" w:hAnsi="Times New Roman" w:cs="Times New Roman"/>
          <w:sz w:val="24"/>
          <w:szCs w:val="24"/>
        </w:rPr>
        <w:t xml:space="preserve"> sēdes ir </w:t>
      </w:r>
      <w:r w:rsidR="0007470B">
        <w:rPr>
          <w:rFonts w:ascii="Times New Roman" w:hAnsi="Times New Roman" w:cs="Times New Roman"/>
          <w:sz w:val="24"/>
          <w:szCs w:val="24"/>
        </w:rPr>
        <w:t xml:space="preserve">izdiskutējuši un </w:t>
      </w:r>
      <w:r w:rsidRPr="00C62C62">
        <w:rPr>
          <w:rFonts w:ascii="Times New Roman" w:hAnsi="Times New Roman" w:cs="Times New Roman"/>
          <w:sz w:val="24"/>
          <w:szCs w:val="24"/>
        </w:rPr>
        <w:t>sagatavojuši priekšlikumus atbalstāmajiem prioritārajiem pasākumiem</w:t>
      </w:r>
      <w:r w:rsidR="0007470B">
        <w:rPr>
          <w:rFonts w:ascii="Times New Roman" w:hAnsi="Times New Roman" w:cs="Times New Roman"/>
          <w:sz w:val="24"/>
          <w:szCs w:val="24"/>
        </w:rPr>
        <w:t xml:space="preserve"> </w:t>
      </w:r>
      <w:r w:rsidRPr="00C62C62">
        <w:rPr>
          <w:rFonts w:ascii="Times New Roman" w:hAnsi="Times New Roman" w:cs="Times New Roman"/>
          <w:sz w:val="24"/>
          <w:szCs w:val="24"/>
        </w:rPr>
        <w:t xml:space="preserve">saskaņā ar informatīvā ziņojuma </w:t>
      </w:r>
      <w:r w:rsidR="00090EF5" w:rsidRPr="00C62C62">
        <w:rPr>
          <w:rFonts w:ascii="Times New Roman" w:hAnsi="Times New Roman" w:cs="Times New Roman"/>
          <w:sz w:val="24"/>
          <w:szCs w:val="24"/>
        </w:rPr>
        <w:t>1. un  2.</w:t>
      </w:r>
      <w:r w:rsidRPr="00C62C62">
        <w:rPr>
          <w:rFonts w:ascii="Times New Roman" w:hAnsi="Times New Roman" w:cs="Times New Roman"/>
          <w:sz w:val="24"/>
          <w:szCs w:val="24"/>
        </w:rPr>
        <w:t>pielikumu.</w:t>
      </w:r>
    </w:p>
    <w:p w14:paraId="32CD40D5" w14:textId="69EC23C1" w:rsidR="00B32B3D" w:rsidRPr="00C62C62" w:rsidRDefault="00E96F02" w:rsidP="00E51752">
      <w:pPr>
        <w:spacing w:after="12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lang w:eastAsia="lv-LV"/>
        </w:rPr>
        <w:t>P</w:t>
      </w:r>
      <w:r w:rsidR="00A91868" w:rsidRPr="00C62C62">
        <w:rPr>
          <w:rFonts w:ascii="Times New Roman" w:hAnsi="Times New Roman" w:cs="Times New Roman"/>
          <w:sz w:val="24"/>
          <w:szCs w:val="24"/>
          <w:lang w:eastAsia="lv-LV"/>
        </w:rPr>
        <w:t xml:space="preserve">aredzēta papildu finansējuma novirzīšana </w:t>
      </w:r>
      <w:r w:rsidR="00FC65B1">
        <w:rPr>
          <w:rFonts w:ascii="Times New Roman" w:hAnsi="Times New Roman" w:cs="Times New Roman"/>
          <w:sz w:val="24"/>
          <w:szCs w:val="24"/>
          <w:lang w:eastAsia="lv-LV"/>
        </w:rPr>
        <w:t xml:space="preserve">neatkarīgajām iestādēm, </w:t>
      </w:r>
      <w:r w:rsidR="00A91868" w:rsidRPr="00C62C62">
        <w:rPr>
          <w:rFonts w:ascii="Times New Roman" w:hAnsi="Times New Roman" w:cs="Times New Roman"/>
          <w:sz w:val="24"/>
          <w:szCs w:val="24"/>
          <w:lang w:eastAsia="lv-LV"/>
        </w:rPr>
        <w:t xml:space="preserve">ar valsts drošību saistītiem prioritāriem pasākumiem, </w:t>
      </w:r>
      <w:r w:rsidR="0042619E" w:rsidRPr="00C62C62">
        <w:rPr>
          <w:rFonts w:ascii="Times New Roman" w:hAnsi="Times New Roman" w:cs="Times New Roman"/>
          <w:sz w:val="24"/>
          <w:szCs w:val="24"/>
          <w:lang w:eastAsia="lv-LV"/>
        </w:rPr>
        <w:t xml:space="preserve">pieņemto lēmumu un saistību izpildei, </w:t>
      </w:r>
      <w:r w:rsidR="00A91868" w:rsidRPr="00C62C62">
        <w:rPr>
          <w:rFonts w:ascii="Times New Roman" w:hAnsi="Times New Roman" w:cs="Times New Roman"/>
          <w:sz w:val="24"/>
          <w:szCs w:val="24"/>
          <w:lang w:eastAsia="lv-LV"/>
        </w:rPr>
        <w:t xml:space="preserve">kā arī </w:t>
      </w:r>
      <w:r w:rsidR="00FC65B1">
        <w:rPr>
          <w:rFonts w:ascii="Times New Roman" w:hAnsi="Times New Roman" w:cs="Times New Roman"/>
          <w:sz w:val="24"/>
          <w:szCs w:val="24"/>
          <w:lang w:eastAsia="lv-LV"/>
        </w:rPr>
        <w:t xml:space="preserve">valdības noteiktajām prioritātēm un </w:t>
      </w:r>
      <w:r w:rsidR="00A91868" w:rsidRPr="00C62C62">
        <w:rPr>
          <w:rFonts w:ascii="Times New Roman" w:hAnsi="Times New Roman" w:cs="Times New Roman"/>
          <w:sz w:val="24"/>
          <w:szCs w:val="24"/>
          <w:lang w:eastAsia="lv-LV"/>
        </w:rPr>
        <w:t>citiem nozīmīgiem pasākumiem.</w:t>
      </w:r>
    </w:p>
    <w:p w14:paraId="63CD8E47" w14:textId="77777777" w:rsidR="00B32B3D" w:rsidRPr="00C62C62" w:rsidRDefault="00B32B3D" w:rsidP="00C62C62">
      <w:pPr>
        <w:pStyle w:val="ListParagraph"/>
        <w:tabs>
          <w:tab w:val="left" w:pos="0"/>
          <w:tab w:val="left" w:pos="993"/>
        </w:tabs>
        <w:spacing w:after="120" w:line="240" w:lineRule="auto"/>
        <w:ind w:left="1080"/>
        <w:contextualSpacing w:val="0"/>
        <w:jc w:val="both"/>
        <w:rPr>
          <w:rFonts w:ascii="Times New Roman" w:hAnsi="Times New Roman" w:cs="Times New Roman"/>
          <w:b/>
          <w:sz w:val="24"/>
          <w:szCs w:val="24"/>
        </w:rPr>
      </w:pPr>
    </w:p>
    <w:p w14:paraId="70AB1F35" w14:textId="59F33F3B" w:rsidR="00B21820" w:rsidRPr="001A611E" w:rsidRDefault="00B21820" w:rsidP="00C62C62">
      <w:pPr>
        <w:pStyle w:val="ListParagraph"/>
        <w:numPr>
          <w:ilvl w:val="0"/>
          <w:numId w:val="30"/>
        </w:numPr>
        <w:shd w:val="clear" w:color="auto" w:fill="BDD6EE" w:themeFill="accent1" w:themeFillTint="66"/>
        <w:tabs>
          <w:tab w:val="left" w:pos="0"/>
          <w:tab w:val="left" w:pos="993"/>
        </w:tabs>
        <w:spacing w:before="120" w:after="120" w:line="240" w:lineRule="auto"/>
        <w:ind w:left="1077"/>
        <w:contextualSpacing w:val="0"/>
        <w:jc w:val="both"/>
        <w:rPr>
          <w:rFonts w:ascii="Times New Roman" w:hAnsi="Times New Roman" w:cs="Times New Roman"/>
          <w:b/>
          <w:sz w:val="28"/>
          <w:szCs w:val="28"/>
        </w:rPr>
      </w:pPr>
      <w:r w:rsidRPr="001A611E">
        <w:rPr>
          <w:rFonts w:ascii="Times New Roman" w:hAnsi="Times New Roman" w:cs="Times New Roman"/>
          <w:b/>
          <w:sz w:val="28"/>
          <w:szCs w:val="28"/>
        </w:rPr>
        <w:t>Nodokļu ieņēmumu pasākumu ietekme uz valsts budžetu</w:t>
      </w:r>
    </w:p>
    <w:p w14:paraId="4CA5AA33" w14:textId="77777777" w:rsidR="00CA1BEA" w:rsidRPr="00C62C62" w:rsidRDefault="00CA1BEA" w:rsidP="00C62C62">
      <w:pPr>
        <w:spacing w:after="120" w:line="240" w:lineRule="auto"/>
        <w:ind w:firstLine="709"/>
        <w:jc w:val="both"/>
        <w:rPr>
          <w:rFonts w:ascii="Times New Roman" w:hAnsi="Times New Roman" w:cs="Times New Roman"/>
          <w:sz w:val="24"/>
          <w:szCs w:val="24"/>
        </w:rPr>
      </w:pPr>
    </w:p>
    <w:p w14:paraId="33E944BD" w14:textId="75DD00CA" w:rsidR="00CA1BEA" w:rsidRPr="00E02863" w:rsidRDefault="00090EF5" w:rsidP="00CA1BEA">
      <w:pPr>
        <w:pStyle w:val="ListParagraph"/>
        <w:numPr>
          <w:ilvl w:val="1"/>
          <w:numId w:val="35"/>
        </w:numPr>
        <w:shd w:val="clear" w:color="auto" w:fill="DEEAF6" w:themeFill="accent1" w:themeFillTint="33"/>
        <w:spacing w:after="120" w:line="240" w:lineRule="auto"/>
        <w:jc w:val="both"/>
        <w:rPr>
          <w:rFonts w:ascii="Times New Roman" w:hAnsi="Times New Roman" w:cs="Times New Roman"/>
          <w:b/>
          <w:bCs/>
          <w:sz w:val="24"/>
          <w:szCs w:val="24"/>
        </w:rPr>
      </w:pPr>
      <w:r w:rsidRPr="00090EF5">
        <w:rPr>
          <w:rFonts w:ascii="Times New Roman" w:hAnsi="Times New Roman" w:cs="Times New Roman"/>
          <w:b/>
          <w:bCs/>
          <w:sz w:val="24"/>
          <w:szCs w:val="24"/>
        </w:rPr>
        <w:t xml:space="preserve"> </w:t>
      </w:r>
      <w:r w:rsidR="00EC4A56" w:rsidRPr="00E02863">
        <w:rPr>
          <w:rFonts w:ascii="Times New Roman" w:hAnsi="Times New Roman" w:cs="Times New Roman"/>
          <w:b/>
          <w:bCs/>
          <w:sz w:val="24"/>
          <w:szCs w:val="24"/>
        </w:rPr>
        <w:t xml:space="preserve">Darbaspēka nodokļu sloga mazināšana – neapliekamais minimums </w:t>
      </w:r>
      <w:r w:rsidR="00E02863" w:rsidRPr="00E02863">
        <w:rPr>
          <w:rFonts w:ascii="Times New Roman" w:hAnsi="Times New Roman"/>
          <w:b/>
          <w:bCs/>
          <w:color w:val="000000" w:themeColor="text1"/>
          <w:sz w:val="24"/>
          <w:szCs w:val="24"/>
        </w:rPr>
        <w:t xml:space="preserve">no 2022.gada  1.janvāra 350 </w:t>
      </w:r>
      <w:r w:rsidR="006D4195">
        <w:rPr>
          <w:rFonts w:ascii="Times New Roman" w:hAnsi="Times New Roman"/>
          <w:b/>
          <w:bCs/>
          <w:i/>
          <w:iCs/>
          <w:color w:val="000000" w:themeColor="text1"/>
          <w:sz w:val="24"/>
          <w:szCs w:val="24"/>
        </w:rPr>
        <w:t>euro</w:t>
      </w:r>
      <w:r w:rsidR="00E02863" w:rsidRPr="00E02863">
        <w:rPr>
          <w:rFonts w:ascii="Times New Roman" w:hAnsi="Times New Roman"/>
          <w:b/>
          <w:bCs/>
          <w:color w:val="000000" w:themeColor="text1"/>
          <w:sz w:val="24"/>
          <w:szCs w:val="24"/>
        </w:rPr>
        <w:t xml:space="preserve"> mēnesī, no 2022.gada 1.jūlija –500 </w:t>
      </w:r>
      <w:r w:rsidR="006D4195">
        <w:rPr>
          <w:rFonts w:ascii="Times New Roman" w:hAnsi="Times New Roman"/>
          <w:b/>
          <w:bCs/>
          <w:i/>
          <w:iCs/>
          <w:color w:val="000000" w:themeColor="text1"/>
          <w:sz w:val="24"/>
          <w:szCs w:val="24"/>
        </w:rPr>
        <w:t xml:space="preserve">euro </w:t>
      </w:r>
      <w:r w:rsidR="00E02863" w:rsidRPr="00E02863">
        <w:rPr>
          <w:rFonts w:ascii="Times New Roman" w:hAnsi="Times New Roman"/>
          <w:b/>
          <w:bCs/>
          <w:color w:val="000000" w:themeColor="text1"/>
          <w:sz w:val="24"/>
          <w:szCs w:val="24"/>
        </w:rPr>
        <w:t>mēnesī</w:t>
      </w:r>
    </w:p>
    <w:p w14:paraId="13263E9B" w14:textId="77777777" w:rsidR="00C0184A" w:rsidRPr="00982268" w:rsidRDefault="00C0184A" w:rsidP="00E51752">
      <w:pPr>
        <w:spacing w:after="120" w:line="240" w:lineRule="auto"/>
        <w:ind w:firstLine="709"/>
        <w:jc w:val="both"/>
        <w:rPr>
          <w:rFonts w:ascii="Times New Roman" w:hAnsi="Times New Roman" w:cs="Times New Roman"/>
          <w:szCs w:val="24"/>
        </w:rPr>
      </w:pPr>
      <w:r w:rsidRPr="00982268">
        <w:rPr>
          <w:rFonts w:ascii="Times New Roman" w:hAnsi="Times New Roman" w:cs="Times New Roman"/>
          <w:szCs w:val="24"/>
        </w:rPr>
        <w:t>Ministru kabineta 2020.gada 2.septembra sēdes protokol</w:t>
      </w:r>
      <w:r>
        <w:rPr>
          <w:rFonts w:ascii="Times New Roman" w:hAnsi="Times New Roman" w:cs="Times New Roman"/>
          <w:szCs w:val="24"/>
        </w:rPr>
        <w:t>ā</w:t>
      </w:r>
      <w:r w:rsidRPr="00982268">
        <w:rPr>
          <w:rFonts w:ascii="Times New Roman" w:hAnsi="Times New Roman" w:cs="Times New Roman"/>
          <w:szCs w:val="24"/>
        </w:rPr>
        <w:t xml:space="preserve"> Nr.55 38.§ 7.punktā noteikts</w:t>
      </w:r>
      <w:r w:rsidRPr="00982268">
        <w:rPr>
          <w:rStyle w:val="FootnoteReference"/>
          <w:rFonts w:ascii="Times New Roman" w:hAnsi="Times New Roman" w:cs="Times New Roman"/>
          <w:szCs w:val="24"/>
        </w:rPr>
        <w:footnoteReference w:id="1"/>
      </w:r>
      <w:r w:rsidRPr="00982268">
        <w:rPr>
          <w:rFonts w:ascii="Times New Roman" w:hAnsi="Times New Roman" w:cs="Times New Roman"/>
          <w:i/>
          <w:szCs w:val="24"/>
        </w:rPr>
        <w:t xml:space="preserve">: “Lai nodrošinātu Latvijas starptautisko konkurētspēju un atbalstu strādājošiem, turpināt darbaspēka nodokļa </w:t>
      </w:r>
      <w:r w:rsidRPr="00982268">
        <w:rPr>
          <w:rFonts w:ascii="Times New Roman" w:hAnsi="Times New Roman" w:cs="Times New Roman"/>
          <w:i/>
          <w:szCs w:val="24"/>
        </w:rPr>
        <w:lastRenderedPageBreak/>
        <w:t xml:space="preserve">sloga mazināšanu, izvērtējot ekonomiskās izaugsmes tendences, faktiskos nodokļu ieņēmumus, kā arī šo izmaiņu fiskālās ietekmes uz valsts un pašvaldību budžetiem. Finanšu ministrijai, konsultējoties ar sociālajiem un sadarbības partneriem un Latvijas Banku, </w:t>
      </w:r>
      <w:r w:rsidRPr="00982268">
        <w:rPr>
          <w:rFonts w:ascii="Times New Roman" w:hAnsi="Times New Roman" w:cs="Times New Roman"/>
          <w:bCs/>
          <w:i/>
          <w:szCs w:val="24"/>
        </w:rPr>
        <w:t>līdz 2021.gada 1.jūnijam</w:t>
      </w:r>
      <w:r w:rsidRPr="00982268">
        <w:rPr>
          <w:rFonts w:ascii="Times New Roman" w:hAnsi="Times New Roman" w:cs="Times New Roman"/>
          <w:i/>
          <w:szCs w:val="24"/>
        </w:rPr>
        <w:t xml:space="preserve"> iesniegt izskatīšanai Ministru kabinetā informatīvo ziņojumu par tālāku darbaspēka nodokļu sloga mazināšanu, īpaši mazo un vidējo algu saņēmēju grupā, primāri vērtējot iespēju pakāpeniski palielināt iedzīvotāju ienākuma nodokļa diferencētā neapliekamā minimuma apmēru līdz valstij noteiktās minimālās darba algas lielumam un iespēju mazināt valsts sociālās apdrošināšanas obligāto iemaksu (VSAOI) likmes. Gatavojot likumprojektu "Par valsts budžetu 2022.gadam" un likumprojektu "Par vidējā termiņa budžeta ietvaru 2022., 2023. un 2024.gadam" Ministru kabinets atbilstoši atbalstītajiem pasākumu priekšlikumiem darbaspēka nodokļa sloga mazināšanai paredz nepieciešamo finansējumu to īstenošanai, vienlaikus nodrošinot likumā noteikto fiskālo nosacījumu ievērošanu.”</w:t>
      </w:r>
      <w:r w:rsidRPr="00982268">
        <w:rPr>
          <w:rFonts w:ascii="Times New Roman" w:hAnsi="Times New Roman" w:cs="Times New Roman"/>
          <w:szCs w:val="24"/>
        </w:rPr>
        <w:t> </w:t>
      </w:r>
    </w:p>
    <w:p w14:paraId="3D3C8A1D" w14:textId="77777777" w:rsidR="00C0184A" w:rsidRPr="00982268" w:rsidRDefault="00C0184A" w:rsidP="00E51752">
      <w:pPr>
        <w:spacing w:after="120" w:line="240" w:lineRule="auto"/>
        <w:ind w:firstLine="709"/>
        <w:jc w:val="both"/>
        <w:rPr>
          <w:rFonts w:ascii="Times New Roman" w:hAnsi="Times New Roman" w:cs="Times New Roman"/>
          <w:color w:val="000000" w:themeColor="text1"/>
        </w:rPr>
      </w:pPr>
      <w:bookmarkStart w:id="0" w:name="_Toc49791045"/>
      <w:r w:rsidRPr="00982268">
        <w:rPr>
          <w:rFonts w:ascii="Times New Roman" w:hAnsi="Times New Roman" w:cs="Times New Roman"/>
          <w:color w:val="000000" w:themeColor="text1"/>
        </w:rPr>
        <w:t xml:space="preserve">Vairāku gadu garumā viena no valdības galvenajām prioritātēm nodokļu jomā ir bijusi darbaspēka nodokļu sloga mazināšana. Tāpēc gandrīz katru gadu tiek veikti pasākumi, lai pakāpeniski īstenotu šo prioritāti. </w:t>
      </w:r>
    </w:p>
    <w:p w14:paraId="568B5127" w14:textId="1A328E67" w:rsidR="00C0184A" w:rsidRPr="00982268" w:rsidRDefault="00C0184A" w:rsidP="00E51752">
      <w:pPr>
        <w:spacing w:after="120" w:line="240" w:lineRule="auto"/>
        <w:ind w:firstLine="709"/>
        <w:jc w:val="both"/>
        <w:rPr>
          <w:rFonts w:ascii="Times New Roman" w:eastAsia="Calibri" w:hAnsi="Times New Roman" w:cs="Times New Roman"/>
          <w:szCs w:val="24"/>
        </w:rPr>
      </w:pPr>
      <w:r w:rsidRPr="00982268">
        <w:rPr>
          <w:rFonts w:ascii="Times New Roman" w:eastAsia="Calibri" w:hAnsi="Times New Roman" w:cs="Times New Roman"/>
          <w:szCs w:val="24"/>
        </w:rPr>
        <w:t>Arī Eiropas Komisija ir konstatējusi, ka viens no galvenajiem Eiropas Savienības dalībvalstu izaicinājumiem ir augstais darbaspēka nodokļu slogs</w:t>
      </w:r>
      <w:r>
        <w:rPr>
          <w:rFonts w:ascii="Times New Roman" w:eastAsia="Calibri" w:hAnsi="Times New Roman" w:cs="Times New Roman"/>
          <w:szCs w:val="24"/>
        </w:rPr>
        <w:t xml:space="preserve">. </w:t>
      </w:r>
      <w:r w:rsidRPr="00982268">
        <w:rPr>
          <w:rFonts w:ascii="Times New Roman" w:hAnsi="Times New Roman" w:cs="Times New Roman"/>
        </w:rPr>
        <w:t xml:space="preserve">Latvija </w:t>
      </w:r>
      <w:r>
        <w:rPr>
          <w:rFonts w:ascii="Times New Roman" w:hAnsi="Times New Roman" w:cs="Times New Roman"/>
        </w:rPr>
        <w:t xml:space="preserve">ir </w:t>
      </w:r>
      <w:r w:rsidRPr="00982268">
        <w:rPr>
          <w:rFonts w:ascii="Times New Roman" w:hAnsi="Times New Roman" w:cs="Times New Roman"/>
        </w:rPr>
        <w:t>saņēm</w:t>
      </w:r>
      <w:r>
        <w:rPr>
          <w:rFonts w:ascii="Times New Roman" w:hAnsi="Times New Roman" w:cs="Times New Roman"/>
        </w:rPr>
        <w:t>usi</w:t>
      </w:r>
      <w:r w:rsidRPr="00982268">
        <w:rPr>
          <w:rFonts w:ascii="Times New Roman" w:hAnsi="Times New Roman" w:cs="Times New Roman"/>
        </w:rPr>
        <w:t xml:space="preserve"> </w:t>
      </w:r>
      <w:r w:rsidRPr="00982268">
        <w:rPr>
          <w:rFonts w:ascii="Times New Roman" w:eastAsia="Calibri" w:hAnsi="Times New Roman" w:cs="Times New Roman"/>
          <w:szCs w:val="24"/>
        </w:rPr>
        <w:t xml:space="preserve">Eiropas </w:t>
      </w:r>
      <w:r w:rsidR="000B76F3">
        <w:rPr>
          <w:rFonts w:ascii="Times New Roman" w:eastAsia="Calibri" w:hAnsi="Times New Roman" w:cs="Times New Roman"/>
          <w:szCs w:val="24"/>
        </w:rPr>
        <w:t>K</w:t>
      </w:r>
      <w:r w:rsidRPr="00982268">
        <w:rPr>
          <w:rFonts w:ascii="Times New Roman" w:eastAsia="Calibri" w:hAnsi="Times New Roman" w:cs="Times New Roman"/>
          <w:szCs w:val="24"/>
        </w:rPr>
        <w:t xml:space="preserve">omisijas rekomendāciju: </w:t>
      </w:r>
      <w:r w:rsidRPr="00982268">
        <w:rPr>
          <w:rFonts w:ascii="Times New Roman" w:eastAsia="Calibri" w:hAnsi="Times New Roman" w:cs="Times New Roman"/>
          <w:i/>
          <w:szCs w:val="24"/>
        </w:rPr>
        <w:t>samazināt darbaspēka nodokļus zemu ienākumu saņēmējiem, novirzot tos uz citiem avotiem, jo īpaši uz kapitālu un īpašumu</w:t>
      </w:r>
      <w:r w:rsidRPr="00982268">
        <w:rPr>
          <w:rFonts w:ascii="Times New Roman" w:eastAsia="Calibri" w:hAnsi="Times New Roman" w:cs="Times New Roman"/>
          <w:szCs w:val="24"/>
        </w:rPr>
        <w:t>.</w:t>
      </w:r>
      <w:r w:rsidRPr="00982268">
        <w:rPr>
          <w:rStyle w:val="FootnoteReference"/>
          <w:rFonts w:ascii="Times New Roman" w:eastAsia="Calibri" w:hAnsi="Times New Roman" w:cs="Times New Roman"/>
          <w:szCs w:val="24"/>
        </w:rPr>
        <w:footnoteReference w:id="2"/>
      </w:r>
    </w:p>
    <w:bookmarkEnd w:id="0"/>
    <w:p w14:paraId="39B51E1C" w14:textId="77777777" w:rsidR="00C0184A" w:rsidRDefault="00C0184A" w:rsidP="00E51752">
      <w:pPr>
        <w:shd w:val="clear" w:color="auto" w:fill="FFFFFF" w:themeFill="background1"/>
        <w:autoSpaceDE w:val="0"/>
        <w:autoSpaceDN w:val="0"/>
        <w:adjustRightInd w:val="0"/>
        <w:spacing w:after="120" w:line="240" w:lineRule="auto"/>
        <w:ind w:firstLine="709"/>
        <w:jc w:val="both"/>
        <w:rPr>
          <w:rFonts w:ascii="Times New Roman" w:hAnsi="Times New Roman" w:cs="Times New Roman"/>
          <w:bCs/>
          <w:szCs w:val="24"/>
        </w:rPr>
      </w:pPr>
      <w:r w:rsidRPr="00982268">
        <w:rPr>
          <w:rFonts w:ascii="Times New Roman" w:eastAsia="Times New Roman" w:hAnsi="Times New Roman" w:cs="Times New Roman"/>
          <w:bCs/>
          <w:szCs w:val="24"/>
          <w:lang w:eastAsia="en-GB"/>
        </w:rPr>
        <w:t>2021.gad</w:t>
      </w:r>
      <w:r>
        <w:rPr>
          <w:rFonts w:ascii="Times New Roman" w:eastAsia="Times New Roman" w:hAnsi="Times New Roman" w:cs="Times New Roman"/>
          <w:bCs/>
          <w:szCs w:val="24"/>
          <w:lang w:eastAsia="en-GB"/>
        </w:rPr>
        <w:t>ā, l</w:t>
      </w:r>
      <w:r w:rsidRPr="00982268">
        <w:rPr>
          <w:rFonts w:ascii="Times New Roman" w:eastAsia="Times New Roman" w:hAnsi="Times New Roman" w:cs="Times New Roman"/>
          <w:bCs/>
          <w:szCs w:val="24"/>
          <w:lang w:eastAsia="en-GB"/>
        </w:rPr>
        <w:t>ai turpinātu mazināt darbaspēka nodokļu slogu, par vienu procentpunktu tika samazināta VSAOI</w:t>
      </w:r>
      <w:r w:rsidRPr="00982268">
        <w:rPr>
          <w:rFonts w:ascii="Times New Roman" w:eastAsia="Times New Roman" w:hAnsi="Times New Roman" w:cs="Times New Roman"/>
          <w:bCs/>
          <w:color w:val="222222"/>
          <w:szCs w:val="24"/>
          <w:lang w:eastAsia="en-GB"/>
        </w:rPr>
        <w:t xml:space="preserve"> likm</w:t>
      </w:r>
      <w:r w:rsidRPr="00982268">
        <w:rPr>
          <w:rFonts w:ascii="Times New Roman" w:eastAsia="Times New Roman" w:hAnsi="Times New Roman" w:cs="Times New Roman"/>
          <w:bCs/>
          <w:szCs w:val="24"/>
          <w:lang w:eastAsia="en-GB"/>
        </w:rPr>
        <w:t xml:space="preserve">e, no tās par 0,5% darba devēja likme un par 0,5% darba ņēmēja likme. Tāpat no 2021.gada no 1 200 uz 1 800 </w:t>
      </w:r>
      <w:r w:rsidRPr="00982268">
        <w:rPr>
          <w:rFonts w:ascii="Times New Roman" w:eastAsia="Times New Roman" w:hAnsi="Times New Roman" w:cs="Times New Roman"/>
          <w:bCs/>
          <w:i/>
          <w:szCs w:val="24"/>
          <w:lang w:eastAsia="en-GB"/>
        </w:rPr>
        <w:t>euro</w:t>
      </w:r>
      <w:r w:rsidRPr="00982268">
        <w:rPr>
          <w:rFonts w:ascii="Times New Roman" w:eastAsia="Times New Roman" w:hAnsi="Times New Roman" w:cs="Times New Roman"/>
          <w:bCs/>
          <w:szCs w:val="24"/>
          <w:lang w:eastAsia="en-GB"/>
        </w:rPr>
        <w:t xml:space="preserve"> mēnesī tika </w:t>
      </w:r>
      <w:r w:rsidRPr="00982268">
        <w:rPr>
          <w:rFonts w:ascii="Times New Roman" w:hAnsi="Times New Roman" w:cs="Times New Roman"/>
          <w:bCs/>
          <w:szCs w:val="24"/>
        </w:rPr>
        <w:t xml:space="preserve">paaugstināts ienākumu slieksnis, līdz kuram piemēro ar IIN neapliekamo minimumu. </w:t>
      </w:r>
    </w:p>
    <w:p w14:paraId="7450E2F3" w14:textId="77777777" w:rsidR="00C0184A" w:rsidRPr="00982268" w:rsidRDefault="00C0184A" w:rsidP="00E51752">
      <w:pPr>
        <w:shd w:val="clear" w:color="auto" w:fill="FFFFFF" w:themeFill="background1"/>
        <w:autoSpaceDE w:val="0"/>
        <w:autoSpaceDN w:val="0"/>
        <w:adjustRightInd w:val="0"/>
        <w:spacing w:after="120" w:line="240" w:lineRule="auto"/>
        <w:ind w:firstLine="709"/>
        <w:jc w:val="both"/>
        <w:rPr>
          <w:rFonts w:ascii="Times New Roman" w:hAnsi="Times New Roman" w:cs="Times New Roman"/>
          <w:szCs w:val="24"/>
        </w:rPr>
      </w:pPr>
      <w:r w:rsidRPr="00982268">
        <w:rPr>
          <w:rFonts w:ascii="Times New Roman" w:hAnsi="Times New Roman" w:cs="Times New Roman"/>
          <w:szCs w:val="24"/>
        </w:rPr>
        <w:t>2021.gadā veikt</w:t>
      </w:r>
      <w:r>
        <w:rPr>
          <w:rFonts w:ascii="Times New Roman" w:hAnsi="Times New Roman" w:cs="Times New Roman"/>
          <w:szCs w:val="24"/>
        </w:rPr>
        <w:t>ās</w:t>
      </w:r>
      <w:r w:rsidRPr="00982268">
        <w:rPr>
          <w:rFonts w:ascii="Times New Roman" w:hAnsi="Times New Roman" w:cs="Times New Roman"/>
          <w:szCs w:val="24"/>
        </w:rPr>
        <w:t xml:space="preserve"> darbaspēka nodokļu izmaiņ</w:t>
      </w:r>
      <w:r>
        <w:rPr>
          <w:rFonts w:ascii="Times New Roman" w:hAnsi="Times New Roman" w:cs="Times New Roman"/>
          <w:szCs w:val="24"/>
        </w:rPr>
        <w:t xml:space="preserve">as mazināja darbaspēka nodokļu slogu (nodokļa ķīli) zemu ienākumu saņēmējiem, tomēr </w:t>
      </w:r>
      <w:r w:rsidRPr="00982268">
        <w:rPr>
          <w:rFonts w:ascii="Times New Roman" w:hAnsi="Times New Roman" w:cs="Times New Roman"/>
          <w:szCs w:val="24"/>
        </w:rPr>
        <w:t xml:space="preserve"> tas joprojām </w:t>
      </w:r>
      <w:r>
        <w:rPr>
          <w:rFonts w:ascii="Times New Roman" w:hAnsi="Times New Roman" w:cs="Times New Roman"/>
          <w:szCs w:val="24"/>
        </w:rPr>
        <w:t>ir</w:t>
      </w:r>
      <w:r w:rsidRPr="00982268">
        <w:rPr>
          <w:rFonts w:ascii="Times New Roman" w:hAnsi="Times New Roman" w:cs="Times New Roman"/>
          <w:szCs w:val="24"/>
        </w:rPr>
        <w:t xml:space="preserve"> nedaudz augstāks kā pārējās Baltijas valstīs</w:t>
      </w:r>
      <w:r>
        <w:rPr>
          <w:rFonts w:ascii="Times New Roman" w:hAnsi="Times New Roman" w:cs="Times New Roman"/>
          <w:szCs w:val="24"/>
        </w:rPr>
        <w:t xml:space="preserve"> </w:t>
      </w:r>
      <w:r w:rsidRPr="00982268">
        <w:rPr>
          <w:rFonts w:ascii="Times New Roman" w:hAnsi="Times New Roman" w:cs="Times New Roman"/>
          <w:szCs w:val="24"/>
        </w:rPr>
        <w:t>.</w:t>
      </w:r>
    </w:p>
    <w:p w14:paraId="5E1F68C1" w14:textId="77777777" w:rsidR="00C0184A" w:rsidRPr="00982268" w:rsidRDefault="00C0184A" w:rsidP="00E51752">
      <w:pPr>
        <w:spacing w:after="120" w:line="240" w:lineRule="auto"/>
        <w:ind w:firstLine="709"/>
        <w:jc w:val="both"/>
        <w:rPr>
          <w:rFonts w:ascii="Times New Roman" w:hAnsi="Times New Roman" w:cs="Times New Roman"/>
          <w:szCs w:val="24"/>
        </w:rPr>
      </w:pPr>
      <w:r w:rsidRPr="00982268">
        <w:rPr>
          <w:rFonts w:ascii="Times New Roman" w:eastAsia="Calibri" w:hAnsi="Times New Roman" w:cs="Times New Roman"/>
          <w:szCs w:val="24"/>
        </w:rPr>
        <w:t>Lai turpinātu mazin</w:t>
      </w:r>
      <w:r>
        <w:rPr>
          <w:rFonts w:ascii="Times New Roman" w:eastAsia="Calibri" w:hAnsi="Times New Roman" w:cs="Times New Roman"/>
          <w:szCs w:val="24"/>
        </w:rPr>
        <w:t>āt</w:t>
      </w:r>
      <w:r w:rsidRPr="00982268">
        <w:rPr>
          <w:rFonts w:ascii="Times New Roman" w:eastAsia="Calibri" w:hAnsi="Times New Roman" w:cs="Times New Roman"/>
          <w:szCs w:val="24"/>
        </w:rPr>
        <w:t xml:space="preserve"> darbaspēka nodokļu slog</w:t>
      </w:r>
      <w:r>
        <w:rPr>
          <w:rFonts w:ascii="Times New Roman" w:eastAsia="Calibri" w:hAnsi="Times New Roman" w:cs="Times New Roman"/>
          <w:szCs w:val="24"/>
        </w:rPr>
        <w:t>u zemu ienākumu saņēmējiem un uzlabotu uzņēmumu konkurētspēju Baltijas valstu starpā</w:t>
      </w:r>
      <w:r w:rsidRPr="00982268">
        <w:rPr>
          <w:rFonts w:ascii="Times New Roman" w:eastAsia="Calibri" w:hAnsi="Times New Roman" w:cs="Times New Roman"/>
          <w:szCs w:val="24"/>
        </w:rPr>
        <w:t xml:space="preserve">, </w:t>
      </w:r>
      <w:r>
        <w:rPr>
          <w:rFonts w:ascii="Times New Roman" w:eastAsia="Calibri" w:hAnsi="Times New Roman" w:cs="Times New Roman"/>
          <w:szCs w:val="24"/>
        </w:rPr>
        <w:t xml:space="preserve">ir </w:t>
      </w:r>
      <w:r w:rsidRPr="00982268">
        <w:rPr>
          <w:rFonts w:ascii="Times New Roman" w:eastAsia="Calibri" w:hAnsi="Times New Roman" w:cs="Times New Roman"/>
          <w:szCs w:val="24"/>
        </w:rPr>
        <w:t xml:space="preserve">nepieciešams </w:t>
      </w:r>
      <w:r>
        <w:rPr>
          <w:rFonts w:ascii="Times New Roman" w:eastAsia="Calibri" w:hAnsi="Times New Roman" w:cs="Times New Roman"/>
          <w:szCs w:val="24"/>
        </w:rPr>
        <w:t>turpināt paaugstināt ar iedzīvotāju ienākuma nodokli neapliekamo minimumu</w:t>
      </w:r>
      <w:r w:rsidRPr="00982268">
        <w:rPr>
          <w:rFonts w:ascii="Times New Roman" w:eastAsia="Calibri" w:hAnsi="Times New Roman" w:cs="Times New Roman"/>
          <w:szCs w:val="24"/>
        </w:rPr>
        <w:t xml:space="preserve">. </w:t>
      </w:r>
      <w:r>
        <w:rPr>
          <w:rFonts w:ascii="Times New Roman" w:hAnsi="Times New Roman" w:cs="Times New Roman"/>
          <w:szCs w:val="24"/>
        </w:rPr>
        <w:t>V</w:t>
      </w:r>
      <w:r w:rsidRPr="00982268">
        <w:rPr>
          <w:rFonts w:ascii="Times New Roman" w:hAnsi="Times New Roman" w:cs="Times New Roman"/>
          <w:szCs w:val="24"/>
        </w:rPr>
        <w:t>ienlai</w:t>
      </w:r>
      <w:r>
        <w:rPr>
          <w:rFonts w:ascii="Times New Roman" w:hAnsi="Times New Roman" w:cs="Times New Roman"/>
          <w:szCs w:val="24"/>
        </w:rPr>
        <w:t>cīgi kopā ar</w:t>
      </w:r>
      <w:r w:rsidRPr="00982268">
        <w:rPr>
          <w:rFonts w:ascii="Times New Roman" w:hAnsi="Times New Roman" w:cs="Times New Roman"/>
          <w:szCs w:val="24"/>
        </w:rPr>
        <w:t xml:space="preserve"> </w:t>
      </w:r>
      <w:r>
        <w:rPr>
          <w:rFonts w:ascii="Times New Roman" w:hAnsi="Times New Roman" w:cs="Times New Roman"/>
          <w:szCs w:val="24"/>
        </w:rPr>
        <w:t>n</w:t>
      </w:r>
      <w:r w:rsidRPr="00982268">
        <w:rPr>
          <w:rFonts w:ascii="Times New Roman" w:hAnsi="Times New Roman" w:cs="Times New Roman"/>
          <w:szCs w:val="24"/>
        </w:rPr>
        <w:t>eapliekamā minimuma paaugstināšan</w:t>
      </w:r>
      <w:r>
        <w:rPr>
          <w:rFonts w:ascii="Times New Roman" w:hAnsi="Times New Roman" w:cs="Times New Roman"/>
          <w:szCs w:val="24"/>
        </w:rPr>
        <w:t>u</w:t>
      </w:r>
      <w:r w:rsidRPr="00982268">
        <w:rPr>
          <w:rFonts w:ascii="Times New Roman" w:hAnsi="Times New Roman" w:cs="Times New Roman"/>
          <w:szCs w:val="24"/>
        </w:rPr>
        <w:t xml:space="preserve"> ir </w:t>
      </w:r>
      <w:r>
        <w:rPr>
          <w:rFonts w:ascii="Times New Roman" w:hAnsi="Times New Roman" w:cs="Times New Roman"/>
          <w:szCs w:val="24"/>
        </w:rPr>
        <w:t>jā</w:t>
      </w:r>
      <w:r w:rsidRPr="00982268">
        <w:rPr>
          <w:rFonts w:ascii="Times New Roman" w:hAnsi="Times New Roman" w:cs="Times New Roman"/>
          <w:szCs w:val="24"/>
        </w:rPr>
        <w:t>paaugsti</w:t>
      </w:r>
      <w:r>
        <w:rPr>
          <w:rFonts w:ascii="Times New Roman" w:hAnsi="Times New Roman" w:cs="Times New Roman"/>
          <w:szCs w:val="24"/>
        </w:rPr>
        <w:t>na</w:t>
      </w:r>
      <w:r w:rsidRPr="00982268">
        <w:rPr>
          <w:rFonts w:ascii="Times New Roman" w:hAnsi="Times New Roman" w:cs="Times New Roman"/>
          <w:szCs w:val="24"/>
        </w:rPr>
        <w:t xml:space="preserve"> ar</w:t>
      </w:r>
      <w:r>
        <w:rPr>
          <w:rFonts w:ascii="Times New Roman" w:hAnsi="Times New Roman" w:cs="Times New Roman"/>
          <w:szCs w:val="24"/>
        </w:rPr>
        <w:t>ī</w:t>
      </w:r>
      <w:r w:rsidRPr="00982268">
        <w:rPr>
          <w:rFonts w:ascii="Times New Roman" w:hAnsi="Times New Roman" w:cs="Times New Roman"/>
          <w:szCs w:val="24"/>
        </w:rPr>
        <w:t xml:space="preserve"> pensionāru neapliekam</w:t>
      </w:r>
      <w:r>
        <w:rPr>
          <w:rFonts w:ascii="Times New Roman" w:hAnsi="Times New Roman" w:cs="Times New Roman"/>
          <w:szCs w:val="24"/>
        </w:rPr>
        <w:t>ais</w:t>
      </w:r>
      <w:r w:rsidRPr="00982268">
        <w:rPr>
          <w:rFonts w:ascii="Times New Roman" w:hAnsi="Times New Roman" w:cs="Times New Roman"/>
          <w:szCs w:val="24"/>
        </w:rPr>
        <w:t xml:space="preserve"> minimum</w:t>
      </w:r>
      <w:r>
        <w:rPr>
          <w:rFonts w:ascii="Times New Roman" w:hAnsi="Times New Roman" w:cs="Times New Roman"/>
          <w:szCs w:val="24"/>
        </w:rPr>
        <w:t>s</w:t>
      </w:r>
      <w:r w:rsidRPr="00982268">
        <w:rPr>
          <w:rFonts w:ascii="Times New Roman" w:hAnsi="Times New Roman" w:cs="Times New Roman"/>
          <w:szCs w:val="24"/>
        </w:rPr>
        <w:t>.</w:t>
      </w:r>
    </w:p>
    <w:p w14:paraId="7602A447" w14:textId="2DABAE3C" w:rsidR="00C0184A" w:rsidRPr="0091246E" w:rsidRDefault="00C0184A" w:rsidP="00C0184A">
      <w:pPr>
        <w:spacing w:after="120" w:line="240" w:lineRule="auto"/>
        <w:jc w:val="center"/>
        <w:rPr>
          <w:rFonts w:ascii="Times New Roman" w:hAnsi="Times New Roman" w:cs="Times New Roman"/>
          <w:bCs/>
          <w:i/>
        </w:rPr>
      </w:pPr>
      <w:bookmarkStart w:id="1" w:name="_Toc437608036"/>
      <w:bookmarkStart w:id="2" w:name="_Toc438042281"/>
      <w:bookmarkStart w:id="3" w:name="_Toc433356993"/>
      <w:bookmarkStart w:id="4" w:name="_Toc433620864"/>
      <w:bookmarkStart w:id="5" w:name="_Toc434843202"/>
      <w:bookmarkStart w:id="6" w:name="_Toc437516776"/>
      <w:bookmarkStart w:id="7" w:name="_Toc437608041"/>
      <w:bookmarkStart w:id="8" w:name="_Toc438042286"/>
      <w:bookmarkStart w:id="9" w:name="_Toc442798231"/>
      <w:bookmarkStart w:id="10" w:name="_Toc433356994"/>
      <w:bookmarkStart w:id="11" w:name="_Toc433620865"/>
      <w:bookmarkStart w:id="12" w:name="_Toc434843203"/>
      <w:bookmarkStart w:id="13" w:name="_Toc437516777"/>
      <w:bookmarkStart w:id="14" w:name="_Toc437608042"/>
      <w:bookmarkStart w:id="15" w:name="_Toc438042287"/>
      <w:bookmarkStart w:id="16" w:name="_Toc44279823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91246E">
        <w:rPr>
          <w:rFonts w:ascii="Times New Roman" w:hAnsi="Times New Roman" w:cs="Times New Roman"/>
          <w:b/>
          <w:bCs/>
        </w:rPr>
        <w:t xml:space="preserve">Neapliekamā minimuma un pensionāru nepaliekamā minimuma izmaiņas 2022.gadā un šo izmaiņu fiskālās ietekmes 2022.-2024.gadā </w:t>
      </w:r>
    </w:p>
    <w:tbl>
      <w:tblPr>
        <w:tblW w:w="8799" w:type="dxa"/>
        <w:jc w:val="center"/>
        <w:tblLayout w:type="fixed"/>
        <w:tblLook w:val="04A0" w:firstRow="1" w:lastRow="0" w:firstColumn="1" w:lastColumn="0" w:noHBand="0" w:noVBand="1"/>
      </w:tblPr>
      <w:tblGrid>
        <w:gridCol w:w="3690"/>
        <w:gridCol w:w="851"/>
        <w:gridCol w:w="850"/>
        <w:gridCol w:w="851"/>
        <w:gridCol w:w="856"/>
        <w:gridCol w:w="850"/>
        <w:gridCol w:w="851"/>
      </w:tblGrid>
      <w:tr w:rsidR="00C0184A" w:rsidRPr="007662C6" w14:paraId="34E031C2" w14:textId="77777777" w:rsidTr="00420AD2">
        <w:trPr>
          <w:trHeight w:val="470"/>
          <w:jc w:val="center"/>
        </w:trPr>
        <w:tc>
          <w:tcPr>
            <w:tcW w:w="3690" w:type="dxa"/>
            <w:vMerge w:val="restart"/>
            <w:tcBorders>
              <w:top w:val="single" w:sz="4" w:space="0" w:color="auto"/>
              <w:left w:val="single" w:sz="4" w:space="0" w:color="auto"/>
              <w:right w:val="single" w:sz="4" w:space="0" w:color="FFFFFF" w:themeColor="background1"/>
            </w:tcBorders>
            <w:shd w:val="clear" w:color="000000" w:fill="002060"/>
            <w:vAlign w:val="center"/>
          </w:tcPr>
          <w:p w14:paraId="5E6534C6" w14:textId="77777777" w:rsidR="00C0184A" w:rsidRPr="00294825" w:rsidRDefault="00C0184A" w:rsidP="00420AD2">
            <w:pPr>
              <w:spacing w:after="0" w:line="240" w:lineRule="auto"/>
              <w:contextualSpacing/>
              <w:jc w:val="center"/>
              <w:rPr>
                <w:rFonts w:ascii="Times New Roman" w:hAnsi="Times New Roman" w:cs="Times New Roman"/>
                <w:b/>
                <w:bCs/>
                <w:color w:val="FFFFFF"/>
                <w:sz w:val="20"/>
                <w:szCs w:val="20"/>
              </w:rPr>
            </w:pPr>
            <w:r w:rsidRPr="00294825">
              <w:rPr>
                <w:rFonts w:ascii="Times New Roman" w:hAnsi="Times New Roman" w:cs="Times New Roman"/>
                <w:b/>
                <w:bCs/>
                <w:color w:val="FFFFFF"/>
                <w:sz w:val="20"/>
                <w:szCs w:val="20"/>
              </w:rPr>
              <w:t>Parametri</w:t>
            </w:r>
          </w:p>
        </w:tc>
        <w:tc>
          <w:tcPr>
            <w:tcW w:w="851" w:type="dxa"/>
            <w:vMerge w:val="restart"/>
            <w:tcBorders>
              <w:top w:val="single" w:sz="4" w:space="0" w:color="auto"/>
              <w:left w:val="single" w:sz="4" w:space="0" w:color="FFFFFF" w:themeColor="background1"/>
              <w:right w:val="single" w:sz="4" w:space="0" w:color="FFFFFF" w:themeColor="background1"/>
            </w:tcBorders>
            <w:shd w:val="clear" w:color="000000" w:fill="002060"/>
            <w:vAlign w:val="center"/>
          </w:tcPr>
          <w:p w14:paraId="6BA668DE" w14:textId="77777777" w:rsidR="00C0184A" w:rsidRPr="00294825" w:rsidRDefault="00C0184A" w:rsidP="00420AD2">
            <w:pPr>
              <w:spacing w:after="0" w:line="240" w:lineRule="auto"/>
              <w:contextualSpacing/>
              <w:jc w:val="center"/>
              <w:rPr>
                <w:rFonts w:ascii="Times New Roman" w:eastAsia="Times New Roman" w:hAnsi="Times New Roman" w:cs="Times New Roman"/>
                <w:b/>
                <w:bCs/>
                <w:color w:val="FFFFFF"/>
                <w:sz w:val="20"/>
                <w:szCs w:val="20"/>
                <w:lang w:eastAsia="lv-LV"/>
              </w:rPr>
            </w:pPr>
            <w:r w:rsidRPr="00294825">
              <w:rPr>
                <w:rFonts w:ascii="Times New Roman" w:eastAsia="Times New Roman" w:hAnsi="Times New Roman" w:cs="Times New Roman"/>
                <w:b/>
                <w:bCs/>
                <w:color w:val="FFFFFF"/>
                <w:sz w:val="20"/>
                <w:szCs w:val="20"/>
                <w:lang w:eastAsia="lv-LV"/>
              </w:rPr>
              <w:t>2021</w:t>
            </w:r>
          </w:p>
        </w:tc>
        <w:tc>
          <w:tcPr>
            <w:tcW w:w="1701" w:type="dxa"/>
            <w:gridSpan w:val="2"/>
            <w:tcBorders>
              <w:top w:val="single" w:sz="4" w:space="0" w:color="auto"/>
              <w:left w:val="single" w:sz="4" w:space="0" w:color="FFFFFF" w:themeColor="background1"/>
              <w:right w:val="single" w:sz="4" w:space="0" w:color="FFFFFF" w:themeColor="background1"/>
            </w:tcBorders>
            <w:shd w:val="clear" w:color="000000" w:fill="002060"/>
            <w:noWrap/>
            <w:vAlign w:val="center"/>
          </w:tcPr>
          <w:p w14:paraId="6A11FDCA" w14:textId="77777777" w:rsidR="00C0184A" w:rsidRPr="00294825" w:rsidRDefault="00C0184A" w:rsidP="00420AD2">
            <w:pPr>
              <w:spacing w:after="0" w:line="240" w:lineRule="auto"/>
              <w:contextualSpacing/>
              <w:jc w:val="center"/>
              <w:rPr>
                <w:rFonts w:ascii="Times New Roman" w:eastAsia="Times New Roman" w:hAnsi="Times New Roman" w:cs="Times New Roman"/>
                <w:b/>
                <w:bCs/>
                <w:color w:val="FFFFFF"/>
                <w:sz w:val="20"/>
                <w:szCs w:val="20"/>
                <w:lang w:eastAsia="lv-LV"/>
              </w:rPr>
            </w:pPr>
            <w:r w:rsidRPr="00294825">
              <w:rPr>
                <w:rFonts w:ascii="Times New Roman" w:eastAsia="Times New Roman" w:hAnsi="Times New Roman" w:cs="Times New Roman"/>
                <w:b/>
                <w:bCs/>
                <w:color w:val="FFFFFF"/>
                <w:sz w:val="20"/>
                <w:szCs w:val="20"/>
                <w:lang w:eastAsia="lv-LV"/>
              </w:rPr>
              <w:t>2022</w:t>
            </w:r>
          </w:p>
        </w:tc>
        <w:tc>
          <w:tcPr>
            <w:tcW w:w="2557" w:type="dxa"/>
            <w:gridSpan w:val="3"/>
            <w:tcBorders>
              <w:top w:val="single" w:sz="4" w:space="0" w:color="auto"/>
              <w:left w:val="single" w:sz="4" w:space="0" w:color="FFFFFF" w:themeColor="background1"/>
              <w:right w:val="single" w:sz="4" w:space="0" w:color="auto"/>
            </w:tcBorders>
            <w:shd w:val="clear" w:color="000000" w:fill="002060"/>
            <w:vAlign w:val="center"/>
          </w:tcPr>
          <w:p w14:paraId="4F421303" w14:textId="77777777" w:rsidR="00C0184A" w:rsidRPr="00294825" w:rsidRDefault="00C0184A" w:rsidP="00420AD2">
            <w:pPr>
              <w:spacing w:after="0" w:line="240" w:lineRule="auto"/>
              <w:contextualSpacing/>
              <w:jc w:val="center"/>
              <w:rPr>
                <w:rFonts w:ascii="Times New Roman" w:eastAsia="Times New Roman" w:hAnsi="Times New Roman" w:cs="Times New Roman"/>
                <w:b/>
                <w:bCs/>
                <w:color w:val="FFFFFF"/>
                <w:sz w:val="20"/>
                <w:szCs w:val="20"/>
                <w:lang w:eastAsia="lv-LV"/>
              </w:rPr>
            </w:pPr>
            <w:r w:rsidRPr="00294825">
              <w:rPr>
                <w:rFonts w:ascii="Times New Roman" w:eastAsia="Times New Roman" w:hAnsi="Times New Roman" w:cs="Times New Roman"/>
                <w:b/>
                <w:bCs/>
                <w:color w:val="FFFFFF"/>
                <w:sz w:val="20"/>
                <w:szCs w:val="20"/>
                <w:lang w:eastAsia="lv-LV"/>
              </w:rPr>
              <w:t>Fiskālās ietekmes</w:t>
            </w:r>
            <w:r w:rsidRPr="00294825">
              <w:rPr>
                <w:rFonts w:ascii="Times New Roman" w:eastAsia="Times New Roman" w:hAnsi="Times New Roman" w:cs="Times New Roman"/>
                <w:b/>
                <w:bCs/>
                <w:color w:val="FFFFFF"/>
                <w:sz w:val="20"/>
                <w:szCs w:val="20"/>
                <w:vertAlign w:val="superscript"/>
                <w:lang w:eastAsia="lv-LV"/>
              </w:rPr>
              <w:t>*</w:t>
            </w:r>
            <w:r w:rsidRPr="00294825">
              <w:rPr>
                <w:rFonts w:ascii="Times New Roman" w:eastAsia="Times New Roman" w:hAnsi="Times New Roman" w:cs="Times New Roman"/>
                <w:b/>
                <w:bCs/>
                <w:color w:val="FFFFFF"/>
                <w:sz w:val="20"/>
                <w:szCs w:val="20"/>
                <w:lang w:eastAsia="lv-LV"/>
              </w:rPr>
              <w:t xml:space="preserve">, </w:t>
            </w:r>
            <w:r w:rsidRPr="00294825">
              <w:rPr>
                <w:rFonts w:ascii="Times New Roman" w:eastAsia="Times New Roman" w:hAnsi="Times New Roman" w:cs="Times New Roman"/>
                <w:bCs/>
                <w:i/>
                <w:color w:val="FFFFFF"/>
                <w:sz w:val="20"/>
                <w:szCs w:val="20"/>
                <w:lang w:eastAsia="lv-LV"/>
              </w:rPr>
              <w:t>milj. euro</w:t>
            </w:r>
          </w:p>
        </w:tc>
      </w:tr>
      <w:tr w:rsidR="00C0184A" w:rsidRPr="007662C6" w14:paraId="781434F7" w14:textId="77777777" w:rsidTr="00420AD2">
        <w:trPr>
          <w:trHeight w:val="293"/>
          <w:jc w:val="center"/>
        </w:trPr>
        <w:tc>
          <w:tcPr>
            <w:tcW w:w="3690" w:type="dxa"/>
            <w:vMerge/>
            <w:tcBorders>
              <w:left w:val="single" w:sz="4" w:space="0" w:color="auto"/>
              <w:bottom w:val="single" w:sz="4" w:space="0" w:color="auto"/>
              <w:right w:val="single" w:sz="4" w:space="0" w:color="FFFFFF" w:themeColor="background1"/>
            </w:tcBorders>
            <w:shd w:val="clear" w:color="000000" w:fill="002060"/>
            <w:vAlign w:val="center"/>
          </w:tcPr>
          <w:p w14:paraId="17E1A6E3" w14:textId="77777777" w:rsidR="00C0184A" w:rsidRPr="00294825" w:rsidRDefault="00C0184A" w:rsidP="00420AD2">
            <w:pPr>
              <w:spacing w:after="0" w:line="240" w:lineRule="auto"/>
              <w:contextualSpacing/>
              <w:jc w:val="center"/>
              <w:rPr>
                <w:rFonts w:ascii="Times New Roman" w:eastAsia="Times New Roman" w:hAnsi="Times New Roman" w:cs="Times New Roman"/>
                <w:b/>
                <w:bCs/>
                <w:color w:val="FFFFFF"/>
                <w:sz w:val="20"/>
                <w:szCs w:val="20"/>
                <w:lang w:eastAsia="lv-LV"/>
              </w:rPr>
            </w:pPr>
          </w:p>
        </w:tc>
        <w:tc>
          <w:tcPr>
            <w:tcW w:w="851" w:type="dxa"/>
            <w:vMerge/>
            <w:tcBorders>
              <w:left w:val="single" w:sz="4" w:space="0" w:color="FFFFFF" w:themeColor="background1"/>
              <w:bottom w:val="single" w:sz="4" w:space="0" w:color="auto"/>
              <w:right w:val="single" w:sz="4" w:space="0" w:color="FFFFFF" w:themeColor="background1"/>
            </w:tcBorders>
            <w:shd w:val="clear" w:color="000000" w:fill="002060"/>
            <w:vAlign w:val="center"/>
          </w:tcPr>
          <w:p w14:paraId="46CC09E9" w14:textId="77777777" w:rsidR="00C0184A" w:rsidRPr="00294825" w:rsidRDefault="00C0184A" w:rsidP="00420AD2">
            <w:pPr>
              <w:spacing w:after="0" w:line="240" w:lineRule="auto"/>
              <w:contextualSpacing/>
              <w:jc w:val="center"/>
              <w:rPr>
                <w:rFonts w:ascii="Times New Roman" w:eastAsia="Times New Roman" w:hAnsi="Times New Roman" w:cs="Times New Roman"/>
                <w:b/>
                <w:bCs/>
                <w:color w:val="FFFFFF"/>
                <w:sz w:val="20"/>
                <w:szCs w:val="20"/>
                <w:lang w:eastAsia="lv-LV"/>
              </w:rPr>
            </w:pPr>
          </w:p>
        </w:tc>
        <w:tc>
          <w:tcPr>
            <w:tcW w:w="85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002060"/>
            <w:noWrap/>
            <w:vAlign w:val="center"/>
            <w:hideMark/>
          </w:tcPr>
          <w:p w14:paraId="1CA5195F" w14:textId="77777777" w:rsidR="00C0184A" w:rsidRPr="00E01E79" w:rsidRDefault="00C0184A" w:rsidP="00420AD2">
            <w:pPr>
              <w:spacing w:after="0" w:line="240" w:lineRule="auto"/>
              <w:contextualSpacing/>
              <w:jc w:val="center"/>
              <w:rPr>
                <w:rFonts w:ascii="Times New Roman" w:eastAsia="Times New Roman" w:hAnsi="Times New Roman" w:cs="Times New Roman"/>
                <w:b/>
                <w:bCs/>
                <w:color w:val="FFFFFF"/>
                <w:sz w:val="18"/>
                <w:szCs w:val="18"/>
                <w:lang w:eastAsia="lv-LV"/>
              </w:rPr>
            </w:pPr>
            <w:r w:rsidRPr="00E01E79">
              <w:rPr>
                <w:rFonts w:ascii="Times New Roman" w:eastAsia="Times New Roman" w:hAnsi="Times New Roman" w:cs="Times New Roman"/>
                <w:b/>
                <w:bCs/>
                <w:color w:val="FFFFFF"/>
                <w:sz w:val="18"/>
                <w:szCs w:val="18"/>
                <w:lang w:eastAsia="lv-LV"/>
              </w:rPr>
              <w:t>No 01.01.</w:t>
            </w:r>
          </w:p>
        </w:tc>
        <w:tc>
          <w:tcPr>
            <w:tcW w:w="85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002060"/>
          </w:tcPr>
          <w:p w14:paraId="04CB104E" w14:textId="77777777" w:rsidR="00C0184A" w:rsidRPr="00E01E79" w:rsidRDefault="00C0184A" w:rsidP="00420AD2">
            <w:pPr>
              <w:spacing w:after="0" w:line="240" w:lineRule="auto"/>
              <w:contextualSpacing/>
              <w:jc w:val="center"/>
              <w:rPr>
                <w:rFonts w:ascii="Times New Roman" w:eastAsia="Times New Roman" w:hAnsi="Times New Roman" w:cs="Times New Roman"/>
                <w:b/>
                <w:bCs/>
                <w:color w:val="FFFFFF"/>
                <w:sz w:val="18"/>
                <w:szCs w:val="18"/>
                <w:lang w:eastAsia="lv-LV"/>
              </w:rPr>
            </w:pPr>
            <w:r w:rsidRPr="00E01E79">
              <w:rPr>
                <w:rFonts w:ascii="Times New Roman" w:eastAsia="Times New Roman" w:hAnsi="Times New Roman" w:cs="Times New Roman"/>
                <w:b/>
                <w:bCs/>
                <w:color w:val="FFFFFF"/>
                <w:sz w:val="18"/>
                <w:szCs w:val="18"/>
                <w:lang w:eastAsia="lv-LV"/>
              </w:rPr>
              <w:t>No 01.07.</w:t>
            </w:r>
          </w:p>
        </w:tc>
        <w:tc>
          <w:tcPr>
            <w:tcW w:w="85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002060"/>
            <w:vAlign w:val="center"/>
          </w:tcPr>
          <w:p w14:paraId="7D3D3C0D" w14:textId="77777777" w:rsidR="00C0184A" w:rsidRPr="00294825" w:rsidRDefault="00C0184A" w:rsidP="00420AD2">
            <w:pPr>
              <w:spacing w:after="0" w:line="240" w:lineRule="auto"/>
              <w:contextualSpacing/>
              <w:jc w:val="center"/>
              <w:rPr>
                <w:rFonts w:ascii="Times New Roman" w:eastAsia="Times New Roman" w:hAnsi="Times New Roman" w:cs="Times New Roman"/>
                <w:b/>
                <w:bCs/>
                <w:color w:val="FFFFFF"/>
                <w:sz w:val="20"/>
                <w:szCs w:val="20"/>
                <w:lang w:eastAsia="lv-LV"/>
              </w:rPr>
            </w:pPr>
            <w:r w:rsidRPr="00294825">
              <w:rPr>
                <w:rFonts w:ascii="Times New Roman" w:eastAsia="Times New Roman" w:hAnsi="Times New Roman" w:cs="Times New Roman"/>
                <w:b/>
                <w:bCs/>
                <w:color w:val="FFFFFF"/>
                <w:sz w:val="20"/>
                <w:szCs w:val="20"/>
                <w:lang w:eastAsia="lv-LV"/>
              </w:rPr>
              <w:t>2022</w:t>
            </w:r>
          </w:p>
        </w:tc>
        <w:tc>
          <w:tcPr>
            <w:tcW w:w="85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002060"/>
            <w:vAlign w:val="center"/>
          </w:tcPr>
          <w:p w14:paraId="3135B602" w14:textId="77777777" w:rsidR="00C0184A" w:rsidRPr="00294825" w:rsidRDefault="00C0184A" w:rsidP="00420AD2">
            <w:pPr>
              <w:spacing w:after="0" w:line="240" w:lineRule="auto"/>
              <w:contextualSpacing/>
              <w:jc w:val="center"/>
              <w:rPr>
                <w:rFonts w:ascii="Times New Roman" w:eastAsia="Times New Roman" w:hAnsi="Times New Roman" w:cs="Times New Roman"/>
                <w:b/>
                <w:bCs/>
                <w:color w:val="FFFFFF"/>
                <w:sz w:val="20"/>
                <w:szCs w:val="20"/>
                <w:lang w:eastAsia="lv-LV"/>
              </w:rPr>
            </w:pPr>
            <w:r w:rsidRPr="00294825">
              <w:rPr>
                <w:rFonts w:ascii="Times New Roman" w:eastAsia="Times New Roman" w:hAnsi="Times New Roman" w:cs="Times New Roman"/>
                <w:b/>
                <w:bCs/>
                <w:color w:val="FFFFFF"/>
                <w:sz w:val="20"/>
                <w:szCs w:val="20"/>
                <w:lang w:eastAsia="lv-LV"/>
              </w:rPr>
              <w:t>2023</w:t>
            </w:r>
          </w:p>
        </w:tc>
        <w:tc>
          <w:tcPr>
            <w:tcW w:w="851" w:type="dxa"/>
            <w:tcBorders>
              <w:top w:val="single" w:sz="4" w:space="0" w:color="FFFFFF" w:themeColor="background1"/>
              <w:left w:val="single" w:sz="4" w:space="0" w:color="FFFFFF" w:themeColor="background1"/>
              <w:bottom w:val="single" w:sz="4" w:space="0" w:color="auto"/>
              <w:right w:val="single" w:sz="4" w:space="0" w:color="auto"/>
            </w:tcBorders>
            <w:shd w:val="clear" w:color="000000" w:fill="002060"/>
            <w:vAlign w:val="center"/>
          </w:tcPr>
          <w:p w14:paraId="74944B28" w14:textId="77777777" w:rsidR="00C0184A" w:rsidRPr="00294825" w:rsidRDefault="00C0184A" w:rsidP="00420AD2">
            <w:pPr>
              <w:spacing w:after="0" w:line="240" w:lineRule="auto"/>
              <w:contextualSpacing/>
              <w:jc w:val="center"/>
              <w:rPr>
                <w:rFonts w:ascii="Times New Roman" w:eastAsia="Times New Roman" w:hAnsi="Times New Roman" w:cs="Times New Roman"/>
                <w:b/>
                <w:bCs/>
                <w:color w:val="FFFFFF"/>
                <w:sz w:val="20"/>
                <w:szCs w:val="20"/>
                <w:lang w:eastAsia="lv-LV"/>
              </w:rPr>
            </w:pPr>
            <w:r w:rsidRPr="00294825">
              <w:rPr>
                <w:rFonts w:ascii="Times New Roman" w:eastAsia="Times New Roman" w:hAnsi="Times New Roman" w:cs="Times New Roman"/>
                <w:b/>
                <w:bCs/>
                <w:color w:val="FFFFFF"/>
                <w:sz w:val="20"/>
                <w:szCs w:val="20"/>
                <w:lang w:eastAsia="lv-LV"/>
              </w:rPr>
              <w:t>2024</w:t>
            </w:r>
          </w:p>
        </w:tc>
      </w:tr>
      <w:tr w:rsidR="00C0184A" w:rsidRPr="007662C6" w14:paraId="2FF74B51" w14:textId="77777777" w:rsidTr="00420AD2">
        <w:trPr>
          <w:trHeight w:val="174"/>
          <w:jc w:val="center"/>
        </w:trPr>
        <w:tc>
          <w:tcPr>
            <w:tcW w:w="3690" w:type="dxa"/>
            <w:tcBorders>
              <w:top w:val="single" w:sz="4" w:space="0" w:color="auto"/>
              <w:left w:val="single" w:sz="4" w:space="0" w:color="auto"/>
              <w:bottom w:val="single" w:sz="4" w:space="0" w:color="808080" w:themeColor="background1" w:themeShade="80"/>
              <w:right w:val="single" w:sz="4" w:space="0" w:color="auto"/>
            </w:tcBorders>
            <w:shd w:val="clear" w:color="auto" w:fill="C5E0B3" w:themeFill="accent6" w:themeFillTint="66"/>
            <w:vAlign w:val="center"/>
          </w:tcPr>
          <w:p w14:paraId="3A40D640" w14:textId="77777777" w:rsidR="00C0184A" w:rsidRPr="00294825" w:rsidRDefault="00C0184A" w:rsidP="00420AD2">
            <w:pPr>
              <w:spacing w:after="0" w:line="240" w:lineRule="auto"/>
              <w:contextualSpacing/>
              <w:rPr>
                <w:rFonts w:ascii="Times New Roman" w:hAnsi="Times New Roman" w:cs="Times New Roman"/>
                <w:b/>
                <w:bCs/>
                <w:color w:val="000000"/>
                <w:sz w:val="20"/>
                <w:szCs w:val="20"/>
              </w:rPr>
            </w:pPr>
            <w:r w:rsidRPr="00294825">
              <w:rPr>
                <w:rFonts w:ascii="Times New Roman" w:eastAsia="Times New Roman" w:hAnsi="Times New Roman" w:cs="Times New Roman"/>
                <w:b/>
                <w:bCs/>
                <w:color w:val="000000"/>
                <w:sz w:val="20"/>
                <w:szCs w:val="20"/>
                <w:lang w:eastAsia="lv-LV"/>
              </w:rPr>
              <w:t xml:space="preserve">Diferencētais neapliekamais minimums (DNM), </w:t>
            </w:r>
            <w:r w:rsidRPr="00294825">
              <w:rPr>
                <w:rFonts w:ascii="Times New Roman" w:eastAsia="Times New Roman" w:hAnsi="Times New Roman" w:cs="Times New Roman"/>
                <w:bCs/>
                <w:i/>
                <w:color w:val="000000"/>
                <w:sz w:val="20"/>
                <w:szCs w:val="20"/>
                <w:lang w:eastAsia="lv-LV"/>
              </w:rPr>
              <w:t>EUR mēnesī</w:t>
            </w:r>
          </w:p>
        </w:tc>
        <w:tc>
          <w:tcPr>
            <w:tcW w:w="851" w:type="dxa"/>
            <w:tcBorders>
              <w:top w:val="single" w:sz="4" w:space="0" w:color="auto"/>
              <w:left w:val="single" w:sz="4" w:space="0" w:color="auto"/>
              <w:bottom w:val="single" w:sz="4" w:space="0" w:color="808080" w:themeColor="background1" w:themeShade="80"/>
              <w:right w:val="single" w:sz="4" w:space="0" w:color="auto"/>
            </w:tcBorders>
            <w:shd w:val="clear" w:color="auto" w:fill="D9D9D9" w:themeFill="background1" w:themeFillShade="D9"/>
            <w:vAlign w:val="center"/>
          </w:tcPr>
          <w:p w14:paraId="64682C17" w14:textId="77777777" w:rsidR="00C0184A" w:rsidRPr="00294825" w:rsidRDefault="00C0184A" w:rsidP="00420AD2">
            <w:pPr>
              <w:spacing w:after="0" w:line="240" w:lineRule="auto"/>
              <w:contextualSpacing/>
              <w:jc w:val="center"/>
              <w:rPr>
                <w:rFonts w:ascii="Times New Roman" w:eastAsia="Times New Roman" w:hAnsi="Times New Roman" w:cs="Times New Roman"/>
                <w:b/>
                <w:bCs/>
                <w:sz w:val="20"/>
                <w:szCs w:val="20"/>
                <w:lang w:eastAsia="lv-LV"/>
              </w:rPr>
            </w:pPr>
            <w:r w:rsidRPr="00294825">
              <w:rPr>
                <w:rFonts w:ascii="Times New Roman" w:eastAsia="Times New Roman" w:hAnsi="Times New Roman" w:cs="Times New Roman"/>
                <w:b/>
                <w:bCs/>
                <w:sz w:val="20"/>
                <w:szCs w:val="20"/>
                <w:lang w:eastAsia="lv-LV"/>
              </w:rPr>
              <w:t>300</w:t>
            </w:r>
          </w:p>
        </w:tc>
        <w:tc>
          <w:tcPr>
            <w:tcW w:w="850" w:type="dxa"/>
            <w:tcBorders>
              <w:top w:val="single" w:sz="4" w:space="0" w:color="auto"/>
              <w:left w:val="single" w:sz="4" w:space="0" w:color="auto"/>
              <w:bottom w:val="single" w:sz="4" w:space="0" w:color="808080" w:themeColor="background1" w:themeShade="80"/>
              <w:right w:val="single" w:sz="4" w:space="0" w:color="auto"/>
            </w:tcBorders>
            <w:shd w:val="clear" w:color="auto" w:fill="C5E0B3" w:themeFill="accent6" w:themeFillTint="66"/>
            <w:noWrap/>
            <w:vAlign w:val="center"/>
          </w:tcPr>
          <w:p w14:paraId="0B705C34" w14:textId="77777777" w:rsidR="00C0184A" w:rsidRPr="00294825" w:rsidRDefault="00C0184A" w:rsidP="00420AD2">
            <w:pPr>
              <w:spacing w:after="0" w:line="240" w:lineRule="auto"/>
              <w:contextualSpacing/>
              <w:jc w:val="center"/>
              <w:rPr>
                <w:rFonts w:ascii="Times New Roman" w:eastAsia="Times New Roman" w:hAnsi="Times New Roman" w:cs="Times New Roman"/>
                <w:b/>
                <w:bCs/>
                <w:color w:val="FF0000"/>
                <w:sz w:val="20"/>
                <w:szCs w:val="20"/>
                <w:lang w:eastAsia="lv-LV"/>
              </w:rPr>
            </w:pPr>
            <w:r>
              <w:rPr>
                <w:rFonts w:ascii="Times New Roman" w:eastAsia="Times New Roman" w:hAnsi="Times New Roman" w:cs="Times New Roman"/>
                <w:b/>
                <w:bCs/>
                <w:color w:val="FF0000"/>
                <w:sz w:val="20"/>
                <w:szCs w:val="20"/>
                <w:lang w:eastAsia="lv-LV"/>
              </w:rPr>
              <w:t>35</w:t>
            </w:r>
            <w:r w:rsidRPr="00294825">
              <w:rPr>
                <w:rFonts w:ascii="Times New Roman" w:eastAsia="Times New Roman" w:hAnsi="Times New Roman" w:cs="Times New Roman"/>
                <w:b/>
                <w:bCs/>
                <w:color w:val="FF0000"/>
                <w:sz w:val="20"/>
                <w:szCs w:val="20"/>
                <w:lang w:eastAsia="lv-LV"/>
              </w:rPr>
              <w:t>0</w:t>
            </w:r>
          </w:p>
        </w:tc>
        <w:tc>
          <w:tcPr>
            <w:tcW w:w="851" w:type="dxa"/>
            <w:tcBorders>
              <w:top w:val="single" w:sz="4" w:space="0" w:color="auto"/>
              <w:left w:val="single" w:sz="4" w:space="0" w:color="auto"/>
              <w:right w:val="single" w:sz="4" w:space="0" w:color="auto"/>
            </w:tcBorders>
            <w:shd w:val="clear" w:color="auto" w:fill="C5E0B3" w:themeFill="accent6" w:themeFillTint="66"/>
            <w:vAlign w:val="center"/>
          </w:tcPr>
          <w:p w14:paraId="708DF54E" w14:textId="77777777" w:rsidR="00C0184A" w:rsidRDefault="00C0184A" w:rsidP="00420AD2">
            <w:pPr>
              <w:spacing w:after="0" w:line="240" w:lineRule="auto"/>
              <w:jc w:val="center"/>
              <w:rPr>
                <w:rFonts w:ascii="Times New Roman" w:eastAsia="Times New Roman" w:hAnsi="Times New Roman" w:cs="Times New Roman"/>
                <w:b/>
                <w:bCs/>
                <w:sz w:val="20"/>
                <w:szCs w:val="20"/>
                <w:lang w:eastAsia="lv-LV"/>
              </w:rPr>
            </w:pPr>
            <w:r w:rsidRPr="00E01E79">
              <w:rPr>
                <w:rFonts w:ascii="Times New Roman" w:eastAsia="Times New Roman" w:hAnsi="Times New Roman" w:cs="Times New Roman"/>
                <w:b/>
                <w:bCs/>
                <w:color w:val="FF0000"/>
                <w:sz w:val="20"/>
                <w:szCs w:val="20"/>
                <w:lang w:eastAsia="lv-LV"/>
              </w:rPr>
              <w:t>500</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10896F1" w14:textId="77777777" w:rsidR="00C0184A" w:rsidRPr="00E01E79" w:rsidRDefault="00C0184A" w:rsidP="00420AD2">
            <w:pPr>
              <w:spacing w:after="0" w:line="240" w:lineRule="auto"/>
              <w:jc w:val="center"/>
              <w:rPr>
                <w:rFonts w:ascii="Times New Roman" w:eastAsia="Times New Roman" w:hAnsi="Times New Roman" w:cs="Times New Roman"/>
                <w:b/>
                <w:bCs/>
                <w:color w:val="C00000"/>
                <w:sz w:val="20"/>
                <w:szCs w:val="20"/>
                <w:lang w:eastAsia="lv-LV"/>
              </w:rPr>
            </w:pPr>
            <w:r w:rsidRPr="00E01E79">
              <w:rPr>
                <w:rFonts w:ascii="Times New Roman" w:eastAsia="Times New Roman" w:hAnsi="Times New Roman" w:cs="Times New Roman"/>
                <w:b/>
                <w:bCs/>
                <w:color w:val="C00000"/>
                <w:sz w:val="20"/>
                <w:szCs w:val="20"/>
                <w:lang w:eastAsia="lv-LV"/>
              </w:rPr>
              <w:t>-57,7</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1935AB8" w14:textId="77777777" w:rsidR="00C0184A" w:rsidRPr="00E01E79" w:rsidRDefault="00C0184A" w:rsidP="00420AD2">
            <w:pPr>
              <w:spacing w:after="0" w:line="240" w:lineRule="auto"/>
              <w:jc w:val="center"/>
              <w:rPr>
                <w:rFonts w:ascii="Times New Roman" w:hAnsi="Times New Roman" w:cs="Times New Roman"/>
                <w:b/>
                <w:bCs/>
                <w:color w:val="C00000"/>
                <w:sz w:val="20"/>
                <w:szCs w:val="20"/>
              </w:rPr>
            </w:pPr>
            <w:r w:rsidRPr="00E01E79">
              <w:rPr>
                <w:rFonts w:ascii="Times New Roman" w:hAnsi="Times New Roman" w:cs="Times New Roman"/>
                <w:b/>
                <w:bCs/>
                <w:color w:val="C00000"/>
                <w:sz w:val="20"/>
                <w:szCs w:val="20"/>
              </w:rPr>
              <w:t>-89,2</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D0BFD0A" w14:textId="77777777" w:rsidR="00C0184A" w:rsidRPr="00E01E79" w:rsidRDefault="00C0184A" w:rsidP="00420AD2">
            <w:pPr>
              <w:spacing w:after="0" w:line="240" w:lineRule="auto"/>
              <w:jc w:val="center"/>
              <w:rPr>
                <w:rFonts w:ascii="Times New Roman" w:hAnsi="Times New Roman" w:cs="Times New Roman"/>
                <w:b/>
                <w:bCs/>
                <w:color w:val="C00000"/>
                <w:sz w:val="20"/>
                <w:szCs w:val="20"/>
              </w:rPr>
            </w:pPr>
            <w:r w:rsidRPr="00E01E79">
              <w:rPr>
                <w:rFonts w:ascii="Times New Roman" w:hAnsi="Times New Roman" w:cs="Times New Roman"/>
                <w:b/>
                <w:bCs/>
                <w:color w:val="C00000"/>
                <w:sz w:val="20"/>
                <w:szCs w:val="20"/>
              </w:rPr>
              <w:t>-86,9</w:t>
            </w:r>
          </w:p>
        </w:tc>
      </w:tr>
      <w:tr w:rsidR="00C0184A" w:rsidRPr="007662C6" w14:paraId="3BBC1726" w14:textId="77777777" w:rsidTr="00420AD2">
        <w:trPr>
          <w:trHeight w:val="174"/>
          <w:jc w:val="center"/>
        </w:trPr>
        <w:tc>
          <w:tcPr>
            <w:tcW w:w="3690" w:type="dxa"/>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auto"/>
            <w:vAlign w:val="center"/>
          </w:tcPr>
          <w:p w14:paraId="3D111E5E" w14:textId="77777777" w:rsidR="00C0184A" w:rsidRPr="00294825" w:rsidRDefault="00C0184A" w:rsidP="00420AD2">
            <w:pPr>
              <w:spacing w:after="0" w:line="240" w:lineRule="auto"/>
              <w:ind w:left="311"/>
              <w:contextualSpacing/>
              <w:rPr>
                <w:rFonts w:ascii="Times New Roman" w:hAnsi="Times New Roman" w:cs="Times New Roman"/>
                <w:b/>
                <w:bCs/>
                <w:color w:val="000000"/>
                <w:sz w:val="20"/>
                <w:szCs w:val="20"/>
              </w:rPr>
            </w:pPr>
            <w:r w:rsidRPr="00294825">
              <w:rPr>
                <w:rFonts w:ascii="Times New Roman" w:hAnsi="Times New Roman" w:cs="Times New Roman"/>
                <w:i/>
                <w:sz w:val="20"/>
                <w:szCs w:val="20"/>
              </w:rPr>
              <w:t>ienākums, līdz kuram NM tiek  piemērots pilnā apmērā, EUR mēnesī</w:t>
            </w:r>
          </w:p>
        </w:tc>
        <w:tc>
          <w:tcPr>
            <w:tcW w:w="851" w:type="dxa"/>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D9D9D9" w:themeFill="background1" w:themeFillShade="D9"/>
            <w:vAlign w:val="center"/>
          </w:tcPr>
          <w:p w14:paraId="54C6E1FA" w14:textId="77777777" w:rsidR="00C0184A" w:rsidRPr="00294825" w:rsidRDefault="00C0184A" w:rsidP="00420AD2">
            <w:pPr>
              <w:spacing w:after="0" w:line="240" w:lineRule="auto"/>
              <w:contextualSpacing/>
              <w:jc w:val="center"/>
              <w:rPr>
                <w:rFonts w:ascii="Times New Roman" w:eastAsia="Times New Roman" w:hAnsi="Times New Roman" w:cs="Times New Roman"/>
                <w:b/>
                <w:bCs/>
                <w:sz w:val="20"/>
                <w:szCs w:val="20"/>
                <w:lang w:eastAsia="lv-LV"/>
              </w:rPr>
            </w:pPr>
            <w:r w:rsidRPr="00294825">
              <w:rPr>
                <w:rFonts w:ascii="Times New Roman" w:eastAsia="Times New Roman" w:hAnsi="Times New Roman" w:cs="Times New Roman"/>
                <w:bCs/>
                <w:sz w:val="20"/>
                <w:szCs w:val="20"/>
                <w:lang w:eastAsia="lv-LV"/>
              </w:rPr>
              <w:t>500</w:t>
            </w:r>
          </w:p>
        </w:tc>
        <w:tc>
          <w:tcPr>
            <w:tcW w:w="1701"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auto"/>
            <w:noWrap/>
            <w:vAlign w:val="center"/>
          </w:tcPr>
          <w:p w14:paraId="6CD807E3" w14:textId="77777777" w:rsidR="00C0184A" w:rsidRPr="00294825" w:rsidRDefault="00C0184A" w:rsidP="00420AD2">
            <w:pPr>
              <w:spacing w:after="0" w:line="240" w:lineRule="auto"/>
              <w:contextualSpacing/>
              <w:jc w:val="center"/>
              <w:rPr>
                <w:rFonts w:ascii="Times New Roman" w:eastAsia="Times New Roman" w:hAnsi="Times New Roman" w:cs="Times New Roman"/>
                <w:b/>
                <w:bCs/>
                <w:color w:val="0070C0"/>
                <w:sz w:val="20"/>
                <w:szCs w:val="20"/>
                <w:lang w:eastAsia="lv-LV"/>
              </w:rPr>
            </w:pPr>
            <w:r w:rsidRPr="00294825">
              <w:rPr>
                <w:rFonts w:ascii="Times New Roman" w:eastAsia="Times New Roman" w:hAnsi="Times New Roman" w:cs="Times New Roman"/>
                <w:bCs/>
                <w:sz w:val="20"/>
                <w:szCs w:val="20"/>
                <w:lang w:eastAsia="lv-LV"/>
              </w:rPr>
              <w:t>500</w:t>
            </w:r>
          </w:p>
        </w:tc>
        <w:tc>
          <w:tcPr>
            <w:tcW w:w="856" w:type="dxa"/>
            <w:vMerge/>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6B38806" w14:textId="77777777" w:rsidR="00C0184A" w:rsidRPr="001D3FA0" w:rsidRDefault="00C0184A" w:rsidP="00420AD2">
            <w:pPr>
              <w:spacing w:after="0" w:line="240" w:lineRule="auto"/>
              <w:contextualSpacing/>
              <w:jc w:val="center"/>
              <w:rPr>
                <w:rFonts w:ascii="Times New Roman" w:eastAsia="Times New Roman" w:hAnsi="Times New Roman" w:cs="Times New Roman"/>
                <w:b/>
                <w:bCs/>
                <w:color w:val="C00000"/>
                <w:sz w:val="20"/>
                <w:szCs w:val="20"/>
                <w:lang w:eastAsia="lv-LV"/>
              </w:rPr>
            </w:pPr>
          </w:p>
        </w:tc>
        <w:tc>
          <w:tcPr>
            <w:tcW w:w="850" w:type="dxa"/>
            <w:vMerge/>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0763210" w14:textId="77777777" w:rsidR="00C0184A" w:rsidRPr="001D3FA0" w:rsidRDefault="00C0184A" w:rsidP="00420AD2">
            <w:pPr>
              <w:spacing w:after="0" w:line="240" w:lineRule="auto"/>
              <w:contextualSpacing/>
              <w:jc w:val="center"/>
              <w:rPr>
                <w:rFonts w:ascii="Times New Roman" w:eastAsia="Times New Roman" w:hAnsi="Times New Roman" w:cs="Times New Roman"/>
                <w:b/>
                <w:bCs/>
                <w:color w:val="C00000"/>
                <w:sz w:val="20"/>
                <w:szCs w:val="20"/>
                <w:lang w:eastAsia="lv-LV"/>
              </w:rPr>
            </w:pPr>
          </w:p>
        </w:tc>
        <w:tc>
          <w:tcPr>
            <w:tcW w:w="851" w:type="dxa"/>
            <w:vMerge/>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16B4828" w14:textId="77777777" w:rsidR="00C0184A" w:rsidRPr="001D3FA0" w:rsidRDefault="00C0184A" w:rsidP="00420AD2">
            <w:pPr>
              <w:spacing w:after="0" w:line="240" w:lineRule="auto"/>
              <w:contextualSpacing/>
              <w:jc w:val="center"/>
              <w:rPr>
                <w:rFonts w:ascii="Times New Roman" w:eastAsia="Times New Roman" w:hAnsi="Times New Roman" w:cs="Times New Roman"/>
                <w:b/>
                <w:bCs/>
                <w:color w:val="C00000"/>
                <w:sz w:val="20"/>
                <w:szCs w:val="20"/>
                <w:lang w:eastAsia="lv-LV"/>
              </w:rPr>
            </w:pPr>
          </w:p>
        </w:tc>
      </w:tr>
      <w:tr w:rsidR="00C0184A" w:rsidRPr="007662C6" w14:paraId="48AB9EFA" w14:textId="77777777" w:rsidTr="00420AD2">
        <w:trPr>
          <w:trHeight w:val="470"/>
          <w:jc w:val="center"/>
        </w:trPr>
        <w:tc>
          <w:tcPr>
            <w:tcW w:w="3690" w:type="dxa"/>
            <w:tcBorders>
              <w:top w:val="single" w:sz="4" w:space="0" w:color="808080" w:themeColor="background1" w:themeShade="80"/>
              <w:left w:val="single" w:sz="4" w:space="0" w:color="auto"/>
              <w:bottom w:val="single" w:sz="4" w:space="0" w:color="auto"/>
              <w:right w:val="single" w:sz="4" w:space="0" w:color="auto"/>
            </w:tcBorders>
            <w:shd w:val="clear" w:color="auto" w:fill="auto"/>
            <w:vAlign w:val="center"/>
          </w:tcPr>
          <w:p w14:paraId="39D0E6F2" w14:textId="77777777" w:rsidR="00C0184A" w:rsidRPr="00294825" w:rsidRDefault="00C0184A" w:rsidP="00420AD2">
            <w:pPr>
              <w:spacing w:after="0" w:line="240" w:lineRule="auto"/>
              <w:ind w:left="311"/>
              <w:contextualSpacing/>
              <w:rPr>
                <w:rFonts w:ascii="Times New Roman" w:hAnsi="Times New Roman" w:cs="Times New Roman"/>
                <w:i/>
                <w:sz w:val="20"/>
                <w:szCs w:val="20"/>
              </w:rPr>
            </w:pPr>
            <w:r w:rsidRPr="00294825">
              <w:rPr>
                <w:rFonts w:ascii="Times New Roman" w:hAnsi="Times New Roman" w:cs="Times New Roman"/>
                <w:i/>
                <w:sz w:val="20"/>
                <w:szCs w:val="20"/>
              </w:rPr>
              <w:t>ienākums, virs kura NM netiek  piemērots, EUR mēnesī</w:t>
            </w:r>
          </w:p>
        </w:tc>
        <w:tc>
          <w:tcPr>
            <w:tcW w:w="851" w:type="dxa"/>
            <w:tcBorders>
              <w:top w:val="single" w:sz="4" w:space="0" w:color="808080" w:themeColor="background1" w:themeShade="80"/>
              <w:left w:val="single" w:sz="4" w:space="0" w:color="auto"/>
              <w:bottom w:val="single" w:sz="4" w:space="0" w:color="auto"/>
              <w:right w:val="single" w:sz="4" w:space="0" w:color="auto"/>
            </w:tcBorders>
            <w:shd w:val="clear" w:color="auto" w:fill="D9D9D9" w:themeFill="background1" w:themeFillShade="D9"/>
            <w:vAlign w:val="center"/>
          </w:tcPr>
          <w:p w14:paraId="1E389919" w14:textId="77777777" w:rsidR="00C0184A" w:rsidRPr="00294825" w:rsidRDefault="00C0184A" w:rsidP="00420AD2">
            <w:pPr>
              <w:spacing w:after="0" w:line="240" w:lineRule="auto"/>
              <w:contextualSpacing/>
              <w:jc w:val="center"/>
              <w:rPr>
                <w:rFonts w:ascii="Times New Roman" w:eastAsia="Times New Roman" w:hAnsi="Times New Roman" w:cs="Times New Roman"/>
                <w:bCs/>
                <w:sz w:val="20"/>
                <w:szCs w:val="20"/>
                <w:lang w:eastAsia="lv-LV"/>
              </w:rPr>
            </w:pPr>
            <w:r w:rsidRPr="00294825">
              <w:rPr>
                <w:rFonts w:ascii="Times New Roman" w:eastAsia="Times New Roman" w:hAnsi="Times New Roman" w:cs="Times New Roman"/>
                <w:bCs/>
                <w:sz w:val="20"/>
                <w:szCs w:val="20"/>
                <w:lang w:eastAsia="lv-LV"/>
              </w:rPr>
              <w:t>1 800</w:t>
            </w:r>
          </w:p>
        </w:tc>
        <w:tc>
          <w:tcPr>
            <w:tcW w:w="1701" w:type="dxa"/>
            <w:gridSpan w:val="2"/>
            <w:tcBorders>
              <w:top w:val="single" w:sz="4" w:space="0" w:color="808080" w:themeColor="background1" w:themeShade="80"/>
              <w:left w:val="single" w:sz="4" w:space="0" w:color="auto"/>
              <w:bottom w:val="single" w:sz="4" w:space="0" w:color="auto"/>
              <w:right w:val="single" w:sz="4" w:space="0" w:color="auto"/>
            </w:tcBorders>
            <w:shd w:val="clear" w:color="auto" w:fill="auto"/>
            <w:noWrap/>
            <w:vAlign w:val="center"/>
          </w:tcPr>
          <w:p w14:paraId="7C561CFC" w14:textId="77777777" w:rsidR="00C0184A" w:rsidRPr="00294825" w:rsidRDefault="00C0184A" w:rsidP="00420AD2">
            <w:pPr>
              <w:spacing w:after="0" w:line="240" w:lineRule="auto"/>
              <w:contextualSpacing/>
              <w:jc w:val="center"/>
              <w:rPr>
                <w:rFonts w:ascii="Times New Roman" w:eastAsia="Times New Roman" w:hAnsi="Times New Roman" w:cs="Times New Roman"/>
                <w:b/>
                <w:bCs/>
                <w:color w:val="0070C0"/>
                <w:sz w:val="20"/>
                <w:szCs w:val="20"/>
                <w:lang w:eastAsia="lv-LV"/>
              </w:rPr>
            </w:pPr>
            <w:r w:rsidRPr="00294825">
              <w:rPr>
                <w:rFonts w:ascii="Times New Roman" w:eastAsia="Times New Roman" w:hAnsi="Times New Roman" w:cs="Times New Roman"/>
                <w:bCs/>
                <w:sz w:val="20"/>
                <w:szCs w:val="20"/>
                <w:lang w:eastAsia="lv-LV"/>
              </w:rPr>
              <w:t>1 800</w:t>
            </w:r>
          </w:p>
        </w:tc>
        <w:tc>
          <w:tcPr>
            <w:tcW w:w="856" w:type="dxa"/>
            <w:vMerge/>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EA2E5A3" w14:textId="77777777" w:rsidR="00C0184A" w:rsidRPr="001D3FA0" w:rsidRDefault="00C0184A" w:rsidP="00420AD2">
            <w:pPr>
              <w:spacing w:after="0" w:line="240" w:lineRule="auto"/>
              <w:contextualSpacing/>
              <w:jc w:val="center"/>
              <w:rPr>
                <w:rFonts w:ascii="Times New Roman" w:eastAsia="Times New Roman" w:hAnsi="Times New Roman" w:cs="Times New Roman"/>
                <w:b/>
                <w:bCs/>
                <w:color w:val="C00000"/>
                <w:sz w:val="20"/>
                <w:szCs w:val="20"/>
                <w:lang w:eastAsia="lv-LV"/>
              </w:rPr>
            </w:pPr>
          </w:p>
        </w:tc>
        <w:tc>
          <w:tcPr>
            <w:tcW w:w="850" w:type="dxa"/>
            <w:vMerge/>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A505BE2" w14:textId="77777777" w:rsidR="00C0184A" w:rsidRPr="001D3FA0" w:rsidRDefault="00C0184A" w:rsidP="00420AD2">
            <w:pPr>
              <w:spacing w:after="0" w:line="240" w:lineRule="auto"/>
              <w:contextualSpacing/>
              <w:jc w:val="center"/>
              <w:rPr>
                <w:rFonts w:ascii="Times New Roman" w:eastAsia="Times New Roman" w:hAnsi="Times New Roman" w:cs="Times New Roman"/>
                <w:b/>
                <w:bCs/>
                <w:color w:val="C00000"/>
                <w:sz w:val="20"/>
                <w:szCs w:val="20"/>
                <w:lang w:eastAsia="lv-LV"/>
              </w:rPr>
            </w:pPr>
          </w:p>
        </w:tc>
        <w:tc>
          <w:tcPr>
            <w:tcW w:w="851" w:type="dxa"/>
            <w:vMerge/>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7E1B363" w14:textId="77777777" w:rsidR="00C0184A" w:rsidRPr="001D3FA0" w:rsidRDefault="00C0184A" w:rsidP="00420AD2">
            <w:pPr>
              <w:spacing w:after="0" w:line="240" w:lineRule="auto"/>
              <w:contextualSpacing/>
              <w:jc w:val="center"/>
              <w:rPr>
                <w:rFonts w:ascii="Times New Roman" w:eastAsia="Times New Roman" w:hAnsi="Times New Roman" w:cs="Times New Roman"/>
                <w:b/>
                <w:bCs/>
                <w:color w:val="C00000"/>
                <w:sz w:val="20"/>
                <w:szCs w:val="20"/>
                <w:lang w:eastAsia="lv-LV"/>
              </w:rPr>
            </w:pPr>
          </w:p>
        </w:tc>
      </w:tr>
      <w:tr w:rsidR="00C0184A" w:rsidRPr="007662C6" w14:paraId="08E55B2E" w14:textId="77777777" w:rsidTr="00420AD2">
        <w:trPr>
          <w:trHeight w:val="174"/>
          <w:jc w:val="center"/>
        </w:trPr>
        <w:tc>
          <w:tcPr>
            <w:tcW w:w="369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AFEB7A1" w14:textId="77777777" w:rsidR="00C0184A" w:rsidRPr="00294825" w:rsidRDefault="00C0184A" w:rsidP="00420AD2">
            <w:pPr>
              <w:spacing w:after="0" w:line="240" w:lineRule="auto"/>
              <w:contextualSpacing/>
              <w:rPr>
                <w:rFonts w:ascii="Times New Roman" w:hAnsi="Times New Roman" w:cs="Times New Roman"/>
                <w:b/>
                <w:bCs/>
                <w:color w:val="000000"/>
                <w:sz w:val="20"/>
                <w:szCs w:val="20"/>
              </w:rPr>
            </w:pPr>
            <w:r w:rsidRPr="00294825">
              <w:rPr>
                <w:rFonts w:ascii="Times New Roman" w:hAnsi="Times New Roman" w:cs="Times New Roman"/>
                <w:b/>
                <w:sz w:val="20"/>
                <w:szCs w:val="20"/>
              </w:rPr>
              <w:t>Pensionāra neapliekamais minimums (NM)</w:t>
            </w:r>
            <w:r w:rsidRPr="00294825">
              <w:rPr>
                <w:rFonts w:ascii="Times New Roman" w:eastAsia="Times New Roman" w:hAnsi="Times New Roman" w:cs="Times New Roman"/>
                <w:b/>
                <w:bCs/>
                <w:sz w:val="20"/>
                <w:szCs w:val="20"/>
                <w:lang w:eastAsia="lv-LV"/>
              </w:rPr>
              <w:t xml:space="preserve">, </w:t>
            </w:r>
            <w:r w:rsidRPr="00294825">
              <w:rPr>
                <w:rFonts w:ascii="Times New Roman" w:eastAsia="Times New Roman" w:hAnsi="Times New Roman" w:cs="Times New Roman"/>
                <w:i/>
                <w:iCs/>
                <w:sz w:val="20"/>
                <w:szCs w:val="20"/>
                <w:lang w:eastAsia="lv-LV"/>
              </w:rPr>
              <w:t xml:space="preserve">EUR </w:t>
            </w:r>
            <w:r w:rsidRPr="00294825">
              <w:rPr>
                <w:rFonts w:ascii="Times New Roman" w:eastAsia="Times New Roman" w:hAnsi="Times New Roman" w:cs="Times New Roman"/>
                <w:i/>
                <w:sz w:val="20"/>
                <w:szCs w:val="20"/>
                <w:lang w:eastAsia="lv-LV"/>
              </w:rPr>
              <w:t>mēnesī</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D7A163" w14:textId="77777777" w:rsidR="00C0184A" w:rsidRPr="00294825" w:rsidRDefault="00C0184A" w:rsidP="00420AD2">
            <w:pPr>
              <w:spacing w:after="0" w:line="240" w:lineRule="auto"/>
              <w:contextualSpacing/>
              <w:jc w:val="center"/>
              <w:rPr>
                <w:rFonts w:ascii="Times New Roman" w:eastAsia="Times New Roman" w:hAnsi="Times New Roman" w:cs="Times New Roman"/>
                <w:b/>
                <w:bCs/>
                <w:sz w:val="20"/>
                <w:szCs w:val="20"/>
                <w:lang w:eastAsia="lv-LV"/>
              </w:rPr>
            </w:pPr>
            <w:r w:rsidRPr="00294825">
              <w:rPr>
                <w:rFonts w:ascii="Times New Roman" w:hAnsi="Times New Roman" w:cs="Times New Roman"/>
                <w:b/>
                <w:sz w:val="20"/>
                <w:szCs w:val="20"/>
              </w:rPr>
              <w:t>330</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23571D39" w14:textId="77777777" w:rsidR="00C0184A" w:rsidRPr="00294825" w:rsidRDefault="00C0184A" w:rsidP="00420AD2">
            <w:pPr>
              <w:spacing w:after="0" w:line="240" w:lineRule="auto"/>
              <w:contextualSpacing/>
              <w:jc w:val="center"/>
              <w:rPr>
                <w:rFonts w:ascii="Times New Roman" w:eastAsia="Times New Roman" w:hAnsi="Times New Roman" w:cs="Times New Roman"/>
                <w:b/>
                <w:bCs/>
                <w:color w:val="0070C0"/>
                <w:sz w:val="20"/>
                <w:szCs w:val="20"/>
                <w:lang w:eastAsia="lv-LV"/>
              </w:rPr>
            </w:pPr>
            <w:r>
              <w:rPr>
                <w:rFonts w:ascii="Times New Roman" w:eastAsia="Times New Roman" w:hAnsi="Times New Roman" w:cs="Times New Roman"/>
                <w:b/>
                <w:bCs/>
                <w:color w:val="FF0000"/>
                <w:sz w:val="20"/>
                <w:szCs w:val="20"/>
                <w:lang w:eastAsia="lv-LV"/>
              </w:rPr>
              <w:t>35</w:t>
            </w:r>
            <w:r w:rsidRPr="00294825">
              <w:rPr>
                <w:rFonts w:ascii="Times New Roman" w:eastAsia="Times New Roman" w:hAnsi="Times New Roman" w:cs="Times New Roman"/>
                <w:b/>
                <w:bCs/>
                <w:color w:val="FF0000"/>
                <w:sz w:val="20"/>
                <w:szCs w:val="20"/>
                <w:lang w:eastAsia="lv-LV"/>
              </w:rPr>
              <w:t>0</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008C768" w14:textId="77777777" w:rsidR="00C0184A" w:rsidRPr="00AB62AA" w:rsidRDefault="00C0184A" w:rsidP="00420AD2">
            <w:pPr>
              <w:spacing w:after="0" w:line="240" w:lineRule="auto"/>
              <w:jc w:val="center"/>
              <w:rPr>
                <w:rFonts w:ascii="Times New Roman" w:hAnsi="Times New Roman" w:cs="Times New Roman"/>
                <w:b/>
                <w:bCs/>
                <w:sz w:val="20"/>
                <w:szCs w:val="20"/>
              </w:rPr>
            </w:pPr>
            <w:r w:rsidRPr="00E01E79">
              <w:rPr>
                <w:rFonts w:ascii="Times New Roman" w:hAnsi="Times New Roman" w:cs="Times New Roman"/>
                <w:b/>
                <w:bCs/>
                <w:color w:val="FF0000"/>
                <w:sz w:val="20"/>
                <w:szCs w:val="20"/>
              </w:rPr>
              <w:t>500</w:t>
            </w:r>
          </w:p>
        </w:tc>
        <w:tc>
          <w:tcPr>
            <w:tcW w:w="85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BD6C75C" w14:textId="77777777" w:rsidR="00C0184A" w:rsidRPr="00E01E79" w:rsidRDefault="00C0184A" w:rsidP="00420AD2">
            <w:pPr>
              <w:spacing w:after="0" w:line="240" w:lineRule="auto"/>
              <w:jc w:val="center"/>
              <w:rPr>
                <w:rFonts w:ascii="Times New Roman" w:hAnsi="Times New Roman" w:cs="Times New Roman"/>
                <w:b/>
                <w:bCs/>
                <w:color w:val="C00000"/>
                <w:sz w:val="20"/>
                <w:szCs w:val="20"/>
              </w:rPr>
            </w:pPr>
            <w:r w:rsidRPr="00E01E79">
              <w:rPr>
                <w:rFonts w:ascii="Times New Roman" w:hAnsi="Times New Roman" w:cs="Times New Roman"/>
                <w:b/>
                <w:bCs/>
                <w:color w:val="C00000"/>
                <w:sz w:val="20"/>
                <w:szCs w:val="20"/>
              </w:rPr>
              <w:t>-36,1</w:t>
            </w:r>
          </w:p>
        </w:tc>
        <w:tc>
          <w:tcPr>
            <w:tcW w:w="85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9AAE174" w14:textId="77777777" w:rsidR="00C0184A" w:rsidRPr="00E01E79" w:rsidRDefault="00C0184A" w:rsidP="00420AD2">
            <w:pPr>
              <w:spacing w:after="0" w:line="240" w:lineRule="auto"/>
              <w:jc w:val="center"/>
              <w:rPr>
                <w:rFonts w:ascii="Times New Roman" w:hAnsi="Times New Roman" w:cs="Times New Roman"/>
                <w:b/>
                <w:bCs/>
                <w:color w:val="C00000"/>
                <w:sz w:val="20"/>
                <w:szCs w:val="20"/>
              </w:rPr>
            </w:pPr>
            <w:r w:rsidRPr="00E01E79">
              <w:rPr>
                <w:rFonts w:ascii="Times New Roman" w:hAnsi="Times New Roman" w:cs="Times New Roman"/>
                <w:b/>
                <w:bCs/>
                <w:color w:val="C00000"/>
                <w:sz w:val="20"/>
                <w:szCs w:val="20"/>
              </w:rPr>
              <w:t>-63,7</w:t>
            </w:r>
          </w:p>
        </w:tc>
        <w:tc>
          <w:tcPr>
            <w:tcW w:w="85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B97C820" w14:textId="77777777" w:rsidR="00C0184A" w:rsidRPr="00E01E79" w:rsidRDefault="00C0184A" w:rsidP="00420AD2">
            <w:pPr>
              <w:spacing w:after="0" w:line="240" w:lineRule="auto"/>
              <w:jc w:val="center"/>
              <w:rPr>
                <w:rFonts w:ascii="Times New Roman" w:hAnsi="Times New Roman" w:cs="Times New Roman"/>
                <w:b/>
                <w:bCs/>
                <w:color w:val="C00000"/>
                <w:sz w:val="20"/>
                <w:szCs w:val="20"/>
              </w:rPr>
            </w:pPr>
            <w:r w:rsidRPr="00E01E79">
              <w:rPr>
                <w:rFonts w:ascii="Times New Roman" w:hAnsi="Times New Roman" w:cs="Times New Roman"/>
                <w:b/>
                <w:bCs/>
                <w:color w:val="C00000"/>
                <w:sz w:val="20"/>
                <w:szCs w:val="20"/>
              </w:rPr>
              <w:t>-65,9</w:t>
            </w:r>
          </w:p>
        </w:tc>
      </w:tr>
      <w:tr w:rsidR="00C0184A" w:rsidRPr="007662C6" w14:paraId="45C9ED27" w14:textId="77777777" w:rsidTr="00420AD2">
        <w:trPr>
          <w:trHeight w:val="149"/>
          <w:jc w:val="center"/>
        </w:trPr>
        <w:tc>
          <w:tcPr>
            <w:tcW w:w="3690" w:type="dxa"/>
            <w:tcBorders>
              <w:top w:val="single" w:sz="4" w:space="0" w:color="auto"/>
              <w:left w:val="single" w:sz="4" w:space="0" w:color="auto"/>
              <w:bottom w:val="single" w:sz="4" w:space="0" w:color="808080" w:themeColor="background1" w:themeShade="80"/>
              <w:right w:val="single" w:sz="4" w:space="0" w:color="auto"/>
            </w:tcBorders>
            <w:shd w:val="clear" w:color="auto" w:fill="FFE599" w:themeFill="accent4" w:themeFillTint="66"/>
          </w:tcPr>
          <w:p w14:paraId="61E7A862" w14:textId="77777777" w:rsidR="00C0184A" w:rsidRPr="00294825" w:rsidRDefault="00C0184A" w:rsidP="00420AD2">
            <w:pPr>
              <w:spacing w:after="0" w:line="240" w:lineRule="auto"/>
              <w:contextualSpacing/>
              <w:rPr>
                <w:rFonts w:ascii="Times New Roman" w:hAnsi="Times New Roman" w:cs="Times New Roman"/>
                <w:b/>
                <w:bCs/>
                <w:color w:val="000000"/>
                <w:sz w:val="20"/>
                <w:szCs w:val="20"/>
              </w:rPr>
            </w:pPr>
            <w:r w:rsidRPr="00294825">
              <w:rPr>
                <w:rFonts w:ascii="Times New Roman" w:hAnsi="Times New Roman" w:cs="Times New Roman"/>
                <w:b/>
                <w:bCs/>
                <w:sz w:val="20"/>
                <w:szCs w:val="20"/>
              </w:rPr>
              <w:t>KOPĀ kopbudžetā</w:t>
            </w:r>
            <w:r w:rsidRPr="00294825">
              <w:rPr>
                <w:rFonts w:ascii="Times New Roman" w:hAnsi="Times New Roman" w:cs="Times New Roman"/>
                <w:b/>
                <w:bCs/>
                <w:sz w:val="20"/>
                <w:szCs w:val="20"/>
                <w:vertAlign w:val="superscript"/>
              </w:rPr>
              <w:t>*</w:t>
            </w:r>
            <w:r w:rsidRPr="00294825">
              <w:rPr>
                <w:rFonts w:ascii="Times New Roman" w:hAnsi="Times New Roman" w:cs="Times New Roman"/>
                <w:bCs/>
                <w:sz w:val="20"/>
                <w:szCs w:val="20"/>
              </w:rPr>
              <w:t xml:space="preserve">, </w:t>
            </w:r>
            <w:r w:rsidRPr="00294825">
              <w:rPr>
                <w:rFonts w:ascii="Times New Roman" w:hAnsi="Times New Roman" w:cs="Times New Roman"/>
                <w:bCs/>
                <w:i/>
                <w:sz w:val="20"/>
                <w:szCs w:val="20"/>
              </w:rPr>
              <w:t>milj. euro</w:t>
            </w:r>
          </w:p>
        </w:tc>
        <w:tc>
          <w:tcPr>
            <w:tcW w:w="851" w:type="dxa"/>
            <w:tcBorders>
              <w:top w:val="single" w:sz="4" w:space="0" w:color="auto"/>
              <w:left w:val="single" w:sz="4" w:space="0" w:color="auto"/>
              <w:bottom w:val="single" w:sz="4" w:space="0" w:color="808080" w:themeColor="background1" w:themeShade="80"/>
              <w:right w:val="single" w:sz="4" w:space="0" w:color="auto"/>
            </w:tcBorders>
            <w:shd w:val="clear" w:color="auto" w:fill="FFE599" w:themeFill="accent4" w:themeFillTint="66"/>
          </w:tcPr>
          <w:p w14:paraId="0F33AC0B" w14:textId="77777777" w:rsidR="00C0184A" w:rsidRPr="00294825" w:rsidRDefault="00C0184A" w:rsidP="00420AD2">
            <w:pPr>
              <w:spacing w:after="0" w:line="240" w:lineRule="auto"/>
              <w:contextualSpacing/>
              <w:jc w:val="center"/>
              <w:rPr>
                <w:rFonts w:ascii="Times New Roman" w:eastAsia="Times New Roman" w:hAnsi="Times New Roman" w:cs="Times New Roman"/>
                <w:b/>
                <w:bCs/>
                <w:color w:val="0070C0"/>
                <w:sz w:val="20"/>
                <w:szCs w:val="20"/>
                <w:lang w:eastAsia="lv-LV"/>
              </w:rPr>
            </w:pPr>
          </w:p>
        </w:tc>
        <w:tc>
          <w:tcPr>
            <w:tcW w:w="850" w:type="dxa"/>
            <w:tcBorders>
              <w:top w:val="single" w:sz="4" w:space="0" w:color="auto"/>
              <w:left w:val="single" w:sz="4" w:space="0" w:color="auto"/>
              <w:bottom w:val="single" w:sz="4" w:space="0" w:color="808080" w:themeColor="background1" w:themeShade="80"/>
              <w:right w:val="single" w:sz="4" w:space="0" w:color="auto"/>
            </w:tcBorders>
            <w:shd w:val="clear" w:color="auto" w:fill="FFE599" w:themeFill="accent4" w:themeFillTint="66"/>
            <w:noWrap/>
            <w:vAlign w:val="bottom"/>
          </w:tcPr>
          <w:p w14:paraId="4C5BDFD0" w14:textId="77777777" w:rsidR="00C0184A" w:rsidRPr="00294825" w:rsidRDefault="00C0184A" w:rsidP="00420AD2">
            <w:pPr>
              <w:spacing w:after="0" w:line="240" w:lineRule="auto"/>
              <w:contextualSpacing/>
              <w:jc w:val="center"/>
              <w:rPr>
                <w:rFonts w:ascii="Times New Roman" w:eastAsia="Times New Roman" w:hAnsi="Times New Roman" w:cs="Times New Roman"/>
                <w:b/>
                <w:bCs/>
                <w:color w:val="C00000"/>
                <w:sz w:val="20"/>
                <w:szCs w:val="20"/>
                <w:lang w:eastAsia="lv-LV"/>
              </w:rPr>
            </w:pPr>
          </w:p>
        </w:tc>
        <w:tc>
          <w:tcPr>
            <w:tcW w:w="851" w:type="dxa"/>
            <w:tcBorders>
              <w:top w:val="single" w:sz="4" w:space="0" w:color="auto"/>
              <w:left w:val="single" w:sz="4" w:space="0" w:color="auto"/>
              <w:bottom w:val="single" w:sz="4" w:space="0" w:color="808080" w:themeColor="background1" w:themeShade="80"/>
              <w:right w:val="single" w:sz="4" w:space="0" w:color="auto"/>
            </w:tcBorders>
            <w:shd w:val="clear" w:color="auto" w:fill="FFE599" w:themeFill="accent4" w:themeFillTint="66"/>
          </w:tcPr>
          <w:p w14:paraId="7BA602C7" w14:textId="77777777" w:rsidR="00C0184A" w:rsidRPr="00AB62AA" w:rsidRDefault="00C0184A" w:rsidP="00420AD2">
            <w:pPr>
              <w:spacing w:after="0" w:line="240" w:lineRule="auto"/>
              <w:jc w:val="center"/>
              <w:rPr>
                <w:rFonts w:ascii="Times New Roman" w:hAnsi="Times New Roman" w:cs="Times New Roman"/>
                <w:b/>
                <w:bCs/>
                <w:sz w:val="20"/>
                <w:szCs w:val="20"/>
              </w:rPr>
            </w:pPr>
          </w:p>
        </w:tc>
        <w:tc>
          <w:tcPr>
            <w:tcW w:w="856" w:type="dxa"/>
            <w:tcBorders>
              <w:top w:val="single" w:sz="4" w:space="0" w:color="auto"/>
              <w:left w:val="single" w:sz="4" w:space="0" w:color="auto"/>
              <w:bottom w:val="single" w:sz="4" w:space="0" w:color="808080" w:themeColor="background1" w:themeShade="80"/>
              <w:right w:val="single" w:sz="4" w:space="0" w:color="auto"/>
            </w:tcBorders>
            <w:shd w:val="clear" w:color="auto" w:fill="FFE599" w:themeFill="accent4" w:themeFillTint="66"/>
            <w:vAlign w:val="center"/>
          </w:tcPr>
          <w:p w14:paraId="2AC592CA" w14:textId="77777777" w:rsidR="00C0184A" w:rsidRPr="00E01E79" w:rsidRDefault="00C0184A" w:rsidP="00420AD2">
            <w:pPr>
              <w:spacing w:after="0" w:line="240" w:lineRule="auto"/>
              <w:jc w:val="center"/>
              <w:rPr>
                <w:rFonts w:ascii="Times New Roman" w:hAnsi="Times New Roman" w:cs="Times New Roman"/>
                <w:b/>
                <w:bCs/>
                <w:color w:val="C00000"/>
                <w:sz w:val="20"/>
                <w:szCs w:val="20"/>
              </w:rPr>
            </w:pPr>
            <w:r w:rsidRPr="00E01E79">
              <w:rPr>
                <w:rFonts w:ascii="Times New Roman" w:hAnsi="Times New Roman" w:cs="Times New Roman"/>
                <w:b/>
                <w:bCs/>
                <w:color w:val="C00000"/>
                <w:sz w:val="20"/>
                <w:szCs w:val="20"/>
              </w:rPr>
              <w:t>-93,8</w:t>
            </w:r>
          </w:p>
        </w:tc>
        <w:tc>
          <w:tcPr>
            <w:tcW w:w="850" w:type="dxa"/>
            <w:tcBorders>
              <w:top w:val="single" w:sz="4" w:space="0" w:color="auto"/>
              <w:left w:val="single" w:sz="4" w:space="0" w:color="auto"/>
              <w:bottom w:val="single" w:sz="4" w:space="0" w:color="808080" w:themeColor="background1" w:themeShade="80"/>
              <w:right w:val="single" w:sz="4" w:space="0" w:color="auto"/>
            </w:tcBorders>
            <w:shd w:val="clear" w:color="auto" w:fill="FFE599" w:themeFill="accent4" w:themeFillTint="66"/>
            <w:vAlign w:val="center"/>
          </w:tcPr>
          <w:p w14:paraId="789D2B04" w14:textId="77777777" w:rsidR="00C0184A" w:rsidRPr="00E01E79" w:rsidRDefault="00C0184A" w:rsidP="00420AD2">
            <w:pPr>
              <w:spacing w:after="0" w:line="240" w:lineRule="auto"/>
              <w:jc w:val="center"/>
              <w:rPr>
                <w:rFonts w:ascii="Times New Roman" w:hAnsi="Times New Roman" w:cs="Times New Roman"/>
                <w:b/>
                <w:bCs/>
                <w:color w:val="C00000"/>
                <w:sz w:val="20"/>
                <w:szCs w:val="20"/>
              </w:rPr>
            </w:pPr>
            <w:r>
              <w:rPr>
                <w:rFonts w:ascii="Times New Roman" w:hAnsi="Times New Roman" w:cs="Times New Roman"/>
                <w:b/>
                <w:bCs/>
                <w:color w:val="C00000"/>
                <w:sz w:val="20"/>
                <w:szCs w:val="20"/>
              </w:rPr>
              <w:t>-152,9</w:t>
            </w:r>
          </w:p>
        </w:tc>
        <w:tc>
          <w:tcPr>
            <w:tcW w:w="851" w:type="dxa"/>
            <w:tcBorders>
              <w:top w:val="single" w:sz="4" w:space="0" w:color="auto"/>
              <w:left w:val="single" w:sz="4" w:space="0" w:color="auto"/>
              <w:bottom w:val="single" w:sz="4" w:space="0" w:color="808080" w:themeColor="background1" w:themeShade="80"/>
              <w:right w:val="single" w:sz="4" w:space="0" w:color="auto"/>
            </w:tcBorders>
            <w:shd w:val="clear" w:color="auto" w:fill="FFE599" w:themeFill="accent4" w:themeFillTint="66"/>
            <w:vAlign w:val="center"/>
          </w:tcPr>
          <w:p w14:paraId="40883E46" w14:textId="77777777" w:rsidR="00C0184A" w:rsidRPr="00E01E79" w:rsidRDefault="00C0184A" w:rsidP="00420AD2">
            <w:pPr>
              <w:spacing w:after="0" w:line="240" w:lineRule="auto"/>
              <w:jc w:val="center"/>
              <w:rPr>
                <w:rFonts w:ascii="Times New Roman" w:hAnsi="Times New Roman" w:cs="Times New Roman"/>
                <w:b/>
                <w:bCs/>
                <w:color w:val="C00000"/>
                <w:sz w:val="20"/>
                <w:szCs w:val="20"/>
              </w:rPr>
            </w:pPr>
            <w:r w:rsidRPr="00E01E79">
              <w:rPr>
                <w:rFonts w:ascii="Times New Roman" w:hAnsi="Times New Roman" w:cs="Times New Roman"/>
                <w:b/>
                <w:bCs/>
                <w:color w:val="C00000"/>
                <w:sz w:val="20"/>
                <w:szCs w:val="20"/>
              </w:rPr>
              <w:t>-152,</w:t>
            </w:r>
            <w:r>
              <w:rPr>
                <w:rFonts w:ascii="Times New Roman" w:hAnsi="Times New Roman" w:cs="Times New Roman"/>
                <w:b/>
                <w:bCs/>
                <w:color w:val="C00000"/>
                <w:sz w:val="20"/>
                <w:szCs w:val="20"/>
              </w:rPr>
              <w:t>8</w:t>
            </w:r>
          </w:p>
        </w:tc>
      </w:tr>
      <w:tr w:rsidR="00C0184A" w:rsidRPr="007662C6" w14:paraId="68A38C3B" w14:textId="77777777" w:rsidTr="00420AD2">
        <w:trPr>
          <w:trHeight w:val="53"/>
          <w:jc w:val="center"/>
        </w:trPr>
        <w:tc>
          <w:tcPr>
            <w:tcW w:w="3690" w:type="dxa"/>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FFF2CC" w:themeFill="accent4" w:themeFillTint="33"/>
          </w:tcPr>
          <w:p w14:paraId="6E9BD652" w14:textId="77777777" w:rsidR="00C0184A" w:rsidRPr="00294825" w:rsidRDefault="00C0184A" w:rsidP="00420AD2">
            <w:pPr>
              <w:spacing w:after="0" w:line="240" w:lineRule="auto"/>
              <w:ind w:left="311"/>
              <w:contextualSpacing/>
              <w:rPr>
                <w:rFonts w:ascii="Times New Roman" w:eastAsia="Times New Roman" w:hAnsi="Times New Roman" w:cs="Times New Roman"/>
                <w:b/>
                <w:bCs/>
                <w:color w:val="000000"/>
                <w:sz w:val="20"/>
                <w:szCs w:val="20"/>
                <w:lang w:eastAsia="lv-LV"/>
              </w:rPr>
            </w:pPr>
            <w:r w:rsidRPr="00294825">
              <w:rPr>
                <w:rFonts w:ascii="Times New Roman" w:hAnsi="Times New Roman" w:cs="Times New Roman"/>
                <w:b/>
                <w:bCs/>
                <w:sz w:val="20"/>
                <w:szCs w:val="20"/>
              </w:rPr>
              <w:t>no tās</w:t>
            </w:r>
            <w:r w:rsidRPr="00294825">
              <w:rPr>
                <w:rFonts w:ascii="Times New Roman" w:hAnsi="Times New Roman" w:cs="Times New Roman"/>
                <w:bCs/>
                <w:sz w:val="20"/>
                <w:szCs w:val="20"/>
              </w:rPr>
              <w:t xml:space="preserve">: </w:t>
            </w:r>
            <w:r w:rsidRPr="00294825">
              <w:rPr>
                <w:rFonts w:ascii="Times New Roman" w:hAnsi="Times New Roman" w:cs="Times New Roman"/>
                <w:bCs/>
                <w:i/>
                <w:sz w:val="20"/>
                <w:szCs w:val="20"/>
              </w:rPr>
              <w:t>valsts pamatbudžetā</w:t>
            </w:r>
          </w:p>
        </w:tc>
        <w:tc>
          <w:tcPr>
            <w:tcW w:w="851" w:type="dxa"/>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FBE4D5" w:themeFill="accent2" w:themeFillTint="33"/>
          </w:tcPr>
          <w:p w14:paraId="6B79E9DE" w14:textId="77777777" w:rsidR="00C0184A" w:rsidRPr="00294825" w:rsidRDefault="00C0184A" w:rsidP="00420AD2">
            <w:pPr>
              <w:spacing w:after="0" w:line="240" w:lineRule="auto"/>
              <w:contextualSpacing/>
              <w:jc w:val="center"/>
              <w:rPr>
                <w:rFonts w:ascii="Times New Roman" w:eastAsia="Times New Roman" w:hAnsi="Times New Roman" w:cs="Times New Roman"/>
                <w:b/>
                <w:bCs/>
                <w:sz w:val="20"/>
                <w:szCs w:val="20"/>
                <w:lang w:eastAsia="lv-LV"/>
              </w:rPr>
            </w:pPr>
          </w:p>
        </w:tc>
        <w:tc>
          <w:tcPr>
            <w:tcW w:w="850" w:type="dxa"/>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FBE4D5" w:themeFill="accent2" w:themeFillTint="33"/>
            <w:noWrap/>
            <w:vAlign w:val="center"/>
          </w:tcPr>
          <w:p w14:paraId="3F0DE102" w14:textId="77777777" w:rsidR="00C0184A" w:rsidRPr="00294825" w:rsidRDefault="00C0184A" w:rsidP="00420AD2">
            <w:pPr>
              <w:spacing w:after="0" w:line="240" w:lineRule="auto"/>
              <w:contextualSpacing/>
              <w:jc w:val="center"/>
              <w:rPr>
                <w:rFonts w:ascii="Times New Roman" w:eastAsia="Times New Roman" w:hAnsi="Times New Roman" w:cs="Times New Roman"/>
                <w:b/>
                <w:bCs/>
                <w:color w:val="C00000"/>
                <w:sz w:val="20"/>
                <w:szCs w:val="20"/>
                <w:lang w:eastAsia="lv-LV"/>
              </w:rPr>
            </w:pPr>
          </w:p>
        </w:tc>
        <w:tc>
          <w:tcPr>
            <w:tcW w:w="851" w:type="dxa"/>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FFF2CC" w:themeFill="accent4" w:themeFillTint="33"/>
          </w:tcPr>
          <w:p w14:paraId="127DF135" w14:textId="77777777" w:rsidR="00C0184A" w:rsidRPr="00AB62AA" w:rsidRDefault="00C0184A" w:rsidP="00420AD2">
            <w:pPr>
              <w:spacing w:after="0" w:line="240" w:lineRule="auto"/>
              <w:jc w:val="center"/>
              <w:rPr>
                <w:rFonts w:ascii="Times New Roman" w:hAnsi="Times New Roman" w:cs="Times New Roman"/>
                <w:i/>
                <w:iCs/>
                <w:sz w:val="20"/>
                <w:szCs w:val="20"/>
              </w:rPr>
            </w:pPr>
          </w:p>
        </w:tc>
        <w:tc>
          <w:tcPr>
            <w:tcW w:w="856" w:type="dxa"/>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FFF2CC" w:themeFill="accent4" w:themeFillTint="33"/>
            <w:vAlign w:val="center"/>
          </w:tcPr>
          <w:p w14:paraId="049B2BD0" w14:textId="77777777" w:rsidR="00C0184A" w:rsidRPr="00E01E79" w:rsidRDefault="00C0184A" w:rsidP="00420AD2">
            <w:pPr>
              <w:spacing w:after="0" w:line="240" w:lineRule="auto"/>
              <w:jc w:val="center"/>
              <w:rPr>
                <w:rFonts w:ascii="Times New Roman" w:hAnsi="Times New Roman" w:cs="Times New Roman"/>
                <w:i/>
                <w:iCs/>
                <w:color w:val="C00000"/>
                <w:sz w:val="20"/>
                <w:szCs w:val="20"/>
              </w:rPr>
            </w:pPr>
            <w:r w:rsidRPr="00E01E79">
              <w:rPr>
                <w:rFonts w:ascii="Times New Roman" w:hAnsi="Times New Roman" w:cs="Times New Roman"/>
                <w:i/>
                <w:iCs/>
                <w:color w:val="C00000"/>
                <w:sz w:val="20"/>
                <w:szCs w:val="20"/>
              </w:rPr>
              <w:t>-14,2</w:t>
            </w:r>
          </w:p>
        </w:tc>
        <w:tc>
          <w:tcPr>
            <w:tcW w:w="850" w:type="dxa"/>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FFF2CC" w:themeFill="accent4" w:themeFillTint="33"/>
            <w:vAlign w:val="center"/>
          </w:tcPr>
          <w:p w14:paraId="4FEC8ED2" w14:textId="77777777" w:rsidR="00C0184A" w:rsidRPr="00E01E79" w:rsidRDefault="00C0184A" w:rsidP="00420AD2">
            <w:pPr>
              <w:spacing w:after="0" w:line="240" w:lineRule="auto"/>
              <w:jc w:val="center"/>
              <w:rPr>
                <w:rFonts w:ascii="Times New Roman" w:hAnsi="Times New Roman" w:cs="Times New Roman"/>
                <w:bCs/>
                <w:i/>
                <w:color w:val="C00000"/>
                <w:sz w:val="20"/>
                <w:szCs w:val="20"/>
              </w:rPr>
            </w:pPr>
            <w:r w:rsidRPr="00E01E79">
              <w:rPr>
                <w:rFonts w:ascii="Times New Roman" w:hAnsi="Times New Roman" w:cs="Times New Roman"/>
                <w:i/>
                <w:iCs/>
                <w:color w:val="C00000"/>
                <w:sz w:val="20"/>
                <w:szCs w:val="20"/>
              </w:rPr>
              <w:t>-23,1</w:t>
            </w:r>
          </w:p>
        </w:tc>
        <w:tc>
          <w:tcPr>
            <w:tcW w:w="851" w:type="dxa"/>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FFF2CC" w:themeFill="accent4" w:themeFillTint="33"/>
            <w:vAlign w:val="center"/>
          </w:tcPr>
          <w:p w14:paraId="412FFA56" w14:textId="77777777" w:rsidR="00C0184A" w:rsidRPr="00E01E79" w:rsidRDefault="00C0184A" w:rsidP="00420AD2">
            <w:pPr>
              <w:spacing w:after="0" w:line="240" w:lineRule="auto"/>
              <w:jc w:val="center"/>
              <w:rPr>
                <w:rFonts w:ascii="Times New Roman" w:hAnsi="Times New Roman" w:cs="Times New Roman"/>
                <w:bCs/>
                <w:i/>
                <w:color w:val="C00000"/>
                <w:sz w:val="20"/>
                <w:szCs w:val="20"/>
              </w:rPr>
            </w:pPr>
            <w:r w:rsidRPr="00E01E79">
              <w:rPr>
                <w:rFonts w:ascii="Times New Roman" w:hAnsi="Times New Roman" w:cs="Times New Roman"/>
                <w:i/>
                <w:iCs/>
                <w:color w:val="C00000"/>
                <w:sz w:val="20"/>
                <w:szCs w:val="20"/>
              </w:rPr>
              <w:t>-23,</w:t>
            </w:r>
            <w:r>
              <w:rPr>
                <w:rFonts w:ascii="Times New Roman" w:hAnsi="Times New Roman" w:cs="Times New Roman"/>
                <w:i/>
                <w:iCs/>
                <w:color w:val="C00000"/>
                <w:sz w:val="20"/>
                <w:szCs w:val="20"/>
              </w:rPr>
              <w:t>0</w:t>
            </w:r>
          </w:p>
        </w:tc>
      </w:tr>
      <w:tr w:rsidR="00C0184A" w:rsidRPr="007662C6" w14:paraId="69245C50" w14:textId="77777777" w:rsidTr="00420AD2">
        <w:trPr>
          <w:trHeight w:val="71"/>
          <w:jc w:val="center"/>
        </w:trPr>
        <w:tc>
          <w:tcPr>
            <w:tcW w:w="3690" w:type="dxa"/>
            <w:tcBorders>
              <w:top w:val="single" w:sz="4" w:space="0" w:color="808080" w:themeColor="background1" w:themeShade="80"/>
              <w:left w:val="single" w:sz="4" w:space="0" w:color="auto"/>
              <w:bottom w:val="single" w:sz="4" w:space="0" w:color="auto"/>
              <w:right w:val="single" w:sz="4" w:space="0" w:color="auto"/>
            </w:tcBorders>
            <w:shd w:val="clear" w:color="auto" w:fill="FFF2CC" w:themeFill="accent4" w:themeFillTint="33"/>
          </w:tcPr>
          <w:p w14:paraId="6547AF37" w14:textId="77777777" w:rsidR="00C0184A" w:rsidRPr="00294825" w:rsidRDefault="00C0184A" w:rsidP="00420AD2">
            <w:pPr>
              <w:spacing w:after="0" w:line="240" w:lineRule="auto"/>
              <w:ind w:left="878"/>
              <w:contextualSpacing/>
              <w:rPr>
                <w:rFonts w:ascii="Times New Roman" w:eastAsia="Times New Roman" w:hAnsi="Times New Roman" w:cs="Times New Roman"/>
                <w:b/>
                <w:bCs/>
                <w:color w:val="000000"/>
                <w:sz w:val="20"/>
                <w:szCs w:val="20"/>
                <w:lang w:eastAsia="lv-LV"/>
              </w:rPr>
            </w:pPr>
            <w:r w:rsidRPr="00294825">
              <w:rPr>
                <w:rFonts w:ascii="Times New Roman" w:hAnsi="Times New Roman" w:cs="Times New Roman"/>
                <w:bCs/>
                <w:i/>
                <w:sz w:val="20"/>
                <w:szCs w:val="20"/>
              </w:rPr>
              <w:t>pašvaldību budžetos</w:t>
            </w:r>
          </w:p>
        </w:tc>
        <w:tc>
          <w:tcPr>
            <w:tcW w:w="851" w:type="dxa"/>
            <w:tcBorders>
              <w:top w:val="single" w:sz="4" w:space="0" w:color="808080" w:themeColor="background1" w:themeShade="80"/>
              <w:left w:val="single" w:sz="4" w:space="0" w:color="auto"/>
              <w:bottom w:val="single" w:sz="4" w:space="0" w:color="auto"/>
              <w:right w:val="single" w:sz="4" w:space="0" w:color="auto"/>
            </w:tcBorders>
            <w:shd w:val="clear" w:color="auto" w:fill="FBE4D5" w:themeFill="accent2" w:themeFillTint="33"/>
          </w:tcPr>
          <w:p w14:paraId="0A19AD85" w14:textId="77777777" w:rsidR="00C0184A" w:rsidRPr="00294825" w:rsidRDefault="00C0184A" w:rsidP="00420AD2">
            <w:pPr>
              <w:spacing w:after="0" w:line="240" w:lineRule="auto"/>
              <w:contextualSpacing/>
              <w:jc w:val="center"/>
              <w:rPr>
                <w:rFonts w:ascii="Times New Roman" w:eastAsia="Times New Roman" w:hAnsi="Times New Roman" w:cs="Times New Roman"/>
                <w:b/>
                <w:bCs/>
                <w:sz w:val="20"/>
                <w:szCs w:val="20"/>
                <w:lang w:eastAsia="lv-LV"/>
              </w:rPr>
            </w:pPr>
          </w:p>
        </w:tc>
        <w:tc>
          <w:tcPr>
            <w:tcW w:w="850" w:type="dxa"/>
            <w:tcBorders>
              <w:top w:val="single" w:sz="4" w:space="0" w:color="808080" w:themeColor="background1" w:themeShade="80"/>
              <w:left w:val="single" w:sz="4" w:space="0" w:color="auto"/>
              <w:bottom w:val="single" w:sz="4" w:space="0" w:color="auto"/>
              <w:right w:val="single" w:sz="4" w:space="0" w:color="auto"/>
            </w:tcBorders>
            <w:shd w:val="clear" w:color="auto" w:fill="FBE4D5" w:themeFill="accent2" w:themeFillTint="33"/>
            <w:noWrap/>
            <w:vAlign w:val="center"/>
          </w:tcPr>
          <w:p w14:paraId="1622874F" w14:textId="77777777" w:rsidR="00C0184A" w:rsidRPr="00294825" w:rsidRDefault="00C0184A" w:rsidP="00420AD2">
            <w:pPr>
              <w:spacing w:after="0" w:line="240" w:lineRule="auto"/>
              <w:contextualSpacing/>
              <w:jc w:val="center"/>
              <w:rPr>
                <w:rFonts w:ascii="Times New Roman" w:eastAsia="Times New Roman" w:hAnsi="Times New Roman" w:cs="Times New Roman"/>
                <w:b/>
                <w:bCs/>
                <w:color w:val="C00000"/>
                <w:sz w:val="20"/>
                <w:szCs w:val="20"/>
                <w:lang w:eastAsia="lv-LV"/>
              </w:rPr>
            </w:pPr>
          </w:p>
        </w:tc>
        <w:tc>
          <w:tcPr>
            <w:tcW w:w="851" w:type="dxa"/>
            <w:tcBorders>
              <w:top w:val="single" w:sz="4" w:space="0" w:color="808080" w:themeColor="background1" w:themeShade="80"/>
              <w:left w:val="single" w:sz="4" w:space="0" w:color="auto"/>
              <w:bottom w:val="single" w:sz="4" w:space="0" w:color="auto"/>
              <w:right w:val="single" w:sz="4" w:space="0" w:color="auto"/>
            </w:tcBorders>
            <w:shd w:val="clear" w:color="auto" w:fill="FFF2CC" w:themeFill="accent4" w:themeFillTint="33"/>
          </w:tcPr>
          <w:p w14:paraId="45AD99D2" w14:textId="77777777" w:rsidR="00C0184A" w:rsidRPr="00AB62AA" w:rsidRDefault="00C0184A" w:rsidP="00420AD2">
            <w:pPr>
              <w:spacing w:after="0" w:line="240" w:lineRule="auto"/>
              <w:jc w:val="center"/>
              <w:rPr>
                <w:rFonts w:ascii="Times New Roman" w:hAnsi="Times New Roman" w:cs="Times New Roman"/>
                <w:i/>
                <w:iCs/>
                <w:sz w:val="20"/>
                <w:szCs w:val="20"/>
              </w:rPr>
            </w:pPr>
          </w:p>
        </w:tc>
        <w:tc>
          <w:tcPr>
            <w:tcW w:w="856" w:type="dxa"/>
            <w:tcBorders>
              <w:top w:val="single" w:sz="4" w:space="0" w:color="808080" w:themeColor="background1" w:themeShade="80"/>
              <w:left w:val="single" w:sz="4" w:space="0" w:color="auto"/>
              <w:bottom w:val="single" w:sz="4" w:space="0" w:color="auto"/>
              <w:right w:val="single" w:sz="4" w:space="0" w:color="auto"/>
            </w:tcBorders>
            <w:shd w:val="clear" w:color="auto" w:fill="FFF2CC" w:themeFill="accent4" w:themeFillTint="33"/>
            <w:vAlign w:val="center"/>
          </w:tcPr>
          <w:p w14:paraId="2FF2E901" w14:textId="77777777" w:rsidR="00C0184A" w:rsidRPr="00E01E79" w:rsidRDefault="00C0184A" w:rsidP="00420AD2">
            <w:pPr>
              <w:spacing w:after="0" w:line="240" w:lineRule="auto"/>
              <w:jc w:val="center"/>
              <w:rPr>
                <w:rFonts w:ascii="Times New Roman" w:hAnsi="Times New Roman" w:cs="Times New Roman"/>
                <w:i/>
                <w:iCs/>
                <w:color w:val="C00000"/>
                <w:sz w:val="20"/>
                <w:szCs w:val="20"/>
              </w:rPr>
            </w:pPr>
            <w:r w:rsidRPr="00E01E79">
              <w:rPr>
                <w:rFonts w:ascii="Times New Roman" w:hAnsi="Times New Roman" w:cs="Times New Roman"/>
                <w:i/>
                <w:iCs/>
                <w:color w:val="C00000"/>
                <w:sz w:val="20"/>
                <w:szCs w:val="20"/>
              </w:rPr>
              <w:t>-79,6</w:t>
            </w:r>
          </w:p>
        </w:tc>
        <w:tc>
          <w:tcPr>
            <w:tcW w:w="850" w:type="dxa"/>
            <w:tcBorders>
              <w:top w:val="single" w:sz="4" w:space="0" w:color="808080" w:themeColor="background1" w:themeShade="80"/>
              <w:left w:val="single" w:sz="4" w:space="0" w:color="auto"/>
              <w:bottom w:val="single" w:sz="4" w:space="0" w:color="auto"/>
              <w:right w:val="single" w:sz="4" w:space="0" w:color="auto"/>
            </w:tcBorders>
            <w:shd w:val="clear" w:color="auto" w:fill="FFF2CC" w:themeFill="accent4" w:themeFillTint="33"/>
            <w:vAlign w:val="center"/>
          </w:tcPr>
          <w:p w14:paraId="14E18B6E" w14:textId="77777777" w:rsidR="00C0184A" w:rsidRPr="00E01E79" w:rsidRDefault="00C0184A" w:rsidP="00420AD2">
            <w:pPr>
              <w:spacing w:after="0" w:line="240" w:lineRule="auto"/>
              <w:jc w:val="center"/>
              <w:rPr>
                <w:rFonts w:ascii="Times New Roman" w:hAnsi="Times New Roman" w:cs="Times New Roman"/>
                <w:bCs/>
                <w:i/>
                <w:color w:val="C00000"/>
                <w:sz w:val="20"/>
                <w:szCs w:val="20"/>
              </w:rPr>
            </w:pPr>
            <w:r w:rsidRPr="00E01E79">
              <w:rPr>
                <w:rFonts w:ascii="Times New Roman" w:hAnsi="Times New Roman" w:cs="Times New Roman"/>
                <w:i/>
                <w:iCs/>
                <w:color w:val="C00000"/>
                <w:sz w:val="20"/>
                <w:szCs w:val="20"/>
              </w:rPr>
              <w:t>-129,8</w:t>
            </w:r>
          </w:p>
        </w:tc>
        <w:tc>
          <w:tcPr>
            <w:tcW w:w="851" w:type="dxa"/>
            <w:tcBorders>
              <w:top w:val="single" w:sz="4" w:space="0" w:color="808080" w:themeColor="background1" w:themeShade="80"/>
              <w:left w:val="single" w:sz="4" w:space="0" w:color="auto"/>
              <w:bottom w:val="single" w:sz="4" w:space="0" w:color="auto"/>
              <w:right w:val="single" w:sz="4" w:space="0" w:color="auto"/>
            </w:tcBorders>
            <w:shd w:val="clear" w:color="auto" w:fill="FFF2CC" w:themeFill="accent4" w:themeFillTint="33"/>
            <w:vAlign w:val="center"/>
          </w:tcPr>
          <w:p w14:paraId="2BAEBA0D" w14:textId="77777777" w:rsidR="00C0184A" w:rsidRPr="00E01E79" w:rsidRDefault="00C0184A" w:rsidP="00420AD2">
            <w:pPr>
              <w:spacing w:after="0" w:line="240" w:lineRule="auto"/>
              <w:jc w:val="center"/>
              <w:rPr>
                <w:rFonts w:ascii="Times New Roman" w:hAnsi="Times New Roman" w:cs="Times New Roman"/>
                <w:bCs/>
                <w:i/>
                <w:color w:val="C00000"/>
                <w:sz w:val="20"/>
                <w:szCs w:val="20"/>
              </w:rPr>
            </w:pPr>
            <w:r w:rsidRPr="00E01E79">
              <w:rPr>
                <w:rFonts w:ascii="Times New Roman" w:hAnsi="Times New Roman" w:cs="Times New Roman"/>
                <w:i/>
                <w:iCs/>
                <w:color w:val="C00000"/>
                <w:sz w:val="20"/>
                <w:szCs w:val="20"/>
              </w:rPr>
              <w:t>-129,8</w:t>
            </w:r>
          </w:p>
        </w:tc>
      </w:tr>
    </w:tbl>
    <w:p w14:paraId="32F64FDE" w14:textId="77777777" w:rsidR="00C0184A" w:rsidRPr="00C0184A" w:rsidRDefault="00C0184A" w:rsidP="00C0184A">
      <w:pPr>
        <w:autoSpaceDE w:val="0"/>
        <w:autoSpaceDN w:val="0"/>
        <w:adjustRightInd w:val="0"/>
        <w:spacing w:after="0" w:line="240" w:lineRule="auto"/>
        <w:jc w:val="both"/>
        <w:rPr>
          <w:rFonts w:ascii="Times New Roman" w:hAnsi="Times New Roman" w:cs="Times New Roman"/>
          <w:bCs/>
          <w:sz w:val="20"/>
          <w:szCs w:val="20"/>
        </w:rPr>
      </w:pPr>
      <w:r w:rsidRPr="00C0184A">
        <w:rPr>
          <w:rFonts w:ascii="Times New Roman" w:eastAsia="Calibri" w:hAnsi="Times New Roman" w:cs="Times New Roman"/>
          <w:b/>
          <w:bCs/>
          <w:i/>
          <w:iCs/>
          <w:sz w:val="20"/>
          <w:szCs w:val="20"/>
        </w:rPr>
        <w:t>Avots:</w:t>
      </w:r>
      <w:r w:rsidRPr="00C0184A">
        <w:rPr>
          <w:rFonts w:ascii="Times New Roman" w:hAnsi="Times New Roman" w:cs="Times New Roman"/>
          <w:sz w:val="20"/>
          <w:szCs w:val="20"/>
        </w:rPr>
        <w:t xml:space="preserve"> </w:t>
      </w:r>
      <w:r w:rsidRPr="00C0184A">
        <w:rPr>
          <w:rFonts w:ascii="Times New Roman" w:eastAsia="Calibri" w:hAnsi="Times New Roman" w:cs="Times New Roman"/>
          <w:i/>
          <w:iCs/>
          <w:sz w:val="20"/>
          <w:szCs w:val="20"/>
        </w:rPr>
        <w:t>FM aprēķini</w:t>
      </w:r>
    </w:p>
    <w:p w14:paraId="2E62B338" w14:textId="77777777" w:rsidR="00C0184A" w:rsidRPr="00C0184A" w:rsidRDefault="00C0184A" w:rsidP="00C0184A">
      <w:pPr>
        <w:tabs>
          <w:tab w:val="left" w:pos="284"/>
        </w:tabs>
        <w:spacing w:after="0" w:line="240" w:lineRule="auto"/>
        <w:ind w:left="284" w:hanging="284"/>
        <w:rPr>
          <w:rFonts w:ascii="Times New Roman" w:hAnsi="Times New Roman" w:cs="Times New Roman"/>
          <w:i/>
          <w:iCs/>
          <w:sz w:val="20"/>
          <w:szCs w:val="20"/>
        </w:rPr>
      </w:pPr>
      <w:r w:rsidRPr="00C0184A">
        <w:rPr>
          <w:rFonts w:ascii="Times New Roman" w:eastAsia="Times New Roman" w:hAnsi="Times New Roman" w:cs="Times New Roman"/>
          <w:i/>
          <w:iCs/>
          <w:sz w:val="20"/>
          <w:szCs w:val="20"/>
          <w:vertAlign w:val="superscript"/>
          <w:lang w:eastAsia="lv-LV"/>
        </w:rPr>
        <w:t>*</w:t>
      </w:r>
      <w:r w:rsidRPr="00C0184A">
        <w:rPr>
          <w:rFonts w:ascii="Times New Roman" w:eastAsia="Times New Roman" w:hAnsi="Times New Roman" w:cs="Times New Roman"/>
          <w:i/>
          <w:iCs/>
          <w:sz w:val="20"/>
          <w:szCs w:val="20"/>
          <w:lang w:eastAsia="lv-LV"/>
        </w:rPr>
        <w:t xml:space="preserve"> </w:t>
      </w:r>
      <w:r w:rsidRPr="00C0184A">
        <w:rPr>
          <w:rFonts w:ascii="Times New Roman" w:eastAsia="Times New Roman" w:hAnsi="Times New Roman" w:cs="Times New Roman"/>
          <w:i/>
          <w:iCs/>
          <w:sz w:val="20"/>
          <w:szCs w:val="20"/>
          <w:lang w:eastAsia="lv-LV"/>
        </w:rPr>
        <w:tab/>
        <w:t xml:space="preserve">Norādīta viena gada fiskālā ietekme, salīdzinājumā ar plānotajiem ieņēmumiem, </w:t>
      </w:r>
      <w:r w:rsidRPr="00C0184A">
        <w:rPr>
          <w:rFonts w:ascii="Times New Roman" w:hAnsi="Times New Roman" w:cs="Times New Roman"/>
          <w:i/>
          <w:iCs/>
          <w:sz w:val="20"/>
          <w:szCs w:val="20"/>
        </w:rPr>
        <w:t xml:space="preserve">ņemot vērā makroekonomisko rādītāju prognozes uz 02.03.2021. un atgriezenisko efektu no pievienotās vērtības nodokļa. </w:t>
      </w:r>
    </w:p>
    <w:p w14:paraId="1B822E55" w14:textId="77777777" w:rsidR="00C0184A" w:rsidRDefault="00C0184A" w:rsidP="00C0184A">
      <w:pPr>
        <w:tabs>
          <w:tab w:val="left" w:pos="284"/>
        </w:tabs>
        <w:spacing w:after="0" w:line="240" w:lineRule="auto"/>
        <w:ind w:left="284" w:hanging="284"/>
        <w:rPr>
          <w:rFonts w:ascii="Times New Roman" w:hAnsi="Times New Roman" w:cs="Times New Roman"/>
          <w:sz w:val="16"/>
          <w:szCs w:val="16"/>
        </w:rPr>
      </w:pPr>
    </w:p>
    <w:p w14:paraId="6C383530" w14:textId="77777777" w:rsidR="00C0184A" w:rsidRPr="00982268" w:rsidRDefault="00C0184A" w:rsidP="00C0184A">
      <w:pPr>
        <w:spacing w:after="120" w:line="240" w:lineRule="auto"/>
        <w:ind w:firstLine="709"/>
        <w:jc w:val="both"/>
        <w:rPr>
          <w:rFonts w:ascii="Times New Roman" w:hAnsi="Times New Roman" w:cs="Times New Roman"/>
          <w:szCs w:val="24"/>
        </w:rPr>
      </w:pPr>
      <w:r>
        <w:rPr>
          <w:rFonts w:ascii="Times New Roman" w:hAnsi="Times New Roman" w:cs="Times New Roman"/>
          <w:szCs w:val="24"/>
        </w:rPr>
        <w:t xml:space="preserve">Līdz ar to ir izpildīts </w:t>
      </w:r>
      <w:r w:rsidRPr="00982268">
        <w:rPr>
          <w:rFonts w:ascii="Times New Roman" w:hAnsi="Times New Roman" w:cs="Times New Roman"/>
          <w:szCs w:val="24"/>
        </w:rPr>
        <w:t>Ministru kabineta 2020.gada 2.septembra sēdes protokol</w:t>
      </w:r>
      <w:r>
        <w:rPr>
          <w:rFonts w:ascii="Times New Roman" w:hAnsi="Times New Roman" w:cs="Times New Roman"/>
          <w:szCs w:val="24"/>
        </w:rPr>
        <w:t>ā</w:t>
      </w:r>
      <w:r w:rsidRPr="00982268">
        <w:rPr>
          <w:rFonts w:ascii="Times New Roman" w:hAnsi="Times New Roman" w:cs="Times New Roman"/>
          <w:szCs w:val="24"/>
        </w:rPr>
        <w:t xml:space="preserve"> Nr.55 38.§ 7.punktā</w:t>
      </w:r>
      <w:r>
        <w:rPr>
          <w:rFonts w:ascii="Times New Roman" w:hAnsi="Times New Roman" w:cs="Times New Roman"/>
          <w:szCs w:val="24"/>
        </w:rPr>
        <w:t xml:space="preserve"> dotais uzdevums</w:t>
      </w:r>
      <w:r w:rsidRPr="00A627A7">
        <w:rPr>
          <w:rFonts w:ascii="Times New Roman" w:hAnsi="Times New Roman" w:cs="Times New Roman"/>
          <w:szCs w:val="24"/>
        </w:rPr>
        <w:t xml:space="preserve">, jo  mazo algu saņēmēju grupā darbaspēka nodokļu slogs tiks samazināts, pakāpeniski </w:t>
      </w:r>
      <w:r w:rsidRPr="00A627A7">
        <w:rPr>
          <w:rFonts w:ascii="Times New Roman" w:hAnsi="Times New Roman" w:cs="Times New Roman"/>
          <w:szCs w:val="24"/>
        </w:rPr>
        <w:lastRenderedPageBreak/>
        <w:t>palielinot iedzīvotāju ienākuma nodokļa diferencētā neapliekamā minimuma apmēru līdz valstij noteiktās minimālās darba algas lielumam.</w:t>
      </w:r>
    </w:p>
    <w:p w14:paraId="78ABCCA5" w14:textId="77777777" w:rsidR="00C0184A" w:rsidRDefault="00C0184A" w:rsidP="00CA1BEA">
      <w:pPr>
        <w:spacing w:after="120" w:line="240" w:lineRule="auto"/>
        <w:ind w:firstLine="709"/>
        <w:jc w:val="both"/>
        <w:rPr>
          <w:rFonts w:ascii="Times New Roman" w:hAnsi="Times New Roman" w:cs="Times New Roman"/>
          <w:sz w:val="24"/>
          <w:szCs w:val="24"/>
          <w:highlight w:val="yellow"/>
        </w:rPr>
      </w:pPr>
    </w:p>
    <w:p w14:paraId="79C392AF" w14:textId="2C8659F6" w:rsidR="00921E63" w:rsidRPr="00921E63" w:rsidRDefault="00090EF5" w:rsidP="00921E63">
      <w:pPr>
        <w:pStyle w:val="ListParagraph"/>
        <w:numPr>
          <w:ilvl w:val="1"/>
          <w:numId w:val="35"/>
        </w:numPr>
        <w:shd w:val="clear" w:color="auto" w:fill="DEEAF6" w:themeFill="accent1" w:themeFillTint="33"/>
        <w:spacing w:after="120" w:line="240" w:lineRule="auto"/>
        <w:contextualSpacing w:val="0"/>
        <w:jc w:val="both"/>
        <w:rPr>
          <w:rFonts w:ascii="Times New Roman" w:hAnsi="Times New Roman" w:cs="Times New Roman"/>
          <w:b/>
          <w:sz w:val="24"/>
          <w:szCs w:val="24"/>
        </w:rPr>
      </w:pPr>
      <w:r>
        <w:rPr>
          <w:rFonts w:ascii="Times New Roman" w:hAnsi="Times New Roman" w:cs="Times New Roman"/>
          <w:b/>
          <w:bCs/>
          <w:sz w:val="24"/>
          <w:szCs w:val="24"/>
        </w:rPr>
        <w:t xml:space="preserve"> </w:t>
      </w:r>
      <w:r w:rsidR="00852926" w:rsidRPr="00852926">
        <w:rPr>
          <w:rFonts w:ascii="Times New Roman" w:hAnsi="Times New Roman" w:cs="Times New Roman"/>
          <w:b/>
          <w:bCs/>
          <w:sz w:val="24"/>
          <w:szCs w:val="24"/>
        </w:rPr>
        <w:t>Nodokļu atvieglojumi par darba devēja apmaksātiem medicīnas pakalpojumiem</w:t>
      </w:r>
    </w:p>
    <w:p w14:paraId="30D2658B" w14:textId="77777777" w:rsidR="003D6D24" w:rsidRPr="00B40351" w:rsidRDefault="003D6D24" w:rsidP="003D6D24">
      <w:pPr>
        <w:spacing w:after="120" w:line="240" w:lineRule="auto"/>
        <w:ind w:firstLine="720"/>
        <w:jc w:val="both"/>
        <w:rPr>
          <w:rFonts w:ascii="Times New Roman" w:hAnsi="Times New Roman" w:cs="Times New Roman"/>
          <w:sz w:val="24"/>
          <w:szCs w:val="24"/>
        </w:rPr>
      </w:pPr>
      <w:r w:rsidRPr="00B40351">
        <w:rPr>
          <w:rFonts w:ascii="Times New Roman" w:hAnsi="Times New Roman" w:cs="Times New Roman"/>
          <w:sz w:val="24"/>
          <w:szCs w:val="24"/>
        </w:rPr>
        <w:t xml:space="preserve">2018.gadā 33 darba devēji ir izmantojuši darba koplīgumos paredzēto atvieglojumu darbinieka ēdināšanas izdevumiem (480 </w:t>
      </w:r>
      <w:r w:rsidRPr="00B40351">
        <w:rPr>
          <w:rFonts w:ascii="Times New Roman" w:hAnsi="Times New Roman" w:cs="Times New Roman"/>
          <w:i/>
          <w:sz w:val="24"/>
          <w:szCs w:val="24"/>
        </w:rPr>
        <w:t>euro</w:t>
      </w:r>
      <w:r w:rsidRPr="00B40351">
        <w:rPr>
          <w:rFonts w:ascii="Times New Roman" w:hAnsi="Times New Roman" w:cs="Times New Roman"/>
          <w:sz w:val="24"/>
          <w:szCs w:val="24"/>
        </w:rPr>
        <w:t xml:space="preserve"> gadā) to piemērojot 13 374 darbiniekiem par kopējo summu 1,375 milj. </w:t>
      </w:r>
      <w:r w:rsidRPr="00B40351">
        <w:rPr>
          <w:rFonts w:ascii="Times New Roman" w:hAnsi="Times New Roman" w:cs="Times New Roman"/>
          <w:i/>
          <w:sz w:val="24"/>
          <w:szCs w:val="24"/>
        </w:rPr>
        <w:t>euro.</w:t>
      </w:r>
      <w:r w:rsidRPr="00B40351">
        <w:rPr>
          <w:rFonts w:ascii="Times New Roman" w:hAnsi="Times New Roman" w:cs="Times New Roman"/>
          <w:sz w:val="24"/>
          <w:szCs w:val="24"/>
        </w:rPr>
        <w:t xml:space="preserve"> Vidējā summa uz vienu darbinieku 8,57 </w:t>
      </w:r>
      <w:r w:rsidRPr="00B40351">
        <w:rPr>
          <w:rFonts w:ascii="Times New Roman" w:hAnsi="Times New Roman" w:cs="Times New Roman"/>
          <w:i/>
          <w:sz w:val="24"/>
          <w:szCs w:val="24"/>
        </w:rPr>
        <w:t>euro</w:t>
      </w:r>
      <w:r w:rsidRPr="00B40351">
        <w:rPr>
          <w:rFonts w:ascii="Times New Roman" w:hAnsi="Times New Roman" w:cs="Times New Roman"/>
          <w:sz w:val="24"/>
          <w:szCs w:val="24"/>
        </w:rPr>
        <w:t xml:space="preserve"> mēnesī. </w:t>
      </w:r>
    </w:p>
    <w:p w14:paraId="128E505A" w14:textId="77777777" w:rsidR="003D6D24" w:rsidRPr="00B40351" w:rsidRDefault="003D6D24" w:rsidP="003D6D24">
      <w:pPr>
        <w:spacing w:after="120" w:line="240" w:lineRule="auto"/>
        <w:ind w:firstLine="720"/>
        <w:jc w:val="both"/>
        <w:rPr>
          <w:rFonts w:ascii="Times New Roman" w:hAnsi="Times New Roman" w:cs="Times New Roman"/>
          <w:sz w:val="24"/>
          <w:szCs w:val="24"/>
        </w:rPr>
      </w:pPr>
      <w:r w:rsidRPr="00B40351">
        <w:rPr>
          <w:rFonts w:ascii="Times New Roman" w:hAnsi="Times New Roman" w:cs="Times New Roman"/>
          <w:sz w:val="24"/>
          <w:szCs w:val="24"/>
        </w:rPr>
        <w:t xml:space="preserve">2019.gadā 49 darba devēji ir izmantojuši darba koplīgumos paredzēto atvieglojumu darbinieka ēdināšanas izdevumiem (480 </w:t>
      </w:r>
      <w:r w:rsidRPr="00B40351">
        <w:rPr>
          <w:rFonts w:ascii="Times New Roman" w:hAnsi="Times New Roman" w:cs="Times New Roman"/>
          <w:i/>
          <w:sz w:val="24"/>
          <w:szCs w:val="24"/>
        </w:rPr>
        <w:t>euro</w:t>
      </w:r>
      <w:r w:rsidRPr="00B40351">
        <w:rPr>
          <w:rFonts w:ascii="Times New Roman" w:hAnsi="Times New Roman" w:cs="Times New Roman"/>
          <w:sz w:val="24"/>
          <w:szCs w:val="24"/>
        </w:rPr>
        <w:t xml:space="preserve"> gadā) to piemērojot 17 272 darbiniekiem par kopējo summu 2,106 milj. </w:t>
      </w:r>
      <w:r w:rsidRPr="00B40351">
        <w:rPr>
          <w:rFonts w:ascii="Times New Roman" w:hAnsi="Times New Roman" w:cs="Times New Roman"/>
          <w:i/>
          <w:sz w:val="24"/>
          <w:szCs w:val="24"/>
        </w:rPr>
        <w:t>euro.</w:t>
      </w:r>
      <w:r w:rsidRPr="00B40351">
        <w:rPr>
          <w:rFonts w:ascii="Times New Roman" w:hAnsi="Times New Roman" w:cs="Times New Roman"/>
          <w:sz w:val="24"/>
          <w:szCs w:val="24"/>
        </w:rPr>
        <w:t xml:space="preserve"> Vidējā summa uz vienu darbinieku 10,16 </w:t>
      </w:r>
      <w:r w:rsidRPr="00B40351">
        <w:rPr>
          <w:rFonts w:ascii="Times New Roman" w:hAnsi="Times New Roman" w:cs="Times New Roman"/>
          <w:i/>
          <w:sz w:val="24"/>
          <w:szCs w:val="24"/>
        </w:rPr>
        <w:t>euro</w:t>
      </w:r>
      <w:r w:rsidRPr="00B40351">
        <w:rPr>
          <w:rFonts w:ascii="Times New Roman" w:hAnsi="Times New Roman" w:cs="Times New Roman"/>
          <w:sz w:val="24"/>
          <w:szCs w:val="24"/>
        </w:rPr>
        <w:t xml:space="preserve"> mēnesī.</w:t>
      </w:r>
    </w:p>
    <w:p w14:paraId="78AD51C7" w14:textId="77777777" w:rsidR="003D6D24" w:rsidRPr="00B40351" w:rsidRDefault="003D6D24" w:rsidP="003D6D24">
      <w:pPr>
        <w:spacing w:after="120" w:line="240" w:lineRule="auto"/>
        <w:ind w:firstLine="720"/>
        <w:jc w:val="both"/>
        <w:rPr>
          <w:rFonts w:ascii="Times New Roman" w:hAnsi="Times New Roman" w:cs="Times New Roman"/>
          <w:sz w:val="24"/>
          <w:szCs w:val="24"/>
        </w:rPr>
      </w:pPr>
      <w:r w:rsidRPr="00B40351">
        <w:rPr>
          <w:rFonts w:ascii="Times New Roman" w:hAnsi="Times New Roman" w:cs="Times New Roman"/>
          <w:sz w:val="24"/>
          <w:szCs w:val="24"/>
        </w:rPr>
        <w:t xml:space="preserve">2020.gadā 58 darba devēji ir izmantojuši darba koplīgumos paredzēto atvieglojumu darbinieka ēdināšanas izdevumiem (480 </w:t>
      </w:r>
      <w:r w:rsidRPr="00B40351">
        <w:rPr>
          <w:rFonts w:ascii="Times New Roman" w:hAnsi="Times New Roman" w:cs="Times New Roman"/>
          <w:i/>
          <w:sz w:val="24"/>
          <w:szCs w:val="24"/>
        </w:rPr>
        <w:t>euro</w:t>
      </w:r>
      <w:r w:rsidRPr="00B40351">
        <w:rPr>
          <w:rFonts w:ascii="Times New Roman" w:hAnsi="Times New Roman" w:cs="Times New Roman"/>
          <w:sz w:val="24"/>
          <w:szCs w:val="24"/>
        </w:rPr>
        <w:t xml:space="preserve"> gadā) to piemērojot 18 642 darbiniekiem par kopējo summu 2,464 milj. </w:t>
      </w:r>
      <w:r w:rsidRPr="00B40351">
        <w:rPr>
          <w:rFonts w:ascii="Times New Roman" w:hAnsi="Times New Roman" w:cs="Times New Roman"/>
          <w:i/>
          <w:sz w:val="24"/>
          <w:szCs w:val="24"/>
        </w:rPr>
        <w:t>euro.</w:t>
      </w:r>
      <w:r w:rsidRPr="00B40351">
        <w:rPr>
          <w:rFonts w:ascii="Times New Roman" w:hAnsi="Times New Roman" w:cs="Times New Roman"/>
          <w:sz w:val="24"/>
          <w:szCs w:val="24"/>
        </w:rPr>
        <w:t xml:space="preserve"> Vidējā summa uz vienu darbinieku 11,02 </w:t>
      </w:r>
      <w:r w:rsidRPr="00B40351">
        <w:rPr>
          <w:rFonts w:ascii="Times New Roman" w:hAnsi="Times New Roman" w:cs="Times New Roman"/>
          <w:i/>
          <w:sz w:val="24"/>
          <w:szCs w:val="24"/>
        </w:rPr>
        <w:t>euro</w:t>
      </w:r>
      <w:r w:rsidRPr="00B40351">
        <w:rPr>
          <w:rFonts w:ascii="Times New Roman" w:hAnsi="Times New Roman" w:cs="Times New Roman"/>
          <w:sz w:val="24"/>
          <w:szCs w:val="24"/>
        </w:rPr>
        <w:t xml:space="preserve"> mēnesī.</w:t>
      </w:r>
    </w:p>
    <w:p w14:paraId="2C272B44" w14:textId="77777777" w:rsidR="003D6D24" w:rsidRPr="00B40351" w:rsidRDefault="003D6D24" w:rsidP="003D6D24">
      <w:pPr>
        <w:spacing w:after="120" w:line="240" w:lineRule="auto"/>
        <w:ind w:firstLine="720"/>
        <w:jc w:val="both"/>
        <w:rPr>
          <w:rFonts w:ascii="Times New Roman" w:hAnsi="Times New Roman" w:cs="Times New Roman"/>
          <w:sz w:val="24"/>
          <w:szCs w:val="24"/>
        </w:rPr>
      </w:pPr>
      <w:r w:rsidRPr="00B40351">
        <w:rPr>
          <w:rFonts w:ascii="Times New Roman" w:hAnsi="Times New Roman" w:cs="Times New Roman"/>
          <w:sz w:val="24"/>
          <w:szCs w:val="24"/>
        </w:rPr>
        <w:t xml:space="preserve">Tā kā minētā summa netiek aplikta ar darbaspēka nodokļiem ietekme 2020.gadā vērtējama -1,3 milj. </w:t>
      </w:r>
      <w:r w:rsidRPr="00B40351">
        <w:rPr>
          <w:rFonts w:ascii="Times New Roman" w:hAnsi="Times New Roman" w:cs="Times New Roman"/>
          <w:i/>
          <w:sz w:val="24"/>
          <w:szCs w:val="24"/>
        </w:rPr>
        <w:t>euro</w:t>
      </w:r>
      <w:r w:rsidRPr="00B40351">
        <w:rPr>
          <w:rFonts w:ascii="Times New Roman" w:hAnsi="Times New Roman" w:cs="Times New Roman"/>
          <w:sz w:val="24"/>
          <w:szCs w:val="24"/>
        </w:rPr>
        <w:t xml:space="preserve"> apmērā (VSAOI -0,84 milj. </w:t>
      </w:r>
      <w:r w:rsidRPr="00B40351">
        <w:rPr>
          <w:rFonts w:ascii="Times New Roman" w:hAnsi="Times New Roman" w:cs="Times New Roman"/>
          <w:i/>
          <w:sz w:val="24"/>
          <w:szCs w:val="24"/>
        </w:rPr>
        <w:t>euro</w:t>
      </w:r>
      <w:r w:rsidRPr="00B40351">
        <w:rPr>
          <w:rFonts w:ascii="Times New Roman" w:hAnsi="Times New Roman" w:cs="Times New Roman"/>
          <w:sz w:val="24"/>
          <w:szCs w:val="24"/>
        </w:rPr>
        <w:t xml:space="preserve">; IIN -0,44 milj. </w:t>
      </w:r>
      <w:r w:rsidRPr="00B40351">
        <w:rPr>
          <w:rFonts w:ascii="Times New Roman" w:hAnsi="Times New Roman" w:cs="Times New Roman"/>
          <w:i/>
          <w:sz w:val="24"/>
          <w:szCs w:val="24"/>
        </w:rPr>
        <w:t>euro</w:t>
      </w:r>
      <w:r w:rsidRPr="00B40351">
        <w:rPr>
          <w:rFonts w:ascii="Times New Roman" w:hAnsi="Times New Roman" w:cs="Times New Roman"/>
          <w:sz w:val="24"/>
          <w:szCs w:val="24"/>
        </w:rPr>
        <w:t>).</w:t>
      </w:r>
    </w:p>
    <w:p w14:paraId="75B39FCC" w14:textId="77777777" w:rsidR="003D6D24" w:rsidRPr="00B40351" w:rsidRDefault="003D6D24" w:rsidP="003D6D24">
      <w:pPr>
        <w:spacing w:after="120" w:line="240" w:lineRule="auto"/>
        <w:ind w:firstLine="720"/>
        <w:jc w:val="both"/>
        <w:rPr>
          <w:rFonts w:ascii="Times New Roman" w:hAnsi="Times New Roman" w:cs="Times New Roman"/>
          <w:sz w:val="24"/>
          <w:szCs w:val="24"/>
        </w:rPr>
      </w:pPr>
      <w:r w:rsidRPr="00B40351">
        <w:rPr>
          <w:rFonts w:ascii="Times New Roman" w:hAnsi="Times New Roman" w:cs="Times New Roman"/>
          <w:sz w:val="24"/>
          <w:szCs w:val="24"/>
        </w:rPr>
        <w:t>Tādējādi ir vērojama tendence likuma “Par iedzīvotāju ienākuma nodokli” 8.panta piecpadsmitajā daļā noteiktā iedzīvotāju ienākuma nodokļa atvieglojuma izmantošanas pieaugumam.</w:t>
      </w:r>
    </w:p>
    <w:p w14:paraId="07065BFC" w14:textId="77777777" w:rsidR="003D6D24" w:rsidRPr="00B40351" w:rsidRDefault="003D6D24" w:rsidP="003D6D24">
      <w:pPr>
        <w:spacing w:after="120" w:line="240" w:lineRule="auto"/>
        <w:ind w:firstLine="720"/>
        <w:jc w:val="both"/>
        <w:rPr>
          <w:rFonts w:ascii="Times New Roman" w:hAnsi="Times New Roman" w:cs="Times New Roman"/>
          <w:sz w:val="24"/>
          <w:szCs w:val="24"/>
        </w:rPr>
      </w:pPr>
      <w:r w:rsidRPr="00B40351">
        <w:rPr>
          <w:rFonts w:ascii="Times New Roman" w:hAnsi="Times New Roman" w:cs="Times New Roman"/>
          <w:sz w:val="24"/>
          <w:szCs w:val="24"/>
        </w:rPr>
        <w:t>Iespējams arī, ka ne visi nodokļu maksātāji ir atspoguļojuši šāda veida atvieglojumu, kas neizslēdz iespēju, ka faktiskā piemērotā atvieglojuma summa un līdz ar to arī fiskālā ietekme ir lielāka nekā šobrīd paziņojumos norādītā.</w:t>
      </w:r>
    </w:p>
    <w:p w14:paraId="1A03843A" w14:textId="77777777" w:rsidR="003D6D24" w:rsidRPr="00B40351" w:rsidRDefault="003D6D24" w:rsidP="003D6D24">
      <w:pPr>
        <w:spacing w:after="120" w:line="240" w:lineRule="auto"/>
        <w:ind w:firstLine="720"/>
        <w:jc w:val="both"/>
        <w:rPr>
          <w:rFonts w:ascii="Times New Roman" w:hAnsi="Times New Roman" w:cs="Times New Roman"/>
          <w:sz w:val="24"/>
          <w:szCs w:val="24"/>
        </w:rPr>
      </w:pPr>
      <w:r w:rsidRPr="00B40351">
        <w:rPr>
          <w:rFonts w:ascii="Times New Roman" w:hAnsi="Times New Roman" w:cs="Times New Roman"/>
          <w:sz w:val="24"/>
          <w:szCs w:val="24"/>
        </w:rPr>
        <w:t xml:space="preserve">Darba likums paredz, ka koplīgumu darba devējs var slēgt ar darbinieku pilnvarotu pārstāvi, ja darbinieki nav apvienojušies arodbiedrībā. Ņemot vērā, ka koplīgumu tādējādi var noslēgt arī uzņēmumi, kuru darbinieki nav arodbiedrībās, tas ļauj pieņemt, ka papildu pozīciju (veselības izdevumi) iekļaušanu koplīgumos noteiktajās garantijās varētu izmantot salīdzinoši plašs uzņēmumu loks. </w:t>
      </w:r>
    </w:p>
    <w:p w14:paraId="13F468F5" w14:textId="77777777" w:rsidR="003D6D24" w:rsidRPr="00B40351" w:rsidRDefault="003D6D24" w:rsidP="003D6D24">
      <w:pPr>
        <w:spacing w:after="120" w:line="240" w:lineRule="auto"/>
        <w:ind w:firstLine="720"/>
        <w:jc w:val="both"/>
        <w:rPr>
          <w:rFonts w:ascii="Times New Roman" w:hAnsi="Times New Roman" w:cs="Times New Roman"/>
          <w:sz w:val="24"/>
          <w:szCs w:val="24"/>
        </w:rPr>
      </w:pPr>
      <w:r w:rsidRPr="00B40351">
        <w:rPr>
          <w:rFonts w:ascii="Times New Roman" w:hAnsi="Times New Roman" w:cs="Times New Roman"/>
          <w:sz w:val="24"/>
          <w:szCs w:val="24"/>
        </w:rPr>
        <w:t xml:space="preserve">Ņemot vērā iepriekš minēto, fiskālā ietekme būs atkarīgā no turpmākās minētā atvieglojuma izmantošanas intensitātes un var tikt balstīta vienīgi uz pieņēmumiem, par pamatu ņemot 2020.gada statistikas datus. Papildus jāņem vērā, ka veselības izdevumi rodas lielākajai daļai darbinieku atšķirībā no ēdināšanas izdevumiem, kas veidojas atkarībā no uzņēmuma darbības specifikas (šobrīd to galvenokārt izmanto lielveikalu ķēdes), tādējādi tiek sagaidīts, ka uzņēmēji lielākoties izmantos atvieglojumu tieši saistībā ar veselības izdevumiem (ēdināšanai uz darbinieku izmanto tikai vidēji 11 </w:t>
      </w:r>
      <w:r w:rsidRPr="00B40351">
        <w:rPr>
          <w:rFonts w:ascii="Times New Roman" w:hAnsi="Times New Roman" w:cs="Times New Roman"/>
          <w:i/>
          <w:sz w:val="24"/>
          <w:szCs w:val="24"/>
        </w:rPr>
        <w:t>euro</w:t>
      </w:r>
      <w:r w:rsidRPr="00B40351">
        <w:rPr>
          <w:rFonts w:ascii="Times New Roman" w:hAnsi="Times New Roman" w:cs="Times New Roman"/>
          <w:sz w:val="24"/>
          <w:szCs w:val="24"/>
        </w:rPr>
        <w:t xml:space="preserve"> mēnesī no iespējamajiem 40 </w:t>
      </w:r>
      <w:r w:rsidRPr="00B40351">
        <w:rPr>
          <w:rFonts w:ascii="Times New Roman" w:hAnsi="Times New Roman" w:cs="Times New Roman"/>
          <w:i/>
          <w:sz w:val="24"/>
          <w:szCs w:val="24"/>
        </w:rPr>
        <w:t>euro</w:t>
      </w:r>
      <w:r w:rsidRPr="00B40351">
        <w:rPr>
          <w:rFonts w:ascii="Times New Roman" w:hAnsi="Times New Roman" w:cs="Times New Roman"/>
          <w:sz w:val="24"/>
          <w:szCs w:val="24"/>
        </w:rPr>
        <w:t xml:space="preserve">). </w:t>
      </w:r>
    </w:p>
    <w:p w14:paraId="226B4836" w14:textId="2F50F15A" w:rsidR="003D6D24" w:rsidRDefault="003D6D24" w:rsidP="003D6D24">
      <w:pPr>
        <w:spacing w:after="120" w:line="240" w:lineRule="auto"/>
        <w:ind w:firstLine="720"/>
        <w:jc w:val="both"/>
        <w:rPr>
          <w:rFonts w:ascii="Times New Roman" w:hAnsi="Times New Roman" w:cs="Times New Roman"/>
          <w:sz w:val="24"/>
          <w:szCs w:val="24"/>
        </w:rPr>
      </w:pPr>
      <w:r w:rsidRPr="00B40351">
        <w:rPr>
          <w:rFonts w:ascii="Times New Roman" w:hAnsi="Times New Roman" w:cs="Times New Roman"/>
          <w:sz w:val="24"/>
          <w:szCs w:val="24"/>
        </w:rPr>
        <w:t xml:space="preserve">Attiecīgi vērtējot, ka atvieglojuma paplašināšanas gadījumā dubultotos to izmantojošo darbinieku skaits un vidējā izmantotā summa, negatīvā fiskālā ietekme vērtējama līdz pat -5,2 milj. </w:t>
      </w:r>
      <w:r w:rsidRPr="00B40351">
        <w:rPr>
          <w:rFonts w:ascii="Times New Roman" w:hAnsi="Times New Roman" w:cs="Times New Roman"/>
          <w:i/>
          <w:sz w:val="24"/>
          <w:szCs w:val="24"/>
        </w:rPr>
        <w:t>euro</w:t>
      </w:r>
      <w:r w:rsidRPr="00B40351">
        <w:rPr>
          <w:rFonts w:ascii="Times New Roman" w:hAnsi="Times New Roman" w:cs="Times New Roman"/>
          <w:sz w:val="24"/>
          <w:szCs w:val="24"/>
        </w:rPr>
        <w:t xml:space="preserve"> gadā.</w:t>
      </w:r>
      <w:r w:rsidRPr="00B40351">
        <w:rPr>
          <w:rFonts w:ascii="Times New Roman" w:hAnsi="Times New Roman" w:cs="Times New Roman"/>
          <w:b/>
          <w:sz w:val="24"/>
          <w:szCs w:val="24"/>
        </w:rPr>
        <w:t xml:space="preserve"> </w:t>
      </w:r>
      <w:r w:rsidRPr="00B40351">
        <w:rPr>
          <w:rFonts w:ascii="Times New Roman" w:hAnsi="Times New Roman" w:cs="Times New Roman"/>
          <w:sz w:val="24"/>
          <w:szCs w:val="24"/>
        </w:rPr>
        <w:t xml:space="preserve">Pieņemot, ka atgriezeniskais efekts būtiski samazinātu negatīvo fiskālo efektu (līdz pat 70 procentiem), Finanšu ministrija priekšlikuma negatīvo fiskālo ietekmi </w:t>
      </w:r>
      <w:r w:rsidR="00AF0CE1">
        <w:rPr>
          <w:rFonts w:ascii="Times New Roman" w:hAnsi="Times New Roman" w:cs="Times New Roman"/>
          <w:sz w:val="24"/>
          <w:szCs w:val="24"/>
        </w:rPr>
        <w:t xml:space="preserve">uz budžetu </w:t>
      </w:r>
      <w:r w:rsidRPr="00B40351">
        <w:rPr>
          <w:rFonts w:ascii="Times New Roman" w:hAnsi="Times New Roman" w:cs="Times New Roman"/>
          <w:sz w:val="24"/>
          <w:szCs w:val="24"/>
        </w:rPr>
        <w:t xml:space="preserve">ir novērtējusi </w:t>
      </w:r>
      <w:r w:rsidRPr="003D6D24">
        <w:rPr>
          <w:rFonts w:ascii="Times New Roman" w:hAnsi="Times New Roman" w:cs="Times New Roman"/>
          <w:sz w:val="24"/>
          <w:szCs w:val="24"/>
        </w:rPr>
        <w:t>-1,</w:t>
      </w:r>
      <w:r w:rsidR="00AF0CE1">
        <w:rPr>
          <w:rFonts w:ascii="Times New Roman" w:hAnsi="Times New Roman" w:cs="Times New Roman"/>
          <w:sz w:val="24"/>
          <w:szCs w:val="24"/>
        </w:rPr>
        <w:t>4</w:t>
      </w:r>
      <w:r w:rsidRPr="003D6D24">
        <w:rPr>
          <w:rFonts w:ascii="Times New Roman" w:hAnsi="Times New Roman" w:cs="Times New Roman"/>
          <w:sz w:val="24"/>
          <w:szCs w:val="24"/>
        </w:rPr>
        <w:t xml:space="preserve"> milj. </w:t>
      </w:r>
      <w:r w:rsidRPr="003D6D24">
        <w:rPr>
          <w:rFonts w:ascii="Times New Roman" w:hAnsi="Times New Roman" w:cs="Times New Roman"/>
          <w:i/>
          <w:sz w:val="24"/>
          <w:szCs w:val="24"/>
        </w:rPr>
        <w:t>euro</w:t>
      </w:r>
      <w:r w:rsidRPr="003D6D24">
        <w:rPr>
          <w:rFonts w:ascii="Times New Roman" w:hAnsi="Times New Roman" w:cs="Times New Roman"/>
          <w:sz w:val="24"/>
          <w:szCs w:val="24"/>
        </w:rPr>
        <w:t xml:space="preserve"> gadā.</w:t>
      </w:r>
    </w:p>
    <w:p w14:paraId="4E8789D2" w14:textId="77777777" w:rsidR="00921E63" w:rsidRPr="00921E63" w:rsidRDefault="00921E63" w:rsidP="003D6D24">
      <w:pPr>
        <w:pStyle w:val="ListParagraph"/>
        <w:spacing w:after="120" w:line="240" w:lineRule="auto"/>
        <w:ind w:left="360"/>
        <w:contextualSpacing w:val="0"/>
        <w:jc w:val="both"/>
        <w:rPr>
          <w:rFonts w:ascii="Times New Roman" w:hAnsi="Times New Roman" w:cs="Times New Roman"/>
          <w:bCs/>
          <w:sz w:val="24"/>
          <w:szCs w:val="24"/>
        </w:rPr>
      </w:pPr>
    </w:p>
    <w:p w14:paraId="4C38FF64" w14:textId="02762043" w:rsidR="00CA1BEA" w:rsidRPr="00CA1BEA" w:rsidRDefault="00813BD8" w:rsidP="00CA1BEA">
      <w:pPr>
        <w:pStyle w:val="ListParagraph"/>
        <w:numPr>
          <w:ilvl w:val="1"/>
          <w:numId w:val="35"/>
        </w:numPr>
        <w:shd w:val="clear" w:color="auto" w:fill="DEEAF6" w:themeFill="accent1" w:themeFillTint="33"/>
        <w:spacing w:after="120"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 </w:t>
      </w:r>
      <w:r w:rsidR="00CA1BEA">
        <w:rPr>
          <w:rFonts w:ascii="Times New Roman" w:hAnsi="Times New Roman" w:cs="Times New Roman"/>
          <w:b/>
          <w:bCs/>
          <w:sz w:val="24"/>
          <w:szCs w:val="24"/>
        </w:rPr>
        <w:t>PVN</w:t>
      </w:r>
      <w:r w:rsidR="00051B68">
        <w:rPr>
          <w:rFonts w:ascii="Times New Roman" w:hAnsi="Times New Roman" w:cs="Times New Roman"/>
          <w:b/>
          <w:bCs/>
          <w:sz w:val="24"/>
          <w:szCs w:val="24"/>
        </w:rPr>
        <w:t xml:space="preserve"> samazinātā likme 5 procentu apmērā </w:t>
      </w:r>
      <w:r w:rsidR="00A76637">
        <w:rPr>
          <w:rFonts w:ascii="Times New Roman" w:hAnsi="Times New Roman" w:cs="Times New Roman"/>
          <w:b/>
          <w:bCs/>
          <w:sz w:val="24"/>
          <w:szCs w:val="24"/>
        </w:rPr>
        <w:t>iespieddarbiem</w:t>
      </w:r>
    </w:p>
    <w:p w14:paraId="5B38B2DC" w14:textId="77777777" w:rsidR="00BF6F73" w:rsidRPr="00CB1699" w:rsidRDefault="00BF6F73" w:rsidP="00BF6F73">
      <w:pPr>
        <w:spacing w:after="120" w:line="240" w:lineRule="auto"/>
        <w:ind w:firstLine="720"/>
        <w:jc w:val="both"/>
        <w:rPr>
          <w:rFonts w:ascii="Times New Roman" w:hAnsi="Times New Roman" w:cs="Times New Roman"/>
          <w:color w:val="000000"/>
          <w:sz w:val="24"/>
          <w:szCs w:val="24"/>
        </w:rPr>
      </w:pPr>
      <w:r w:rsidRPr="00CB1699">
        <w:rPr>
          <w:rFonts w:ascii="Times New Roman" w:hAnsi="Times New Roman" w:cs="Times New Roman"/>
          <w:color w:val="000000"/>
          <w:sz w:val="24"/>
          <w:szCs w:val="24"/>
        </w:rPr>
        <w:t xml:space="preserve">Pievienotās vērtības nodokļa likuma (turpmāk – PVN likums) 42.panta piektā daļa nosaka, ka pievienotās vērtības nodokļa (turpmāk – PVN) samazināto likmi 12 procentu apmērā piemēro iespieddarba vai elektroniska izdevuma formā izdotai mācību literatūras un oriģinālliteratūras (literāru darbu — daiļliteratūrā, bērnu literatūrā, zinātniskajā un populārzinātniskajā literatūrā, uzziņu literatūrā, reliģiskā literatūrā, memuārliteratūrā — un to tulkojumu) piegādei, izņemot minētās literatūras piegādi tiešsaistes režīmā vai to lejupielādējot. Minētais pants arī nosaka, ka </w:t>
      </w:r>
      <w:r w:rsidRPr="00CB1699">
        <w:rPr>
          <w:rFonts w:ascii="Times New Roman" w:hAnsi="Times New Roman" w:cs="Times New Roman"/>
          <w:color w:val="000000"/>
          <w:sz w:val="24"/>
          <w:szCs w:val="24"/>
        </w:rPr>
        <w:lastRenderedPageBreak/>
        <w:t>samazinātā PVN likme netiek piemērota literatūras piegādei tiešsaistes režīmā vai to lejupielādējot.</w:t>
      </w:r>
    </w:p>
    <w:p w14:paraId="29328128" w14:textId="77777777" w:rsidR="00BF6F73" w:rsidRPr="00CB1699" w:rsidRDefault="00BF6F73" w:rsidP="00BF6F73">
      <w:pPr>
        <w:spacing w:after="120" w:line="240" w:lineRule="auto"/>
        <w:ind w:firstLine="720"/>
        <w:jc w:val="both"/>
        <w:rPr>
          <w:rFonts w:ascii="Times New Roman" w:hAnsi="Times New Roman" w:cs="Times New Roman"/>
          <w:color w:val="000000"/>
          <w:sz w:val="24"/>
          <w:szCs w:val="24"/>
        </w:rPr>
      </w:pPr>
      <w:r w:rsidRPr="00CB1699">
        <w:rPr>
          <w:rFonts w:ascii="Times New Roman" w:hAnsi="Times New Roman" w:cs="Times New Roman"/>
          <w:color w:val="000000"/>
          <w:sz w:val="24"/>
          <w:szCs w:val="24"/>
        </w:rPr>
        <w:t xml:space="preserve">Šobrīd PVN likme grāmatām Latvijā ir viena no augstākajām Eiropas Savienībā; vidēji Eiropas Savienībā grāmatām noteiktā likme ir 6,6 procenti un tā tiek attiecināta uz visu formātu grāmatām, tostarp e-grāmatām; atsevišķās Eiropas Savienības valstīs grāmatām noteikta 0 procentu PVN likme. Latvijā grāmatām PVN likme 5 procentu apmērā tika piemērota līdz 2009.gadam, kad tā tika palielināta sākotnēji līdz 21 procentam un pēc tam samazināta līdz 12 procentiem. Saskaņā ar Centrālās statistikas pārvaldes datiem par izdevējdarbību Latvijā, kopš 2009.gada ikgadēji  samazinās gan jaunizdevumu skaits, gan grāmatu tirāža. Pēc Centrālās Statistikas pārvaldes datiem 2020.gadā izdoto grāmatu skaits, salīdzinot ar 2019.gadu, samazinājās par 14, 2%, savukārt tirāžu skaits – par 26,0%, sasniedzot zemāko rādītāju kopš Latvijas neatkarības atjaunošanas. Igaunijā, kurā iedzīvotāju skaits ir  1, 325 milj. un grāmatā tiek piemērota 9 procentu PVN likme tiek izdoti 3634 grāmatu nosaukumi gadā, Latvijā uz 1,92 milj. iedzīvotāju tiek izdoti 1805 grāmatu nosaukumi gadā. skaits , kas parāda, ka uz vienu iedzīvotāju Latvijā iznāk par 180 % mazāks grāmatu skaits nekā Igaunijā.  </w:t>
      </w:r>
    </w:p>
    <w:p w14:paraId="1191B034" w14:textId="77777777" w:rsidR="00BF6F73" w:rsidRPr="00CB1699" w:rsidRDefault="00BF6F73" w:rsidP="00BF6F73">
      <w:pPr>
        <w:spacing w:after="120" w:line="240" w:lineRule="auto"/>
        <w:ind w:firstLine="720"/>
        <w:jc w:val="both"/>
        <w:rPr>
          <w:rFonts w:ascii="Times New Roman" w:hAnsi="Times New Roman" w:cs="Times New Roman"/>
          <w:color w:val="000000"/>
          <w:sz w:val="24"/>
          <w:szCs w:val="24"/>
        </w:rPr>
      </w:pPr>
      <w:r w:rsidRPr="00CB1699">
        <w:rPr>
          <w:rFonts w:ascii="Times New Roman" w:hAnsi="Times New Roman" w:cs="Times New Roman"/>
          <w:color w:val="000000"/>
          <w:sz w:val="24"/>
          <w:szCs w:val="24"/>
        </w:rPr>
        <w:t>Eiropas Grāmatizdevēju federācijas 2017.gada grāmatniecības sektora pētījumā</w:t>
      </w:r>
      <w:r w:rsidRPr="00CB1699">
        <w:rPr>
          <w:rStyle w:val="FootnoteReference"/>
          <w:rFonts w:ascii="Times New Roman" w:hAnsi="Times New Roman" w:cs="Times New Roman"/>
          <w:color w:val="000000"/>
          <w:sz w:val="24"/>
          <w:szCs w:val="24"/>
        </w:rPr>
        <w:footnoteReference w:id="3"/>
      </w:r>
      <w:r w:rsidRPr="00CB1699">
        <w:rPr>
          <w:rFonts w:ascii="Times New Roman" w:hAnsi="Times New Roman" w:cs="Times New Roman"/>
          <w:color w:val="000000"/>
          <w:sz w:val="24"/>
          <w:szCs w:val="24"/>
        </w:rPr>
        <w:t xml:space="preserve"> minēts, ka EUROSTATdati par mājsaimniecību patēriņu grāmatām Eiropā uzrāda, ka Latvijas pirktspējas paritātes rādītājs ir 35,3 , kas ir  76 % zem vidējā Eiropas Savienības valstu rādītāja -103. Tas norāda uz nepieciešamību veicināt grāmatu patēriņu sabiedrībā un Latvijā izdoto darbu pieejamību tirgū par pieejamāku cenu, ko veicinās PVN samazinātās likmes piemērošana. Līdz ar to, lai nodrošinātu, ka  ikgadēji palielinās jaunizdevumu skaits, pieaug tirāžas un grāmatu patēriņš, nodrošinot Latvijas sabiedrībai daudzveidīgāku grāmatu klāstu, uzlabojot to pieejamību un veicinot grāmatu iegādi, ir nepieciešams grāmatu piegādēm noteikt PVN samazināto likmi 5 procentu apmērā.</w:t>
      </w:r>
    </w:p>
    <w:p w14:paraId="28098D02" w14:textId="77777777" w:rsidR="00BF6F73" w:rsidRPr="00CB1699" w:rsidRDefault="00BF6F73" w:rsidP="00BF6F73">
      <w:pPr>
        <w:spacing w:after="120" w:line="240" w:lineRule="auto"/>
        <w:ind w:firstLine="720"/>
        <w:jc w:val="both"/>
        <w:rPr>
          <w:rFonts w:ascii="Times New Roman" w:hAnsi="Times New Roman" w:cs="Times New Roman"/>
          <w:color w:val="000000"/>
          <w:sz w:val="24"/>
          <w:szCs w:val="24"/>
          <w:shd w:val="clear" w:color="auto" w:fill="FFFFFF"/>
        </w:rPr>
      </w:pPr>
      <w:r w:rsidRPr="00CB1699">
        <w:rPr>
          <w:rFonts w:ascii="Times New Roman" w:hAnsi="Times New Roman" w:cs="Times New Roman"/>
          <w:color w:val="000000"/>
          <w:sz w:val="24"/>
          <w:szCs w:val="24"/>
        </w:rPr>
        <w:t xml:space="preserve">PVN likuma 42.panta septītā daļa </w:t>
      </w:r>
      <w:r w:rsidRPr="00CB1699">
        <w:rPr>
          <w:rFonts w:ascii="Times New Roman" w:hAnsi="Times New Roman" w:cs="Times New Roman"/>
          <w:color w:val="000000"/>
          <w:sz w:val="24"/>
          <w:szCs w:val="24"/>
          <w:shd w:val="clear" w:color="auto" w:fill="FFFFFF"/>
        </w:rPr>
        <w:t>nosaka, ka PVN samazināto likmi 12 procentu apmērā piemēro tādu iespieddarba vai elektroniska izdevuma formā izdotu avīžu, žurnālu, biļetenu un citu periodisko izdevumu piegādei (izņemot minēto periodisko izdevumu piegādi tiešsaistes režīmā vai tos lejupielādējot), kuri iznāk ne retāk kā reizi trijos mēnešos un kuru vienreizējā tirāža pārsniedz 100 eksemplāru, kā arī to abonentmaksai.</w:t>
      </w:r>
    </w:p>
    <w:p w14:paraId="11736078" w14:textId="77777777" w:rsidR="00BF6F73" w:rsidRPr="00CB1699" w:rsidRDefault="00BF6F73" w:rsidP="00BF6F73">
      <w:pPr>
        <w:spacing w:after="120" w:line="240" w:lineRule="auto"/>
        <w:ind w:firstLine="720"/>
        <w:jc w:val="both"/>
        <w:rPr>
          <w:rFonts w:ascii="Times New Roman" w:hAnsi="Times New Roman" w:cs="Times New Roman"/>
          <w:color w:val="000000"/>
          <w:sz w:val="24"/>
          <w:szCs w:val="24"/>
        </w:rPr>
      </w:pPr>
      <w:r w:rsidRPr="00CB1699">
        <w:rPr>
          <w:rFonts w:ascii="Times New Roman" w:hAnsi="Times New Roman" w:cs="Times New Roman"/>
          <w:color w:val="000000"/>
          <w:sz w:val="24"/>
          <w:szCs w:val="24"/>
        </w:rPr>
        <w:t>Saskaņā ar Centrālās statistikas pārvaldes datiem Latvijā izdoto laikrakstu, žurnālu un citu periodisko izdevumu gada tirāža ar katru gadu samazinās. Krasākais tirāžas samazinājums presei konstatējams 2017.gadā (</w:t>
      </w:r>
      <w:r w:rsidRPr="00CB1699">
        <w:rPr>
          <w:rFonts w:ascii="Times New Roman" w:hAnsi="Times New Roman" w:cs="Times New Roman"/>
          <w:color w:val="000000"/>
          <w:sz w:val="24"/>
          <w:szCs w:val="24"/>
        </w:rPr>
        <w:noBreakHyphen/>
        <w:t>22%); samazinās arī drukātās preses abonēšanas rādītāji – saskaņā ar valsts akciju sabiedrības “Latvijas Pasts” datiem laika posmā no 2010.gada līdz 2018.gadam pakāpeniski samazinājies gan abonementu skaits, gan piegādāto vienību skaits. Salīdzinot piegādāto abonēto preses vienību skaitu 2009.gadā ar datiem par 2019.gadu, secināms, ka 10 gadu laikā tas ir samazinājies vairāk nekā divas reizes (no 44 667 694 uz 21 866 738). Šī samazinājuma cēloņi ir nelielais tirgus apjoms, zemā sabiedrības pirktspēja, konkurence ar interneta medijiem un sabiedrības depopulācija. Mediju lietošanas paradumu maiņas rezultātā ir pieaugusi interneta mediju auditorija, taču sarūk preses izdevumu, it īpaši dienas laikrakstu, tirāžas. Tas apdraud drukāto mediju kā viedokļu daudzveidības avota, latviešu valodas un kultūras balsta pastāvēšanu un iespēju sabiedrībai saņemt daudzveidīgu un sabiedriski nozīmīgu informāciju. Būtisku iespaidu uz Latvijas mediju vidi ir atstājusi ekonomiskā lejupslīde, kas, sākot ar 2009.gadu, ir ievērojami samazinājusi reklāmas tirgus apjomu un vietējo mediju uzņēmējdarbības spēju. Mediju nozarē joprojām ir novērojamas ekonomiskās krīzes sekas – reklāmas tirgus nav sasniedzis tos finanšu rādītājus, kādi pastāvēja pirms ekonomiskās krīzes (94 milj. – 2007.gadā, 49 milj. – 2012.gadā, 76 milj. – 2014.gadā, 78 milj. – 2016.gadā, 85 milj. – 2018.gadā). Turklāt gadu no gada proporcionāli samazinās reklāmas tirgus daļa drukātajos medijos:</w:t>
      </w:r>
    </w:p>
    <w:tbl>
      <w:tblPr>
        <w:tblW w:w="5000" w:type="pct"/>
        <w:shd w:val="clear" w:color="auto" w:fill="FFFFFF"/>
        <w:tblCellMar>
          <w:left w:w="0" w:type="dxa"/>
          <w:right w:w="0" w:type="dxa"/>
        </w:tblCellMar>
        <w:tblLook w:val="04A0" w:firstRow="1" w:lastRow="0" w:firstColumn="1" w:lastColumn="0" w:noHBand="0" w:noVBand="1"/>
      </w:tblPr>
      <w:tblGrid>
        <w:gridCol w:w="2734"/>
        <w:gridCol w:w="1320"/>
        <w:gridCol w:w="1320"/>
        <w:gridCol w:w="1320"/>
        <w:gridCol w:w="1320"/>
        <w:gridCol w:w="1320"/>
      </w:tblGrid>
      <w:tr w:rsidR="00BF6F73" w:rsidRPr="00CB1699" w14:paraId="69269E1E" w14:textId="77777777" w:rsidTr="00084549">
        <w:tc>
          <w:tcPr>
            <w:tcW w:w="1450" w:type="pct"/>
            <w:tcBorders>
              <w:top w:val="outset" w:sz="8" w:space="0" w:color="414142"/>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14:paraId="12488DCC" w14:textId="77777777" w:rsidR="00BF6F73" w:rsidRPr="00633DB6" w:rsidRDefault="00BF6F73" w:rsidP="00BF6F73">
            <w:pPr>
              <w:pStyle w:val="NormalWeb"/>
              <w:spacing w:before="0" w:after="120"/>
              <w:jc w:val="both"/>
              <w:rPr>
                <w:color w:val="000000"/>
                <w:sz w:val="22"/>
                <w:szCs w:val="22"/>
                <w:shd w:val="clear" w:color="auto" w:fill="FFFFFF"/>
                <w:lang w:eastAsia="en-US"/>
              </w:rPr>
            </w:pPr>
            <w:r w:rsidRPr="00633DB6">
              <w:rPr>
                <w:color w:val="000000"/>
                <w:sz w:val="22"/>
                <w:szCs w:val="22"/>
                <w:shd w:val="clear" w:color="auto" w:fill="FFFFFF"/>
                <w:lang w:eastAsia="en-US"/>
              </w:rPr>
              <w:lastRenderedPageBreak/>
              <w:t> </w:t>
            </w:r>
          </w:p>
        </w:tc>
        <w:tc>
          <w:tcPr>
            <w:tcW w:w="700" w:type="pct"/>
            <w:tcBorders>
              <w:top w:val="outset" w:sz="8" w:space="0" w:color="414142"/>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0474996A" w14:textId="77777777" w:rsidR="00BF6F73" w:rsidRPr="00633DB6" w:rsidRDefault="00BF6F73" w:rsidP="00BF6F73">
            <w:pPr>
              <w:pStyle w:val="NormalWeb"/>
              <w:spacing w:before="0" w:after="120"/>
              <w:jc w:val="center"/>
              <w:rPr>
                <w:color w:val="000000"/>
                <w:sz w:val="22"/>
                <w:szCs w:val="22"/>
                <w:shd w:val="clear" w:color="auto" w:fill="FFFFFF"/>
                <w:lang w:eastAsia="en-US"/>
              </w:rPr>
            </w:pPr>
            <w:r w:rsidRPr="00633DB6">
              <w:rPr>
                <w:color w:val="000000"/>
                <w:sz w:val="22"/>
                <w:szCs w:val="22"/>
                <w:shd w:val="clear" w:color="auto" w:fill="FFFFFF"/>
                <w:lang w:eastAsia="en-US"/>
              </w:rPr>
              <w:t>2014</w:t>
            </w:r>
          </w:p>
        </w:tc>
        <w:tc>
          <w:tcPr>
            <w:tcW w:w="700" w:type="pct"/>
            <w:tcBorders>
              <w:top w:val="outset" w:sz="8" w:space="0" w:color="414142"/>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082E23DE" w14:textId="77777777" w:rsidR="00BF6F73" w:rsidRPr="00633DB6" w:rsidRDefault="00BF6F73" w:rsidP="00BF6F73">
            <w:pPr>
              <w:pStyle w:val="NormalWeb"/>
              <w:spacing w:before="0" w:after="120"/>
              <w:jc w:val="center"/>
              <w:rPr>
                <w:color w:val="000000"/>
                <w:sz w:val="22"/>
                <w:szCs w:val="22"/>
                <w:shd w:val="clear" w:color="auto" w:fill="FFFFFF"/>
                <w:lang w:eastAsia="en-US"/>
              </w:rPr>
            </w:pPr>
            <w:r w:rsidRPr="00633DB6">
              <w:rPr>
                <w:color w:val="000000"/>
                <w:sz w:val="22"/>
                <w:szCs w:val="22"/>
                <w:shd w:val="clear" w:color="auto" w:fill="FFFFFF"/>
                <w:lang w:eastAsia="en-US"/>
              </w:rPr>
              <w:t>2015</w:t>
            </w:r>
          </w:p>
        </w:tc>
        <w:tc>
          <w:tcPr>
            <w:tcW w:w="700" w:type="pct"/>
            <w:tcBorders>
              <w:top w:val="outset" w:sz="8" w:space="0" w:color="414142"/>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6D22C381" w14:textId="77777777" w:rsidR="00BF6F73" w:rsidRPr="00633DB6" w:rsidRDefault="00BF6F73" w:rsidP="00BF6F73">
            <w:pPr>
              <w:pStyle w:val="NormalWeb"/>
              <w:spacing w:before="0" w:after="120"/>
              <w:jc w:val="center"/>
              <w:rPr>
                <w:color w:val="000000"/>
                <w:sz w:val="22"/>
                <w:szCs w:val="22"/>
                <w:shd w:val="clear" w:color="auto" w:fill="FFFFFF"/>
                <w:lang w:eastAsia="en-US"/>
              </w:rPr>
            </w:pPr>
            <w:r w:rsidRPr="00633DB6">
              <w:rPr>
                <w:color w:val="000000"/>
                <w:sz w:val="22"/>
                <w:szCs w:val="22"/>
                <w:shd w:val="clear" w:color="auto" w:fill="FFFFFF"/>
                <w:lang w:eastAsia="en-US"/>
              </w:rPr>
              <w:t>2016</w:t>
            </w:r>
          </w:p>
        </w:tc>
        <w:tc>
          <w:tcPr>
            <w:tcW w:w="700" w:type="pct"/>
            <w:tcBorders>
              <w:top w:val="outset" w:sz="8" w:space="0" w:color="414142"/>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69B30D1E" w14:textId="77777777" w:rsidR="00BF6F73" w:rsidRPr="00633DB6" w:rsidRDefault="00BF6F73" w:rsidP="00BF6F73">
            <w:pPr>
              <w:pStyle w:val="NormalWeb"/>
              <w:spacing w:before="0" w:after="120"/>
              <w:jc w:val="center"/>
              <w:rPr>
                <w:color w:val="000000"/>
                <w:sz w:val="22"/>
                <w:szCs w:val="22"/>
                <w:shd w:val="clear" w:color="auto" w:fill="FFFFFF"/>
                <w:lang w:eastAsia="en-US"/>
              </w:rPr>
            </w:pPr>
            <w:r w:rsidRPr="00633DB6">
              <w:rPr>
                <w:color w:val="000000"/>
                <w:sz w:val="22"/>
                <w:szCs w:val="22"/>
                <w:shd w:val="clear" w:color="auto" w:fill="FFFFFF"/>
                <w:lang w:eastAsia="en-US"/>
              </w:rPr>
              <w:t>2017</w:t>
            </w:r>
          </w:p>
        </w:tc>
        <w:tc>
          <w:tcPr>
            <w:tcW w:w="700" w:type="pct"/>
            <w:tcBorders>
              <w:top w:val="outset" w:sz="8" w:space="0" w:color="414142"/>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150B2F69" w14:textId="77777777" w:rsidR="00BF6F73" w:rsidRPr="00633DB6" w:rsidRDefault="00BF6F73" w:rsidP="00BF6F73">
            <w:pPr>
              <w:pStyle w:val="NormalWeb"/>
              <w:spacing w:before="0" w:after="120"/>
              <w:jc w:val="center"/>
              <w:rPr>
                <w:color w:val="000000"/>
                <w:sz w:val="22"/>
                <w:szCs w:val="22"/>
                <w:shd w:val="clear" w:color="auto" w:fill="FFFFFF"/>
                <w:lang w:eastAsia="en-US"/>
              </w:rPr>
            </w:pPr>
            <w:r w:rsidRPr="00633DB6">
              <w:rPr>
                <w:color w:val="000000"/>
                <w:sz w:val="22"/>
                <w:szCs w:val="22"/>
                <w:shd w:val="clear" w:color="auto" w:fill="FFFFFF"/>
                <w:lang w:eastAsia="en-US"/>
              </w:rPr>
              <w:t>2018</w:t>
            </w:r>
          </w:p>
        </w:tc>
      </w:tr>
      <w:tr w:rsidR="00BF6F73" w:rsidRPr="00CB1699" w14:paraId="41AD436F" w14:textId="77777777" w:rsidTr="00084549">
        <w:tc>
          <w:tcPr>
            <w:tcW w:w="14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14:paraId="098CCFFA" w14:textId="77777777" w:rsidR="00BF6F73" w:rsidRPr="00633DB6" w:rsidRDefault="00BF6F73" w:rsidP="00BF6F73">
            <w:pPr>
              <w:pStyle w:val="NormalWeb"/>
              <w:spacing w:before="0" w:after="120"/>
              <w:jc w:val="both"/>
              <w:rPr>
                <w:color w:val="000000"/>
                <w:sz w:val="22"/>
                <w:szCs w:val="22"/>
                <w:shd w:val="clear" w:color="auto" w:fill="FFFFFF"/>
                <w:lang w:eastAsia="en-US"/>
              </w:rPr>
            </w:pPr>
            <w:r w:rsidRPr="00633DB6">
              <w:rPr>
                <w:color w:val="000000"/>
                <w:sz w:val="22"/>
                <w:szCs w:val="22"/>
                <w:shd w:val="clear" w:color="auto" w:fill="FFFFFF"/>
                <w:lang w:eastAsia="en-US"/>
              </w:rPr>
              <w:t>Reklāmas tirgus daļa žurnālos</w:t>
            </w:r>
          </w:p>
        </w:tc>
        <w:tc>
          <w:tcPr>
            <w:tcW w:w="70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7A134C95" w14:textId="77777777" w:rsidR="00BF6F73" w:rsidRPr="00633DB6" w:rsidRDefault="00BF6F73" w:rsidP="00BF6F73">
            <w:pPr>
              <w:pStyle w:val="NormalWeb"/>
              <w:spacing w:before="0" w:after="120"/>
              <w:jc w:val="center"/>
              <w:rPr>
                <w:color w:val="000000"/>
                <w:sz w:val="22"/>
                <w:szCs w:val="22"/>
                <w:shd w:val="clear" w:color="auto" w:fill="FFFFFF"/>
                <w:lang w:eastAsia="en-US"/>
              </w:rPr>
            </w:pPr>
            <w:r w:rsidRPr="00633DB6">
              <w:rPr>
                <w:color w:val="000000"/>
                <w:sz w:val="22"/>
                <w:szCs w:val="22"/>
                <w:shd w:val="clear" w:color="auto" w:fill="FFFFFF"/>
                <w:lang w:eastAsia="en-US"/>
              </w:rPr>
              <w:t>10%</w:t>
            </w:r>
          </w:p>
        </w:tc>
        <w:tc>
          <w:tcPr>
            <w:tcW w:w="70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516DFB1F" w14:textId="77777777" w:rsidR="00BF6F73" w:rsidRPr="00633DB6" w:rsidRDefault="00BF6F73" w:rsidP="00BF6F73">
            <w:pPr>
              <w:pStyle w:val="NormalWeb"/>
              <w:spacing w:before="0" w:after="120"/>
              <w:jc w:val="center"/>
              <w:rPr>
                <w:color w:val="000000"/>
                <w:sz w:val="22"/>
                <w:szCs w:val="22"/>
                <w:shd w:val="clear" w:color="auto" w:fill="FFFFFF"/>
                <w:lang w:eastAsia="en-US"/>
              </w:rPr>
            </w:pPr>
            <w:r w:rsidRPr="00633DB6">
              <w:rPr>
                <w:color w:val="000000"/>
                <w:sz w:val="22"/>
                <w:szCs w:val="22"/>
                <w:shd w:val="clear" w:color="auto" w:fill="FFFFFF"/>
                <w:lang w:eastAsia="en-US"/>
              </w:rPr>
              <w:t>10%</w:t>
            </w:r>
          </w:p>
        </w:tc>
        <w:tc>
          <w:tcPr>
            <w:tcW w:w="70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0347AC02" w14:textId="77777777" w:rsidR="00BF6F73" w:rsidRPr="00633DB6" w:rsidRDefault="00BF6F73" w:rsidP="00BF6F73">
            <w:pPr>
              <w:pStyle w:val="NormalWeb"/>
              <w:spacing w:before="0" w:after="120"/>
              <w:jc w:val="center"/>
              <w:rPr>
                <w:color w:val="000000"/>
                <w:sz w:val="22"/>
                <w:szCs w:val="22"/>
                <w:shd w:val="clear" w:color="auto" w:fill="FFFFFF"/>
                <w:lang w:eastAsia="en-US"/>
              </w:rPr>
            </w:pPr>
            <w:r w:rsidRPr="00633DB6">
              <w:rPr>
                <w:color w:val="000000"/>
                <w:sz w:val="22"/>
                <w:szCs w:val="22"/>
                <w:shd w:val="clear" w:color="auto" w:fill="FFFFFF"/>
                <w:lang w:eastAsia="en-US"/>
              </w:rPr>
              <w:t>8%</w:t>
            </w:r>
          </w:p>
        </w:tc>
        <w:tc>
          <w:tcPr>
            <w:tcW w:w="70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6F9E70BC" w14:textId="77777777" w:rsidR="00BF6F73" w:rsidRPr="00633DB6" w:rsidRDefault="00BF6F73" w:rsidP="00BF6F73">
            <w:pPr>
              <w:pStyle w:val="NormalWeb"/>
              <w:spacing w:before="0" w:after="120"/>
              <w:jc w:val="center"/>
              <w:rPr>
                <w:color w:val="000000"/>
                <w:sz w:val="22"/>
                <w:szCs w:val="22"/>
                <w:shd w:val="clear" w:color="auto" w:fill="FFFFFF"/>
                <w:lang w:eastAsia="en-US"/>
              </w:rPr>
            </w:pPr>
            <w:r w:rsidRPr="00633DB6">
              <w:rPr>
                <w:color w:val="000000"/>
                <w:sz w:val="22"/>
                <w:szCs w:val="22"/>
                <w:shd w:val="clear" w:color="auto" w:fill="FFFFFF"/>
                <w:lang w:eastAsia="en-US"/>
              </w:rPr>
              <w:t>6%</w:t>
            </w:r>
          </w:p>
        </w:tc>
        <w:tc>
          <w:tcPr>
            <w:tcW w:w="70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2C57DC5A" w14:textId="77777777" w:rsidR="00BF6F73" w:rsidRPr="00633DB6" w:rsidRDefault="00BF6F73" w:rsidP="00BF6F73">
            <w:pPr>
              <w:pStyle w:val="NormalWeb"/>
              <w:spacing w:before="0" w:after="120"/>
              <w:jc w:val="center"/>
              <w:rPr>
                <w:color w:val="000000"/>
                <w:sz w:val="22"/>
                <w:szCs w:val="22"/>
                <w:shd w:val="clear" w:color="auto" w:fill="FFFFFF"/>
                <w:lang w:eastAsia="en-US"/>
              </w:rPr>
            </w:pPr>
            <w:r w:rsidRPr="00633DB6">
              <w:rPr>
                <w:color w:val="000000"/>
                <w:sz w:val="22"/>
                <w:szCs w:val="22"/>
                <w:shd w:val="clear" w:color="auto" w:fill="FFFFFF"/>
                <w:lang w:eastAsia="en-US"/>
              </w:rPr>
              <w:t>6%</w:t>
            </w:r>
          </w:p>
        </w:tc>
      </w:tr>
      <w:tr w:rsidR="00BF6F73" w:rsidRPr="00CB1699" w14:paraId="6EEB04B8" w14:textId="77777777" w:rsidTr="00084549">
        <w:tc>
          <w:tcPr>
            <w:tcW w:w="14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14:paraId="2F00D1E4" w14:textId="77777777" w:rsidR="00BF6F73" w:rsidRPr="00633DB6" w:rsidRDefault="00BF6F73" w:rsidP="00BF6F73">
            <w:pPr>
              <w:pStyle w:val="NormalWeb"/>
              <w:spacing w:before="0" w:after="120"/>
              <w:jc w:val="both"/>
              <w:rPr>
                <w:color w:val="000000"/>
                <w:sz w:val="22"/>
                <w:szCs w:val="22"/>
                <w:shd w:val="clear" w:color="auto" w:fill="FFFFFF"/>
                <w:lang w:eastAsia="en-US"/>
              </w:rPr>
            </w:pPr>
            <w:r w:rsidRPr="00633DB6">
              <w:rPr>
                <w:color w:val="000000"/>
                <w:sz w:val="22"/>
                <w:szCs w:val="22"/>
                <w:shd w:val="clear" w:color="auto" w:fill="FFFFFF"/>
                <w:lang w:eastAsia="en-US"/>
              </w:rPr>
              <w:t>Reklāmas tirgus daļa laikrakstos</w:t>
            </w:r>
          </w:p>
        </w:tc>
        <w:tc>
          <w:tcPr>
            <w:tcW w:w="70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4D80E621" w14:textId="77777777" w:rsidR="00BF6F73" w:rsidRPr="00633DB6" w:rsidRDefault="00BF6F73" w:rsidP="00BF6F73">
            <w:pPr>
              <w:pStyle w:val="NormalWeb"/>
              <w:spacing w:before="0" w:after="120"/>
              <w:jc w:val="center"/>
              <w:rPr>
                <w:color w:val="000000"/>
                <w:sz w:val="22"/>
                <w:szCs w:val="22"/>
                <w:shd w:val="clear" w:color="auto" w:fill="FFFFFF"/>
                <w:lang w:eastAsia="en-US"/>
              </w:rPr>
            </w:pPr>
            <w:r w:rsidRPr="00633DB6">
              <w:rPr>
                <w:color w:val="000000"/>
                <w:sz w:val="22"/>
                <w:szCs w:val="22"/>
                <w:shd w:val="clear" w:color="auto" w:fill="FFFFFF"/>
                <w:lang w:eastAsia="en-US"/>
              </w:rPr>
              <w:t>8%</w:t>
            </w:r>
          </w:p>
        </w:tc>
        <w:tc>
          <w:tcPr>
            <w:tcW w:w="70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650952B5" w14:textId="77777777" w:rsidR="00BF6F73" w:rsidRPr="00633DB6" w:rsidRDefault="00BF6F73" w:rsidP="00BF6F73">
            <w:pPr>
              <w:pStyle w:val="NormalWeb"/>
              <w:spacing w:before="0" w:after="120"/>
              <w:jc w:val="center"/>
              <w:rPr>
                <w:color w:val="000000"/>
                <w:sz w:val="22"/>
                <w:szCs w:val="22"/>
                <w:shd w:val="clear" w:color="auto" w:fill="FFFFFF"/>
                <w:lang w:eastAsia="en-US"/>
              </w:rPr>
            </w:pPr>
            <w:r w:rsidRPr="00633DB6">
              <w:rPr>
                <w:color w:val="000000"/>
                <w:sz w:val="22"/>
                <w:szCs w:val="22"/>
                <w:shd w:val="clear" w:color="auto" w:fill="FFFFFF"/>
                <w:lang w:eastAsia="en-US"/>
              </w:rPr>
              <w:t>6%</w:t>
            </w:r>
          </w:p>
        </w:tc>
        <w:tc>
          <w:tcPr>
            <w:tcW w:w="70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31B6D7FA" w14:textId="77777777" w:rsidR="00BF6F73" w:rsidRPr="00633DB6" w:rsidRDefault="00BF6F73" w:rsidP="00BF6F73">
            <w:pPr>
              <w:pStyle w:val="NormalWeb"/>
              <w:spacing w:before="0" w:after="120"/>
              <w:jc w:val="center"/>
              <w:rPr>
                <w:color w:val="000000"/>
                <w:sz w:val="22"/>
                <w:szCs w:val="22"/>
                <w:shd w:val="clear" w:color="auto" w:fill="FFFFFF"/>
                <w:lang w:eastAsia="en-US"/>
              </w:rPr>
            </w:pPr>
            <w:r w:rsidRPr="00633DB6">
              <w:rPr>
                <w:color w:val="000000"/>
                <w:sz w:val="22"/>
                <w:szCs w:val="22"/>
                <w:shd w:val="clear" w:color="auto" w:fill="FFFFFF"/>
                <w:lang w:eastAsia="en-US"/>
              </w:rPr>
              <w:t>5%</w:t>
            </w:r>
          </w:p>
        </w:tc>
        <w:tc>
          <w:tcPr>
            <w:tcW w:w="70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4E884CB7" w14:textId="77777777" w:rsidR="00BF6F73" w:rsidRPr="00633DB6" w:rsidRDefault="00BF6F73" w:rsidP="00BF6F73">
            <w:pPr>
              <w:pStyle w:val="NormalWeb"/>
              <w:spacing w:before="0" w:after="120"/>
              <w:jc w:val="center"/>
              <w:rPr>
                <w:color w:val="000000"/>
                <w:sz w:val="22"/>
                <w:szCs w:val="22"/>
                <w:shd w:val="clear" w:color="auto" w:fill="FFFFFF"/>
                <w:lang w:eastAsia="en-US"/>
              </w:rPr>
            </w:pPr>
            <w:r w:rsidRPr="00633DB6">
              <w:rPr>
                <w:color w:val="000000"/>
                <w:sz w:val="22"/>
                <w:szCs w:val="22"/>
                <w:shd w:val="clear" w:color="auto" w:fill="FFFFFF"/>
                <w:lang w:eastAsia="en-US"/>
              </w:rPr>
              <w:t>4%</w:t>
            </w:r>
          </w:p>
        </w:tc>
        <w:tc>
          <w:tcPr>
            <w:tcW w:w="70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5DF3D97A" w14:textId="77777777" w:rsidR="00BF6F73" w:rsidRPr="00633DB6" w:rsidRDefault="00BF6F73" w:rsidP="00BF6F73">
            <w:pPr>
              <w:pStyle w:val="NormalWeb"/>
              <w:spacing w:before="0" w:after="120"/>
              <w:jc w:val="center"/>
              <w:rPr>
                <w:color w:val="000000"/>
                <w:sz w:val="22"/>
                <w:szCs w:val="22"/>
                <w:shd w:val="clear" w:color="auto" w:fill="FFFFFF"/>
                <w:lang w:eastAsia="en-US"/>
              </w:rPr>
            </w:pPr>
            <w:r w:rsidRPr="00633DB6">
              <w:rPr>
                <w:color w:val="000000"/>
                <w:sz w:val="22"/>
                <w:szCs w:val="22"/>
                <w:shd w:val="clear" w:color="auto" w:fill="FFFFFF"/>
                <w:lang w:eastAsia="en-US"/>
              </w:rPr>
              <w:t>4%</w:t>
            </w:r>
          </w:p>
        </w:tc>
      </w:tr>
    </w:tbl>
    <w:p w14:paraId="4920FA28" w14:textId="77777777" w:rsidR="00BF6F73" w:rsidRPr="00CB1699" w:rsidRDefault="00BF6F73" w:rsidP="00BF6F73">
      <w:pPr>
        <w:spacing w:after="120" w:line="240" w:lineRule="auto"/>
        <w:ind w:firstLine="720"/>
        <w:jc w:val="both"/>
        <w:rPr>
          <w:rFonts w:ascii="Times New Roman" w:hAnsi="Times New Roman" w:cs="Times New Roman"/>
          <w:color w:val="000000"/>
          <w:sz w:val="24"/>
          <w:szCs w:val="24"/>
        </w:rPr>
      </w:pPr>
      <w:r w:rsidRPr="00CB1699">
        <w:rPr>
          <w:rFonts w:ascii="Times New Roman" w:hAnsi="Times New Roman" w:cs="Times New Roman"/>
          <w:color w:val="000000"/>
          <w:sz w:val="24"/>
          <w:szCs w:val="24"/>
        </w:rPr>
        <w:t xml:space="preserve">Ierobežota finansējuma apstākļos vietējo mediju kvalitatīva darbība ir apgrūtināta. Saskaņā ar Latvijas Preses izdevēju asociācijas sniegto informāciju lielākā daļa preses izdevēju Latvijā šobrīd strādā ar zaudējumiem. Vislielākos zaudējumus rada darbība reģionālajā tirgū – saskaņā ar Latvijas Preses izdevēju asociācijas informāciju izdevēju zaudējumi reģionālajā tirgū veidoja vairāk nekā 800 000 </w:t>
      </w:r>
      <w:r w:rsidRPr="00CB1699">
        <w:rPr>
          <w:rFonts w:ascii="Times New Roman" w:hAnsi="Times New Roman" w:cs="Times New Roman"/>
          <w:i/>
          <w:iCs/>
          <w:color w:val="000000"/>
          <w:sz w:val="24"/>
          <w:szCs w:val="24"/>
        </w:rPr>
        <w:t>euro</w:t>
      </w:r>
      <w:r w:rsidRPr="00CB1699">
        <w:rPr>
          <w:rFonts w:ascii="Times New Roman" w:hAnsi="Times New Roman" w:cs="Times New Roman"/>
          <w:color w:val="000000"/>
          <w:sz w:val="24"/>
          <w:szCs w:val="24"/>
        </w:rPr>
        <w:t xml:space="preserve"> 2013.gadā, vairāk nekā 700 000 </w:t>
      </w:r>
      <w:r w:rsidRPr="00CB1699">
        <w:rPr>
          <w:rFonts w:ascii="Times New Roman" w:hAnsi="Times New Roman" w:cs="Times New Roman"/>
          <w:i/>
          <w:iCs/>
          <w:color w:val="000000"/>
          <w:sz w:val="24"/>
          <w:szCs w:val="24"/>
        </w:rPr>
        <w:t>euro</w:t>
      </w:r>
      <w:r w:rsidRPr="00CB1699">
        <w:rPr>
          <w:rFonts w:ascii="Times New Roman" w:hAnsi="Times New Roman" w:cs="Times New Roman"/>
          <w:color w:val="000000"/>
          <w:sz w:val="24"/>
          <w:szCs w:val="24"/>
        </w:rPr>
        <w:t xml:space="preserve"> 2014.gadā un vairāk nekā 80 000 </w:t>
      </w:r>
      <w:r w:rsidRPr="00CB1699">
        <w:rPr>
          <w:rFonts w:ascii="Times New Roman" w:hAnsi="Times New Roman" w:cs="Times New Roman"/>
          <w:i/>
          <w:iCs/>
          <w:color w:val="000000"/>
          <w:sz w:val="24"/>
          <w:szCs w:val="24"/>
        </w:rPr>
        <w:t>euro</w:t>
      </w:r>
      <w:r w:rsidRPr="00CB1699">
        <w:rPr>
          <w:rFonts w:ascii="Times New Roman" w:hAnsi="Times New Roman" w:cs="Times New Roman"/>
          <w:color w:val="000000"/>
          <w:sz w:val="24"/>
          <w:szCs w:val="24"/>
        </w:rPr>
        <w:t xml:space="preserve"> 2015.gadā. </w:t>
      </w:r>
    </w:p>
    <w:p w14:paraId="1129BF5A" w14:textId="77777777" w:rsidR="00BF6F73" w:rsidRPr="00CB1699" w:rsidRDefault="00BF6F73" w:rsidP="00BF6F73">
      <w:pPr>
        <w:spacing w:after="120" w:line="240" w:lineRule="auto"/>
        <w:ind w:firstLine="720"/>
        <w:jc w:val="both"/>
        <w:rPr>
          <w:rFonts w:ascii="Times New Roman" w:hAnsi="Times New Roman" w:cs="Times New Roman"/>
          <w:color w:val="000000"/>
          <w:sz w:val="24"/>
          <w:szCs w:val="24"/>
        </w:rPr>
      </w:pPr>
      <w:r w:rsidRPr="00CB1699">
        <w:rPr>
          <w:rFonts w:ascii="Times New Roman" w:hAnsi="Times New Roman" w:cs="Times New Roman"/>
          <w:color w:val="000000"/>
          <w:sz w:val="24"/>
          <w:szCs w:val="24"/>
        </w:rPr>
        <w:t xml:space="preserve">No valsts drošības viedokļa ir svarīgi nodrošināt, ka tās iedzīvotājiem ir pieejama daudzveidīga mediju radīta informācija, jo demokrātisku procesu kvalitatīvai funkcionēšanai ir nepieciešama informēta un kritiski domājoša sabiedrība. Mediji nodrošina ne tikai sabiedrības informēšanu, izglītošanu un izklaidēšanu, bet arī piedalās kvalitatīvas nacionālās demokrātiskās diskursa telpas veidošanā. Līdz ar to ir nepieciešams rast risinājumus, kas nodrošinātu valsts iedzīvotājiem piekļuvi uzticamais un kvalitatīvai informācijai. </w:t>
      </w:r>
    </w:p>
    <w:p w14:paraId="099EABFA" w14:textId="69B3C132" w:rsidR="00BF6F73" w:rsidRPr="00CB1699" w:rsidRDefault="00BF6F73" w:rsidP="00BF6F73">
      <w:pPr>
        <w:spacing w:after="120" w:line="240" w:lineRule="auto"/>
        <w:ind w:firstLine="720"/>
        <w:jc w:val="both"/>
        <w:rPr>
          <w:rFonts w:ascii="Times New Roman" w:hAnsi="Times New Roman" w:cs="Times New Roman"/>
          <w:color w:val="000000"/>
          <w:sz w:val="24"/>
          <w:szCs w:val="24"/>
        </w:rPr>
      </w:pPr>
      <w:r w:rsidRPr="00CB1699">
        <w:rPr>
          <w:rFonts w:ascii="Times New Roman" w:hAnsi="Times New Roman" w:cs="Times New Roman"/>
          <w:color w:val="000000"/>
          <w:sz w:val="24"/>
          <w:szCs w:val="24"/>
        </w:rPr>
        <w:t xml:space="preserve">Viens no izplatītākajiem mehānismiem Eiropas Savienībā, ar kuru tiek veicināta preses izdevumu pieejamība sabiedrībai, ir PVN samazināta likme. Arī Latvijā drukātajiem medijiem ir noteikta PVN samazināta likme 12 procentu apmērā. Vienlaikus konstatējams, ka Latvijā noteiktā PVN likme ir viena no augstākajām starp Eiropas Savienības dalībvalstīm, kur tā lielākoties ir no 0 procentu līdz 10 procentu apmērā. Līdz ar to ir nepieciešams preses izdevumiem noteikt PVN samazināto likmi 5 procentu apmērā, tādējādi veicinot preses izdevumu pieejamību Latvijas iedzīvotājiem, samazinot tirāžu kritumu un rezultātā nodrošinot plašāku sabiedrības piekļuvi augstvērtīgai un uzticamai informācijai. </w:t>
      </w:r>
    </w:p>
    <w:p w14:paraId="273845DA" w14:textId="77777777" w:rsidR="00BF6F73" w:rsidRPr="00CB1699" w:rsidRDefault="00BF6F73" w:rsidP="00BF6F73">
      <w:pPr>
        <w:spacing w:after="120" w:line="240" w:lineRule="auto"/>
        <w:ind w:firstLine="720"/>
        <w:jc w:val="both"/>
        <w:rPr>
          <w:rFonts w:ascii="Times New Roman" w:hAnsi="Times New Roman" w:cs="Times New Roman"/>
          <w:sz w:val="24"/>
          <w:szCs w:val="24"/>
        </w:rPr>
      </w:pPr>
      <w:r w:rsidRPr="00CB1699">
        <w:rPr>
          <w:rFonts w:ascii="Times New Roman" w:hAnsi="Times New Roman" w:cs="Times New Roman"/>
          <w:sz w:val="24"/>
          <w:szCs w:val="24"/>
        </w:rPr>
        <w:t xml:space="preserve">Saskaņā ar Finanšu ministrijas veiktajiem aprēķiniem PVN samazinātās likmes 5 procentu apmērā ieviešana samazinās ikgadējos valsts pamatbudžeta ieņēmumus par 4 754 000  </w:t>
      </w:r>
      <w:r w:rsidRPr="00CB1699">
        <w:rPr>
          <w:rFonts w:ascii="Times New Roman" w:hAnsi="Times New Roman" w:cs="Times New Roman"/>
          <w:i/>
          <w:iCs/>
          <w:sz w:val="24"/>
          <w:szCs w:val="24"/>
        </w:rPr>
        <w:t>euro</w:t>
      </w:r>
      <w:r w:rsidRPr="00CB1699">
        <w:rPr>
          <w:rFonts w:ascii="Times New Roman" w:hAnsi="Times New Roman" w:cs="Times New Roman"/>
          <w:sz w:val="24"/>
          <w:szCs w:val="24"/>
        </w:rPr>
        <w:t xml:space="preserve">. </w:t>
      </w:r>
    </w:p>
    <w:p w14:paraId="2F146421" w14:textId="3C521E54" w:rsidR="00CA1BEA" w:rsidRDefault="00CA1BEA" w:rsidP="00994E90">
      <w:pPr>
        <w:spacing w:after="120" w:line="240" w:lineRule="auto"/>
        <w:ind w:firstLine="567"/>
        <w:jc w:val="both"/>
        <w:rPr>
          <w:rFonts w:ascii="Times New Roman" w:hAnsi="Times New Roman" w:cs="Times New Roman"/>
          <w:color w:val="000000"/>
          <w:sz w:val="24"/>
          <w:szCs w:val="24"/>
        </w:rPr>
      </w:pPr>
    </w:p>
    <w:p w14:paraId="21056E1B" w14:textId="77777777" w:rsidR="0059651E" w:rsidRPr="00461101" w:rsidRDefault="0059651E" w:rsidP="00994E90">
      <w:pPr>
        <w:pStyle w:val="ListParagraph"/>
        <w:numPr>
          <w:ilvl w:val="0"/>
          <w:numId w:val="31"/>
        </w:numPr>
        <w:shd w:val="clear" w:color="auto" w:fill="BDD6EE" w:themeFill="accent1" w:themeFillTint="66"/>
        <w:spacing w:before="120" w:after="120" w:line="240" w:lineRule="auto"/>
        <w:ind w:left="1077"/>
        <w:contextualSpacing w:val="0"/>
        <w:jc w:val="both"/>
        <w:rPr>
          <w:rFonts w:ascii="Times New Roman" w:hAnsi="Times New Roman" w:cs="Times New Roman"/>
          <w:b/>
          <w:sz w:val="28"/>
          <w:szCs w:val="28"/>
        </w:rPr>
      </w:pPr>
      <w:r w:rsidRPr="00461101">
        <w:rPr>
          <w:rFonts w:ascii="Times New Roman" w:hAnsi="Times New Roman" w:cs="Times New Roman"/>
          <w:b/>
          <w:sz w:val="28"/>
          <w:szCs w:val="28"/>
        </w:rPr>
        <w:t>Pasākumi bilances nodrošināšanai</w:t>
      </w:r>
    </w:p>
    <w:p w14:paraId="685DBE33" w14:textId="543F26AD" w:rsidR="00050A20" w:rsidRPr="008635B4" w:rsidRDefault="008635B4" w:rsidP="00E415B4">
      <w:pPr>
        <w:spacing w:after="120" w:line="240" w:lineRule="auto"/>
        <w:ind w:firstLine="720"/>
        <w:jc w:val="both"/>
        <w:rPr>
          <w:rFonts w:ascii="Times New Roman" w:hAnsi="Times New Roman" w:cs="Times New Roman"/>
          <w:sz w:val="24"/>
          <w:szCs w:val="24"/>
        </w:rPr>
      </w:pPr>
      <w:r w:rsidRPr="008635B4">
        <w:rPr>
          <w:rFonts w:ascii="Times New Roman" w:hAnsi="Times New Roman" w:cs="Times New Roman"/>
          <w:sz w:val="24"/>
          <w:szCs w:val="24"/>
        </w:rPr>
        <w:t>L</w:t>
      </w:r>
      <w:r w:rsidR="00050A20" w:rsidRPr="008635B4">
        <w:rPr>
          <w:rFonts w:ascii="Times New Roman" w:hAnsi="Times New Roman" w:cs="Times New Roman"/>
          <w:sz w:val="24"/>
          <w:szCs w:val="24"/>
        </w:rPr>
        <w:t>ai varētu nodrošināt aktuālākos prioritāros pasākumus</w:t>
      </w:r>
      <w:r w:rsidR="001C2934" w:rsidRPr="008635B4">
        <w:rPr>
          <w:rFonts w:ascii="Times New Roman" w:hAnsi="Times New Roman" w:cs="Times New Roman"/>
          <w:sz w:val="24"/>
          <w:szCs w:val="24"/>
        </w:rPr>
        <w:t xml:space="preserve">, </w:t>
      </w:r>
      <w:r w:rsidRPr="008635B4">
        <w:rPr>
          <w:rFonts w:ascii="Times New Roman" w:hAnsi="Times New Roman" w:cs="Times New Roman"/>
          <w:sz w:val="24"/>
          <w:szCs w:val="24"/>
        </w:rPr>
        <w:t xml:space="preserve">atbalstīto ieņēmumu un izdevumu izmaiņu rezultātā bilances kompensēšanai </w:t>
      </w:r>
      <w:r w:rsidR="001C2934" w:rsidRPr="008635B4">
        <w:rPr>
          <w:rFonts w:ascii="Times New Roman" w:hAnsi="Times New Roman" w:cs="Times New Roman"/>
          <w:sz w:val="24"/>
          <w:szCs w:val="24"/>
        </w:rPr>
        <w:t>paredzēt</w:t>
      </w:r>
      <w:r w:rsidRPr="008635B4">
        <w:rPr>
          <w:rFonts w:ascii="Times New Roman" w:hAnsi="Times New Roman" w:cs="Times New Roman"/>
          <w:sz w:val="24"/>
          <w:szCs w:val="24"/>
        </w:rPr>
        <w:t xml:space="preserve">i šādi pasākumi </w:t>
      </w:r>
      <w:r w:rsidR="00050A20" w:rsidRPr="008635B4">
        <w:rPr>
          <w:rFonts w:ascii="Times New Roman" w:hAnsi="Times New Roman" w:cs="Times New Roman"/>
          <w:sz w:val="24"/>
          <w:szCs w:val="24"/>
        </w:rPr>
        <w:t xml:space="preserve">(skat. informatīvā ziņojuma </w:t>
      </w:r>
      <w:r w:rsidR="001C2934" w:rsidRPr="008635B4">
        <w:rPr>
          <w:rFonts w:ascii="Times New Roman" w:hAnsi="Times New Roman" w:cs="Times New Roman"/>
          <w:sz w:val="24"/>
          <w:szCs w:val="24"/>
        </w:rPr>
        <w:t>1.p</w:t>
      </w:r>
      <w:r w:rsidR="00050A20" w:rsidRPr="008635B4">
        <w:rPr>
          <w:rFonts w:ascii="Times New Roman" w:hAnsi="Times New Roman" w:cs="Times New Roman"/>
          <w:sz w:val="24"/>
          <w:szCs w:val="24"/>
        </w:rPr>
        <w:t>ielikumu)</w:t>
      </w:r>
      <w:r w:rsidRPr="008635B4">
        <w:rPr>
          <w:rFonts w:ascii="Times New Roman" w:hAnsi="Times New Roman" w:cs="Times New Roman"/>
          <w:sz w:val="24"/>
          <w:szCs w:val="24"/>
        </w:rPr>
        <w:t>:</w:t>
      </w:r>
    </w:p>
    <w:p w14:paraId="08B671D0" w14:textId="7C14DF60" w:rsidR="008635B4" w:rsidRDefault="008635B4" w:rsidP="00E415B4">
      <w:pPr>
        <w:pStyle w:val="ListParagraph"/>
        <w:numPr>
          <w:ilvl w:val="0"/>
          <w:numId w:val="38"/>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darba samaksas palielinājuma atgriezeniskais efekts nodokļu ieņēmumos;</w:t>
      </w:r>
    </w:p>
    <w:p w14:paraId="441D1533" w14:textId="2279E077" w:rsidR="00357D99" w:rsidRPr="008635B4" w:rsidRDefault="00357D99" w:rsidP="00357D99">
      <w:pPr>
        <w:pStyle w:val="ListParagraph"/>
        <w:numPr>
          <w:ilvl w:val="0"/>
          <w:numId w:val="38"/>
        </w:numPr>
        <w:spacing w:after="120" w:line="240" w:lineRule="auto"/>
        <w:contextualSpacing w:val="0"/>
        <w:jc w:val="both"/>
        <w:rPr>
          <w:rFonts w:ascii="Times New Roman" w:hAnsi="Times New Roman" w:cs="Times New Roman"/>
          <w:sz w:val="24"/>
          <w:szCs w:val="24"/>
        </w:rPr>
      </w:pPr>
      <w:r w:rsidRPr="008635B4">
        <w:rPr>
          <w:rFonts w:ascii="Times New Roman" w:hAnsi="Times New Roman" w:cs="Times New Roman"/>
          <w:sz w:val="24"/>
          <w:szCs w:val="24"/>
        </w:rPr>
        <w:t>pašvaldību finanšu izlīdzināšanas speciālā</w:t>
      </w:r>
      <w:r>
        <w:rPr>
          <w:rFonts w:ascii="Times New Roman" w:hAnsi="Times New Roman" w:cs="Times New Roman"/>
          <w:sz w:val="24"/>
          <w:szCs w:val="24"/>
        </w:rPr>
        <w:t>s</w:t>
      </w:r>
      <w:r w:rsidRPr="008635B4">
        <w:rPr>
          <w:rFonts w:ascii="Times New Roman" w:hAnsi="Times New Roman" w:cs="Times New Roman"/>
          <w:sz w:val="24"/>
          <w:szCs w:val="24"/>
        </w:rPr>
        <w:t xml:space="preserve"> dotācija</w:t>
      </w:r>
      <w:r>
        <w:rPr>
          <w:rFonts w:ascii="Times New Roman" w:hAnsi="Times New Roman" w:cs="Times New Roman"/>
          <w:sz w:val="24"/>
          <w:szCs w:val="24"/>
        </w:rPr>
        <w:t xml:space="preserve">s korekcija </w:t>
      </w:r>
      <w:r w:rsidRPr="008635B4">
        <w:rPr>
          <w:rFonts w:ascii="Times New Roman" w:hAnsi="Times New Roman" w:cs="Times New Roman"/>
          <w:sz w:val="24"/>
          <w:szCs w:val="24"/>
        </w:rPr>
        <w:t xml:space="preserve"> (64</w:t>
      </w:r>
      <w:r>
        <w:rPr>
          <w:rFonts w:ascii="Times New Roman" w:hAnsi="Times New Roman" w:cs="Times New Roman"/>
          <w:sz w:val="24"/>
          <w:szCs w:val="24"/>
        </w:rPr>
        <w:t>.</w:t>
      </w:r>
      <w:r w:rsidRPr="008635B4">
        <w:rPr>
          <w:rFonts w:ascii="Times New Roman" w:hAnsi="Times New Roman" w:cs="Times New Roman"/>
          <w:sz w:val="24"/>
          <w:szCs w:val="24"/>
        </w:rPr>
        <w:t>resors)</w:t>
      </w:r>
      <w:r>
        <w:rPr>
          <w:rFonts w:ascii="Times New Roman" w:hAnsi="Times New Roman" w:cs="Times New Roman"/>
          <w:sz w:val="24"/>
          <w:szCs w:val="24"/>
        </w:rPr>
        <w:t>;</w:t>
      </w:r>
    </w:p>
    <w:p w14:paraId="2EA0343B" w14:textId="0394D646" w:rsidR="008635B4" w:rsidRDefault="00357D99" w:rsidP="00E415B4">
      <w:pPr>
        <w:pStyle w:val="ListParagraph"/>
        <w:numPr>
          <w:ilvl w:val="0"/>
          <w:numId w:val="38"/>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g</w:t>
      </w:r>
      <w:r w:rsidR="008635B4" w:rsidRPr="008635B4">
        <w:rPr>
          <w:rFonts w:ascii="Times New Roman" w:hAnsi="Times New Roman" w:cs="Times New Roman"/>
          <w:sz w:val="24"/>
          <w:szCs w:val="24"/>
        </w:rPr>
        <w:t>adskārtējā valsts budžeta izpildes procesā pārdalām</w:t>
      </w:r>
      <w:r>
        <w:rPr>
          <w:rFonts w:ascii="Times New Roman" w:hAnsi="Times New Roman" w:cs="Times New Roman"/>
          <w:sz w:val="24"/>
          <w:szCs w:val="24"/>
        </w:rPr>
        <w:t>ā</w:t>
      </w:r>
      <w:r w:rsidR="008635B4" w:rsidRPr="008635B4">
        <w:rPr>
          <w:rFonts w:ascii="Times New Roman" w:hAnsi="Times New Roman" w:cs="Times New Roman"/>
          <w:sz w:val="24"/>
          <w:szCs w:val="24"/>
        </w:rPr>
        <w:t xml:space="preserve"> finansējum</w:t>
      </w:r>
      <w:r>
        <w:rPr>
          <w:rFonts w:ascii="Times New Roman" w:hAnsi="Times New Roman" w:cs="Times New Roman"/>
          <w:sz w:val="24"/>
          <w:szCs w:val="24"/>
        </w:rPr>
        <w:t>a korekcija</w:t>
      </w:r>
      <w:r w:rsidR="008635B4" w:rsidRPr="008635B4">
        <w:rPr>
          <w:rFonts w:ascii="Times New Roman" w:hAnsi="Times New Roman" w:cs="Times New Roman"/>
          <w:sz w:val="24"/>
          <w:szCs w:val="24"/>
        </w:rPr>
        <w:t xml:space="preserve"> (</w:t>
      </w:r>
      <w:r>
        <w:rPr>
          <w:rFonts w:ascii="Times New Roman" w:hAnsi="Times New Roman" w:cs="Times New Roman"/>
          <w:sz w:val="24"/>
          <w:szCs w:val="24"/>
        </w:rPr>
        <w:t>74.resors</w:t>
      </w:r>
      <w:r w:rsidR="008635B4" w:rsidRPr="008635B4">
        <w:rPr>
          <w:rFonts w:ascii="Times New Roman" w:hAnsi="Times New Roman" w:cs="Times New Roman"/>
          <w:sz w:val="24"/>
          <w:szCs w:val="24"/>
        </w:rPr>
        <w:t>)</w:t>
      </w:r>
      <w:r>
        <w:rPr>
          <w:rFonts w:ascii="Times New Roman" w:hAnsi="Times New Roman" w:cs="Times New Roman"/>
          <w:sz w:val="24"/>
          <w:szCs w:val="24"/>
        </w:rPr>
        <w:t>.</w:t>
      </w:r>
    </w:p>
    <w:p w14:paraId="47724996" w14:textId="77777777" w:rsidR="003C52BB" w:rsidRPr="00461101" w:rsidRDefault="003C52BB" w:rsidP="00AD36DC">
      <w:pPr>
        <w:spacing w:after="120" w:line="240" w:lineRule="auto"/>
        <w:ind w:firstLine="720"/>
        <w:jc w:val="both"/>
        <w:rPr>
          <w:rFonts w:ascii="Times New Roman" w:hAnsi="Times New Roman" w:cs="Times New Roman"/>
          <w:sz w:val="24"/>
          <w:szCs w:val="24"/>
          <w:lang w:eastAsia="lv-LV"/>
        </w:rPr>
      </w:pPr>
    </w:p>
    <w:p w14:paraId="0681223F" w14:textId="77777777" w:rsidR="0061737C" w:rsidRPr="00461101" w:rsidRDefault="0061737C" w:rsidP="00B32B3D">
      <w:pPr>
        <w:pStyle w:val="ListParagraph"/>
        <w:numPr>
          <w:ilvl w:val="0"/>
          <w:numId w:val="32"/>
        </w:numPr>
        <w:shd w:val="clear" w:color="auto" w:fill="BDD6EE" w:themeFill="accent1" w:themeFillTint="66"/>
        <w:spacing w:after="120" w:line="240" w:lineRule="auto"/>
        <w:contextualSpacing w:val="0"/>
        <w:jc w:val="both"/>
        <w:rPr>
          <w:rFonts w:ascii="Times New Roman" w:hAnsi="Times New Roman" w:cs="Times New Roman"/>
          <w:b/>
          <w:sz w:val="28"/>
          <w:szCs w:val="28"/>
        </w:rPr>
      </w:pPr>
      <w:r w:rsidRPr="00461101">
        <w:rPr>
          <w:rFonts w:ascii="Times New Roman" w:hAnsi="Times New Roman" w:cs="Times New Roman"/>
          <w:b/>
          <w:sz w:val="28"/>
          <w:szCs w:val="28"/>
        </w:rPr>
        <w:t>Fiskāli neitrāli ministriju priekšlikumi budžeta prioritāšu nodrošināšanai</w:t>
      </w:r>
    </w:p>
    <w:p w14:paraId="230B711A" w14:textId="6BD290F3" w:rsidR="0061737C" w:rsidRPr="00461101" w:rsidRDefault="00245E33" w:rsidP="00DD5A39">
      <w:pPr>
        <w:spacing w:before="120" w:after="12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M</w:t>
      </w:r>
      <w:r w:rsidR="00A30AD2" w:rsidRPr="00461101">
        <w:rPr>
          <w:rFonts w:ascii="Times New Roman" w:hAnsi="Times New Roman" w:cs="Times New Roman"/>
          <w:sz w:val="24"/>
          <w:szCs w:val="24"/>
        </w:rPr>
        <w:t>inistrij</w:t>
      </w:r>
      <w:r>
        <w:rPr>
          <w:rFonts w:ascii="Times New Roman" w:hAnsi="Times New Roman" w:cs="Times New Roman"/>
          <w:sz w:val="24"/>
          <w:szCs w:val="24"/>
        </w:rPr>
        <w:t>as</w:t>
      </w:r>
      <w:r w:rsidR="00A30AD2" w:rsidRPr="00461101">
        <w:rPr>
          <w:rFonts w:ascii="Times New Roman" w:hAnsi="Times New Roman" w:cs="Times New Roman"/>
          <w:sz w:val="24"/>
          <w:szCs w:val="24"/>
        </w:rPr>
        <w:t xml:space="preserve"> </w:t>
      </w:r>
      <w:r w:rsidR="00A30AD2" w:rsidRPr="00461101">
        <w:rPr>
          <w:rFonts w:ascii="Times New Roman" w:hAnsi="Times New Roman" w:cs="Times New Roman"/>
          <w:sz w:val="24"/>
          <w:szCs w:val="24"/>
          <w:shd w:val="clear" w:color="auto" w:fill="FFFFFF"/>
        </w:rPr>
        <w:t>ir iesnieg</w:t>
      </w:r>
      <w:r>
        <w:rPr>
          <w:rFonts w:ascii="Times New Roman" w:hAnsi="Times New Roman" w:cs="Times New Roman"/>
          <w:sz w:val="24"/>
          <w:szCs w:val="24"/>
          <w:shd w:val="clear" w:color="auto" w:fill="FFFFFF"/>
        </w:rPr>
        <w:t>ušas</w:t>
      </w:r>
      <w:r w:rsidR="00A30AD2" w:rsidRPr="00461101">
        <w:rPr>
          <w:rFonts w:ascii="Times New Roman" w:hAnsi="Times New Roman" w:cs="Times New Roman"/>
          <w:sz w:val="24"/>
          <w:szCs w:val="24"/>
          <w:shd w:val="clear" w:color="auto" w:fill="FFFFFF"/>
        </w:rPr>
        <w:t xml:space="preserve"> </w:t>
      </w:r>
      <w:r w:rsidR="00A222D8" w:rsidRPr="00461101">
        <w:rPr>
          <w:rFonts w:ascii="Times New Roman" w:hAnsi="Times New Roman" w:cs="Times New Roman"/>
          <w:sz w:val="24"/>
          <w:szCs w:val="24"/>
          <w:shd w:val="clear" w:color="auto" w:fill="FFFFFF"/>
        </w:rPr>
        <w:t xml:space="preserve">Finanšu ministrijā </w:t>
      </w:r>
      <w:r w:rsidR="00A30AD2" w:rsidRPr="00461101">
        <w:rPr>
          <w:rFonts w:ascii="Times New Roman" w:hAnsi="Times New Roman" w:cs="Times New Roman"/>
          <w:sz w:val="24"/>
          <w:szCs w:val="24"/>
          <w:shd w:val="clear" w:color="auto" w:fill="FFFFFF"/>
        </w:rPr>
        <w:t>fiskāli neitrālus</w:t>
      </w:r>
      <w:r w:rsidR="00A222D8" w:rsidRPr="00461101">
        <w:rPr>
          <w:rFonts w:ascii="Times New Roman" w:hAnsi="Times New Roman" w:cs="Times New Roman"/>
          <w:sz w:val="24"/>
          <w:szCs w:val="24"/>
          <w:shd w:val="clear" w:color="auto" w:fill="FFFFFF"/>
        </w:rPr>
        <w:t xml:space="preserve"> priekšlikum</w:t>
      </w:r>
      <w:r w:rsidR="00A30AD2" w:rsidRPr="00461101">
        <w:rPr>
          <w:rFonts w:ascii="Times New Roman" w:hAnsi="Times New Roman" w:cs="Times New Roman"/>
          <w:sz w:val="24"/>
          <w:szCs w:val="24"/>
          <w:shd w:val="clear" w:color="auto" w:fill="FFFFFF"/>
        </w:rPr>
        <w:t>us</w:t>
      </w:r>
      <w:r w:rsidR="00A222D8" w:rsidRPr="00461101">
        <w:rPr>
          <w:rFonts w:ascii="Times New Roman" w:hAnsi="Times New Roman" w:cs="Times New Roman"/>
          <w:sz w:val="24"/>
          <w:szCs w:val="24"/>
          <w:shd w:val="clear" w:color="auto" w:fill="FFFFFF"/>
        </w:rPr>
        <w:t xml:space="preserve"> bu</w:t>
      </w:r>
      <w:r w:rsidR="00A30AD2" w:rsidRPr="00461101">
        <w:rPr>
          <w:rFonts w:ascii="Times New Roman" w:hAnsi="Times New Roman" w:cs="Times New Roman"/>
          <w:sz w:val="24"/>
          <w:szCs w:val="24"/>
          <w:shd w:val="clear" w:color="auto" w:fill="FFFFFF"/>
        </w:rPr>
        <w:t>džeta prioritāšu nodrošināšanai</w:t>
      </w:r>
      <w:r w:rsidR="00FB4D74">
        <w:rPr>
          <w:rFonts w:ascii="Times New Roman" w:hAnsi="Times New Roman" w:cs="Times New Roman"/>
          <w:sz w:val="24"/>
          <w:szCs w:val="24"/>
          <w:shd w:val="clear" w:color="auto" w:fill="FFFFFF"/>
        </w:rPr>
        <w:t xml:space="preserve"> atbilstoši valdībā pieņemtiem lēmumiem</w:t>
      </w:r>
      <w:r w:rsidR="00A30AD2" w:rsidRPr="00461101">
        <w:rPr>
          <w:rFonts w:ascii="Times New Roman" w:hAnsi="Times New Roman" w:cs="Times New Roman"/>
          <w:sz w:val="24"/>
          <w:szCs w:val="24"/>
          <w:shd w:val="clear" w:color="auto" w:fill="FFFFFF"/>
        </w:rPr>
        <w:t>.</w:t>
      </w:r>
      <w:r w:rsidR="00A222D8" w:rsidRPr="00461101">
        <w:rPr>
          <w:rFonts w:ascii="Times New Roman" w:hAnsi="Times New Roman" w:cs="Times New Roman"/>
          <w:sz w:val="24"/>
          <w:szCs w:val="24"/>
          <w:shd w:val="clear" w:color="auto" w:fill="FFFFFF"/>
        </w:rPr>
        <w:t xml:space="preserve"> </w:t>
      </w:r>
    </w:p>
    <w:p w14:paraId="6FE5EB33" w14:textId="77777777" w:rsidR="00522A46" w:rsidRPr="00FB0B3E" w:rsidRDefault="00522A46" w:rsidP="00522A46">
      <w:pPr>
        <w:spacing w:before="120" w:after="120" w:line="240" w:lineRule="auto"/>
        <w:jc w:val="both"/>
        <w:rPr>
          <w:rFonts w:ascii="Times New Roman" w:hAnsi="Times New Roman" w:cs="Times New Roman"/>
          <w:sz w:val="20"/>
          <w:szCs w:val="20"/>
        </w:rPr>
      </w:pPr>
    </w:p>
    <w:p w14:paraId="67C72A04" w14:textId="4353A995" w:rsidR="007729AC" w:rsidRPr="007729AC" w:rsidRDefault="00A23F3F" w:rsidP="00937110">
      <w:pPr>
        <w:pStyle w:val="ListParagraph"/>
        <w:numPr>
          <w:ilvl w:val="1"/>
          <w:numId w:val="20"/>
        </w:numPr>
        <w:shd w:val="clear" w:color="auto" w:fill="DEEAF6" w:themeFill="accent1" w:themeFillTint="33"/>
        <w:spacing w:after="120" w:line="240" w:lineRule="auto"/>
        <w:ind w:left="714" w:hanging="357"/>
        <w:contextualSpacing w:val="0"/>
        <w:jc w:val="both"/>
        <w:rPr>
          <w:rFonts w:ascii="Times New Roman" w:hAnsi="Times New Roman" w:cs="Times New Roman"/>
          <w:b/>
          <w:sz w:val="24"/>
          <w:szCs w:val="24"/>
        </w:rPr>
      </w:pPr>
      <w:r w:rsidRPr="007729AC">
        <w:rPr>
          <w:rFonts w:ascii="Times New Roman" w:hAnsi="Times New Roman" w:cs="Times New Roman"/>
          <w:b/>
          <w:sz w:val="24"/>
          <w:szCs w:val="24"/>
        </w:rPr>
        <w:t xml:space="preserve"> </w:t>
      </w:r>
      <w:r w:rsidR="007729AC">
        <w:rPr>
          <w:rFonts w:ascii="Times New Roman" w:hAnsi="Times New Roman" w:cs="Times New Roman"/>
          <w:b/>
          <w:bCs/>
          <w:sz w:val="24"/>
          <w:szCs w:val="24"/>
        </w:rPr>
        <w:t>Iekšlietu</w:t>
      </w:r>
      <w:r w:rsidR="007729AC" w:rsidRPr="007729AC">
        <w:rPr>
          <w:rFonts w:ascii="Times New Roman" w:hAnsi="Times New Roman" w:cs="Times New Roman"/>
          <w:b/>
          <w:bCs/>
          <w:sz w:val="24"/>
          <w:szCs w:val="24"/>
        </w:rPr>
        <w:t xml:space="preserve"> ministrijas priekšlikums</w:t>
      </w:r>
    </w:p>
    <w:p w14:paraId="3EAFEEEE" w14:textId="60970FD1" w:rsidR="007729AC" w:rsidRPr="007729AC" w:rsidRDefault="007729AC" w:rsidP="007729AC">
      <w:pPr>
        <w:spacing w:after="120" w:line="240" w:lineRule="auto"/>
        <w:ind w:firstLine="714"/>
        <w:jc w:val="both"/>
        <w:rPr>
          <w:rFonts w:ascii="Times New Roman" w:eastAsia="Calibri" w:hAnsi="Times New Roman" w:cs="Times New Roman"/>
          <w:sz w:val="24"/>
          <w:szCs w:val="24"/>
        </w:rPr>
      </w:pPr>
      <w:r>
        <w:rPr>
          <w:rFonts w:ascii="Times New Roman" w:eastAsia="Calibri" w:hAnsi="Times New Roman" w:cs="Times New Roman"/>
          <w:sz w:val="24"/>
          <w:szCs w:val="24"/>
        </w:rPr>
        <w:t>Iekšlietu</w:t>
      </w:r>
      <w:r w:rsidRPr="007729AC">
        <w:rPr>
          <w:rFonts w:ascii="Times New Roman" w:eastAsia="Calibri" w:hAnsi="Times New Roman" w:cs="Times New Roman"/>
          <w:sz w:val="24"/>
          <w:szCs w:val="24"/>
        </w:rPr>
        <w:t xml:space="preserve"> ministrija (turpmāk – </w:t>
      </w:r>
      <w:r>
        <w:rPr>
          <w:rFonts w:ascii="Times New Roman" w:eastAsia="Calibri" w:hAnsi="Times New Roman" w:cs="Times New Roman"/>
          <w:sz w:val="24"/>
          <w:szCs w:val="24"/>
        </w:rPr>
        <w:t>Ie</w:t>
      </w:r>
      <w:r w:rsidRPr="007729AC">
        <w:rPr>
          <w:rFonts w:ascii="Times New Roman" w:eastAsia="Calibri" w:hAnsi="Times New Roman" w:cs="Times New Roman"/>
          <w:sz w:val="24"/>
          <w:szCs w:val="24"/>
        </w:rPr>
        <w:t xml:space="preserve">M) likumprojekta “Par valsts budžetu 2022.gadam” un likumprojekta “Par vidēja termiņa budžeta ietvaru 2022., 2023. un 2024.gadam” sagatavošanas </w:t>
      </w:r>
      <w:r w:rsidRPr="007729AC">
        <w:rPr>
          <w:rFonts w:ascii="Times New Roman" w:eastAsia="Calibri" w:hAnsi="Times New Roman" w:cs="Times New Roman"/>
          <w:sz w:val="24"/>
          <w:szCs w:val="24"/>
        </w:rPr>
        <w:lastRenderedPageBreak/>
        <w:t xml:space="preserve">procesā ir iesniegusi fiskāli neitrālu priekšlikumu, rosinot palielināt valsts pamatbudžeta </w:t>
      </w:r>
      <w:r w:rsidRPr="0028122C">
        <w:rPr>
          <w:rFonts w:ascii="Times New Roman" w:hAnsi="Times New Roman"/>
          <w:sz w:val="24"/>
          <w:szCs w:val="24"/>
          <w:lang w:eastAsia="lv-LV"/>
        </w:rPr>
        <w:t>ieņēmumu</w:t>
      </w:r>
      <w:r>
        <w:rPr>
          <w:rFonts w:ascii="Times New Roman" w:hAnsi="Times New Roman"/>
          <w:sz w:val="24"/>
          <w:szCs w:val="24"/>
          <w:lang w:eastAsia="lv-LV"/>
        </w:rPr>
        <w:t xml:space="preserve"> prognozes</w:t>
      </w:r>
      <w:r w:rsidRPr="0028122C">
        <w:rPr>
          <w:rFonts w:ascii="Times New Roman" w:hAnsi="Times New Roman"/>
          <w:sz w:val="24"/>
          <w:szCs w:val="24"/>
          <w:lang w:eastAsia="lv-LV"/>
        </w:rPr>
        <w:t xml:space="preserve"> no </w:t>
      </w:r>
      <w:r>
        <w:rPr>
          <w:rFonts w:ascii="Times New Roman" w:hAnsi="Times New Roman"/>
          <w:sz w:val="24"/>
          <w:szCs w:val="24"/>
          <w:lang w:eastAsia="lv-LV"/>
        </w:rPr>
        <w:t>pārējiem naudas sodiem, ko uzliek Valsts policija par pārkāpumiem ceļu satiksmē</w:t>
      </w:r>
      <w:r w:rsidRPr="007729AC">
        <w:rPr>
          <w:rFonts w:ascii="Times New Roman" w:eastAsia="Calibri" w:hAnsi="Times New Roman" w:cs="Times New Roman"/>
          <w:sz w:val="24"/>
          <w:szCs w:val="24"/>
        </w:rPr>
        <w:t xml:space="preserve"> un attiecīgi palielināt dotāciju no vispārējiem ieņēmumiem un izdevumus </w:t>
      </w:r>
      <w:r>
        <w:rPr>
          <w:rFonts w:ascii="Times New Roman" w:eastAsia="Calibri" w:hAnsi="Times New Roman" w:cs="Times New Roman"/>
          <w:sz w:val="24"/>
          <w:szCs w:val="24"/>
        </w:rPr>
        <w:t>Ie</w:t>
      </w:r>
      <w:r w:rsidRPr="007729AC">
        <w:rPr>
          <w:rFonts w:ascii="Times New Roman" w:eastAsia="Calibri" w:hAnsi="Times New Roman" w:cs="Times New Roman"/>
          <w:sz w:val="24"/>
          <w:szCs w:val="24"/>
        </w:rPr>
        <w:t>M budžetā.</w:t>
      </w:r>
    </w:p>
    <w:p w14:paraId="541619CE" w14:textId="77777777" w:rsidR="007729AC" w:rsidRDefault="007729AC" w:rsidP="007729AC">
      <w:pPr>
        <w:spacing w:after="12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Lai nodrošinātu transportlīdzekļu nomai no 2022. gada līdz 2027. gadam un turpmāk katru gadu papildu nepieciešamo finansējumu, kā daļējs finansējuma avots tiek paredzēts valsts pamatbudžeta ieņēmumu palielinājums no  papildu plānotajiem ieņēmumiem no pārējiem naudas sodiem, ko uzliek Valsts policija par pārkāpumiem ceļu satiksmē (turpmāk – naudas sodi). Tiek prognozēts ieņēmumu palielinājums no naudas sodiem, </w:t>
      </w:r>
      <w:r>
        <w:rPr>
          <w:rFonts w:ascii="Times New Roman" w:hAnsi="Times New Roman"/>
          <w:i/>
          <w:sz w:val="24"/>
          <w:szCs w:val="24"/>
        </w:rPr>
        <w:t xml:space="preserve"> </w:t>
      </w:r>
      <w:r>
        <w:rPr>
          <w:rFonts w:ascii="Times New Roman" w:hAnsi="Times New Roman"/>
          <w:sz w:val="24"/>
          <w:szCs w:val="24"/>
        </w:rPr>
        <w:t>jo, stājoties spēkā Administratīvās atbildības likumam no 2020. gada 1. jūlija, būtiski samazinājies naudas sodu samaksas termiņš un atbilstoši grozījumiem Ceļu satiksmes likuma 62. pantā (pieņemts 2019.gada 12.decembrī, spēkā no 2020.gada 13.janvāra) palielinājies naudas soda apmērs par transportlīdzekļa vadīšanu vai mācīšanu vadīt transportlīdzekli, atrodoties alkohola,</w:t>
      </w:r>
      <w:r w:rsidRPr="006E757A">
        <w:rPr>
          <w:rFonts w:ascii="Times New Roman" w:hAnsi="Times New Roman"/>
          <w:sz w:val="24"/>
          <w:szCs w:val="24"/>
        </w:rPr>
        <w:t xml:space="preserve"> </w:t>
      </w:r>
      <w:r>
        <w:rPr>
          <w:rFonts w:ascii="Times New Roman" w:hAnsi="Times New Roman"/>
          <w:sz w:val="24"/>
          <w:szCs w:val="24"/>
        </w:rPr>
        <w:t xml:space="preserve">narkotisko, psihotropo, toksisko vai citu apreibinošu vielu ietekmē, kā arī atteikšanos no medicīniskās pārbaudes. </w:t>
      </w:r>
    </w:p>
    <w:p w14:paraId="4E5DAA0A" w14:textId="332282BA" w:rsidR="007729AC" w:rsidRDefault="007729AC" w:rsidP="007729AC">
      <w:pPr>
        <w:spacing w:after="120" w:line="240" w:lineRule="auto"/>
        <w:ind w:firstLine="720"/>
        <w:jc w:val="both"/>
        <w:rPr>
          <w:rFonts w:ascii="Times New Roman" w:hAnsi="Times New Roman"/>
          <w:sz w:val="24"/>
          <w:szCs w:val="24"/>
        </w:rPr>
      </w:pPr>
      <w:r>
        <w:rPr>
          <w:rFonts w:ascii="Times New Roman" w:hAnsi="Times New Roman"/>
          <w:sz w:val="24"/>
          <w:szCs w:val="24"/>
        </w:rPr>
        <w:t xml:space="preserve">2020.gadā ieņēmumi no naudas sodiem bija 9 703 064 </w:t>
      </w:r>
      <w:r>
        <w:rPr>
          <w:rFonts w:ascii="Times New Roman" w:hAnsi="Times New Roman"/>
          <w:i/>
          <w:sz w:val="24"/>
          <w:szCs w:val="24"/>
        </w:rPr>
        <w:t>euro</w:t>
      </w:r>
      <w:r>
        <w:rPr>
          <w:rFonts w:ascii="Times New Roman" w:hAnsi="Times New Roman"/>
          <w:sz w:val="24"/>
          <w:szCs w:val="24"/>
        </w:rPr>
        <w:t xml:space="preserve"> (2020.gada plāns 7 843 008 </w:t>
      </w:r>
      <w:r>
        <w:rPr>
          <w:rFonts w:ascii="Times New Roman" w:hAnsi="Times New Roman"/>
          <w:i/>
          <w:sz w:val="24"/>
          <w:szCs w:val="24"/>
        </w:rPr>
        <w:t>euro,</w:t>
      </w:r>
      <w:r>
        <w:rPr>
          <w:rFonts w:ascii="Times New Roman" w:hAnsi="Times New Roman"/>
          <w:sz w:val="24"/>
          <w:szCs w:val="24"/>
        </w:rPr>
        <w:t xml:space="preserve"> izpilde pret 2020.gada plānoto ir 123,7% jeb 1 860 056 </w:t>
      </w:r>
      <w:r w:rsidRPr="00C56124">
        <w:rPr>
          <w:rFonts w:ascii="Times New Roman" w:hAnsi="Times New Roman"/>
          <w:i/>
          <w:sz w:val="24"/>
          <w:szCs w:val="24"/>
        </w:rPr>
        <w:t>euro</w:t>
      </w:r>
      <w:r>
        <w:rPr>
          <w:rFonts w:ascii="Times New Roman" w:hAnsi="Times New Roman"/>
          <w:sz w:val="24"/>
          <w:szCs w:val="24"/>
        </w:rPr>
        <w:t xml:space="preserve">). Savukārt 2021.gadā izpilde 8 mēnešos ir 7 540 116 </w:t>
      </w:r>
      <w:r w:rsidRPr="00D63E02">
        <w:rPr>
          <w:rFonts w:ascii="Times New Roman" w:hAnsi="Times New Roman"/>
          <w:i/>
          <w:sz w:val="24"/>
          <w:szCs w:val="24"/>
        </w:rPr>
        <w:t>euro</w:t>
      </w:r>
      <w:r>
        <w:rPr>
          <w:rFonts w:ascii="Times New Roman" w:hAnsi="Times New Roman"/>
          <w:sz w:val="24"/>
          <w:szCs w:val="24"/>
        </w:rPr>
        <w:t xml:space="preserve">. 2022.gadā un 2023.gadā plānotie ieņēmumi no naudas sodiem ir 8 143 </w:t>
      </w:r>
      <w:r w:rsidRPr="00FB05C4">
        <w:rPr>
          <w:rFonts w:ascii="Times New Roman" w:hAnsi="Times New Roman"/>
          <w:sz w:val="24"/>
          <w:szCs w:val="24"/>
        </w:rPr>
        <w:t xml:space="preserve">008 </w:t>
      </w:r>
      <w:r w:rsidRPr="00FB05C4">
        <w:rPr>
          <w:rFonts w:ascii="Times New Roman" w:hAnsi="Times New Roman"/>
          <w:i/>
          <w:sz w:val="24"/>
          <w:szCs w:val="24"/>
        </w:rPr>
        <w:t>euro</w:t>
      </w:r>
      <w:r w:rsidRPr="00FB05C4">
        <w:rPr>
          <w:rFonts w:ascii="Times New Roman" w:hAnsi="Times New Roman"/>
          <w:sz w:val="24"/>
          <w:szCs w:val="24"/>
        </w:rPr>
        <w:t>, tādējādi ieņēmumu no naudas sodiem palielinājuma prognoze (palielinājums par 1 550 000 </w:t>
      </w:r>
      <w:r w:rsidRPr="00FB05C4">
        <w:rPr>
          <w:rFonts w:ascii="Times New Roman" w:hAnsi="Times New Roman"/>
          <w:i/>
          <w:sz w:val="24"/>
          <w:szCs w:val="24"/>
        </w:rPr>
        <w:t>euro</w:t>
      </w:r>
      <w:r w:rsidRPr="00FB05C4">
        <w:rPr>
          <w:rFonts w:ascii="Times New Roman" w:hAnsi="Times New Roman"/>
          <w:sz w:val="24"/>
          <w:szCs w:val="24"/>
        </w:rPr>
        <w:t xml:space="preserve">) no 2022.gada veikta, balstoties uz naudas sodu regulējošo normatīvo aktu izmaiņām un šo ieņēmumu izpildes rādītājiem. </w:t>
      </w:r>
    </w:p>
    <w:p w14:paraId="43165A90" w14:textId="6ED279FA" w:rsidR="007729AC" w:rsidRDefault="007729AC" w:rsidP="007729AC">
      <w:pPr>
        <w:spacing w:after="120" w:line="240" w:lineRule="auto"/>
        <w:ind w:firstLine="720"/>
        <w:jc w:val="both"/>
        <w:rPr>
          <w:rFonts w:ascii="Times New Roman" w:hAnsi="Times New Roman"/>
          <w:sz w:val="24"/>
          <w:szCs w:val="24"/>
        </w:rPr>
      </w:pPr>
      <w:r w:rsidRPr="00FB05C4">
        <w:rPr>
          <w:rFonts w:ascii="Times New Roman" w:hAnsi="Times New Roman"/>
          <w:sz w:val="24"/>
          <w:szCs w:val="24"/>
        </w:rPr>
        <w:t>Minētie papildu ieņēmumi ir viens no finansējuma avotiem papildu izdevumu segšanai transportlīdzekļu nodrošināšanai Valsts policijai atbilstoši Ministru kabineta 2021.gada 6.jūlija sēdē (prot. Nr.51, 96.§) izskatītajam informatīvajam ziņojumam “Par Valsts policijas funkciju nodrošināšanai nepieciešamo transportlīdzekļu nomu 2022.gadam un turpmākajiem gadiem”.</w:t>
      </w:r>
    </w:p>
    <w:p w14:paraId="06560818" w14:textId="77777777" w:rsidR="00276F6D" w:rsidRPr="00276F6D" w:rsidRDefault="00276F6D" w:rsidP="00276F6D">
      <w:pPr>
        <w:spacing w:before="120" w:after="120" w:line="240" w:lineRule="auto"/>
        <w:jc w:val="both"/>
        <w:rPr>
          <w:rFonts w:ascii="Times New Roman" w:hAnsi="Times New Roman" w:cs="Times New Roman"/>
          <w:b/>
          <w:sz w:val="24"/>
          <w:szCs w:val="24"/>
        </w:rPr>
      </w:pPr>
    </w:p>
    <w:p w14:paraId="627CF857" w14:textId="606854C2" w:rsidR="00017D0C" w:rsidRPr="00A23F3F" w:rsidRDefault="00090EF5" w:rsidP="00276F6D">
      <w:pPr>
        <w:pStyle w:val="ListParagraph"/>
        <w:numPr>
          <w:ilvl w:val="1"/>
          <w:numId w:val="20"/>
        </w:numPr>
        <w:shd w:val="clear" w:color="auto" w:fill="DEEAF6" w:themeFill="accent1" w:themeFillTint="33"/>
        <w:spacing w:after="120" w:line="240" w:lineRule="auto"/>
        <w:ind w:left="714" w:hanging="357"/>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 </w:t>
      </w:r>
      <w:r w:rsidR="00017D0C" w:rsidRPr="00A23F3F">
        <w:rPr>
          <w:rFonts w:ascii="Times New Roman" w:hAnsi="Times New Roman" w:cs="Times New Roman"/>
          <w:b/>
          <w:sz w:val="24"/>
          <w:szCs w:val="24"/>
        </w:rPr>
        <w:t xml:space="preserve">Vides aizsardzības un reģionālās attīstības ministrijas </w:t>
      </w:r>
      <w:r w:rsidR="001C0B4A">
        <w:rPr>
          <w:rFonts w:ascii="Times New Roman" w:hAnsi="Times New Roman" w:cs="Times New Roman"/>
          <w:b/>
          <w:sz w:val="24"/>
          <w:szCs w:val="24"/>
        </w:rPr>
        <w:t xml:space="preserve">(sadarbībā ar Satiksmes ministriju) </w:t>
      </w:r>
      <w:r w:rsidR="00017D0C" w:rsidRPr="00A23F3F">
        <w:rPr>
          <w:rFonts w:ascii="Times New Roman" w:hAnsi="Times New Roman" w:cs="Times New Roman"/>
          <w:b/>
          <w:sz w:val="24"/>
          <w:szCs w:val="24"/>
        </w:rPr>
        <w:t>priekšlikums</w:t>
      </w:r>
      <w:r w:rsidR="001C0B4A">
        <w:rPr>
          <w:rFonts w:ascii="Times New Roman" w:hAnsi="Times New Roman" w:cs="Times New Roman"/>
          <w:b/>
          <w:sz w:val="24"/>
          <w:szCs w:val="24"/>
        </w:rPr>
        <w:t xml:space="preserve"> </w:t>
      </w:r>
    </w:p>
    <w:p w14:paraId="2E5F7D48" w14:textId="77777777" w:rsidR="00E77FC3" w:rsidRDefault="00E77FC3" w:rsidP="00C068AF">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Vides aizsardzības un reģionālās attīstības ministrija (turpmāk – VARAM) sadarbībā ar Satiksmes ministriju (turpmāk – SM) likumprojekta “Par valsts budžetu 2022.gadam” un likumprojekta “Par vidēja termiņa budžeta ietvaru 2022., 2023. un 2024.gadam” sagatavošanas procesā ar VARAM 2021.gada 16.jūlija vēstuli Nr.1</w:t>
      </w:r>
      <w:r>
        <w:rPr>
          <w:rFonts w:ascii="Times New Roman" w:hAnsi="Times New Roman" w:cs="Times New Roman"/>
          <w:sz w:val="24"/>
          <w:szCs w:val="24"/>
        </w:rPr>
        <w:noBreakHyphen/>
      </w:r>
      <w:r w:rsidRPr="00CE3146">
        <w:rPr>
          <w:rFonts w:ascii="Times New Roman" w:hAnsi="Times New Roman" w:cs="Times New Roman"/>
          <w:sz w:val="24"/>
          <w:szCs w:val="24"/>
        </w:rPr>
        <w:t>132/6721</w:t>
      </w:r>
      <w:r>
        <w:rPr>
          <w:rFonts w:ascii="Times New Roman" w:hAnsi="Times New Roman" w:cs="Times New Roman"/>
          <w:sz w:val="24"/>
          <w:szCs w:val="24"/>
        </w:rPr>
        <w:t xml:space="preserve"> ir iesniegusi fiskāli neitrālu priekšlikumu, rosinot palielināt valsts pamatbudžeta ieņēmumus no numerācijas </w:t>
      </w:r>
      <w:r w:rsidRPr="00F864C7">
        <w:rPr>
          <w:rFonts w:ascii="Times New Roman" w:hAnsi="Times New Roman" w:cs="Times New Roman"/>
          <w:sz w:val="24"/>
          <w:szCs w:val="24"/>
        </w:rPr>
        <w:t>lietošanas tiesību ikgadējās valsts nodevas</w:t>
      </w:r>
      <w:r>
        <w:rPr>
          <w:rFonts w:ascii="Times New Roman" w:hAnsi="Times New Roman" w:cs="Times New Roman"/>
          <w:sz w:val="24"/>
          <w:szCs w:val="24"/>
        </w:rPr>
        <w:t xml:space="preserve"> un attiecīgi palielināt dotāciju no vispārējiem ieņēmumiem un izdevumus VARAM un SM budžetā.</w:t>
      </w:r>
    </w:p>
    <w:p w14:paraId="2056123E" w14:textId="77777777" w:rsidR="00E77FC3" w:rsidRDefault="00E77FC3" w:rsidP="00C068AF">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Ievērojot Ministru kabineta </w:t>
      </w:r>
      <w:r w:rsidRPr="00F31ABD">
        <w:rPr>
          <w:rFonts w:ascii="Times New Roman" w:hAnsi="Times New Roman" w:cs="Times New Roman"/>
          <w:sz w:val="24"/>
          <w:szCs w:val="24"/>
        </w:rPr>
        <w:t>2020.gada</w:t>
      </w:r>
      <w:r>
        <w:rPr>
          <w:rFonts w:ascii="Times New Roman" w:hAnsi="Times New Roman" w:cs="Times New Roman"/>
          <w:sz w:val="24"/>
          <w:szCs w:val="24"/>
        </w:rPr>
        <w:t xml:space="preserve"> 17.decembra  noteikumos Nr. 828 “</w:t>
      </w:r>
      <w:r w:rsidRPr="00F31ABD">
        <w:rPr>
          <w:rFonts w:ascii="Times New Roman" w:hAnsi="Times New Roman" w:cs="Times New Roman"/>
          <w:sz w:val="24"/>
          <w:szCs w:val="24"/>
        </w:rPr>
        <w:t xml:space="preserve">Noteikumi par numerācijas lietošanas </w:t>
      </w:r>
      <w:r>
        <w:rPr>
          <w:rFonts w:ascii="Times New Roman" w:hAnsi="Times New Roman" w:cs="Times New Roman"/>
          <w:sz w:val="24"/>
          <w:szCs w:val="24"/>
        </w:rPr>
        <w:t>tiesību ikgadējo valsts nodevu” paredzēto ar nodevu aplikt visus numerācijas resursus, to anotācijā un tās pielikumā sniegtos aprēķinus</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iepriekš minētās ministrijas plāno, ka </w:t>
      </w:r>
      <w:r w:rsidRPr="00E21168">
        <w:rPr>
          <w:rFonts w:ascii="Times New Roman" w:hAnsi="Times New Roman" w:cs="Times New Roman"/>
          <w:sz w:val="24"/>
          <w:szCs w:val="24"/>
        </w:rPr>
        <w:t xml:space="preserve">valsts pamatbudžeta </w:t>
      </w:r>
      <w:r>
        <w:rPr>
          <w:rFonts w:ascii="Times New Roman" w:hAnsi="Times New Roman" w:cs="Times New Roman"/>
          <w:sz w:val="24"/>
          <w:szCs w:val="24"/>
        </w:rPr>
        <w:t>ieņēmumi</w:t>
      </w:r>
      <w:r w:rsidRPr="00E21168">
        <w:rPr>
          <w:rFonts w:ascii="Times New Roman" w:hAnsi="Times New Roman" w:cs="Times New Roman"/>
          <w:sz w:val="24"/>
          <w:szCs w:val="24"/>
        </w:rPr>
        <w:t xml:space="preserve"> no numerācijas lietošanas tiesību ikgadējās valsts nodevas</w:t>
      </w:r>
      <w:r>
        <w:rPr>
          <w:rFonts w:ascii="Times New Roman" w:hAnsi="Times New Roman" w:cs="Times New Roman"/>
          <w:sz w:val="24"/>
          <w:szCs w:val="24"/>
        </w:rPr>
        <w:t xml:space="preserve"> būs šādā apmērā:</w:t>
      </w:r>
    </w:p>
    <w:p w14:paraId="21069B42" w14:textId="77777777" w:rsidR="00E77FC3" w:rsidRDefault="00E77FC3" w:rsidP="00C068AF">
      <w:pPr>
        <w:pStyle w:val="ListParagraph"/>
        <w:numPr>
          <w:ilvl w:val="0"/>
          <w:numId w:val="25"/>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2022.gadā</w:t>
      </w:r>
      <w:r w:rsidRPr="00913D87">
        <w:rPr>
          <w:rFonts w:ascii="Times New Roman" w:hAnsi="Times New Roman" w:cs="Times New Roman"/>
          <w:sz w:val="24"/>
          <w:szCs w:val="24"/>
        </w:rPr>
        <w:t xml:space="preserve"> 580 360 </w:t>
      </w:r>
      <w:r w:rsidRPr="00913D87">
        <w:rPr>
          <w:rFonts w:ascii="Times New Roman" w:hAnsi="Times New Roman" w:cs="Times New Roman"/>
          <w:i/>
          <w:sz w:val="24"/>
          <w:szCs w:val="24"/>
        </w:rPr>
        <w:t>euro</w:t>
      </w:r>
      <w:r w:rsidRPr="00913D87">
        <w:rPr>
          <w:rFonts w:ascii="Times New Roman" w:hAnsi="Times New Roman" w:cs="Times New Roman"/>
          <w:sz w:val="24"/>
          <w:szCs w:val="24"/>
        </w:rPr>
        <w:t xml:space="preserve"> (palielinājums pret likumā “Par vidēja termiņa budžeta ietvaru 2021., 2022. un 2023.gadam” plānoto – 417 360 </w:t>
      </w:r>
      <w:r w:rsidRPr="00913D87">
        <w:rPr>
          <w:rFonts w:ascii="Times New Roman" w:hAnsi="Times New Roman" w:cs="Times New Roman"/>
          <w:i/>
          <w:sz w:val="24"/>
          <w:szCs w:val="24"/>
        </w:rPr>
        <w:t>euro</w:t>
      </w:r>
      <w:r w:rsidRPr="00913D87">
        <w:rPr>
          <w:rFonts w:ascii="Times New Roman" w:hAnsi="Times New Roman" w:cs="Times New Roman"/>
          <w:sz w:val="24"/>
          <w:szCs w:val="24"/>
        </w:rPr>
        <w:t xml:space="preserve">), </w:t>
      </w:r>
    </w:p>
    <w:p w14:paraId="157EF870" w14:textId="77777777" w:rsidR="00E77FC3" w:rsidRDefault="00E77FC3" w:rsidP="00C068AF">
      <w:pPr>
        <w:pStyle w:val="ListParagraph"/>
        <w:numPr>
          <w:ilvl w:val="0"/>
          <w:numId w:val="25"/>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2023.gadā </w:t>
      </w:r>
      <w:r w:rsidRPr="00913D87">
        <w:rPr>
          <w:rFonts w:ascii="Times New Roman" w:hAnsi="Times New Roman" w:cs="Times New Roman"/>
          <w:sz w:val="24"/>
          <w:szCs w:val="24"/>
        </w:rPr>
        <w:t xml:space="preserve">516 360 </w:t>
      </w:r>
      <w:r w:rsidRPr="00913D87">
        <w:rPr>
          <w:rFonts w:ascii="Times New Roman" w:hAnsi="Times New Roman" w:cs="Times New Roman"/>
          <w:i/>
          <w:sz w:val="24"/>
          <w:szCs w:val="24"/>
        </w:rPr>
        <w:t>euro</w:t>
      </w:r>
      <w:r w:rsidRPr="00913D87">
        <w:rPr>
          <w:rFonts w:ascii="Times New Roman" w:hAnsi="Times New Roman" w:cs="Times New Roman"/>
          <w:sz w:val="24"/>
          <w:szCs w:val="24"/>
        </w:rPr>
        <w:t xml:space="preserve"> (palielinājums pret likumā “Par vidēja termiņa budžeta ietvaru 2021., 2022. un 2023.gadam” plānoto – 353 360 </w:t>
      </w:r>
      <w:r w:rsidRPr="00913D87">
        <w:rPr>
          <w:rFonts w:ascii="Times New Roman" w:hAnsi="Times New Roman" w:cs="Times New Roman"/>
          <w:i/>
          <w:sz w:val="24"/>
          <w:szCs w:val="24"/>
        </w:rPr>
        <w:t>euro</w:t>
      </w:r>
      <w:r w:rsidRPr="00913D87">
        <w:rPr>
          <w:rFonts w:ascii="Times New Roman" w:hAnsi="Times New Roman" w:cs="Times New Roman"/>
          <w:sz w:val="24"/>
          <w:szCs w:val="24"/>
        </w:rPr>
        <w:t xml:space="preserve">) </w:t>
      </w:r>
    </w:p>
    <w:p w14:paraId="430DA2C6" w14:textId="77777777" w:rsidR="00E77FC3" w:rsidRPr="00913D87" w:rsidRDefault="00E77FC3" w:rsidP="00C068AF">
      <w:pPr>
        <w:pStyle w:val="ListParagraph"/>
        <w:numPr>
          <w:ilvl w:val="0"/>
          <w:numId w:val="25"/>
        </w:numPr>
        <w:spacing w:after="120" w:line="240" w:lineRule="auto"/>
        <w:contextualSpacing w:val="0"/>
        <w:jc w:val="both"/>
        <w:rPr>
          <w:rFonts w:ascii="Times New Roman" w:hAnsi="Times New Roman" w:cs="Times New Roman"/>
          <w:sz w:val="24"/>
          <w:szCs w:val="24"/>
        </w:rPr>
      </w:pPr>
      <w:r w:rsidRPr="00913D87">
        <w:rPr>
          <w:rFonts w:ascii="Times New Roman" w:hAnsi="Times New Roman" w:cs="Times New Roman"/>
          <w:sz w:val="24"/>
          <w:szCs w:val="24"/>
        </w:rPr>
        <w:t xml:space="preserve">2024.gadā </w:t>
      </w:r>
      <w:r>
        <w:rPr>
          <w:rFonts w:ascii="Times New Roman" w:hAnsi="Times New Roman" w:cs="Times New Roman"/>
          <w:sz w:val="24"/>
          <w:szCs w:val="24"/>
        </w:rPr>
        <w:t xml:space="preserve">un turpmāk ik gadu </w:t>
      </w:r>
      <w:r w:rsidRPr="00913D87">
        <w:rPr>
          <w:rFonts w:ascii="Times New Roman" w:hAnsi="Times New Roman" w:cs="Times New Roman"/>
          <w:sz w:val="24"/>
          <w:szCs w:val="24"/>
        </w:rPr>
        <w:t xml:space="preserve">516 360 </w:t>
      </w:r>
      <w:r w:rsidRPr="00913D87">
        <w:rPr>
          <w:rFonts w:ascii="Times New Roman" w:hAnsi="Times New Roman" w:cs="Times New Roman"/>
          <w:i/>
          <w:sz w:val="24"/>
          <w:szCs w:val="24"/>
        </w:rPr>
        <w:t>euro</w:t>
      </w:r>
      <w:r w:rsidRPr="00913D87">
        <w:rPr>
          <w:rFonts w:ascii="Times New Roman" w:hAnsi="Times New Roman" w:cs="Times New Roman"/>
          <w:sz w:val="24"/>
          <w:szCs w:val="24"/>
        </w:rPr>
        <w:t>.</w:t>
      </w:r>
    </w:p>
    <w:p w14:paraId="7D2A67B5" w14:textId="77777777" w:rsidR="00E77FC3" w:rsidRDefault="00E77FC3" w:rsidP="00C068AF">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Ieņēmumu prognoze noteikta</w:t>
      </w:r>
      <w:r w:rsidRPr="00916C83">
        <w:rPr>
          <w:rFonts w:ascii="Times New Roman" w:hAnsi="Times New Roman" w:cs="Times New Roman"/>
          <w:sz w:val="24"/>
          <w:szCs w:val="24"/>
        </w:rPr>
        <w:t>, ņemot vērā esošo situāciju un esošo numerācijas resursu daudzumu, kas ir piešķirts komersantiem.</w:t>
      </w:r>
    </w:p>
    <w:p w14:paraId="5ED98C87" w14:textId="77777777" w:rsidR="00E77FC3" w:rsidRDefault="00E77FC3" w:rsidP="00C068AF">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Ņemot vērā ieņēmumu palielinājumu, VARAM un SM rosina</w:t>
      </w:r>
      <w:r w:rsidRPr="00117B53">
        <w:t xml:space="preserve"> </w:t>
      </w:r>
      <w:r w:rsidRPr="00117B53">
        <w:rPr>
          <w:rFonts w:ascii="Times New Roman" w:hAnsi="Times New Roman" w:cs="Times New Roman"/>
          <w:sz w:val="24"/>
          <w:szCs w:val="24"/>
        </w:rPr>
        <w:t>palielināt dotāciju no vispārējiem ieņēmumiem un izdevumus</w:t>
      </w:r>
      <w:r>
        <w:rPr>
          <w:rFonts w:ascii="Times New Roman" w:hAnsi="Times New Roman" w:cs="Times New Roman"/>
          <w:sz w:val="24"/>
          <w:szCs w:val="24"/>
        </w:rPr>
        <w:t>:</w:t>
      </w:r>
    </w:p>
    <w:p w14:paraId="5AF107F5" w14:textId="77777777" w:rsidR="00E77FC3" w:rsidRPr="00336FE6" w:rsidRDefault="00E77FC3" w:rsidP="00C068AF">
      <w:pPr>
        <w:pStyle w:val="ListParagraph"/>
        <w:numPr>
          <w:ilvl w:val="0"/>
          <w:numId w:val="26"/>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VARAM </w:t>
      </w:r>
      <w:r w:rsidRPr="00336FE6">
        <w:rPr>
          <w:rFonts w:ascii="Times New Roman" w:hAnsi="Times New Roman" w:cs="Times New Roman"/>
          <w:sz w:val="24"/>
          <w:szCs w:val="24"/>
        </w:rPr>
        <w:t xml:space="preserve">budžeta programmā 30.00.00 “Attīstības nacionālie atbalsta instrumenti” 2022.gadā 28 000 </w:t>
      </w:r>
      <w:r w:rsidRPr="00336FE6">
        <w:rPr>
          <w:rFonts w:ascii="Times New Roman" w:hAnsi="Times New Roman" w:cs="Times New Roman"/>
          <w:i/>
          <w:sz w:val="24"/>
          <w:szCs w:val="24"/>
        </w:rPr>
        <w:t>euro</w:t>
      </w:r>
      <w:r w:rsidRPr="00336FE6">
        <w:rPr>
          <w:rFonts w:ascii="Times New Roman" w:hAnsi="Times New Roman" w:cs="Times New Roman"/>
          <w:sz w:val="24"/>
          <w:szCs w:val="24"/>
        </w:rPr>
        <w:t xml:space="preserve">, 2023.gadā 28 000 </w:t>
      </w:r>
      <w:r w:rsidRPr="00336FE6">
        <w:rPr>
          <w:rFonts w:ascii="Times New Roman" w:hAnsi="Times New Roman" w:cs="Times New Roman"/>
          <w:i/>
          <w:sz w:val="24"/>
          <w:szCs w:val="24"/>
        </w:rPr>
        <w:t>euro</w:t>
      </w:r>
      <w:r w:rsidRPr="00336FE6">
        <w:rPr>
          <w:rFonts w:ascii="Times New Roman" w:hAnsi="Times New Roman" w:cs="Times New Roman"/>
          <w:sz w:val="24"/>
          <w:szCs w:val="24"/>
        </w:rPr>
        <w:t xml:space="preserve">, 2024.gadā un turpmāk </w:t>
      </w:r>
      <w:r>
        <w:rPr>
          <w:rFonts w:ascii="Times New Roman" w:hAnsi="Times New Roman" w:cs="Times New Roman"/>
          <w:sz w:val="24"/>
          <w:szCs w:val="24"/>
        </w:rPr>
        <w:t xml:space="preserve">ik </w:t>
      </w:r>
      <w:r w:rsidRPr="00336FE6">
        <w:rPr>
          <w:rFonts w:ascii="Times New Roman" w:hAnsi="Times New Roman" w:cs="Times New Roman"/>
          <w:sz w:val="24"/>
          <w:szCs w:val="24"/>
        </w:rPr>
        <w:t>gadu 28</w:t>
      </w:r>
      <w:r>
        <w:rPr>
          <w:rFonts w:ascii="Times New Roman" w:hAnsi="Times New Roman" w:cs="Times New Roman"/>
          <w:sz w:val="24"/>
          <w:szCs w:val="24"/>
        </w:rPr>
        <w:t> </w:t>
      </w:r>
      <w:r w:rsidRPr="00336FE6">
        <w:rPr>
          <w:rFonts w:ascii="Times New Roman" w:hAnsi="Times New Roman" w:cs="Times New Roman"/>
          <w:sz w:val="24"/>
          <w:szCs w:val="24"/>
        </w:rPr>
        <w:t>000</w:t>
      </w:r>
      <w:r w:rsidRPr="00336FE6">
        <w:rPr>
          <w:rFonts w:ascii="Times New Roman" w:hAnsi="Times New Roman" w:cs="Times New Roman"/>
          <w:i/>
          <w:sz w:val="24"/>
          <w:szCs w:val="24"/>
        </w:rPr>
        <w:t xml:space="preserve"> euro</w:t>
      </w:r>
      <w:r w:rsidRPr="00336FE6">
        <w:rPr>
          <w:rFonts w:ascii="Times New Roman" w:hAnsi="Times New Roman" w:cs="Times New Roman"/>
          <w:sz w:val="24"/>
          <w:szCs w:val="24"/>
        </w:rPr>
        <w:t xml:space="preserve"> apmērā, lai pilnveidotu VAS ES numerācijas datu bāzi un nodrošinātu efektīvu nodevas administrēšanas procesu, tādā veidā nodrošinot finansējumu iesniegtajam prioritārā pasākuma pieteikumam </w:t>
      </w:r>
      <w:r>
        <w:rPr>
          <w:rFonts w:ascii="Times New Roman" w:hAnsi="Times New Roman" w:cs="Times New Roman"/>
          <w:sz w:val="24"/>
          <w:szCs w:val="24"/>
        </w:rPr>
        <w:t>Nr.</w:t>
      </w:r>
      <w:r w:rsidRPr="00336FE6">
        <w:rPr>
          <w:rFonts w:ascii="Times New Roman" w:hAnsi="Times New Roman" w:cs="Times New Roman"/>
          <w:sz w:val="24"/>
          <w:szCs w:val="24"/>
        </w:rPr>
        <w:t>21_12_P “Numerācijas datubāze - valsts informācijas sistēma, kas tiek uzturēta VAS “Elektroniskie sakari” - funkcionalitātes palielināšana, numerācijas nodevas administrēšanas sistēma”.</w:t>
      </w:r>
    </w:p>
    <w:p w14:paraId="750D447F" w14:textId="0C780BF7" w:rsidR="00F30438" w:rsidRPr="00F30438" w:rsidRDefault="00E77FC3" w:rsidP="00C068AF">
      <w:pPr>
        <w:pStyle w:val="ListParagraph"/>
        <w:numPr>
          <w:ilvl w:val="0"/>
          <w:numId w:val="26"/>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SM </w:t>
      </w:r>
      <w:r w:rsidRPr="00336FE6">
        <w:rPr>
          <w:rFonts w:ascii="Times New Roman" w:hAnsi="Times New Roman" w:cs="Times New Roman"/>
          <w:sz w:val="24"/>
          <w:szCs w:val="24"/>
        </w:rPr>
        <w:t xml:space="preserve">budžeta programmā 97.00.00 “Nozaru vadība un politikas plānošana” 2022.gadā 389 360 </w:t>
      </w:r>
      <w:r w:rsidRPr="00336FE6">
        <w:rPr>
          <w:rFonts w:ascii="Times New Roman" w:hAnsi="Times New Roman" w:cs="Times New Roman"/>
          <w:i/>
          <w:sz w:val="24"/>
          <w:szCs w:val="24"/>
        </w:rPr>
        <w:t>euro</w:t>
      </w:r>
      <w:r w:rsidRPr="00336FE6">
        <w:rPr>
          <w:rFonts w:ascii="Times New Roman" w:eastAsia="Times New Roman" w:hAnsi="Times New Roman" w:cs="Times New Roman"/>
          <w:i/>
          <w:sz w:val="24"/>
          <w:szCs w:val="24"/>
        </w:rPr>
        <w:t>,</w:t>
      </w:r>
      <w:r w:rsidRPr="00336FE6">
        <w:rPr>
          <w:rFonts w:ascii="Times New Roman" w:eastAsia="Times New Roman" w:hAnsi="Times New Roman" w:cs="Times New Roman"/>
          <w:sz w:val="24"/>
          <w:szCs w:val="24"/>
        </w:rPr>
        <w:t xml:space="preserve"> </w:t>
      </w:r>
      <w:r w:rsidRPr="00336FE6">
        <w:rPr>
          <w:rFonts w:ascii="Times New Roman" w:hAnsi="Times New Roman" w:cs="Times New Roman"/>
          <w:sz w:val="24"/>
          <w:szCs w:val="24"/>
        </w:rPr>
        <w:t xml:space="preserve">2023.gadā 185 652 </w:t>
      </w:r>
      <w:r w:rsidRPr="00336FE6">
        <w:rPr>
          <w:rFonts w:ascii="Times New Roman" w:hAnsi="Times New Roman" w:cs="Times New Roman"/>
          <w:i/>
          <w:sz w:val="24"/>
          <w:szCs w:val="24"/>
        </w:rPr>
        <w:t>euro</w:t>
      </w:r>
      <w:r w:rsidRPr="00336FE6">
        <w:rPr>
          <w:rFonts w:ascii="Times New Roman" w:hAnsi="Times New Roman" w:cs="Times New Roman"/>
          <w:sz w:val="24"/>
          <w:szCs w:val="24"/>
        </w:rPr>
        <w:t>,</w:t>
      </w:r>
      <w:r w:rsidRPr="00336FE6">
        <w:rPr>
          <w:rFonts w:ascii="Times New Roman" w:eastAsia="Times New Roman" w:hAnsi="Times New Roman" w:cs="Times New Roman"/>
          <w:sz w:val="24"/>
          <w:szCs w:val="24"/>
        </w:rPr>
        <w:t xml:space="preserve"> </w:t>
      </w:r>
      <w:r w:rsidRPr="00336FE6">
        <w:rPr>
          <w:rFonts w:ascii="Times New Roman" w:hAnsi="Times New Roman" w:cs="Times New Roman"/>
          <w:sz w:val="24"/>
          <w:szCs w:val="24"/>
        </w:rPr>
        <w:t xml:space="preserve">2024.gadā un turpmāk </w:t>
      </w:r>
      <w:r>
        <w:rPr>
          <w:rFonts w:ascii="Times New Roman" w:hAnsi="Times New Roman" w:cs="Times New Roman"/>
          <w:sz w:val="24"/>
          <w:szCs w:val="24"/>
        </w:rPr>
        <w:t>ik</w:t>
      </w:r>
      <w:r w:rsidRPr="00336FE6">
        <w:rPr>
          <w:rFonts w:ascii="Times New Roman" w:hAnsi="Times New Roman" w:cs="Times New Roman"/>
          <w:sz w:val="24"/>
          <w:szCs w:val="24"/>
        </w:rPr>
        <w:t xml:space="preserve"> gadu 113 052 </w:t>
      </w:r>
      <w:r w:rsidRPr="00336FE6">
        <w:rPr>
          <w:rFonts w:ascii="Times New Roman" w:hAnsi="Times New Roman" w:cs="Times New Roman"/>
          <w:i/>
          <w:sz w:val="24"/>
          <w:szCs w:val="24"/>
        </w:rPr>
        <w:t>euro</w:t>
      </w:r>
      <w:r w:rsidRPr="00336FE6">
        <w:rPr>
          <w:rFonts w:ascii="Times New Roman" w:hAnsi="Times New Roman" w:cs="Times New Roman"/>
          <w:sz w:val="24"/>
          <w:szCs w:val="24"/>
        </w:rPr>
        <w:t>, lai nodrošinātu Eiropas Elektronisko sakaru kodeksa  prasību par elektronisko sakaru tīklu ģeogrāfisko apsekošanu (kartēšanu), tādā veidā nodrošinot finansējumu iesniegtajam prioritārā pasākuma pieteikumam Nr.17_11_P “Platjoslas pieejamības ģeogrāfiskās informācijas sistēmas izveide un uzturēšana”.</w:t>
      </w:r>
    </w:p>
    <w:p w14:paraId="6E2DEEA4" w14:textId="55FAAAD2" w:rsidR="00E77FC3" w:rsidRDefault="00E77FC3" w:rsidP="00E77FC3">
      <w:pPr>
        <w:spacing w:after="0" w:line="240" w:lineRule="auto"/>
        <w:jc w:val="center"/>
        <w:rPr>
          <w:rFonts w:ascii="Times New Roman" w:hAnsi="Times New Roman" w:cs="Times New Roman"/>
        </w:rPr>
      </w:pPr>
    </w:p>
    <w:p w14:paraId="7328FE8A" w14:textId="5E5915F9" w:rsidR="00E77FC3" w:rsidRPr="00BD1223" w:rsidRDefault="00E77FC3" w:rsidP="00BD1223">
      <w:pPr>
        <w:spacing w:after="120" w:line="240" w:lineRule="auto"/>
        <w:jc w:val="center"/>
        <w:rPr>
          <w:rFonts w:ascii="Times New Roman" w:hAnsi="Times New Roman" w:cs="Times New Roman"/>
          <w:b/>
          <w:bCs/>
          <w:sz w:val="24"/>
          <w:szCs w:val="24"/>
        </w:rPr>
      </w:pPr>
      <w:r w:rsidRPr="00BD1223">
        <w:rPr>
          <w:rFonts w:ascii="Times New Roman" w:hAnsi="Times New Roman" w:cs="Times New Roman"/>
          <w:b/>
          <w:bCs/>
        </w:rPr>
        <w:t xml:space="preserve">VARAM un SM iesniegtā fiskāli neitrālā priekšlikuma kopsavilkums, </w:t>
      </w:r>
      <w:r w:rsidRPr="00A11779">
        <w:rPr>
          <w:rFonts w:ascii="Times New Roman" w:hAnsi="Times New Roman" w:cs="Times New Roman"/>
          <w:b/>
          <w:bCs/>
          <w:i/>
        </w:rPr>
        <w:t>euro</w:t>
      </w:r>
    </w:p>
    <w:tbl>
      <w:tblPr>
        <w:tblW w:w="9079" w:type="dxa"/>
        <w:jc w:val="right"/>
        <w:tblLook w:val="04A0" w:firstRow="1" w:lastRow="0" w:firstColumn="1" w:lastColumn="0" w:noHBand="0" w:noVBand="1"/>
      </w:tblPr>
      <w:tblGrid>
        <w:gridCol w:w="3823"/>
        <w:gridCol w:w="2268"/>
        <w:gridCol w:w="992"/>
        <w:gridCol w:w="992"/>
        <w:gridCol w:w="1004"/>
      </w:tblGrid>
      <w:tr w:rsidR="00E77FC3" w:rsidRPr="00592B96" w14:paraId="688DFFE2" w14:textId="77777777" w:rsidTr="00096F51">
        <w:trPr>
          <w:trHeight w:val="260"/>
          <w:tblHeader/>
          <w:jc w:val="right"/>
        </w:trPr>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B9E2CE" w14:textId="77777777" w:rsidR="00E77FC3" w:rsidRPr="00592B96" w:rsidRDefault="00E77FC3" w:rsidP="00096F51">
            <w:pPr>
              <w:spacing w:after="0" w:line="240" w:lineRule="auto"/>
              <w:jc w:val="center"/>
              <w:rPr>
                <w:rFonts w:ascii="Times New Roman" w:eastAsia="Times New Roman" w:hAnsi="Times New Roman" w:cs="Times New Roman"/>
                <w:color w:val="000000"/>
                <w:sz w:val="20"/>
                <w:szCs w:val="20"/>
                <w:lang w:eastAsia="lv-LV"/>
              </w:rPr>
            </w:pPr>
            <w:r w:rsidRPr="00592B96">
              <w:rPr>
                <w:rFonts w:ascii="Times New Roman" w:eastAsia="Times New Roman" w:hAnsi="Times New Roman" w:cs="Times New Roman"/>
                <w:color w:val="000000"/>
                <w:sz w:val="20"/>
                <w:szCs w:val="20"/>
              </w:rPr>
              <w:t>Pasākums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3EB741" w14:textId="77777777" w:rsidR="00E77FC3" w:rsidRPr="00592B96" w:rsidRDefault="00E77FC3" w:rsidP="00096F51">
            <w:pPr>
              <w:spacing w:after="0" w:line="240" w:lineRule="auto"/>
              <w:jc w:val="center"/>
              <w:rPr>
                <w:rFonts w:ascii="Times New Roman" w:eastAsia="Times New Roman" w:hAnsi="Times New Roman" w:cs="Times New Roman"/>
                <w:color w:val="000000"/>
                <w:sz w:val="20"/>
                <w:szCs w:val="20"/>
                <w:lang w:eastAsia="lv-LV"/>
              </w:rPr>
            </w:pPr>
            <w:r w:rsidRPr="00592B96">
              <w:rPr>
                <w:rFonts w:ascii="Times New Roman" w:eastAsia="Times New Roman" w:hAnsi="Times New Roman" w:cs="Times New Roman"/>
                <w:color w:val="000000"/>
                <w:sz w:val="20"/>
                <w:szCs w:val="20"/>
              </w:rPr>
              <w:t>Budžeta programma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508F7DB" w14:textId="77777777" w:rsidR="00E77FC3" w:rsidRPr="00592B96" w:rsidRDefault="00E77FC3" w:rsidP="00096F51">
            <w:pPr>
              <w:spacing w:after="0" w:line="240" w:lineRule="auto"/>
              <w:jc w:val="center"/>
              <w:rPr>
                <w:rFonts w:ascii="Times New Roman" w:eastAsia="Times New Roman" w:hAnsi="Times New Roman" w:cs="Times New Roman"/>
                <w:color w:val="000000"/>
                <w:sz w:val="20"/>
                <w:szCs w:val="20"/>
                <w:lang w:eastAsia="lv-LV"/>
              </w:rPr>
            </w:pPr>
            <w:r w:rsidRPr="00592B96">
              <w:rPr>
                <w:rFonts w:ascii="Times New Roman" w:eastAsia="Times New Roman" w:hAnsi="Times New Roman" w:cs="Times New Roman"/>
                <w:color w:val="000000"/>
                <w:sz w:val="20"/>
                <w:szCs w:val="20"/>
              </w:rPr>
              <w:t>2022</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4194BBA" w14:textId="77777777" w:rsidR="00E77FC3" w:rsidRPr="00592B96" w:rsidRDefault="00E77FC3" w:rsidP="00096F51">
            <w:pPr>
              <w:spacing w:after="0" w:line="240" w:lineRule="auto"/>
              <w:jc w:val="center"/>
              <w:rPr>
                <w:rFonts w:ascii="Times New Roman" w:eastAsia="Times New Roman" w:hAnsi="Times New Roman" w:cs="Times New Roman"/>
                <w:color w:val="000000"/>
                <w:sz w:val="20"/>
                <w:szCs w:val="20"/>
                <w:lang w:eastAsia="lv-LV"/>
              </w:rPr>
            </w:pPr>
            <w:r w:rsidRPr="00592B96">
              <w:rPr>
                <w:rFonts w:ascii="Times New Roman" w:eastAsia="Times New Roman" w:hAnsi="Times New Roman" w:cs="Times New Roman"/>
                <w:color w:val="000000"/>
                <w:sz w:val="20"/>
                <w:szCs w:val="20"/>
              </w:rPr>
              <w:t>2023</w:t>
            </w:r>
          </w:p>
        </w:tc>
        <w:tc>
          <w:tcPr>
            <w:tcW w:w="10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97AD6C5" w14:textId="77777777" w:rsidR="00E77FC3" w:rsidRPr="00592B96" w:rsidRDefault="00E77FC3" w:rsidP="00096F51">
            <w:pPr>
              <w:spacing w:after="0" w:line="240" w:lineRule="auto"/>
              <w:jc w:val="center"/>
              <w:rPr>
                <w:rFonts w:ascii="Times New Roman" w:eastAsia="Times New Roman" w:hAnsi="Times New Roman" w:cs="Times New Roman"/>
                <w:color w:val="000000"/>
                <w:sz w:val="20"/>
                <w:szCs w:val="20"/>
                <w:lang w:eastAsia="lv-LV"/>
              </w:rPr>
            </w:pPr>
            <w:r w:rsidRPr="00592B96">
              <w:rPr>
                <w:rFonts w:ascii="Times New Roman" w:eastAsia="Times New Roman" w:hAnsi="Times New Roman" w:cs="Times New Roman"/>
                <w:color w:val="000000"/>
                <w:sz w:val="20"/>
                <w:szCs w:val="20"/>
              </w:rPr>
              <w:t>2024</w:t>
            </w:r>
          </w:p>
        </w:tc>
      </w:tr>
      <w:tr w:rsidR="00E77FC3" w:rsidRPr="00592B96" w14:paraId="1958729D" w14:textId="77777777" w:rsidTr="00096F51">
        <w:trPr>
          <w:trHeight w:val="260"/>
          <w:jc w:val="right"/>
        </w:trPr>
        <w:tc>
          <w:tcPr>
            <w:tcW w:w="907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A9E6369" w14:textId="77777777" w:rsidR="00E77FC3" w:rsidRPr="00592B96" w:rsidRDefault="00E77FC3" w:rsidP="00096F51">
            <w:pPr>
              <w:spacing w:after="0" w:line="240" w:lineRule="auto"/>
              <w:rPr>
                <w:rFonts w:ascii="Times New Roman" w:eastAsia="Times New Roman" w:hAnsi="Times New Roman" w:cs="Times New Roman"/>
                <w:b/>
                <w:color w:val="000000"/>
                <w:sz w:val="20"/>
                <w:szCs w:val="20"/>
                <w:lang w:eastAsia="lv-LV"/>
              </w:rPr>
            </w:pPr>
            <w:r w:rsidRPr="000C5BA0">
              <w:rPr>
                <w:rFonts w:ascii="Times New Roman" w:eastAsia="Times New Roman" w:hAnsi="Times New Roman" w:cs="Times New Roman"/>
                <w:b/>
                <w:color w:val="000000"/>
                <w:sz w:val="20"/>
                <w:szCs w:val="20"/>
              </w:rPr>
              <w:t>VARAM</w:t>
            </w:r>
          </w:p>
        </w:tc>
      </w:tr>
      <w:tr w:rsidR="00E77FC3" w:rsidRPr="00592B96" w14:paraId="6DB5A6B0" w14:textId="77777777" w:rsidTr="00096F51">
        <w:trPr>
          <w:trHeight w:val="489"/>
          <w:jc w:val="right"/>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1319EBD" w14:textId="77777777" w:rsidR="00E77FC3" w:rsidRPr="00592B96" w:rsidRDefault="00E77FC3" w:rsidP="00096F51">
            <w:pPr>
              <w:spacing w:after="0" w:line="240" w:lineRule="auto"/>
              <w:rPr>
                <w:rFonts w:ascii="Times New Roman" w:eastAsia="Times New Roman" w:hAnsi="Times New Roman" w:cs="Times New Roman"/>
                <w:color w:val="000000"/>
                <w:sz w:val="20"/>
                <w:szCs w:val="20"/>
                <w:lang w:eastAsia="lv-LV"/>
              </w:rPr>
            </w:pPr>
            <w:r w:rsidRPr="00592B96">
              <w:rPr>
                <w:rFonts w:ascii="Times New Roman" w:eastAsia="Times New Roman" w:hAnsi="Times New Roman" w:cs="Times New Roman"/>
                <w:color w:val="000000"/>
                <w:sz w:val="20"/>
                <w:szCs w:val="20"/>
                <w:lang w:eastAsia="lv-LV"/>
              </w:rPr>
              <w:t xml:space="preserve">Numerācijas datubāze - valsts informācijas sistēma, kas tiek uzturēta VAS “Elektroniskie sakari” - funkcionalitātes palielināšana, numerācijas </w:t>
            </w:r>
            <w:r>
              <w:rPr>
                <w:rFonts w:ascii="Times New Roman" w:eastAsia="Times New Roman" w:hAnsi="Times New Roman" w:cs="Times New Roman"/>
                <w:color w:val="000000"/>
                <w:sz w:val="20"/>
                <w:szCs w:val="20"/>
                <w:lang w:eastAsia="lv-LV"/>
              </w:rPr>
              <w:t>nodevas administrēšanas sistēma</w:t>
            </w:r>
          </w:p>
        </w:tc>
        <w:tc>
          <w:tcPr>
            <w:tcW w:w="2268" w:type="dxa"/>
            <w:tcBorders>
              <w:top w:val="nil"/>
              <w:left w:val="nil"/>
              <w:bottom w:val="single" w:sz="4" w:space="0" w:color="auto"/>
              <w:right w:val="single" w:sz="4" w:space="0" w:color="auto"/>
            </w:tcBorders>
            <w:shd w:val="clear" w:color="auto" w:fill="auto"/>
            <w:vAlign w:val="center"/>
            <w:hideMark/>
          </w:tcPr>
          <w:p w14:paraId="17A3B139" w14:textId="77777777" w:rsidR="00E77FC3" w:rsidRPr="00592B96" w:rsidRDefault="00E77FC3" w:rsidP="00096F51">
            <w:pPr>
              <w:spacing w:after="0" w:line="240" w:lineRule="auto"/>
              <w:rPr>
                <w:rFonts w:ascii="Times New Roman" w:eastAsia="Times New Roman" w:hAnsi="Times New Roman" w:cs="Times New Roman"/>
                <w:color w:val="000000"/>
                <w:sz w:val="20"/>
                <w:szCs w:val="20"/>
                <w:lang w:eastAsia="lv-LV"/>
              </w:rPr>
            </w:pPr>
            <w:r w:rsidRPr="00592B96">
              <w:rPr>
                <w:rFonts w:ascii="Times New Roman" w:eastAsia="Times New Roman" w:hAnsi="Times New Roman" w:cs="Times New Roman"/>
                <w:color w:val="000000"/>
                <w:sz w:val="20"/>
                <w:szCs w:val="20"/>
              </w:rPr>
              <w:t>30.00.00 “Attīstības nacionālie atbalsta instrumenti”</w:t>
            </w:r>
          </w:p>
        </w:tc>
        <w:tc>
          <w:tcPr>
            <w:tcW w:w="992" w:type="dxa"/>
            <w:tcBorders>
              <w:top w:val="nil"/>
              <w:left w:val="nil"/>
              <w:bottom w:val="single" w:sz="4" w:space="0" w:color="auto"/>
              <w:right w:val="single" w:sz="4" w:space="0" w:color="auto"/>
            </w:tcBorders>
            <w:shd w:val="clear" w:color="auto" w:fill="auto"/>
            <w:vAlign w:val="center"/>
            <w:hideMark/>
          </w:tcPr>
          <w:p w14:paraId="7DD29538" w14:textId="77777777" w:rsidR="00E77FC3" w:rsidRPr="00592B96" w:rsidRDefault="00E77FC3" w:rsidP="00096F51">
            <w:pPr>
              <w:spacing w:after="0" w:line="240" w:lineRule="auto"/>
              <w:jc w:val="right"/>
              <w:rPr>
                <w:rFonts w:ascii="Times New Roman" w:eastAsia="Times New Roman" w:hAnsi="Times New Roman" w:cs="Times New Roman"/>
                <w:color w:val="000000"/>
                <w:sz w:val="20"/>
                <w:szCs w:val="20"/>
                <w:lang w:eastAsia="lv-LV"/>
              </w:rPr>
            </w:pPr>
            <w:r w:rsidRPr="00592B96">
              <w:rPr>
                <w:rFonts w:ascii="Times New Roman" w:eastAsia="Times New Roman" w:hAnsi="Times New Roman" w:cs="Times New Roman"/>
                <w:color w:val="000000"/>
                <w:sz w:val="20"/>
                <w:szCs w:val="20"/>
              </w:rPr>
              <w:t>28 000</w:t>
            </w:r>
          </w:p>
        </w:tc>
        <w:tc>
          <w:tcPr>
            <w:tcW w:w="992" w:type="dxa"/>
            <w:tcBorders>
              <w:top w:val="nil"/>
              <w:left w:val="nil"/>
              <w:bottom w:val="single" w:sz="4" w:space="0" w:color="auto"/>
              <w:right w:val="single" w:sz="4" w:space="0" w:color="auto"/>
            </w:tcBorders>
            <w:shd w:val="clear" w:color="auto" w:fill="auto"/>
            <w:vAlign w:val="center"/>
            <w:hideMark/>
          </w:tcPr>
          <w:p w14:paraId="12B38A6B" w14:textId="77777777" w:rsidR="00E77FC3" w:rsidRPr="00592B96" w:rsidRDefault="00E77FC3" w:rsidP="00096F51">
            <w:pPr>
              <w:spacing w:after="0" w:line="240" w:lineRule="auto"/>
              <w:jc w:val="right"/>
              <w:rPr>
                <w:rFonts w:ascii="Times New Roman" w:eastAsia="Times New Roman" w:hAnsi="Times New Roman" w:cs="Times New Roman"/>
                <w:color w:val="000000"/>
                <w:sz w:val="20"/>
                <w:szCs w:val="20"/>
                <w:lang w:eastAsia="lv-LV"/>
              </w:rPr>
            </w:pPr>
            <w:r w:rsidRPr="00592B96">
              <w:rPr>
                <w:rFonts w:ascii="Times New Roman" w:eastAsia="Times New Roman" w:hAnsi="Times New Roman" w:cs="Times New Roman"/>
                <w:color w:val="000000"/>
                <w:sz w:val="20"/>
                <w:szCs w:val="20"/>
              </w:rPr>
              <w:t>28 000</w:t>
            </w:r>
          </w:p>
        </w:tc>
        <w:tc>
          <w:tcPr>
            <w:tcW w:w="1004" w:type="dxa"/>
            <w:tcBorders>
              <w:top w:val="nil"/>
              <w:left w:val="nil"/>
              <w:bottom w:val="single" w:sz="4" w:space="0" w:color="auto"/>
              <w:right w:val="single" w:sz="4" w:space="0" w:color="auto"/>
            </w:tcBorders>
            <w:shd w:val="clear" w:color="auto" w:fill="auto"/>
            <w:vAlign w:val="center"/>
            <w:hideMark/>
          </w:tcPr>
          <w:p w14:paraId="0CD1F521" w14:textId="77777777" w:rsidR="00E77FC3" w:rsidRPr="00592B96" w:rsidRDefault="00E77FC3" w:rsidP="00096F51">
            <w:pPr>
              <w:spacing w:after="0" w:line="240" w:lineRule="auto"/>
              <w:jc w:val="right"/>
              <w:rPr>
                <w:rFonts w:ascii="Times New Roman" w:eastAsia="Times New Roman" w:hAnsi="Times New Roman" w:cs="Times New Roman"/>
                <w:color w:val="000000"/>
                <w:sz w:val="20"/>
                <w:szCs w:val="20"/>
                <w:lang w:eastAsia="lv-LV"/>
              </w:rPr>
            </w:pPr>
            <w:r w:rsidRPr="00592B96">
              <w:rPr>
                <w:rFonts w:ascii="Times New Roman" w:eastAsia="Times New Roman" w:hAnsi="Times New Roman" w:cs="Times New Roman"/>
                <w:color w:val="000000"/>
                <w:sz w:val="20"/>
                <w:szCs w:val="20"/>
              </w:rPr>
              <w:t>28 000</w:t>
            </w:r>
          </w:p>
        </w:tc>
      </w:tr>
      <w:tr w:rsidR="00E77FC3" w:rsidRPr="00592B96" w14:paraId="65F6590D" w14:textId="77777777" w:rsidTr="00096F51">
        <w:trPr>
          <w:trHeight w:val="260"/>
          <w:jc w:val="right"/>
        </w:trPr>
        <w:tc>
          <w:tcPr>
            <w:tcW w:w="907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CC89483" w14:textId="77777777" w:rsidR="00E77FC3" w:rsidRPr="00592B96" w:rsidRDefault="00E77FC3" w:rsidP="00096F51">
            <w:pPr>
              <w:spacing w:after="0" w:line="240" w:lineRule="auto"/>
              <w:rPr>
                <w:rFonts w:ascii="Times New Roman" w:eastAsia="Times New Roman" w:hAnsi="Times New Roman" w:cs="Times New Roman"/>
                <w:b/>
                <w:color w:val="000000"/>
                <w:sz w:val="20"/>
                <w:szCs w:val="20"/>
                <w:lang w:eastAsia="lv-LV"/>
              </w:rPr>
            </w:pPr>
            <w:r w:rsidRPr="000C5BA0">
              <w:rPr>
                <w:rFonts w:ascii="Times New Roman" w:eastAsia="Times New Roman" w:hAnsi="Times New Roman" w:cs="Times New Roman"/>
                <w:b/>
                <w:color w:val="000000"/>
                <w:sz w:val="20"/>
                <w:szCs w:val="20"/>
              </w:rPr>
              <w:t>SM</w:t>
            </w:r>
          </w:p>
        </w:tc>
      </w:tr>
      <w:tr w:rsidR="00E77FC3" w:rsidRPr="00592B96" w14:paraId="74F6DB7A" w14:textId="77777777" w:rsidTr="00096F51">
        <w:trPr>
          <w:trHeight w:val="106"/>
          <w:jc w:val="right"/>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6C3447B" w14:textId="77777777" w:rsidR="00E77FC3" w:rsidRPr="00592B96" w:rsidRDefault="00E77FC3" w:rsidP="00096F51">
            <w:pPr>
              <w:spacing w:after="0" w:line="240" w:lineRule="auto"/>
              <w:rPr>
                <w:rFonts w:ascii="Times New Roman" w:eastAsia="Times New Roman" w:hAnsi="Times New Roman" w:cs="Times New Roman"/>
                <w:color w:val="000000"/>
                <w:sz w:val="20"/>
                <w:szCs w:val="20"/>
                <w:lang w:eastAsia="lv-LV"/>
              </w:rPr>
            </w:pPr>
            <w:r w:rsidRPr="00592B96">
              <w:rPr>
                <w:rFonts w:ascii="Times New Roman" w:eastAsia="Times New Roman" w:hAnsi="Times New Roman" w:cs="Times New Roman"/>
                <w:color w:val="000000"/>
                <w:sz w:val="20"/>
                <w:szCs w:val="20"/>
              </w:rPr>
              <w:t>Platjoslas pieejamības ģeogrāfiskās informācijas</w:t>
            </w:r>
            <w:r>
              <w:rPr>
                <w:rFonts w:ascii="Times New Roman" w:eastAsia="Times New Roman" w:hAnsi="Times New Roman" w:cs="Times New Roman"/>
                <w:color w:val="000000"/>
                <w:sz w:val="20"/>
                <w:szCs w:val="20"/>
              </w:rPr>
              <w:t xml:space="preserve"> sistēmas izveide un uzturēšana</w:t>
            </w:r>
          </w:p>
        </w:tc>
        <w:tc>
          <w:tcPr>
            <w:tcW w:w="2268" w:type="dxa"/>
            <w:tcBorders>
              <w:top w:val="nil"/>
              <w:left w:val="nil"/>
              <w:bottom w:val="single" w:sz="4" w:space="0" w:color="auto"/>
              <w:right w:val="single" w:sz="4" w:space="0" w:color="auto"/>
            </w:tcBorders>
            <w:shd w:val="clear" w:color="auto" w:fill="auto"/>
            <w:vAlign w:val="center"/>
            <w:hideMark/>
          </w:tcPr>
          <w:p w14:paraId="7C26E6B7" w14:textId="77777777" w:rsidR="00E77FC3" w:rsidRPr="00592B96" w:rsidRDefault="00E77FC3" w:rsidP="00096F51">
            <w:pPr>
              <w:spacing w:after="0" w:line="240" w:lineRule="auto"/>
              <w:rPr>
                <w:rFonts w:ascii="Times New Roman" w:eastAsia="Times New Roman" w:hAnsi="Times New Roman" w:cs="Times New Roman"/>
                <w:color w:val="000000"/>
                <w:sz w:val="20"/>
                <w:szCs w:val="20"/>
                <w:lang w:eastAsia="lv-LV"/>
              </w:rPr>
            </w:pPr>
            <w:r w:rsidRPr="00592B96">
              <w:rPr>
                <w:rFonts w:ascii="Times New Roman" w:eastAsia="Times New Roman" w:hAnsi="Times New Roman" w:cs="Times New Roman"/>
                <w:color w:val="000000"/>
                <w:sz w:val="20"/>
                <w:szCs w:val="20"/>
              </w:rPr>
              <w:t>97.00.00 “Nozaru vadība un politikas plānošana”</w:t>
            </w:r>
          </w:p>
        </w:tc>
        <w:tc>
          <w:tcPr>
            <w:tcW w:w="992" w:type="dxa"/>
            <w:tcBorders>
              <w:top w:val="nil"/>
              <w:left w:val="nil"/>
              <w:bottom w:val="single" w:sz="4" w:space="0" w:color="auto"/>
              <w:right w:val="single" w:sz="4" w:space="0" w:color="auto"/>
            </w:tcBorders>
            <w:shd w:val="clear" w:color="auto" w:fill="auto"/>
            <w:vAlign w:val="center"/>
            <w:hideMark/>
          </w:tcPr>
          <w:p w14:paraId="7B6DF7FB" w14:textId="77777777" w:rsidR="00E77FC3" w:rsidRPr="00592B96" w:rsidRDefault="00E77FC3" w:rsidP="00096F51">
            <w:pPr>
              <w:spacing w:after="0" w:line="240" w:lineRule="auto"/>
              <w:jc w:val="right"/>
              <w:rPr>
                <w:rFonts w:ascii="Times New Roman" w:eastAsia="Times New Roman" w:hAnsi="Times New Roman" w:cs="Times New Roman"/>
                <w:color w:val="000000"/>
                <w:sz w:val="20"/>
                <w:szCs w:val="20"/>
                <w:lang w:eastAsia="lv-LV"/>
              </w:rPr>
            </w:pPr>
            <w:r w:rsidRPr="00592B96">
              <w:rPr>
                <w:rFonts w:ascii="Times New Roman" w:eastAsia="Times New Roman" w:hAnsi="Times New Roman" w:cs="Times New Roman"/>
                <w:color w:val="000000"/>
                <w:sz w:val="20"/>
                <w:szCs w:val="20"/>
                <w:lang w:eastAsia="lv-LV"/>
              </w:rPr>
              <w:t>389 360</w:t>
            </w:r>
          </w:p>
        </w:tc>
        <w:tc>
          <w:tcPr>
            <w:tcW w:w="992" w:type="dxa"/>
            <w:tcBorders>
              <w:top w:val="nil"/>
              <w:left w:val="nil"/>
              <w:bottom w:val="single" w:sz="4" w:space="0" w:color="auto"/>
              <w:right w:val="single" w:sz="4" w:space="0" w:color="auto"/>
            </w:tcBorders>
            <w:shd w:val="clear" w:color="auto" w:fill="auto"/>
            <w:vAlign w:val="center"/>
            <w:hideMark/>
          </w:tcPr>
          <w:p w14:paraId="44CF61FA" w14:textId="77777777" w:rsidR="00E77FC3" w:rsidRPr="00592B96" w:rsidRDefault="00E77FC3" w:rsidP="00096F51">
            <w:pPr>
              <w:spacing w:after="0" w:line="240" w:lineRule="auto"/>
              <w:jc w:val="right"/>
              <w:rPr>
                <w:rFonts w:ascii="Times New Roman" w:eastAsia="Times New Roman" w:hAnsi="Times New Roman" w:cs="Times New Roman"/>
                <w:color w:val="000000"/>
                <w:sz w:val="20"/>
                <w:szCs w:val="20"/>
                <w:lang w:eastAsia="lv-LV"/>
              </w:rPr>
            </w:pPr>
            <w:r w:rsidRPr="00592B96">
              <w:rPr>
                <w:rFonts w:ascii="Times New Roman" w:eastAsia="Times New Roman" w:hAnsi="Times New Roman" w:cs="Times New Roman"/>
                <w:color w:val="000000"/>
                <w:sz w:val="20"/>
                <w:szCs w:val="20"/>
                <w:lang w:eastAsia="lv-LV"/>
              </w:rPr>
              <w:t>185 652</w:t>
            </w:r>
          </w:p>
        </w:tc>
        <w:tc>
          <w:tcPr>
            <w:tcW w:w="1004" w:type="dxa"/>
            <w:tcBorders>
              <w:top w:val="nil"/>
              <w:left w:val="nil"/>
              <w:bottom w:val="single" w:sz="4" w:space="0" w:color="auto"/>
              <w:right w:val="single" w:sz="4" w:space="0" w:color="auto"/>
            </w:tcBorders>
            <w:shd w:val="clear" w:color="auto" w:fill="auto"/>
            <w:vAlign w:val="center"/>
            <w:hideMark/>
          </w:tcPr>
          <w:p w14:paraId="62EE8F28" w14:textId="77777777" w:rsidR="00E77FC3" w:rsidRPr="00592B96" w:rsidRDefault="00E77FC3" w:rsidP="00096F51">
            <w:pPr>
              <w:spacing w:after="0" w:line="240" w:lineRule="auto"/>
              <w:jc w:val="right"/>
              <w:rPr>
                <w:rFonts w:ascii="Times New Roman" w:eastAsia="Times New Roman" w:hAnsi="Times New Roman" w:cs="Times New Roman"/>
                <w:color w:val="000000"/>
                <w:sz w:val="20"/>
                <w:szCs w:val="20"/>
                <w:lang w:eastAsia="lv-LV"/>
              </w:rPr>
            </w:pPr>
            <w:r w:rsidRPr="00592B96">
              <w:rPr>
                <w:rFonts w:ascii="Times New Roman" w:eastAsia="Times New Roman" w:hAnsi="Times New Roman" w:cs="Times New Roman"/>
                <w:color w:val="000000"/>
                <w:sz w:val="20"/>
                <w:szCs w:val="20"/>
                <w:lang w:eastAsia="lv-LV"/>
              </w:rPr>
              <w:t>113 052</w:t>
            </w:r>
          </w:p>
        </w:tc>
      </w:tr>
      <w:tr w:rsidR="00E77FC3" w:rsidRPr="00592B96" w14:paraId="0DF0810B" w14:textId="77777777" w:rsidTr="00096F51">
        <w:trPr>
          <w:trHeight w:val="260"/>
          <w:jc w:val="right"/>
        </w:trPr>
        <w:tc>
          <w:tcPr>
            <w:tcW w:w="609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D4ED161" w14:textId="77777777" w:rsidR="00E77FC3" w:rsidRPr="00592B96" w:rsidRDefault="00E77FC3" w:rsidP="00096F51">
            <w:pPr>
              <w:spacing w:after="0" w:line="240" w:lineRule="auto"/>
              <w:jc w:val="right"/>
              <w:rPr>
                <w:rFonts w:ascii="Times New Roman" w:eastAsia="Times New Roman" w:hAnsi="Times New Roman" w:cs="Times New Roman"/>
                <w:b/>
                <w:bCs/>
                <w:color w:val="000000"/>
                <w:sz w:val="20"/>
                <w:szCs w:val="20"/>
                <w:lang w:eastAsia="lv-LV"/>
              </w:rPr>
            </w:pPr>
            <w:r w:rsidRPr="00592B96">
              <w:rPr>
                <w:rFonts w:ascii="Times New Roman" w:eastAsia="Times New Roman" w:hAnsi="Times New Roman" w:cs="Times New Roman"/>
                <w:b/>
                <w:bCs/>
                <w:color w:val="000000"/>
                <w:sz w:val="20"/>
                <w:szCs w:val="20"/>
              </w:rPr>
              <w:t>KOPĀ izdevumu pasākumiem</w:t>
            </w:r>
          </w:p>
        </w:tc>
        <w:tc>
          <w:tcPr>
            <w:tcW w:w="992" w:type="dxa"/>
            <w:tcBorders>
              <w:top w:val="nil"/>
              <w:left w:val="nil"/>
              <w:bottom w:val="single" w:sz="4" w:space="0" w:color="auto"/>
              <w:right w:val="single" w:sz="4" w:space="0" w:color="auto"/>
            </w:tcBorders>
            <w:shd w:val="clear" w:color="auto" w:fill="auto"/>
            <w:vAlign w:val="center"/>
            <w:hideMark/>
          </w:tcPr>
          <w:p w14:paraId="13C34C09" w14:textId="77777777" w:rsidR="00E77FC3" w:rsidRPr="00592B96" w:rsidRDefault="00E77FC3" w:rsidP="00096F51">
            <w:pPr>
              <w:spacing w:after="0" w:line="240" w:lineRule="auto"/>
              <w:jc w:val="right"/>
              <w:rPr>
                <w:rFonts w:ascii="Times New Roman" w:eastAsia="Times New Roman" w:hAnsi="Times New Roman" w:cs="Times New Roman"/>
                <w:b/>
                <w:bCs/>
                <w:color w:val="000000"/>
                <w:sz w:val="20"/>
                <w:szCs w:val="20"/>
                <w:lang w:eastAsia="lv-LV"/>
              </w:rPr>
            </w:pPr>
            <w:r w:rsidRPr="00592B96">
              <w:rPr>
                <w:rFonts w:ascii="Times New Roman" w:eastAsia="Times New Roman" w:hAnsi="Times New Roman" w:cs="Times New Roman"/>
                <w:b/>
                <w:bCs/>
                <w:color w:val="000000"/>
                <w:sz w:val="20"/>
                <w:szCs w:val="20"/>
              </w:rPr>
              <w:t>417 360</w:t>
            </w:r>
          </w:p>
        </w:tc>
        <w:tc>
          <w:tcPr>
            <w:tcW w:w="992" w:type="dxa"/>
            <w:tcBorders>
              <w:top w:val="nil"/>
              <w:left w:val="nil"/>
              <w:bottom w:val="single" w:sz="4" w:space="0" w:color="auto"/>
              <w:right w:val="single" w:sz="4" w:space="0" w:color="auto"/>
            </w:tcBorders>
            <w:shd w:val="clear" w:color="auto" w:fill="auto"/>
            <w:vAlign w:val="center"/>
            <w:hideMark/>
          </w:tcPr>
          <w:p w14:paraId="4648A7EC" w14:textId="77777777" w:rsidR="00E77FC3" w:rsidRPr="00592B96" w:rsidRDefault="00E77FC3" w:rsidP="00096F51">
            <w:pPr>
              <w:spacing w:after="0" w:line="240" w:lineRule="auto"/>
              <w:jc w:val="right"/>
              <w:rPr>
                <w:rFonts w:ascii="Times New Roman" w:eastAsia="Times New Roman" w:hAnsi="Times New Roman" w:cs="Times New Roman"/>
                <w:b/>
                <w:bCs/>
                <w:color w:val="000000"/>
                <w:sz w:val="20"/>
                <w:szCs w:val="20"/>
                <w:lang w:eastAsia="lv-LV"/>
              </w:rPr>
            </w:pPr>
            <w:r w:rsidRPr="00592B96">
              <w:rPr>
                <w:rFonts w:ascii="Times New Roman" w:eastAsia="Times New Roman" w:hAnsi="Times New Roman" w:cs="Times New Roman"/>
                <w:b/>
                <w:bCs/>
                <w:color w:val="000000"/>
                <w:sz w:val="20"/>
                <w:szCs w:val="20"/>
              </w:rPr>
              <w:t>213 652</w:t>
            </w:r>
          </w:p>
        </w:tc>
        <w:tc>
          <w:tcPr>
            <w:tcW w:w="1004" w:type="dxa"/>
            <w:tcBorders>
              <w:top w:val="nil"/>
              <w:left w:val="nil"/>
              <w:bottom w:val="single" w:sz="4" w:space="0" w:color="auto"/>
              <w:right w:val="single" w:sz="4" w:space="0" w:color="auto"/>
            </w:tcBorders>
            <w:shd w:val="clear" w:color="auto" w:fill="auto"/>
            <w:vAlign w:val="center"/>
            <w:hideMark/>
          </w:tcPr>
          <w:p w14:paraId="6C5EDA7B" w14:textId="77777777" w:rsidR="00E77FC3" w:rsidRPr="00592B96" w:rsidRDefault="00E77FC3" w:rsidP="00096F51">
            <w:pPr>
              <w:spacing w:after="0" w:line="240" w:lineRule="auto"/>
              <w:jc w:val="right"/>
              <w:rPr>
                <w:rFonts w:ascii="Times New Roman" w:eastAsia="Times New Roman" w:hAnsi="Times New Roman" w:cs="Times New Roman"/>
                <w:b/>
                <w:bCs/>
                <w:color w:val="000000"/>
                <w:sz w:val="20"/>
                <w:szCs w:val="20"/>
                <w:lang w:eastAsia="lv-LV"/>
              </w:rPr>
            </w:pPr>
            <w:r w:rsidRPr="00592B96">
              <w:rPr>
                <w:rFonts w:ascii="Times New Roman" w:eastAsia="Times New Roman" w:hAnsi="Times New Roman" w:cs="Times New Roman"/>
                <w:b/>
                <w:bCs/>
                <w:color w:val="000000"/>
                <w:sz w:val="20"/>
                <w:szCs w:val="20"/>
              </w:rPr>
              <w:t>141 052</w:t>
            </w:r>
          </w:p>
        </w:tc>
      </w:tr>
      <w:tr w:rsidR="00E77FC3" w:rsidRPr="00592B96" w14:paraId="540E36A8" w14:textId="77777777" w:rsidTr="00096F51">
        <w:trPr>
          <w:trHeight w:val="260"/>
          <w:jc w:val="right"/>
        </w:trPr>
        <w:tc>
          <w:tcPr>
            <w:tcW w:w="609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E934D40" w14:textId="77777777" w:rsidR="00E77FC3" w:rsidRPr="00592B96" w:rsidRDefault="00E77FC3" w:rsidP="00096F51">
            <w:pPr>
              <w:spacing w:after="0" w:line="240" w:lineRule="auto"/>
              <w:jc w:val="right"/>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rPr>
              <w:t>N</w:t>
            </w:r>
            <w:r w:rsidRPr="000C5BA0">
              <w:rPr>
                <w:rFonts w:ascii="Times New Roman" w:eastAsia="Times New Roman" w:hAnsi="Times New Roman" w:cs="Times New Roman"/>
                <w:b/>
                <w:bCs/>
                <w:color w:val="000000"/>
                <w:sz w:val="20"/>
                <w:szCs w:val="20"/>
              </w:rPr>
              <w:t xml:space="preserve">umerācijas lietošanas tiesību ikgadējās valsts nodevas </w:t>
            </w:r>
            <w:r w:rsidRPr="00592B96">
              <w:rPr>
                <w:rFonts w:ascii="Times New Roman" w:eastAsia="Times New Roman" w:hAnsi="Times New Roman" w:cs="Times New Roman"/>
                <w:b/>
                <w:bCs/>
                <w:color w:val="000000"/>
                <w:sz w:val="20"/>
                <w:szCs w:val="20"/>
              </w:rPr>
              <w:t>ieņēmumu palielinājums</w:t>
            </w:r>
          </w:p>
        </w:tc>
        <w:tc>
          <w:tcPr>
            <w:tcW w:w="992" w:type="dxa"/>
            <w:tcBorders>
              <w:top w:val="nil"/>
              <w:left w:val="nil"/>
              <w:bottom w:val="single" w:sz="4" w:space="0" w:color="auto"/>
              <w:right w:val="single" w:sz="4" w:space="0" w:color="auto"/>
            </w:tcBorders>
            <w:shd w:val="clear" w:color="auto" w:fill="auto"/>
            <w:vAlign w:val="center"/>
            <w:hideMark/>
          </w:tcPr>
          <w:p w14:paraId="54076A50" w14:textId="77777777" w:rsidR="00E77FC3" w:rsidRPr="00592B96" w:rsidRDefault="00E77FC3" w:rsidP="00096F51">
            <w:pPr>
              <w:spacing w:after="0" w:line="240" w:lineRule="auto"/>
              <w:jc w:val="right"/>
              <w:rPr>
                <w:rFonts w:ascii="Times New Roman" w:eastAsia="Times New Roman" w:hAnsi="Times New Roman" w:cs="Times New Roman"/>
                <w:b/>
                <w:bCs/>
                <w:color w:val="000000"/>
                <w:sz w:val="20"/>
                <w:szCs w:val="20"/>
                <w:lang w:eastAsia="lv-LV"/>
              </w:rPr>
            </w:pPr>
            <w:r w:rsidRPr="00592B96">
              <w:rPr>
                <w:rFonts w:ascii="Times New Roman" w:eastAsia="Times New Roman" w:hAnsi="Times New Roman" w:cs="Times New Roman"/>
                <w:b/>
                <w:bCs/>
                <w:color w:val="000000"/>
                <w:sz w:val="20"/>
                <w:szCs w:val="20"/>
              </w:rPr>
              <w:t>417 360</w:t>
            </w:r>
          </w:p>
        </w:tc>
        <w:tc>
          <w:tcPr>
            <w:tcW w:w="992" w:type="dxa"/>
            <w:tcBorders>
              <w:top w:val="nil"/>
              <w:left w:val="nil"/>
              <w:bottom w:val="single" w:sz="4" w:space="0" w:color="auto"/>
              <w:right w:val="single" w:sz="4" w:space="0" w:color="auto"/>
            </w:tcBorders>
            <w:shd w:val="clear" w:color="auto" w:fill="auto"/>
            <w:vAlign w:val="center"/>
            <w:hideMark/>
          </w:tcPr>
          <w:p w14:paraId="3B8665A4" w14:textId="77777777" w:rsidR="00E77FC3" w:rsidRPr="00592B96" w:rsidRDefault="00E77FC3" w:rsidP="00096F51">
            <w:pPr>
              <w:spacing w:after="0" w:line="240" w:lineRule="auto"/>
              <w:jc w:val="right"/>
              <w:rPr>
                <w:rFonts w:ascii="Times New Roman" w:eastAsia="Times New Roman" w:hAnsi="Times New Roman" w:cs="Times New Roman"/>
                <w:b/>
                <w:bCs/>
                <w:color w:val="000000"/>
                <w:sz w:val="20"/>
                <w:szCs w:val="20"/>
                <w:lang w:eastAsia="lv-LV"/>
              </w:rPr>
            </w:pPr>
            <w:r w:rsidRPr="00592B96">
              <w:rPr>
                <w:rFonts w:ascii="Times New Roman" w:eastAsia="Times New Roman" w:hAnsi="Times New Roman" w:cs="Times New Roman"/>
                <w:b/>
                <w:bCs/>
                <w:color w:val="000000"/>
                <w:sz w:val="20"/>
                <w:szCs w:val="20"/>
              </w:rPr>
              <w:t>353 360</w:t>
            </w:r>
          </w:p>
        </w:tc>
        <w:tc>
          <w:tcPr>
            <w:tcW w:w="1004" w:type="dxa"/>
            <w:tcBorders>
              <w:top w:val="nil"/>
              <w:left w:val="nil"/>
              <w:bottom w:val="single" w:sz="4" w:space="0" w:color="auto"/>
              <w:right w:val="single" w:sz="4" w:space="0" w:color="auto"/>
            </w:tcBorders>
            <w:shd w:val="clear" w:color="auto" w:fill="auto"/>
            <w:vAlign w:val="center"/>
            <w:hideMark/>
          </w:tcPr>
          <w:p w14:paraId="2DF6119B" w14:textId="77777777" w:rsidR="00E77FC3" w:rsidRPr="00592B96" w:rsidRDefault="00E77FC3" w:rsidP="00096F51">
            <w:pPr>
              <w:spacing w:after="0" w:line="240" w:lineRule="auto"/>
              <w:jc w:val="right"/>
              <w:rPr>
                <w:rFonts w:ascii="Times New Roman" w:eastAsia="Times New Roman" w:hAnsi="Times New Roman" w:cs="Times New Roman"/>
                <w:b/>
                <w:bCs/>
                <w:color w:val="000000"/>
                <w:sz w:val="20"/>
                <w:szCs w:val="20"/>
                <w:lang w:eastAsia="lv-LV"/>
              </w:rPr>
            </w:pPr>
            <w:r w:rsidRPr="00592B96">
              <w:rPr>
                <w:rFonts w:ascii="Times New Roman" w:eastAsia="Times New Roman" w:hAnsi="Times New Roman" w:cs="Times New Roman"/>
                <w:b/>
                <w:bCs/>
                <w:color w:val="000000"/>
                <w:sz w:val="20"/>
                <w:szCs w:val="20"/>
              </w:rPr>
              <w:t>353 360</w:t>
            </w:r>
          </w:p>
        </w:tc>
      </w:tr>
      <w:tr w:rsidR="00E77FC3" w:rsidRPr="00592B96" w14:paraId="7C4D9647" w14:textId="77777777" w:rsidTr="00096F51">
        <w:trPr>
          <w:trHeight w:val="260"/>
          <w:jc w:val="right"/>
        </w:trPr>
        <w:tc>
          <w:tcPr>
            <w:tcW w:w="609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053B295" w14:textId="77777777" w:rsidR="00E77FC3" w:rsidRPr="00592B96" w:rsidRDefault="00E77FC3" w:rsidP="00096F51">
            <w:pPr>
              <w:spacing w:after="0" w:line="240" w:lineRule="auto"/>
              <w:jc w:val="right"/>
              <w:rPr>
                <w:rFonts w:ascii="Times New Roman" w:eastAsia="Times New Roman" w:hAnsi="Times New Roman" w:cs="Times New Roman"/>
                <w:i/>
                <w:iCs/>
                <w:color w:val="000000"/>
                <w:sz w:val="20"/>
                <w:szCs w:val="20"/>
                <w:lang w:eastAsia="lv-LV"/>
              </w:rPr>
            </w:pPr>
            <w:r w:rsidRPr="00592B96">
              <w:rPr>
                <w:rFonts w:ascii="Times New Roman" w:eastAsia="Times New Roman" w:hAnsi="Times New Roman" w:cs="Times New Roman"/>
                <w:i/>
                <w:iCs/>
                <w:color w:val="000000"/>
                <w:sz w:val="20"/>
                <w:szCs w:val="20"/>
              </w:rPr>
              <w:t>Atlikums</w:t>
            </w:r>
          </w:p>
        </w:tc>
        <w:tc>
          <w:tcPr>
            <w:tcW w:w="992" w:type="dxa"/>
            <w:tcBorders>
              <w:top w:val="nil"/>
              <w:left w:val="nil"/>
              <w:bottom w:val="single" w:sz="4" w:space="0" w:color="auto"/>
              <w:right w:val="single" w:sz="4" w:space="0" w:color="auto"/>
            </w:tcBorders>
            <w:shd w:val="clear" w:color="auto" w:fill="auto"/>
            <w:vAlign w:val="center"/>
            <w:hideMark/>
          </w:tcPr>
          <w:p w14:paraId="65F6D904" w14:textId="77777777" w:rsidR="00E77FC3" w:rsidRPr="00592B96" w:rsidRDefault="00E77FC3" w:rsidP="00096F51">
            <w:pPr>
              <w:spacing w:after="0" w:line="240" w:lineRule="auto"/>
              <w:jc w:val="right"/>
              <w:rPr>
                <w:rFonts w:ascii="Times New Roman" w:eastAsia="Times New Roman" w:hAnsi="Times New Roman" w:cs="Times New Roman"/>
                <w:i/>
                <w:iCs/>
                <w:color w:val="000000"/>
                <w:sz w:val="20"/>
                <w:szCs w:val="20"/>
                <w:lang w:eastAsia="lv-LV"/>
              </w:rPr>
            </w:pPr>
            <w:r w:rsidRPr="00592B96">
              <w:rPr>
                <w:rFonts w:ascii="Times New Roman" w:eastAsia="Times New Roman" w:hAnsi="Times New Roman" w:cs="Times New Roman"/>
                <w:i/>
                <w:iCs/>
                <w:color w:val="00000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14:paraId="49F054F4" w14:textId="77777777" w:rsidR="00E77FC3" w:rsidRPr="00592B96" w:rsidRDefault="00E77FC3" w:rsidP="00096F51">
            <w:pPr>
              <w:spacing w:after="0" w:line="240" w:lineRule="auto"/>
              <w:jc w:val="right"/>
              <w:rPr>
                <w:rFonts w:ascii="Times New Roman" w:eastAsia="Times New Roman" w:hAnsi="Times New Roman" w:cs="Times New Roman"/>
                <w:i/>
                <w:iCs/>
                <w:color w:val="000000"/>
                <w:sz w:val="20"/>
                <w:szCs w:val="20"/>
                <w:lang w:eastAsia="lv-LV"/>
              </w:rPr>
            </w:pPr>
            <w:r w:rsidRPr="00592B96">
              <w:rPr>
                <w:rFonts w:ascii="Times New Roman" w:eastAsia="Times New Roman" w:hAnsi="Times New Roman" w:cs="Times New Roman"/>
                <w:i/>
                <w:iCs/>
                <w:color w:val="000000"/>
                <w:sz w:val="20"/>
                <w:szCs w:val="20"/>
              </w:rPr>
              <w:t>139 708</w:t>
            </w:r>
          </w:p>
        </w:tc>
        <w:tc>
          <w:tcPr>
            <w:tcW w:w="1004" w:type="dxa"/>
            <w:tcBorders>
              <w:top w:val="nil"/>
              <w:left w:val="nil"/>
              <w:bottom w:val="single" w:sz="4" w:space="0" w:color="auto"/>
              <w:right w:val="single" w:sz="4" w:space="0" w:color="auto"/>
            </w:tcBorders>
            <w:shd w:val="clear" w:color="auto" w:fill="auto"/>
            <w:vAlign w:val="center"/>
            <w:hideMark/>
          </w:tcPr>
          <w:p w14:paraId="23F80110" w14:textId="77777777" w:rsidR="00E77FC3" w:rsidRPr="00592B96" w:rsidRDefault="00E77FC3" w:rsidP="00096F51">
            <w:pPr>
              <w:spacing w:after="0" w:line="240" w:lineRule="auto"/>
              <w:jc w:val="right"/>
              <w:rPr>
                <w:rFonts w:ascii="Times New Roman" w:eastAsia="Times New Roman" w:hAnsi="Times New Roman" w:cs="Times New Roman"/>
                <w:i/>
                <w:iCs/>
                <w:color w:val="000000"/>
                <w:sz w:val="20"/>
                <w:szCs w:val="20"/>
                <w:lang w:eastAsia="lv-LV"/>
              </w:rPr>
            </w:pPr>
            <w:r w:rsidRPr="00592B96">
              <w:rPr>
                <w:rFonts w:ascii="Times New Roman" w:eastAsia="Times New Roman" w:hAnsi="Times New Roman" w:cs="Times New Roman"/>
                <w:i/>
                <w:iCs/>
                <w:color w:val="000000"/>
                <w:sz w:val="20"/>
                <w:szCs w:val="20"/>
              </w:rPr>
              <w:t>212 308</w:t>
            </w:r>
          </w:p>
        </w:tc>
      </w:tr>
    </w:tbl>
    <w:p w14:paraId="61100ECE" w14:textId="4ABC529A" w:rsidR="001172B1" w:rsidRDefault="001172B1" w:rsidP="00563742">
      <w:pPr>
        <w:rPr>
          <w:rFonts w:ascii="Times New Roman" w:hAnsi="Times New Roman" w:cs="Times New Roman"/>
          <w:i/>
          <w:iCs/>
          <w:sz w:val="24"/>
          <w:szCs w:val="24"/>
        </w:rPr>
      </w:pPr>
    </w:p>
    <w:p w14:paraId="35B9B2FD" w14:textId="77777777" w:rsidR="00796941" w:rsidRPr="00461101" w:rsidRDefault="00796941" w:rsidP="00563742">
      <w:pPr>
        <w:rPr>
          <w:rFonts w:ascii="Times New Roman" w:hAnsi="Times New Roman" w:cs="Times New Roman"/>
          <w:i/>
          <w:iCs/>
          <w:sz w:val="24"/>
          <w:szCs w:val="24"/>
        </w:rPr>
      </w:pPr>
    </w:p>
    <w:p w14:paraId="5AA5C414" w14:textId="77777777" w:rsidR="00563742" w:rsidRPr="00461101" w:rsidRDefault="00563742" w:rsidP="00563742">
      <w:pPr>
        <w:spacing w:before="120" w:after="120" w:line="240" w:lineRule="auto"/>
        <w:jc w:val="both"/>
        <w:rPr>
          <w:rFonts w:ascii="Times New Roman" w:hAnsi="Times New Roman" w:cs="Times New Roman"/>
          <w:sz w:val="24"/>
          <w:szCs w:val="24"/>
        </w:rPr>
      </w:pPr>
    </w:p>
    <w:p w14:paraId="2460083C" w14:textId="77777777" w:rsidR="00563742" w:rsidRPr="00461101" w:rsidRDefault="00563742" w:rsidP="00563742">
      <w:pPr>
        <w:spacing w:before="120" w:after="120"/>
        <w:jc w:val="both"/>
        <w:rPr>
          <w:rFonts w:ascii="Times New Roman" w:hAnsi="Times New Roman" w:cs="Times New Roman"/>
          <w:sz w:val="24"/>
          <w:szCs w:val="24"/>
        </w:rPr>
      </w:pPr>
      <w:r w:rsidRPr="00461101">
        <w:rPr>
          <w:rFonts w:ascii="Times New Roman" w:hAnsi="Times New Roman" w:cs="Times New Roman"/>
          <w:sz w:val="24"/>
          <w:szCs w:val="24"/>
        </w:rPr>
        <w:t>Finanšu ministrs</w:t>
      </w:r>
      <w:r w:rsidRPr="00461101">
        <w:rPr>
          <w:rFonts w:ascii="Times New Roman" w:hAnsi="Times New Roman" w:cs="Times New Roman"/>
          <w:sz w:val="24"/>
          <w:szCs w:val="24"/>
        </w:rPr>
        <w:tab/>
      </w:r>
      <w:r w:rsidRPr="00461101">
        <w:rPr>
          <w:rFonts w:ascii="Times New Roman" w:hAnsi="Times New Roman" w:cs="Times New Roman"/>
          <w:sz w:val="24"/>
          <w:szCs w:val="24"/>
        </w:rPr>
        <w:tab/>
      </w:r>
      <w:r w:rsidRPr="00461101">
        <w:rPr>
          <w:rFonts w:ascii="Times New Roman" w:hAnsi="Times New Roman" w:cs="Times New Roman"/>
          <w:sz w:val="24"/>
          <w:szCs w:val="24"/>
        </w:rPr>
        <w:tab/>
      </w:r>
      <w:r w:rsidRPr="00461101">
        <w:rPr>
          <w:rFonts w:ascii="Times New Roman" w:hAnsi="Times New Roman" w:cs="Times New Roman"/>
          <w:sz w:val="24"/>
          <w:szCs w:val="24"/>
        </w:rPr>
        <w:tab/>
      </w:r>
      <w:r w:rsidRPr="00461101">
        <w:rPr>
          <w:rFonts w:ascii="Times New Roman" w:hAnsi="Times New Roman" w:cs="Times New Roman"/>
          <w:sz w:val="24"/>
          <w:szCs w:val="24"/>
        </w:rPr>
        <w:tab/>
      </w:r>
      <w:r w:rsidRPr="00461101">
        <w:rPr>
          <w:rFonts w:ascii="Times New Roman" w:hAnsi="Times New Roman" w:cs="Times New Roman"/>
          <w:sz w:val="24"/>
          <w:szCs w:val="24"/>
        </w:rPr>
        <w:tab/>
      </w:r>
      <w:r w:rsidRPr="00461101">
        <w:rPr>
          <w:rFonts w:ascii="Times New Roman" w:hAnsi="Times New Roman" w:cs="Times New Roman"/>
          <w:sz w:val="24"/>
          <w:szCs w:val="24"/>
        </w:rPr>
        <w:tab/>
      </w:r>
      <w:r w:rsidRPr="00461101">
        <w:rPr>
          <w:rFonts w:ascii="Times New Roman" w:hAnsi="Times New Roman" w:cs="Times New Roman"/>
          <w:sz w:val="24"/>
          <w:szCs w:val="24"/>
        </w:rPr>
        <w:tab/>
        <w:t>J.Reirs</w:t>
      </w:r>
    </w:p>
    <w:p w14:paraId="1328BEE4" w14:textId="301473F8" w:rsidR="00563742" w:rsidRDefault="00563742" w:rsidP="002E592D">
      <w:pPr>
        <w:spacing w:after="0"/>
        <w:rPr>
          <w:rFonts w:ascii="Times New Roman" w:hAnsi="Times New Roman" w:cs="Times New Roman"/>
          <w:sz w:val="20"/>
          <w:szCs w:val="20"/>
        </w:rPr>
      </w:pPr>
    </w:p>
    <w:p w14:paraId="1BB1C5B1" w14:textId="0DF9CD8D" w:rsidR="00796941" w:rsidRDefault="00796941" w:rsidP="002E592D">
      <w:pPr>
        <w:spacing w:after="0"/>
        <w:rPr>
          <w:rFonts w:ascii="Times New Roman" w:hAnsi="Times New Roman" w:cs="Times New Roman"/>
          <w:sz w:val="20"/>
          <w:szCs w:val="20"/>
        </w:rPr>
      </w:pPr>
    </w:p>
    <w:p w14:paraId="434F612E" w14:textId="574FFC13" w:rsidR="00796941" w:rsidRDefault="00796941" w:rsidP="002E592D">
      <w:pPr>
        <w:spacing w:after="0"/>
        <w:rPr>
          <w:rFonts w:ascii="Times New Roman" w:hAnsi="Times New Roman" w:cs="Times New Roman"/>
          <w:sz w:val="20"/>
          <w:szCs w:val="20"/>
        </w:rPr>
      </w:pPr>
    </w:p>
    <w:p w14:paraId="328640FE" w14:textId="63780CD0" w:rsidR="00796941" w:rsidRDefault="00796941" w:rsidP="002E592D">
      <w:pPr>
        <w:spacing w:after="0"/>
        <w:rPr>
          <w:rFonts w:ascii="Times New Roman" w:hAnsi="Times New Roman" w:cs="Times New Roman"/>
          <w:sz w:val="20"/>
          <w:szCs w:val="20"/>
        </w:rPr>
      </w:pPr>
    </w:p>
    <w:p w14:paraId="0F907EC7" w14:textId="355C4B65" w:rsidR="00796941" w:rsidRDefault="00796941" w:rsidP="002E592D">
      <w:pPr>
        <w:spacing w:after="0"/>
        <w:rPr>
          <w:rFonts w:ascii="Times New Roman" w:hAnsi="Times New Roman" w:cs="Times New Roman"/>
          <w:sz w:val="20"/>
          <w:szCs w:val="20"/>
        </w:rPr>
      </w:pPr>
    </w:p>
    <w:p w14:paraId="30C536E3" w14:textId="18D76A19" w:rsidR="00796941" w:rsidRDefault="00796941" w:rsidP="002E592D">
      <w:pPr>
        <w:spacing w:after="0"/>
        <w:rPr>
          <w:rFonts w:ascii="Times New Roman" w:hAnsi="Times New Roman" w:cs="Times New Roman"/>
          <w:sz w:val="20"/>
          <w:szCs w:val="20"/>
        </w:rPr>
      </w:pPr>
    </w:p>
    <w:p w14:paraId="1B0E0D70" w14:textId="052638B0" w:rsidR="00796941" w:rsidRDefault="00796941" w:rsidP="002E592D">
      <w:pPr>
        <w:spacing w:after="0"/>
        <w:rPr>
          <w:rFonts w:ascii="Times New Roman" w:hAnsi="Times New Roman" w:cs="Times New Roman"/>
          <w:sz w:val="20"/>
          <w:szCs w:val="20"/>
        </w:rPr>
      </w:pPr>
    </w:p>
    <w:p w14:paraId="265977DA" w14:textId="5157BDB6" w:rsidR="00796941" w:rsidRDefault="00796941" w:rsidP="002E592D">
      <w:pPr>
        <w:spacing w:after="0"/>
        <w:rPr>
          <w:rFonts w:ascii="Times New Roman" w:hAnsi="Times New Roman" w:cs="Times New Roman"/>
          <w:sz w:val="20"/>
          <w:szCs w:val="20"/>
        </w:rPr>
      </w:pPr>
    </w:p>
    <w:p w14:paraId="1769D0EA" w14:textId="77777777" w:rsidR="00796941" w:rsidRPr="00C527FE" w:rsidRDefault="00796941" w:rsidP="002E592D">
      <w:pPr>
        <w:spacing w:after="0"/>
        <w:rPr>
          <w:rFonts w:ascii="Times New Roman" w:hAnsi="Times New Roman" w:cs="Times New Roman"/>
          <w:sz w:val="20"/>
          <w:szCs w:val="20"/>
        </w:rPr>
      </w:pPr>
    </w:p>
    <w:p w14:paraId="1D2FE32F" w14:textId="77777777" w:rsidR="00563742" w:rsidRPr="00C527FE" w:rsidRDefault="00563742" w:rsidP="002E592D">
      <w:pPr>
        <w:spacing w:after="0"/>
        <w:rPr>
          <w:rFonts w:ascii="Times New Roman" w:hAnsi="Times New Roman" w:cs="Times New Roman"/>
          <w:sz w:val="20"/>
          <w:szCs w:val="20"/>
        </w:rPr>
      </w:pPr>
    </w:p>
    <w:p w14:paraId="512B37F2" w14:textId="77777777" w:rsidR="00563742" w:rsidRPr="00C527FE" w:rsidRDefault="00563742" w:rsidP="00563742">
      <w:pPr>
        <w:spacing w:after="0"/>
        <w:rPr>
          <w:rFonts w:ascii="Times New Roman" w:hAnsi="Times New Roman" w:cs="Times New Roman"/>
          <w:sz w:val="20"/>
          <w:szCs w:val="20"/>
        </w:rPr>
      </w:pPr>
      <w:r w:rsidRPr="00C527FE">
        <w:rPr>
          <w:rFonts w:ascii="Times New Roman" w:hAnsi="Times New Roman" w:cs="Times New Roman"/>
          <w:sz w:val="20"/>
          <w:szCs w:val="20"/>
        </w:rPr>
        <w:t>Zane Adijāne, 67095437</w:t>
      </w:r>
    </w:p>
    <w:p w14:paraId="020E2FC3" w14:textId="1909BB11" w:rsidR="00563742" w:rsidRPr="00C527FE" w:rsidRDefault="00EE4D66" w:rsidP="002E592D">
      <w:pPr>
        <w:spacing w:after="0"/>
        <w:rPr>
          <w:rFonts w:ascii="Times New Roman" w:hAnsi="Times New Roman" w:cs="Times New Roman"/>
          <w:sz w:val="20"/>
          <w:szCs w:val="20"/>
        </w:rPr>
      </w:pPr>
      <w:hyperlink r:id="rId8" w:history="1">
        <w:r w:rsidR="00563742" w:rsidRPr="00C527FE">
          <w:rPr>
            <w:rStyle w:val="Hyperlink"/>
            <w:rFonts w:ascii="Times New Roman" w:hAnsi="Times New Roman" w:cs="Times New Roman"/>
            <w:color w:val="auto"/>
            <w:sz w:val="20"/>
            <w:szCs w:val="20"/>
          </w:rPr>
          <w:t>zane.adijane@fm.gov.lv</w:t>
        </w:r>
      </w:hyperlink>
      <w:r w:rsidR="00563742" w:rsidRPr="00C527FE">
        <w:rPr>
          <w:rFonts w:ascii="Times New Roman" w:hAnsi="Times New Roman" w:cs="Times New Roman"/>
          <w:sz w:val="20"/>
          <w:szCs w:val="20"/>
        </w:rPr>
        <w:t xml:space="preserve"> </w:t>
      </w:r>
    </w:p>
    <w:sectPr w:rsidR="00563742" w:rsidRPr="00C527FE" w:rsidSect="0082389F">
      <w:headerReference w:type="default" r:id="rId9"/>
      <w:footerReference w:type="default" r:id="rId10"/>
      <w:headerReference w:type="firs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06B06E" w14:textId="77777777" w:rsidR="00392353" w:rsidRDefault="00392353" w:rsidP="00D7043B">
      <w:pPr>
        <w:spacing w:after="0" w:line="240" w:lineRule="auto"/>
      </w:pPr>
      <w:r>
        <w:separator/>
      </w:r>
    </w:p>
  </w:endnote>
  <w:endnote w:type="continuationSeparator" w:id="0">
    <w:p w14:paraId="2E0B73D5" w14:textId="77777777" w:rsidR="00392353" w:rsidRDefault="00392353" w:rsidP="00D70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1AE86" w14:textId="287B8D59" w:rsidR="003E2A4C" w:rsidRPr="002B5B22" w:rsidRDefault="003E2A4C">
    <w:pPr>
      <w:pStyle w:val="Foo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0A2B64">
      <w:rPr>
        <w:rFonts w:ascii="Times New Roman" w:hAnsi="Times New Roman" w:cs="Times New Roman"/>
        <w:noProof/>
        <w:sz w:val="20"/>
        <w:szCs w:val="20"/>
      </w:rPr>
      <w:t>FMZin_230921.docx</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5FD60" w14:textId="77777777" w:rsidR="00392353" w:rsidRDefault="00392353" w:rsidP="00D7043B">
      <w:pPr>
        <w:spacing w:after="0" w:line="240" w:lineRule="auto"/>
      </w:pPr>
      <w:r>
        <w:separator/>
      </w:r>
    </w:p>
  </w:footnote>
  <w:footnote w:type="continuationSeparator" w:id="0">
    <w:p w14:paraId="1964591D" w14:textId="77777777" w:rsidR="00392353" w:rsidRDefault="00392353" w:rsidP="00D7043B">
      <w:pPr>
        <w:spacing w:after="0" w:line="240" w:lineRule="auto"/>
      </w:pPr>
      <w:r>
        <w:continuationSeparator/>
      </w:r>
    </w:p>
  </w:footnote>
  <w:footnote w:id="1">
    <w:p w14:paraId="435D6920" w14:textId="77777777" w:rsidR="00C0184A" w:rsidRPr="00AD7BE9" w:rsidRDefault="00C0184A" w:rsidP="00C0184A">
      <w:pPr>
        <w:pStyle w:val="FootnoteText"/>
        <w:tabs>
          <w:tab w:val="left" w:pos="284"/>
        </w:tabs>
        <w:spacing w:after="80"/>
        <w:rPr>
          <w:rFonts w:cs="Times New Roman"/>
          <w:sz w:val="18"/>
          <w:szCs w:val="18"/>
        </w:rPr>
      </w:pPr>
      <w:r w:rsidRPr="00AD7BE9">
        <w:rPr>
          <w:rStyle w:val="FootnoteReference"/>
          <w:rFonts w:cs="Times New Roman"/>
          <w:sz w:val="18"/>
          <w:szCs w:val="18"/>
        </w:rPr>
        <w:footnoteRef/>
      </w:r>
      <w:r w:rsidRPr="00AD7BE9">
        <w:rPr>
          <w:rFonts w:cs="Times New Roman"/>
          <w:sz w:val="18"/>
          <w:szCs w:val="18"/>
        </w:rPr>
        <w:t xml:space="preserve"> </w:t>
      </w:r>
      <w:r w:rsidRPr="00AD7BE9">
        <w:rPr>
          <w:rFonts w:cs="Times New Roman"/>
          <w:sz w:val="18"/>
          <w:szCs w:val="18"/>
        </w:rPr>
        <w:tab/>
        <w:t xml:space="preserve">Pieejams: </w:t>
      </w:r>
      <w:hyperlink r:id="rId1" w:history="1">
        <w:r w:rsidRPr="00AD7BE9">
          <w:rPr>
            <w:rStyle w:val="Hyperlink"/>
            <w:rFonts w:cs="Times New Roman"/>
            <w:i/>
            <w:iCs/>
            <w:sz w:val="18"/>
            <w:szCs w:val="18"/>
          </w:rPr>
          <w:t>http://tap.mk.gov.lv/mk/mksedes/saraksts/protokols/?protokols=2020-09-22</w:t>
        </w:r>
      </w:hyperlink>
    </w:p>
  </w:footnote>
  <w:footnote w:id="2">
    <w:p w14:paraId="7196BFAC" w14:textId="77777777" w:rsidR="00C0184A" w:rsidRPr="00AD7BE9" w:rsidRDefault="00C0184A" w:rsidP="00C0184A">
      <w:pPr>
        <w:tabs>
          <w:tab w:val="left" w:pos="284"/>
        </w:tabs>
        <w:spacing w:after="80" w:line="240" w:lineRule="auto"/>
        <w:ind w:left="284" w:hanging="284"/>
        <w:rPr>
          <w:rFonts w:ascii="Times New Roman" w:hAnsi="Times New Roman" w:cs="Times New Roman"/>
          <w:i/>
          <w:sz w:val="18"/>
          <w:szCs w:val="18"/>
        </w:rPr>
      </w:pPr>
      <w:r w:rsidRPr="00AD7BE9">
        <w:rPr>
          <w:rStyle w:val="FootnoteReference"/>
          <w:rFonts w:ascii="Times New Roman" w:hAnsi="Times New Roman" w:cs="Times New Roman"/>
          <w:sz w:val="18"/>
          <w:szCs w:val="18"/>
        </w:rPr>
        <w:footnoteRef/>
      </w:r>
      <w:r w:rsidRPr="00AD7BE9">
        <w:rPr>
          <w:rFonts w:ascii="Times New Roman" w:hAnsi="Times New Roman" w:cs="Times New Roman"/>
          <w:sz w:val="18"/>
          <w:szCs w:val="18"/>
        </w:rPr>
        <w:t xml:space="preserve"> </w:t>
      </w:r>
      <w:r w:rsidRPr="00AD7BE9">
        <w:rPr>
          <w:rFonts w:ascii="Times New Roman" w:hAnsi="Times New Roman" w:cs="Times New Roman"/>
          <w:sz w:val="18"/>
          <w:szCs w:val="18"/>
        </w:rPr>
        <w:tab/>
        <w:t xml:space="preserve">ES Padomes Ekonomikas politikas komitejas (EPC) sanāksmes tematiskā diskusija par nodokļu reformām. </w:t>
      </w:r>
      <w:r w:rsidRPr="00AD7BE9">
        <w:rPr>
          <w:rFonts w:ascii="Times New Roman" w:hAnsi="Times New Roman" w:cs="Times New Roman"/>
          <w:i/>
          <w:sz w:val="18"/>
          <w:szCs w:val="18"/>
          <w:lang w:val="en-IE"/>
        </w:rPr>
        <w:t xml:space="preserve">Discussion note on tax reforms in the context of the RRF, </w:t>
      </w:r>
      <w:r w:rsidRPr="00AD7BE9">
        <w:rPr>
          <w:rFonts w:ascii="Times New Roman" w:hAnsi="Times New Roman" w:cs="Times New Roman"/>
          <w:sz w:val="18"/>
          <w:szCs w:val="18"/>
          <w:lang w:val="en-IE"/>
        </w:rPr>
        <w:t>2021.gada februāris</w:t>
      </w:r>
    </w:p>
  </w:footnote>
  <w:footnote w:id="3">
    <w:p w14:paraId="34DC803B" w14:textId="77777777" w:rsidR="00BF6F73" w:rsidRPr="002C717B" w:rsidRDefault="00BF6F73" w:rsidP="00BF6F73">
      <w:pPr>
        <w:pStyle w:val="FootnoteText"/>
      </w:pPr>
      <w:r>
        <w:rPr>
          <w:rStyle w:val="FootnoteReference"/>
        </w:rPr>
        <w:footnoteRef/>
      </w:r>
      <w:r>
        <w:t xml:space="preserve"> </w:t>
      </w:r>
      <w:r w:rsidRPr="002C717B">
        <w:rPr>
          <w:rFonts w:cs="Times New Roman"/>
          <w:color w:val="000000"/>
        </w:rPr>
        <w:t>Eiropas grāmatizdevēju federācijas pētījums par grāmat</w:t>
      </w:r>
      <w:r>
        <w:rPr>
          <w:rFonts w:cs="Times New Roman"/>
          <w:color w:val="000000"/>
        </w:rPr>
        <w:t>niecības s</w:t>
      </w:r>
      <w:r w:rsidRPr="002C717B">
        <w:rPr>
          <w:rFonts w:cs="Times New Roman"/>
          <w:color w:val="000000"/>
        </w:rPr>
        <w:t xml:space="preserve">ektoru 2017.gadā </w:t>
      </w:r>
      <w:hyperlink r:id="rId2" w:history="1">
        <w:r w:rsidRPr="002C717B">
          <w:rPr>
            <w:rStyle w:val="Hyperlink"/>
          </w:rPr>
          <w:t>https://reasonsandpersons.wordpress.com/2018/12/29/the-book-sector-in-europe-facts-and-figures-2017/</w:t>
        </w:r>
      </w:hyperlink>
      <w:r>
        <w:t xml:space="preserve"> </w:t>
      </w:r>
    </w:p>
  </w:footnote>
  <w:footnote w:id="4">
    <w:p w14:paraId="478B2F55" w14:textId="77777777" w:rsidR="003E2A4C" w:rsidRPr="000C5BA0" w:rsidRDefault="003E2A4C" w:rsidP="00E77FC3">
      <w:pPr>
        <w:pStyle w:val="FootnoteText"/>
        <w:rPr>
          <w:rFonts w:cs="Times New Roman"/>
        </w:rPr>
      </w:pPr>
      <w:r w:rsidRPr="000C5BA0">
        <w:rPr>
          <w:rStyle w:val="FootnoteReference"/>
          <w:rFonts w:cs="Times New Roman"/>
        </w:rPr>
        <w:footnoteRef/>
      </w:r>
      <w:r w:rsidRPr="000C5BA0">
        <w:rPr>
          <w:rFonts w:cs="Times New Roman"/>
        </w:rPr>
        <w:t xml:space="preserve"> </w:t>
      </w:r>
      <w:hyperlink r:id="rId3" w:history="1">
        <w:r w:rsidRPr="000C5BA0">
          <w:rPr>
            <w:rStyle w:val="Hyperlink"/>
            <w:rFonts w:cs="Times New Roman"/>
          </w:rPr>
          <w:t>http://tap.mk.gov.lv/lv/mk/tap/?pid=40491965</w:t>
        </w:r>
      </w:hyperlink>
      <w:r w:rsidRPr="000C5BA0">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4634506"/>
      <w:docPartObj>
        <w:docPartGallery w:val="Page Numbers (Top of Page)"/>
        <w:docPartUnique/>
      </w:docPartObj>
    </w:sdtPr>
    <w:sdtEndPr>
      <w:rPr>
        <w:noProof/>
      </w:rPr>
    </w:sdtEndPr>
    <w:sdtContent>
      <w:p w14:paraId="3C3ED713" w14:textId="77777777" w:rsidR="003E2A4C" w:rsidRDefault="003E2A4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1CDC9FF" w14:textId="77777777" w:rsidR="003E2A4C" w:rsidRDefault="003E2A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6A85D" w14:textId="77777777" w:rsidR="003E2A4C" w:rsidRDefault="003E2A4C">
    <w:pPr>
      <w:pStyle w:val="Header"/>
      <w:jc w:val="center"/>
    </w:pPr>
  </w:p>
  <w:p w14:paraId="2D25E495" w14:textId="77777777" w:rsidR="003E2A4C" w:rsidRDefault="003E2A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D55A4"/>
    <w:multiLevelType w:val="hybridMultilevel"/>
    <w:tmpl w:val="6B447B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5B4C0E"/>
    <w:multiLevelType w:val="hybridMultilevel"/>
    <w:tmpl w:val="A5A2EC4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 w15:restartNumberingAfterBreak="0">
    <w:nsid w:val="0A3F3D6C"/>
    <w:multiLevelType w:val="hybridMultilevel"/>
    <w:tmpl w:val="2CF2B746"/>
    <w:lvl w:ilvl="0" w:tplc="FC76E53E">
      <w:start w:val="208"/>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C793F28"/>
    <w:multiLevelType w:val="hybridMultilevel"/>
    <w:tmpl w:val="26A042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2E3034"/>
    <w:multiLevelType w:val="multilevel"/>
    <w:tmpl w:val="8FA8C596"/>
    <w:lvl w:ilvl="0">
      <w:start w:val="1"/>
      <w:numFmt w:val="bullet"/>
      <w:lvlText w:val=""/>
      <w:lvlJc w:val="left"/>
      <w:pPr>
        <w:ind w:left="720" w:hanging="363"/>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142223A2"/>
    <w:multiLevelType w:val="hybridMultilevel"/>
    <w:tmpl w:val="36D041D6"/>
    <w:lvl w:ilvl="0" w:tplc="886C30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B03867"/>
    <w:multiLevelType w:val="hybridMultilevel"/>
    <w:tmpl w:val="171E18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F180DE9"/>
    <w:multiLevelType w:val="hybridMultilevel"/>
    <w:tmpl w:val="D0D6331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1FB22EC1"/>
    <w:multiLevelType w:val="multilevel"/>
    <w:tmpl w:val="02526966"/>
    <w:lvl w:ilvl="0">
      <w:start w:val="5"/>
      <w:numFmt w:val="decimal"/>
      <w:lvlText w:val="%1."/>
      <w:lvlJc w:val="left"/>
      <w:pPr>
        <w:ind w:left="360" w:hanging="360"/>
      </w:pPr>
      <w:rPr>
        <w:rFonts w:hint="default"/>
      </w:rPr>
    </w:lvl>
    <w:lvl w:ilvl="1">
      <w:start w:val="1"/>
      <w:numFmt w:val="none"/>
      <w:lvlText w:val="6.4."/>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5E31C59"/>
    <w:multiLevelType w:val="hybridMultilevel"/>
    <w:tmpl w:val="90DCE84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665278A"/>
    <w:multiLevelType w:val="hybridMultilevel"/>
    <w:tmpl w:val="274E6044"/>
    <w:lvl w:ilvl="0" w:tplc="0824CDF8">
      <w:start w:val="7"/>
      <w:numFmt w:val="bullet"/>
      <w:lvlText w:val="-"/>
      <w:lvlJc w:val="left"/>
      <w:pPr>
        <w:ind w:left="786" w:hanging="360"/>
      </w:pPr>
      <w:rPr>
        <w:rFonts w:ascii="Times New Roman" w:eastAsia="Calibri"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1" w15:restartNumberingAfterBreak="0">
    <w:nsid w:val="28CF386B"/>
    <w:multiLevelType w:val="hybridMultilevel"/>
    <w:tmpl w:val="B198B0C4"/>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2" w15:restartNumberingAfterBreak="0">
    <w:nsid w:val="3370013A"/>
    <w:multiLevelType w:val="hybridMultilevel"/>
    <w:tmpl w:val="827C3C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44330D0"/>
    <w:multiLevelType w:val="hybridMultilevel"/>
    <w:tmpl w:val="0AD6FCEC"/>
    <w:lvl w:ilvl="0" w:tplc="F18C3EC2">
      <w:start w:val="6"/>
      <w:numFmt w:val="bullet"/>
      <w:lvlText w:val="-"/>
      <w:lvlJc w:val="left"/>
      <w:pPr>
        <w:ind w:left="1080" w:hanging="360"/>
      </w:pPr>
      <w:rPr>
        <w:rFonts w:ascii="Times New Roman" w:eastAsia="Times New Roman" w:hAnsi="Times New Roman" w:cs="Times New Roman" w:hint="default"/>
        <w:color w:val="000000"/>
        <w:sz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3B4037A3"/>
    <w:multiLevelType w:val="hybridMultilevel"/>
    <w:tmpl w:val="C1648F6A"/>
    <w:lvl w:ilvl="0" w:tplc="230620A6">
      <w:start w:val="5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1F51EAF"/>
    <w:multiLevelType w:val="hybridMultilevel"/>
    <w:tmpl w:val="CBCC0794"/>
    <w:lvl w:ilvl="0" w:tplc="9406325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27C61D2"/>
    <w:multiLevelType w:val="multilevel"/>
    <w:tmpl w:val="9F08A33A"/>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AF5F64"/>
    <w:multiLevelType w:val="hybridMultilevel"/>
    <w:tmpl w:val="A1E40F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732008D"/>
    <w:multiLevelType w:val="hybridMultilevel"/>
    <w:tmpl w:val="790C5F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CA52E43"/>
    <w:multiLevelType w:val="hybridMultilevel"/>
    <w:tmpl w:val="47F61A6E"/>
    <w:lvl w:ilvl="0" w:tplc="9D38F6F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E891589"/>
    <w:multiLevelType w:val="hybridMultilevel"/>
    <w:tmpl w:val="07C2F73C"/>
    <w:lvl w:ilvl="0" w:tplc="A7A6F9C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500629EC"/>
    <w:multiLevelType w:val="hybridMultilevel"/>
    <w:tmpl w:val="194CE752"/>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2" w15:restartNumberingAfterBreak="0">
    <w:nsid w:val="64B11D66"/>
    <w:multiLevelType w:val="multilevel"/>
    <w:tmpl w:val="6496449E"/>
    <w:lvl w:ilvl="0">
      <w:start w:val="1"/>
      <w:numFmt w:val="decimal"/>
      <w:lvlText w:val="%1."/>
      <w:lvlJc w:val="left"/>
      <w:pPr>
        <w:ind w:left="36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4C77360"/>
    <w:multiLevelType w:val="hybridMultilevel"/>
    <w:tmpl w:val="819C9C64"/>
    <w:lvl w:ilvl="0" w:tplc="87CE94D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CB63E53"/>
    <w:multiLevelType w:val="multilevel"/>
    <w:tmpl w:val="EF52AD4C"/>
    <w:lvl w:ilvl="0">
      <w:start w:val="5"/>
      <w:numFmt w:val="decimal"/>
      <w:lvlText w:val="%1."/>
      <w:lvlJc w:val="left"/>
      <w:pPr>
        <w:ind w:left="360" w:hanging="360"/>
      </w:pPr>
      <w:rPr>
        <w:rFonts w:hint="default"/>
      </w:rPr>
    </w:lvl>
    <w:lvl w:ilvl="1">
      <w:start w:val="1"/>
      <w:numFmt w:val="decimal"/>
      <w:lvlText w:val="6.%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6D121B1F"/>
    <w:multiLevelType w:val="multilevel"/>
    <w:tmpl w:val="C7BE743E"/>
    <w:lvl w:ilvl="0">
      <w:start w:val="1"/>
      <w:numFmt w:val="decimal"/>
      <w:lvlText w:val="%1."/>
      <w:lvlJc w:val="left"/>
      <w:pPr>
        <w:ind w:left="1080" w:hanging="720"/>
      </w:pPr>
      <w:rPr>
        <w:rFonts w:hint="default"/>
      </w:rPr>
    </w:lvl>
    <w:lvl w:ilvl="1">
      <w:start w:val="1"/>
      <w:numFmt w:val="decimal"/>
      <w:isLgl/>
      <w:lvlText w:val="%1.6."/>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1A92551"/>
    <w:multiLevelType w:val="multilevel"/>
    <w:tmpl w:val="D6A04958"/>
    <w:lvl w:ilvl="0">
      <w:start w:val="1"/>
      <w:numFmt w:val="bullet"/>
      <w:lvlText w:val=""/>
      <w:lvlJc w:val="left"/>
      <w:pPr>
        <w:ind w:left="1353" w:hanging="1353"/>
      </w:pPr>
      <w:rPr>
        <w:rFonts w:ascii="Wingdings" w:hAnsi="Wingdings" w:hint="default"/>
      </w:rPr>
    </w:lvl>
    <w:lvl w:ilvl="1">
      <w:start w:val="1"/>
      <w:numFmt w:val="bullet"/>
      <w:lvlText w:val="o"/>
      <w:lvlJc w:val="left"/>
      <w:pPr>
        <w:ind w:left="2073" w:hanging="360"/>
      </w:pPr>
      <w:rPr>
        <w:rFonts w:ascii="Courier New" w:hAnsi="Courier New" w:cs="Courier New" w:hint="default"/>
      </w:rPr>
    </w:lvl>
    <w:lvl w:ilvl="2">
      <w:start w:val="1"/>
      <w:numFmt w:val="bullet"/>
      <w:lvlText w:val=""/>
      <w:lvlJc w:val="left"/>
      <w:pPr>
        <w:ind w:left="2793" w:hanging="360"/>
      </w:pPr>
      <w:rPr>
        <w:rFonts w:ascii="Wingdings" w:hAnsi="Wingdings" w:hint="default"/>
      </w:rPr>
    </w:lvl>
    <w:lvl w:ilvl="3">
      <w:start w:val="1"/>
      <w:numFmt w:val="bullet"/>
      <w:lvlText w:val=""/>
      <w:lvlJc w:val="left"/>
      <w:pPr>
        <w:ind w:left="3513" w:hanging="360"/>
      </w:pPr>
      <w:rPr>
        <w:rFonts w:ascii="Symbol" w:hAnsi="Symbol" w:hint="default"/>
      </w:rPr>
    </w:lvl>
    <w:lvl w:ilvl="4">
      <w:start w:val="1"/>
      <w:numFmt w:val="bullet"/>
      <w:lvlText w:val="o"/>
      <w:lvlJc w:val="left"/>
      <w:pPr>
        <w:ind w:left="4233" w:hanging="360"/>
      </w:pPr>
      <w:rPr>
        <w:rFonts w:ascii="Courier New" w:hAnsi="Courier New" w:cs="Courier New" w:hint="default"/>
      </w:rPr>
    </w:lvl>
    <w:lvl w:ilvl="5">
      <w:start w:val="1"/>
      <w:numFmt w:val="bullet"/>
      <w:lvlText w:val=""/>
      <w:lvlJc w:val="left"/>
      <w:pPr>
        <w:ind w:left="4953" w:hanging="360"/>
      </w:pPr>
      <w:rPr>
        <w:rFonts w:ascii="Wingdings" w:hAnsi="Wingdings" w:hint="default"/>
      </w:rPr>
    </w:lvl>
    <w:lvl w:ilvl="6">
      <w:start w:val="1"/>
      <w:numFmt w:val="bullet"/>
      <w:lvlText w:val=""/>
      <w:lvlJc w:val="left"/>
      <w:pPr>
        <w:ind w:left="5673" w:hanging="360"/>
      </w:pPr>
      <w:rPr>
        <w:rFonts w:ascii="Symbol" w:hAnsi="Symbol" w:hint="default"/>
      </w:rPr>
    </w:lvl>
    <w:lvl w:ilvl="7">
      <w:start w:val="1"/>
      <w:numFmt w:val="bullet"/>
      <w:lvlText w:val="o"/>
      <w:lvlJc w:val="left"/>
      <w:pPr>
        <w:ind w:left="6393" w:hanging="360"/>
      </w:pPr>
      <w:rPr>
        <w:rFonts w:ascii="Courier New" w:hAnsi="Courier New" w:cs="Courier New" w:hint="default"/>
      </w:rPr>
    </w:lvl>
    <w:lvl w:ilvl="8">
      <w:start w:val="1"/>
      <w:numFmt w:val="bullet"/>
      <w:lvlText w:val=""/>
      <w:lvlJc w:val="left"/>
      <w:pPr>
        <w:ind w:left="7113" w:hanging="360"/>
      </w:pPr>
      <w:rPr>
        <w:rFonts w:ascii="Wingdings" w:hAnsi="Wingdings" w:hint="default"/>
      </w:rPr>
    </w:lvl>
  </w:abstractNum>
  <w:abstractNum w:abstractNumId="27" w15:restartNumberingAfterBreak="0">
    <w:nsid w:val="72A61E34"/>
    <w:multiLevelType w:val="hybridMultilevel"/>
    <w:tmpl w:val="E7EE1A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5EC434B"/>
    <w:multiLevelType w:val="multilevel"/>
    <w:tmpl w:val="1E1466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BD44B1"/>
    <w:multiLevelType w:val="multilevel"/>
    <w:tmpl w:val="825A150A"/>
    <w:lvl w:ilvl="0">
      <w:start w:val="1"/>
      <w:numFmt w:val="none"/>
      <w:lvlText w:val="2."/>
      <w:lvlJc w:val="left"/>
      <w:pPr>
        <w:ind w:left="1080" w:hanging="720"/>
      </w:pPr>
      <w:rPr>
        <w:rFonts w:hint="default"/>
      </w:rPr>
    </w:lvl>
    <w:lvl w:ilvl="1">
      <w:start w:val="1"/>
      <w:numFmt w:val="decimal"/>
      <w:isLgl/>
      <w:lvlText w:val="%1.6."/>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E4E3C50"/>
    <w:multiLevelType w:val="hybridMultilevel"/>
    <w:tmpl w:val="3418D7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E710417"/>
    <w:multiLevelType w:val="hybridMultilevel"/>
    <w:tmpl w:val="96DAC9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7FBA4D6A"/>
    <w:multiLevelType w:val="multilevel"/>
    <w:tmpl w:val="A03A7F04"/>
    <w:lvl w:ilvl="0">
      <w:start w:val="1"/>
      <w:numFmt w:val="decimal"/>
      <w:lvlText w:val="%1)"/>
      <w:lvlJc w:val="left"/>
      <w:pPr>
        <w:ind w:left="1134" w:hanging="414"/>
      </w:pPr>
      <w:rPr>
        <w:rFont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25"/>
  </w:num>
  <w:num w:numId="2">
    <w:abstractNumId w:val="32"/>
  </w:num>
  <w:num w:numId="3">
    <w:abstractNumId w:val="9"/>
  </w:num>
  <w:num w:numId="4">
    <w:abstractNumId w:val="27"/>
  </w:num>
  <w:num w:numId="5">
    <w:abstractNumId w:val="12"/>
  </w:num>
  <w:num w:numId="6">
    <w:abstractNumId w:val="21"/>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
  </w:num>
  <w:num w:numId="10">
    <w:abstractNumId w:val="10"/>
  </w:num>
  <w:num w:numId="11">
    <w:abstractNumId w:val="26"/>
  </w:num>
  <w:num w:numId="12">
    <w:abstractNumId w:val="18"/>
  </w:num>
  <w:num w:numId="13">
    <w:abstractNumId w:val="13"/>
  </w:num>
  <w:num w:numId="14">
    <w:abstractNumId w:val="31"/>
  </w:num>
  <w:num w:numId="15">
    <w:abstractNumId w:val="28"/>
  </w:num>
  <w:num w:numId="16">
    <w:abstractNumId w:val="4"/>
  </w:num>
  <w:num w:numId="17">
    <w:abstractNumId w:val="1"/>
  </w:num>
  <w:num w:numId="18">
    <w:abstractNumId w:val="30"/>
  </w:num>
  <w:num w:numId="19">
    <w:abstractNumId w:val="22"/>
  </w:num>
  <w:num w:numId="20">
    <w:abstractNumId w:val="24"/>
  </w:num>
  <w:num w:numId="21">
    <w:abstractNumId w:val="15"/>
  </w:num>
  <w:num w:numId="22">
    <w:abstractNumId w:val="23"/>
  </w:num>
  <w:num w:numId="23">
    <w:abstractNumId w:val="19"/>
  </w:num>
  <w:num w:numId="24">
    <w:abstractNumId w:val="5"/>
  </w:num>
  <w:num w:numId="25">
    <w:abstractNumId w:val="3"/>
  </w:num>
  <w:num w:numId="26">
    <w:abstractNumId w:val="0"/>
  </w:num>
  <w:num w:numId="27">
    <w:abstractNumId w:val="8"/>
  </w:num>
  <w:num w:numId="28">
    <w:abstractNumId w:val="24"/>
    <w:lvlOverride w:ilvl="0">
      <w:lvl w:ilvl="0">
        <w:start w:val="5"/>
        <w:numFmt w:val="decimal"/>
        <w:lvlText w:val="%1."/>
        <w:lvlJc w:val="left"/>
        <w:pPr>
          <w:ind w:left="360" w:hanging="360"/>
        </w:pPr>
        <w:rPr>
          <w:rFonts w:hint="default"/>
        </w:rPr>
      </w:lvl>
    </w:lvlOverride>
    <w:lvlOverride w:ilvl="1">
      <w:lvl w:ilvl="1">
        <w:start w:val="1"/>
        <w:numFmt w:val="none"/>
        <w:lvlText w:val="6.5."/>
        <w:lvlJc w:val="left"/>
        <w:pPr>
          <w:ind w:left="786" w:hanging="360"/>
        </w:pPr>
        <w:rPr>
          <w:rFonts w:hint="default"/>
        </w:rPr>
      </w:lvl>
    </w:lvlOverride>
    <w:lvlOverride w:ilvl="2">
      <w:lvl w:ilvl="2">
        <w:start w:val="1"/>
        <w:numFmt w:val="decimal"/>
        <w:lvlText w:val="%1.%2.%3."/>
        <w:lvlJc w:val="left"/>
        <w:pPr>
          <w:ind w:left="1572" w:hanging="720"/>
        </w:pPr>
        <w:rPr>
          <w:rFonts w:hint="default"/>
        </w:rPr>
      </w:lvl>
    </w:lvlOverride>
    <w:lvlOverride w:ilvl="3">
      <w:lvl w:ilvl="3">
        <w:start w:val="1"/>
        <w:numFmt w:val="decimal"/>
        <w:lvlText w:val="%1.%2.%3.%4."/>
        <w:lvlJc w:val="left"/>
        <w:pPr>
          <w:ind w:left="1998" w:hanging="720"/>
        </w:pPr>
        <w:rPr>
          <w:rFonts w:hint="default"/>
        </w:rPr>
      </w:lvl>
    </w:lvlOverride>
    <w:lvlOverride w:ilvl="4">
      <w:lvl w:ilvl="4">
        <w:start w:val="1"/>
        <w:numFmt w:val="decimal"/>
        <w:lvlText w:val="%1.%2.%3.%4.%5."/>
        <w:lvlJc w:val="left"/>
        <w:pPr>
          <w:ind w:left="2784" w:hanging="1080"/>
        </w:pPr>
        <w:rPr>
          <w:rFonts w:hint="default"/>
        </w:rPr>
      </w:lvl>
    </w:lvlOverride>
    <w:lvlOverride w:ilvl="5">
      <w:lvl w:ilvl="5">
        <w:start w:val="1"/>
        <w:numFmt w:val="decimal"/>
        <w:lvlText w:val="%1.%2.%3.%4.%5.%6."/>
        <w:lvlJc w:val="left"/>
        <w:pPr>
          <w:ind w:left="3210" w:hanging="1080"/>
        </w:pPr>
        <w:rPr>
          <w:rFonts w:hint="default"/>
        </w:rPr>
      </w:lvl>
    </w:lvlOverride>
    <w:lvlOverride w:ilvl="6">
      <w:lvl w:ilvl="6">
        <w:start w:val="1"/>
        <w:numFmt w:val="decimal"/>
        <w:lvlText w:val="%1.%2.%3.%4.%5.%6.%7."/>
        <w:lvlJc w:val="left"/>
        <w:pPr>
          <w:ind w:left="3996" w:hanging="1440"/>
        </w:pPr>
        <w:rPr>
          <w:rFonts w:hint="default"/>
        </w:rPr>
      </w:lvl>
    </w:lvlOverride>
    <w:lvlOverride w:ilvl="7">
      <w:lvl w:ilvl="7">
        <w:start w:val="1"/>
        <w:numFmt w:val="decimal"/>
        <w:lvlText w:val="%1.%2.%3.%4.%5.%6.%7.%8."/>
        <w:lvlJc w:val="left"/>
        <w:pPr>
          <w:ind w:left="4422" w:hanging="1440"/>
        </w:pPr>
        <w:rPr>
          <w:rFonts w:hint="default"/>
        </w:rPr>
      </w:lvl>
    </w:lvlOverride>
    <w:lvlOverride w:ilvl="8">
      <w:lvl w:ilvl="8">
        <w:start w:val="1"/>
        <w:numFmt w:val="decimal"/>
        <w:lvlText w:val="%1.%2.%3.%4.%5.%6.%7.%8.%9."/>
        <w:lvlJc w:val="left"/>
        <w:pPr>
          <w:ind w:left="5208" w:hanging="1800"/>
        </w:pPr>
        <w:rPr>
          <w:rFonts w:hint="default"/>
        </w:rPr>
      </w:lvl>
    </w:lvlOverride>
  </w:num>
  <w:num w:numId="29">
    <w:abstractNumId w:val="29"/>
  </w:num>
  <w:num w:numId="30">
    <w:abstractNumId w:val="29"/>
    <w:lvlOverride w:ilvl="0">
      <w:lvl w:ilvl="0">
        <w:start w:val="1"/>
        <w:numFmt w:val="none"/>
        <w:lvlText w:val="4."/>
        <w:lvlJc w:val="left"/>
        <w:pPr>
          <w:ind w:left="1080" w:hanging="720"/>
        </w:pPr>
        <w:rPr>
          <w:rFonts w:hint="default"/>
        </w:rPr>
      </w:lvl>
    </w:lvlOverride>
    <w:lvlOverride w:ilvl="1">
      <w:lvl w:ilvl="1">
        <w:start w:val="1"/>
        <w:numFmt w:val="decimal"/>
        <w:isLgl/>
        <w:lvlText w:val="%1.6."/>
        <w:lvlJc w:val="left"/>
        <w:pPr>
          <w:ind w:left="786"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1">
    <w:abstractNumId w:val="29"/>
    <w:lvlOverride w:ilvl="0">
      <w:lvl w:ilvl="0">
        <w:start w:val="1"/>
        <w:numFmt w:val="none"/>
        <w:lvlText w:val="5."/>
        <w:lvlJc w:val="left"/>
        <w:pPr>
          <w:ind w:left="1080" w:hanging="720"/>
        </w:pPr>
        <w:rPr>
          <w:rFonts w:hint="default"/>
        </w:rPr>
      </w:lvl>
    </w:lvlOverride>
    <w:lvlOverride w:ilvl="1">
      <w:lvl w:ilvl="1">
        <w:start w:val="1"/>
        <w:numFmt w:val="decimal"/>
        <w:isLgl/>
        <w:lvlText w:val="%1.6."/>
        <w:lvlJc w:val="left"/>
        <w:pPr>
          <w:ind w:left="786"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2">
    <w:abstractNumId w:val="29"/>
    <w:lvlOverride w:ilvl="0">
      <w:lvl w:ilvl="0">
        <w:start w:val="1"/>
        <w:numFmt w:val="none"/>
        <w:lvlText w:val="6."/>
        <w:lvlJc w:val="left"/>
        <w:pPr>
          <w:ind w:left="1080" w:hanging="720"/>
        </w:pPr>
        <w:rPr>
          <w:rFonts w:hint="default"/>
        </w:rPr>
      </w:lvl>
    </w:lvlOverride>
    <w:lvlOverride w:ilvl="1">
      <w:lvl w:ilvl="1">
        <w:start w:val="1"/>
        <w:numFmt w:val="decimal"/>
        <w:isLgl/>
        <w:lvlText w:val="%1.6."/>
        <w:lvlJc w:val="left"/>
        <w:pPr>
          <w:ind w:left="786"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3">
    <w:abstractNumId w:val="6"/>
  </w:num>
  <w:num w:numId="34">
    <w:abstractNumId w:val="20"/>
  </w:num>
  <w:num w:numId="35">
    <w:abstractNumId w:val="16"/>
  </w:num>
  <w:num w:numId="36">
    <w:abstractNumId w:val="29"/>
    <w:lvlOverride w:ilvl="0">
      <w:lvl w:ilvl="0">
        <w:start w:val="1"/>
        <w:numFmt w:val="none"/>
        <w:lvlText w:val="3."/>
        <w:lvlJc w:val="left"/>
        <w:pPr>
          <w:ind w:left="1080" w:hanging="720"/>
        </w:pPr>
        <w:rPr>
          <w:rFonts w:hint="default"/>
        </w:rPr>
      </w:lvl>
    </w:lvlOverride>
    <w:lvlOverride w:ilvl="1">
      <w:lvl w:ilvl="1">
        <w:start w:val="1"/>
        <w:numFmt w:val="decimal"/>
        <w:isLgl/>
        <w:lvlText w:val="%1.6."/>
        <w:lvlJc w:val="left"/>
        <w:pPr>
          <w:ind w:left="786"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7">
    <w:abstractNumId w:val="7"/>
  </w:num>
  <w:num w:numId="38">
    <w:abstractNumId w:val="17"/>
  </w:num>
  <w:num w:numId="39">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414"/>
    <w:rsid w:val="00001439"/>
    <w:rsid w:val="0000325A"/>
    <w:rsid w:val="00003554"/>
    <w:rsid w:val="00004DCB"/>
    <w:rsid w:val="000106BD"/>
    <w:rsid w:val="00017D0C"/>
    <w:rsid w:val="00022444"/>
    <w:rsid w:val="00022E12"/>
    <w:rsid w:val="0002588A"/>
    <w:rsid w:val="000333A0"/>
    <w:rsid w:val="00033993"/>
    <w:rsid w:val="00035A21"/>
    <w:rsid w:val="000377D0"/>
    <w:rsid w:val="000423FF"/>
    <w:rsid w:val="00042B16"/>
    <w:rsid w:val="00043312"/>
    <w:rsid w:val="000446A2"/>
    <w:rsid w:val="0004570B"/>
    <w:rsid w:val="00050A20"/>
    <w:rsid w:val="0005110C"/>
    <w:rsid w:val="000519E9"/>
    <w:rsid w:val="00051B68"/>
    <w:rsid w:val="000609E6"/>
    <w:rsid w:val="0006535D"/>
    <w:rsid w:val="00067570"/>
    <w:rsid w:val="00072835"/>
    <w:rsid w:val="000735BB"/>
    <w:rsid w:val="0007470B"/>
    <w:rsid w:val="00077C7A"/>
    <w:rsid w:val="00080A09"/>
    <w:rsid w:val="00084804"/>
    <w:rsid w:val="00085BC8"/>
    <w:rsid w:val="00085E89"/>
    <w:rsid w:val="00086385"/>
    <w:rsid w:val="00090EF5"/>
    <w:rsid w:val="00092861"/>
    <w:rsid w:val="000939DA"/>
    <w:rsid w:val="000946C9"/>
    <w:rsid w:val="00096F51"/>
    <w:rsid w:val="000A2B64"/>
    <w:rsid w:val="000A3703"/>
    <w:rsid w:val="000A3FE2"/>
    <w:rsid w:val="000A4A11"/>
    <w:rsid w:val="000B227B"/>
    <w:rsid w:val="000B4ECE"/>
    <w:rsid w:val="000B76F3"/>
    <w:rsid w:val="000C100E"/>
    <w:rsid w:val="000C4483"/>
    <w:rsid w:val="000C47CE"/>
    <w:rsid w:val="000D55FC"/>
    <w:rsid w:val="000E31B7"/>
    <w:rsid w:val="000E43BF"/>
    <w:rsid w:val="000E4AC2"/>
    <w:rsid w:val="000E4FCE"/>
    <w:rsid w:val="000E78EA"/>
    <w:rsid w:val="000F566C"/>
    <w:rsid w:val="000F6C16"/>
    <w:rsid w:val="00101ACA"/>
    <w:rsid w:val="0010662E"/>
    <w:rsid w:val="00106CF5"/>
    <w:rsid w:val="00112F08"/>
    <w:rsid w:val="001139D7"/>
    <w:rsid w:val="00116547"/>
    <w:rsid w:val="00116D68"/>
    <w:rsid w:val="001172B1"/>
    <w:rsid w:val="00123E50"/>
    <w:rsid w:val="001251E3"/>
    <w:rsid w:val="00130929"/>
    <w:rsid w:val="00134B4B"/>
    <w:rsid w:val="00136F9F"/>
    <w:rsid w:val="00147D3C"/>
    <w:rsid w:val="00151A46"/>
    <w:rsid w:val="001567AA"/>
    <w:rsid w:val="001574B3"/>
    <w:rsid w:val="001606E1"/>
    <w:rsid w:val="0016077B"/>
    <w:rsid w:val="00162617"/>
    <w:rsid w:val="00167C0D"/>
    <w:rsid w:val="0017255E"/>
    <w:rsid w:val="001765FE"/>
    <w:rsid w:val="0018264F"/>
    <w:rsid w:val="00183405"/>
    <w:rsid w:val="00186AEF"/>
    <w:rsid w:val="0018701B"/>
    <w:rsid w:val="00191EE1"/>
    <w:rsid w:val="00192E7D"/>
    <w:rsid w:val="00192F8C"/>
    <w:rsid w:val="00195591"/>
    <w:rsid w:val="001A074E"/>
    <w:rsid w:val="001A611E"/>
    <w:rsid w:val="001B1F61"/>
    <w:rsid w:val="001B6F5D"/>
    <w:rsid w:val="001B7372"/>
    <w:rsid w:val="001C0B4A"/>
    <w:rsid w:val="001C115C"/>
    <w:rsid w:val="001C1225"/>
    <w:rsid w:val="001C1B15"/>
    <w:rsid w:val="001C1E73"/>
    <w:rsid w:val="001C2934"/>
    <w:rsid w:val="001C4976"/>
    <w:rsid w:val="001D2AAB"/>
    <w:rsid w:val="001D48F8"/>
    <w:rsid w:val="001E4A6C"/>
    <w:rsid w:val="001F140E"/>
    <w:rsid w:val="001F3E37"/>
    <w:rsid w:val="001F5AAE"/>
    <w:rsid w:val="001F60CF"/>
    <w:rsid w:val="001F635E"/>
    <w:rsid w:val="00203E6F"/>
    <w:rsid w:val="00204AE7"/>
    <w:rsid w:val="002051CA"/>
    <w:rsid w:val="002069D5"/>
    <w:rsid w:val="00207262"/>
    <w:rsid w:val="00210902"/>
    <w:rsid w:val="00211EDD"/>
    <w:rsid w:val="00213B01"/>
    <w:rsid w:val="00216680"/>
    <w:rsid w:val="0022763C"/>
    <w:rsid w:val="00227A1A"/>
    <w:rsid w:val="00227D81"/>
    <w:rsid w:val="00231AA9"/>
    <w:rsid w:val="00232851"/>
    <w:rsid w:val="00245E33"/>
    <w:rsid w:val="00252404"/>
    <w:rsid w:val="00253ADC"/>
    <w:rsid w:val="002543C5"/>
    <w:rsid w:val="0026004D"/>
    <w:rsid w:val="00262312"/>
    <w:rsid w:val="00264508"/>
    <w:rsid w:val="002710BB"/>
    <w:rsid w:val="002746CD"/>
    <w:rsid w:val="00276943"/>
    <w:rsid w:val="00276F6D"/>
    <w:rsid w:val="00281580"/>
    <w:rsid w:val="00283B19"/>
    <w:rsid w:val="00284DEB"/>
    <w:rsid w:val="00287437"/>
    <w:rsid w:val="00287C23"/>
    <w:rsid w:val="002915C7"/>
    <w:rsid w:val="002925F3"/>
    <w:rsid w:val="0029675D"/>
    <w:rsid w:val="00297420"/>
    <w:rsid w:val="002B14A3"/>
    <w:rsid w:val="002B1933"/>
    <w:rsid w:val="002B2ECF"/>
    <w:rsid w:val="002B59B3"/>
    <w:rsid w:val="002B59D0"/>
    <w:rsid w:val="002B5B22"/>
    <w:rsid w:val="002B679B"/>
    <w:rsid w:val="002B6AFA"/>
    <w:rsid w:val="002B7F33"/>
    <w:rsid w:val="002C05E9"/>
    <w:rsid w:val="002C4709"/>
    <w:rsid w:val="002C4AA5"/>
    <w:rsid w:val="002C6045"/>
    <w:rsid w:val="002C7E3F"/>
    <w:rsid w:val="002D1AD7"/>
    <w:rsid w:val="002E247E"/>
    <w:rsid w:val="002E592D"/>
    <w:rsid w:val="002F3377"/>
    <w:rsid w:val="002F40EF"/>
    <w:rsid w:val="002F5AC8"/>
    <w:rsid w:val="002F6C90"/>
    <w:rsid w:val="002F7281"/>
    <w:rsid w:val="003047D6"/>
    <w:rsid w:val="003150E7"/>
    <w:rsid w:val="00316949"/>
    <w:rsid w:val="00324414"/>
    <w:rsid w:val="003245B7"/>
    <w:rsid w:val="00324D4A"/>
    <w:rsid w:val="00325D1C"/>
    <w:rsid w:val="00331AE8"/>
    <w:rsid w:val="0034242D"/>
    <w:rsid w:val="00342E17"/>
    <w:rsid w:val="003435E2"/>
    <w:rsid w:val="00344E6D"/>
    <w:rsid w:val="00346678"/>
    <w:rsid w:val="00350CE4"/>
    <w:rsid w:val="00355114"/>
    <w:rsid w:val="00357D99"/>
    <w:rsid w:val="003679AC"/>
    <w:rsid w:val="003738C6"/>
    <w:rsid w:val="0037629F"/>
    <w:rsid w:val="00382B8D"/>
    <w:rsid w:val="00392353"/>
    <w:rsid w:val="00396295"/>
    <w:rsid w:val="0039769F"/>
    <w:rsid w:val="00397D8E"/>
    <w:rsid w:val="003A01D3"/>
    <w:rsid w:val="003A07D4"/>
    <w:rsid w:val="003A090F"/>
    <w:rsid w:val="003A1AAF"/>
    <w:rsid w:val="003A1B40"/>
    <w:rsid w:val="003A439A"/>
    <w:rsid w:val="003A4510"/>
    <w:rsid w:val="003B03F6"/>
    <w:rsid w:val="003B402E"/>
    <w:rsid w:val="003B4541"/>
    <w:rsid w:val="003B6B93"/>
    <w:rsid w:val="003B7C5D"/>
    <w:rsid w:val="003B7F55"/>
    <w:rsid w:val="003C52BB"/>
    <w:rsid w:val="003C55B3"/>
    <w:rsid w:val="003C7C2B"/>
    <w:rsid w:val="003D0DB8"/>
    <w:rsid w:val="003D44F8"/>
    <w:rsid w:val="003D6D24"/>
    <w:rsid w:val="003D79CB"/>
    <w:rsid w:val="003E1087"/>
    <w:rsid w:val="003E1278"/>
    <w:rsid w:val="003E2569"/>
    <w:rsid w:val="003E25FF"/>
    <w:rsid w:val="003E2A4C"/>
    <w:rsid w:val="003E4587"/>
    <w:rsid w:val="003F10BA"/>
    <w:rsid w:val="003F17EF"/>
    <w:rsid w:val="003F578B"/>
    <w:rsid w:val="003F72D7"/>
    <w:rsid w:val="0040341A"/>
    <w:rsid w:val="00403C1E"/>
    <w:rsid w:val="0040490D"/>
    <w:rsid w:val="0040542E"/>
    <w:rsid w:val="00416A00"/>
    <w:rsid w:val="004179EA"/>
    <w:rsid w:val="00421876"/>
    <w:rsid w:val="00422288"/>
    <w:rsid w:val="0042550F"/>
    <w:rsid w:val="0042619E"/>
    <w:rsid w:val="00430CE1"/>
    <w:rsid w:val="004347A4"/>
    <w:rsid w:val="00436179"/>
    <w:rsid w:val="00436298"/>
    <w:rsid w:val="00443D7B"/>
    <w:rsid w:val="004454FB"/>
    <w:rsid w:val="00451420"/>
    <w:rsid w:val="004526F2"/>
    <w:rsid w:val="004528EE"/>
    <w:rsid w:val="004536CB"/>
    <w:rsid w:val="00461101"/>
    <w:rsid w:val="00462F46"/>
    <w:rsid w:val="004676C0"/>
    <w:rsid w:val="00472D34"/>
    <w:rsid w:val="00475A32"/>
    <w:rsid w:val="00476ECB"/>
    <w:rsid w:val="004800DB"/>
    <w:rsid w:val="00481670"/>
    <w:rsid w:val="00492768"/>
    <w:rsid w:val="00494FFF"/>
    <w:rsid w:val="00496D7D"/>
    <w:rsid w:val="004B1548"/>
    <w:rsid w:val="004B23EF"/>
    <w:rsid w:val="004B434A"/>
    <w:rsid w:val="004B480F"/>
    <w:rsid w:val="004B6B5E"/>
    <w:rsid w:val="004C2E43"/>
    <w:rsid w:val="004C4E58"/>
    <w:rsid w:val="004C521D"/>
    <w:rsid w:val="004C6510"/>
    <w:rsid w:val="004C6D46"/>
    <w:rsid w:val="004D0218"/>
    <w:rsid w:val="004D0253"/>
    <w:rsid w:val="004D38AD"/>
    <w:rsid w:val="004D61C4"/>
    <w:rsid w:val="004D6289"/>
    <w:rsid w:val="004D69B4"/>
    <w:rsid w:val="004E1F1D"/>
    <w:rsid w:val="004E441E"/>
    <w:rsid w:val="004E7619"/>
    <w:rsid w:val="004E7F80"/>
    <w:rsid w:val="004F05D3"/>
    <w:rsid w:val="004F2BF5"/>
    <w:rsid w:val="00500B53"/>
    <w:rsid w:val="005020F0"/>
    <w:rsid w:val="005032F3"/>
    <w:rsid w:val="00504B25"/>
    <w:rsid w:val="005127F6"/>
    <w:rsid w:val="00512A89"/>
    <w:rsid w:val="0051557E"/>
    <w:rsid w:val="00521719"/>
    <w:rsid w:val="00522A46"/>
    <w:rsid w:val="00526720"/>
    <w:rsid w:val="00532142"/>
    <w:rsid w:val="0054369E"/>
    <w:rsid w:val="0054493C"/>
    <w:rsid w:val="005507D7"/>
    <w:rsid w:val="00553B2E"/>
    <w:rsid w:val="00553E09"/>
    <w:rsid w:val="00560010"/>
    <w:rsid w:val="00562400"/>
    <w:rsid w:val="005626B1"/>
    <w:rsid w:val="00563742"/>
    <w:rsid w:val="005663BC"/>
    <w:rsid w:val="005667DD"/>
    <w:rsid w:val="005675EB"/>
    <w:rsid w:val="00567A40"/>
    <w:rsid w:val="005702E4"/>
    <w:rsid w:val="00572A95"/>
    <w:rsid w:val="00574AC1"/>
    <w:rsid w:val="005765A1"/>
    <w:rsid w:val="005841E9"/>
    <w:rsid w:val="005903EA"/>
    <w:rsid w:val="0059295F"/>
    <w:rsid w:val="00594BCF"/>
    <w:rsid w:val="005962BF"/>
    <w:rsid w:val="0059651E"/>
    <w:rsid w:val="00597E79"/>
    <w:rsid w:val="005A00A9"/>
    <w:rsid w:val="005A1C63"/>
    <w:rsid w:val="005A5955"/>
    <w:rsid w:val="005A754D"/>
    <w:rsid w:val="005A7F12"/>
    <w:rsid w:val="005B6E76"/>
    <w:rsid w:val="005B7C55"/>
    <w:rsid w:val="005C0665"/>
    <w:rsid w:val="005C306B"/>
    <w:rsid w:val="005C3BFE"/>
    <w:rsid w:val="005C4AA6"/>
    <w:rsid w:val="005C5922"/>
    <w:rsid w:val="005D043B"/>
    <w:rsid w:val="005D1C14"/>
    <w:rsid w:val="005D2CA9"/>
    <w:rsid w:val="005E0AC3"/>
    <w:rsid w:val="005E1DE3"/>
    <w:rsid w:val="005E29B6"/>
    <w:rsid w:val="005F6ED3"/>
    <w:rsid w:val="005F6FAF"/>
    <w:rsid w:val="006001C2"/>
    <w:rsid w:val="00603C94"/>
    <w:rsid w:val="00604E1C"/>
    <w:rsid w:val="00605A81"/>
    <w:rsid w:val="00614D74"/>
    <w:rsid w:val="0061737C"/>
    <w:rsid w:val="00621CBC"/>
    <w:rsid w:val="00624608"/>
    <w:rsid w:val="00624970"/>
    <w:rsid w:val="006277EE"/>
    <w:rsid w:val="006339B1"/>
    <w:rsid w:val="00633DB6"/>
    <w:rsid w:val="00634012"/>
    <w:rsid w:val="00635A01"/>
    <w:rsid w:val="006373B5"/>
    <w:rsid w:val="00640872"/>
    <w:rsid w:val="00641A7A"/>
    <w:rsid w:val="0064513B"/>
    <w:rsid w:val="00650FCC"/>
    <w:rsid w:val="00657B44"/>
    <w:rsid w:val="00664969"/>
    <w:rsid w:val="00675A0E"/>
    <w:rsid w:val="00677C78"/>
    <w:rsid w:val="00677F27"/>
    <w:rsid w:val="00680020"/>
    <w:rsid w:val="00680863"/>
    <w:rsid w:val="006812E4"/>
    <w:rsid w:val="00683091"/>
    <w:rsid w:val="0068561C"/>
    <w:rsid w:val="00690D97"/>
    <w:rsid w:val="00692539"/>
    <w:rsid w:val="00693A6A"/>
    <w:rsid w:val="00694930"/>
    <w:rsid w:val="00695246"/>
    <w:rsid w:val="006972BF"/>
    <w:rsid w:val="006A11AB"/>
    <w:rsid w:val="006A4401"/>
    <w:rsid w:val="006A5E97"/>
    <w:rsid w:val="006A70E4"/>
    <w:rsid w:val="006A7DB4"/>
    <w:rsid w:val="006B6FAD"/>
    <w:rsid w:val="006C5FAB"/>
    <w:rsid w:val="006C6594"/>
    <w:rsid w:val="006D1985"/>
    <w:rsid w:val="006D33E3"/>
    <w:rsid w:val="006D38DC"/>
    <w:rsid w:val="006D4195"/>
    <w:rsid w:val="006D48C2"/>
    <w:rsid w:val="006E05CA"/>
    <w:rsid w:val="006E1A1B"/>
    <w:rsid w:val="006E1E23"/>
    <w:rsid w:val="006E61E6"/>
    <w:rsid w:val="006E6F2D"/>
    <w:rsid w:val="006F09D9"/>
    <w:rsid w:val="006F2A8E"/>
    <w:rsid w:val="006F3AFE"/>
    <w:rsid w:val="006F3C27"/>
    <w:rsid w:val="006F4B21"/>
    <w:rsid w:val="0070062C"/>
    <w:rsid w:val="00700BA1"/>
    <w:rsid w:val="00704774"/>
    <w:rsid w:val="00706255"/>
    <w:rsid w:val="0070695E"/>
    <w:rsid w:val="00711D44"/>
    <w:rsid w:val="00712356"/>
    <w:rsid w:val="007148A2"/>
    <w:rsid w:val="00715729"/>
    <w:rsid w:val="00715F4F"/>
    <w:rsid w:val="00722773"/>
    <w:rsid w:val="00722FD9"/>
    <w:rsid w:val="00723D4A"/>
    <w:rsid w:val="00725A6A"/>
    <w:rsid w:val="00730327"/>
    <w:rsid w:val="00732E24"/>
    <w:rsid w:val="007343EA"/>
    <w:rsid w:val="007437A8"/>
    <w:rsid w:val="00744637"/>
    <w:rsid w:val="007464B5"/>
    <w:rsid w:val="00746D81"/>
    <w:rsid w:val="007517F5"/>
    <w:rsid w:val="007519B7"/>
    <w:rsid w:val="00752526"/>
    <w:rsid w:val="007548CF"/>
    <w:rsid w:val="0075682C"/>
    <w:rsid w:val="00756EA3"/>
    <w:rsid w:val="00763353"/>
    <w:rsid w:val="00763F47"/>
    <w:rsid w:val="00764FC6"/>
    <w:rsid w:val="0076790D"/>
    <w:rsid w:val="007729AC"/>
    <w:rsid w:val="00773870"/>
    <w:rsid w:val="00774414"/>
    <w:rsid w:val="00780F38"/>
    <w:rsid w:val="00781B46"/>
    <w:rsid w:val="007825A2"/>
    <w:rsid w:val="00782F46"/>
    <w:rsid w:val="00783A41"/>
    <w:rsid w:val="00793674"/>
    <w:rsid w:val="00796941"/>
    <w:rsid w:val="007A0496"/>
    <w:rsid w:val="007A389D"/>
    <w:rsid w:val="007B03B8"/>
    <w:rsid w:val="007B209D"/>
    <w:rsid w:val="007B6052"/>
    <w:rsid w:val="007C3B2B"/>
    <w:rsid w:val="007C42A1"/>
    <w:rsid w:val="007C5699"/>
    <w:rsid w:val="007C5A1F"/>
    <w:rsid w:val="007D071A"/>
    <w:rsid w:val="007D634A"/>
    <w:rsid w:val="007D7A2E"/>
    <w:rsid w:val="007E4F0D"/>
    <w:rsid w:val="007E6548"/>
    <w:rsid w:val="007E783C"/>
    <w:rsid w:val="007F3856"/>
    <w:rsid w:val="007F3A28"/>
    <w:rsid w:val="00800917"/>
    <w:rsid w:val="00800E53"/>
    <w:rsid w:val="008129B4"/>
    <w:rsid w:val="0081334E"/>
    <w:rsid w:val="00813BD8"/>
    <w:rsid w:val="00813EB5"/>
    <w:rsid w:val="00815D06"/>
    <w:rsid w:val="00816FF2"/>
    <w:rsid w:val="0082389F"/>
    <w:rsid w:val="00825F92"/>
    <w:rsid w:val="00826249"/>
    <w:rsid w:val="008308D5"/>
    <w:rsid w:val="00836077"/>
    <w:rsid w:val="00840141"/>
    <w:rsid w:val="00841DCB"/>
    <w:rsid w:val="00841EA3"/>
    <w:rsid w:val="008432AB"/>
    <w:rsid w:val="00843362"/>
    <w:rsid w:val="0084432B"/>
    <w:rsid w:val="00850023"/>
    <w:rsid w:val="00851216"/>
    <w:rsid w:val="00852868"/>
    <w:rsid w:val="00852926"/>
    <w:rsid w:val="00856A14"/>
    <w:rsid w:val="0085728E"/>
    <w:rsid w:val="00861A36"/>
    <w:rsid w:val="008635B4"/>
    <w:rsid w:val="00872CF0"/>
    <w:rsid w:val="0087412B"/>
    <w:rsid w:val="0087414C"/>
    <w:rsid w:val="00875303"/>
    <w:rsid w:val="00880F9D"/>
    <w:rsid w:val="00882466"/>
    <w:rsid w:val="00882E6F"/>
    <w:rsid w:val="00883A23"/>
    <w:rsid w:val="00896FE2"/>
    <w:rsid w:val="00897BC6"/>
    <w:rsid w:val="008A001C"/>
    <w:rsid w:val="008A4A91"/>
    <w:rsid w:val="008A6FEA"/>
    <w:rsid w:val="008B3560"/>
    <w:rsid w:val="008B49EB"/>
    <w:rsid w:val="008B4A21"/>
    <w:rsid w:val="008C12D6"/>
    <w:rsid w:val="008C2DC4"/>
    <w:rsid w:val="008C3383"/>
    <w:rsid w:val="008C476E"/>
    <w:rsid w:val="008C75EE"/>
    <w:rsid w:val="008D233C"/>
    <w:rsid w:val="008E0AD5"/>
    <w:rsid w:val="008E2B2D"/>
    <w:rsid w:val="008E3BA1"/>
    <w:rsid w:val="008F3DDF"/>
    <w:rsid w:val="008F47D9"/>
    <w:rsid w:val="008F6FF2"/>
    <w:rsid w:val="008F79E3"/>
    <w:rsid w:val="009003D3"/>
    <w:rsid w:val="00902C4D"/>
    <w:rsid w:val="00904658"/>
    <w:rsid w:val="00907C8F"/>
    <w:rsid w:val="00907E67"/>
    <w:rsid w:val="009110C4"/>
    <w:rsid w:val="0091246E"/>
    <w:rsid w:val="009124E2"/>
    <w:rsid w:val="00912B8A"/>
    <w:rsid w:val="009143E1"/>
    <w:rsid w:val="00921E63"/>
    <w:rsid w:val="009260CB"/>
    <w:rsid w:val="00931F3E"/>
    <w:rsid w:val="00932031"/>
    <w:rsid w:val="00932308"/>
    <w:rsid w:val="00932D69"/>
    <w:rsid w:val="00934252"/>
    <w:rsid w:val="00937110"/>
    <w:rsid w:val="00937F0A"/>
    <w:rsid w:val="0094305B"/>
    <w:rsid w:val="00944618"/>
    <w:rsid w:val="00951B65"/>
    <w:rsid w:val="00954937"/>
    <w:rsid w:val="009558C3"/>
    <w:rsid w:val="009579B3"/>
    <w:rsid w:val="00961BE6"/>
    <w:rsid w:val="009637EF"/>
    <w:rsid w:val="009661F6"/>
    <w:rsid w:val="00966F69"/>
    <w:rsid w:val="0096795C"/>
    <w:rsid w:val="00976C4E"/>
    <w:rsid w:val="00981479"/>
    <w:rsid w:val="00981823"/>
    <w:rsid w:val="00981C9B"/>
    <w:rsid w:val="00986140"/>
    <w:rsid w:val="00994E90"/>
    <w:rsid w:val="00996A10"/>
    <w:rsid w:val="00997136"/>
    <w:rsid w:val="009978B8"/>
    <w:rsid w:val="009978C1"/>
    <w:rsid w:val="009B0286"/>
    <w:rsid w:val="009B0F9F"/>
    <w:rsid w:val="009B481F"/>
    <w:rsid w:val="009B5563"/>
    <w:rsid w:val="009B6C98"/>
    <w:rsid w:val="009C1029"/>
    <w:rsid w:val="009C1F82"/>
    <w:rsid w:val="009C4ECF"/>
    <w:rsid w:val="009C75FB"/>
    <w:rsid w:val="009D729B"/>
    <w:rsid w:val="009D7DCE"/>
    <w:rsid w:val="009E0B58"/>
    <w:rsid w:val="009E0C77"/>
    <w:rsid w:val="009E10C3"/>
    <w:rsid w:val="009E1FA7"/>
    <w:rsid w:val="009E2E8C"/>
    <w:rsid w:val="009E3490"/>
    <w:rsid w:val="009E54A6"/>
    <w:rsid w:val="009F1F46"/>
    <w:rsid w:val="009F433F"/>
    <w:rsid w:val="009F64C2"/>
    <w:rsid w:val="009F6536"/>
    <w:rsid w:val="009F76A4"/>
    <w:rsid w:val="00A00C2A"/>
    <w:rsid w:val="00A011EB"/>
    <w:rsid w:val="00A01338"/>
    <w:rsid w:val="00A03A04"/>
    <w:rsid w:val="00A03A18"/>
    <w:rsid w:val="00A10330"/>
    <w:rsid w:val="00A11779"/>
    <w:rsid w:val="00A175F4"/>
    <w:rsid w:val="00A222D8"/>
    <w:rsid w:val="00A230B0"/>
    <w:rsid w:val="00A23F3F"/>
    <w:rsid w:val="00A25E84"/>
    <w:rsid w:val="00A27225"/>
    <w:rsid w:val="00A30AD2"/>
    <w:rsid w:val="00A31142"/>
    <w:rsid w:val="00A32C8A"/>
    <w:rsid w:val="00A33012"/>
    <w:rsid w:val="00A44B6C"/>
    <w:rsid w:val="00A469D5"/>
    <w:rsid w:val="00A50E82"/>
    <w:rsid w:val="00A53115"/>
    <w:rsid w:val="00A56A58"/>
    <w:rsid w:val="00A571E6"/>
    <w:rsid w:val="00A573A5"/>
    <w:rsid w:val="00A57CA3"/>
    <w:rsid w:val="00A6031B"/>
    <w:rsid w:val="00A604A1"/>
    <w:rsid w:val="00A709C9"/>
    <w:rsid w:val="00A73606"/>
    <w:rsid w:val="00A75627"/>
    <w:rsid w:val="00A76637"/>
    <w:rsid w:val="00A81F17"/>
    <w:rsid w:val="00A835E5"/>
    <w:rsid w:val="00A85B53"/>
    <w:rsid w:val="00A875C1"/>
    <w:rsid w:val="00A90F76"/>
    <w:rsid w:val="00A9101A"/>
    <w:rsid w:val="00A91516"/>
    <w:rsid w:val="00A91868"/>
    <w:rsid w:val="00AA5B1F"/>
    <w:rsid w:val="00AB07E3"/>
    <w:rsid w:val="00AB389A"/>
    <w:rsid w:val="00AB5AE2"/>
    <w:rsid w:val="00AB607B"/>
    <w:rsid w:val="00AC0A04"/>
    <w:rsid w:val="00AC31C9"/>
    <w:rsid w:val="00AC3C82"/>
    <w:rsid w:val="00AD18EF"/>
    <w:rsid w:val="00AD1F82"/>
    <w:rsid w:val="00AD36DC"/>
    <w:rsid w:val="00AD4971"/>
    <w:rsid w:val="00AD6401"/>
    <w:rsid w:val="00AE3735"/>
    <w:rsid w:val="00AE6295"/>
    <w:rsid w:val="00AE671A"/>
    <w:rsid w:val="00AF0CE1"/>
    <w:rsid w:val="00AF12DA"/>
    <w:rsid w:val="00AF1D16"/>
    <w:rsid w:val="00AF20D0"/>
    <w:rsid w:val="00AF2C6B"/>
    <w:rsid w:val="00AF2EC7"/>
    <w:rsid w:val="00AF54E2"/>
    <w:rsid w:val="00B01ACD"/>
    <w:rsid w:val="00B05DE1"/>
    <w:rsid w:val="00B07E38"/>
    <w:rsid w:val="00B118B3"/>
    <w:rsid w:val="00B14339"/>
    <w:rsid w:val="00B15602"/>
    <w:rsid w:val="00B17867"/>
    <w:rsid w:val="00B21392"/>
    <w:rsid w:val="00B21820"/>
    <w:rsid w:val="00B235AA"/>
    <w:rsid w:val="00B244A6"/>
    <w:rsid w:val="00B26830"/>
    <w:rsid w:val="00B32B3D"/>
    <w:rsid w:val="00B37B8A"/>
    <w:rsid w:val="00B4008A"/>
    <w:rsid w:val="00B422B3"/>
    <w:rsid w:val="00B47381"/>
    <w:rsid w:val="00B52041"/>
    <w:rsid w:val="00B53496"/>
    <w:rsid w:val="00B603D2"/>
    <w:rsid w:val="00B6262B"/>
    <w:rsid w:val="00B62DC3"/>
    <w:rsid w:val="00B656B1"/>
    <w:rsid w:val="00B6578E"/>
    <w:rsid w:val="00B677EA"/>
    <w:rsid w:val="00B7240C"/>
    <w:rsid w:val="00B74A37"/>
    <w:rsid w:val="00B75EBF"/>
    <w:rsid w:val="00B81011"/>
    <w:rsid w:val="00B81758"/>
    <w:rsid w:val="00B83A21"/>
    <w:rsid w:val="00B83E98"/>
    <w:rsid w:val="00B85B26"/>
    <w:rsid w:val="00B863D4"/>
    <w:rsid w:val="00B92654"/>
    <w:rsid w:val="00B964A1"/>
    <w:rsid w:val="00B96688"/>
    <w:rsid w:val="00BA051B"/>
    <w:rsid w:val="00BA1CCC"/>
    <w:rsid w:val="00BB2D4B"/>
    <w:rsid w:val="00BB7D9E"/>
    <w:rsid w:val="00BC03BF"/>
    <w:rsid w:val="00BC1E91"/>
    <w:rsid w:val="00BC6C51"/>
    <w:rsid w:val="00BD0DB3"/>
    <w:rsid w:val="00BD1223"/>
    <w:rsid w:val="00BD68D0"/>
    <w:rsid w:val="00BD7D71"/>
    <w:rsid w:val="00BE052F"/>
    <w:rsid w:val="00BE22E4"/>
    <w:rsid w:val="00BF24CE"/>
    <w:rsid w:val="00BF3175"/>
    <w:rsid w:val="00BF627A"/>
    <w:rsid w:val="00BF6DED"/>
    <w:rsid w:val="00BF6F73"/>
    <w:rsid w:val="00BF7BC0"/>
    <w:rsid w:val="00C0184A"/>
    <w:rsid w:val="00C0426A"/>
    <w:rsid w:val="00C068AF"/>
    <w:rsid w:val="00C10352"/>
    <w:rsid w:val="00C112D0"/>
    <w:rsid w:val="00C13E5C"/>
    <w:rsid w:val="00C157FB"/>
    <w:rsid w:val="00C15F88"/>
    <w:rsid w:val="00C16514"/>
    <w:rsid w:val="00C165C0"/>
    <w:rsid w:val="00C210C5"/>
    <w:rsid w:val="00C22B11"/>
    <w:rsid w:val="00C26B14"/>
    <w:rsid w:val="00C30EF5"/>
    <w:rsid w:val="00C341D4"/>
    <w:rsid w:val="00C35639"/>
    <w:rsid w:val="00C35ABD"/>
    <w:rsid w:val="00C36666"/>
    <w:rsid w:val="00C36921"/>
    <w:rsid w:val="00C37CFC"/>
    <w:rsid w:val="00C42827"/>
    <w:rsid w:val="00C466CC"/>
    <w:rsid w:val="00C51434"/>
    <w:rsid w:val="00C51E36"/>
    <w:rsid w:val="00C527FE"/>
    <w:rsid w:val="00C53417"/>
    <w:rsid w:val="00C62C62"/>
    <w:rsid w:val="00C6303B"/>
    <w:rsid w:val="00C63690"/>
    <w:rsid w:val="00C66787"/>
    <w:rsid w:val="00C677E1"/>
    <w:rsid w:val="00C73CC6"/>
    <w:rsid w:val="00C81560"/>
    <w:rsid w:val="00C83F4E"/>
    <w:rsid w:val="00C85271"/>
    <w:rsid w:val="00C85D23"/>
    <w:rsid w:val="00C8730E"/>
    <w:rsid w:val="00C90AF4"/>
    <w:rsid w:val="00C96ECB"/>
    <w:rsid w:val="00C9704B"/>
    <w:rsid w:val="00CA1BEA"/>
    <w:rsid w:val="00CA359D"/>
    <w:rsid w:val="00CA5D83"/>
    <w:rsid w:val="00CA6484"/>
    <w:rsid w:val="00CA754C"/>
    <w:rsid w:val="00CA7626"/>
    <w:rsid w:val="00CA7F98"/>
    <w:rsid w:val="00CB0E28"/>
    <w:rsid w:val="00CB7302"/>
    <w:rsid w:val="00CB7789"/>
    <w:rsid w:val="00CC101A"/>
    <w:rsid w:val="00CC28FA"/>
    <w:rsid w:val="00CC2D38"/>
    <w:rsid w:val="00CC4527"/>
    <w:rsid w:val="00CD0687"/>
    <w:rsid w:val="00CD5F53"/>
    <w:rsid w:val="00CE26FC"/>
    <w:rsid w:val="00CE4FBA"/>
    <w:rsid w:val="00CE630A"/>
    <w:rsid w:val="00CE6E76"/>
    <w:rsid w:val="00CF00EE"/>
    <w:rsid w:val="00CF27C9"/>
    <w:rsid w:val="00CF3CF1"/>
    <w:rsid w:val="00CF5831"/>
    <w:rsid w:val="00D04C5B"/>
    <w:rsid w:val="00D05D9B"/>
    <w:rsid w:val="00D13B79"/>
    <w:rsid w:val="00D1774A"/>
    <w:rsid w:val="00D210C9"/>
    <w:rsid w:val="00D23211"/>
    <w:rsid w:val="00D27CDB"/>
    <w:rsid w:val="00D4270C"/>
    <w:rsid w:val="00D432A2"/>
    <w:rsid w:val="00D45960"/>
    <w:rsid w:val="00D463C4"/>
    <w:rsid w:val="00D477AE"/>
    <w:rsid w:val="00D53C44"/>
    <w:rsid w:val="00D55B15"/>
    <w:rsid w:val="00D56FB4"/>
    <w:rsid w:val="00D57F7C"/>
    <w:rsid w:val="00D60185"/>
    <w:rsid w:val="00D64EFA"/>
    <w:rsid w:val="00D66455"/>
    <w:rsid w:val="00D66ECB"/>
    <w:rsid w:val="00D701BF"/>
    <w:rsid w:val="00D7043B"/>
    <w:rsid w:val="00D725FB"/>
    <w:rsid w:val="00D72C98"/>
    <w:rsid w:val="00D75C5D"/>
    <w:rsid w:val="00D7774B"/>
    <w:rsid w:val="00D77D5C"/>
    <w:rsid w:val="00D81156"/>
    <w:rsid w:val="00D82A74"/>
    <w:rsid w:val="00D864E9"/>
    <w:rsid w:val="00D87B6A"/>
    <w:rsid w:val="00D9463C"/>
    <w:rsid w:val="00D94E04"/>
    <w:rsid w:val="00D97FB6"/>
    <w:rsid w:val="00DA0C14"/>
    <w:rsid w:val="00DA3125"/>
    <w:rsid w:val="00DA3143"/>
    <w:rsid w:val="00DB11B0"/>
    <w:rsid w:val="00DB330B"/>
    <w:rsid w:val="00DB41AC"/>
    <w:rsid w:val="00DB4908"/>
    <w:rsid w:val="00DC04B9"/>
    <w:rsid w:val="00DC4F26"/>
    <w:rsid w:val="00DC621A"/>
    <w:rsid w:val="00DD279A"/>
    <w:rsid w:val="00DD3732"/>
    <w:rsid w:val="00DD5A39"/>
    <w:rsid w:val="00DE5AF0"/>
    <w:rsid w:val="00DE672F"/>
    <w:rsid w:val="00DE7A4F"/>
    <w:rsid w:val="00DF13AD"/>
    <w:rsid w:val="00DF2AF8"/>
    <w:rsid w:val="00DF7D4D"/>
    <w:rsid w:val="00E00C48"/>
    <w:rsid w:val="00E01B0F"/>
    <w:rsid w:val="00E02863"/>
    <w:rsid w:val="00E039FD"/>
    <w:rsid w:val="00E04A89"/>
    <w:rsid w:val="00E0527B"/>
    <w:rsid w:val="00E05FBC"/>
    <w:rsid w:val="00E11270"/>
    <w:rsid w:val="00E12705"/>
    <w:rsid w:val="00E174CE"/>
    <w:rsid w:val="00E25E0B"/>
    <w:rsid w:val="00E26778"/>
    <w:rsid w:val="00E26DCD"/>
    <w:rsid w:val="00E342DD"/>
    <w:rsid w:val="00E3442F"/>
    <w:rsid w:val="00E35728"/>
    <w:rsid w:val="00E365F0"/>
    <w:rsid w:val="00E37140"/>
    <w:rsid w:val="00E40422"/>
    <w:rsid w:val="00E406F1"/>
    <w:rsid w:val="00E415B4"/>
    <w:rsid w:val="00E420B8"/>
    <w:rsid w:val="00E43C5C"/>
    <w:rsid w:val="00E51752"/>
    <w:rsid w:val="00E52A86"/>
    <w:rsid w:val="00E6032C"/>
    <w:rsid w:val="00E603AA"/>
    <w:rsid w:val="00E61666"/>
    <w:rsid w:val="00E61BC3"/>
    <w:rsid w:val="00E6287D"/>
    <w:rsid w:val="00E62BEC"/>
    <w:rsid w:val="00E653B2"/>
    <w:rsid w:val="00E710DE"/>
    <w:rsid w:val="00E74F90"/>
    <w:rsid w:val="00E77FC3"/>
    <w:rsid w:val="00E856D9"/>
    <w:rsid w:val="00E85B20"/>
    <w:rsid w:val="00E91112"/>
    <w:rsid w:val="00E92786"/>
    <w:rsid w:val="00E9327E"/>
    <w:rsid w:val="00E9643A"/>
    <w:rsid w:val="00E96F02"/>
    <w:rsid w:val="00E97779"/>
    <w:rsid w:val="00EA619A"/>
    <w:rsid w:val="00EB013C"/>
    <w:rsid w:val="00EB5C4E"/>
    <w:rsid w:val="00EC4A56"/>
    <w:rsid w:val="00EC4EA5"/>
    <w:rsid w:val="00EC5012"/>
    <w:rsid w:val="00EC5231"/>
    <w:rsid w:val="00EC5D9F"/>
    <w:rsid w:val="00EE16EB"/>
    <w:rsid w:val="00EE4D66"/>
    <w:rsid w:val="00EF00DC"/>
    <w:rsid w:val="00EF27A0"/>
    <w:rsid w:val="00EF4F26"/>
    <w:rsid w:val="00EF528E"/>
    <w:rsid w:val="00F03647"/>
    <w:rsid w:val="00F0687C"/>
    <w:rsid w:val="00F10C16"/>
    <w:rsid w:val="00F1544B"/>
    <w:rsid w:val="00F16D4C"/>
    <w:rsid w:val="00F22300"/>
    <w:rsid w:val="00F22705"/>
    <w:rsid w:val="00F27176"/>
    <w:rsid w:val="00F273FF"/>
    <w:rsid w:val="00F30438"/>
    <w:rsid w:val="00F32AE6"/>
    <w:rsid w:val="00F34419"/>
    <w:rsid w:val="00F35DAD"/>
    <w:rsid w:val="00F434C5"/>
    <w:rsid w:val="00F44B35"/>
    <w:rsid w:val="00F50194"/>
    <w:rsid w:val="00F518AC"/>
    <w:rsid w:val="00F51BB5"/>
    <w:rsid w:val="00F529B2"/>
    <w:rsid w:val="00F5447E"/>
    <w:rsid w:val="00F55E5B"/>
    <w:rsid w:val="00F61057"/>
    <w:rsid w:val="00F62BA7"/>
    <w:rsid w:val="00F63B5B"/>
    <w:rsid w:val="00F679A1"/>
    <w:rsid w:val="00F71D54"/>
    <w:rsid w:val="00F73528"/>
    <w:rsid w:val="00F73F70"/>
    <w:rsid w:val="00F75C92"/>
    <w:rsid w:val="00F76923"/>
    <w:rsid w:val="00F80A5B"/>
    <w:rsid w:val="00F811D2"/>
    <w:rsid w:val="00F85AF6"/>
    <w:rsid w:val="00F85C1B"/>
    <w:rsid w:val="00F879FC"/>
    <w:rsid w:val="00F90921"/>
    <w:rsid w:val="00F9237E"/>
    <w:rsid w:val="00F95B70"/>
    <w:rsid w:val="00F9692A"/>
    <w:rsid w:val="00F97F3E"/>
    <w:rsid w:val="00FA0790"/>
    <w:rsid w:val="00FA151A"/>
    <w:rsid w:val="00FA1F39"/>
    <w:rsid w:val="00FB0C0D"/>
    <w:rsid w:val="00FB1BCB"/>
    <w:rsid w:val="00FB28DE"/>
    <w:rsid w:val="00FB4D74"/>
    <w:rsid w:val="00FB6D1F"/>
    <w:rsid w:val="00FC4A2F"/>
    <w:rsid w:val="00FC65B1"/>
    <w:rsid w:val="00FC6BE2"/>
    <w:rsid w:val="00FD00D9"/>
    <w:rsid w:val="00FD2B89"/>
    <w:rsid w:val="00FD2FB9"/>
    <w:rsid w:val="00FD399E"/>
    <w:rsid w:val="00FD425F"/>
    <w:rsid w:val="00FD55C1"/>
    <w:rsid w:val="00FD5B59"/>
    <w:rsid w:val="00FD7898"/>
    <w:rsid w:val="00FE5726"/>
    <w:rsid w:val="00FF1B9C"/>
    <w:rsid w:val="00FF2EEB"/>
    <w:rsid w:val="00FF505B"/>
    <w:rsid w:val="00FF5798"/>
    <w:rsid w:val="00FF5C88"/>
    <w:rsid w:val="00FF61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21B4E7"/>
  <w15:chartTrackingRefBased/>
  <w15:docId w15:val="{EE021AD0-F2F2-49B7-8781-607A97D0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D48C2"/>
    <w:pPr>
      <w:keepNext/>
      <w:spacing w:after="120" w:line="240" w:lineRule="auto"/>
      <w:ind w:firstLine="720"/>
      <w:jc w:val="center"/>
      <w:outlineLvl w:val="0"/>
    </w:pPr>
    <w:rPr>
      <w:rFonts w:ascii="Times New Roman" w:eastAsia="Times New Roman" w:hAnsi="Times New Roman" w:cs="Times New Roman"/>
      <w:b/>
      <w:sz w:val="32"/>
      <w:szCs w:val="28"/>
    </w:rPr>
  </w:style>
  <w:style w:type="paragraph" w:styleId="Heading2">
    <w:name w:val="heading 2"/>
    <w:basedOn w:val="Normal"/>
    <w:next w:val="Normal"/>
    <w:link w:val="Heading2Char"/>
    <w:semiHidden/>
    <w:unhideWhenUsed/>
    <w:qFormat/>
    <w:rsid w:val="006D48C2"/>
    <w:pPr>
      <w:keepNext/>
      <w:spacing w:before="240" w:after="60" w:line="240" w:lineRule="auto"/>
      <w:ind w:firstLine="720"/>
      <w:jc w:val="both"/>
      <w:outlineLvl w:val="1"/>
    </w:pPr>
    <w:rPr>
      <w:rFonts w:ascii="Calibri Light" w:eastAsia="Times New Roman" w:hAnsi="Calibri Light" w:cs="Times New Roman"/>
      <w:b/>
      <w:bCs/>
      <w:i/>
      <w:iCs/>
      <w:sz w:val="28"/>
      <w:szCs w:val="28"/>
      <w:lang w:eastAsia="x-none"/>
    </w:rPr>
  </w:style>
  <w:style w:type="paragraph" w:styleId="Heading3">
    <w:name w:val="heading 3"/>
    <w:basedOn w:val="Normal"/>
    <w:next w:val="Normal"/>
    <w:link w:val="Heading3Char"/>
    <w:qFormat/>
    <w:rsid w:val="00033993"/>
    <w:pPr>
      <w:keepNext/>
      <w:spacing w:after="0" w:line="240" w:lineRule="auto"/>
      <w:ind w:firstLine="709"/>
      <w:outlineLvl w:val="2"/>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7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Numbered Para 1,Dot pt,No Spacing1,List Paragraph Char Char Char,Indicator Text,Bullet 1,Bullet Points,MAIN CONTENT,IFCL - List Paragraph,List Paragraph12,OBC Bullet,F5 List Paragraph,Colorful List - Accent 11,Strip,Saraksta rindkopa"/>
    <w:basedOn w:val="Normal"/>
    <w:link w:val="ListParagraphChar"/>
    <w:uiPriority w:val="34"/>
    <w:qFormat/>
    <w:rsid w:val="00951B65"/>
    <w:pPr>
      <w:ind w:left="720"/>
      <w:contextualSpacing/>
    </w:pPr>
  </w:style>
  <w:style w:type="paragraph" w:styleId="Header">
    <w:name w:val="header"/>
    <w:basedOn w:val="Normal"/>
    <w:link w:val="HeaderChar"/>
    <w:uiPriority w:val="99"/>
    <w:unhideWhenUsed/>
    <w:rsid w:val="00D704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043B"/>
  </w:style>
  <w:style w:type="paragraph" w:styleId="Footer">
    <w:name w:val="footer"/>
    <w:basedOn w:val="Normal"/>
    <w:link w:val="FooterChar"/>
    <w:uiPriority w:val="99"/>
    <w:unhideWhenUsed/>
    <w:rsid w:val="00D704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D7043B"/>
  </w:style>
  <w:style w:type="character" w:styleId="FootnoteReference">
    <w:name w:val="footnote reference"/>
    <w:aliases w:val="Footnote Reference Number,Footnote symbol,SUPERS,ftref,Footnote Refernece,stylish,BVI fnr,Fußnotenzeichen_Raxen,callout,Footnote Reference Superscript,Footnote symbFootnote Refernece,fr,Odwołanie przypisu,Footnotes refss,Ref,E,E FNZ"/>
    <w:basedOn w:val="DefaultParagraphFont"/>
    <w:link w:val="CharCharCharChar"/>
    <w:uiPriority w:val="99"/>
    <w:unhideWhenUsed/>
    <w:qFormat/>
    <w:rsid w:val="006E6F2D"/>
    <w:rPr>
      <w:vertAlign w:val="superscript"/>
    </w:rPr>
  </w:style>
  <w:style w:type="character" w:styleId="Hyperlink">
    <w:name w:val="Hyperlink"/>
    <w:uiPriority w:val="99"/>
    <w:rsid w:val="00B83A21"/>
    <w:rPr>
      <w:color w:val="0000FF"/>
      <w:u w:val="single"/>
    </w:rPr>
  </w:style>
  <w:style w:type="character" w:styleId="CommentReference">
    <w:name w:val="annotation reference"/>
    <w:basedOn w:val="DefaultParagraphFont"/>
    <w:unhideWhenUsed/>
    <w:rsid w:val="00CA7F98"/>
    <w:rPr>
      <w:sz w:val="16"/>
      <w:szCs w:val="16"/>
    </w:rPr>
  </w:style>
  <w:style w:type="paragraph" w:styleId="CommentText">
    <w:name w:val="annotation text"/>
    <w:basedOn w:val="Normal"/>
    <w:link w:val="CommentTextChar"/>
    <w:unhideWhenUsed/>
    <w:rsid w:val="00CA7F98"/>
    <w:pPr>
      <w:spacing w:line="240" w:lineRule="auto"/>
    </w:pPr>
    <w:rPr>
      <w:sz w:val="20"/>
      <w:szCs w:val="20"/>
    </w:rPr>
  </w:style>
  <w:style w:type="character" w:customStyle="1" w:styleId="CommentTextChar">
    <w:name w:val="Comment Text Char"/>
    <w:basedOn w:val="DefaultParagraphFont"/>
    <w:link w:val="CommentText"/>
    <w:rsid w:val="00CA7F98"/>
    <w:rPr>
      <w:sz w:val="20"/>
      <w:szCs w:val="20"/>
    </w:rPr>
  </w:style>
  <w:style w:type="paragraph" w:styleId="CommentSubject">
    <w:name w:val="annotation subject"/>
    <w:basedOn w:val="CommentText"/>
    <w:next w:val="CommentText"/>
    <w:link w:val="CommentSubjectChar"/>
    <w:unhideWhenUsed/>
    <w:rsid w:val="00CA7F98"/>
    <w:rPr>
      <w:b/>
      <w:bCs/>
    </w:rPr>
  </w:style>
  <w:style w:type="character" w:customStyle="1" w:styleId="CommentSubjectChar">
    <w:name w:val="Comment Subject Char"/>
    <w:basedOn w:val="CommentTextChar"/>
    <w:link w:val="CommentSubject"/>
    <w:rsid w:val="00CA7F98"/>
    <w:rPr>
      <w:b/>
      <w:bCs/>
      <w:sz w:val="20"/>
      <w:szCs w:val="20"/>
    </w:rPr>
  </w:style>
  <w:style w:type="paragraph" w:styleId="BalloonText">
    <w:name w:val="Balloon Text"/>
    <w:basedOn w:val="Normal"/>
    <w:link w:val="BalloonTextChar"/>
    <w:unhideWhenUsed/>
    <w:rsid w:val="00CA7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A7F98"/>
    <w:rPr>
      <w:rFonts w:ascii="Segoe UI" w:hAnsi="Segoe UI" w:cs="Segoe UI"/>
      <w:sz w:val="18"/>
      <w:szCs w:val="18"/>
    </w:rPr>
  </w:style>
  <w:style w:type="character" w:customStyle="1" w:styleId="ListParagraphChar">
    <w:name w:val="List Paragraph Char"/>
    <w:aliases w:val="2 Char,Numbered Para 1 Char,Dot pt Char,No Spacing1 Char,List Paragraph Char Char Char Char,Indicator Text Char,Bullet 1 Char,Bullet Points Char,MAIN CONTENT Char,IFCL - List Paragraph Char,List Paragraph12 Char,OBC Bullet Char"/>
    <w:link w:val="ListParagraph"/>
    <w:uiPriority w:val="34"/>
    <w:qFormat/>
    <w:locked/>
    <w:rsid w:val="003B03F6"/>
  </w:style>
  <w:style w:type="character" w:styleId="FollowedHyperlink">
    <w:name w:val="FollowedHyperlink"/>
    <w:basedOn w:val="DefaultParagraphFont"/>
    <w:uiPriority w:val="99"/>
    <w:semiHidden/>
    <w:unhideWhenUsed/>
    <w:rsid w:val="007A389D"/>
    <w:rPr>
      <w:color w:val="954F72" w:themeColor="followedHyperlink"/>
      <w:u w:val="single"/>
    </w:rPr>
  </w:style>
  <w:style w:type="paragraph" w:styleId="FootnoteText">
    <w:name w:val="footnote text"/>
    <w:aliases w:val="Vēres teksts Rakstz.1 Char,Vēres teksts Rakstz. Rakstz. Char,Vēres teksts Rakstz.1 Rakstz. Rakstz. Char,Vēres teksts Rakstz. Rakstz. Rakstz. Rakstz. Char,Vēres teksts Rakstz.1 Rakstz. Rakstz. Rakstz. Rakstz. Char,Footnote,Fußnote,Char,f,ft"/>
    <w:basedOn w:val="Normal"/>
    <w:link w:val="FootnoteTextChar"/>
    <w:uiPriority w:val="99"/>
    <w:unhideWhenUsed/>
    <w:qFormat/>
    <w:rsid w:val="00475A32"/>
    <w:pPr>
      <w:spacing w:after="0" w:line="240" w:lineRule="auto"/>
    </w:pPr>
    <w:rPr>
      <w:rFonts w:ascii="Times New Roman" w:hAnsi="Times New Roman"/>
      <w:sz w:val="20"/>
      <w:szCs w:val="20"/>
    </w:rPr>
  </w:style>
  <w:style w:type="character" w:customStyle="1" w:styleId="FootnoteTextChar">
    <w:name w:val="Footnote Text Char"/>
    <w:aliases w:val="Vēres teksts Rakstz.1 Char Char,Vēres teksts Rakstz. Rakstz. Char Char,Vēres teksts Rakstz.1 Rakstz. Rakstz. Char Char,Vēres teksts Rakstz. Rakstz. Rakstz. Rakstz. Char Char,Footnote Char,Fußnote Char,Char Char,f Char,ft Char"/>
    <w:basedOn w:val="DefaultParagraphFont"/>
    <w:link w:val="FootnoteText"/>
    <w:uiPriority w:val="99"/>
    <w:rsid w:val="00475A32"/>
    <w:rPr>
      <w:rFonts w:ascii="Times New Roman" w:hAnsi="Times New Roman"/>
      <w:sz w:val="20"/>
      <w:szCs w:val="20"/>
    </w:rPr>
  </w:style>
  <w:style w:type="character" w:customStyle="1" w:styleId="Heading3Char">
    <w:name w:val="Heading 3 Char"/>
    <w:basedOn w:val="DefaultParagraphFont"/>
    <w:link w:val="Heading3"/>
    <w:rsid w:val="00033993"/>
    <w:rPr>
      <w:rFonts w:ascii="Times New Roman" w:eastAsia="Times New Roman" w:hAnsi="Times New Roman" w:cs="Times New Roman"/>
      <w:sz w:val="28"/>
      <w:szCs w:val="20"/>
    </w:rPr>
  </w:style>
  <w:style w:type="table" w:customStyle="1" w:styleId="TableGrid61">
    <w:name w:val="Table Grid61"/>
    <w:basedOn w:val="TableNormal"/>
    <w:next w:val="TableGrid"/>
    <w:uiPriority w:val="39"/>
    <w:rsid w:val="00033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25F3"/>
    <w:pPr>
      <w:spacing w:after="0" w:line="240" w:lineRule="auto"/>
    </w:pPr>
  </w:style>
  <w:style w:type="table" w:styleId="ListTable4-Accent1">
    <w:name w:val="List Table 4 Accent 1"/>
    <w:basedOn w:val="TableNormal"/>
    <w:uiPriority w:val="49"/>
    <w:rsid w:val="00FF5C8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1">
    <w:name w:val="List Table 6 Colorful Accent 1"/>
    <w:basedOn w:val="TableNormal"/>
    <w:uiPriority w:val="51"/>
    <w:rsid w:val="00FF5C88"/>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4">
    <w:name w:val="List Table 1 Light Accent 4"/>
    <w:basedOn w:val="TableNormal"/>
    <w:uiPriority w:val="46"/>
    <w:rsid w:val="00FF5C88"/>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4">
    <w:name w:val="Grid Table 6 Colorful Accent 4"/>
    <w:basedOn w:val="TableNormal"/>
    <w:uiPriority w:val="51"/>
    <w:rsid w:val="00FF5C8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4">
    <w:name w:val="List Table 6 Colorful Accent 4"/>
    <w:basedOn w:val="TableNormal"/>
    <w:uiPriority w:val="51"/>
    <w:rsid w:val="00FF5C88"/>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4">
    <w:name w:val="Grid Table 2 Accent 4"/>
    <w:basedOn w:val="TableNormal"/>
    <w:uiPriority w:val="47"/>
    <w:rsid w:val="00FF5C88"/>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1Char">
    <w:name w:val="Heading 1 Char"/>
    <w:basedOn w:val="DefaultParagraphFont"/>
    <w:link w:val="Heading1"/>
    <w:rsid w:val="006D48C2"/>
    <w:rPr>
      <w:rFonts w:ascii="Times New Roman" w:eastAsia="Times New Roman" w:hAnsi="Times New Roman" w:cs="Times New Roman"/>
      <w:b/>
      <w:sz w:val="32"/>
      <w:szCs w:val="28"/>
    </w:rPr>
  </w:style>
  <w:style w:type="character" w:customStyle="1" w:styleId="Heading2Char">
    <w:name w:val="Heading 2 Char"/>
    <w:basedOn w:val="DefaultParagraphFont"/>
    <w:link w:val="Heading2"/>
    <w:semiHidden/>
    <w:rsid w:val="006D48C2"/>
    <w:rPr>
      <w:rFonts w:ascii="Calibri Light" w:eastAsia="Times New Roman" w:hAnsi="Calibri Light" w:cs="Times New Roman"/>
      <w:b/>
      <w:bCs/>
      <w:i/>
      <w:iCs/>
      <w:sz w:val="28"/>
      <w:szCs w:val="28"/>
      <w:lang w:eastAsia="x-none"/>
    </w:rPr>
  </w:style>
  <w:style w:type="paragraph" w:styleId="BodyTextIndent">
    <w:name w:val="Body Text Indent"/>
    <w:basedOn w:val="Normal"/>
    <w:link w:val="BodyTextIndentChar"/>
    <w:rsid w:val="006D48C2"/>
    <w:pPr>
      <w:spacing w:after="120" w:line="240" w:lineRule="auto"/>
      <w:ind w:left="5040" w:firstLine="720"/>
      <w:jc w:val="right"/>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6D48C2"/>
    <w:rPr>
      <w:rFonts w:ascii="Times New Roman" w:eastAsia="Times New Roman" w:hAnsi="Times New Roman" w:cs="Times New Roman"/>
      <w:sz w:val="28"/>
      <w:szCs w:val="28"/>
    </w:rPr>
  </w:style>
  <w:style w:type="paragraph" w:styleId="DocumentMap">
    <w:name w:val="Document Map"/>
    <w:basedOn w:val="Normal"/>
    <w:link w:val="DocumentMapChar"/>
    <w:semiHidden/>
    <w:rsid w:val="006D48C2"/>
    <w:pPr>
      <w:shd w:val="clear" w:color="auto" w:fill="000080"/>
      <w:spacing w:after="120" w:line="240" w:lineRule="auto"/>
      <w:ind w:firstLine="720"/>
      <w:jc w:val="both"/>
    </w:pPr>
    <w:rPr>
      <w:rFonts w:ascii="Tahoma" w:eastAsia="Times New Roman" w:hAnsi="Tahoma" w:cs="Tahoma"/>
      <w:sz w:val="20"/>
      <w:szCs w:val="28"/>
    </w:rPr>
  </w:style>
  <w:style w:type="character" w:customStyle="1" w:styleId="DocumentMapChar">
    <w:name w:val="Document Map Char"/>
    <w:basedOn w:val="DefaultParagraphFont"/>
    <w:link w:val="DocumentMap"/>
    <w:semiHidden/>
    <w:rsid w:val="006D48C2"/>
    <w:rPr>
      <w:rFonts w:ascii="Tahoma" w:eastAsia="Times New Roman" w:hAnsi="Tahoma" w:cs="Tahoma"/>
      <w:sz w:val="20"/>
      <w:szCs w:val="28"/>
      <w:shd w:val="clear" w:color="auto" w:fill="000080"/>
    </w:rPr>
  </w:style>
  <w:style w:type="paragraph" w:customStyle="1" w:styleId="naisf">
    <w:name w:val="naisf"/>
    <w:basedOn w:val="Normal"/>
    <w:rsid w:val="006D48C2"/>
    <w:pPr>
      <w:widowControl w:val="0"/>
      <w:adjustRightInd w:val="0"/>
      <w:spacing w:before="100" w:after="100" w:line="360" w:lineRule="atLeast"/>
      <w:ind w:firstLine="500"/>
      <w:jc w:val="both"/>
      <w:textAlignment w:val="baseline"/>
    </w:pPr>
    <w:rPr>
      <w:rFonts w:ascii="Times New Roman" w:eastAsia="Times New Roman" w:hAnsi="Times New Roman" w:cs="Times New Roman"/>
      <w:sz w:val="24"/>
      <w:szCs w:val="24"/>
      <w:lang w:eastAsia="lv-LV"/>
    </w:rPr>
  </w:style>
  <w:style w:type="paragraph" w:customStyle="1" w:styleId="RakstzCharCharRakstzCharCharRakstz2">
    <w:name w:val="Rakstz. Char Char Rakstz. Char Char Rakstz.2"/>
    <w:basedOn w:val="Normal"/>
    <w:rsid w:val="006D48C2"/>
    <w:pPr>
      <w:spacing w:line="240" w:lineRule="exact"/>
    </w:pPr>
    <w:rPr>
      <w:rFonts w:ascii="Tahoma" w:eastAsia="Times New Roman" w:hAnsi="Tahoma" w:cs="Tahoma"/>
      <w:sz w:val="20"/>
      <w:szCs w:val="20"/>
      <w:lang w:val="en-US"/>
    </w:rPr>
  </w:style>
  <w:style w:type="character" w:customStyle="1" w:styleId="StyleStrong12ptNotBold">
    <w:name w:val="Style Strong + 12 pt Not Bold"/>
    <w:rsid w:val="006D48C2"/>
    <w:rPr>
      <w:rFonts w:ascii="Times New Roman" w:hAnsi="Times New Roman" w:cs="Times New Roman"/>
      <w:b/>
      <w:bCs/>
      <w:sz w:val="24"/>
      <w:szCs w:val="24"/>
    </w:rPr>
  </w:style>
  <w:style w:type="character" w:styleId="Strong">
    <w:name w:val="Strong"/>
    <w:uiPriority w:val="22"/>
    <w:qFormat/>
    <w:rsid w:val="006D48C2"/>
    <w:rPr>
      <w:b/>
      <w:bCs/>
    </w:rPr>
  </w:style>
  <w:style w:type="character" w:customStyle="1" w:styleId="apple-converted-space">
    <w:name w:val="apple-converted-space"/>
    <w:basedOn w:val="DefaultParagraphFont"/>
    <w:rsid w:val="006D48C2"/>
  </w:style>
  <w:style w:type="paragraph" w:styleId="NormalWeb">
    <w:name w:val="Normal (Web)"/>
    <w:basedOn w:val="Normal"/>
    <w:uiPriority w:val="99"/>
    <w:rsid w:val="006D48C2"/>
    <w:pPr>
      <w:suppressAutoHyphens/>
      <w:spacing w:before="280" w:after="280" w:line="240" w:lineRule="auto"/>
    </w:pPr>
    <w:rPr>
      <w:rFonts w:ascii="Times New Roman" w:eastAsia="Times New Roman" w:hAnsi="Times New Roman" w:cs="Times New Roman"/>
      <w:sz w:val="24"/>
      <w:szCs w:val="24"/>
      <w:lang w:eastAsia="ar-SA"/>
    </w:rPr>
  </w:style>
  <w:style w:type="paragraph" w:styleId="BodyText">
    <w:name w:val="Body Text"/>
    <w:basedOn w:val="Normal"/>
    <w:link w:val="BodyTextChar"/>
    <w:rsid w:val="006D48C2"/>
    <w:pPr>
      <w:spacing w:after="120" w:line="240" w:lineRule="auto"/>
      <w:ind w:firstLine="720"/>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6D48C2"/>
    <w:rPr>
      <w:rFonts w:ascii="Times New Roman" w:eastAsia="Times New Roman" w:hAnsi="Times New Roman" w:cs="Times New Roman"/>
      <w:sz w:val="28"/>
      <w:szCs w:val="28"/>
    </w:rPr>
  </w:style>
  <w:style w:type="character" w:customStyle="1" w:styleId="UnresolvedMention1">
    <w:name w:val="Unresolved Mention1"/>
    <w:uiPriority w:val="99"/>
    <w:semiHidden/>
    <w:unhideWhenUsed/>
    <w:rsid w:val="006D48C2"/>
    <w:rPr>
      <w:color w:val="605E5C"/>
      <w:shd w:val="clear" w:color="auto" w:fill="E1DFDD"/>
    </w:rPr>
  </w:style>
  <w:style w:type="table" w:customStyle="1" w:styleId="TableGrid1">
    <w:name w:val="Table Grid1"/>
    <w:basedOn w:val="TableNormal"/>
    <w:next w:val="TableGrid"/>
    <w:uiPriority w:val="39"/>
    <w:rsid w:val="006D48C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aliases w:val="Char2"/>
    <w:basedOn w:val="Normal"/>
    <w:next w:val="Normal"/>
    <w:link w:val="FootnoteReference"/>
    <w:uiPriority w:val="99"/>
    <w:rsid w:val="006D48C2"/>
    <w:pPr>
      <w:spacing w:line="240" w:lineRule="exact"/>
      <w:jc w:val="both"/>
    </w:pPr>
    <w:rPr>
      <w:vertAlign w:val="superscript"/>
    </w:rPr>
  </w:style>
  <w:style w:type="table" w:customStyle="1" w:styleId="TableGrid2">
    <w:name w:val="Table Grid2"/>
    <w:basedOn w:val="TableNormal"/>
    <w:next w:val="TableGrid"/>
    <w:uiPriority w:val="39"/>
    <w:rsid w:val="006D48C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6D48C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D02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0253"/>
    <w:rPr>
      <w:sz w:val="20"/>
      <w:szCs w:val="20"/>
    </w:rPr>
  </w:style>
  <w:style w:type="character" w:styleId="EndnoteReference">
    <w:name w:val="endnote reference"/>
    <w:basedOn w:val="DefaultParagraphFont"/>
    <w:uiPriority w:val="99"/>
    <w:semiHidden/>
    <w:unhideWhenUsed/>
    <w:rsid w:val="004D0253"/>
    <w:rPr>
      <w:vertAlign w:val="superscript"/>
    </w:rPr>
  </w:style>
  <w:style w:type="paragraph" w:customStyle="1" w:styleId="xxmsonormal">
    <w:name w:val="x_xmsonormal"/>
    <w:basedOn w:val="Normal"/>
    <w:rsid w:val="007D634A"/>
    <w:pPr>
      <w:spacing w:after="0" w:line="240" w:lineRule="auto"/>
    </w:pPr>
    <w:rPr>
      <w:rFonts w:ascii="Calibri" w:hAnsi="Calibri" w:cs="Calibri"/>
      <w:lang w:eastAsia="lv-LV"/>
    </w:rPr>
  </w:style>
  <w:style w:type="paragraph" w:customStyle="1" w:styleId="xxmsolistparagraph">
    <w:name w:val="x_xmsolistparagraph"/>
    <w:basedOn w:val="Normal"/>
    <w:rsid w:val="007D634A"/>
    <w:pPr>
      <w:spacing w:after="0" w:line="240" w:lineRule="auto"/>
      <w:ind w:left="720"/>
    </w:pPr>
    <w:rPr>
      <w:rFonts w:ascii="Times New Roman" w:hAnsi="Times New Roman" w:cs="Times New Roman"/>
      <w:lang w:eastAsia="lv-LV"/>
    </w:rPr>
  </w:style>
  <w:style w:type="character" w:customStyle="1" w:styleId="xxspelle">
    <w:name w:val="x_xspelle"/>
    <w:basedOn w:val="DefaultParagraphFont"/>
    <w:rsid w:val="007D634A"/>
  </w:style>
  <w:style w:type="paragraph" w:customStyle="1" w:styleId="xxmsonormal0">
    <w:name w:val="x_x_msonormal"/>
    <w:basedOn w:val="Normal"/>
    <w:rsid w:val="00C62C62"/>
    <w:pPr>
      <w:spacing w:after="0" w:line="240" w:lineRule="auto"/>
    </w:pPr>
    <w:rPr>
      <w:rFonts w:ascii="Calibri" w:hAnsi="Calibri" w:cs="Calibri"/>
      <w:lang w:eastAsia="lv-LV"/>
    </w:rPr>
  </w:style>
  <w:style w:type="table" w:styleId="ListTable4-Accent5">
    <w:name w:val="List Table 4 Accent 5"/>
    <w:basedOn w:val="TableNormal"/>
    <w:uiPriority w:val="49"/>
    <w:rsid w:val="00042B1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5">
    <w:name w:val="List Table 1 Light Accent 5"/>
    <w:basedOn w:val="TableNormal"/>
    <w:uiPriority w:val="46"/>
    <w:rsid w:val="00042B16"/>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419943">
      <w:bodyDiv w:val="1"/>
      <w:marLeft w:val="0"/>
      <w:marRight w:val="0"/>
      <w:marTop w:val="0"/>
      <w:marBottom w:val="0"/>
      <w:divBdr>
        <w:top w:val="none" w:sz="0" w:space="0" w:color="auto"/>
        <w:left w:val="none" w:sz="0" w:space="0" w:color="auto"/>
        <w:bottom w:val="none" w:sz="0" w:space="0" w:color="auto"/>
        <w:right w:val="none" w:sz="0" w:space="0" w:color="auto"/>
      </w:divBdr>
    </w:div>
    <w:div w:id="228615906">
      <w:bodyDiv w:val="1"/>
      <w:marLeft w:val="0"/>
      <w:marRight w:val="0"/>
      <w:marTop w:val="0"/>
      <w:marBottom w:val="0"/>
      <w:divBdr>
        <w:top w:val="none" w:sz="0" w:space="0" w:color="auto"/>
        <w:left w:val="none" w:sz="0" w:space="0" w:color="auto"/>
        <w:bottom w:val="none" w:sz="0" w:space="0" w:color="auto"/>
        <w:right w:val="none" w:sz="0" w:space="0" w:color="auto"/>
      </w:divBdr>
    </w:div>
    <w:div w:id="242690573">
      <w:bodyDiv w:val="1"/>
      <w:marLeft w:val="0"/>
      <w:marRight w:val="0"/>
      <w:marTop w:val="0"/>
      <w:marBottom w:val="0"/>
      <w:divBdr>
        <w:top w:val="none" w:sz="0" w:space="0" w:color="auto"/>
        <w:left w:val="none" w:sz="0" w:space="0" w:color="auto"/>
        <w:bottom w:val="none" w:sz="0" w:space="0" w:color="auto"/>
        <w:right w:val="none" w:sz="0" w:space="0" w:color="auto"/>
      </w:divBdr>
    </w:div>
    <w:div w:id="261845304">
      <w:bodyDiv w:val="1"/>
      <w:marLeft w:val="0"/>
      <w:marRight w:val="0"/>
      <w:marTop w:val="0"/>
      <w:marBottom w:val="0"/>
      <w:divBdr>
        <w:top w:val="none" w:sz="0" w:space="0" w:color="auto"/>
        <w:left w:val="none" w:sz="0" w:space="0" w:color="auto"/>
        <w:bottom w:val="none" w:sz="0" w:space="0" w:color="auto"/>
        <w:right w:val="none" w:sz="0" w:space="0" w:color="auto"/>
      </w:divBdr>
    </w:div>
    <w:div w:id="270013213">
      <w:bodyDiv w:val="1"/>
      <w:marLeft w:val="0"/>
      <w:marRight w:val="0"/>
      <w:marTop w:val="0"/>
      <w:marBottom w:val="0"/>
      <w:divBdr>
        <w:top w:val="none" w:sz="0" w:space="0" w:color="auto"/>
        <w:left w:val="none" w:sz="0" w:space="0" w:color="auto"/>
        <w:bottom w:val="none" w:sz="0" w:space="0" w:color="auto"/>
        <w:right w:val="none" w:sz="0" w:space="0" w:color="auto"/>
      </w:divBdr>
    </w:div>
    <w:div w:id="326060940">
      <w:bodyDiv w:val="1"/>
      <w:marLeft w:val="0"/>
      <w:marRight w:val="0"/>
      <w:marTop w:val="0"/>
      <w:marBottom w:val="0"/>
      <w:divBdr>
        <w:top w:val="none" w:sz="0" w:space="0" w:color="auto"/>
        <w:left w:val="none" w:sz="0" w:space="0" w:color="auto"/>
        <w:bottom w:val="none" w:sz="0" w:space="0" w:color="auto"/>
        <w:right w:val="none" w:sz="0" w:space="0" w:color="auto"/>
      </w:divBdr>
    </w:div>
    <w:div w:id="346518102">
      <w:bodyDiv w:val="1"/>
      <w:marLeft w:val="0"/>
      <w:marRight w:val="0"/>
      <w:marTop w:val="0"/>
      <w:marBottom w:val="0"/>
      <w:divBdr>
        <w:top w:val="none" w:sz="0" w:space="0" w:color="auto"/>
        <w:left w:val="none" w:sz="0" w:space="0" w:color="auto"/>
        <w:bottom w:val="none" w:sz="0" w:space="0" w:color="auto"/>
        <w:right w:val="none" w:sz="0" w:space="0" w:color="auto"/>
      </w:divBdr>
    </w:div>
    <w:div w:id="388774477">
      <w:bodyDiv w:val="1"/>
      <w:marLeft w:val="0"/>
      <w:marRight w:val="0"/>
      <w:marTop w:val="0"/>
      <w:marBottom w:val="0"/>
      <w:divBdr>
        <w:top w:val="none" w:sz="0" w:space="0" w:color="auto"/>
        <w:left w:val="none" w:sz="0" w:space="0" w:color="auto"/>
        <w:bottom w:val="none" w:sz="0" w:space="0" w:color="auto"/>
        <w:right w:val="none" w:sz="0" w:space="0" w:color="auto"/>
      </w:divBdr>
    </w:div>
    <w:div w:id="457844999">
      <w:bodyDiv w:val="1"/>
      <w:marLeft w:val="0"/>
      <w:marRight w:val="0"/>
      <w:marTop w:val="0"/>
      <w:marBottom w:val="0"/>
      <w:divBdr>
        <w:top w:val="none" w:sz="0" w:space="0" w:color="auto"/>
        <w:left w:val="none" w:sz="0" w:space="0" w:color="auto"/>
        <w:bottom w:val="none" w:sz="0" w:space="0" w:color="auto"/>
        <w:right w:val="none" w:sz="0" w:space="0" w:color="auto"/>
      </w:divBdr>
    </w:div>
    <w:div w:id="503129779">
      <w:bodyDiv w:val="1"/>
      <w:marLeft w:val="0"/>
      <w:marRight w:val="0"/>
      <w:marTop w:val="0"/>
      <w:marBottom w:val="0"/>
      <w:divBdr>
        <w:top w:val="none" w:sz="0" w:space="0" w:color="auto"/>
        <w:left w:val="none" w:sz="0" w:space="0" w:color="auto"/>
        <w:bottom w:val="none" w:sz="0" w:space="0" w:color="auto"/>
        <w:right w:val="none" w:sz="0" w:space="0" w:color="auto"/>
      </w:divBdr>
    </w:div>
    <w:div w:id="553395501">
      <w:bodyDiv w:val="1"/>
      <w:marLeft w:val="0"/>
      <w:marRight w:val="0"/>
      <w:marTop w:val="0"/>
      <w:marBottom w:val="0"/>
      <w:divBdr>
        <w:top w:val="none" w:sz="0" w:space="0" w:color="auto"/>
        <w:left w:val="none" w:sz="0" w:space="0" w:color="auto"/>
        <w:bottom w:val="none" w:sz="0" w:space="0" w:color="auto"/>
        <w:right w:val="none" w:sz="0" w:space="0" w:color="auto"/>
      </w:divBdr>
    </w:div>
    <w:div w:id="573124747">
      <w:bodyDiv w:val="1"/>
      <w:marLeft w:val="0"/>
      <w:marRight w:val="0"/>
      <w:marTop w:val="0"/>
      <w:marBottom w:val="0"/>
      <w:divBdr>
        <w:top w:val="none" w:sz="0" w:space="0" w:color="auto"/>
        <w:left w:val="none" w:sz="0" w:space="0" w:color="auto"/>
        <w:bottom w:val="none" w:sz="0" w:space="0" w:color="auto"/>
        <w:right w:val="none" w:sz="0" w:space="0" w:color="auto"/>
      </w:divBdr>
    </w:div>
    <w:div w:id="640962427">
      <w:bodyDiv w:val="1"/>
      <w:marLeft w:val="0"/>
      <w:marRight w:val="0"/>
      <w:marTop w:val="0"/>
      <w:marBottom w:val="0"/>
      <w:divBdr>
        <w:top w:val="none" w:sz="0" w:space="0" w:color="auto"/>
        <w:left w:val="none" w:sz="0" w:space="0" w:color="auto"/>
        <w:bottom w:val="none" w:sz="0" w:space="0" w:color="auto"/>
        <w:right w:val="none" w:sz="0" w:space="0" w:color="auto"/>
      </w:divBdr>
    </w:div>
    <w:div w:id="653031232">
      <w:bodyDiv w:val="1"/>
      <w:marLeft w:val="0"/>
      <w:marRight w:val="0"/>
      <w:marTop w:val="0"/>
      <w:marBottom w:val="0"/>
      <w:divBdr>
        <w:top w:val="none" w:sz="0" w:space="0" w:color="auto"/>
        <w:left w:val="none" w:sz="0" w:space="0" w:color="auto"/>
        <w:bottom w:val="none" w:sz="0" w:space="0" w:color="auto"/>
        <w:right w:val="none" w:sz="0" w:space="0" w:color="auto"/>
      </w:divBdr>
    </w:div>
    <w:div w:id="1152605359">
      <w:bodyDiv w:val="1"/>
      <w:marLeft w:val="0"/>
      <w:marRight w:val="0"/>
      <w:marTop w:val="0"/>
      <w:marBottom w:val="0"/>
      <w:divBdr>
        <w:top w:val="none" w:sz="0" w:space="0" w:color="auto"/>
        <w:left w:val="none" w:sz="0" w:space="0" w:color="auto"/>
        <w:bottom w:val="none" w:sz="0" w:space="0" w:color="auto"/>
        <w:right w:val="none" w:sz="0" w:space="0" w:color="auto"/>
      </w:divBdr>
    </w:div>
    <w:div w:id="1238325602">
      <w:bodyDiv w:val="1"/>
      <w:marLeft w:val="0"/>
      <w:marRight w:val="0"/>
      <w:marTop w:val="0"/>
      <w:marBottom w:val="0"/>
      <w:divBdr>
        <w:top w:val="none" w:sz="0" w:space="0" w:color="auto"/>
        <w:left w:val="none" w:sz="0" w:space="0" w:color="auto"/>
        <w:bottom w:val="none" w:sz="0" w:space="0" w:color="auto"/>
        <w:right w:val="none" w:sz="0" w:space="0" w:color="auto"/>
      </w:divBdr>
    </w:div>
    <w:div w:id="1281376870">
      <w:bodyDiv w:val="1"/>
      <w:marLeft w:val="0"/>
      <w:marRight w:val="0"/>
      <w:marTop w:val="0"/>
      <w:marBottom w:val="0"/>
      <w:divBdr>
        <w:top w:val="none" w:sz="0" w:space="0" w:color="auto"/>
        <w:left w:val="none" w:sz="0" w:space="0" w:color="auto"/>
        <w:bottom w:val="none" w:sz="0" w:space="0" w:color="auto"/>
        <w:right w:val="none" w:sz="0" w:space="0" w:color="auto"/>
      </w:divBdr>
    </w:div>
    <w:div w:id="1503740175">
      <w:bodyDiv w:val="1"/>
      <w:marLeft w:val="0"/>
      <w:marRight w:val="0"/>
      <w:marTop w:val="0"/>
      <w:marBottom w:val="0"/>
      <w:divBdr>
        <w:top w:val="none" w:sz="0" w:space="0" w:color="auto"/>
        <w:left w:val="none" w:sz="0" w:space="0" w:color="auto"/>
        <w:bottom w:val="none" w:sz="0" w:space="0" w:color="auto"/>
        <w:right w:val="none" w:sz="0" w:space="0" w:color="auto"/>
      </w:divBdr>
    </w:div>
    <w:div w:id="1577325213">
      <w:bodyDiv w:val="1"/>
      <w:marLeft w:val="0"/>
      <w:marRight w:val="0"/>
      <w:marTop w:val="0"/>
      <w:marBottom w:val="0"/>
      <w:divBdr>
        <w:top w:val="none" w:sz="0" w:space="0" w:color="auto"/>
        <w:left w:val="none" w:sz="0" w:space="0" w:color="auto"/>
        <w:bottom w:val="none" w:sz="0" w:space="0" w:color="auto"/>
        <w:right w:val="none" w:sz="0" w:space="0" w:color="auto"/>
      </w:divBdr>
    </w:div>
    <w:div w:id="1595935874">
      <w:bodyDiv w:val="1"/>
      <w:marLeft w:val="0"/>
      <w:marRight w:val="0"/>
      <w:marTop w:val="0"/>
      <w:marBottom w:val="0"/>
      <w:divBdr>
        <w:top w:val="none" w:sz="0" w:space="0" w:color="auto"/>
        <w:left w:val="none" w:sz="0" w:space="0" w:color="auto"/>
        <w:bottom w:val="none" w:sz="0" w:space="0" w:color="auto"/>
        <w:right w:val="none" w:sz="0" w:space="0" w:color="auto"/>
      </w:divBdr>
    </w:div>
    <w:div w:id="1601601075">
      <w:bodyDiv w:val="1"/>
      <w:marLeft w:val="0"/>
      <w:marRight w:val="0"/>
      <w:marTop w:val="0"/>
      <w:marBottom w:val="0"/>
      <w:divBdr>
        <w:top w:val="none" w:sz="0" w:space="0" w:color="auto"/>
        <w:left w:val="none" w:sz="0" w:space="0" w:color="auto"/>
        <w:bottom w:val="none" w:sz="0" w:space="0" w:color="auto"/>
        <w:right w:val="none" w:sz="0" w:space="0" w:color="auto"/>
      </w:divBdr>
    </w:div>
    <w:div w:id="1680933686">
      <w:bodyDiv w:val="1"/>
      <w:marLeft w:val="0"/>
      <w:marRight w:val="0"/>
      <w:marTop w:val="0"/>
      <w:marBottom w:val="0"/>
      <w:divBdr>
        <w:top w:val="none" w:sz="0" w:space="0" w:color="auto"/>
        <w:left w:val="none" w:sz="0" w:space="0" w:color="auto"/>
        <w:bottom w:val="none" w:sz="0" w:space="0" w:color="auto"/>
        <w:right w:val="none" w:sz="0" w:space="0" w:color="auto"/>
      </w:divBdr>
    </w:div>
    <w:div w:id="1841576513">
      <w:bodyDiv w:val="1"/>
      <w:marLeft w:val="0"/>
      <w:marRight w:val="0"/>
      <w:marTop w:val="0"/>
      <w:marBottom w:val="0"/>
      <w:divBdr>
        <w:top w:val="none" w:sz="0" w:space="0" w:color="auto"/>
        <w:left w:val="none" w:sz="0" w:space="0" w:color="auto"/>
        <w:bottom w:val="none" w:sz="0" w:space="0" w:color="auto"/>
        <w:right w:val="none" w:sz="0" w:space="0" w:color="auto"/>
      </w:divBdr>
    </w:div>
    <w:div w:id="1886672685">
      <w:bodyDiv w:val="1"/>
      <w:marLeft w:val="0"/>
      <w:marRight w:val="0"/>
      <w:marTop w:val="0"/>
      <w:marBottom w:val="0"/>
      <w:divBdr>
        <w:top w:val="none" w:sz="0" w:space="0" w:color="auto"/>
        <w:left w:val="none" w:sz="0" w:space="0" w:color="auto"/>
        <w:bottom w:val="none" w:sz="0" w:space="0" w:color="auto"/>
        <w:right w:val="none" w:sz="0" w:space="0" w:color="auto"/>
      </w:divBdr>
    </w:div>
    <w:div w:id="1968462920">
      <w:bodyDiv w:val="1"/>
      <w:marLeft w:val="0"/>
      <w:marRight w:val="0"/>
      <w:marTop w:val="0"/>
      <w:marBottom w:val="0"/>
      <w:divBdr>
        <w:top w:val="none" w:sz="0" w:space="0" w:color="auto"/>
        <w:left w:val="none" w:sz="0" w:space="0" w:color="auto"/>
        <w:bottom w:val="none" w:sz="0" w:space="0" w:color="auto"/>
        <w:right w:val="none" w:sz="0" w:space="0" w:color="auto"/>
      </w:divBdr>
    </w:div>
    <w:div w:id="1977833400">
      <w:bodyDiv w:val="1"/>
      <w:marLeft w:val="0"/>
      <w:marRight w:val="0"/>
      <w:marTop w:val="0"/>
      <w:marBottom w:val="0"/>
      <w:divBdr>
        <w:top w:val="none" w:sz="0" w:space="0" w:color="auto"/>
        <w:left w:val="none" w:sz="0" w:space="0" w:color="auto"/>
        <w:bottom w:val="none" w:sz="0" w:space="0" w:color="auto"/>
        <w:right w:val="none" w:sz="0" w:space="0" w:color="auto"/>
      </w:divBdr>
    </w:div>
    <w:div w:id="213964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e.adijane@f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tap.mk.gov.lv/lv/mk/tap/?pid=40491965" TargetMode="External"/><Relationship Id="rId2" Type="http://schemas.openxmlformats.org/officeDocument/2006/relationships/hyperlink" Target="https://reasonsandpersons.wordpress.com/2018/12/29/the-book-sector-in-europe-facts-and-figures-2017/" TargetMode="External"/><Relationship Id="rId1" Type="http://schemas.openxmlformats.org/officeDocument/2006/relationships/hyperlink" Target="http://tap.mk.gov.lv/mk/mksedes/saraksts/protokols/?protokols=2020-09-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B3E53-856F-42DE-92FF-D7729DC3C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16371</Words>
  <Characters>9333</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Informatīvais ziņojums “Par priekšlikumiem valsts budžeta ieņēmumiem un izdevumiem 2022.gadam un ietvaram 2022.–2024.gadam”</vt:lpstr>
    </vt:vector>
  </TitlesOfParts>
  <Company>Finanšu ministrija</Company>
  <LinksUpToDate>false</LinksUpToDate>
  <CharactersWithSpaces>25653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priekšlikumiem valsts budžeta ieņēmumiem un izdevumiem 2022.gadam un ietvaram 2022.–2024.gadam”</dc:title>
  <dc:subject>Informatīvais ziņojums</dc:subject>
  <dc:creator>Zane Adijāne</dc:creator>
  <cp:keywords/>
  <dc:description>Zane.Adijane@fm.gov.lv_x000d_
67095437</dc:description>
  <cp:lastModifiedBy>Zane Adijāne</cp:lastModifiedBy>
  <cp:revision>20</cp:revision>
  <cp:lastPrinted>2019-08-29T08:54:00Z</cp:lastPrinted>
  <dcterms:created xsi:type="dcterms:W3CDTF">2021-09-23T09:20:00Z</dcterms:created>
  <dcterms:modified xsi:type="dcterms:W3CDTF">2021-09-23T18:17:00Z</dcterms:modified>
</cp:coreProperties>
</file>