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DCCE" w14:textId="23D0B6AA" w:rsidR="008C0FAB" w:rsidRPr="008C0FAB" w:rsidRDefault="008C0FAB" w:rsidP="008C0F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0F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Uzziņa </w:t>
      </w:r>
      <w:r w:rsidR="00BE2391">
        <w:rPr>
          <w:rFonts w:ascii="Times New Roman" w:eastAsia="Times New Roman" w:hAnsi="Times New Roman" w:cs="Times New Roman"/>
          <w:b/>
          <w:iCs/>
          <w:sz w:val="24"/>
          <w:szCs w:val="24"/>
        </w:rPr>
        <w:t>par projektu</w:t>
      </w:r>
      <w:r w:rsidR="004660F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Vadības komitejas sēdei</w:t>
      </w:r>
    </w:p>
    <w:p w14:paraId="3C72DCCF" w14:textId="02AD2310" w:rsidR="008C0FAB" w:rsidRPr="008C0FAB" w:rsidRDefault="008A0356" w:rsidP="008C0F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</w:t>
      </w:r>
      <w:r w:rsidR="00AE1CC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AE1CCE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21.</w:t>
      </w: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280"/>
        <w:gridCol w:w="5250"/>
      </w:tblGrid>
      <w:tr w:rsidR="008C0FAB" w:rsidRPr="008C0FAB" w14:paraId="3C72DCD3" w14:textId="77777777" w:rsidTr="005B2C48">
        <w:trPr>
          <w:trHeight w:val="27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DCD0" w14:textId="77777777" w:rsidR="008C0FAB" w:rsidRPr="008C0FAB" w:rsidRDefault="008C0FAB" w:rsidP="008C0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DCD1" w14:textId="77777777" w:rsidR="008C0FAB" w:rsidRPr="008C0FAB" w:rsidRDefault="008C0FAB" w:rsidP="008C0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Sniedzamā informācija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DCD2" w14:textId="77777777" w:rsidR="008C0FAB" w:rsidRPr="008C0FAB" w:rsidRDefault="008C0FAB" w:rsidP="008C0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projektu</w:t>
            </w:r>
          </w:p>
        </w:tc>
      </w:tr>
      <w:tr w:rsidR="008C0FAB" w:rsidRPr="008C0FAB" w14:paraId="3C72DCD8" w14:textId="77777777" w:rsidTr="005B2C48">
        <w:trPr>
          <w:trHeight w:val="6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D4" w14:textId="77777777" w:rsidR="008C0FAB" w:rsidRPr="008C0FAB" w:rsidRDefault="008C0FAB" w:rsidP="008C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D5" w14:textId="77777777" w:rsidR="0073605D" w:rsidRDefault="0073605D" w:rsidP="0073605D">
            <w:pPr>
              <w:tabs>
                <w:tab w:val="left" w:pos="871"/>
                <w:tab w:val="center" w:pos="42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2DCD7" w14:textId="50F95EE8" w:rsidR="0073605D" w:rsidRPr="0073605D" w:rsidRDefault="00DF59DE" w:rsidP="0042503B">
            <w:pPr>
              <w:tabs>
                <w:tab w:val="left" w:pos="871"/>
                <w:tab w:val="center" w:pos="4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Ministru kabineta noteikumu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F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Pr="00DF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Grozījumi Ministru kabineta 20</w:t>
            </w:r>
            <w:r w:rsidR="0042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F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7.ga</w:t>
            </w:r>
            <w:r w:rsidR="005F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</w:t>
            </w:r>
            <w:r w:rsidR="0042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F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2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aprīļa</w:t>
            </w:r>
            <w:r w:rsidR="005F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noteikumos Nr.</w:t>
            </w:r>
            <w:r w:rsidR="0042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</w:t>
            </w:r>
            <w:r w:rsidR="005F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="0042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Noteikumi par dabasgāzes apriti un</w:t>
            </w:r>
            <w:r w:rsidRPr="00DF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akcīzes nodokļa</w:t>
            </w:r>
            <w:r w:rsidR="0042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piemērošanas kārtību</w:t>
            </w:r>
            <w:r w:rsidRPr="00DF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”” </w:t>
            </w:r>
          </w:p>
        </w:tc>
      </w:tr>
      <w:tr w:rsidR="008C0FAB" w:rsidRPr="008C0FAB" w14:paraId="3C72DCDE" w14:textId="77777777" w:rsidTr="005B2C48">
        <w:trPr>
          <w:trHeight w:val="1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D9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DA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DD" w14:textId="78B7F12B" w:rsidR="008C0FAB" w:rsidRPr="008C0FAB" w:rsidRDefault="00DF59DE" w:rsidP="00E1593E">
            <w:pPr>
              <w:tabs>
                <w:tab w:val="left" w:pos="326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9DE">
              <w:rPr>
                <w:rFonts w:ascii="Times New Roman" w:eastAsia="Times New Roman" w:hAnsi="Times New Roman" w:cs="Times New Roman"/>
                <w:sz w:val="24"/>
                <w:szCs w:val="24"/>
              </w:rPr>
              <w:t>Ministru kabineta noteikumu p</w:t>
            </w:r>
            <w:r w:rsidR="005F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rojekts </w:t>
            </w:r>
            <w:r w:rsidR="00CF28A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42503B" w:rsidRPr="00425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Grozījumi Ministru kabineta 2017.gada 4.aprīļa noteikumos Nr.199 “Noteikumi par dabasgāzes apriti un akcīzes nodokļa piemērošanas kārtību”” </w:t>
            </w:r>
            <w:r w:rsidRPr="00DF59DE">
              <w:rPr>
                <w:rFonts w:ascii="Times New Roman" w:eastAsia="Times New Roman" w:hAnsi="Times New Roman" w:cs="Times New Roman"/>
                <w:sz w:val="24"/>
                <w:szCs w:val="24"/>
              </w:rPr>
              <w:t>(turpmāk – noteikumu projekts) ir izstrādāts atbilstoši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likumprojektam “Grozījumi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likum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“Par akcīzes nodokli”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” (Nr.</w:t>
            </w:r>
            <w:r w:rsidR="008A0356">
              <w:rPr>
                <w:rFonts w:ascii="Times New Roman" w:eastAsia="Times New Roman" w:hAnsi="Times New Roman" w:cs="Times New Roman"/>
                <w:sz w:val="24"/>
                <w:szCs w:val="24"/>
              </w:rPr>
              <w:t>1058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/Lp13)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(turpmāk – likumprojekts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likumprojekts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pieņemt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Saeimā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2.lasījumā 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8A035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0F7B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F7B79">
              <w:rPr>
                <w:rFonts w:ascii="Times New Roman" w:eastAsia="Times New Roman" w:hAnsi="Times New Roman" w:cs="Times New Roman"/>
                <w:sz w:val="24"/>
                <w:szCs w:val="24"/>
              </w:rPr>
              <w:t>jūni</w:t>
            </w:r>
            <w:r w:rsidR="00E1593E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r w:rsidR="004660F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C0FAB" w:rsidRPr="008C0FAB" w14:paraId="3C72DCE3" w14:textId="77777777" w:rsidTr="005B2C48">
        <w:trPr>
          <w:trHeight w:val="8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DF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E0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Vadības darba plāna uzdevuma numurs un tā izpildes termiņš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E2" w14:textId="52BAC021" w:rsidR="008C0FAB" w:rsidRPr="008C0FAB" w:rsidRDefault="00DF59DE" w:rsidP="00161C4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Nav.</w:t>
            </w:r>
          </w:p>
        </w:tc>
      </w:tr>
      <w:tr w:rsidR="008C0FAB" w:rsidRPr="008C0FAB" w14:paraId="3C72DCE7" w14:textId="77777777" w:rsidTr="005B2C48">
        <w:trPr>
          <w:trHeight w:val="53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E4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E5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īss saturs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748F" w14:textId="77777777" w:rsidR="00FE6291" w:rsidRDefault="004660F5" w:rsidP="003D2ECD">
            <w:pPr>
              <w:tabs>
                <w:tab w:val="left" w:pos="871"/>
                <w:tab w:val="center" w:pos="42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Atbilstoši</w:t>
            </w:r>
            <w:r w:rsidR="00E159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likumprojektā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159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noteiktajam</w:t>
            </w:r>
            <w:r w:rsidR="000C37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E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noteikumu projektā ir jāparedz, ka atbrīvojumu piemēro dabasgāzei,</w:t>
            </w:r>
            <w:r w:rsidR="00FE6291">
              <w:t xml:space="preserve"> </w:t>
            </w:r>
            <w:r w:rsidR="00FE6291" w:rsidRPr="00FE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 tiek izmantota vienotā dabasgāzes pārvades un uzglabāšanas sistēmā un dabasgāzes sadales sistēmā dabasgāzes pārvades, uzglabāšanas vai sadales sistēmas tehnoloģisko vajadzību nodrošināšanai, neatsaucoties uz sistēmas operatoru</w:t>
            </w:r>
            <w:r w:rsidR="00FE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C72DCE6" w14:textId="6525218D" w:rsidR="008C0FAB" w:rsidRPr="00821A08" w:rsidRDefault="00FE6291" w:rsidP="003D2ECD">
            <w:pPr>
              <w:tabs>
                <w:tab w:val="left" w:pos="871"/>
                <w:tab w:val="center" w:pos="42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Papildus ir nep</w:t>
            </w:r>
            <w:r w:rsidR="00D36C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ciešami tehniski grozījumi attiecībā uz </w:t>
            </w:r>
            <w:r w:rsidR="00D36C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dienu, kad stājas spēkā Lauku atbalsta dienesta lēmums par samazinātās akcīzes nodokļa likmes piemērošanu.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C37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Atbilstoši likumprojektā paredzētajam spēkā stāšanās termiņam arī Ministru kabineta noteikumu projektam ir jāstājas spēkā 202</w:t>
            </w:r>
            <w:r w:rsidR="000F7B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C37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.gada 1.janvārī.</w:t>
            </w:r>
          </w:p>
        </w:tc>
      </w:tr>
      <w:tr w:rsidR="008C0FAB" w:rsidRPr="008C0FAB" w14:paraId="3C72DCEB" w14:textId="77777777" w:rsidTr="005B2C48">
        <w:trPr>
          <w:trHeight w:val="55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E8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E9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EA" w14:textId="5DB6C4C9" w:rsidR="008C0FAB" w:rsidRPr="008C0FAB" w:rsidRDefault="00DC076F" w:rsidP="008C0F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Nav</w:t>
            </w:r>
            <w:r w:rsidR="008C0FAB"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3C72DCEF" w14:textId="77777777" w:rsidTr="005B2C48">
        <w:trPr>
          <w:trHeight w:val="54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EC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ED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EE" w14:textId="06534FC5" w:rsidR="008C0FAB" w:rsidRPr="00A6182E" w:rsidRDefault="00722981" w:rsidP="00722981">
            <w:pPr>
              <w:pStyle w:val="ListParagraph"/>
              <w:spacing w:after="0" w:line="257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S.Āmare-Pilka</w:t>
            </w:r>
            <w:proofErr w:type="spellEnd"/>
            <w:r w:rsidR="008C0FAB" w:rsidRPr="00A618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Netiešo</w:t>
            </w:r>
            <w:r w:rsidR="00A6182E" w:rsidRPr="00A6182E">
              <w:rPr>
                <w:rFonts w:ascii="Times New Roman" w:hAnsi="Times New Roman"/>
                <w:sz w:val="24"/>
                <w:szCs w:val="24"/>
              </w:rPr>
              <w:t xml:space="preserve"> nodokļu departamenta direktore</w:t>
            </w:r>
            <w:r w:rsidR="008C0FAB" w:rsidRPr="00A618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C0FAB" w:rsidRPr="008C0FAB" w14:paraId="3C72DCF3" w14:textId="77777777" w:rsidTr="005B2C48">
        <w:trPr>
          <w:trHeight w:val="55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F0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1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2" w14:textId="2E2C1434" w:rsidR="008C0FAB" w:rsidRPr="008C0FAB" w:rsidRDefault="007350A8" w:rsidP="000C37C4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J.Lukss</w:t>
            </w:r>
            <w:proofErr w:type="spellEnd"/>
            <w:r w:rsidR="008C0FAB"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2981">
              <w:rPr>
                <w:rFonts w:ascii="Times New Roman" w:hAnsi="Times New Roman"/>
                <w:sz w:val="24"/>
                <w:szCs w:val="24"/>
              </w:rPr>
              <w:t>Netiešo</w:t>
            </w:r>
            <w:r w:rsidR="00A6182E" w:rsidRPr="00A6182E">
              <w:rPr>
                <w:rFonts w:ascii="Times New Roman" w:hAnsi="Times New Roman"/>
                <w:sz w:val="24"/>
                <w:szCs w:val="24"/>
              </w:rPr>
              <w:t xml:space="preserve"> nodokļu departamenta </w:t>
            </w:r>
            <w:r w:rsidR="00722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Muitas un akcīzes nodokļa nodaļas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vecākais </w:t>
            </w:r>
            <w:r w:rsidR="000C37C4">
              <w:rPr>
                <w:rFonts w:ascii="Times New Roman" w:eastAsia="Calibri" w:hAnsi="Times New Roman" w:cs="Times New Roman"/>
                <w:sz w:val="24"/>
                <w:szCs w:val="24"/>
              </w:rPr>
              <w:t>eksper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ts</w:t>
            </w:r>
            <w:r w:rsidR="007229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3C72DCF7" w14:textId="77777777" w:rsidTr="005B2C48">
        <w:trPr>
          <w:trHeight w:val="8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F4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5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6" w14:textId="77777777" w:rsidR="008C0FAB" w:rsidRPr="008C0FAB" w:rsidRDefault="008C0FAB" w:rsidP="008C0FA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>Darba grupu veidot nav nepieciešams.</w:t>
            </w:r>
          </w:p>
        </w:tc>
      </w:tr>
      <w:tr w:rsidR="00490352" w:rsidRPr="008C0FAB" w14:paraId="59778999" w14:textId="77777777" w:rsidTr="005B2C48">
        <w:trPr>
          <w:trHeight w:val="4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D90" w14:textId="77777777" w:rsidR="00490352" w:rsidRPr="008C0FAB" w:rsidRDefault="00490352" w:rsidP="00D71585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6D7D" w14:textId="77777777" w:rsidR="00490352" w:rsidRPr="008C0FAB" w:rsidRDefault="00490352" w:rsidP="00D7158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Sabiedrības līdzdalība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1585" w14:textId="77777777" w:rsidR="00490352" w:rsidRPr="008C0FAB" w:rsidRDefault="00490352" w:rsidP="00D7158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Nav nepieciešama</w:t>
            </w:r>
            <w:r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3C72DCFC" w14:textId="77777777" w:rsidTr="005B2C48">
        <w:trPr>
          <w:trHeight w:val="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F8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9" w14:textId="4CC64AD4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Ministrijas struktūrvienības un padotības iestādēm</w:t>
            </w:r>
            <w:r w:rsidR="000C68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kurām projekts jāsaskaņo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A" w14:textId="17851329" w:rsidR="008C0FAB" w:rsidRDefault="00617048" w:rsidP="0098295D">
            <w:pPr>
              <w:pStyle w:val="ListParagraph"/>
              <w:numPr>
                <w:ilvl w:val="0"/>
                <w:numId w:val="3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Juridiskais</w:t>
            </w:r>
            <w:r w:rsidR="008C0FAB" w:rsidRPr="00154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departament</w:t>
            </w:r>
            <w:r w:rsidR="00154122">
              <w:rPr>
                <w:rFonts w:ascii="Times New Roman" w:eastAsia="Calibri" w:hAnsi="Times New Roman" w:cs="Times New Roman"/>
                <w:sz w:val="24"/>
                <w:szCs w:val="24"/>
              </w:rPr>
              <w:t>s;</w:t>
            </w:r>
          </w:p>
          <w:p w14:paraId="3C72DCFB" w14:textId="704AFF38" w:rsidR="00154122" w:rsidRPr="00154122" w:rsidRDefault="00F23753" w:rsidP="0098295D">
            <w:pPr>
              <w:pStyle w:val="ListParagraph"/>
              <w:numPr>
                <w:ilvl w:val="0"/>
                <w:numId w:val="3"/>
              </w:numPr>
              <w:tabs>
                <w:tab w:val="left" w:pos="323"/>
                <w:tab w:val="left" w:pos="6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Valsts ieņēmumu dienests</w:t>
            </w:r>
            <w:r w:rsidR="001541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3C72DD00" w14:textId="77777777" w:rsidTr="005B2C48">
        <w:trPr>
          <w:trHeight w:val="2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CFD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E" w14:textId="799473F5" w:rsidR="008C0FAB" w:rsidRPr="008C0FAB" w:rsidRDefault="00C150F9" w:rsidP="00C150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Nosūtīšanas saskaņošanai termiņš, s</w:t>
            </w:r>
            <w:r w:rsidR="008C0FAB"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askaņošanas termiņš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CFF" w14:textId="02B3EA9E" w:rsidR="008C0FAB" w:rsidRPr="008C0FAB" w:rsidRDefault="00FE6291" w:rsidP="000B381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E2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B38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E2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222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618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7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E2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saskaņošanai paredzētas </w:t>
            </w:r>
            <w:r w:rsidR="00617048"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nedēļas)</w:t>
            </w:r>
          </w:p>
        </w:tc>
      </w:tr>
      <w:tr w:rsidR="008C0FAB" w:rsidRPr="008C0FAB" w14:paraId="3C72DD04" w14:textId="77777777" w:rsidTr="000C37C4">
        <w:trPr>
          <w:trHeight w:val="96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D01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D02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D03" w14:textId="2C3DB6F8" w:rsidR="000C37C4" w:rsidRDefault="008C0FAB" w:rsidP="008C0FA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>Nav.</w:t>
            </w:r>
          </w:p>
          <w:p w14:paraId="56A11575" w14:textId="1D270267" w:rsidR="008C0FAB" w:rsidRPr="000C37C4" w:rsidRDefault="008C0FAB" w:rsidP="000C37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122" w:rsidRPr="008C0FAB" w14:paraId="3C72DD0E" w14:textId="77777777" w:rsidTr="005B2C48">
        <w:trPr>
          <w:trHeight w:val="8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D09" w14:textId="77777777" w:rsidR="00154122" w:rsidRPr="008C0FAB" w:rsidRDefault="00154122" w:rsidP="00154122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D0A" w14:textId="6C5D2205" w:rsidR="00154122" w:rsidRPr="008C0FAB" w:rsidRDefault="00154122" w:rsidP="00C150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Tiesību akta </w:t>
            </w:r>
            <w:r w:rsidR="00C150F9"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ieviešanas</w:t>
            </w: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kalendārais plāns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239B" w14:textId="565A316E" w:rsidR="00C150F9" w:rsidRDefault="00C150F9" w:rsidP="0015412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Noteikumu projekts tiks:</w:t>
            </w:r>
          </w:p>
          <w:p w14:paraId="1B53FAE1" w14:textId="76687835" w:rsidR="00C150F9" w:rsidRDefault="00BE241F" w:rsidP="00154122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izsludināt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s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67054E">
              <w:rPr>
                <w:rFonts w:ascii="Times New Roman" w:eastAsia="Calibri" w:hAnsi="Times New Roman" w:cs="Times New Roman"/>
                <w:sz w:val="24"/>
                <w:szCs w:val="28"/>
              </w:rPr>
              <w:t>TAP portālā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– </w:t>
            </w:r>
            <w:r w:rsidR="00FE629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0B3810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FE629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.20</w:t>
            </w:r>
            <w:r w:rsidR="00FE629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.;</w:t>
            </w:r>
          </w:p>
          <w:p w14:paraId="0A386B67" w14:textId="1C683698" w:rsidR="00BE241F" w:rsidRPr="00C150F9" w:rsidRDefault="00BE241F" w:rsidP="00154122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iesniegt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s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Valsts kancelejā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līdz </w:t>
            </w:r>
            <w:r w:rsidR="00FE6291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0B3810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FE629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.20</w:t>
            </w:r>
            <w:r w:rsidR="00FE629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14:paraId="3C72DD0D" w14:textId="0F0A1A92" w:rsidR="00154122" w:rsidRPr="008C0FAB" w:rsidRDefault="00154122" w:rsidP="0015412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150F9" w:rsidRPr="008C0FAB" w14:paraId="056EC274" w14:textId="77777777" w:rsidTr="00C150F9">
        <w:trPr>
          <w:trHeight w:val="48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022C" w14:textId="77777777" w:rsidR="00C150F9" w:rsidRPr="008C0FAB" w:rsidRDefault="00C150F9" w:rsidP="00154122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107A" w14:textId="3EB119A5" w:rsidR="00C150F9" w:rsidRPr="008C0FAB" w:rsidRDefault="00C150F9" w:rsidP="00C150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Politikas joma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DE88" w14:textId="7FF7B1C4" w:rsidR="00C150F9" w:rsidRDefault="00C150F9" w:rsidP="0015412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Budžeta un finanšu politika.</w:t>
            </w:r>
          </w:p>
        </w:tc>
      </w:tr>
      <w:tr w:rsidR="00154122" w:rsidRPr="008C0FAB" w14:paraId="3C72DD12" w14:textId="77777777" w:rsidTr="005B2C48">
        <w:trPr>
          <w:trHeight w:val="55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D0F" w14:textId="317D0AD0" w:rsidR="00154122" w:rsidRPr="008C0FAB" w:rsidRDefault="00154122" w:rsidP="00154122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D10" w14:textId="77777777" w:rsidR="00154122" w:rsidRPr="008C0FAB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Uzziņas sagatavotājs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DD11" w14:textId="005892B5" w:rsidR="00154122" w:rsidRPr="008C0FAB" w:rsidRDefault="007350A8" w:rsidP="000B38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350A8">
              <w:rPr>
                <w:rFonts w:ascii="Times New Roman" w:eastAsia="Calibri" w:hAnsi="Times New Roman" w:cs="Times New Roman"/>
                <w:sz w:val="24"/>
                <w:szCs w:val="24"/>
              </w:rPr>
              <w:t>J.Lukss</w:t>
            </w:r>
            <w:proofErr w:type="spellEnd"/>
            <w:r w:rsidRPr="00735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Netiešo nodokļu departamenta Muitas un akcīzes nodokļa nodaļas vecākais </w:t>
            </w:r>
            <w:r w:rsidR="000B3810">
              <w:rPr>
                <w:rFonts w:ascii="Times New Roman" w:eastAsia="Calibri" w:hAnsi="Times New Roman" w:cs="Times New Roman"/>
                <w:sz w:val="24"/>
                <w:szCs w:val="24"/>
              </w:rPr>
              <w:t>eksper</w:t>
            </w:r>
            <w:r w:rsidRPr="007350A8">
              <w:rPr>
                <w:rFonts w:ascii="Times New Roman" w:eastAsia="Calibri" w:hAnsi="Times New Roman" w:cs="Times New Roman"/>
                <w:sz w:val="24"/>
                <w:szCs w:val="24"/>
              </w:rPr>
              <w:t>ts</w:t>
            </w:r>
            <w:r w:rsidR="00C15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Tālrunis 67083846, e-pasts: </w:t>
            </w:r>
            <w:hyperlink r:id="rId10" w:history="1">
              <w:r w:rsidR="00C150F9" w:rsidRPr="00295CD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Juris.Lukss@fm.gov.lv</w:t>
              </w:r>
            </w:hyperlink>
            <w:r w:rsidR="00C15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122" w:rsidRPr="008C0FAB" w14:paraId="3C72DD17" w14:textId="77777777" w:rsidTr="005B2C48">
        <w:trPr>
          <w:trHeight w:val="554"/>
        </w:trPr>
        <w:tc>
          <w:tcPr>
            <w:tcW w:w="92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72DD13" w14:textId="77777777" w:rsidR="00154122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2DD14" w14:textId="77777777" w:rsidR="00154122" w:rsidRPr="008C0FAB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Uzziņu iesniedza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I.Šņucins</w:t>
            </w:r>
            <w:proofErr w:type="spellEnd"/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, valsts sekretāra vietnieks nodokļu, muitas un grāmatvedības jautājumos</w:t>
            </w:r>
          </w:p>
          <w:p w14:paraId="3C72DD15" w14:textId="77777777" w:rsidR="00154122" w:rsidRPr="008C0FAB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67095544, e-pasts: </w:t>
            </w:r>
            <w:hyperlink r:id="rId11" w:history="1">
              <w:r w:rsidRPr="008C0F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Ilmars.Snucins@fm.gov.lv</w:t>
              </w:r>
            </w:hyperlink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72DD16" w14:textId="579CA0C4" w:rsidR="00154122" w:rsidRPr="008C0FAB" w:rsidRDefault="00154122" w:rsidP="006456C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Uzziņa iesniegta</w:t>
            </w:r>
            <w:r w:rsidR="002D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629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327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04AE" w:rsidRPr="006327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B38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3270B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FE629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327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72DD18" w14:textId="77777777" w:rsidR="008C0FAB" w:rsidRPr="008C0FAB" w:rsidRDefault="008C0FAB" w:rsidP="00154122">
      <w:pPr>
        <w:tabs>
          <w:tab w:val="left" w:pos="58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3C72DD19" w14:textId="77777777" w:rsidR="00A831A1" w:rsidRDefault="00A831A1"/>
    <w:sectPr w:rsidR="00A831A1" w:rsidSect="005B2C48">
      <w:headerReference w:type="default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DD1C" w14:textId="77777777" w:rsidR="00A85DD8" w:rsidRDefault="00A85DD8">
      <w:pPr>
        <w:spacing w:after="0" w:line="240" w:lineRule="auto"/>
      </w:pPr>
      <w:r>
        <w:separator/>
      </w:r>
    </w:p>
  </w:endnote>
  <w:endnote w:type="continuationSeparator" w:id="0">
    <w:p w14:paraId="3C72DD1D" w14:textId="77777777" w:rsidR="00A85DD8" w:rsidRDefault="00A8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DD20" w14:textId="3591B429" w:rsidR="002A0D92" w:rsidRPr="000C37C4" w:rsidRDefault="000C37C4" w:rsidP="000C37C4">
    <w:pPr>
      <w:jc w:val="both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D36C15">
      <w:rPr>
        <w:rFonts w:ascii="Times New Roman" w:hAnsi="Times New Roman" w:cs="Times New Roman"/>
        <w:noProof/>
        <w:sz w:val="20"/>
        <w:szCs w:val="20"/>
      </w:rPr>
      <w:t>VK_uzzina_04102021_mk_199.docx</w:t>
    </w:r>
    <w:r>
      <w:rPr>
        <w:rFonts w:ascii="Times New Roman" w:hAnsi="Times New Roman" w:cs="Times New Roman"/>
        <w:sz w:val="20"/>
        <w:szCs w:val="20"/>
      </w:rPr>
      <w:fldChar w:fldCharType="end"/>
    </w:r>
    <w:r w:rsidRPr="003F5EFF">
      <w:rPr>
        <w:rFonts w:ascii="Times New Roman" w:hAnsi="Times New Roman" w:cs="Times New Roman"/>
        <w:sz w:val="20"/>
        <w:szCs w:val="20"/>
      </w:rPr>
      <w:t xml:space="preserve">; </w:t>
    </w:r>
    <w:r w:rsidRPr="005B2C48">
      <w:rPr>
        <w:rFonts w:ascii="Times New Roman" w:eastAsia="Calibri" w:hAnsi="Times New Roman" w:cs="Times New Roman"/>
        <w:bCs/>
        <w:sz w:val="20"/>
        <w:szCs w:val="20"/>
      </w:rPr>
      <w:t xml:space="preserve">Ministru kabineta noteikumu projekts </w:t>
    </w:r>
    <w:r w:rsidRPr="000C37C4">
      <w:rPr>
        <w:rFonts w:ascii="Times New Roman" w:eastAsia="Calibri" w:hAnsi="Times New Roman" w:cs="Times New Roman"/>
        <w:bCs/>
        <w:sz w:val="20"/>
        <w:szCs w:val="20"/>
      </w:rPr>
      <w:t>“Grozījumi Ministru kabineta 2017.gada 4.aprīļa noteikumos Nr.199 “Noteikumi par dabasgāzes apriti un akcīzes nodokļa piemērošanas kārtību””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DD22" w14:textId="1260AAA3" w:rsidR="002A0D92" w:rsidRPr="00DE322D" w:rsidRDefault="00D11B8B" w:rsidP="00DE322D">
    <w:pPr>
      <w:jc w:val="both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D36C15">
      <w:rPr>
        <w:rFonts w:ascii="Times New Roman" w:hAnsi="Times New Roman" w:cs="Times New Roman"/>
        <w:noProof/>
        <w:sz w:val="20"/>
        <w:szCs w:val="20"/>
      </w:rPr>
      <w:t>VK_uzzina_04102021_mk_199.docx</w:t>
    </w:r>
    <w:r>
      <w:rPr>
        <w:rFonts w:ascii="Times New Roman" w:hAnsi="Times New Roman" w:cs="Times New Roman"/>
        <w:sz w:val="20"/>
        <w:szCs w:val="20"/>
      </w:rPr>
      <w:fldChar w:fldCharType="end"/>
    </w:r>
    <w:r w:rsidR="001E58E2" w:rsidRPr="003F5EFF">
      <w:rPr>
        <w:rFonts w:ascii="Times New Roman" w:hAnsi="Times New Roman" w:cs="Times New Roman"/>
        <w:sz w:val="20"/>
        <w:szCs w:val="20"/>
      </w:rPr>
      <w:t>;</w:t>
    </w:r>
    <w:r w:rsidR="00821A08" w:rsidRPr="003F5EFF">
      <w:rPr>
        <w:rFonts w:ascii="Times New Roman" w:hAnsi="Times New Roman" w:cs="Times New Roman"/>
        <w:sz w:val="20"/>
        <w:szCs w:val="20"/>
      </w:rPr>
      <w:t xml:space="preserve"> </w:t>
    </w:r>
    <w:r w:rsidR="005B2C48" w:rsidRPr="005B2C48">
      <w:rPr>
        <w:rFonts w:ascii="Times New Roman" w:eastAsia="Calibri" w:hAnsi="Times New Roman" w:cs="Times New Roman"/>
        <w:bCs/>
        <w:sz w:val="20"/>
        <w:szCs w:val="20"/>
      </w:rPr>
      <w:t xml:space="preserve">Ministru kabineta noteikumu projekts </w:t>
    </w:r>
    <w:r w:rsidR="000C37C4" w:rsidRPr="000C37C4">
      <w:rPr>
        <w:rFonts w:ascii="Times New Roman" w:eastAsia="Calibri" w:hAnsi="Times New Roman" w:cs="Times New Roman"/>
        <w:bCs/>
        <w:sz w:val="20"/>
        <w:szCs w:val="20"/>
      </w:rPr>
      <w:t>“Grozījumi Ministru kabineta 2017.gada 4.aprīļa noteikumos Nr.199 “Noteikumi par dabasgāzes apriti un akcīzes nodokļa piemērošanas kārtību””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DD1A" w14:textId="77777777" w:rsidR="00A85DD8" w:rsidRDefault="00A85DD8">
      <w:pPr>
        <w:spacing w:after="0" w:line="240" w:lineRule="auto"/>
      </w:pPr>
      <w:r>
        <w:separator/>
      </w:r>
    </w:p>
  </w:footnote>
  <w:footnote w:type="continuationSeparator" w:id="0">
    <w:p w14:paraId="3C72DD1B" w14:textId="77777777" w:rsidR="00A85DD8" w:rsidRDefault="00A8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8471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72DD1E" w14:textId="6CD99A74" w:rsidR="00D63A52" w:rsidRDefault="008C0FAB">
        <w:pPr>
          <w:pStyle w:val="Header"/>
          <w:jc w:val="center"/>
        </w:pPr>
        <w:r w:rsidRPr="00D63A52">
          <w:rPr>
            <w:sz w:val="22"/>
            <w:szCs w:val="22"/>
          </w:rPr>
          <w:fldChar w:fldCharType="begin"/>
        </w:r>
        <w:r w:rsidRPr="00D63A52">
          <w:rPr>
            <w:sz w:val="22"/>
            <w:szCs w:val="22"/>
          </w:rPr>
          <w:instrText xml:space="preserve"> PAGE   \* MERGEFORMAT </w:instrText>
        </w:r>
        <w:r w:rsidRPr="00D63A52">
          <w:rPr>
            <w:sz w:val="22"/>
            <w:szCs w:val="22"/>
          </w:rPr>
          <w:fldChar w:fldCharType="separate"/>
        </w:r>
        <w:r w:rsidR="00CF28A7">
          <w:rPr>
            <w:noProof/>
            <w:sz w:val="22"/>
            <w:szCs w:val="22"/>
          </w:rPr>
          <w:t>2</w:t>
        </w:r>
        <w:r w:rsidRPr="00D63A52">
          <w:rPr>
            <w:noProof/>
            <w:sz w:val="22"/>
            <w:szCs w:val="22"/>
          </w:rPr>
          <w:fldChar w:fldCharType="end"/>
        </w:r>
      </w:p>
    </w:sdtContent>
  </w:sdt>
  <w:p w14:paraId="3C72DD1F" w14:textId="77777777" w:rsidR="00D63A52" w:rsidRDefault="00670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7C97"/>
    <w:multiLevelType w:val="hybridMultilevel"/>
    <w:tmpl w:val="061CC7D4"/>
    <w:lvl w:ilvl="0" w:tplc="860A98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60E27"/>
    <w:multiLevelType w:val="hybridMultilevel"/>
    <w:tmpl w:val="B8725D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CBC"/>
    <w:multiLevelType w:val="hybridMultilevel"/>
    <w:tmpl w:val="2A8EF792"/>
    <w:lvl w:ilvl="0" w:tplc="5BB24C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AB"/>
    <w:rsid w:val="00016EAE"/>
    <w:rsid w:val="00033EF5"/>
    <w:rsid w:val="00060F1E"/>
    <w:rsid w:val="00064091"/>
    <w:rsid w:val="0007150A"/>
    <w:rsid w:val="000A5D8B"/>
    <w:rsid w:val="000B3810"/>
    <w:rsid w:val="000C37C4"/>
    <w:rsid w:val="000C3C30"/>
    <w:rsid w:val="000C6844"/>
    <w:rsid w:val="000F7B79"/>
    <w:rsid w:val="00154122"/>
    <w:rsid w:val="00161C42"/>
    <w:rsid w:val="001818C6"/>
    <w:rsid w:val="001D75DC"/>
    <w:rsid w:val="001E58E2"/>
    <w:rsid w:val="001E5C2F"/>
    <w:rsid w:val="002120D8"/>
    <w:rsid w:val="002D3FF0"/>
    <w:rsid w:val="002F07E7"/>
    <w:rsid w:val="002F677E"/>
    <w:rsid w:val="00303D5E"/>
    <w:rsid w:val="003141CB"/>
    <w:rsid w:val="003849EA"/>
    <w:rsid w:val="003A455F"/>
    <w:rsid w:val="003D2ECD"/>
    <w:rsid w:val="003F3B45"/>
    <w:rsid w:val="003F574F"/>
    <w:rsid w:val="003F5EFF"/>
    <w:rsid w:val="00420E9E"/>
    <w:rsid w:val="0042503B"/>
    <w:rsid w:val="004660F5"/>
    <w:rsid w:val="00481899"/>
    <w:rsid w:val="00490352"/>
    <w:rsid w:val="004C1CBA"/>
    <w:rsid w:val="005B2C48"/>
    <w:rsid w:val="005C43F7"/>
    <w:rsid w:val="005D2CA6"/>
    <w:rsid w:val="005D31DD"/>
    <w:rsid w:val="005E5AEC"/>
    <w:rsid w:val="005F6DD7"/>
    <w:rsid w:val="00617048"/>
    <w:rsid w:val="00627C0F"/>
    <w:rsid w:val="0063270B"/>
    <w:rsid w:val="00637BEB"/>
    <w:rsid w:val="006456CF"/>
    <w:rsid w:val="00645DFE"/>
    <w:rsid w:val="00660243"/>
    <w:rsid w:val="0067054E"/>
    <w:rsid w:val="006A3B6A"/>
    <w:rsid w:val="00722981"/>
    <w:rsid w:val="007350A8"/>
    <w:rsid w:val="0073605D"/>
    <w:rsid w:val="007504AE"/>
    <w:rsid w:val="00774E13"/>
    <w:rsid w:val="00791FEE"/>
    <w:rsid w:val="007E3857"/>
    <w:rsid w:val="008003BF"/>
    <w:rsid w:val="00817047"/>
    <w:rsid w:val="00821A08"/>
    <w:rsid w:val="00892466"/>
    <w:rsid w:val="008A0356"/>
    <w:rsid w:val="008C0FAB"/>
    <w:rsid w:val="008E02B3"/>
    <w:rsid w:val="00903E0D"/>
    <w:rsid w:val="00926FB7"/>
    <w:rsid w:val="00952F64"/>
    <w:rsid w:val="0098295D"/>
    <w:rsid w:val="009B20DB"/>
    <w:rsid w:val="00A45220"/>
    <w:rsid w:val="00A6182E"/>
    <w:rsid w:val="00A8259B"/>
    <w:rsid w:val="00A831A1"/>
    <w:rsid w:val="00A85DD8"/>
    <w:rsid w:val="00AC1296"/>
    <w:rsid w:val="00AC4874"/>
    <w:rsid w:val="00AC742B"/>
    <w:rsid w:val="00AE1CCE"/>
    <w:rsid w:val="00B16A5A"/>
    <w:rsid w:val="00B60C8C"/>
    <w:rsid w:val="00B8148C"/>
    <w:rsid w:val="00BD6614"/>
    <w:rsid w:val="00BE2391"/>
    <w:rsid w:val="00BE241F"/>
    <w:rsid w:val="00C150F9"/>
    <w:rsid w:val="00C3349A"/>
    <w:rsid w:val="00C519C0"/>
    <w:rsid w:val="00C60F8D"/>
    <w:rsid w:val="00C72B95"/>
    <w:rsid w:val="00C851AE"/>
    <w:rsid w:val="00C87E65"/>
    <w:rsid w:val="00CF28A7"/>
    <w:rsid w:val="00D1078B"/>
    <w:rsid w:val="00D11B8B"/>
    <w:rsid w:val="00D33F3C"/>
    <w:rsid w:val="00D36C15"/>
    <w:rsid w:val="00D418FD"/>
    <w:rsid w:val="00DA0D7D"/>
    <w:rsid w:val="00DC076F"/>
    <w:rsid w:val="00DD2A3B"/>
    <w:rsid w:val="00DE16E8"/>
    <w:rsid w:val="00DE322D"/>
    <w:rsid w:val="00DF35FD"/>
    <w:rsid w:val="00DF59DE"/>
    <w:rsid w:val="00E04DEA"/>
    <w:rsid w:val="00E072D2"/>
    <w:rsid w:val="00E1593E"/>
    <w:rsid w:val="00E77639"/>
    <w:rsid w:val="00EB12FB"/>
    <w:rsid w:val="00EB2943"/>
    <w:rsid w:val="00F04910"/>
    <w:rsid w:val="00F05F38"/>
    <w:rsid w:val="00F1014F"/>
    <w:rsid w:val="00F1766D"/>
    <w:rsid w:val="00F2228C"/>
    <w:rsid w:val="00F23753"/>
    <w:rsid w:val="00F438E5"/>
    <w:rsid w:val="00F7354D"/>
    <w:rsid w:val="00F97A8F"/>
    <w:rsid w:val="00FB0C03"/>
    <w:rsid w:val="00F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72DCCE"/>
  <w15:chartTrackingRefBased/>
  <w15:docId w15:val="{3B529763-5D61-4161-A2FA-EA4CBDF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FA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0FAB"/>
    <w:rPr>
      <w:rFonts w:ascii="Times New Roman" w:eastAsia="Calibri" w:hAnsi="Times New Roman" w:cs="Times New Roman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0FA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C0FAB"/>
    <w:rPr>
      <w:rFonts w:ascii="Times New Roman" w:eastAsia="Calibri" w:hAnsi="Times New Roman" w:cs="Times New Roman"/>
      <w:sz w:val="28"/>
      <w:szCs w:val="28"/>
      <w:lang w:val="en-GB"/>
    </w:rPr>
  </w:style>
  <w:style w:type="paragraph" w:customStyle="1" w:styleId="naisf">
    <w:name w:val="naisf"/>
    <w:basedOn w:val="Normal"/>
    <w:rsid w:val="00627C0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61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5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443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5961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9653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lmars.Snucins@fm.gov.l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uris.Lukss@f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CD614D1D535A345BF84177943EA5F61" ma:contentTypeVersion="4" ma:contentTypeDescription="Izveidot jaunu dokumentu." ma:contentTypeScope="" ma:versionID="d945253a0cf58735a94557c0d2f1943c">
  <xsd:schema xmlns:xsd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18f21e33113b2564aed5538c74475051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0a44d4-cc3b-414c-aa68-884178465e3a" elementFormDefault="qualified">
    <xsd:import namespace="http://schemas.microsoft.com/office/2006/documentManagement/type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dms="http://schemas.microsoft.com/office/2006/documentManagement/types" targetNamespace="076bee50-7a25-411a-a5a6-8097026bde27" elementFormDefault="qualified">
    <xsd:import namespace="http://schemas.microsoft.com/office/2006/documentManagement/type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Zinotajs xmlns="076bee50-7a25-411a-a5a6-8097026bde27">S.Āmare-Pilka</Zinotajs>
    <NPK xmlns="bf0a44d4-cc3b-414c-aa68-884178465e3a" xsi:nil="true"/>
    <VK_x0020_l_x0113_mums xmlns="bf0a44d4-cc3b-414c-aa68-884178465e3a">Nav</VK_x0020_l_x0113_mum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1C044-D0F9-477B-848F-D2A44103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8953577-11A0-46E1-99FF-35DE0B4915B7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bf0a44d4-cc3b-414c-aa68-884178465e3a"/>
    <ds:schemaRef ds:uri="http://schemas.openxmlformats.org/package/2006/metadata/core-properties"/>
    <ds:schemaRef ds:uri="076bee50-7a25-411a-a5a6-8097026bde27"/>
  </ds:schemaRefs>
</ds:datastoreItem>
</file>

<file path=customXml/itemProps3.xml><?xml version="1.0" encoding="utf-8"?>
<ds:datastoreItem xmlns:ds="http://schemas.openxmlformats.org/officeDocument/2006/customXml" ds:itemID="{5B2B7D30-08BA-4345-B6C9-43721A8F2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1833</Words>
  <Characters>1045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Ministru kabineta noteikumu projektu “VK_uzzina_160919_mk_199.docx; Ministru kabineta noteikumu projekts “Grozījumi Ministru kabineta 2017.gada 4.aprīļa noteikumos Nr.199 “Noteikumi par dabasgāzes apriti un akcīzes nodokļa piemērošanas kārtību”</vt:lpstr>
    </vt:vector>
  </TitlesOfParts>
  <Manager>G.Pužule</Manager>
  <Company>FM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Ministru kabineta noteikumu projektu “VK_uzzina_160919_mk_199.docx; Ministru kabineta noteikumu projekts “Grozījumi Ministru kabineta 2017.gada 4.aprīļa noteikumos Nr.199 “Noteikumi par dabasgāzes apriti un akcīzes nodokļa piemērošanas kārtību””</dc:title>
  <dc:subject/>
  <dc:creator>juris.lukss@fm.gov.lv</dc:creator>
  <cp:keywords/>
  <dc:description>Juris.Lukss@fm.gov.lv T.67083846</dc:description>
  <cp:lastModifiedBy>Inguna Dancīte</cp:lastModifiedBy>
  <cp:revision>2</cp:revision>
  <cp:lastPrinted>2019-09-12T10:40:00Z</cp:lastPrinted>
  <dcterms:created xsi:type="dcterms:W3CDTF">2021-10-01T05:57:00Z</dcterms:created>
  <dcterms:modified xsi:type="dcterms:W3CDTF">2021-10-01T05:57:00Z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0x010100DCD614D1D535A345BF84177943EA5F61</vt:lpwstr>
  </property>
</Properties>
</file>