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0B" w:rsidRPr="00D24529" w:rsidRDefault="008C0E0B" w:rsidP="00FA5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29">
        <w:rPr>
          <w:rFonts w:ascii="Times New Roman" w:hAnsi="Times New Roman" w:cs="Times New Roman"/>
          <w:b/>
          <w:sz w:val="28"/>
          <w:szCs w:val="28"/>
        </w:rPr>
        <w:t>Kustamās mantas (t.sk. automašīnu) atsavināšanas process</w:t>
      </w:r>
    </w:p>
    <w:p w:rsidR="00545520" w:rsidRPr="00D24529" w:rsidRDefault="00545520" w:rsidP="008C0E0B">
      <w:pPr>
        <w:rPr>
          <w:rFonts w:ascii="Times New Roman" w:hAnsi="Times New Roman" w:cs="Times New Roman"/>
          <w:b/>
          <w:sz w:val="28"/>
          <w:szCs w:val="28"/>
        </w:rPr>
      </w:pPr>
    </w:p>
    <w:p w:rsidR="00D24529" w:rsidRDefault="008C0E0B" w:rsidP="00777AE8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528851399"/>
      <w:r w:rsidRPr="00D24529">
        <w:rPr>
          <w:rFonts w:ascii="Times New Roman" w:hAnsi="Times New Roman" w:cs="Times New Roman"/>
          <w:sz w:val="28"/>
          <w:szCs w:val="28"/>
        </w:rPr>
        <w:t>Pašreiz atsavināšana noris šādos etapos</w:t>
      </w:r>
      <w:r w:rsidR="00FA5244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D24529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D24529" w:rsidRDefault="00515C2C" w:rsidP="00FA5244">
      <w:pPr>
        <w:pStyle w:val="ListParagraph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4529">
        <w:rPr>
          <w:rFonts w:ascii="Times New Roman" w:hAnsi="Times New Roman" w:cs="Times New Roman"/>
          <w:sz w:val="28"/>
          <w:szCs w:val="28"/>
          <w:u w:val="single"/>
        </w:rPr>
        <w:t xml:space="preserve">publicē </w:t>
      </w:r>
      <w:r w:rsidR="00FF452D" w:rsidRPr="00D24529">
        <w:rPr>
          <w:rFonts w:ascii="Times New Roman" w:hAnsi="Times New Roman" w:cs="Times New Roman"/>
          <w:sz w:val="28"/>
          <w:szCs w:val="28"/>
          <w:u w:val="single"/>
        </w:rPr>
        <w:t xml:space="preserve">VNĪ </w:t>
      </w:r>
      <w:r w:rsidRPr="00D24529">
        <w:rPr>
          <w:rFonts w:ascii="Times New Roman" w:hAnsi="Times New Roman" w:cs="Times New Roman"/>
          <w:sz w:val="28"/>
          <w:szCs w:val="28"/>
          <w:u w:val="single"/>
        </w:rPr>
        <w:t>mājaslapā</w:t>
      </w:r>
      <w:r w:rsidRPr="00D24529">
        <w:rPr>
          <w:rFonts w:ascii="Times New Roman" w:hAnsi="Times New Roman" w:cs="Times New Roman"/>
          <w:sz w:val="28"/>
          <w:szCs w:val="28"/>
        </w:rPr>
        <w:t xml:space="preserve"> informāciju par nevajadzīgo valsts kustamo man</w:t>
      </w:r>
      <w:r w:rsidR="00975CE7" w:rsidRPr="00D24529">
        <w:rPr>
          <w:rFonts w:ascii="Times New Roman" w:hAnsi="Times New Roman" w:cs="Times New Roman"/>
          <w:sz w:val="28"/>
          <w:szCs w:val="28"/>
        </w:rPr>
        <w:t xml:space="preserve">tu. </w:t>
      </w:r>
      <w:r w:rsidR="00FF452D" w:rsidRPr="00D24529">
        <w:rPr>
          <w:rFonts w:ascii="Times New Roman" w:hAnsi="Times New Roman" w:cs="Times New Roman"/>
          <w:sz w:val="28"/>
          <w:szCs w:val="28"/>
        </w:rPr>
        <w:t>Divu</w:t>
      </w:r>
      <w:r w:rsidR="00975CE7" w:rsidRPr="00D24529">
        <w:rPr>
          <w:rFonts w:ascii="Times New Roman" w:hAnsi="Times New Roman" w:cs="Times New Roman"/>
          <w:sz w:val="28"/>
          <w:szCs w:val="28"/>
        </w:rPr>
        <w:t xml:space="preserve"> nedēļu laikā pēc informācijas publicēšanas uz kustamo mantu</w:t>
      </w:r>
      <w:r w:rsidR="00FF452D" w:rsidRPr="00D24529">
        <w:rPr>
          <w:rFonts w:ascii="Times New Roman" w:hAnsi="Times New Roman" w:cs="Times New Roman"/>
          <w:sz w:val="28"/>
          <w:szCs w:val="28"/>
        </w:rPr>
        <w:t xml:space="preserve"> var pieteikties valsts iestādes, atvasinātas publiskas personas, to iestādes, sabiedriskā labuma organizācijas un sociālie uzņēmumi;</w:t>
      </w:r>
    </w:p>
    <w:p w:rsidR="00D24529" w:rsidRDefault="00975CE7" w:rsidP="00FA5244">
      <w:pPr>
        <w:pStyle w:val="ListParagraph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4529">
        <w:rPr>
          <w:rFonts w:ascii="Times New Roman" w:hAnsi="Times New Roman" w:cs="Times New Roman"/>
          <w:sz w:val="28"/>
          <w:szCs w:val="28"/>
          <w:u w:val="single"/>
        </w:rPr>
        <w:t>informāciju var nepublicēt</w:t>
      </w:r>
      <w:r w:rsidRPr="00D24529">
        <w:rPr>
          <w:rFonts w:ascii="Times New Roman" w:hAnsi="Times New Roman" w:cs="Times New Roman"/>
          <w:sz w:val="28"/>
          <w:szCs w:val="28"/>
        </w:rPr>
        <w:t xml:space="preserve">, ja jau </w:t>
      </w:r>
      <w:r w:rsidR="00FF452D" w:rsidRPr="00D24529">
        <w:rPr>
          <w:rFonts w:ascii="Times New Roman" w:hAnsi="Times New Roman" w:cs="Times New Roman"/>
          <w:sz w:val="28"/>
          <w:szCs w:val="28"/>
        </w:rPr>
        <w:t>iekšējā komunikācijā noskaidrots</w:t>
      </w:r>
      <w:r w:rsidRPr="00D24529">
        <w:rPr>
          <w:rFonts w:ascii="Times New Roman" w:hAnsi="Times New Roman" w:cs="Times New Roman"/>
          <w:sz w:val="28"/>
          <w:szCs w:val="28"/>
        </w:rPr>
        <w:t xml:space="preserve">, kurai iestādei attiecīgā kustamā manta </w:t>
      </w:r>
      <w:r w:rsidR="00FF452D" w:rsidRPr="00D24529">
        <w:rPr>
          <w:rFonts w:ascii="Times New Roman" w:hAnsi="Times New Roman" w:cs="Times New Roman"/>
          <w:sz w:val="28"/>
          <w:szCs w:val="28"/>
        </w:rPr>
        <w:t>ir vajadzīga;</w:t>
      </w:r>
    </w:p>
    <w:p w:rsidR="00D24529" w:rsidRDefault="00FF452D" w:rsidP="00FA5244">
      <w:pPr>
        <w:pStyle w:val="ListParagraph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4529">
        <w:rPr>
          <w:rFonts w:ascii="Times New Roman" w:hAnsi="Times New Roman" w:cs="Times New Roman"/>
          <w:sz w:val="28"/>
          <w:szCs w:val="28"/>
        </w:rPr>
        <w:t>t</w:t>
      </w:r>
      <w:r w:rsidR="00FC4EC3" w:rsidRPr="00D24529">
        <w:rPr>
          <w:rFonts w:ascii="Times New Roman" w:hAnsi="Times New Roman" w:cs="Times New Roman"/>
          <w:sz w:val="28"/>
          <w:szCs w:val="28"/>
        </w:rPr>
        <w:t xml:space="preserve">iek sagatavots pieņemšanas-nodošanas akts, ja atsavināšana notiek </w:t>
      </w:r>
      <w:r w:rsidRPr="00D24529">
        <w:rPr>
          <w:rFonts w:ascii="Times New Roman" w:hAnsi="Times New Roman" w:cs="Times New Roman"/>
          <w:sz w:val="28"/>
          <w:szCs w:val="28"/>
        </w:rPr>
        <w:t>viena resora ietvaros.</w:t>
      </w:r>
      <w:r w:rsidR="00FC4EC3" w:rsidRPr="00D24529">
        <w:rPr>
          <w:rFonts w:ascii="Times New Roman" w:hAnsi="Times New Roman" w:cs="Times New Roman"/>
          <w:sz w:val="28"/>
          <w:szCs w:val="28"/>
        </w:rPr>
        <w:t xml:space="preserve"> </w:t>
      </w:r>
      <w:r w:rsidRPr="00D24529">
        <w:rPr>
          <w:rFonts w:ascii="Times New Roman" w:hAnsi="Times New Roman" w:cs="Times New Roman"/>
          <w:sz w:val="28"/>
          <w:szCs w:val="28"/>
        </w:rPr>
        <w:t xml:space="preserve">Ja atsavina citai valsts iestādei, atkarībā no mantas bilances vērtības sagatavo </w:t>
      </w:r>
      <w:r w:rsidR="00FC4EC3" w:rsidRPr="00D24529">
        <w:rPr>
          <w:rFonts w:ascii="Times New Roman" w:hAnsi="Times New Roman" w:cs="Times New Roman"/>
          <w:sz w:val="28"/>
          <w:szCs w:val="28"/>
        </w:rPr>
        <w:t>min</w:t>
      </w:r>
      <w:r w:rsidRPr="00D24529">
        <w:rPr>
          <w:rFonts w:ascii="Times New Roman" w:hAnsi="Times New Roman" w:cs="Times New Roman"/>
          <w:sz w:val="28"/>
          <w:szCs w:val="28"/>
        </w:rPr>
        <w:t>istrijas vai ministra rīkojumu;</w:t>
      </w:r>
    </w:p>
    <w:p w:rsidR="00D24529" w:rsidRDefault="00515C2C" w:rsidP="00FA5244">
      <w:pPr>
        <w:pStyle w:val="ListParagraph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4529">
        <w:rPr>
          <w:rFonts w:ascii="Times New Roman" w:hAnsi="Times New Roman" w:cs="Times New Roman"/>
          <w:sz w:val="28"/>
          <w:szCs w:val="28"/>
        </w:rPr>
        <w:t>ja uz nevajadzīgo valsts kustamo mantu nav pieteikusies neviena</w:t>
      </w:r>
      <w:r w:rsidR="00FC4EC3" w:rsidRPr="00D24529">
        <w:rPr>
          <w:rFonts w:ascii="Times New Roman" w:hAnsi="Times New Roman" w:cs="Times New Roman"/>
          <w:sz w:val="28"/>
          <w:szCs w:val="28"/>
        </w:rPr>
        <w:t xml:space="preserve"> valsts iestāde vai</w:t>
      </w:r>
      <w:r w:rsidRPr="00D24529">
        <w:rPr>
          <w:rFonts w:ascii="Times New Roman" w:hAnsi="Times New Roman" w:cs="Times New Roman"/>
          <w:sz w:val="28"/>
          <w:szCs w:val="28"/>
        </w:rPr>
        <w:t xml:space="preserve"> atvasināta publiska persona vai tās iestāde, to, izvērtējot lietderības apsvērumus, </w:t>
      </w:r>
      <w:r w:rsidRPr="00D24529">
        <w:rPr>
          <w:rFonts w:ascii="Times New Roman" w:hAnsi="Times New Roman" w:cs="Times New Roman"/>
          <w:sz w:val="28"/>
          <w:szCs w:val="28"/>
          <w:u w:val="single"/>
        </w:rPr>
        <w:t>var nodot sabiedriskā labuma organizācijai vai sociālajam uzņēmumam</w:t>
      </w:r>
      <w:r w:rsidR="00CF4A88" w:rsidRPr="00D24529">
        <w:rPr>
          <w:rFonts w:ascii="Times New Roman" w:hAnsi="Times New Roman" w:cs="Times New Roman"/>
          <w:sz w:val="28"/>
          <w:szCs w:val="28"/>
        </w:rPr>
        <w:t xml:space="preserve"> </w:t>
      </w:r>
      <w:r w:rsidRPr="00D24529">
        <w:rPr>
          <w:rFonts w:ascii="Times New Roman" w:hAnsi="Times New Roman" w:cs="Times New Roman"/>
          <w:sz w:val="28"/>
          <w:szCs w:val="28"/>
        </w:rPr>
        <w:t>tiem noteikto mērķu sasniegšanai</w:t>
      </w:r>
      <w:r w:rsidR="00FC4EC3" w:rsidRPr="00D24529">
        <w:rPr>
          <w:rFonts w:ascii="Times New Roman" w:hAnsi="Times New Roman" w:cs="Times New Roman"/>
          <w:sz w:val="28"/>
          <w:szCs w:val="28"/>
        </w:rPr>
        <w:t xml:space="preserve"> (dāvinājums)</w:t>
      </w:r>
      <w:r w:rsidRPr="00D24529">
        <w:rPr>
          <w:rFonts w:ascii="Times New Roman" w:hAnsi="Times New Roman" w:cs="Times New Roman"/>
          <w:sz w:val="28"/>
          <w:szCs w:val="28"/>
        </w:rPr>
        <w:t>;</w:t>
      </w:r>
    </w:p>
    <w:p w:rsidR="00D24529" w:rsidRPr="003A781A" w:rsidRDefault="00FF452D" w:rsidP="00FA5244">
      <w:pPr>
        <w:pStyle w:val="ListParagraph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4529">
        <w:rPr>
          <w:rFonts w:ascii="Times New Roman" w:hAnsi="Times New Roman" w:cs="Times New Roman"/>
          <w:sz w:val="28"/>
          <w:szCs w:val="28"/>
        </w:rPr>
        <w:t>ja neīstenojas neviens no iepriekš minētajiem punktiem,  var veikt arī maiņu</w:t>
      </w:r>
      <w:r w:rsidR="00515C2C" w:rsidRPr="00D24529">
        <w:rPr>
          <w:rFonts w:ascii="Times New Roman" w:hAnsi="Times New Roman" w:cs="Times New Roman"/>
          <w:sz w:val="28"/>
          <w:szCs w:val="28"/>
        </w:rPr>
        <w:t xml:space="preserve"> </w:t>
      </w:r>
      <w:r w:rsidRPr="00D24529">
        <w:rPr>
          <w:rFonts w:ascii="Times New Roman" w:hAnsi="Times New Roman" w:cs="Times New Roman"/>
          <w:sz w:val="28"/>
          <w:szCs w:val="28"/>
        </w:rPr>
        <w:t>vai izsoli atbilstoši normatīvajos aktos noteiktajai procedūrai (izsole – aptuveni vienā mēneša l</w:t>
      </w:r>
      <w:r w:rsidR="00777AE8">
        <w:rPr>
          <w:rFonts w:ascii="Times New Roman" w:hAnsi="Times New Roman" w:cs="Times New Roman"/>
          <w:sz w:val="28"/>
          <w:szCs w:val="28"/>
        </w:rPr>
        <w:t xml:space="preserve">aikā, ja ir pieteicies pircējs). </w:t>
      </w:r>
      <w:r w:rsidR="00777AE8" w:rsidRPr="003A781A">
        <w:rPr>
          <w:rFonts w:ascii="Times New Roman" w:hAnsi="Times New Roman" w:cs="Times New Roman"/>
          <w:sz w:val="28"/>
          <w:szCs w:val="28"/>
        </w:rPr>
        <w:t xml:space="preserve">Ja kustamā manta bija sākotnēji iegādāta par valsts budžeta dotācijas līdzekļiem, tad ieņēmumus no kustāmas mantas pārdošanas </w:t>
      </w:r>
      <w:r w:rsidR="00A93F01" w:rsidRPr="003A781A">
        <w:rPr>
          <w:rFonts w:ascii="Times New Roman" w:hAnsi="Times New Roman" w:cs="Times New Roman"/>
          <w:sz w:val="28"/>
          <w:szCs w:val="28"/>
        </w:rPr>
        <w:t>(pēc atsavināšanas izdevumu segšanas) ieskaita valsts budžetā.</w:t>
      </w:r>
    </w:p>
    <w:p w:rsidR="00515C2C" w:rsidRDefault="00FD305D" w:rsidP="00FD305D">
      <w:pPr>
        <w:pStyle w:val="ListParagraph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05D">
        <w:rPr>
          <w:rFonts w:ascii="Times New Roman" w:hAnsi="Times New Roman" w:cs="Times New Roman"/>
          <w:sz w:val="28"/>
          <w:szCs w:val="28"/>
        </w:rPr>
        <w:t>ja neīstenojas neviens no</w:t>
      </w:r>
      <w:r>
        <w:rPr>
          <w:rFonts w:ascii="Times New Roman" w:hAnsi="Times New Roman" w:cs="Times New Roman"/>
          <w:sz w:val="28"/>
          <w:szCs w:val="28"/>
        </w:rPr>
        <w:t xml:space="preserve"> iepriekš minētajiem punktiem un nav iespējama maiņa</w:t>
      </w:r>
      <w:r w:rsidRPr="00FD3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vai izsole, vai ja </w:t>
      </w:r>
      <w:r w:rsidR="00FC4EC3" w:rsidRPr="00FD305D">
        <w:rPr>
          <w:rFonts w:ascii="Times New Roman" w:hAnsi="Times New Roman" w:cs="Times New Roman"/>
          <w:sz w:val="28"/>
          <w:szCs w:val="28"/>
        </w:rPr>
        <w:t>kustamā manta ir kļuvusi nevērtīga va</w:t>
      </w:r>
      <w:r>
        <w:rPr>
          <w:rFonts w:ascii="Times New Roman" w:hAnsi="Times New Roman" w:cs="Times New Roman"/>
          <w:sz w:val="28"/>
          <w:szCs w:val="28"/>
        </w:rPr>
        <w:t>i nelietojama (</w:t>
      </w:r>
      <w:r w:rsidR="00FF452D" w:rsidRPr="00FD305D">
        <w:rPr>
          <w:rFonts w:ascii="Times New Roman" w:hAnsi="Times New Roman" w:cs="Times New Roman"/>
          <w:sz w:val="28"/>
          <w:szCs w:val="28"/>
        </w:rPr>
        <w:t>pamatojoties uz sertificēta speciālista atzinumu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D305D">
        <w:rPr>
          <w:rFonts w:ascii="Times New Roman" w:hAnsi="Times New Roman" w:cs="Times New Roman"/>
          <w:sz w:val="28"/>
          <w:szCs w:val="28"/>
        </w:rPr>
        <w:t xml:space="preserve"> veic utilizāciju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AE8" w:rsidRPr="00FD305D" w:rsidRDefault="00777AE8" w:rsidP="00777AE8">
      <w:pPr>
        <w:pStyle w:val="ListParagraph"/>
        <w:spacing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5CE7" w:rsidRPr="00D24529" w:rsidRDefault="00FF452D" w:rsidP="00FA5244">
      <w:pPr>
        <w:pStyle w:val="ListParagraph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4529">
        <w:rPr>
          <w:rFonts w:ascii="Times New Roman" w:hAnsi="Times New Roman" w:cs="Times New Roman"/>
          <w:sz w:val="28"/>
          <w:szCs w:val="28"/>
        </w:rPr>
        <w:t>K</w:t>
      </w:r>
      <w:r w:rsidR="00545520" w:rsidRPr="00D24529">
        <w:rPr>
          <w:rFonts w:ascii="Times New Roman" w:hAnsi="Times New Roman" w:cs="Times New Roman"/>
          <w:sz w:val="28"/>
          <w:szCs w:val="28"/>
        </w:rPr>
        <w:t>ustamas</w:t>
      </w:r>
      <w:r w:rsidRPr="00D24529">
        <w:rPr>
          <w:rFonts w:ascii="Times New Roman" w:hAnsi="Times New Roman" w:cs="Times New Roman"/>
          <w:sz w:val="28"/>
          <w:szCs w:val="28"/>
        </w:rPr>
        <w:t xml:space="preserve"> mantas atsavināšanas process ir uzlabots, veicot grozījumus</w:t>
      </w:r>
      <w:r w:rsidR="00CE5D94" w:rsidRPr="00D24529">
        <w:rPr>
          <w:rFonts w:ascii="Times New Roman" w:hAnsi="Times New Roman" w:cs="Times New Roman"/>
          <w:sz w:val="28"/>
          <w:szCs w:val="28"/>
        </w:rPr>
        <w:t xml:space="preserve"> </w:t>
      </w:r>
      <w:r w:rsidR="00975CE7" w:rsidRPr="00D24529">
        <w:rPr>
          <w:rFonts w:ascii="Times New Roman" w:hAnsi="Times New Roman" w:cs="Times New Roman"/>
          <w:sz w:val="28"/>
          <w:szCs w:val="28"/>
        </w:rPr>
        <w:t>norma</w:t>
      </w:r>
      <w:r w:rsidRPr="00D24529">
        <w:rPr>
          <w:rFonts w:ascii="Times New Roman" w:hAnsi="Times New Roman" w:cs="Times New Roman"/>
          <w:sz w:val="28"/>
          <w:szCs w:val="28"/>
        </w:rPr>
        <w:t>tīvajos aktos</w:t>
      </w:r>
      <w:r w:rsidR="00975CE7" w:rsidRPr="00D24529">
        <w:rPr>
          <w:rFonts w:ascii="Times New Roman" w:hAnsi="Times New Roman" w:cs="Times New Roman"/>
          <w:sz w:val="28"/>
          <w:szCs w:val="28"/>
        </w:rPr>
        <w:t>:</w:t>
      </w:r>
    </w:p>
    <w:p w:rsidR="002F0CB4" w:rsidRPr="00FD305D" w:rsidRDefault="00975CE7" w:rsidP="00FA5244">
      <w:pPr>
        <w:pStyle w:val="ListParagraph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05D">
        <w:rPr>
          <w:rFonts w:ascii="Times New Roman" w:hAnsi="Times New Roman" w:cs="Times New Roman"/>
          <w:sz w:val="28"/>
          <w:szCs w:val="28"/>
        </w:rPr>
        <w:t xml:space="preserve">kopš 2011.g. vairs </w:t>
      </w:r>
      <w:r w:rsidRPr="00FD305D">
        <w:rPr>
          <w:rFonts w:ascii="Times New Roman" w:hAnsi="Times New Roman" w:cs="Times New Roman"/>
          <w:b/>
          <w:sz w:val="28"/>
          <w:szCs w:val="28"/>
        </w:rPr>
        <w:t>nav jāgatavo informatīvais ziņojums</w:t>
      </w:r>
      <w:r w:rsidRPr="00FD305D">
        <w:rPr>
          <w:rFonts w:ascii="Times New Roman" w:hAnsi="Times New Roman" w:cs="Times New Roman"/>
          <w:sz w:val="28"/>
          <w:szCs w:val="28"/>
        </w:rPr>
        <w:t xml:space="preserve"> uz VSS, </w:t>
      </w:r>
      <w:r w:rsidR="00FC4EC3" w:rsidRPr="00FD305D">
        <w:rPr>
          <w:rFonts w:ascii="Times New Roman" w:hAnsi="Times New Roman" w:cs="Times New Roman"/>
          <w:sz w:val="28"/>
          <w:szCs w:val="28"/>
        </w:rPr>
        <w:t>bet</w:t>
      </w:r>
      <w:r w:rsidRPr="00FD305D">
        <w:rPr>
          <w:rFonts w:ascii="Times New Roman" w:hAnsi="Times New Roman" w:cs="Times New Roman"/>
          <w:sz w:val="28"/>
          <w:szCs w:val="28"/>
        </w:rPr>
        <w:t xml:space="preserve"> noteikts, ka informāciju ievada VNĪ mājas lapā;</w:t>
      </w:r>
    </w:p>
    <w:p w:rsidR="00FF452D" w:rsidRPr="00D24529" w:rsidRDefault="00975CE7" w:rsidP="00FA5244">
      <w:pPr>
        <w:pStyle w:val="ListParagraph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4529">
        <w:rPr>
          <w:rFonts w:ascii="Times New Roman" w:hAnsi="Times New Roman" w:cs="Times New Roman"/>
          <w:sz w:val="28"/>
          <w:szCs w:val="28"/>
        </w:rPr>
        <w:t>p</w:t>
      </w:r>
      <w:r w:rsidR="003F228F" w:rsidRPr="00D24529">
        <w:rPr>
          <w:rFonts w:ascii="Times New Roman" w:hAnsi="Times New Roman" w:cs="Times New Roman"/>
          <w:sz w:val="28"/>
          <w:szCs w:val="28"/>
        </w:rPr>
        <w:t xml:space="preserve">ēdējie grozījumi </w:t>
      </w:r>
      <w:r w:rsidRPr="00D24529">
        <w:rPr>
          <w:rFonts w:ascii="Times New Roman" w:hAnsi="Times New Roman" w:cs="Times New Roman"/>
          <w:sz w:val="28"/>
          <w:szCs w:val="28"/>
        </w:rPr>
        <w:t>2018.g.</w:t>
      </w:r>
      <w:r w:rsidR="004C1242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2A3C92">
        <w:rPr>
          <w:rFonts w:ascii="Times New Roman" w:hAnsi="Times New Roman" w:cs="Times New Roman"/>
          <w:sz w:val="28"/>
          <w:szCs w:val="28"/>
        </w:rPr>
        <w:t xml:space="preserve"> </w:t>
      </w:r>
      <w:r w:rsidR="003F228F" w:rsidRPr="00D24529">
        <w:rPr>
          <w:rFonts w:ascii="Times New Roman" w:hAnsi="Times New Roman" w:cs="Times New Roman"/>
          <w:sz w:val="28"/>
          <w:szCs w:val="28"/>
        </w:rPr>
        <w:t xml:space="preserve">precizē </w:t>
      </w:r>
      <w:r w:rsidR="002F0CB4" w:rsidRPr="00D24529">
        <w:rPr>
          <w:rFonts w:ascii="Times New Roman" w:hAnsi="Times New Roman" w:cs="Times New Roman"/>
          <w:sz w:val="28"/>
          <w:szCs w:val="28"/>
        </w:rPr>
        <w:t>kārtību</w:t>
      </w:r>
      <w:r w:rsidR="003F228F" w:rsidRPr="00D24529">
        <w:rPr>
          <w:rFonts w:ascii="Times New Roman" w:hAnsi="Times New Roman" w:cs="Times New Roman"/>
          <w:sz w:val="28"/>
          <w:szCs w:val="28"/>
        </w:rPr>
        <w:t>,</w:t>
      </w:r>
      <w:r w:rsidR="002F0CB4" w:rsidRPr="00D24529">
        <w:rPr>
          <w:rFonts w:ascii="Times New Roman" w:hAnsi="Times New Roman" w:cs="Times New Roman"/>
          <w:sz w:val="28"/>
          <w:szCs w:val="28"/>
        </w:rPr>
        <w:t xml:space="preserve"> kā iestādes nosaka vajadzību pēc kustamās mantas</w:t>
      </w:r>
      <w:r w:rsidR="003F228F" w:rsidRPr="00D24529">
        <w:rPr>
          <w:rFonts w:ascii="Times New Roman" w:hAnsi="Times New Roman" w:cs="Times New Roman"/>
          <w:sz w:val="28"/>
          <w:szCs w:val="28"/>
        </w:rPr>
        <w:t xml:space="preserve"> </w:t>
      </w:r>
      <w:r w:rsidR="00FF452D" w:rsidRPr="00D24529">
        <w:rPr>
          <w:rFonts w:ascii="Times New Roman" w:hAnsi="Times New Roman" w:cs="Times New Roman"/>
          <w:sz w:val="28"/>
          <w:szCs w:val="28"/>
        </w:rPr>
        <w:t xml:space="preserve">un precizē kārtību, ka informāciju publicē VNĪ mājaslapā </w:t>
      </w:r>
      <w:r w:rsidR="00FF452D" w:rsidRPr="00FD305D">
        <w:rPr>
          <w:rFonts w:ascii="Times New Roman" w:hAnsi="Times New Roman" w:cs="Times New Roman"/>
          <w:b/>
          <w:sz w:val="28"/>
          <w:szCs w:val="28"/>
        </w:rPr>
        <w:t>bez nepieciešamības sūtīt oficiālu vēstuli.</w:t>
      </w:r>
    </w:p>
    <w:sectPr w:rsidR="00FF452D" w:rsidRPr="00D24529" w:rsidSect="00595D9C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37" w:rsidRDefault="004E0237" w:rsidP="008E35DC">
      <w:r>
        <w:separator/>
      </w:r>
    </w:p>
  </w:endnote>
  <w:endnote w:type="continuationSeparator" w:id="0">
    <w:p w:rsidR="004E0237" w:rsidRDefault="004E0237" w:rsidP="008E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37" w:rsidRDefault="004E0237" w:rsidP="008E35DC">
      <w:r>
        <w:separator/>
      </w:r>
    </w:p>
  </w:footnote>
  <w:footnote w:type="continuationSeparator" w:id="0">
    <w:p w:rsidR="004E0237" w:rsidRDefault="004E0237" w:rsidP="008E35DC">
      <w:r>
        <w:continuationSeparator/>
      </w:r>
    </w:p>
  </w:footnote>
  <w:footnote w:id="1">
    <w:p w:rsidR="00FA5244" w:rsidRDefault="00FA5244" w:rsidP="009373A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E35DC">
        <w:rPr>
          <w:rFonts w:ascii="Times New Roman" w:hAnsi="Times New Roman" w:cs="Times New Roman"/>
        </w:rPr>
        <w:t>Kustamās mantas atsavināšanas procesu nosaka Ministru kabineta 2011.gada 1.februāra noteikumi Nr.109 “Kārtība, kādā atsavināma publiskas personas manta”</w:t>
      </w:r>
    </w:p>
  </w:footnote>
  <w:footnote w:id="2">
    <w:p w:rsidR="00460AB9" w:rsidRPr="009373AE" w:rsidRDefault="004C1242" w:rsidP="009373AE">
      <w:pPr>
        <w:pStyle w:val="FootnoteText"/>
        <w:jc w:val="both"/>
        <w:rPr>
          <w:rFonts w:ascii="Times New Roman" w:hAnsi="Times New Roman" w:cs="Times New Roman"/>
        </w:rPr>
      </w:pPr>
      <w:r w:rsidRPr="004C1242">
        <w:rPr>
          <w:rStyle w:val="FootnoteReference"/>
          <w:rFonts w:ascii="Times New Roman" w:hAnsi="Times New Roman" w:cs="Times New Roman"/>
        </w:rPr>
        <w:footnoteRef/>
      </w:r>
      <w:r w:rsidR="00560395">
        <w:rPr>
          <w:rFonts w:ascii="Times New Roman" w:hAnsi="Times New Roman" w:cs="Times New Roman"/>
        </w:rPr>
        <w:t xml:space="preserve"> </w:t>
      </w:r>
      <w:r w:rsidR="009373AE" w:rsidRPr="009373AE">
        <w:rPr>
          <w:rFonts w:ascii="Times New Roman" w:hAnsi="Times New Roman" w:cs="Times New Roman"/>
        </w:rPr>
        <w:t>Gr</w:t>
      </w:r>
      <w:r w:rsidR="009373AE">
        <w:rPr>
          <w:rFonts w:ascii="Times New Roman" w:hAnsi="Times New Roman" w:cs="Times New Roman"/>
        </w:rPr>
        <w:t>ozījumi Ministru kabineta 2011.gada 1.februāra noteikumos Nr.109 “</w:t>
      </w:r>
      <w:r w:rsidR="009373AE" w:rsidRPr="009373AE">
        <w:rPr>
          <w:rFonts w:ascii="Times New Roman" w:hAnsi="Times New Roman" w:cs="Times New Roman"/>
        </w:rPr>
        <w:t>Kārtība, kādā atsa</w:t>
      </w:r>
      <w:r w:rsidR="009373AE">
        <w:rPr>
          <w:rFonts w:ascii="Times New Roman" w:hAnsi="Times New Roman" w:cs="Times New Roman"/>
        </w:rPr>
        <w:t xml:space="preserve">vināma publiskas personas manta” </w:t>
      </w:r>
      <w:hyperlink r:id="rId1" w:history="1">
        <w:r w:rsidR="009373AE" w:rsidRPr="001B0A75">
          <w:rPr>
            <w:rStyle w:val="Hyperlink"/>
            <w:rFonts w:ascii="Times New Roman" w:hAnsi="Times New Roman" w:cs="Times New Roman"/>
          </w:rPr>
          <w:t>https://likumi.lv/ta/id/298300-grozijumi-ministru-kabineta-2011-gada-1-februara-noteikumos-nr-109-kartiba-kada-atsavinama-publiskas-personas-manta-</w:t>
        </w:r>
      </w:hyperlink>
      <w:r w:rsidR="009373AE">
        <w:rPr>
          <w:rFonts w:ascii="Times New Roman" w:hAnsi="Times New Roman" w:cs="Times New Roman"/>
        </w:rPr>
        <w:t xml:space="preserve"> </w:t>
      </w:r>
    </w:p>
    <w:p w:rsidR="004C1242" w:rsidRDefault="004C1242">
      <w:pPr>
        <w:pStyle w:val="FootnoteText"/>
      </w:pP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E6158"/>
    <w:multiLevelType w:val="hybridMultilevel"/>
    <w:tmpl w:val="2DF8D7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42D9A"/>
    <w:multiLevelType w:val="multilevel"/>
    <w:tmpl w:val="4F6EA3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20"/>
    <w:rsid w:val="00052467"/>
    <w:rsid w:val="00121435"/>
    <w:rsid w:val="00122127"/>
    <w:rsid w:val="002A3C92"/>
    <w:rsid w:val="002F0CB4"/>
    <w:rsid w:val="003A781A"/>
    <w:rsid w:val="003E31F8"/>
    <w:rsid w:val="003F228F"/>
    <w:rsid w:val="00416272"/>
    <w:rsid w:val="004350A2"/>
    <w:rsid w:val="004557ED"/>
    <w:rsid w:val="00460AB9"/>
    <w:rsid w:val="004C1242"/>
    <w:rsid w:val="004E0237"/>
    <w:rsid w:val="00515C2C"/>
    <w:rsid w:val="00545520"/>
    <w:rsid w:val="005541EE"/>
    <w:rsid w:val="00560395"/>
    <w:rsid w:val="00595D9C"/>
    <w:rsid w:val="00777AE8"/>
    <w:rsid w:val="008C0E0B"/>
    <w:rsid w:val="008E35DC"/>
    <w:rsid w:val="009373AE"/>
    <w:rsid w:val="009538DA"/>
    <w:rsid w:val="00975CE7"/>
    <w:rsid w:val="00A93F01"/>
    <w:rsid w:val="00AC7C46"/>
    <w:rsid w:val="00B34BB8"/>
    <w:rsid w:val="00B87682"/>
    <w:rsid w:val="00BF17A8"/>
    <w:rsid w:val="00C60337"/>
    <w:rsid w:val="00C6120D"/>
    <w:rsid w:val="00CE5D94"/>
    <w:rsid w:val="00CF4A88"/>
    <w:rsid w:val="00D24529"/>
    <w:rsid w:val="00E7240B"/>
    <w:rsid w:val="00FA5244"/>
    <w:rsid w:val="00FC361D"/>
    <w:rsid w:val="00FC4EC3"/>
    <w:rsid w:val="00FD305D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4DD0"/>
  <w15:chartTrackingRefBased/>
  <w15:docId w15:val="{B9C6B1D5-40EB-4D6A-972E-E6915B54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A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5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5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5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12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298300-grozijumi-ministru-kabineta-2011-gada-1-februara-noteikumos-nr-109-kartiba-kada-atsavinama-publiskas-personas-mant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9E2F-051F-47AD-9DF2-E46E1C61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Bāgants</dc:creator>
  <cp:keywords/>
  <dc:description/>
  <cp:lastModifiedBy>Klinta Stafecka</cp:lastModifiedBy>
  <cp:revision>2</cp:revision>
  <cp:lastPrinted>2018-10-24T06:02:00Z</cp:lastPrinted>
  <dcterms:created xsi:type="dcterms:W3CDTF">2018-11-01T14:23:00Z</dcterms:created>
  <dcterms:modified xsi:type="dcterms:W3CDTF">2018-11-01T14:23:00Z</dcterms:modified>
</cp:coreProperties>
</file>