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9202" w14:textId="77777777" w:rsidR="00F92400" w:rsidRDefault="00F92400" w:rsidP="00F92400">
      <w:pPr>
        <w:tabs>
          <w:tab w:val="left" w:pos="810"/>
        </w:tabs>
        <w:ind w:left="1170"/>
        <w:contextualSpacing/>
        <w:jc w:val="center"/>
        <w:rPr>
          <w:rFonts w:eastAsia="Times New Roman"/>
          <w:b/>
          <w:iCs/>
          <w:sz w:val="24"/>
          <w:szCs w:val="24"/>
        </w:rPr>
      </w:pPr>
      <w:r w:rsidRPr="00C471AF">
        <w:rPr>
          <w:rFonts w:eastAsia="Times New Roman"/>
          <w:b/>
          <w:iCs/>
          <w:sz w:val="24"/>
          <w:szCs w:val="24"/>
        </w:rPr>
        <w:t>Uzziņa par tiesību akta projektu</w:t>
      </w:r>
      <w:r>
        <w:rPr>
          <w:rFonts w:eastAsia="Times New Roman"/>
          <w:b/>
          <w:iCs/>
          <w:sz w:val="24"/>
          <w:szCs w:val="24"/>
        </w:rPr>
        <w:t xml:space="preserve"> Vadības komitejai</w:t>
      </w:r>
    </w:p>
    <w:p w14:paraId="6B5E1956" w14:textId="77777777" w:rsidR="00F92400" w:rsidRDefault="00F92400" w:rsidP="00F92400">
      <w:pPr>
        <w:tabs>
          <w:tab w:val="left" w:pos="810"/>
        </w:tabs>
        <w:ind w:left="1170"/>
        <w:contextualSpacing/>
        <w:jc w:val="center"/>
        <w:rPr>
          <w:rFonts w:eastAsia="Times New Roman"/>
          <w:b/>
          <w:iCs/>
          <w:sz w:val="24"/>
          <w:szCs w:val="24"/>
        </w:rPr>
      </w:pPr>
    </w:p>
    <w:p w14:paraId="13FEE471" w14:textId="55AFF58D" w:rsidR="00F92400" w:rsidRPr="00C471AF" w:rsidRDefault="00C75114" w:rsidP="00F92400">
      <w:pPr>
        <w:tabs>
          <w:tab w:val="left" w:pos="810"/>
        </w:tabs>
        <w:ind w:left="1170"/>
        <w:contextualSpacing/>
        <w:jc w:val="center"/>
        <w:rPr>
          <w:rFonts w:eastAsia="Times New Roman"/>
          <w:b/>
          <w:iCs/>
          <w:sz w:val="24"/>
          <w:szCs w:val="24"/>
        </w:rPr>
      </w:pPr>
      <w:r>
        <w:rPr>
          <w:rFonts w:eastAsia="Times New Roman"/>
          <w:b/>
          <w:iCs/>
          <w:sz w:val="24"/>
          <w:szCs w:val="24"/>
        </w:rPr>
        <w:t>20</w:t>
      </w:r>
      <w:r w:rsidR="00F92400" w:rsidRPr="00DE20C7">
        <w:rPr>
          <w:rFonts w:eastAsia="Times New Roman"/>
          <w:b/>
          <w:iCs/>
          <w:sz w:val="24"/>
          <w:szCs w:val="24"/>
        </w:rPr>
        <w:t>.</w:t>
      </w:r>
      <w:r>
        <w:rPr>
          <w:rFonts w:eastAsia="Times New Roman"/>
          <w:b/>
          <w:iCs/>
          <w:sz w:val="24"/>
          <w:szCs w:val="24"/>
        </w:rPr>
        <w:t>12</w:t>
      </w:r>
      <w:r w:rsidR="00F92400" w:rsidRPr="00DE20C7">
        <w:rPr>
          <w:rFonts w:eastAsia="Times New Roman"/>
          <w:b/>
          <w:iCs/>
          <w:sz w:val="24"/>
          <w:szCs w:val="24"/>
        </w:rPr>
        <w:t>.20</w:t>
      </w:r>
      <w:r>
        <w:rPr>
          <w:rFonts w:eastAsia="Times New Roman"/>
          <w:b/>
          <w:iCs/>
          <w:sz w:val="24"/>
          <w:szCs w:val="24"/>
        </w:rPr>
        <w:t>21</w:t>
      </w:r>
      <w:r w:rsidR="00F92400" w:rsidRPr="00DE20C7">
        <w:rPr>
          <w:rFonts w:eastAsia="Times New Roman"/>
          <w:b/>
          <w:iCs/>
          <w:sz w:val="24"/>
          <w:szCs w:val="24"/>
        </w:rPr>
        <w:t>.</w:t>
      </w:r>
    </w:p>
    <w:p w14:paraId="348E819E" w14:textId="77777777" w:rsidR="00F92400" w:rsidRPr="00C471AF" w:rsidRDefault="00F92400" w:rsidP="00F92400">
      <w:pPr>
        <w:rPr>
          <w:rFonts w:eastAsia="Times New Roman"/>
          <w:sz w:val="24"/>
          <w:szCs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722"/>
        <w:gridCol w:w="6633"/>
      </w:tblGrid>
      <w:tr w:rsidR="00F92400" w:rsidRPr="00B37101" w14:paraId="6BAFE686" w14:textId="77777777" w:rsidTr="00055EF5">
        <w:tc>
          <w:tcPr>
            <w:tcW w:w="710" w:type="dxa"/>
            <w:vAlign w:val="center"/>
          </w:tcPr>
          <w:p w14:paraId="5A0F5793" w14:textId="77777777" w:rsidR="00F92400" w:rsidRPr="00C471AF" w:rsidRDefault="00F92400" w:rsidP="00AA4CE9">
            <w:pPr>
              <w:jc w:val="center"/>
              <w:rPr>
                <w:rFonts w:eastAsia="Times New Roman"/>
                <w:sz w:val="24"/>
                <w:szCs w:val="24"/>
              </w:rPr>
            </w:pPr>
            <w:r w:rsidRPr="00C471AF">
              <w:rPr>
                <w:rFonts w:eastAsia="Times New Roman"/>
                <w:sz w:val="24"/>
                <w:szCs w:val="24"/>
              </w:rPr>
              <w:t>№</w:t>
            </w:r>
          </w:p>
        </w:tc>
        <w:tc>
          <w:tcPr>
            <w:tcW w:w="2722" w:type="dxa"/>
            <w:vAlign w:val="center"/>
          </w:tcPr>
          <w:p w14:paraId="199F7FB1" w14:textId="77777777" w:rsidR="00F92400" w:rsidRPr="00C471AF" w:rsidRDefault="00F92400" w:rsidP="00AA4CE9">
            <w:pPr>
              <w:jc w:val="center"/>
              <w:rPr>
                <w:rFonts w:eastAsia="Times New Roman"/>
                <w:sz w:val="24"/>
                <w:szCs w:val="24"/>
              </w:rPr>
            </w:pPr>
            <w:r w:rsidRPr="00C471AF">
              <w:rPr>
                <w:rFonts w:eastAsia="Times New Roman"/>
                <w:sz w:val="24"/>
                <w:szCs w:val="24"/>
              </w:rPr>
              <w:t>Sniedzamā informācija</w:t>
            </w:r>
          </w:p>
        </w:tc>
        <w:tc>
          <w:tcPr>
            <w:tcW w:w="6633" w:type="dxa"/>
            <w:vAlign w:val="center"/>
          </w:tcPr>
          <w:p w14:paraId="16F26240" w14:textId="77777777" w:rsidR="00F92400" w:rsidRPr="00C471AF" w:rsidRDefault="00F92400" w:rsidP="00AA4CE9">
            <w:pPr>
              <w:jc w:val="center"/>
              <w:rPr>
                <w:rFonts w:eastAsia="Times New Roman"/>
                <w:sz w:val="24"/>
                <w:szCs w:val="24"/>
              </w:rPr>
            </w:pPr>
            <w:r w:rsidRPr="00C471AF">
              <w:rPr>
                <w:rFonts w:eastAsia="Times New Roman"/>
                <w:sz w:val="24"/>
                <w:szCs w:val="24"/>
              </w:rPr>
              <w:t>Informācija par projektu</w:t>
            </w:r>
          </w:p>
        </w:tc>
      </w:tr>
      <w:tr w:rsidR="00F92400" w:rsidRPr="00B37101" w14:paraId="3DAD30DB" w14:textId="77777777" w:rsidTr="00AA4CE9">
        <w:tc>
          <w:tcPr>
            <w:tcW w:w="710" w:type="dxa"/>
          </w:tcPr>
          <w:p w14:paraId="562B8223" w14:textId="77777777" w:rsidR="00F92400" w:rsidRPr="00497F09" w:rsidRDefault="00F92400" w:rsidP="00AA4CE9">
            <w:pPr>
              <w:rPr>
                <w:rFonts w:eastAsia="Times New Roman"/>
                <w:sz w:val="24"/>
                <w:szCs w:val="24"/>
              </w:rPr>
            </w:pPr>
          </w:p>
        </w:tc>
        <w:tc>
          <w:tcPr>
            <w:tcW w:w="9355" w:type="dxa"/>
            <w:gridSpan w:val="2"/>
          </w:tcPr>
          <w:p w14:paraId="3BC6335C" w14:textId="5365391C" w:rsidR="00DE20C7" w:rsidRPr="00BB4D14" w:rsidRDefault="000455B7" w:rsidP="000455B7">
            <w:pPr>
              <w:keepNext/>
              <w:jc w:val="both"/>
              <w:outlineLvl w:val="3"/>
              <w:rPr>
                <w:rFonts w:eastAsia="Times New Roman"/>
                <w:bCs/>
                <w:sz w:val="24"/>
                <w:szCs w:val="24"/>
                <w:lang w:eastAsia="lv-LV"/>
              </w:rPr>
            </w:pPr>
            <w:r>
              <w:rPr>
                <w:rFonts w:eastAsia="Times New Roman"/>
                <w:bCs/>
                <w:sz w:val="24"/>
                <w:szCs w:val="24"/>
                <w:lang w:eastAsia="lv-LV"/>
              </w:rPr>
              <w:t xml:space="preserve">Ministru kabineta noteikumu projekts </w:t>
            </w:r>
            <w:r w:rsidRPr="000455B7">
              <w:rPr>
                <w:rFonts w:eastAsia="Times New Roman"/>
                <w:bCs/>
                <w:sz w:val="24"/>
                <w:szCs w:val="24"/>
                <w:lang w:eastAsia="lv-LV"/>
              </w:rPr>
              <w:t>"Noteikumi par informācijas aktualizēšanas prasībām kopīgajā klienta izpētes rīkā un kopīgā klienta izpētes rīka pakalpojuma sniedzēja licencēšanu un uzraudzību"</w:t>
            </w:r>
            <w:r>
              <w:rPr>
                <w:rFonts w:eastAsia="Times New Roman"/>
                <w:bCs/>
                <w:sz w:val="24"/>
                <w:szCs w:val="24"/>
                <w:lang w:eastAsia="lv-LV"/>
              </w:rPr>
              <w:t>.</w:t>
            </w:r>
          </w:p>
        </w:tc>
      </w:tr>
      <w:tr w:rsidR="00F92400" w:rsidRPr="00B37101" w14:paraId="71592D06" w14:textId="77777777" w:rsidTr="00055EF5">
        <w:tc>
          <w:tcPr>
            <w:tcW w:w="710" w:type="dxa"/>
            <w:vAlign w:val="center"/>
          </w:tcPr>
          <w:p w14:paraId="383812A2" w14:textId="77777777" w:rsidR="00F92400" w:rsidRPr="00497F09" w:rsidRDefault="00F92400" w:rsidP="00AA4CE9">
            <w:pPr>
              <w:numPr>
                <w:ilvl w:val="0"/>
                <w:numId w:val="1"/>
              </w:numPr>
              <w:contextualSpacing/>
              <w:jc w:val="center"/>
              <w:rPr>
                <w:sz w:val="24"/>
                <w:szCs w:val="24"/>
              </w:rPr>
            </w:pPr>
          </w:p>
        </w:tc>
        <w:tc>
          <w:tcPr>
            <w:tcW w:w="2722" w:type="dxa"/>
          </w:tcPr>
          <w:p w14:paraId="5A2F98DB" w14:textId="77777777" w:rsidR="00F92400" w:rsidRPr="00497F09" w:rsidRDefault="00F92400" w:rsidP="00AA4CE9">
            <w:pPr>
              <w:jc w:val="both"/>
              <w:rPr>
                <w:rFonts w:eastAsia="Times New Roman"/>
                <w:sz w:val="24"/>
                <w:szCs w:val="24"/>
              </w:rPr>
            </w:pPr>
            <w:r w:rsidRPr="00497F09">
              <w:rPr>
                <w:rFonts w:eastAsia="Times New Roman"/>
                <w:sz w:val="24"/>
                <w:szCs w:val="24"/>
              </w:rPr>
              <w:t>Projekta izstrādes nepieciešamības pamatojums</w:t>
            </w:r>
          </w:p>
        </w:tc>
        <w:tc>
          <w:tcPr>
            <w:tcW w:w="6633" w:type="dxa"/>
          </w:tcPr>
          <w:p w14:paraId="084EFF18" w14:textId="72FFF40B" w:rsidR="000455B7" w:rsidRPr="000455B7" w:rsidRDefault="000455B7" w:rsidP="000455B7">
            <w:pPr>
              <w:jc w:val="both"/>
              <w:rPr>
                <w:bCs/>
                <w:iCs/>
                <w:sz w:val="24"/>
                <w:szCs w:val="24"/>
              </w:rPr>
            </w:pPr>
            <w:r w:rsidRPr="000455B7">
              <w:rPr>
                <w:bCs/>
                <w:iCs/>
                <w:sz w:val="24"/>
                <w:szCs w:val="24"/>
              </w:rPr>
              <w:t>Noteikumu projekts izstrādāts pamatojoties uz Noziedzīgi iegūtu līdzekļu legalizācijas un terorisma un proliferācijas finansēšanas novēršanas likuma (turpmāk – Likums) 17.</w:t>
            </w:r>
            <w:r w:rsidRPr="000455B7">
              <w:rPr>
                <w:bCs/>
                <w:iCs/>
                <w:sz w:val="24"/>
                <w:szCs w:val="24"/>
                <w:vertAlign w:val="superscript"/>
              </w:rPr>
              <w:t>2</w:t>
            </w:r>
            <w:r w:rsidRPr="000455B7">
              <w:rPr>
                <w:bCs/>
                <w:iCs/>
                <w:sz w:val="24"/>
                <w:szCs w:val="24"/>
              </w:rPr>
              <w:t xml:space="preserve"> panta septīto daļu un 17.</w:t>
            </w:r>
            <w:r w:rsidRPr="000455B7">
              <w:rPr>
                <w:bCs/>
                <w:iCs/>
                <w:sz w:val="24"/>
                <w:szCs w:val="24"/>
                <w:vertAlign w:val="superscript"/>
              </w:rPr>
              <w:t>3</w:t>
            </w:r>
            <w:r w:rsidRPr="000455B7">
              <w:rPr>
                <w:bCs/>
                <w:iCs/>
                <w:sz w:val="24"/>
                <w:szCs w:val="24"/>
              </w:rPr>
              <w:t xml:space="preserve"> panta sestās daļas 1., 2.</w:t>
            </w:r>
            <w:r w:rsidR="00AD088C">
              <w:rPr>
                <w:bCs/>
                <w:iCs/>
                <w:sz w:val="24"/>
                <w:szCs w:val="24"/>
              </w:rPr>
              <w:t xml:space="preserve"> un</w:t>
            </w:r>
            <w:r w:rsidRPr="000455B7">
              <w:rPr>
                <w:bCs/>
                <w:iCs/>
                <w:sz w:val="24"/>
                <w:szCs w:val="24"/>
              </w:rPr>
              <w:t xml:space="preserve"> 4. punktu, kas paredz Ministru kabinetam deleģējumu noteikt:</w:t>
            </w:r>
          </w:p>
          <w:p w14:paraId="599CDFC2" w14:textId="77777777" w:rsidR="000455B7" w:rsidRPr="000455B7" w:rsidRDefault="000455B7" w:rsidP="000455B7">
            <w:pPr>
              <w:jc w:val="both"/>
              <w:rPr>
                <w:bCs/>
                <w:iCs/>
                <w:sz w:val="24"/>
                <w:szCs w:val="24"/>
              </w:rPr>
            </w:pPr>
            <w:r w:rsidRPr="000455B7">
              <w:rPr>
                <w:bCs/>
                <w:iCs/>
                <w:sz w:val="24"/>
                <w:szCs w:val="24"/>
              </w:rPr>
              <w:t>- informācijas, tai skaitā personas datu, aktualizēšanas prasības, izmantojot atvērto kopīgo klienta izpētes rīku un informācijas glabāšanas termiņus;</w:t>
            </w:r>
          </w:p>
          <w:p w14:paraId="7240FD79" w14:textId="77777777" w:rsidR="000455B7" w:rsidRPr="000455B7" w:rsidRDefault="000455B7" w:rsidP="000455B7">
            <w:pPr>
              <w:jc w:val="both"/>
              <w:rPr>
                <w:bCs/>
                <w:iCs/>
                <w:sz w:val="24"/>
                <w:szCs w:val="24"/>
              </w:rPr>
            </w:pPr>
            <w:r w:rsidRPr="000455B7">
              <w:rPr>
                <w:bCs/>
                <w:iCs/>
                <w:sz w:val="24"/>
                <w:szCs w:val="24"/>
              </w:rPr>
              <w:t>- prasības kopīgā klienta izpētes rīka pakalpojumu sniedzēja licences saņemšanai, tai skaitā prasības attiecībā uz kopīgā klienta izpētes rīka pakalpojumu sniedzēja civiltiesiskās atbildības apdrošināšanu;</w:t>
            </w:r>
          </w:p>
          <w:p w14:paraId="42490FA8" w14:textId="77777777" w:rsidR="000455B7" w:rsidRPr="000455B7" w:rsidRDefault="000455B7" w:rsidP="000455B7">
            <w:pPr>
              <w:jc w:val="both"/>
              <w:rPr>
                <w:bCs/>
                <w:iCs/>
                <w:sz w:val="24"/>
                <w:szCs w:val="24"/>
              </w:rPr>
            </w:pPr>
            <w:r w:rsidRPr="000455B7">
              <w:rPr>
                <w:bCs/>
                <w:iCs/>
                <w:sz w:val="24"/>
                <w:szCs w:val="24"/>
              </w:rPr>
              <w:t>- kopīgā klienta izpētes rīka pakalpojumu sniedzēja licences izsniegšanas, tās darbības apturēšanas, licences pārreģistrēšanas un anulēšanas kārtību un gadījumus;</w:t>
            </w:r>
          </w:p>
          <w:p w14:paraId="07EA6DE3" w14:textId="77777777" w:rsidR="000455B7" w:rsidRPr="000455B7" w:rsidRDefault="000455B7" w:rsidP="000455B7">
            <w:pPr>
              <w:jc w:val="both"/>
              <w:rPr>
                <w:bCs/>
                <w:iCs/>
                <w:sz w:val="24"/>
                <w:szCs w:val="24"/>
              </w:rPr>
            </w:pPr>
            <w:r w:rsidRPr="000455B7">
              <w:rPr>
                <w:bCs/>
                <w:iCs/>
                <w:sz w:val="24"/>
                <w:szCs w:val="24"/>
              </w:rPr>
              <w:t>- informāciju, kas publicējama Datu valsts inspekcijas mājaslapā internetā par licencējamo kopīgā klienta izpētes rīka pakalpojumu sniedzēju, kā arī šīs informācijas aktualizācijas kārtību un termiņus.</w:t>
            </w:r>
          </w:p>
          <w:p w14:paraId="1FDECCDF" w14:textId="187BEA01" w:rsidR="00055EF5" w:rsidRDefault="00055EF5" w:rsidP="006A13EF">
            <w:pPr>
              <w:jc w:val="both"/>
              <w:rPr>
                <w:bCs/>
                <w:iCs/>
                <w:sz w:val="24"/>
                <w:szCs w:val="24"/>
              </w:rPr>
            </w:pPr>
          </w:p>
          <w:p w14:paraId="0C068641" w14:textId="697BEA2B" w:rsidR="00B83C38" w:rsidRPr="008B204F" w:rsidRDefault="000455B7" w:rsidP="00055EF5">
            <w:pPr>
              <w:jc w:val="both"/>
              <w:rPr>
                <w:bCs/>
                <w:iCs/>
                <w:sz w:val="24"/>
                <w:szCs w:val="24"/>
              </w:rPr>
            </w:pPr>
            <w:r w:rsidRPr="000455B7">
              <w:rPr>
                <w:bCs/>
                <w:iCs/>
                <w:sz w:val="24"/>
                <w:szCs w:val="24"/>
              </w:rPr>
              <w:t>Saeimas 2021.gada 15.jūnijā 3.lasījumā atbalstītais likumprojekts “Grozījumi Noziedzīgi iegūtu līdzekļu legalizācijas un terorisma un proliferācijas finansēšanas novēršanas likumā” (Nr. 872/Lp13) paredz nosacījumus klienta izpētes rīka (</w:t>
            </w:r>
            <w:r w:rsidRPr="000455B7">
              <w:rPr>
                <w:bCs/>
                <w:i/>
                <w:iCs/>
                <w:sz w:val="24"/>
                <w:szCs w:val="24"/>
              </w:rPr>
              <w:t>shared KYC utility</w:t>
            </w:r>
            <w:r w:rsidRPr="000455B7">
              <w:rPr>
                <w:bCs/>
                <w:iCs/>
                <w:sz w:val="24"/>
                <w:szCs w:val="24"/>
              </w:rPr>
              <w:t xml:space="preserve">) izveidei (grozījumi daļā par klienta izpētes rīku darbību stājās spēkā 2022.gada 1.janvārī), kā arī paredz deleģējumu Ministru kabinetam izstrādāt kārtību, kāda kopīgo atvērto klienta izpētes rīku pakalpojumu sniedzēji tiek licencēti un uzraudzīti. Tāpat deleģējums paredz informācijas, tai skaitā personas datu, aktualizēšanas prasības, izmantojot atvērto kopīgo klienta izpētes rīku un informācijas glabāšanas termiņus. </w:t>
            </w:r>
            <w:r w:rsidR="00BB4D14">
              <w:rPr>
                <w:bCs/>
                <w:iCs/>
                <w:sz w:val="24"/>
                <w:szCs w:val="24"/>
              </w:rPr>
              <w:t xml:space="preserve"> </w:t>
            </w:r>
          </w:p>
        </w:tc>
      </w:tr>
      <w:tr w:rsidR="00F92400" w:rsidRPr="00B37101" w14:paraId="6CD56C1B" w14:textId="77777777" w:rsidTr="00055EF5">
        <w:tc>
          <w:tcPr>
            <w:tcW w:w="710" w:type="dxa"/>
            <w:vAlign w:val="center"/>
          </w:tcPr>
          <w:p w14:paraId="05212EFA" w14:textId="77777777" w:rsidR="00F92400" w:rsidRPr="00497F09" w:rsidRDefault="00F92400" w:rsidP="00AA4CE9">
            <w:pPr>
              <w:numPr>
                <w:ilvl w:val="0"/>
                <w:numId w:val="1"/>
              </w:numPr>
              <w:contextualSpacing/>
              <w:jc w:val="center"/>
              <w:rPr>
                <w:sz w:val="24"/>
                <w:szCs w:val="24"/>
              </w:rPr>
            </w:pPr>
          </w:p>
        </w:tc>
        <w:tc>
          <w:tcPr>
            <w:tcW w:w="2722" w:type="dxa"/>
          </w:tcPr>
          <w:p w14:paraId="6513E098" w14:textId="77777777" w:rsidR="00F92400" w:rsidRPr="00497F09" w:rsidRDefault="00F92400" w:rsidP="00AA4CE9">
            <w:pPr>
              <w:jc w:val="both"/>
              <w:rPr>
                <w:rFonts w:eastAsia="Times New Roman"/>
                <w:sz w:val="24"/>
                <w:szCs w:val="24"/>
              </w:rPr>
            </w:pPr>
            <w:r w:rsidRPr="00497F09">
              <w:rPr>
                <w:rFonts w:eastAsia="Times New Roman"/>
                <w:sz w:val="24"/>
                <w:szCs w:val="24"/>
              </w:rPr>
              <w:t>Vadības darba plāna uzdevuma numurs un tā izpildes termiņš (ja nepieciešams)</w:t>
            </w:r>
          </w:p>
        </w:tc>
        <w:tc>
          <w:tcPr>
            <w:tcW w:w="6633" w:type="dxa"/>
          </w:tcPr>
          <w:p w14:paraId="469C14C4" w14:textId="2A2C7AA2" w:rsidR="00F92400" w:rsidRPr="00D830B9" w:rsidRDefault="00E54533" w:rsidP="00D830B9">
            <w:pPr>
              <w:jc w:val="both"/>
              <w:rPr>
                <w:rFonts w:eastAsia="Times New Roman"/>
                <w:iCs/>
                <w:sz w:val="24"/>
                <w:szCs w:val="24"/>
              </w:rPr>
            </w:pPr>
            <w:r>
              <w:rPr>
                <w:sz w:val="24"/>
                <w:szCs w:val="24"/>
              </w:rPr>
              <w:t>Nav.</w:t>
            </w:r>
            <w:r w:rsidR="000455B7">
              <w:rPr>
                <w:sz w:val="24"/>
                <w:szCs w:val="24"/>
              </w:rPr>
              <w:t xml:space="preserve"> Izriet no Likumā paredzētā deleģējuma un </w:t>
            </w:r>
            <w:r w:rsidR="009B0A82">
              <w:rPr>
                <w:sz w:val="24"/>
                <w:szCs w:val="24"/>
              </w:rPr>
              <w:t xml:space="preserve">aprites uzdevuma </w:t>
            </w:r>
            <w:r w:rsidR="000455B7" w:rsidRPr="000455B7">
              <w:rPr>
                <w:sz w:val="24"/>
                <w:szCs w:val="24"/>
              </w:rPr>
              <w:t>21-AP-UZ-3373</w:t>
            </w:r>
            <w:r w:rsidR="009B0A82">
              <w:rPr>
                <w:sz w:val="24"/>
                <w:szCs w:val="24"/>
              </w:rPr>
              <w:t>.</w:t>
            </w:r>
          </w:p>
        </w:tc>
      </w:tr>
      <w:tr w:rsidR="00F92400" w:rsidRPr="00B37101" w14:paraId="4507BB55" w14:textId="77777777" w:rsidTr="00055EF5">
        <w:tc>
          <w:tcPr>
            <w:tcW w:w="710" w:type="dxa"/>
            <w:vAlign w:val="center"/>
          </w:tcPr>
          <w:p w14:paraId="52A13DE5" w14:textId="77777777" w:rsidR="00F92400" w:rsidRPr="00497F09" w:rsidRDefault="00F92400" w:rsidP="00AA4CE9">
            <w:pPr>
              <w:numPr>
                <w:ilvl w:val="0"/>
                <w:numId w:val="1"/>
              </w:numPr>
              <w:contextualSpacing/>
              <w:jc w:val="center"/>
              <w:rPr>
                <w:sz w:val="24"/>
                <w:szCs w:val="24"/>
              </w:rPr>
            </w:pPr>
          </w:p>
        </w:tc>
        <w:tc>
          <w:tcPr>
            <w:tcW w:w="2722" w:type="dxa"/>
          </w:tcPr>
          <w:p w14:paraId="0ED05E39" w14:textId="77777777" w:rsidR="00F92400" w:rsidRPr="00497F09" w:rsidRDefault="00F92400" w:rsidP="00AA4CE9">
            <w:pPr>
              <w:jc w:val="both"/>
              <w:rPr>
                <w:rFonts w:eastAsia="Times New Roman"/>
                <w:sz w:val="24"/>
                <w:szCs w:val="24"/>
              </w:rPr>
            </w:pPr>
            <w:r w:rsidRPr="00497F09">
              <w:rPr>
                <w:rFonts w:eastAsia="Times New Roman"/>
                <w:sz w:val="24"/>
                <w:szCs w:val="24"/>
              </w:rPr>
              <w:t>Projekta īss saturs</w:t>
            </w:r>
          </w:p>
        </w:tc>
        <w:tc>
          <w:tcPr>
            <w:tcW w:w="6633" w:type="dxa"/>
          </w:tcPr>
          <w:p w14:paraId="7BA00398" w14:textId="548B5D6E" w:rsidR="009B0A82" w:rsidRPr="009B0A82" w:rsidRDefault="009B0A82" w:rsidP="00AD088C">
            <w:pPr>
              <w:pStyle w:val="naisf"/>
              <w:spacing w:before="0" w:after="0"/>
              <w:ind w:firstLine="0"/>
              <w:rPr>
                <w:bCs/>
                <w:iCs/>
              </w:rPr>
            </w:pPr>
            <w:r w:rsidRPr="009B0A82">
              <w:rPr>
                <w:bCs/>
                <w:iCs/>
              </w:rPr>
              <w:t xml:space="preserve">Ņemot vērā darbības ievirzi, kas aptvers liela apjoma personu datu apstrādi, arī automatizētu apstrādi (tostarp profilēšanu), un būs vērsta uz </w:t>
            </w:r>
            <w:r>
              <w:rPr>
                <w:bCs/>
                <w:iCs/>
              </w:rPr>
              <w:t>noziedzīgi iegūtu līdzekļu legalizācijas un terorisma un proliferācijas finansēšanas (turpmāk – NILLTPF) novēršanu</w:t>
            </w:r>
            <w:r w:rsidRPr="009B0A82">
              <w:rPr>
                <w:bCs/>
                <w:iCs/>
              </w:rPr>
              <w:t>, kas līdzās personu datu apstrādes nosacījumiem paredz specifiskus nosacījumus informācijas apstrādei un pieejamībai, prasībām licencētajiem kopīgo klientu izpētes rīku pakalpojumu sniedzējiem, lai saņemtu licenci, jāaptver:</w:t>
            </w:r>
          </w:p>
          <w:p w14:paraId="44B6E970" w14:textId="77777777" w:rsidR="009B0A82" w:rsidRPr="009B0A82" w:rsidRDefault="009B0A82" w:rsidP="00AD088C">
            <w:pPr>
              <w:pStyle w:val="naisf"/>
              <w:spacing w:before="0" w:after="0"/>
              <w:ind w:firstLine="0"/>
              <w:rPr>
                <w:bCs/>
                <w:iCs/>
              </w:rPr>
            </w:pPr>
            <w:r w:rsidRPr="009B0A82">
              <w:rPr>
                <w:bCs/>
                <w:iCs/>
              </w:rPr>
              <w:t xml:space="preserve">- atbilstības prasības pašam licencējamajam kopīgā klienta izpētes rīka pakalpojuma sniedzējam, piemēram, darbības forma, nodokļu parādu neesamība, personas datu aizsardzības speciālista, kā arī </w:t>
            </w:r>
            <w:r w:rsidRPr="009B0A82">
              <w:rPr>
                <w:bCs/>
                <w:iCs/>
              </w:rPr>
              <w:lastRenderedPageBreak/>
              <w:t>speciālista, kas pārzina ar NILLTPF saistītos riskus, NILLTPF novēršanu regulējošos normatīvos aktus, esamība;</w:t>
            </w:r>
          </w:p>
          <w:p w14:paraId="3826340C" w14:textId="5799742F" w:rsidR="009B0A82" w:rsidRPr="009B0A82" w:rsidRDefault="009B0A82" w:rsidP="00AD088C">
            <w:pPr>
              <w:pStyle w:val="naisf"/>
              <w:spacing w:before="0" w:after="0"/>
              <w:ind w:firstLine="0"/>
              <w:rPr>
                <w:bCs/>
                <w:iCs/>
              </w:rPr>
            </w:pPr>
            <w:r w:rsidRPr="009B0A82">
              <w:rPr>
                <w:bCs/>
                <w:iCs/>
              </w:rPr>
              <w:t>- atbilstības prasības licencētā kopīgā klienta izpētes rīka pakalpojuma sniedzēja īpašniekiem, pārraudzības, pārvaldes institūcijas locekļiem un patiesajiem labuma guvējiem, piemēram, sodāmības neesamība, profesionālā pieredze;</w:t>
            </w:r>
          </w:p>
          <w:p w14:paraId="2CA77957" w14:textId="77777777" w:rsidR="009B0A82" w:rsidRPr="009B0A82" w:rsidRDefault="009B0A82" w:rsidP="00AD088C">
            <w:pPr>
              <w:pStyle w:val="naisf"/>
              <w:spacing w:before="0" w:after="0"/>
              <w:ind w:firstLine="0"/>
              <w:rPr>
                <w:bCs/>
                <w:iCs/>
              </w:rPr>
            </w:pPr>
            <w:r w:rsidRPr="009B0A82">
              <w:rPr>
                <w:bCs/>
                <w:iCs/>
              </w:rPr>
              <w:t>- prasības attiecībā uz civiltiesiskās atbildības apdrošināšanu;</w:t>
            </w:r>
          </w:p>
          <w:p w14:paraId="34D0B049" w14:textId="0E925EF5" w:rsidR="00F92400" w:rsidRPr="009B0A82" w:rsidRDefault="009B0A82" w:rsidP="00AD088C">
            <w:pPr>
              <w:pStyle w:val="naisf"/>
              <w:spacing w:before="0" w:after="0"/>
              <w:ind w:firstLine="0"/>
              <w:rPr>
                <w:bCs/>
                <w:iCs/>
              </w:rPr>
            </w:pPr>
            <w:r w:rsidRPr="009B0A82">
              <w:rPr>
                <w:bCs/>
                <w:iCs/>
              </w:rPr>
              <w:t>- kā arī sākotnēju un regulāru auditu esamību attiecībā uz informācijas drošības pārvaldības sistēmu, personu datu apstrādes un NILLTPF novēršanas prasību nodrošināšanu atbilstoši noteiktiem nosacījumiem, standartiem.</w:t>
            </w:r>
          </w:p>
        </w:tc>
      </w:tr>
      <w:tr w:rsidR="00F92400" w:rsidRPr="00B37101" w14:paraId="0749679C" w14:textId="77777777" w:rsidTr="00055EF5">
        <w:tc>
          <w:tcPr>
            <w:tcW w:w="710" w:type="dxa"/>
            <w:vAlign w:val="center"/>
          </w:tcPr>
          <w:p w14:paraId="54AA8B69" w14:textId="77777777" w:rsidR="00F92400" w:rsidRPr="00497F09" w:rsidRDefault="00F92400" w:rsidP="00AA4CE9">
            <w:pPr>
              <w:numPr>
                <w:ilvl w:val="0"/>
                <w:numId w:val="1"/>
              </w:numPr>
              <w:contextualSpacing/>
              <w:jc w:val="center"/>
              <w:rPr>
                <w:sz w:val="24"/>
                <w:szCs w:val="24"/>
              </w:rPr>
            </w:pPr>
          </w:p>
        </w:tc>
        <w:tc>
          <w:tcPr>
            <w:tcW w:w="2722" w:type="dxa"/>
          </w:tcPr>
          <w:p w14:paraId="2DB32BB0" w14:textId="77777777" w:rsidR="00F92400" w:rsidRPr="00497F09" w:rsidRDefault="00F92400" w:rsidP="00AA4CE9">
            <w:pPr>
              <w:jc w:val="both"/>
              <w:rPr>
                <w:rFonts w:eastAsia="Times New Roman"/>
                <w:sz w:val="24"/>
                <w:szCs w:val="24"/>
              </w:rPr>
            </w:pPr>
            <w:r w:rsidRPr="00497F09">
              <w:rPr>
                <w:rFonts w:eastAsia="Times New Roman"/>
                <w:sz w:val="24"/>
                <w:szCs w:val="24"/>
              </w:rPr>
              <w:t>Iespējamie risinājuma varianti (ja nepieciešams)</w:t>
            </w:r>
          </w:p>
        </w:tc>
        <w:tc>
          <w:tcPr>
            <w:tcW w:w="6633" w:type="dxa"/>
          </w:tcPr>
          <w:p w14:paraId="4D9FD208" w14:textId="77777777" w:rsidR="00F92400" w:rsidRPr="00675AD1" w:rsidRDefault="00F92400" w:rsidP="00AA4CE9">
            <w:pPr>
              <w:rPr>
                <w:rFonts w:eastAsia="Times New Roman"/>
                <w:sz w:val="24"/>
                <w:szCs w:val="24"/>
              </w:rPr>
            </w:pPr>
            <w:r w:rsidRPr="00675AD1">
              <w:rPr>
                <w:rFonts w:eastAsia="Times New Roman"/>
                <w:sz w:val="24"/>
                <w:szCs w:val="24"/>
              </w:rPr>
              <w:t>Viens risinājuma variants</w:t>
            </w:r>
            <w:r w:rsidR="001C201B">
              <w:rPr>
                <w:rFonts w:eastAsia="Times New Roman"/>
                <w:sz w:val="24"/>
                <w:szCs w:val="24"/>
              </w:rPr>
              <w:t>.</w:t>
            </w:r>
          </w:p>
        </w:tc>
      </w:tr>
      <w:tr w:rsidR="00F92400" w:rsidRPr="00B37101" w14:paraId="07D843A9" w14:textId="77777777" w:rsidTr="00055EF5">
        <w:tc>
          <w:tcPr>
            <w:tcW w:w="710" w:type="dxa"/>
            <w:vAlign w:val="center"/>
          </w:tcPr>
          <w:p w14:paraId="261871F6" w14:textId="77777777" w:rsidR="00F92400" w:rsidRPr="00497F09" w:rsidRDefault="00F92400" w:rsidP="00AA4CE9">
            <w:pPr>
              <w:numPr>
                <w:ilvl w:val="0"/>
                <w:numId w:val="1"/>
              </w:numPr>
              <w:contextualSpacing/>
              <w:jc w:val="center"/>
              <w:rPr>
                <w:sz w:val="24"/>
                <w:szCs w:val="24"/>
              </w:rPr>
            </w:pPr>
          </w:p>
        </w:tc>
        <w:tc>
          <w:tcPr>
            <w:tcW w:w="2722" w:type="dxa"/>
          </w:tcPr>
          <w:p w14:paraId="12D8BD3E" w14:textId="77777777" w:rsidR="00F92400" w:rsidRPr="00497F09" w:rsidRDefault="00F92400" w:rsidP="00AA4CE9">
            <w:pPr>
              <w:jc w:val="both"/>
              <w:rPr>
                <w:rFonts w:eastAsia="Times New Roman"/>
                <w:sz w:val="24"/>
                <w:szCs w:val="24"/>
              </w:rPr>
            </w:pPr>
            <w:r w:rsidRPr="00497F09">
              <w:rPr>
                <w:rFonts w:eastAsia="Times New Roman"/>
                <w:sz w:val="24"/>
                <w:szCs w:val="24"/>
              </w:rPr>
              <w:t>Par projektu nosakāmā atbildīgā amatpersona</w:t>
            </w:r>
          </w:p>
        </w:tc>
        <w:tc>
          <w:tcPr>
            <w:tcW w:w="6633" w:type="dxa"/>
          </w:tcPr>
          <w:p w14:paraId="1FE0A2F5" w14:textId="77777777" w:rsidR="00F92400" w:rsidRPr="00675AD1" w:rsidRDefault="00F92400" w:rsidP="003F3894">
            <w:pPr>
              <w:rPr>
                <w:rFonts w:eastAsia="Times New Roman"/>
                <w:sz w:val="24"/>
                <w:szCs w:val="24"/>
              </w:rPr>
            </w:pPr>
            <w:r w:rsidRPr="00675AD1">
              <w:rPr>
                <w:rFonts w:eastAsia="Times New Roman"/>
                <w:sz w:val="24"/>
                <w:szCs w:val="24"/>
              </w:rPr>
              <w:t>Finanšu tirgus politikas departament</w:t>
            </w:r>
            <w:r w:rsidR="001C201B">
              <w:rPr>
                <w:rFonts w:eastAsia="Times New Roman"/>
                <w:sz w:val="24"/>
                <w:szCs w:val="24"/>
              </w:rPr>
              <w:t>a</w:t>
            </w:r>
            <w:r w:rsidR="001C201B" w:rsidRPr="00B37101">
              <w:rPr>
                <w:sz w:val="24"/>
                <w:szCs w:val="24"/>
              </w:rPr>
              <w:t xml:space="preserve"> </w:t>
            </w:r>
            <w:r w:rsidR="001E4EBF" w:rsidRPr="00141FD0">
              <w:rPr>
                <w:sz w:val="24"/>
                <w:szCs w:val="24"/>
              </w:rPr>
              <w:t>direktore</w:t>
            </w:r>
            <w:r w:rsidR="001E4EBF">
              <w:rPr>
                <w:sz w:val="24"/>
                <w:szCs w:val="24"/>
              </w:rPr>
              <w:t xml:space="preserve"> </w:t>
            </w:r>
            <w:r w:rsidR="001E4EBF" w:rsidRPr="00141FD0">
              <w:rPr>
                <w:sz w:val="24"/>
                <w:szCs w:val="24"/>
              </w:rPr>
              <w:t>A</w:t>
            </w:r>
            <w:r w:rsidR="003F3894">
              <w:rPr>
                <w:sz w:val="24"/>
                <w:szCs w:val="24"/>
              </w:rPr>
              <w:t>ija</w:t>
            </w:r>
            <w:r w:rsidR="001E4EBF">
              <w:rPr>
                <w:sz w:val="24"/>
                <w:szCs w:val="24"/>
              </w:rPr>
              <w:t xml:space="preserve"> </w:t>
            </w:r>
            <w:r w:rsidR="003F3894">
              <w:rPr>
                <w:sz w:val="24"/>
                <w:szCs w:val="24"/>
              </w:rPr>
              <w:t>Zitcere</w:t>
            </w:r>
            <w:r w:rsidR="005D3662">
              <w:rPr>
                <w:sz w:val="24"/>
                <w:szCs w:val="24"/>
              </w:rPr>
              <w:t>.</w:t>
            </w:r>
          </w:p>
        </w:tc>
      </w:tr>
      <w:tr w:rsidR="00F92400" w:rsidRPr="00B37101" w14:paraId="17687322" w14:textId="77777777" w:rsidTr="00055EF5">
        <w:tc>
          <w:tcPr>
            <w:tcW w:w="710" w:type="dxa"/>
            <w:vAlign w:val="center"/>
          </w:tcPr>
          <w:p w14:paraId="0EA855C8" w14:textId="77777777" w:rsidR="00F92400" w:rsidRPr="00497F09" w:rsidRDefault="00F92400" w:rsidP="00AA4CE9">
            <w:pPr>
              <w:numPr>
                <w:ilvl w:val="0"/>
                <w:numId w:val="1"/>
              </w:numPr>
              <w:contextualSpacing/>
              <w:jc w:val="center"/>
              <w:rPr>
                <w:sz w:val="24"/>
                <w:szCs w:val="24"/>
              </w:rPr>
            </w:pPr>
          </w:p>
        </w:tc>
        <w:tc>
          <w:tcPr>
            <w:tcW w:w="2722" w:type="dxa"/>
          </w:tcPr>
          <w:p w14:paraId="6AEF93A6" w14:textId="77777777" w:rsidR="00F92400" w:rsidRPr="00497F09" w:rsidRDefault="00F92400" w:rsidP="00AA4CE9">
            <w:pPr>
              <w:jc w:val="both"/>
              <w:rPr>
                <w:rFonts w:eastAsia="Times New Roman"/>
                <w:sz w:val="24"/>
                <w:szCs w:val="24"/>
              </w:rPr>
            </w:pPr>
            <w:r w:rsidRPr="00497F09">
              <w:rPr>
                <w:rFonts w:eastAsia="Times New Roman"/>
                <w:sz w:val="24"/>
                <w:szCs w:val="24"/>
              </w:rPr>
              <w:t>Nosakāmais projekta sagatavotājs (ja nepieciešams)</w:t>
            </w:r>
          </w:p>
        </w:tc>
        <w:tc>
          <w:tcPr>
            <w:tcW w:w="6633" w:type="dxa"/>
          </w:tcPr>
          <w:p w14:paraId="040037C7" w14:textId="2DDF2734" w:rsidR="00F92400" w:rsidRPr="00B37101" w:rsidRDefault="0050768C" w:rsidP="004F2ED4">
            <w:pPr>
              <w:jc w:val="both"/>
              <w:rPr>
                <w:sz w:val="24"/>
                <w:szCs w:val="24"/>
              </w:rPr>
            </w:pPr>
            <w:r w:rsidRPr="00B37101">
              <w:rPr>
                <w:sz w:val="24"/>
                <w:szCs w:val="24"/>
              </w:rPr>
              <w:t>Finan</w:t>
            </w:r>
            <w:r w:rsidR="006A13EF">
              <w:rPr>
                <w:sz w:val="24"/>
                <w:szCs w:val="24"/>
              </w:rPr>
              <w:t>šu tirgus politikas departamenta Kredītiestāžu un maksājumu pakalpojumu</w:t>
            </w:r>
            <w:r w:rsidR="00D82732">
              <w:rPr>
                <w:sz w:val="24"/>
                <w:szCs w:val="24"/>
              </w:rPr>
              <w:t xml:space="preserve"> politikas nodaļas jurists Kristaps Ziediņš</w:t>
            </w:r>
            <w:r w:rsidR="006A13EF">
              <w:rPr>
                <w:sz w:val="24"/>
                <w:szCs w:val="24"/>
              </w:rPr>
              <w:t xml:space="preserve"> </w:t>
            </w:r>
            <w:r w:rsidRPr="00B37101">
              <w:rPr>
                <w:sz w:val="24"/>
                <w:szCs w:val="24"/>
              </w:rPr>
              <w:t xml:space="preserve"> </w:t>
            </w:r>
            <w:r>
              <w:rPr>
                <w:sz w:val="24"/>
                <w:szCs w:val="24"/>
              </w:rPr>
              <w:t>(tālr. 67095</w:t>
            </w:r>
            <w:r w:rsidR="006A13EF">
              <w:rPr>
                <w:sz w:val="24"/>
                <w:szCs w:val="24"/>
              </w:rPr>
              <w:t>600</w:t>
            </w:r>
            <w:r w:rsidRPr="00B37101">
              <w:rPr>
                <w:sz w:val="24"/>
                <w:szCs w:val="24"/>
              </w:rPr>
              <w:t>, e-pasts</w:t>
            </w:r>
            <w:r>
              <w:rPr>
                <w:sz w:val="24"/>
                <w:szCs w:val="24"/>
              </w:rPr>
              <w:t>:</w:t>
            </w:r>
            <w:r w:rsidRPr="00B37101">
              <w:rPr>
                <w:sz w:val="24"/>
                <w:szCs w:val="24"/>
              </w:rPr>
              <w:t xml:space="preserve"> </w:t>
            </w:r>
            <w:r w:rsidR="006A13EF">
              <w:rPr>
                <w:sz w:val="24"/>
                <w:szCs w:val="24"/>
              </w:rPr>
              <w:t>kristaps.ziedins</w:t>
            </w:r>
            <w:r w:rsidRPr="00B37101">
              <w:rPr>
                <w:sz w:val="24"/>
                <w:szCs w:val="24"/>
              </w:rPr>
              <w:t>@fm.gov.lv)</w:t>
            </w:r>
            <w:r w:rsidR="004F2ED4">
              <w:rPr>
                <w:sz w:val="24"/>
                <w:szCs w:val="24"/>
              </w:rPr>
              <w:t>.</w:t>
            </w:r>
          </w:p>
        </w:tc>
      </w:tr>
      <w:tr w:rsidR="00F92400" w:rsidRPr="00B37101" w14:paraId="053B9560" w14:textId="77777777" w:rsidTr="00055EF5">
        <w:tc>
          <w:tcPr>
            <w:tcW w:w="710" w:type="dxa"/>
            <w:vAlign w:val="center"/>
          </w:tcPr>
          <w:p w14:paraId="1D15AEC7" w14:textId="77777777" w:rsidR="00F92400" w:rsidRPr="00497F09" w:rsidRDefault="00F92400" w:rsidP="00AA4CE9">
            <w:pPr>
              <w:numPr>
                <w:ilvl w:val="0"/>
                <w:numId w:val="1"/>
              </w:numPr>
              <w:contextualSpacing/>
              <w:jc w:val="center"/>
              <w:rPr>
                <w:sz w:val="24"/>
                <w:szCs w:val="24"/>
              </w:rPr>
            </w:pPr>
          </w:p>
        </w:tc>
        <w:tc>
          <w:tcPr>
            <w:tcW w:w="2722" w:type="dxa"/>
          </w:tcPr>
          <w:p w14:paraId="63DED072" w14:textId="77777777" w:rsidR="00F92400" w:rsidRPr="00497F09" w:rsidRDefault="00F92400" w:rsidP="00AA4CE9">
            <w:pPr>
              <w:jc w:val="both"/>
              <w:rPr>
                <w:rFonts w:eastAsia="Times New Roman"/>
                <w:sz w:val="24"/>
                <w:szCs w:val="24"/>
              </w:rPr>
            </w:pPr>
            <w:r w:rsidRPr="00497F09">
              <w:rPr>
                <w:rFonts w:eastAsia="Times New Roman"/>
                <w:sz w:val="24"/>
                <w:szCs w:val="24"/>
              </w:rPr>
              <w:t>Darba grupas vadītājs un iespējamais sastāvs (ja nepieciešams)</w:t>
            </w:r>
          </w:p>
        </w:tc>
        <w:tc>
          <w:tcPr>
            <w:tcW w:w="6633" w:type="dxa"/>
          </w:tcPr>
          <w:p w14:paraId="75EFA28B" w14:textId="77777777" w:rsidR="00F92400" w:rsidRPr="00675AD1" w:rsidRDefault="00F92400" w:rsidP="00AA4CE9">
            <w:pPr>
              <w:rPr>
                <w:rFonts w:eastAsia="Times New Roman"/>
                <w:sz w:val="24"/>
                <w:szCs w:val="24"/>
              </w:rPr>
            </w:pPr>
            <w:r w:rsidRPr="00B37101">
              <w:rPr>
                <w:sz w:val="24"/>
                <w:szCs w:val="24"/>
              </w:rPr>
              <w:t>Darba grupas veidošana nav nepieciešama</w:t>
            </w:r>
            <w:r w:rsidR="001C201B">
              <w:rPr>
                <w:sz w:val="24"/>
                <w:szCs w:val="24"/>
              </w:rPr>
              <w:t>.</w:t>
            </w:r>
          </w:p>
        </w:tc>
      </w:tr>
      <w:tr w:rsidR="00D830B9" w:rsidRPr="00D830B9" w14:paraId="2427E952" w14:textId="77777777" w:rsidTr="00055EF5">
        <w:tc>
          <w:tcPr>
            <w:tcW w:w="710" w:type="dxa"/>
            <w:vAlign w:val="center"/>
          </w:tcPr>
          <w:p w14:paraId="59DE467C" w14:textId="77777777" w:rsidR="00D830B9" w:rsidRPr="00D830B9" w:rsidRDefault="00D830B9" w:rsidP="00AA4CE9">
            <w:pPr>
              <w:numPr>
                <w:ilvl w:val="0"/>
                <w:numId w:val="1"/>
              </w:numPr>
              <w:contextualSpacing/>
              <w:jc w:val="center"/>
              <w:rPr>
                <w:sz w:val="24"/>
                <w:szCs w:val="24"/>
              </w:rPr>
            </w:pPr>
          </w:p>
        </w:tc>
        <w:tc>
          <w:tcPr>
            <w:tcW w:w="2722" w:type="dxa"/>
          </w:tcPr>
          <w:p w14:paraId="3F42EF3E" w14:textId="77777777" w:rsidR="00D830B9" w:rsidRPr="00D830B9" w:rsidRDefault="00D830B9" w:rsidP="00AA4CE9">
            <w:pPr>
              <w:jc w:val="both"/>
              <w:rPr>
                <w:rFonts w:eastAsia="Times New Roman"/>
                <w:sz w:val="24"/>
                <w:szCs w:val="24"/>
              </w:rPr>
            </w:pPr>
            <w:r w:rsidRPr="00D830B9">
              <w:rPr>
                <w:sz w:val="24"/>
                <w:szCs w:val="24"/>
              </w:rPr>
              <w:t>Sabiedrības līdzdalība</w:t>
            </w:r>
          </w:p>
        </w:tc>
        <w:tc>
          <w:tcPr>
            <w:tcW w:w="6633" w:type="dxa"/>
          </w:tcPr>
          <w:p w14:paraId="05E10275" w14:textId="5550EB57" w:rsidR="00D830B9" w:rsidRPr="00D830B9" w:rsidRDefault="00D830B9" w:rsidP="00A50375">
            <w:pPr>
              <w:rPr>
                <w:sz w:val="24"/>
                <w:szCs w:val="24"/>
              </w:rPr>
            </w:pPr>
          </w:p>
        </w:tc>
      </w:tr>
      <w:tr w:rsidR="00F92400" w:rsidRPr="00B37101" w14:paraId="4F16D730" w14:textId="77777777" w:rsidTr="00055EF5">
        <w:tc>
          <w:tcPr>
            <w:tcW w:w="710" w:type="dxa"/>
            <w:vAlign w:val="center"/>
          </w:tcPr>
          <w:p w14:paraId="2A2EA5B7" w14:textId="77777777" w:rsidR="00F92400" w:rsidRPr="00497F09" w:rsidRDefault="00F92400" w:rsidP="00AA4CE9">
            <w:pPr>
              <w:numPr>
                <w:ilvl w:val="0"/>
                <w:numId w:val="1"/>
              </w:numPr>
              <w:contextualSpacing/>
              <w:jc w:val="center"/>
              <w:rPr>
                <w:sz w:val="24"/>
                <w:szCs w:val="24"/>
              </w:rPr>
            </w:pPr>
          </w:p>
        </w:tc>
        <w:tc>
          <w:tcPr>
            <w:tcW w:w="2722" w:type="dxa"/>
          </w:tcPr>
          <w:p w14:paraId="5A98166D" w14:textId="77777777" w:rsidR="00F92400" w:rsidRPr="00497F09" w:rsidRDefault="00F92400" w:rsidP="00AA4CE9">
            <w:pPr>
              <w:jc w:val="both"/>
              <w:rPr>
                <w:rFonts w:eastAsia="Times New Roman"/>
                <w:sz w:val="24"/>
                <w:szCs w:val="24"/>
              </w:rPr>
            </w:pPr>
            <w:r w:rsidRPr="00497F09">
              <w:rPr>
                <w:rFonts w:eastAsia="Times New Roman"/>
                <w:sz w:val="24"/>
                <w:szCs w:val="24"/>
              </w:rPr>
              <w:t>Ministrijas struktūrvienības un padotības iestādēm ar kurām projekts jāsaskaņo</w:t>
            </w:r>
          </w:p>
        </w:tc>
        <w:tc>
          <w:tcPr>
            <w:tcW w:w="6633" w:type="dxa"/>
          </w:tcPr>
          <w:p w14:paraId="17A12F3D" w14:textId="06BCA854" w:rsidR="00F92400" w:rsidRPr="00B37101" w:rsidRDefault="00B745DB" w:rsidP="00AA4CE9">
            <w:pPr>
              <w:pStyle w:val="NoSpacing"/>
              <w:rPr>
                <w:color w:val="FF0000"/>
                <w:sz w:val="24"/>
                <w:szCs w:val="24"/>
                <w:lang w:val="lv-LV"/>
              </w:rPr>
            </w:pPr>
            <w:r>
              <w:rPr>
                <w:sz w:val="24"/>
                <w:szCs w:val="24"/>
                <w:lang w:val="lv-LV"/>
              </w:rPr>
              <w:t xml:space="preserve">Juridiskais </w:t>
            </w:r>
            <w:r w:rsidR="00F92400" w:rsidRPr="00B37101">
              <w:rPr>
                <w:sz w:val="24"/>
                <w:szCs w:val="24"/>
                <w:lang w:val="lv-LV"/>
              </w:rPr>
              <w:t>departaments</w:t>
            </w:r>
            <w:r w:rsidR="009B0A82">
              <w:rPr>
                <w:sz w:val="24"/>
                <w:szCs w:val="24"/>
                <w:lang w:val="lv-LV"/>
              </w:rPr>
              <w:t>.</w:t>
            </w:r>
          </w:p>
          <w:p w14:paraId="1D9DF042" w14:textId="77777777" w:rsidR="00F92400" w:rsidRPr="00B37101" w:rsidRDefault="00F92400" w:rsidP="00AA4CE9">
            <w:pPr>
              <w:pStyle w:val="NoSpacing"/>
              <w:rPr>
                <w:b/>
                <w:sz w:val="24"/>
                <w:szCs w:val="24"/>
                <w:lang w:val="lv-LV"/>
              </w:rPr>
            </w:pPr>
          </w:p>
        </w:tc>
      </w:tr>
      <w:tr w:rsidR="00F92400" w:rsidRPr="00B37101" w14:paraId="549D7BE4" w14:textId="77777777" w:rsidTr="00055EF5">
        <w:tc>
          <w:tcPr>
            <w:tcW w:w="710" w:type="dxa"/>
            <w:vAlign w:val="center"/>
          </w:tcPr>
          <w:p w14:paraId="3A4A23A8" w14:textId="77777777" w:rsidR="00F92400" w:rsidRPr="00497F09" w:rsidRDefault="00F92400" w:rsidP="00AA4CE9">
            <w:pPr>
              <w:numPr>
                <w:ilvl w:val="0"/>
                <w:numId w:val="1"/>
              </w:numPr>
              <w:contextualSpacing/>
              <w:jc w:val="center"/>
              <w:rPr>
                <w:sz w:val="24"/>
                <w:szCs w:val="24"/>
              </w:rPr>
            </w:pPr>
          </w:p>
        </w:tc>
        <w:tc>
          <w:tcPr>
            <w:tcW w:w="2722" w:type="dxa"/>
          </w:tcPr>
          <w:p w14:paraId="4946A7FE" w14:textId="77777777" w:rsidR="00F92400" w:rsidRPr="00497F09" w:rsidRDefault="00F92400" w:rsidP="00AA4CE9">
            <w:pPr>
              <w:jc w:val="both"/>
              <w:rPr>
                <w:rFonts w:eastAsia="Times New Roman"/>
                <w:sz w:val="24"/>
                <w:szCs w:val="24"/>
              </w:rPr>
            </w:pPr>
            <w:r w:rsidRPr="00497F09">
              <w:rPr>
                <w:rFonts w:eastAsia="Times New Roman"/>
                <w:sz w:val="24"/>
                <w:szCs w:val="24"/>
              </w:rPr>
              <w:t>Saskaņošanas termiņš</w:t>
            </w:r>
          </w:p>
        </w:tc>
        <w:tc>
          <w:tcPr>
            <w:tcW w:w="6633" w:type="dxa"/>
          </w:tcPr>
          <w:p w14:paraId="36A78B73" w14:textId="4F6CA565" w:rsidR="00F92400" w:rsidRPr="003110B3" w:rsidRDefault="00855C0E" w:rsidP="008B204F">
            <w:pPr>
              <w:rPr>
                <w:rFonts w:eastAsia="Times New Roman"/>
                <w:sz w:val="24"/>
                <w:szCs w:val="24"/>
              </w:rPr>
            </w:pPr>
            <w:r>
              <w:rPr>
                <w:rFonts w:eastAsia="Times New Roman"/>
                <w:sz w:val="24"/>
                <w:szCs w:val="24"/>
              </w:rPr>
              <w:t>N</w:t>
            </w:r>
            <w:r w:rsidR="001B1E1E">
              <w:rPr>
                <w:rFonts w:eastAsia="Times New Roman"/>
                <w:sz w:val="24"/>
                <w:szCs w:val="24"/>
              </w:rPr>
              <w:t>osūtīts</w:t>
            </w:r>
            <w:r w:rsidR="00DD7220">
              <w:rPr>
                <w:rFonts w:eastAsia="Times New Roman"/>
                <w:sz w:val="24"/>
                <w:szCs w:val="24"/>
              </w:rPr>
              <w:t xml:space="preserve"> struktūrvienībām</w:t>
            </w:r>
            <w:r w:rsidR="001B1E1E">
              <w:rPr>
                <w:rFonts w:eastAsia="Times New Roman"/>
                <w:sz w:val="24"/>
                <w:szCs w:val="24"/>
              </w:rPr>
              <w:t xml:space="preserve"> saskaņošanai </w:t>
            </w:r>
            <w:r w:rsidR="009B0A82">
              <w:rPr>
                <w:rFonts w:eastAsia="Times New Roman"/>
                <w:sz w:val="24"/>
                <w:szCs w:val="24"/>
              </w:rPr>
              <w:t>22</w:t>
            </w:r>
            <w:r w:rsidRPr="00BD70FC">
              <w:rPr>
                <w:rFonts w:eastAsia="Times New Roman"/>
                <w:sz w:val="24"/>
                <w:szCs w:val="24"/>
              </w:rPr>
              <w:t>.</w:t>
            </w:r>
            <w:r w:rsidR="009B0A82">
              <w:rPr>
                <w:rFonts w:eastAsia="Times New Roman"/>
                <w:sz w:val="24"/>
                <w:szCs w:val="24"/>
              </w:rPr>
              <w:t>12</w:t>
            </w:r>
            <w:r w:rsidRPr="00BD70FC">
              <w:rPr>
                <w:rFonts w:eastAsia="Times New Roman"/>
                <w:sz w:val="24"/>
                <w:szCs w:val="24"/>
              </w:rPr>
              <w:t>.20</w:t>
            </w:r>
            <w:r w:rsidR="009B0A82">
              <w:rPr>
                <w:rFonts w:eastAsia="Times New Roman"/>
                <w:sz w:val="24"/>
                <w:szCs w:val="24"/>
              </w:rPr>
              <w:t>21.</w:t>
            </w:r>
            <w:r>
              <w:rPr>
                <w:rFonts w:eastAsia="Times New Roman"/>
                <w:sz w:val="24"/>
                <w:szCs w:val="24"/>
              </w:rPr>
              <w:t xml:space="preserve">, saskaņot līdz </w:t>
            </w:r>
            <w:r w:rsidR="009B0A82">
              <w:rPr>
                <w:rFonts w:eastAsia="Times New Roman"/>
                <w:sz w:val="24"/>
                <w:szCs w:val="24"/>
              </w:rPr>
              <w:t>06</w:t>
            </w:r>
            <w:r w:rsidRPr="008B204F">
              <w:rPr>
                <w:rFonts w:eastAsia="Times New Roman"/>
                <w:sz w:val="24"/>
                <w:szCs w:val="24"/>
              </w:rPr>
              <w:t>.</w:t>
            </w:r>
            <w:r w:rsidR="00F04C05">
              <w:rPr>
                <w:rFonts w:eastAsia="Times New Roman"/>
                <w:sz w:val="24"/>
                <w:szCs w:val="24"/>
              </w:rPr>
              <w:t>01</w:t>
            </w:r>
            <w:r w:rsidRPr="008B204F">
              <w:rPr>
                <w:rFonts w:eastAsia="Times New Roman"/>
                <w:sz w:val="24"/>
                <w:szCs w:val="24"/>
              </w:rPr>
              <w:t>.20</w:t>
            </w:r>
            <w:r w:rsidR="009B0A82">
              <w:rPr>
                <w:rFonts w:eastAsia="Times New Roman"/>
                <w:sz w:val="24"/>
                <w:szCs w:val="24"/>
              </w:rPr>
              <w:t>2</w:t>
            </w:r>
            <w:r w:rsidR="00F832A4">
              <w:rPr>
                <w:rFonts w:eastAsia="Times New Roman"/>
                <w:sz w:val="24"/>
                <w:szCs w:val="24"/>
              </w:rPr>
              <w:t>2</w:t>
            </w:r>
            <w:r w:rsidRPr="008B204F">
              <w:rPr>
                <w:rFonts w:eastAsia="Times New Roman"/>
                <w:sz w:val="24"/>
                <w:szCs w:val="24"/>
              </w:rPr>
              <w:t>.</w:t>
            </w:r>
          </w:p>
        </w:tc>
      </w:tr>
      <w:tr w:rsidR="00F92400" w:rsidRPr="00B37101" w14:paraId="43309612" w14:textId="77777777" w:rsidTr="00055EF5">
        <w:tc>
          <w:tcPr>
            <w:tcW w:w="710" w:type="dxa"/>
            <w:vAlign w:val="center"/>
          </w:tcPr>
          <w:p w14:paraId="38A6ADC0" w14:textId="77777777" w:rsidR="00F92400" w:rsidRPr="00497F09" w:rsidRDefault="00F92400" w:rsidP="00AA4CE9">
            <w:pPr>
              <w:numPr>
                <w:ilvl w:val="0"/>
                <w:numId w:val="1"/>
              </w:numPr>
              <w:contextualSpacing/>
              <w:jc w:val="center"/>
              <w:rPr>
                <w:sz w:val="24"/>
                <w:szCs w:val="24"/>
              </w:rPr>
            </w:pPr>
          </w:p>
        </w:tc>
        <w:tc>
          <w:tcPr>
            <w:tcW w:w="2722" w:type="dxa"/>
          </w:tcPr>
          <w:p w14:paraId="6D646302" w14:textId="77777777" w:rsidR="00F92400" w:rsidRPr="00497F09" w:rsidRDefault="00F92400" w:rsidP="00AA4CE9">
            <w:pPr>
              <w:jc w:val="both"/>
              <w:rPr>
                <w:rFonts w:eastAsia="Times New Roman"/>
                <w:sz w:val="24"/>
                <w:szCs w:val="24"/>
              </w:rPr>
            </w:pPr>
            <w:r w:rsidRPr="00497F09">
              <w:rPr>
                <w:rFonts w:eastAsia="Times New Roman"/>
                <w:sz w:val="24"/>
                <w:szCs w:val="24"/>
              </w:rPr>
              <w:t>Prognozējamā projekta finansiālā ietekme uz valsts budžetu</w:t>
            </w:r>
          </w:p>
        </w:tc>
        <w:tc>
          <w:tcPr>
            <w:tcW w:w="6633" w:type="dxa"/>
          </w:tcPr>
          <w:p w14:paraId="22E3C0BC" w14:textId="77777777" w:rsidR="00F17A93" w:rsidRDefault="00F17A93" w:rsidP="00F17A93">
            <w:pPr>
              <w:tabs>
                <w:tab w:val="num" w:pos="1440"/>
              </w:tabs>
              <w:jc w:val="both"/>
              <w:rPr>
                <w:rFonts w:eastAsia="Times New Roman"/>
                <w:sz w:val="24"/>
                <w:szCs w:val="24"/>
              </w:rPr>
            </w:pPr>
            <w:r>
              <w:rPr>
                <w:sz w:val="24"/>
                <w:szCs w:val="24"/>
              </w:rPr>
              <w:t>Noteikumu projekts</w:t>
            </w:r>
            <w:r w:rsidR="006A13EF">
              <w:rPr>
                <w:sz w:val="24"/>
                <w:szCs w:val="24"/>
              </w:rPr>
              <w:t xml:space="preserve"> </w:t>
            </w:r>
            <w:r w:rsidR="001C201B">
              <w:rPr>
                <w:rFonts w:eastAsia="Times New Roman"/>
                <w:sz w:val="24"/>
                <w:szCs w:val="24"/>
              </w:rPr>
              <w:t>neparedz</w:t>
            </w:r>
            <w:r w:rsidR="00F92400" w:rsidRPr="00675AD1">
              <w:rPr>
                <w:rFonts w:eastAsia="Times New Roman"/>
                <w:sz w:val="24"/>
                <w:szCs w:val="24"/>
              </w:rPr>
              <w:t xml:space="preserve"> ietekm</w:t>
            </w:r>
            <w:r w:rsidR="001C201B">
              <w:rPr>
                <w:rFonts w:eastAsia="Times New Roman"/>
                <w:sz w:val="24"/>
                <w:szCs w:val="24"/>
              </w:rPr>
              <w:t>i</w:t>
            </w:r>
            <w:r w:rsidR="00F92400" w:rsidRPr="00675AD1">
              <w:rPr>
                <w:rFonts w:eastAsia="Times New Roman"/>
                <w:sz w:val="24"/>
                <w:szCs w:val="24"/>
              </w:rPr>
              <w:t xml:space="preserve"> uz valsts budžetu</w:t>
            </w:r>
            <w:r w:rsidR="001C201B">
              <w:rPr>
                <w:rFonts w:eastAsia="Times New Roman"/>
                <w:sz w:val="24"/>
                <w:szCs w:val="24"/>
              </w:rPr>
              <w:t>.</w:t>
            </w:r>
            <w:r>
              <w:rPr>
                <w:rFonts w:eastAsia="Times New Roman"/>
                <w:sz w:val="24"/>
                <w:szCs w:val="24"/>
              </w:rPr>
              <w:t xml:space="preserve"> Likumprojektā tika paredzēts, ka tajā </w:t>
            </w:r>
            <w:r w:rsidRPr="00F17A93">
              <w:rPr>
                <w:rFonts w:eastAsia="Times New Roman"/>
                <w:sz w:val="24"/>
                <w:szCs w:val="24"/>
              </w:rPr>
              <w:t xml:space="preserve">noteikto papildu funkciju izpildei Datu valsts inspekcijā nepieciešams izveidot 2 amata vietas kopīgā klienta izpētes rīka licences pieteikumu izvērtēšanai un darbības uzraudzībai. </w:t>
            </w:r>
            <w:r w:rsidR="003911F2" w:rsidRPr="003911F2">
              <w:rPr>
                <w:rFonts w:eastAsia="Times New Roman"/>
                <w:sz w:val="24"/>
                <w:szCs w:val="24"/>
              </w:rPr>
              <w:t>Pasākumu plān</w:t>
            </w:r>
            <w:r w:rsidR="003911F2">
              <w:rPr>
                <w:rFonts w:eastAsia="Times New Roman"/>
                <w:sz w:val="24"/>
                <w:szCs w:val="24"/>
              </w:rPr>
              <w:t>ā</w:t>
            </w:r>
            <w:r w:rsidR="003911F2" w:rsidRPr="003911F2">
              <w:rPr>
                <w:rFonts w:eastAsia="Times New Roman"/>
                <w:sz w:val="24"/>
                <w:szCs w:val="24"/>
              </w:rPr>
              <w:t xml:space="preserve"> noziedzīgi iegūtu līdzekļu legalizācijas, terorisma un proliferācijas finansēšanas novēršanai laikposmam no 2020. līdz 2022. gadam</w:t>
            </w:r>
            <w:r w:rsidR="003911F2">
              <w:rPr>
                <w:rFonts w:eastAsia="Times New Roman"/>
                <w:sz w:val="24"/>
                <w:szCs w:val="24"/>
              </w:rPr>
              <w:t xml:space="preserve"> </w:t>
            </w:r>
            <w:r w:rsidRPr="00F17A93">
              <w:rPr>
                <w:rFonts w:eastAsia="Times New Roman"/>
                <w:sz w:val="24"/>
                <w:szCs w:val="24"/>
              </w:rPr>
              <w:t>tiek paredzēta jauno funkciju nodrošināšana un finansējums atbilstoši plānotajiem izdevumiem -  2021.gadā 64 643 </w:t>
            </w:r>
            <w:r w:rsidRPr="00F17A93">
              <w:rPr>
                <w:rFonts w:eastAsia="Times New Roman"/>
                <w:i/>
                <w:iCs/>
                <w:sz w:val="24"/>
                <w:szCs w:val="24"/>
              </w:rPr>
              <w:t>euro</w:t>
            </w:r>
            <w:r w:rsidRPr="00F17A93">
              <w:rPr>
                <w:rFonts w:eastAsia="Times New Roman"/>
                <w:sz w:val="24"/>
                <w:szCs w:val="24"/>
              </w:rPr>
              <w:t>, 2022.gadā un turpmākajos gados 108 224 </w:t>
            </w:r>
            <w:r w:rsidRPr="00F17A93">
              <w:rPr>
                <w:rFonts w:eastAsia="Times New Roman"/>
                <w:i/>
                <w:iCs/>
                <w:sz w:val="24"/>
                <w:szCs w:val="24"/>
              </w:rPr>
              <w:t>euro</w:t>
            </w:r>
            <w:r w:rsidRPr="00F17A93">
              <w:rPr>
                <w:rFonts w:eastAsia="Times New Roman"/>
                <w:sz w:val="24"/>
                <w:szCs w:val="24"/>
              </w:rPr>
              <w:t>. Šī summa aprēķināta, no 2021.gada izmaksām (64 643 </w:t>
            </w:r>
            <w:r w:rsidRPr="00F17A93">
              <w:rPr>
                <w:rFonts w:eastAsia="Times New Roman"/>
                <w:i/>
                <w:iCs/>
                <w:sz w:val="24"/>
                <w:szCs w:val="24"/>
              </w:rPr>
              <w:t>euro</w:t>
            </w:r>
            <w:r w:rsidRPr="00F17A93">
              <w:rPr>
                <w:rFonts w:eastAsia="Times New Roman"/>
                <w:sz w:val="24"/>
                <w:szCs w:val="24"/>
              </w:rPr>
              <w:t>) atņemot vienreizējos izdevumus (4 227 </w:t>
            </w:r>
            <w:r w:rsidRPr="00F17A93">
              <w:rPr>
                <w:rFonts w:eastAsia="Times New Roman"/>
                <w:i/>
                <w:iCs/>
                <w:sz w:val="24"/>
                <w:szCs w:val="24"/>
              </w:rPr>
              <w:t>euro</w:t>
            </w:r>
            <w:r w:rsidRPr="00F17A93">
              <w:rPr>
                <w:rFonts w:eastAsia="Times New Roman"/>
                <w:sz w:val="24"/>
                <w:szCs w:val="24"/>
              </w:rPr>
              <w:t>) un palielināta par audita veikšanas pakalpojumiem (47 808 </w:t>
            </w:r>
            <w:r w:rsidRPr="00F17A93">
              <w:rPr>
                <w:rFonts w:eastAsia="Times New Roman"/>
                <w:i/>
                <w:iCs/>
                <w:sz w:val="24"/>
                <w:szCs w:val="24"/>
              </w:rPr>
              <w:t>euro</w:t>
            </w:r>
            <w:r w:rsidRPr="00F17A93">
              <w:rPr>
                <w:rFonts w:eastAsia="Times New Roman"/>
                <w:sz w:val="24"/>
                <w:szCs w:val="24"/>
              </w:rPr>
              <w:t>).</w:t>
            </w:r>
          </w:p>
          <w:p w14:paraId="3F372FC6" w14:textId="0A936B6B" w:rsidR="003911F2" w:rsidRPr="00675AD1" w:rsidRDefault="003911F2" w:rsidP="00F17A93">
            <w:pPr>
              <w:tabs>
                <w:tab w:val="num" w:pos="1440"/>
              </w:tabs>
              <w:jc w:val="both"/>
              <w:rPr>
                <w:rFonts w:eastAsia="Times New Roman"/>
                <w:sz w:val="24"/>
                <w:szCs w:val="24"/>
              </w:rPr>
            </w:pPr>
            <w:r>
              <w:rPr>
                <w:rFonts w:eastAsia="Times New Roman"/>
                <w:sz w:val="24"/>
                <w:szCs w:val="24"/>
              </w:rPr>
              <w:t>Tāpat veidosies budžeta ieņēmumi no nodevām par licencēšanu un darbības uzraudzību</w:t>
            </w:r>
            <w:r w:rsidR="00DE71B8">
              <w:rPr>
                <w:rFonts w:eastAsia="Times New Roman"/>
                <w:sz w:val="24"/>
                <w:szCs w:val="24"/>
              </w:rPr>
              <w:t xml:space="preserve">, kas aprēķināti Likumprojekta izstrādes  ietvaros. </w:t>
            </w:r>
          </w:p>
        </w:tc>
      </w:tr>
      <w:tr w:rsidR="00F92400" w:rsidRPr="00B37101" w14:paraId="6E0EA6C0" w14:textId="77777777" w:rsidTr="00055EF5">
        <w:tc>
          <w:tcPr>
            <w:tcW w:w="710" w:type="dxa"/>
            <w:vAlign w:val="center"/>
          </w:tcPr>
          <w:p w14:paraId="39FA13E5" w14:textId="77777777" w:rsidR="00F92400" w:rsidRPr="00497F09" w:rsidRDefault="00F92400" w:rsidP="00AA4CE9">
            <w:pPr>
              <w:numPr>
                <w:ilvl w:val="0"/>
                <w:numId w:val="1"/>
              </w:numPr>
              <w:contextualSpacing/>
              <w:jc w:val="center"/>
              <w:rPr>
                <w:sz w:val="24"/>
                <w:szCs w:val="24"/>
              </w:rPr>
            </w:pPr>
          </w:p>
        </w:tc>
        <w:tc>
          <w:tcPr>
            <w:tcW w:w="2722" w:type="dxa"/>
          </w:tcPr>
          <w:p w14:paraId="49DA0C7C" w14:textId="77777777" w:rsidR="00F92400" w:rsidRPr="00497F09" w:rsidRDefault="00F92400" w:rsidP="00AA4CE9">
            <w:pPr>
              <w:jc w:val="both"/>
              <w:rPr>
                <w:rFonts w:eastAsia="Times New Roman"/>
                <w:sz w:val="24"/>
                <w:szCs w:val="24"/>
              </w:rPr>
            </w:pPr>
            <w:r w:rsidRPr="00497F09">
              <w:rPr>
                <w:rFonts w:eastAsia="Times New Roman"/>
                <w:sz w:val="24"/>
                <w:szCs w:val="24"/>
              </w:rPr>
              <w:t>Tiesību akta pieņemšanas kalendārais plāns</w:t>
            </w:r>
          </w:p>
        </w:tc>
        <w:tc>
          <w:tcPr>
            <w:tcW w:w="6633" w:type="dxa"/>
          </w:tcPr>
          <w:p w14:paraId="4D1DD826" w14:textId="5A55E00D" w:rsidR="00F92400" w:rsidRPr="00675AD1" w:rsidRDefault="00F17A93" w:rsidP="00AA4CE9">
            <w:pPr>
              <w:rPr>
                <w:rFonts w:eastAsia="Times New Roman"/>
                <w:sz w:val="24"/>
                <w:szCs w:val="24"/>
              </w:rPr>
            </w:pPr>
            <w:r>
              <w:rPr>
                <w:rFonts w:eastAsia="Times New Roman"/>
                <w:sz w:val="24"/>
                <w:szCs w:val="24"/>
              </w:rPr>
              <w:t>Nodots saskaņošanā TAP:</w:t>
            </w:r>
          </w:p>
          <w:p w14:paraId="0CFA0140" w14:textId="6EE047CB" w:rsidR="00F92400" w:rsidRPr="00675AD1" w:rsidRDefault="00F92400" w:rsidP="008B204F">
            <w:pPr>
              <w:rPr>
                <w:rFonts w:eastAsia="Times New Roman"/>
                <w:sz w:val="24"/>
                <w:szCs w:val="24"/>
              </w:rPr>
            </w:pPr>
            <w:r w:rsidRPr="00675AD1">
              <w:rPr>
                <w:rFonts w:eastAsia="Times New Roman"/>
                <w:sz w:val="24"/>
                <w:szCs w:val="24"/>
              </w:rPr>
              <w:t xml:space="preserve">Iesniegts </w:t>
            </w:r>
            <w:r w:rsidR="00B03AC3">
              <w:rPr>
                <w:rFonts w:eastAsia="Times New Roman"/>
                <w:sz w:val="24"/>
                <w:szCs w:val="24"/>
              </w:rPr>
              <w:t>VK.</w:t>
            </w:r>
          </w:p>
        </w:tc>
      </w:tr>
      <w:tr w:rsidR="001C230A" w:rsidRPr="00B37101" w14:paraId="3C228DA5" w14:textId="77777777" w:rsidTr="00055EF5">
        <w:tc>
          <w:tcPr>
            <w:tcW w:w="710" w:type="dxa"/>
            <w:vAlign w:val="center"/>
          </w:tcPr>
          <w:p w14:paraId="431FFDEC" w14:textId="77777777" w:rsidR="001C230A" w:rsidRPr="00497F09" w:rsidRDefault="001C230A" w:rsidP="00AA4CE9">
            <w:pPr>
              <w:numPr>
                <w:ilvl w:val="0"/>
                <w:numId w:val="1"/>
              </w:numPr>
              <w:contextualSpacing/>
              <w:jc w:val="center"/>
              <w:rPr>
                <w:sz w:val="24"/>
                <w:szCs w:val="24"/>
              </w:rPr>
            </w:pPr>
          </w:p>
        </w:tc>
        <w:tc>
          <w:tcPr>
            <w:tcW w:w="2722" w:type="dxa"/>
          </w:tcPr>
          <w:p w14:paraId="3D5D2F69" w14:textId="77777777" w:rsidR="001C230A" w:rsidRPr="00497F09" w:rsidRDefault="001C230A" w:rsidP="00AA4CE9">
            <w:pPr>
              <w:jc w:val="both"/>
              <w:rPr>
                <w:rFonts w:eastAsia="Times New Roman"/>
                <w:sz w:val="24"/>
                <w:szCs w:val="24"/>
              </w:rPr>
            </w:pPr>
            <w:r>
              <w:rPr>
                <w:rFonts w:eastAsia="Times New Roman"/>
                <w:sz w:val="24"/>
                <w:szCs w:val="24"/>
              </w:rPr>
              <w:t>Politikas joma</w:t>
            </w:r>
          </w:p>
        </w:tc>
        <w:tc>
          <w:tcPr>
            <w:tcW w:w="6633" w:type="dxa"/>
          </w:tcPr>
          <w:p w14:paraId="3AF09F78" w14:textId="77777777" w:rsidR="001C230A" w:rsidRPr="00E71488" w:rsidRDefault="00E71488" w:rsidP="00E71488">
            <w:pPr>
              <w:jc w:val="both"/>
              <w:rPr>
                <w:sz w:val="24"/>
                <w:szCs w:val="24"/>
                <w:lang w:bidi="en-US"/>
              </w:rPr>
            </w:pPr>
            <w:r w:rsidRPr="00FE3322">
              <w:rPr>
                <w:sz w:val="24"/>
                <w:szCs w:val="24"/>
                <w:lang w:bidi="en-US"/>
              </w:rPr>
              <w:t>Bud</w:t>
            </w:r>
            <w:r>
              <w:rPr>
                <w:sz w:val="24"/>
                <w:szCs w:val="24"/>
                <w:lang w:bidi="en-US"/>
              </w:rPr>
              <w:t>žeta un finanšu politikas joma.</w:t>
            </w:r>
          </w:p>
        </w:tc>
      </w:tr>
      <w:tr w:rsidR="00F92400" w:rsidRPr="00B37101" w14:paraId="16CE4530" w14:textId="77777777" w:rsidTr="00055EF5">
        <w:tc>
          <w:tcPr>
            <w:tcW w:w="710" w:type="dxa"/>
            <w:tcBorders>
              <w:bottom w:val="single" w:sz="4" w:space="0" w:color="000000"/>
            </w:tcBorders>
            <w:vAlign w:val="center"/>
          </w:tcPr>
          <w:p w14:paraId="14A0BE9F" w14:textId="77777777" w:rsidR="00F92400" w:rsidRPr="00497F09" w:rsidRDefault="00F92400" w:rsidP="00AA4CE9">
            <w:pPr>
              <w:numPr>
                <w:ilvl w:val="0"/>
                <w:numId w:val="1"/>
              </w:numPr>
              <w:contextualSpacing/>
              <w:jc w:val="center"/>
              <w:rPr>
                <w:sz w:val="24"/>
                <w:szCs w:val="24"/>
              </w:rPr>
            </w:pPr>
          </w:p>
        </w:tc>
        <w:tc>
          <w:tcPr>
            <w:tcW w:w="2722" w:type="dxa"/>
            <w:tcBorders>
              <w:bottom w:val="single" w:sz="4" w:space="0" w:color="000000"/>
            </w:tcBorders>
          </w:tcPr>
          <w:p w14:paraId="75BD9EC5" w14:textId="77777777" w:rsidR="00F92400" w:rsidRPr="00497F09" w:rsidRDefault="00F92400" w:rsidP="00AA4CE9">
            <w:pPr>
              <w:jc w:val="both"/>
              <w:rPr>
                <w:rFonts w:eastAsia="Times New Roman"/>
                <w:sz w:val="24"/>
                <w:szCs w:val="24"/>
              </w:rPr>
            </w:pPr>
            <w:r w:rsidRPr="00497F09">
              <w:rPr>
                <w:rFonts w:eastAsia="Times New Roman"/>
                <w:sz w:val="24"/>
                <w:szCs w:val="24"/>
              </w:rPr>
              <w:t>Uzziņas sagatavotājs</w:t>
            </w:r>
          </w:p>
        </w:tc>
        <w:tc>
          <w:tcPr>
            <w:tcW w:w="6633" w:type="dxa"/>
            <w:tcBorders>
              <w:bottom w:val="single" w:sz="4" w:space="0" w:color="000000"/>
            </w:tcBorders>
          </w:tcPr>
          <w:p w14:paraId="0680D093" w14:textId="77777777" w:rsidR="00F92400" w:rsidRPr="00675AD1" w:rsidRDefault="00D82732" w:rsidP="00AA4CE9">
            <w:pPr>
              <w:rPr>
                <w:rFonts w:eastAsia="Times New Roman"/>
                <w:sz w:val="24"/>
                <w:szCs w:val="24"/>
              </w:rPr>
            </w:pPr>
            <w:r w:rsidRPr="00D82732">
              <w:rPr>
                <w:sz w:val="24"/>
                <w:szCs w:val="24"/>
              </w:rPr>
              <w:t>Finanšu tirgus politikas departamenta Kredītiestāžu un maksājumu pakalpojumu politikas nodaļas jurists Kristaps Ziediņš  (tālr. 67095600, e-pasts: kristaps.ziedins@fm.gov.lv)</w:t>
            </w:r>
            <w:r w:rsidR="005D3662">
              <w:rPr>
                <w:sz w:val="24"/>
                <w:szCs w:val="24"/>
              </w:rPr>
              <w:t>.</w:t>
            </w:r>
          </w:p>
        </w:tc>
      </w:tr>
      <w:tr w:rsidR="00F92400" w:rsidRPr="00B37101" w14:paraId="110D04D9" w14:textId="77777777" w:rsidTr="00AA4CE9">
        <w:tc>
          <w:tcPr>
            <w:tcW w:w="10065" w:type="dxa"/>
            <w:gridSpan w:val="3"/>
            <w:tcBorders>
              <w:left w:val="nil"/>
              <w:bottom w:val="nil"/>
              <w:right w:val="nil"/>
            </w:tcBorders>
          </w:tcPr>
          <w:p w14:paraId="0240F53E" w14:textId="77777777" w:rsidR="00F92400" w:rsidRPr="00497F09" w:rsidRDefault="00F92400" w:rsidP="00AA4CE9">
            <w:pPr>
              <w:rPr>
                <w:rFonts w:eastAsia="Times New Roman"/>
                <w:sz w:val="24"/>
                <w:szCs w:val="24"/>
              </w:rPr>
            </w:pPr>
          </w:p>
        </w:tc>
      </w:tr>
    </w:tbl>
    <w:p w14:paraId="3B7FAA96" w14:textId="77777777" w:rsidR="00F92400" w:rsidRPr="00141FD0" w:rsidRDefault="00F92400" w:rsidP="00F92400">
      <w:pPr>
        <w:pStyle w:val="BodyText10"/>
        <w:shd w:val="clear" w:color="auto" w:fill="auto"/>
        <w:spacing w:before="0"/>
        <w:ind w:firstLine="0"/>
        <w:jc w:val="both"/>
        <w:rPr>
          <w:rFonts w:ascii="Times New Roman" w:hAnsi="Times New Roman"/>
          <w:bCs/>
          <w:sz w:val="24"/>
          <w:szCs w:val="24"/>
        </w:rPr>
      </w:pPr>
      <w:r w:rsidRPr="00141FD0">
        <w:rPr>
          <w:rFonts w:ascii="Times New Roman" w:hAnsi="Times New Roman"/>
          <w:sz w:val="24"/>
          <w:szCs w:val="24"/>
        </w:rPr>
        <w:t>A.</w:t>
      </w:r>
      <w:r w:rsidR="003F3894">
        <w:rPr>
          <w:rFonts w:ascii="Times New Roman" w:hAnsi="Times New Roman"/>
          <w:sz w:val="24"/>
          <w:szCs w:val="24"/>
        </w:rPr>
        <w:t>Zitcere</w:t>
      </w:r>
      <w:r w:rsidRPr="00141FD0">
        <w:rPr>
          <w:rFonts w:ascii="Times New Roman" w:hAnsi="Times New Roman"/>
          <w:sz w:val="24"/>
          <w:szCs w:val="24"/>
        </w:rPr>
        <w:t>, Finanšu tirgus politikas departamenta direktore</w:t>
      </w:r>
    </w:p>
    <w:p w14:paraId="2BC01E5A" w14:textId="77777777" w:rsidR="0050768C" w:rsidRPr="00141FD0" w:rsidRDefault="0050768C" w:rsidP="0050768C">
      <w:pPr>
        <w:pStyle w:val="BodyText10"/>
        <w:shd w:val="clear" w:color="auto" w:fill="auto"/>
        <w:spacing w:before="0"/>
        <w:ind w:firstLine="0"/>
        <w:jc w:val="both"/>
        <w:rPr>
          <w:rFonts w:ascii="Times New Roman" w:hAnsi="Times New Roman"/>
          <w:color w:val="333333"/>
          <w:sz w:val="24"/>
          <w:szCs w:val="24"/>
        </w:rPr>
      </w:pPr>
      <w:r w:rsidRPr="00141FD0">
        <w:rPr>
          <w:rFonts w:ascii="Times New Roman" w:hAnsi="Times New Roman"/>
          <w:sz w:val="24"/>
          <w:szCs w:val="24"/>
        </w:rPr>
        <w:t>Tālrunis</w:t>
      </w:r>
      <w:r>
        <w:rPr>
          <w:rFonts w:ascii="Times New Roman" w:hAnsi="Times New Roman"/>
          <w:sz w:val="24"/>
          <w:szCs w:val="24"/>
        </w:rPr>
        <w:t xml:space="preserve"> 670</w:t>
      </w:r>
      <w:r w:rsidR="00EF14CD">
        <w:rPr>
          <w:rFonts w:ascii="Times New Roman" w:hAnsi="Times New Roman"/>
          <w:sz w:val="24"/>
          <w:szCs w:val="24"/>
        </w:rPr>
        <w:t>95553</w:t>
      </w:r>
      <w:r w:rsidRPr="00141FD0">
        <w:rPr>
          <w:rFonts w:ascii="Times New Roman" w:hAnsi="Times New Roman"/>
          <w:sz w:val="24"/>
          <w:szCs w:val="24"/>
        </w:rPr>
        <w:t xml:space="preserve">, e-pasts: </w:t>
      </w:r>
      <w:r>
        <w:rPr>
          <w:rFonts w:ascii="Times New Roman" w:hAnsi="Times New Roman"/>
          <w:sz w:val="24"/>
          <w:szCs w:val="24"/>
        </w:rPr>
        <w:t>a</w:t>
      </w:r>
      <w:r w:rsidR="002736D6">
        <w:rPr>
          <w:rFonts w:ascii="Times New Roman" w:hAnsi="Times New Roman"/>
          <w:sz w:val="24"/>
          <w:szCs w:val="24"/>
        </w:rPr>
        <w:t>ija</w:t>
      </w:r>
      <w:r>
        <w:rPr>
          <w:rFonts w:ascii="Times New Roman" w:hAnsi="Times New Roman"/>
          <w:sz w:val="24"/>
          <w:szCs w:val="24"/>
        </w:rPr>
        <w:t>.</w:t>
      </w:r>
      <w:r w:rsidR="002736D6">
        <w:rPr>
          <w:rFonts w:ascii="Times New Roman" w:hAnsi="Times New Roman"/>
          <w:sz w:val="24"/>
          <w:szCs w:val="24"/>
        </w:rPr>
        <w:t>zitcere</w:t>
      </w:r>
      <w:r w:rsidRPr="00445A20">
        <w:rPr>
          <w:rFonts w:ascii="Times New Roman" w:hAnsi="Times New Roman"/>
          <w:sz w:val="24"/>
          <w:szCs w:val="24"/>
        </w:rPr>
        <w:t>@fm.gov.lv</w:t>
      </w:r>
    </w:p>
    <w:p w14:paraId="04591EB8" w14:textId="03CEDDCA" w:rsidR="0050768C" w:rsidRPr="00141FD0" w:rsidRDefault="0050768C" w:rsidP="0050768C">
      <w:pPr>
        <w:pStyle w:val="BodyText10"/>
        <w:shd w:val="clear" w:color="auto" w:fill="auto"/>
        <w:spacing w:before="0"/>
        <w:ind w:firstLine="0"/>
        <w:jc w:val="both"/>
        <w:rPr>
          <w:rFonts w:ascii="Times New Roman" w:hAnsi="Times New Roman"/>
          <w:sz w:val="24"/>
          <w:szCs w:val="24"/>
        </w:rPr>
      </w:pPr>
      <w:r w:rsidRPr="00141FD0">
        <w:rPr>
          <w:rFonts w:ascii="Times New Roman" w:hAnsi="Times New Roman"/>
          <w:sz w:val="24"/>
          <w:szCs w:val="24"/>
        </w:rPr>
        <w:t>Uzziņa iesniegta</w:t>
      </w:r>
      <w:r>
        <w:rPr>
          <w:rFonts w:ascii="Times New Roman" w:hAnsi="Times New Roman"/>
          <w:color w:val="FF0000"/>
          <w:sz w:val="24"/>
          <w:szCs w:val="24"/>
        </w:rPr>
        <w:t xml:space="preserve"> </w:t>
      </w:r>
      <w:r w:rsidR="00F17A93">
        <w:rPr>
          <w:rFonts w:ascii="Times New Roman" w:hAnsi="Times New Roman"/>
          <w:sz w:val="24"/>
          <w:szCs w:val="24"/>
        </w:rPr>
        <w:t>1</w:t>
      </w:r>
      <w:r w:rsidR="00D82732">
        <w:rPr>
          <w:rFonts w:ascii="Times New Roman" w:hAnsi="Times New Roman"/>
          <w:sz w:val="24"/>
          <w:szCs w:val="24"/>
        </w:rPr>
        <w:t>6</w:t>
      </w:r>
      <w:r w:rsidRPr="003110B3">
        <w:rPr>
          <w:rFonts w:ascii="Times New Roman" w:hAnsi="Times New Roman"/>
          <w:sz w:val="24"/>
          <w:szCs w:val="24"/>
        </w:rPr>
        <w:t>.</w:t>
      </w:r>
      <w:r w:rsidR="00F17A93">
        <w:rPr>
          <w:rFonts w:ascii="Times New Roman" w:hAnsi="Times New Roman"/>
          <w:sz w:val="24"/>
          <w:szCs w:val="24"/>
        </w:rPr>
        <w:t>12</w:t>
      </w:r>
      <w:r w:rsidRPr="003110B3">
        <w:rPr>
          <w:rFonts w:ascii="Times New Roman" w:hAnsi="Times New Roman"/>
          <w:sz w:val="24"/>
          <w:szCs w:val="24"/>
        </w:rPr>
        <w:t>.20</w:t>
      </w:r>
      <w:r w:rsidR="00F17A93">
        <w:rPr>
          <w:rFonts w:ascii="Times New Roman" w:hAnsi="Times New Roman"/>
          <w:sz w:val="24"/>
          <w:szCs w:val="24"/>
        </w:rPr>
        <w:t>21</w:t>
      </w:r>
      <w:r w:rsidRPr="003110B3">
        <w:rPr>
          <w:rFonts w:ascii="Times New Roman" w:hAnsi="Times New Roman"/>
          <w:sz w:val="24"/>
          <w:szCs w:val="24"/>
        </w:rPr>
        <w:t>.</w:t>
      </w:r>
    </w:p>
    <w:sectPr w:rsidR="0050768C" w:rsidRPr="00141FD0" w:rsidSect="0050768C">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D4C4C"/>
    <w:multiLevelType w:val="hybridMultilevel"/>
    <w:tmpl w:val="7D12A042"/>
    <w:lvl w:ilvl="0" w:tplc="0426000F">
      <w:start w:val="1"/>
      <w:numFmt w:val="decimal"/>
      <w:lvlText w:val="%1."/>
      <w:lvlJc w:val="left"/>
      <w:pPr>
        <w:ind w:left="1095" w:hanging="360"/>
      </w:p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 w15:restartNumberingAfterBreak="0">
    <w:nsid w:val="3084762D"/>
    <w:multiLevelType w:val="hybridMultilevel"/>
    <w:tmpl w:val="BBB6B89C"/>
    <w:lvl w:ilvl="0" w:tplc="DF66EB3A">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CD00C9"/>
    <w:multiLevelType w:val="hybridMultilevel"/>
    <w:tmpl w:val="6AA26434"/>
    <w:lvl w:ilvl="0" w:tplc="9850C726">
      <w:start w:val="1"/>
      <w:numFmt w:val="decimal"/>
      <w:lvlText w:val="%1."/>
      <w:lvlJc w:val="center"/>
      <w:pPr>
        <w:ind w:left="644"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00"/>
    <w:rsid w:val="000455B7"/>
    <w:rsid w:val="00055EF5"/>
    <w:rsid w:val="000638F4"/>
    <w:rsid w:val="000712AE"/>
    <w:rsid w:val="00081EE4"/>
    <w:rsid w:val="00095C9B"/>
    <w:rsid w:val="000C4163"/>
    <w:rsid w:val="000D13AE"/>
    <w:rsid w:val="00192AB5"/>
    <w:rsid w:val="001A0EB6"/>
    <w:rsid w:val="001A11C1"/>
    <w:rsid w:val="001B1E1E"/>
    <w:rsid w:val="001C201B"/>
    <w:rsid w:val="001C230A"/>
    <w:rsid w:val="001E4EBF"/>
    <w:rsid w:val="00206D76"/>
    <w:rsid w:val="002274E3"/>
    <w:rsid w:val="002463AF"/>
    <w:rsid w:val="002736D6"/>
    <w:rsid w:val="002C1961"/>
    <w:rsid w:val="0033187D"/>
    <w:rsid w:val="003911F2"/>
    <w:rsid w:val="003B5D95"/>
    <w:rsid w:val="003F3894"/>
    <w:rsid w:val="00401624"/>
    <w:rsid w:val="00402ECB"/>
    <w:rsid w:val="004B2A9D"/>
    <w:rsid w:val="004F2ED4"/>
    <w:rsid w:val="0050768C"/>
    <w:rsid w:val="00537E79"/>
    <w:rsid w:val="00577AD8"/>
    <w:rsid w:val="005D3662"/>
    <w:rsid w:val="005F1F4C"/>
    <w:rsid w:val="0061319C"/>
    <w:rsid w:val="006A13EF"/>
    <w:rsid w:val="006A7669"/>
    <w:rsid w:val="006F2A29"/>
    <w:rsid w:val="006F5228"/>
    <w:rsid w:val="00700B8D"/>
    <w:rsid w:val="00706C9E"/>
    <w:rsid w:val="007867D6"/>
    <w:rsid w:val="00793FA0"/>
    <w:rsid w:val="007A0F24"/>
    <w:rsid w:val="00810CF4"/>
    <w:rsid w:val="008216AF"/>
    <w:rsid w:val="00855C0E"/>
    <w:rsid w:val="008B204F"/>
    <w:rsid w:val="008F1BA8"/>
    <w:rsid w:val="009717D3"/>
    <w:rsid w:val="009B0A82"/>
    <w:rsid w:val="009D4045"/>
    <w:rsid w:val="00A238BF"/>
    <w:rsid w:val="00A50375"/>
    <w:rsid w:val="00A65C44"/>
    <w:rsid w:val="00AA4CE9"/>
    <w:rsid w:val="00AD088C"/>
    <w:rsid w:val="00AF05EE"/>
    <w:rsid w:val="00B03AC3"/>
    <w:rsid w:val="00B37101"/>
    <w:rsid w:val="00B52E16"/>
    <w:rsid w:val="00B60B57"/>
    <w:rsid w:val="00B745DB"/>
    <w:rsid w:val="00B83C38"/>
    <w:rsid w:val="00BB1F0E"/>
    <w:rsid w:val="00BB4D14"/>
    <w:rsid w:val="00BD5341"/>
    <w:rsid w:val="00C6464C"/>
    <w:rsid w:val="00C75114"/>
    <w:rsid w:val="00CA7E94"/>
    <w:rsid w:val="00CF4362"/>
    <w:rsid w:val="00D62027"/>
    <w:rsid w:val="00D82732"/>
    <w:rsid w:val="00D830B9"/>
    <w:rsid w:val="00DD7220"/>
    <w:rsid w:val="00DE20C7"/>
    <w:rsid w:val="00DE5EF2"/>
    <w:rsid w:val="00DE71B8"/>
    <w:rsid w:val="00E54533"/>
    <w:rsid w:val="00E71488"/>
    <w:rsid w:val="00EB0C36"/>
    <w:rsid w:val="00EF14CD"/>
    <w:rsid w:val="00F04C05"/>
    <w:rsid w:val="00F17A93"/>
    <w:rsid w:val="00F27253"/>
    <w:rsid w:val="00F75BA1"/>
    <w:rsid w:val="00F832A4"/>
    <w:rsid w:val="00F92400"/>
    <w:rsid w:val="00FB7E5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C193"/>
  <w15:chartTrackingRefBased/>
  <w15:docId w15:val="{EE4A15C7-BD7A-41D6-ABE8-49DC59F4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400"/>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400"/>
    <w:pPr>
      <w:widowControl w:val="0"/>
      <w:tabs>
        <w:tab w:val="left" w:pos="851"/>
        <w:tab w:val="right" w:pos="9356"/>
      </w:tabs>
      <w:adjustRightInd w:val="0"/>
      <w:jc w:val="both"/>
    </w:pPr>
    <w:rPr>
      <w:rFonts w:ascii="Times New Roman" w:hAnsi="Times New Roman"/>
      <w:sz w:val="22"/>
      <w:lang w:val="en-GB" w:eastAsia="en-GB"/>
    </w:rPr>
  </w:style>
  <w:style w:type="character" w:styleId="Hyperlink">
    <w:name w:val="Hyperlink"/>
    <w:uiPriority w:val="99"/>
    <w:unhideWhenUsed/>
    <w:rsid w:val="00F92400"/>
    <w:rPr>
      <w:color w:val="0000FF"/>
      <w:u w:val="single"/>
    </w:rPr>
  </w:style>
  <w:style w:type="character" w:customStyle="1" w:styleId="Bodytext">
    <w:name w:val="Body text_"/>
    <w:link w:val="BodyText10"/>
    <w:rsid w:val="00F92400"/>
    <w:rPr>
      <w:rFonts w:eastAsia="Times New Roman"/>
      <w:sz w:val="23"/>
      <w:szCs w:val="23"/>
      <w:shd w:val="clear" w:color="auto" w:fill="FFFFFF"/>
    </w:rPr>
  </w:style>
  <w:style w:type="paragraph" w:customStyle="1" w:styleId="BodyText10">
    <w:name w:val="Body Text10"/>
    <w:basedOn w:val="Normal"/>
    <w:link w:val="Bodytext"/>
    <w:rsid w:val="00F92400"/>
    <w:pPr>
      <w:shd w:val="clear" w:color="auto" w:fill="FFFFFF"/>
      <w:spacing w:before="360" w:line="278" w:lineRule="exact"/>
      <w:ind w:hanging="360"/>
    </w:pPr>
    <w:rPr>
      <w:rFonts w:ascii="Calibri" w:eastAsia="Times New Roman" w:hAnsi="Calibri"/>
      <w:sz w:val="23"/>
      <w:szCs w:val="23"/>
    </w:rPr>
  </w:style>
  <w:style w:type="paragraph" w:customStyle="1" w:styleId="naisf">
    <w:name w:val="naisf"/>
    <w:basedOn w:val="Normal"/>
    <w:rsid w:val="00F92400"/>
    <w:pPr>
      <w:suppressAutoHyphens/>
      <w:spacing w:before="75" w:after="75"/>
      <w:ind w:firstLine="375"/>
      <w:jc w:val="both"/>
    </w:pPr>
    <w:rPr>
      <w:rFonts w:eastAsia="Times New Roman"/>
      <w:sz w:val="24"/>
      <w:szCs w:val="24"/>
      <w:lang w:eastAsia="ar-SA"/>
    </w:rPr>
  </w:style>
  <w:style w:type="paragraph" w:styleId="Header">
    <w:name w:val="header"/>
    <w:basedOn w:val="Normal"/>
    <w:link w:val="HeaderChar"/>
    <w:uiPriority w:val="99"/>
    <w:unhideWhenUsed/>
    <w:rsid w:val="006A13EF"/>
    <w:pPr>
      <w:tabs>
        <w:tab w:val="center" w:pos="4153"/>
        <w:tab w:val="right" w:pos="8306"/>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6A13EF"/>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B83C38"/>
    <w:pPr>
      <w:ind w:left="720"/>
      <w:contextualSpacing/>
    </w:pPr>
  </w:style>
  <w:style w:type="character" w:styleId="CommentReference">
    <w:name w:val="annotation reference"/>
    <w:basedOn w:val="DefaultParagraphFont"/>
    <w:uiPriority w:val="99"/>
    <w:semiHidden/>
    <w:unhideWhenUsed/>
    <w:rsid w:val="00A50375"/>
    <w:rPr>
      <w:sz w:val="16"/>
      <w:szCs w:val="16"/>
    </w:rPr>
  </w:style>
  <w:style w:type="paragraph" w:styleId="CommentText">
    <w:name w:val="annotation text"/>
    <w:basedOn w:val="Normal"/>
    <w:link w:val="CommentTextChar"/>
    <w:uiPriority w:val="99"/>
    <w:semiHidden/>
    <w:unhideWhenUsed/>
    <w:rsid w:val="00A50375"/>
    <w:rPr>
      <w:sz w:val="20"/>
      <w:szCs w:val="20"/>
    </w:rPr>
  </w:style>
  <w:style w:type="character" w:customStyle="1" w:styleId="CommentTextChar">
    <w:name w:val="Comment Text Char"/>
    <w:basedOn w:val="DefaultParagraphFont"/>
    <w:link w:val="CommentText"/>
    <w:uiPriority w:val="99"/>
    <w:semiHidden/>
    <w:rsid w:val="00A5037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50375"/>
    <w:rPr>
      <w:b/>
      <w:bCs/>
    </w:rPr>
  </w:style>
  <w:style w:type="character" w:customStyle="1" w:styleId="CommentSubjectChar">
    <w:name w:val="Comment Subject Char"/>
    <w:basedOn w:val="CommentTextChar"/>
    <w:link w:val="CommentSubject"/>
    <w:uiPriority w:val="99"/>
    <w:semiHidden/>
    <w:rsid w:val="00A50375"/>
    <w:rPr>
      <w:rFonts w:ascii="Times New Roman" w:hAnsi="Times New Roman"/>
      <w:b/>
      <w:bCs/>
      <w:lang w:eastAsia="en-US"/>
    </w:rPr>
  </w:style>
  <w:style w:type="paragraph" w:styleId="BalloonText">
    <w:name w:val="Balloon Text"/>
    <w:basedOn w:val="Normal"/>
    <w:link w:val="BalloonTextChar"/>
    <w:uiPriority w:val="99"/>
    <w:semiHidden/>
    <w:unhideWhenUsed/>
    <w:rsid w:val="00A503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75"/>
    <w:rPr>
      <w:rFonts w:ascii="Segoe UI" w:hAnsi="Segoe UI" w:cs="Segoe UI"/>
      <w:sz w:val="18"/>
      <w:szCs w:val="18"/>
      <w:lang w:eastAsia="en-US"/>
    </w:rPr>
  </w:style>
  <w:style w:type="paragraph" w:styleId="Revision">
    <w:name w:val="Revision"/>
    <w:hidden/>
    <w:uiPriority w:val="99"/>
    <w:semiHidden/>
    <w:rsid w:val="00A238BF"/>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inotajs xmlns="076bee50-7a25-411a-a5a6-8097026bde27">Aija Zitcere</Zinotajs>
    <NPK xmlns="bf0a44d4-cc3b-414c-aa68-884178465e3a">1</NPK>
    <VK_x0020_l_x0113_mums xmlns="bf0a44d4-cc3b-414c-aa68-884178465e3a">Nav</VK_x0020_l_x0113_mum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FB706-D8A2-48E4-B73C-BD0A393C4D51}">
  <ds:schemaRefs>
    <ds:schemaRef ds:uri="http://schemas.microsoft.com/sharepoint/v3/contenttype/forms"/>
  </ds:schemaRefs>
</ds:datastoreItem>
</file>

<file path=customXml/itemProps2.xml><?xml version="1.0" encoding="utf-8"?>
<ds:datastoreItem xmlns:ds="http://schemas.openxmlformats.org/officeDocument/2006/customXml" ds:itemID="{5243FC55-D295-4FCC-84B3-DA3AB8052A11}">
  <ds:schemaRefs>
    <ds:schemaRef ds:uri="076bee50-7a25-411a-a5a6-8097026bde27"/>
    <ds:schemaRef ds:uri="http://purl.org/dc/elements/1.1/"/>
    <ds:schemaRef ds:uri="http://www.w3.org/XML/1998/namespace"/>
    <ds:schemaRef ds:uri="bf0a44d4-cc3b-414c-aa68-884178465e3a"/>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AFD77DF-FA05-4EB2-BF8E-E744502A527D}">
  <ds:schemaRefs>
    <ds:schemaRef ds:uri="http://schemas.openxmlformats.org/officeDocument/2006/bibliography"/>
  </ds:schemaRefs>
</ds:datastoreItem>
</file>

<file path=customXml/itemProps4.xml><?xml version="1.0" encoding="utf-8"?>
<ds:datastoreItem xmlns:ds="http://schemas.openxmlformats.org/officeDocument/2006/customXml" ds:itemID="{7305BCC0-7721-413C-98E8-4769E3F5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3640</Words>
  <Characters>2076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informācijas aktualizēšanas prasībām kopīgajā klienta izpētes rīkā un kopīgā klienta izpētes rīka pakalpojuma sniedzēja licencēšanu un uzraudzību</dc:title>
  <dc:subject/>
  <dc:creator>kristaps.ziedins@fm.gov.lv</dc:creator>
  <cp:keywords/>
  <dc:description/>
  <cp:lastModifiedBy>Inguna Dancīte</cp:lastModifiedBy>
  <cp:revision>4</cp:revision>
  <cp:lastPrinted>2015-01-19T09:21:00Z</cp:lastPrinted>
  <dcterms:created xsi:type="dcterms:W3CDTF">2021-12-17T08:56:00Z</dcterms:created>
  <dcterms:modified xsi:type="dcterms:W3CDTF">2021-12-22T05:54:00Z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