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3"/>
        <w:gridCol w:w="2129"/>
      </w:tblGrid>
      <w:tr w:rsidR="00A72B37" w:rsidRPr="00DA31E5" w14:paraId="119C797C" w14:textId="77777777" w:rsidTr="00BB5239">
        <w:trPr>
          <w:trHeight w:val="715"/>
        </w:trPr>
        <w:tc>
          <w:tcPr>
            <w:tcW w:w="8253" w:type="dxa"/>
          </w:tcPr>
          <w:p w14:paraId="4B561DB3" w14:textId="77777777" w:rsidR="00A72B37" w:rsidRDefault="00A72B37" w:rsidP="00BB5239">
            <w:pPr>
              <w:tabs>
                <w:tab w:val="left" w:pos="159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9" w:type="dxa"/>
          </w:tcPr>
          <w:p w14:paraId="41BE42AE" w14:textId="77777777" w:rsidR="00A72B37" w:rsidRDefault="00A72B37" w:rsidP="00BB52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10E135" w14:textId="77777777" w:rsidR="00A72B37" w:rsidRDefault="00A72B37" w:rsidP="00BB523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2B37" w:rsidRPr="00DA31E5" w14:paraId="1E437966" w14:textId="77777777" w:rsidTr="00BB5239">
        <w:trPr>
          <w:trHeight w:val="715"/>
        </w:trPr>
        <w:tc>
          <w:tcPr>
            <w:tcW w:w="10382" w:type="dxa"/>
            <w:gridSpan w:val="2"/>
          </w:tcPr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1881"/>
              <w:gridCol w:w="1850"/>
              <w:gridCol w:w="731"/>
              <w:gridCol w:w="2410"/>
              <w:gridCol w:w="153"/>
              <w:gridCol w:w="2966"/>
            </w:tblGrid>
            <w:tr w:rsidR="00A72B37" w14:paraId="0B5A8836" w14:textId="77777777" w:rsidTr="00BB5239">
              <w:tc>
                <w:tcPr>
                  <w:tcW w:w="37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D4B9C" w14:textId="33B7C960" w:rsidR="00A72B37" w:rsidRDefault="00243B61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  <w:lang w:eastAsia="lv-LV"/>
                    </w:rPr>
                    <w:drawing>
                      <wp:inline distT="0" distB="0" distL="0" distR="0" wp14:anchorId="42965BFD" wp14:editId="695D19E8">
                        <wp:extent cx="1286510" cy="1042670"/>
                        <wp:effectExtent l="0" t="0" r="8890" b="508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6510" cy="10426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A770A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41358C88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3E5D0556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14:paraId="11A29C78" w14:textId="77777777" w:rsidR="00A72B37" w:rsidRPr="00E65C7A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65C7A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AMATA APRAKSTS</w:t>
                  </w:r>
                </w:p>
              </w:tc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97479" w14:textId="77777777" w:rsidR="00A72B37" w:rsidRPr="00C531DC" w:rsidRDefault="00A72B37" w:rsidP="00BB523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APSTIPRINĀTS</w:t>
                  </w:r>
                </w:p>
                <w:p w14:paraId="50D6075E" w14:textId="77777777" w:rsidR="00A72B37" w:rsidRPr="00C531DC" w:rsidRDefault="00A72B37" w:rsidP="00BB523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DE590F1" w14:textId="77777777" w:rsidR="00A72B37" w:rsidRDefault="00A72B37" w:rsidP="00BB523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 Finanšu ministrijas</w:t>
                  </w:r>
                </w:p>
                <w:p w14:paraId="2AF647B1" w14:textId="77777777" w:rsidR="00A72B37" w:rsidRPr="00C531DC" w:rsidRDefault="00A72B37" w:rsidP="00BB523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529187C" w14:textId="34396682" w:rsidR="00A72B37" w:rsidRDefault="00A72B37" w:rsidP="00BB523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="00346D9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  <w:r w:rsidRPr="00C53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.gada </w:t>
                  </w:r>
                  <w:r w:rsidR="006751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C53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6751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oktobr</w:t>
                  </w:r>
                  <w:r w:rsidR="00FF35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a</w:t>
                  </w:r>
                </w:p>
                <w:p w14:paraId="549D15F4" w14:textId="77777777" w:rsidR="00A72B37" w:rsidRPr="00C531DC" w:rsidRDefault="00A72B37" w:rsidP="00BB523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960015E" w14:textId="707D919A" w:rsidR="00A72B37" w:rsidRPr="00E65C7A" w:rsidRDefault="00A72B37" w:rsidP="00BB5239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31DC">
                    <w:rPr>
                      <w:rFonts w:ascii="Times New Roman" w:hAnsi="Times New Roman" w:cs="Times New Roman"/>
                      <w:sz w:val="20"/>
                      <w:szCs w:val="20"/>
                    </w:rPr>
                    <w:t>rīkojumu Nr.</w:t>
                  </w:r>
                  <w:r w:rsidR="006751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579</w:t>
                  </w:r>
                </w:p>
                <w:p w14:paraId="632130D0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</w:tr>
            <w:tr w:rsidR="00A72B37" w14:paraId="3D97E2E1" w14:textId="77777777" w:rsidTr="00BB5239">
              <w:tc>
                <w:tcPr>
                  <w:tcW w:w="1881" w:type="dxa"/>
                </w:tcPr>
                <w:p w14:paraId="2B2841A1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2.AMATA NOSAUKUMS</w:t>
                  </w:r>
                </w:p>
              </w:tc>
              <w:tc>
                <w:tcPr>
                  <w:tcW w:w="2581" w:type="dxa"/>
                  <w:gridSpan w:val="2"/>
                </w:tcPr>
                <w:p w14:paraId="426A984D" w14:textId="246943FE" w:rsidR="00A72B37" w:rsidRPr="004A074A" w:rsidRDefault="007A12A6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Juriskonsults</w:t>
                  </w:r>
                </w:p>
              </w:tc>
              <w:tc>
                <w:tcPr>
                  <w:tcW w:w="2410" w:type="dxa"/>
                </w:tcPr>
                <w:p w14:paraId="0E61A182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2.1.AMATA STATUSS</w:t>
                  </w:r>
                </w:p>
              </w:tc>
              <w:tc>
                <w:tcPr>
                  <w:tcW w:w="3119" w:type="dxa"/>
                  <w:gridSpan w:val="2"/>
                </w:tcPr>
                <w:p w14:paraId="527DC268" w14:textId="5E0267A1" w:rsidR="00A72B37" w:rsidRPr="004A074A" w:rsidRDefault="009A7630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Ierēdnis</w:t>
                  </w:r>
                </w:p>
              </w:tc>
            </w:tr>
            <w:tr w:rsidR="00A72B37" w14:paraId="1F2D4B73" w14:textId="77777777" w:rsidTr="00BB5239">
              <w:tc>
                <w:tcPr>
                  <w:tcW w:w="4462" w:type="dxa"/>
                  <w:gridSpan w:val="3"/>
                </w:tcPr>
                <w:p w14:paraId="06E79614" w14:textId="77777777" w:rsidR="00A72B37" w:rsidRPr="004A074A" w:rsidRDefault="00A72B37" w:rsidP="00BB5239">
                  <w:pPr>
                    <w:rPr>
                      <w:rFonts w:ascii="Times New Roman" w:hAnsi="Times New Roman" w:cs="Times New Roman"/>
                    </w:rPr>
                  </w:pPr>
                  <w:r w:rsidRPr="004A074A">
                    <w:rPr>
                      <w:rFonts w:ascii="Times New Roman" w:hAnsi="Times New Roman" w:cs="Times New Roman"/>
                    </w:rPr>
                    <w:t>3.STRUKTŪRVIENĪBA</w:t>
                  </w:r>
                </w:p>
                <w:p w14:paraId="7D75238D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29" w:type="dxa"/>
                  <w:gridSpan w:val="3"/>
                </w:tcPr>
                <w:p w14:paraId="46C9FF6D" w14:textId="77777777" w:rsidR="00243B61" w:rsidRDefault="00457685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Juridiskā</w:t>
                  </w:r>
                  <w:r w:rsidR="007156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departamenta </w:t>
                  </w:r>
                </w:p>
                <w:p w14:paraId="11E1D176" w14:textId="3F1FECBE" w:rsidR="00A72B37" w:rsidRPr="004A074A" w:rsidRDefault="007156AC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Juridiskā </w:t>
                  </w:r>
                  <w:r w:rsidR="004576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atbalsta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nodaļa</w:t>
                  </w:r>
                </w:p>
              </w:tc>
            </w:tr>
            <w:tr w:rsidR="00A72B37" w:rsidRPr="004A074A" w14:paraId="119D7257" w14:textId="77777777" w:rsidTr="00BB5239">
              <w:tc>
                <w:tcPr>
                  <w:tcW w:w="1881" w:type="dxa"/>
                </w:tcPr>
                <w:p w14:paraId="27B43B5E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4.PROFESIJAS KODS</w:t>
                  </w:r>
                </w:p>
              </w:tc>
              <w:tc>
                <w:tcPr>
                  <w:tcW w:w="2581" w:type="dxa"/>
                  <w:gridSpan w:val="2"/>
                </w:tcPr>
                <w:p w14:paraId="48564EA7" w14:textId="76C10CE0" w:rsidR="00A72B37" w:rsidRPr="004A074A" w:rsidRDefault="00FE6E91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2619 01</w:t>
                  </w:r>
                </w:p>
              </w:tc>
              <w:tc>
                <w:tcPr>
                  <w:tcW w:w="2410" w:type="dxa"/>
                </w:tcPr>
                <w:p w14:paraId="32143DC7" w14:textId="77777777" w:rsidR="00A72B37" w:rsidRPr="004A074A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5.AMATA SAIME UN LĪMENIS</w:t>
                  </w:r>
                </w:p>
              </w:tc>
              <w:tc>
                <w:tcPr>
                  <w:tcW w:w="3119" w:type="dxa"/>
                  <w:gridSpan w:val="2"/>
                </w:tcPr>
                <w:p w14:paraId="4D92BE5A" w14:textId="2C9CBB47" w:rsidR="00A72B37" w:rsidRPr="004A074A" w:rsidRDefault="00CC2AA5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 IV</w:t>
                  </w:r>
                </w:p>
              </w:tc>
            </w:tr>
            <w:tr w:rsidR="00A72B37" w:rsidRPr="004A074A" w14:paraId="365B499D" w14:textId="77777777" w:rsidTr="00BB5239">
              <w:tc>
                <w:tcPr>
                  <w:tcW w:w="1881" w:type="dxa"/>
                </w:tcPr>
                <w:p w14:paraId="60383FCE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6.TIEŠAIS VADĪTĀJS</w:t>
                  </w:r>
                </w:p>
              </w:tc>
              <w:tc>
                <w:tcPr>
                  <w:tcW w:w="2581" w:type="dxa"/>
                  <w:gridSpan w:val="2"/>
                </w:tcPr>
                <w:p w14:paraId="68F4B79F" w14:textId="16BAC203" w:rsidR="00A72B37" w:rsidRPr="004A074A" w:rsidRDefault="00600066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Departamenta direktora vietnieks-nodaļas vadītājs</w:t>
                  </w:r>
                </w:p>
              </w:tc>
              <w:tc>
                <w:tcPr>
                  <w:tcW w:w="2410" w:type="dxa"/>
                </w:tcPr>
                <w:p w14:paraId="0F353D49" w14:textId="77777777" w:rsidR="00A72B37" w:rsidRPr="004A074A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7.F</w:t>
                  </w:r>
                  <w:r w:rsidRPr="004A0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UNKCIONĀLAIS VADĪTĀJS</w:t>
                  </w:r>
                </w:p>
              </w:tc>
              <w:tc>
                <w:tcPr>
                  <w:tcW w:w="3119" w:type="dxa"/>
                  <w:gridSpan w:val="2"/>
                </w:tcPr>
                <w:p w14:paraId="087CC9ED" w14:textId="230D13DD" w:rsidR="00A72B37" w:rsidRPr="004A074A" w:rsidRDefault="00C6546D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Departamenta direktora vietnieks – nodaļas vadītājs</w:t>
                  </w:r>
                </w:p>
              </w:tc>
            </w:tr>
            <w:tr w:rsidR="00A72B37" w:rsidRPr="004A074A" w14:paraId="64BA76D0" w14:textId="77777777" w:rsidTr="00BB5239">
              <w:tc>
                <w:tcPr>
                  <w:tcW w:w="1881" w:type="dxa"/>
                </w:tcPr>
                <w:p w14:paraId="6723CE92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8.IEKŠĒJĀ SADARBĪBA</w:t>
                  </w:r>
                </w:p>
              </w:tc>
              <w:tc>
                <w:tcPr>
                  <w:tcW w:w="2581" w:type="dxa"/>
                  <w:gridSpan w:val="2"/>
                </w:tcPr>
                <w:p w14:paraId="63B89C44" w14:textId="0A4B3D39" w:rsidR="00A72B37" w:rsidRPr="004A074A" w:rsidRDefault="007A2F33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Departamenta direktora vietnieks - nodaļas vadītājs,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citi nodaļas un </w:t>
                  </w:r>
                  <w:r w:rsidRPr="00CB7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departamenta kolēģi, cit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</w:t>
                  </w:r>
                  <w:r w:rsidRPr="00CB7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ministrijas struktūrvienīb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as,</w:t>
                  </w:r>
                  <w:r w:rsidRPr="00CB7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CB7B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inistrijas vadīb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a, ministrijas padotībā esoš</w:t>
                  </w:r>
                  <w:r w:rsidRPr="00A32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ās iestādes, kapitālsabiedrības.</w:t>
                  </w:r>
                </w:p>
              </w:tc>
              <w:tc>
                <w:tcPr>
                  <w:tcW w:w="2410" w:type="dxa"/>
                </w:tcPr>
                <w:p w14:paraId="3C4FC5C1" w14:textId="77777777" w:rsidR="00A72B37" w:rsidRPr="004A074A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9.ĀRĒJĀ SADARBĪBA</w:t>
                  </w:r>
                </w:p>
              </w:tc>
              <w:tc>
                <w:tcPr>
                  <w:tcW w:w="3119" w:type="dxa"/>
                  <w:gridSpan w:val="2"/>
                </w:tcPr>
                <w:p w14:paraId="5B6249EA" w14:textId="27FDDA08" w:rsidR="00A72B37" w:rsidRPr="004A074A" w:rsidRDefault="007A2F33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2C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citas ministrijas un institūcijas,  Valsts kanceleja,  Ministru kabinets, Saeimas komisijas, pašvaldības, citas publiskas personas, nevalstiskās organizācijas, iedzīvotāji.</w:t>
                  </w:r>
                </w:p>
              </w:tc>
            </w:tr>
          </w:tbl>
          <w:p w14:paraId="606CFD7A" w14:textId="77777777" w:rsidR="00A72B37" w:rsidRPr="004A074A" w:rsidRDefault="00A72B37" w:rsidP="00BB52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9991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1984"/>
              <w:gridCol w:w="5529"/>
              <w:gridCol w:w="1706"/>
            </w:tblGrid>
            <w:tr w:rsidR="00A72B37" w:rsidRPr="004A074A" w14:paraId="07982B2E" w14:textId="77777777" w:rsidTr="00BB5239">
              <w:tc>
                <w:tcPr>
                  <w:tcW w:w="2756" w:type="dxa"/>
                  <w:gridSpan w:val="2"/>
                </w:tcPr>
                <w:p w14:paraId="50450B15" w14:textId="799252F9" w:rsidR="00A72B37" w:rsidRPr="004A074A" w:rsidRDefault="00A72B37" w:rsidP="008C70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4A074A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AMATA MĒRĶIS</w:t>
                  </w:r>
                  <w:r w:rsidR="008C701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235" w:type="dxa"/>
                  <w:gridSpan w:val="2"/>
                </w:tcPr>
                <w:p w14:paraId="03C715B3" w14:textId="0A1AB155" w:rsidR="00A72B37" w:rsidRPr="004A074A" w:rsidRDefault="007A2F33" w:rsidP="007846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Nodrošināt Juridiskā departamenta reglamentā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Juridiskā atbalsta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nodaļai noteikto uzdevumu kvalitatīvu un savlaicīgu izpildi amata kompetences ietvaros</w:t>
                  </w:r>
                </w:p>
              </w:tc>
            </w:tr>
            <w:tr w:rsidR="00A72B37" w14:paraId="3B2F12CD" w14:textId="77777777" w:rsidTr="00BB5239">
              <w:tc>
                <w:tcPr>
                  <w:tcW w:w="9991" w:type="dxa"/>
                  <w:gridSpan w:val="4"/>
                </w:tcPr>
                <w:p w14:paraId="73BD2B32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11.AMATA PIENĀKUMI</w:t>
                  </w:r>
                </w:p>
              </w:tc>
            </w:tr>
            <w:tr w:rsidR="00A72B37" w:rsidRPr="00FA5808" w14:paraId="715E1BD1" w14:textId="77777777" w:rsidTr="00BB5239">
              <w:tc>
                <w:tcPr>
                  <w:tcW w:w="772" w:type="dxa"/>
                </w:tcPr>
                <w:p w14:paraId="17F12335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gridSpan w:val="2"/>
                </w:tcPr>
                <w:p w14:paraId="18E06ED7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PIENĀKUMS</w:t>
                  </w:r>
                </w:p>
              </w:tc>
              <w:tc>
                <w:tcPr>
                  <w:tcW w:w="1706" w:type="dxa"/>
                </w:tcPr>
                <w:p w14:paraId="7508E5A0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58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NOZĪMĪBA %</w:t>
                  </w:r>
                </w:p>
              </w:tc>
            </w:tr>
            <w:tr w:rsidR="00A72B37" w:rsidRPr="00FA5808" w14:paraId="185CBECA" w14:textId="77777777" w:rsidTr="00BB5239">
              <w:tc>
                <w:tcPr>
                  <w:tcW w:w="772" w:type="dxa"/>
                </w:tcPr>
                <w:p w14:paraId="425E01F5" w14:textId="77777777" w:rsidR="00A72B37" w:rsidRPr="00FA5808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11.1.</w:t>
                  </w:r>
                </w:p>
              </w:tc>
              <w:tc>
                <w:tcPr>
                  <w:tcW w:w="7513" w:type="dxa"/>
                  <w:gridSpan w:val="2"/>
                </w:tcPr>
                <w:p w14:paraId="5421FC0E" w14:textId="2C9F710D" w:rsidR="00AA6AAF" w:rsidRDefault="00AA6AAF" w:rsidP="00246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Saskaņā ar likuma “Par Valsts ieņēmumu dienestu”</w:t>
                  </w:r>
                  <w:r w:rsidR="00346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28FD9CC4" w14:textId="77777777" w:rsidR="00AA6AAF" w:rsidRDefault="00AA6AAF" w:rsidP="00246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11.1. 28. pantu izvērtēt Valsts ieņēmumu dienesta pieņemtos lēmumus disciplinārās atbildības jomā un komisijas sastāvā pieņemt lēmumus par apstrīdētajiem Valsts ieņēmumu dienesta lēmumiem;</w:t>
                  </w:r>
                </w:p>
                <w:p w14:paraId="2B7DF689" w14:textId="089D12FB" w:rsidR="00A72B37" w:rsidRPr="00FA5808" w:rsidRDefault="00AA6AAF" w:rsidP="0024622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11.2.i</w:t>
                  </w:r>
                  <w:r w:rsidR="00906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zskatīt sūdzības par ministrijā apstrīdētajiem VID ģenerāldirektora valsts civildienesta jomā izdotajiem administratīvajiem aktiem un sagatavot ministrijas lēmumu, kas pieņemti par apstrīdēto VID ģenerāldirektora administratīvo aktu valsts civildienesta jomā, projektus.</w:t>
                  </w:r>
                </w:p>
              </w:tc>
              <w:tc>
                <w:tcPr>
                  <w:tcW w:w="1706" w:type="dxa"/>
                </w:tcPr>
                <w:p w14:paraId="1A67BA24" w14:textId="1BCAB87E" w:rsidR="00A72B37" w:rsidRPr="00AA6AAF" w:rsidRDefault="0090621E" w:rsidP="00AA6AA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A6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0621E" w:rsidRPr="00FA5808" w14:paraId="32FDD442" w14:textId="77777777" w:rsidTr="00BB5239">
              <w:tc>
                <w:tcPr>
                  <w:tcW w:w="772" w:type="dxa"/>
                </w:tcPr>
                <w:p w14:paraId="390FF857" w14:textId="77777777" w:rsidR="0090621E" w:rsidRPr="00FA5808" w:rsidRDefault="0090621E" w:rsidP="009062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11.2.</w:t>
                  </w:r>
                </w:p>
              </w:tc>
              <w:tc>
                <w:tcPr>
                  <w:tcW w:w="7513" w:type="dxa"/>
                  <w:gridSpan w:val="2"/>
                </w:tcPr>
                <w:p w14:paraId="34B6FAD9" w14:textId="4E7145A6" w:rsidR="0090621E" w:rsidRPr="00FA5808" w:rsidRDefault="0090621E" w:rsidP="009062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Sagatavot procesuālos dokumentus iesniegšanai tiesās, saskaņā ar pilnvarojumu pārstāvēt ministriju tiesas sēdēs civillietās, krimināllietās un administratīvajās lietās, kurās ministrija ir lietas dalībnieks, Valsts kontrolē un citās institūcijās.</w:t>
                  </w:r>
                </w:p>
              </w:tc>
              <w:tc>
                <w:tcPr>
                  <w:tcW w:w="1706" w:type="dxa"/>
                </w:tcPr>
                <w:p w14:paraId="6AC2171E" w14:textId="50B66C85" w:rsidR="0090621E" w:rsidRPr="00AA6AAF" w:rsidRDefault="0090621E" w:rsidP="00AA6AA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90621E" w:rsidRPr="00FA5808" w14:paraId="1F92354B" w14:textId="77777777" w:rsidTr="00BB5239">
              <w:tc>
                <w:tcPr>
                  <w:tcW w:w="772" w:type="dxa"/>
                </w:tcPr>
                <w:p w14:paraId="4EC4B334" w14:textId="03BDC7DE" w:rsidR="0090621E" w:rsidRPr="00FA5808" w:rsidRDefault="0090621E" w:rsidP="009062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11.3.</w:t>
                  </w:r>
                </w:p>
              </w:tc>
              <w:tc>
                <w:tcPr>
                  <w:tcW w:w="7513" w:type="dxa"/>
                  <w:gridSpan w:val="2"/>
                </w:tcPr>
                <w:p w14:paraId="00EFF8DD" w14:textId="77777777" w:rsidR="00AA6AAF" w:rsidRPr="00825616" w:rsidRDefault="00AA6AAF" w:rsidP="00AA6AAF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Veikt vispārēju ministrijas izstrādāto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iekšējo ties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ību aktu projektu virzības uzraudzību,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nodrošināt ministrijas pārvaldes lēmumu, līgumu un iekšējo normatīvo aktu iepriekšējo tiesiskuma papildpārbaudi un ministrijas padotības iestāžu iekšējo normatīvo aktu pēcpārbaudi izlases kārtībā:</w:t>
                  </w:r>
                </w:p>
                <w:p w14:paraId="112AE3EB" w14:textId="2FE8C0AD" w:rsidR="00AA6AAF" w:rsidRDefault="00AA6AAF" w:rsidP="00AA6AAF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  <w:r w:rsidR="00346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.1. izvērtēt ministrijas struktūrvienību izstrādātos iekšējo normatīvo aktu un pārvaldes lēmumu projektus;</w:t>
                  </w:r>
                </w:p>
                <w:p w14:paraId="3576799A" w14:textId="6B81F23B" w:rsidR="00AA6AAF" w:rsidRDefault="00AA6AAF" w:rsidP="00AA6AAF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  <w:r w:rsidR="00346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.2. izvērtēt ministrijas privāttiesisko un publisko tiesību līgumu projektus, starpresoru vienošanās un sadarbības līgumu projektus un sniegt par tiem atzinumus;</w:t>
                  </w:r>
                </w:p>
                <w:p w14:paraId="6B1BB9D0" w14:textId="13903FEB" w:rsidR="0090621E" w:rsidRPr="00FA5808" w:rsidRDefault="00AA6AAF" w:rsidP="00AA6AAF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11.</w:t>
                  </w:r>
                  <w:r w:rsidR="00346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.3. izlases kārtībā veikt ministrijas padotības iestāžu iekšējo normatīvo aktu pēcpārbaudi.</w:t>
                  </w:r>
                </w:p>
              </w:tc>
              <w:tc>
                <w:tcPr>
                  <w:tcW w:w="1706" w:type="dxa"/>
                </w:tcPr>
                <w:p w14:paraId="21B45E4B" w14:textId="1456A16E" w:rsidR="0090621E" w:rsidRPr="00AA6AAF" w:rsidRDefault="00AA6AAF" w:rsidP="00AA6AA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AA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</w:tr>
            <w:tr w:rsidR="0090621E" w:rsidRPr="00FA5808" w14:paraId="18A2B7DA" w14:textId="77777777" w:rsidTr="00BB5239">
              <w:tc>
                <w:tcPr>
                  <w:tcW w:w="772" w:type="dxa"/>
                </w:tcPr>
                <w:p w14:paraId="4BA4397A" w14:textId="09D37037" w:rsidR="0090621E" w:rsidRDefault="004B3FF5" w:rsidP="009062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11.4.</w:t>
                  </w:r>
                </w:p>
              </w:tc>
              <w:tc>
                <w:tcPr>
                  <w:tcW w:w="7513" w:type="dxa"/>
                  <w:gridSpan w:val="2"/>
                </w:tcPr>
                <w:p w14:paraId="763DE88A" w14:textId="02C77900" w:rsidR="0090621E" w:rsidRDefault="0090621E" w:rsidP="009062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Izstrādāt iekšējo normatīvo aktu, pārvaldes lēmumu projektus, kā arī privāttiesisko un publisko tiesību līgumu projektus.</w:t>
                  </w:r>
                </w:p>
              </w:tc>
              <w:tc>
                <w:tcPr>
                  <w:tcW w:w="1706" w:type="dxa"/>
                </w:tcPr>
                <w:p w14:paraId="400EF390" w14:textId="56620D0C" w:rsidR="0090621E" w:rsidRPr="00AA6AAF" w:rsidRDefault="00AA6AAF" w:rsidP="00AA6AA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90621E" w:rsidRPr="00FA5808" w14:paraId="1EB1CD39" w14:textId="77777777" w:rsidTr="00BB5239">
              <w:tc>
                <w:tcPr>
                  <w:tcW w:w="772" w:type="dxa"/>
                </w:tcPr>
                <w:p w14:paraId="735E31D2" w14:textId="35B3D986" w:rsidR="0090621E" w:rsidRDefault="004B3FF5" w:rsidP="009062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11.5.</w:t>
                  </w:r>
                </w:p>
              </w:tc>
              <w:tc>
                <w:tcPr>
                  <w:tcW w:w="7513" w:type="dxa"/>
                  <w:gridSpan w:val="2"/>
                </w:tcPr>
                <w:p w14:paraId="7FAA4689" w14:textId="72D37B4B" w:rsidR="0090621E" w:rsidRDefault="00AA6AAF" w:rsidP="00AA6AAF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Izvērtēt un sniegt atzinumus par ministrijas padotībā esošo iestāžu un valsts akciju sabiedrības “Valsts nekustamie īpašumi” izstrādātajiem starpresoru vienošanās un sadarbības līgumu projektiem.</w:t>
                  </w:r>
                </w:p>
              </w:tc>
              <w:tc>
                <w:tcPr>
                  <w:tcW w:w="1706" w:type="dxa"/>
                </w:tcPr>
                <w:p w14:paraId="426102B6" w14:textId="583D1AB7" w:rsidR="0090621E" w:rsidRPr="00AA6AAF" w:rsidRDefault="0090621E" w:rsidP="00AA6AA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B3FF5" w:rsidRPr="00FA5808" w14:paraId="1FE0D494" w14:textId="77777777" w:rsidTr="00BB5239">
              <w:tc>
                <w:tcPr>
                  <w:tcW w:w="772" w:type="dxa"/>
                </w:tcPr>
                <w:p w14:paraId="0889CDFE" w14:textId="756611FB" w:rsidR="004B3FF5" w:rsidRDefault="004B3FF5" w:rsidP="004B3F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11.6.</w:t>
                  </w:r>
                </w:p>
              </w:tc>
              <w:tc>
                <w:tcPr>
                  <w:tcW w:w="7513" w:type="dxa"/>
                  <w:gridSpan w:val="2"/>
                </w:tcPr>
                <w:p w14:paraId="29B03ABA" w14:textId="7A7014C2" w:rsidR="004B3FF5" w:rsidRDefault="004B3FF5" w:rsidP="004B3FF5">
                  <w:pPr>
                    <w:tabs>
                      <w:tab w:val="left" w:pos="156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Sagatavot atbilžu projektus uz rakstiskiem fizisko un juridisko personu iesniegumiem un sūdzībām</w:t>
                  </w:r>
                </w:p>
              </w:tc>
              <w:tc>
                <w:tcPr>
                  <w:tcW w:w="1706" w:type="dxa"/>
                </w:tcPr>
                <w:p w14:paraId="68C9C6E9" w14:textId="17487265" w:rsidR="004B3FF5" w:rsidRPr="00AA6AAF" w:rsidRDefault="004B3FF5" w:rsidP="004B3FF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B3FF5" w:rsidRPr="00FA5808" w14:paraId="514F6D97" w14:textId="77777777" w:rsidTr="00BB5239">
              <w:tc>
                <w:tcPr>
                  <w:tcW w:w="772" w:type="dxa"/>
                </w:tcPr>
                <w:p w14:paraId="03F4B2D4" w14:textId="158FCF92" w:rsidR="004B3FF5" w:rsidRDefault="004B3FF5" w:rsidP="004B3F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11.7.</w:t>
                  </w:r>
                </w:p>
              </w:tc>
              <w:tc>
                <w:tcPr>
                  <w:tcW w:w="7513" w:type="dxa"/>
                  <w:gridSpan w:val="2"/>
                </w:tcPr>
                <w:p w14:paraId="5D7D2C3B" w14:textId="14EE7C20" w:rsidR="004B3FF5" w:rsidRDefault="004B3FF5" w:rsidP="004B3F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Patstāvīgi un darbojoties darba grupu sastāvā izstrādāt politikas plānošanas dokumentu, informatīvo ziņojumu un tiesību aktu projektus departamenta kompetences jautājumos.</w:t>
                  </w:r>
                </w:p>
              </w:tc>
              <w:tc>
                <w:tcPr>
                  <w:tcW w:w="1706" w:type="dxa"/>
                </w:tcPr>
                <w:p w14:paraId="2616BCA3" w14:textId="0FE5C10A" w:rsidR="004B3FF5" w:rsidRPr="00AA6AAF" w:rsidRDefault="004B3FF5" w:rsidP="004B3FF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B3FF5" w:rsidRPr="00FA5808" w14:paraId="484E21AB" w14:textId="77777777" w:rsidTr="00BB5239">
              <w:tc>
                <w:tcPr>
                  <w:tcW w:w="772" w:type="dxa"/>
                </w:tcPr>
                <w:p w14:paraId="4D143A80" w14:textId="7118F363" w:rsidR="004B3FF5" w:rsidRDefault="004B3FF5" w:rsidP="004B3F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11.8.</w:t>
                  </w:r>
                </w:p>
              </w:tc>
              <w:tc>
                <w:tcPr>
                  <w:tcW w:w="7513" w:type="dxa"/>
                  <w:gridSpan w:val="2"/>
                </w:tcPr>
                <w:p w14:paraId="1C151DA4" w14:textId="729AD658" w:rsidR="004B3FF5" w:rsidRDefault="004B3FF5" w:rsidP="004B3F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Veikt dienesta pārbaudes, tai skaitā saistībā ar Valsts kontroles revīzijas ziņojumos konstatētajiem iespējamajiem Publikas personas finanšu līdzekļu un mantas izšķērdēšanas novēršanas likuma pārkāpumiem, un izmeklēt disciplinārlietas.</w:t>
                  </w:r>
                </w:p>
              </w:tc>
              <w:tc>
                <w:tcPr>
                  <w:tcW w:w="1706" w:type="dxa"/>
                </w:tcPr>
                <w:p w14:paraId="711EDE96" w14:textId="7C7C0734" w:rsidR="004B3FF5" w:rsidRPr="00AA6AAF" w:rsidRDefault="004B3FF5" w:rsidP="004B3FF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B3FF5" w:rsidRPr="00FA5808" w14:paraId="1C7D40C0" w14:textId="77777777" w:rsidTr="00BB5239">
              <w:tc>
                <w:tcPr>
                  <w:tcW w:w="772" w:type="dxa"/>
                </w:tcPr>
                <w:p w14:paraId="0CB54D8F" w14:textId="752415ED" w:rsidR="004B3FF5" w:rsidRDefault="004B3FF5" w:rsidP="004B3F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11.9.</w:t>
                  </w:r>
                </w:p>
              </w:tc>
              <w:tc>
                <w:tcPr>
                  <w:tcW w:w="7513" w:type="dxa"/>
                  <w:gridSpan w:val="2"/>
                </w:tcPr>
                <w:p w14:paraId="226D2B5C" w14:textId="29D18C6D" w:rsidR="004B3FF5" w:rsidRDefault="004B3FF5" w:rsidP="004B3F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Veikt citus līdzīga rakstura un kvalifikācijas uzdevumus saskaņā ar departamenta direktora vietnieka-nodaļas vadītāja norādījumiem.</w:t>
                  </w:r>
                </w:p>
              </w:tc>
              <w:tc>
                <w:tcPr>
                  <w:tcW w:w="1706" w:type="dxa"/>
                </w:tcPr>
                <w:p w14:paraId="51253C0B" w14:textId="46FF2016" w:rsidR="004B3FF5" w:rsidRPr="00AA6AAF" w:rsidRDefault="004B3FF5" w:rsidP="004B3FF5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A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4713541D" w14:textId="77777777" w:rsidR="00A72B37" w:rsidRPr="00FA5808" w:rsidRDefault="00A72B37" w:rsidP="00BB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9214"/>
            </w:tblGrid>
            <w:tr w:rsidR="00A72B37" w14:paraId="3DE307F1" w14:textId="77777777" w:rsidTr="00BB5239">
              <w:tc>
                <w:tcPr>
                  <w:tcW w:w="9986" w:type="dxa"/>
                  <w:gridSpan w:val="2"/>
                </w:tcPr>
                <w:p w14:paraId="4B8EBC85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12.KOMPETENCES</w:t>
                  </w:r>
                </w:p>
              </w:tc>
            </w:tr>
            <w:tr w:rsidR="00A72B37" w14:paraId="56BCCF54" w14:textId="77777777" w:rsidTr="00BB5239">
              <w:tc>
                <w:tcPr>
                  <w:tcW w:w="772" w:type="dxa"/>
                </w:tcPr>
                <w:p w14:paraId="49B48948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12.1.</w:t>
                  </w:r>
                </w:p>
              </w:tc>
              <w:tc>
                <w:tcPr>
                  <w:tcW w:w="9214" w:type="dxa"/>
                </w:tcPr>
                <w:p w14:paraId="2E037C1A" w14:textId="591A4338" w:rsidR="00A72B37" w:rsidRDefault="002F0850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Orientācija uz klientu.</w:t>
                  </w:r>
                </w:p>
              </w:tc>
            </w:tr>
            <w:tr w:rsidR="00A72B37" w14:paraId="31F226FA" w14:textId="77777777" w:rsidTr="00BB5239">
              <w:tc>
                <w:tcPr>
                  <w:tcW w:w="772" w:type="dxa"/>
                </w:tcPr>
                <w:p w14:paraId="246ABA36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12.2.</w:t>
                  </w:r>
                </w:p>
              </w:tc>
              <w:tc>
                <w:tcPr>
                  <w:tcW w:w="9214" w:type="dxa"/>
                </w:tcPr>
                <w:p w14:paraId="2D76644A" w14:textId="2960C634" w:rsidR="00A72B37" w:rsidRDefault="002F0850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Orientācija uz rezultātu sasniegšanu.</w:t>
                  </w:r>
                </w:p>
              </w:tc>
            </w:tr>
            <w:tr w:rsidR="00A72B37" w14:paraId="48BBBAB7" w14:textId="77777777" w:rsidTr="00BB5239">
              <w:tc>
                <w:tcPr>
                  <w:tcW w:w="772" w:type="dxa"/>
                </w:tcPr>
                <w:p w14:paraId="31CE1239" w14:textId="2A8608FB" w:rsidR="00A72B37" w:rsidRDefault="002F0850" w:rsidP="002F0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12.3.</w:t>
                  </w:r>
                </w:p>
              </w:tc>
              <w:tc>
                <w:tcPr>
                  <w:tcW w:w="9214" w:type="dxa"/>
                </w:tcPr>
                <w:p w14:paraId="499DE089" w14:textId="44156132" w:rsidR="00A72B37" w:rsidRDefault="002F0850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Darbs komandā.</w:t>
                  </w:r>
                </w:p>
              </w:tc>
            </w:tr>
            <w:tr w:rsidR="00EC4CC9" w14:paraId="354540AB" w14:textId="77777777" w:rsidTr="00BB5239">
              <w:tc>
                <w:tcPr>
                  <w:tcW w:w="772" w:type="dxa"/>
                </w:tcPr>
                <w:p w14:paraId="0A69A75E" w14:textId="55DF2689" w:rsidR="00EC4CC9" w:rsidRDefault="00EC4CC9" w:rsidP="002F0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12.4.</w:t>
                  </w:r>
                </w:p>
              </w:tc>
              <w:tc>
                <w:tcPr>
                  <w:tcW w:w="9214" w:type="dxa"/>
                </w:tcPr>
                <w:p w14:paraId="12467D65" w14:textId="718AD6B5" w:rsidR="00EC4CC9" w:rsidRDefault="00EC4CC9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Iniciatīva.</w:t>
                  </w:r>
                </w:p>
              </w:tc>
            </w:tr>
            <w:tr w:rsidR="00EC4CC9" w14:paraId="0B123DF2" w14:textId="77777777" w:rsidTr="00BB5239">
              <w:tc>
                <w:tcPr>
                  <w:tcW w:w="772" w:type="dxa"/>
                </w:tcPr>
                <w:p w14:paraId="5048537F" w14:textId="765BC993" w:rsidR="00EC4CC9" w:rsidRDefault="00EC4CC9" w:rsidP="002F085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12.5.</w:t>
                  </w:r>
                </w:p>
              </w:tc>
              <w:tc>
                <w:tcPr>
                  <w:tcW w:w="9214" w:type="dxa"/>
                </w:tcPr>
                <w:p w14:paraId="01B80130" w14:textId="3A50F4EE" w:rsidR="00EC4CC9" w:rsidRDefault="00EC4CC9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Ētiskums.</w:t>
                  </w:r>
                </w:p>
              </w:tc>
            </w:tr>
          </w:tbl>
          <w:p w14:paraId="64F6DB3D" w14:textId="77777777" w:rsidR="00A72B37" w:rsidRDefault="00A72B37" w:rsidP="00BB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A72B37" w14:paraId="254110FF" w14:textId="77777777" w:rsidTr="00BB5239">
              <w:tc>
                <w:tcPr>
                  <w:tcW w:w="9986" w:type="dxa"/>
                  <w:gridSpan w:val="2"/>
                </w:tcPr>
                <w:p w14:paraId="6D45AE6A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13.PROFESIONĀLĀ KVALIFIKĀCIJA</w:t>
                  </w:r>
                </w:p>
              </w:tc>
            </w:tr>
            <w:tr w:rsidR="00243B61" w14:paraId="7E0EA244" w14:textId="77777777" w:rsidTr="00BB5239">
              <w:tc>
                <w:tcPr>
                  <w:tcW w:w="2756" w:type="dxa"/>
                </w:tcPr>
                <w:p w14:paraId="4C35BD1C" w14:textId="77777777" w:rsidR="00243B61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13.1.IZGLĪTĪBA</w:t>
                  </w:r>
                </w:p>
              </w:tc>
              <w:tc>
                <w:tcPr>
                  <w:tcW w:w="7230" w:type="dxa"/>
                </w:tcPr>
                <w:p w14:paraId="44A4B709" w14:textId="547A1161" w:rsidR="00243B61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1F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Augstākā akadēmiskā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vai</w:t>
                  </w:r>
                  <w:r w:rsidRPr="00B81F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augstākā profesionālā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otrā līmeņa </w:t>
                  </w:r>
                  <w:r w:rsidRPr="00B81F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izglītība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81F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tiesību zinātnēs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243B61" w14:paraId="0C77021D" w14:textId="77777777" w:rsidTr="00BB5239">
              <w:tc>
                <w:tcPr>
                  <w:tcW w:w="2756" w:type="dxa"/>
                </w:tcPr>
                <w:p w14:paraId="12740E48" w14:textId="77777777" w:rsidR="00243B61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13.2.PROFESIONĀLĀ PIEREDZE</w:t>
                  </w:r>
                </w:p>
              </w:tc>
              <w:tc>
                <w:tcPr>
                  <w:tcW w:w="7230" w:type="dxa"/>
                </w:tcPr>
                <w:p w14:paraId="09549223" w14:textId="241143C5" w:rsidR="00243B61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Pieredze tiesību zinātņu specialitātei atbilstošos amatos – vismaz 1 gads.</w:t>
                  </w:r>
                </w:p>
              </w:tc>
            </w:tr>
            <w:tr w:rsidR="00243B61" w14:paraId="36763094" w14:textId="77777777" w:rsidTr="00BB5239">
              <w:tc>
                <w:tcPr>
                  <w:tcW w:w="2756" w:type="dxa"/>
                </w:tcPr>
                <w:p w14:paraId="4C98CB41" w14:textId="77777777" w:rsidR="00243B61" w:rsidRDefault="00243B61" w:rsidP="00243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13.3.PROFESIONĀLĀS ZINĀŠANAS UN PRASMES</w:t>
                  </w:r>
                </w:p>
              </w:tc>
              <w:tc>
                <w:tcPr>
                  <w:tcW w:w="7230" w:type="dxa"/>
                </w:tcPr>
                <w:p w14:paraId="649E5DD7" w14:textId="77777777" w:rsidR="00243B61" w:rsidRPr="00A81E3C" w:rsidRDefault="00243B61" w:rsidP="00243B61">
                  <w:pPr>
                    <w:pStyle w:val="NoSpacing"/>
                    <w:tabs>
                      <w:tab w:val="left" w:pos="851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1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3.3.1.</w:t>
                  </w:r>
                  <w:r w:rsidRPr="00A81E3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A81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zināšanas un izpratne par valsts pārvaldes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principiem,</w:t>
                  </w:r>
                  <w:r w:rsidRPr="00A81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struktūru un darbību;</w:t>
                  </w:r>
                </w:p>
                <w:p w14:paraId="3F07B61C" w14:textId="1278FA65" w:rsidR="00243B61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13.3.2.</w:t>
                  </w:r>
                  <w:r w:rsidRPr="00317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zināšanas ministrijas kompetencē esošajos jautājumos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t.sk. prasmes pārvaldes lēmumu un administratīvo aktu izstrādē;</w:t>
                  </w:r>
                </w:p>
                <w:p w14:paraId="25E218EE" w14:textId="7067E9ED" w:rsidR="00243B61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13.3.3</w:t>
                  </w:r>
                  <w:r w:rsidRPr="00317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zināšanas un izpratne par administratīvā procesa un civilprocesa jautājumiem, prasmes iestādes interešu pārstāvībā tiesā;</w:t>
                  </w:r>
                </w:p>
                <w:p w14:paraId="6DE3243F" w14:textId="7ABDF0D3" w:rsidR="00243B61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13.3.4. zināšanas un izpratne par valsts civildienesta jomu reglamentējošiem normatīvajiem aktiem un ar šo jomu saistītajiem jautājumiem;</w:t>
                  </w:r>
                </w:p>
                <w:p w14:paraId="3DF27129" w14:textId="43E910B7" w:rsidR="00243B61" w:rsidRPr="003175F8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13.3.5. zināšanas un izpratne par valsts civildienesta ierēdņu disciplinārās atbildības jautājumiem;</w:t>
                  </w:r>
                </w:p>
                <w:p w14:paraId="390421B4" w14:textId="27976FBD" w:rsidR="00243B61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13.3.6.</w:t>
                  </w:r>
                  <w:r w:rsidRPr="00317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prasmes tiesību aktu projektu izstrādē; </w:t>
                  </w:r>
                </w:p>
                <w:p w14:paraId="1CBA69B6" w14:textId="417FA18F" w:rsidR="00243B61" w:rsidRPr="00346D9B" w:rsidRDefault="00243B61" w:rsidP="00243B61">
                  <w:pPr>
                    <w:shd w:val="clear" w:color="auto" w:fill="FFFFFF"/>
                    <w:spacing w:line="274" w:lineRule="exact"/>
                    <w:ind w:left="34" w:right="14" w:hanging="34"/>
                    <w:jc w:val="both"/>
                    <w:rPr>
                      <w:rFonts w:ascii="Times New Roman" w:hAnsi="Times New Roman" w:cs="Times New Roman"/>
                      <w:spacing w:val="-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13.3.7.</w:t>
                  </w:r>
                  <w:r w:rsidRPr="003175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periodiska zināšanu papildināšana.</w:t>
                  </w:r>
                </w:p>
              </w:tc>
            </w:tr>
            <w:tr w:rsidR="00243B61" w14:paraId="1D35C54F" w14:textId="77777777" w:rsidTr="00BB5239">
              <w:tc>
                <w:tcPr>
                  <w:tcW w:w="2756" w:type="dxa"/>
                </w:tcPr>
                <w:p w14:paraId="6F325FDA" w14:textId="77777777" w:rsidR="00243B61" w:rsidRDefault="00243B61" w:rsidP="00243B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13.4.VISPĀRĒJĀS ZINĀŠANAS UN PRASMES</w:t>
                  </w:r>
                </w:p>
              </w:tc>
              <w:tc>
                <w:tcPr>
                  <w:tcW w:w="7230" w:type="dxa"/>
                </w:tcPr>
                <w:p w14:paraId="589FC6DA" w14:textId="610E5526" w:rsidR="00243B61" w:rsidRPr="00825616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13.4.</w:t>
                  </w:r>
                  <w:r w:rsidRPr="008256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8256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prasme izmantot normatīvo aktu informācijas sistēmu un citas publiskās informācijas sistēmas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049C8339" w14:textId="65240C02" w:rsidR="00243B61" w:rsidRPr="00825616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13.4.2.</w:t>
                  </w:r>
                  <w:r w:rsidRPr="008256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rasme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darbā ar datoru;</w:t>
                  </w:r>
                </w:p>
                <w:p w14:paraId="0362D603" w14:textId="351BC9DC" w:rsidR="00243B61" w:rsidRPr="00825616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13.4.3.</w:t>
                  </w:r>
                  <w:r w:rsidRPr="0082561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>svešvalodu</w:t>
                  </w:r>
                  <w:r w:rsidRPr="00825616"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  <w:t xml:space="preserve"> zināšanas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7A940FF9" w14:textId="3305CB38" w:rsidR="00243B61" w:rsidRDefault="00243B61" w:rsidP="00243B6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13.4.4.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spēja strādāt paaugstinātas intensitātes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 noslodzes 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apstākļos.</w:t>
                  </w:r>
                </w:p>
              </w:tc>
            </w:tr>
          </w:tbl>
          <w:p w14:paraId="32DF394C" w14:textId="5435968E" w:rsidR="00A72B37" w:rsidRPr="00FA5808" w:rsidRDefault="00A72B37" w:rsidP="00BB5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56"/>
              <w:gridCol w:w="7230"/>
            </w:tblGrid>
            <w:tr w:rsidR="00A72B37" w14:paraId="51B0DCFE" w14:textId="77777777" w:rsidTr="00BB5239">
              <w:tc>
                <w:tcPr>
                  <w:tcW w:w="2756" w:type="dxa"/>
                </w:tcPr>
                <w:p w14:paraId="38A5EB08" w14:textId="77777777" w:rsidR="00A72B37" w:rsidRDefault="00A72B37" w:rsidP="00BB52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14.AMATA ATBILDĪBA</w:t>
                  </w:r>
                </w:p>
              </w:tc>
              <w:tc>
                <w:tcPr>
                  <w:tcW w:w="7230" w:type="dxa"/>
                </w:tcPr>
                <w:p w14:paraId="687DE53B" w14:textId="77777777" w:rsidR="0090621E" w:rsidRPr="00825616" w:rsidRDefault="0090621E" w:rsidP="009062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14.1.</w:t>
                  </w:r>
                  <w:r w:rsidRPr="0082561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a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tbild par kvalitatīvu un savlaicīgu amata aprakstā noteikto pienākumu un citu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uzticēto 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uzdevumu veikšanu;</w:t>
                  </w:r>
                </w:p>
                <w:p w14:paraId="40CFF561" w14:textId="77777777" w:rsidR="0090621E" w:rsidRPr="00825616" w:rsidRDefault="0090621E" w:rsidP="0090621E">
                  <w:pP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1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 xml:space="preserve">14.3. 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ievēro iekšējos un ārējos normatīvajos  aktos noteikto, attiecībā uz informāciju, kas atzīta par valsts noslēpumu;</w:t>
                  </w:r>
                </w:p>
                <w:p w14:paraId="05056821" w14:textId="77777777" w:rsidR="0090621E" w:rsidRDefault="0090621E" w:rsidP="0090621E">
                  <w:pPr>
                    <w:spacing w:after="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1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14.4.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personīgi atbild par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informācijas konfidencialitāti;</w:t>
                  </w:r>
                </w:p>
                <w:p w14:paraId="50366440" w14:textId="62907B15" w:rsidR="00A72B37" w:rsidRDefault="0090621E" w:rsidP="009062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14.5</w:t>
                  </w:r>
                  <w:r w:rsidRPr="00F7358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atbild par darba vietas un materiālo vērtību saglabāšanu, darba drošības ievērošanu</w:t>
                  </w:r>
                  <w:r w:rsidRPr="00F735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72B37" w14:paraId="2AA7FDBC" w14:textId="77777777" w:rsidTr="00BB5239">
              <w:tc>
                <w:tcPr>
                  <w:tcW w:w="2756" w:type="dxa"/>
                </w:tcPr>
                <w:p w14:paraId="091ACBC7" w14:textId="77777777" w:rsidR="00A72B37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15.AMATA TIESĪBAS</w:t>
                  </w:r>
                </w:p>
              </w:tc>
              <w:tc>
                <w:tcPr>
                  <w:tcW w:w="7230" w:type="dxa"/>
                </w:tcPr>
                <w:p w14:paraId="7D6C0E3B" w14:textId="3423F842" w:rsidR="0090621E" w:rsidRPr="00825616" w:rsidRDefault="0090621E" w:rsidP="0090621E">
                  <w:pPr>
                    <w:pStyle w:val="NoSpacing"/>
                    <w:tabs>
                      <w:tab w:val="left" w:pos="851"/>
                      <w:tab w:val="left" w:pos="993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15.1. saņemt amata pienākumu veikšanai nepieciešamo informāciju</w:t>
                  </w:r>
                  <w:r w:rsidR="00346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departamenta direktora vietnieka -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nodaļas vadītāja, citām ministrijas struktūrvienībām, amatpersonām un ministr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ijas padotībā esošajām iestādēm;</w:t>
                  </w:r>
                </w:p>
                <w:p w14:paraId="64083A0D" w14:textId="5F0ABCF7" w:rsidR="00F0574C" w:rsidRDefault="0090621E" w:rsidP="00346D9B">
                  <w:pPr>
                    <w:pStyle w:val="BodyTextIndent3"/>
                    <w:spacing w:after="0"/>
                    <w:ind w:left="34" w:hanging="34"/>
                    <w:jc w:val="both"/>
                    <w:rPr>
                      <w:sz w:val="24"/>
                      <w:szCs w:val="24"/>
                    </w:rPr>
                  </w:pPr>
                  <w:r w:rsidRPr="00825616">
                    <w:rPr>
                      <w:sz w:val="24"/>
                      <w:szCs w:val="24"/>
                    </w:rPr>
                    <w:t>15.2. sniegt ierosinājumus un priekšlikumus departamenta direktora</w:t>
                  </w:r>
                  <w:r>
                    <w:rPr>
                      <w:sz w:val="24"/>
                      <w:szCs w:val="24"/>
                    </w:rPr>
                    <w:t xml:space="preserve"> vietnieka</w:t>
                  </w:r>
                  <w:r w:rsidRPr="00825616">
                    <w:rPr>
                      <w:sz w:val="24"/>
                      <w:szCs w:val="24"/>
                    </w:rPr>
                    <w:t xml:space="preserve">m </w:t>
                  </w:r>
                  <w:r>
                    <w:rPr>
                      <w:sz w:val="24"/>
                      <w:szCs w:val="24"/>
                    </w:rPr>
                    <w:t xml:space="preserve">– nodaļas vadītājam </w:t>
                  </w:r>
                  <w:r w:rsidR="00346D9B">
                    <w:rPr>
                      <w:sz w:val="24"/>
                      <w:szCs w:val="24"/>
                    </w:rPr>
                    <w:t>nodaļas</w:t>
                  </w:r>
                  <w:r w:rsidRPr="00825616">
                    <w:rPr>
                      <w:sz w:val="24"/>
                      <w:szCs w:val="24"/>
                    </w:rPr>
                    <w:t xml:space="preserve"> darba kvalitāt</w:t>
                  </w:r>
                  <w:r>
                    <w:rPr>
                      <w:sz w:val="24"/>
                      <w:szCs w:val="24"/>
                    </w:rPr>
                    <w:t>es un efektivitātes uzlabošanai</w:t>
                  </w:r>
                  <w:r w:rsidR="00346D9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72B37" w14:paraId="5E0768C3" w14:textId="77777777" w:rsidTr="00BB5239">
              <w:tc>
                <w:tcPr>
                  <w:tcW w:w="2756" w:type="dxa"/>
                </w:tcPr>
                <w:p w14:paraId="09BDD630" w14:textId="77777777" w:rsidR="00A72B37" w:rsidRDefault="00A72B37" w:rsidP="00BB52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16.CITA INFORMĀCIJA</w:t>
                  </w:r>
                </w:p>
              </w:tc>
              <w:tc>
                <w:tcPr>
                  <w:tcW w:w="7230" w:type="dxa"/>
                </w:tcPr>
                <w:p w14:paraId="410FE854" w14:textId="48848951" w:rsidR="0090621E" w:rsidRPr="00825616" w:rsidRDefault="0090621E" w:rsidP="0090621E">
                  <w:pPr>
                    <w:shd w:val="clear" w:color="auto" w:fill="FFFFFF"/>
                    <w:spacing w:line="274" w:lineRule="exact"/>
                    <w:ind w:left="34" w:right="14" w:hanging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16.1. dažādu veidu informācijas izmantošana, izvērtēšana un labāko risinājumu izmantošana amata pienākumu izpildei;</w:t>
                  </w:r>
                </w:p>
                <w:p w14:paraId="52CEAE74" w14:textId="37E26434" w:rsidR="00A72B37" w:rsidRDefault="0090621E" w:rsidP="0090621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  <w:r w:rsidR="00346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25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darbs rada intelektuālo slodzi, prasa disciplinētību, psihisko noturību, atbildības sajūtu un  komunikabilitāti</w:t>
                  </w:r>
                  <w:r w:rsidR="00346D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D4AEBC3" w14:textId="77777777" w:rsidR="00A72B37" w:rsidRPr="0076656C" w:rsidRDefault="00A72B37" w:rsidP="00BB5239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1D950491" w14:textId="77777777" w:rsidR="00A72B37" w:rsidRPr="00877F7B" w:rsidRDefault="00A72B37" w:rsidP="00A72B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137" w:type="dxa"/>
        <w:tblLook w:val="04A0" w:firstRow="1" w:lastRow="0" w:firstColumn="1" w:lastColumn="0" w:noHBand="0" w:noVBand="1"/>
      </w:tblPr>
      <w:tblGrid>
        <w:gridCol w:w="2681"/>
        <w:gridCol w:w="1938"/>
        <w:gridCol w:w="3603"/>
        <w:gridCol w:w="1701"/>
      </w:tblGrid>
      <w:tr w:rsidR="00A72B37" w14:paraId="17CC3C31" w14:textId="77777777" w:rsidTr="00BB523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CDF3A" w14:textId="77777777" w:rsidR="00A72B37" w:rsidRDefault="00A72B37" w:rsidP="00BB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STRUKTŪRVIENĪBAS VADĪTĀJS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4C6CA8E2" w14:textId="7B7422C2" w:rsidR="00A72B37" w:rsidRDefault="00243B61" w:rsidP="00BB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Saskaņots ALS</w:t>
            </w:r>
          </w:p>
        </w:tc>
        <w:tc>
          <w:tcPr>
            <w:tcW w:w="3603" w:type="dxa"/>
          </w:tcPr>
          <w:p w14:paraId="57E03D5C" w14:textId="631189AC" w:rsidR="00A72B37" w:rsidRDefault="00243B61" w:rsidP="0024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329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Strazdiņa</w:t>
            </w:r>
            <w:r w:rsidR="00F32902">
              <w:rPr>
                <w:rFonts w:ascii="Times New Roman" w:hAnsi="Times New Roman" w:cs="Times New Roman"/>
                <w:sz w:val="24"/>
                <w:szCs w:val="24"/>
              </w:rPr>
              <w:t>s vietā-</w:t>
            </w:r>
          </w:p>
          <w:p w14:paraId="7F97C6D5" w14:textId="61A1529B" w:rsidR="00F32902" w:rsidRDefault="00F32902" w:rsidP="00243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L.Vucēne</w:t>
            </w:r>
          </w:p>
        </w:tc>
        <w:tc>
          <w:tcPr>
            <w:tcW w:w="1701" w:type="dxa"/>
          </w:tcPr>
          <w:p w14:paraId="7CB3C652" w14:textId="4430C390" w:rsidR="00A72B37" w:rsidRDefault="00B9245F" w:rsidP="00BB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30.09.2021.</w:t>
            </w:r>
          </w:p>
        </w:tc>
      </w:tr>
      <w:tr w:rsidR="00A72B37" w14:paraId="482DCD48" w14:textId="77777777" w:rsidTr="00BB5239">
        <w:tc>
          <w:tcPr>
            <w:tcW w:w="2681" w:type="dxa"/>
            <w:tcBorders>
              <w:top w:val="nil"/>
              <w:bottom w:val="single" w:sz="4" w:space="0" w:color="auto"/>
            </w:tcBorders>
          </w:tcPr>
          <w:p w14:paraId="112DD5C8" w14:textId="77777777" w:rsidR="00A72B37" w:rsidRDefault="00A72B37" w:rsidP="00BB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266F130E" w14:textId="77777777" w:rsidR="00A72B37" w:rsidRPr="00877F7B" w:rsidRDefault="00A72B37" w:rsidP="00BB5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3603" w:type="dxa"/>
          </w:tcPr>
          <w:p w14:paraId="0E3AB8CF" w14:textId="77777777" w:rsidR="00A72B37" w:rsidRPr="00877F7B" w:rsidRDefault="00A72B37" w:rsidP="00BB5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7DD0A3EE" w14:textId="77777777" w:rsidR="00A72B37" w:rsidRPr="00877F7B" w:rsidRDefault="00A72B37" w:rsidP="00BB5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datums</w:t>
            </w:r>
          </w:p>
        </w:tc>
      </w:tr>
      <w:tr w:rsidR="00A72B37" w14:paraId="37544AD1" w14:textId="77777777" w:rsidTr="00BB5239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292BAF" w14:textId="77777777" w:rsidR="00A72B37" w:rsidRDefault="00A72B37" w:rsidP="00BB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DARBINIEKS</w:t>
            </w:r>
          </w:p>
        </w:tc>
        <w:tc>
          <w:tcPr>
            <w:tcW w:w="1938" w:type="dxa"/>
            <w:tcBorders>
              <w:left w:val="single" w:sz="4" w:space="0" w:color="auto"/>
            </w:tcBorders>
          </w:tcPr>
          <w:p w14:paraId="667D9AF5" w14:textId="77777777" w:rsidR="00A72B37" w:rsidRDefault="00A72B37" w:rsidP="00BB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EA6A8" w14:textId="77777777" w:rsidR="00A72B37" w:rsidRDefault="00A72B37" w:rsidP="00BB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14:paraId="763C6C52" w14:textId="77777777" w:rsidR="00A72B37" w:rsidRDefault="00A72B37" w:rsidP="00BB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47835" w14:textId="77777777" w:rsidR="00A72B37" w:rsidRDefault="00A72B37" w:rsidP="00BB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B37" w14:paraId="6024A49C" w14:textId="77777777" w:rsidTr="00BB5239">
        <w:tc>
          <w:tcPr>
            <w:tcW w:w="2681" w:type="dxa"/>
            <w:tcBorders>
              <w:top w:val="nil"/>
            </w:tcBorders>
          </w:tcPr>
          <w:p w14:paraId="37C70B4B" w14:textId="77777777" w:rsidR="00A72B37" w:rsidRDefault="00A72B37" w:rsidP="00BB5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14:paraId="6A090E24" w14:textId="77777777" w:rsidR="00A72B37" w:rsidRDefault="00A72B37" w:rsidP="00BB5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paraksts</w:t>
            </w:r>
          </w:p>
        </w:tc>
        <w:tc>
          <w:tcPr>
            <w:tcW w:w="3603" w:type="dxa"/>
          </w:tcPr>
          <w:p w14:paraId="7870695F" w14:textId="77777777" w:rsidR="00A72B37" w:rsidRPr="00877F7B" w:rsidRDefault="00A72B37" w:rsidP="00BB5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vārds, uzvārds</w:t>
            </w:r>
          </w:p>
        </w:tc>
        <w:tc>
          <w:tcPr>
            <w:tcW w:w="1701" w:type="dxa"/>
          </w:tcPr>
          <w:p w14:paraId="0B8749BE" w14:textId="77777777" w:rsidR="00A72B37" w:rsidRPr="00877F7B" w:rsidRDefault="00A72B37" w:rsidP="00BB52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datums</w:t>
            </w:r>
          </w:p>
        </w:tc>
      </w:tr>
    </w:tbl>
    <w:p w14:paraId="5FCF7C90" w14:textId="77777777" w:rsidR="0076656C" w:rsidRPr="005146E9" w:rsidRDefault="0076656C" w:rsidP="005146E9"/>
    <w:sectPr w:rsidR="0076656C" w:rsidRPr="005146E9" w:rsidSect="00C37C46">
      <w:footerReference w:type="defaul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E2040" w14:textId="77777777" w:rsidR="00B828CF" w:rsidRDefault="00B828CF" w:rsidP="00C37C46">
      <w:pPr>
        <w:spacing w:after="0" w:line="240" w:lineRule="auto"/>
      </w:pPr>
      <w:r>
        <w:separator/>
      </w:r>
    </w:p>
  </w:endnote>
  <w:endnote w:type="continuationSeparator" w:id="0">
    <w:p w14:paraId="183F592D" w14:textId="77777777" w:rsidR="00B828CF" w:rsidRDefault="00B828CF" w:rsidP="00C3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8609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FC290" w14:textId="5A440988" w:rsidR="00C37C46" w:rsidRDefault="00C37C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5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76D7D6" w14:textId="77777777" w:rsidR="00C37C46" w:rsidRDefault="00C3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38356" w14:textId="77777777" w:rsidR="00B828CF" w:rsidRDefault="00B828CF" w:rsidP="00C37C46">
      <w:pPr>
        <w:spacing w:after="0" w:line="240" w:lineRule="auto"/>
      </w:pPr>
      <w:r>
        <w:separator/>
      </w:r>
    </w:p>
  </w:footnote>
  <w:footnote w:type="continuationSeparator" w:id="0">
    <w:p w14:paraId="59D9FEDD" w14:textId="77777777" w:rsidR="00B828CF" w:rsidRDefault="00B828CF" w:rsidP="00C3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55C4"/>
    <w:multiLevelType w:val="multilevel"/>
    <w:tmpl w:val="52005B4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0"/>
      </w:rPr>
    </w:lvl>
  </w:abstractNum>
  <w:abstractNum w:abstractNumId="1" w15:restartNumberingAfterBreak="0">
    <w:nsid w:val="4A0E4CF8"/>
    <w:multiLevelType w:val="multilevel"/>
    <w:tmpl w:val="090A15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BE375FA"/>
    <w:multiLevelType w:val="multilevel"/>
    <w:tmpl w:val="F02EB648"/>
    <w:lvl w:ilvl="0">
      <w:start w:val="1"/>
      <w:numFmt w:val="decimal"/>
      <w:lvlText w:val="5.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FFD"/>
    <w:rsid w:val="00003557"/>
    <w:rsid w:val="0000406F"/>
    <w:rsid w:val="00061D3B"/>
    <w:rsid w:val="000863EF"/>
    <w:rsid w:val="000C1B36"/>
    <w:rsid w:val="000C6619"/>
    <w:rsid w:val="000E7965"/>
    <w:rsid w:val="000F5CF7"/>
    <w:rsid w:val="001035AB"/>
    <w:rsid w:val="001130F0"/>
    <w:rsid w:val="00127B22"/>
    <w:rsid w:val="001368AA"/>
    <w:rsid w:val="00150A4C"/>
    <w:rsid w:val="00213B30"/>
    <w:rsid w:val="00243B61"/>
    <w:rsid w:val="0024622D"/>
    <w:rsid w:val="002535B4"/>
    <w:rsid w:val="00256CBA"/>
    <w:rsid w:val="00257620"/>
    <w:rsid w:val="00293D1E"/>
    <w:rsid w:val="002A5BC7"/>
    <w:rsid w:val="002A5E81"/>
    <w:rsid w:val="002C3C29"/>
    <w:rsid w:val="002D35A0"/>
    <w:rsid w:val="002E4DF1"/>
    <w:rsid w:val="002F0850"/>
    <w:rsid w:val="00311CC2"/>
    <w:rsid w:val="00334913"/>
    <w:rsid w:val="003365AF"/>
    <w:rsid w:val="00343FB8"/>
    <w:rsid w:val="00346D9B"/>
    <w:rsid w:val="00383402"/>
    <w:rsid w:val="003E2FDE"/>
    <w:rsid w:val="00426030"/>
    <w:rsid w:val="00457685"/>
    <w:rsid w:val="00485FFD"/>
    <w:rsid w:val="004924EA"/>
    <w:rsid w:val="004A7D18"/>
    <w:rsid w:val="004B3FF5"/>
    <w:rsid w:val="004B742C"/>
    <w:rsid w:val="004D6E26"/>
    <w:rsid w:val="004E0E57"/>
    <w:rsid w:val="004E5353"/>
    <w:rsid w:val="004E610C"/>
    <w:rsid w:val="00502B5D"/>
    <w:rsid w:val="00505BA6"/>
    <w:rsid w:val="00510684"/>
    <w:rsid w:val="00512D0C"/>
    <w:rsid w:val="005146E9"/>
    <w:rsid w:val="005169E6"/>
    <w:rsid w:val="00537158"/>
    <w:rsid w:val="00540FC8"/>
    <w:rsid w:val="00541DF6"/>
    <w:rsid w:val="00560164"/>
    <w:rsid w:val="0057614C"/>
    <w:rsid w:val="005B3222"/>
    <w:rsid w:val="005B7131"/>
    <w:rsid w:val="005C098F"/>
    <w:rsid w:val="005C253B"/>
    <w:rsid w:val="005C2988"/>
    <w:rsid w:val="005E5CA1"/>
    <w:rsid w:val="005F18F8"/>
    <w:rsid w:val="00600066"/>
    <w:rsid w:val="00621B8A"/>
    <w:rsid w:val="00622706"/>
    <w:rsid w:val="00635E39"/>
    <w:rsid w:val="006533B2"/>
    <w:rsid w:val="0067514E"/>
    <w:rsid w:val="006C0896"/>
    <w:rsid w:val="006F1634"/>
    <w:rsid w:val="00711B1E"/>
    <w:rsid w:val="007156AC"/>
    <w:rsid w:val="00755050"/>
    <w:rsid w:val="0076656C"/>
    <w:rsid w:val="007846FF"/>
    <w:rsid w:val="00794463"/>
    <w:rsid w:val="007A12A6"/>
    <w:rsid w:val="007A2F33"/>
    <w:rsid w:val="007A67D1"/>
    <w:rsid w:val="007B1EE2"/>
    <w:rsid w:val="007B7372"/>
    <w:rsid w:val="007E2CAE"/>
    <w:rsid w:val="007E36F2"/>
    <w:rsid w:val="007F21A9"/>
    <w:rsid w:val="00837863"/>
    <w:rsid w:val="008843C2"/>
    <w:rsid w:val="00885370"/>
    <w:rsid w:val="0089582A"/>
    <w:rsid w:val="008A3065"/>
    <w:rsid w:val="008C5C7F"/>
    <w:rsid w:val="008C701F"/>
    <w:rsid w:val="008D60E2"/>
    <w:rsid w:val="008E221E"/>
    <w:rsid w:val="0090621E"/>
    <w:rsid w:val="00906561"/>
    <w:rsid w:val="00915E91"/>
    <w:rsid w:val="009910F7"/>
    <w:rsid w:val="009A736D"/>
    <w:rsid w:val="009A7630"/>
    <w:rsid w:val="009F3DEB"/>
    <w:rsid w:val="00A073DA"/>
    <w:rsid w:val="00A41E38"/>
    <w:rsid w:val="00A47653"/>
    <w:rsid w:val="00A54D63"/>
    <w:rsid w:val="00A72B37"/>
    <w:rsid w:val="00A80379"/>
    <w:rsid w:val="00AA6AAF"/>
    <w:rsid w:val="00AB31A5"/>
    <w:rsid w:val="00AB59F5"/>
    <w:rsid w:val="00AB6EE7"/>
    <w:rsid w:val="00AC4625"/>
    <w:rsid w:val="00AD0EE5"/>
    <w:rsid w:val="00AD5F22"/>
    <w:rsid w:val="00AD6B37"/>
    <w:rsid w:val="00B03C02"/>
    <w:rsid w:val="00B23F2D"/>
    <w:rsid w:val="00B26DB6"/>
    <w:rsid w:val="00B31E36"/>
    <w:rsid w:val="00B53712"/>
    <w:rsid w:val="00B6715C"/>
    <w:rsid w:val="00B828CF"/>
    <w:rsid w:val="00B86CA0"/>
    <w:rsid w:val="00B9245F"/>
    <w:rsid w:val="00BB3033"/>
    <w:rsid w:val="00BB715E"/>
    <w:rsid w:val="00BD67F6"/>
    <w:rsid w:val="00BD6DEE"/>
    <w:rsid w:val="00C02DF3"/>
    <w:rsid w:val="00C11D28"/>
    <w:rsid w:val="00C14E85"/>
    <w:rsid w:val="00C25E1B"/>
    <w:rsid w:val="00C37C46"/>
    <w:rsid w:val="00C52504"/>
    <w:rsid w:val="00C52B5C"/>
    <w:rsid w:val="00C531DC"/>
    <w:rsid w:val="00C63155"/>
    <w:rsid w:val="00C6546D"/>
    <w:rsid w:val="00C8191B"/>
    <w:rsid w:val="00C9377D"/>
    <w:rsid w:val="00CA44D2"/>
    <w:rsid w:val="00CB640A"/>
    <w:rsid w:val="00CC2AA5"/>
    <w:rsid w:val="00CE7ED7"/>
    <w:rsid w:val="00CF4098"/>
    <w:rsid w:val="00D233B9"/>
    <w:rsid w:val="00D329BF"/>
    <w:rsid w:val="00D800B8"/>
    <w:rsid w:val="00D92E2B"/>
    <w:rsid w:val="00DA31E5"/>
    <w:rsid w:val="00E11946"/>
    <w:rsid w:val="00E46972"/>
    <w:rsid w:val="00E572EB"/>
    <w:rsid w:val="00E61342"/>
    <w:rsid w:val="00E61C31"/>
    <w:rsid w:val="00E74A00"/>
    <w:rsid w:val="00E837ED"/>
    <w:rsid w:val="00EB02FC"/>
    <w:rsid w:val="00EC4CC9"/>
    <w:rsid w:val="00EE296C"/>
    <w:rsid w:val="00EF2684"/>
    <w:rsid w:val="00F0574C"/>
    <w:rsid w:val="00F30DBC"/>
    <w:rsid w:val="00F32902"/>
    <w:rsid w:val="00F43854"/>
    <w:rsid w:val="00F60629"/>
    <w:rsid w:val="00FA02A1"/>
    <w:rsid w:val="00FA3044"/>
    <w:rsid w:val="00FB751F"/>
    <w:rsid w:val="00FC1EAE"/>
    <w:rsid w:val="00FC3DAE"/>
    <w:rsid w:val="00FE6E91"/>
    <w:rsid w:val="00FF3588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7C3E"/>
  <w15:docId w15:val="{BF0217AE-222E-40B8-901F-FD0A3A38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D3B"/>
  </w:style>
  <w:style w:type="paragraph" w:styleId="Heading1">
    <w:name w:val="heading 1"/>
    <w:basedOn w:val="Normal"/>
    <w:next w:val="Normal"/>
    <w:link w:val="Heading1Char"/>
    <w:uiPriority w:val="99"/>
    <w:qFormat/>
    <w:rsid w:val="00061D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D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D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D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D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D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D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D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D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61D3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D3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D3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D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D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D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D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D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D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61D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061D3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D3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1D3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061D3B"/>
    <w:rPr>
      <w:b/>
      <w:bCs/>
    </w:rPr>
  </w:style>
  <w:style w:type="character" w:styleId="Emphasis">
    <w:name w:val="Emphasis"/>
    <w:uiPriority w:val="20"/>
    <w:qFormat/>
    <w:rsid w:val="00061D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061D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D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D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1D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D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D3B"/>
    <w:rPr>
      <w:i/>
      <w:iCs/>
    </w:rPr>
  </w:style>
  <w:style w:type="character" w:styleId="SubtleEmphasis">
    <w:name w:val="Subtle Emphasis"/>
    <w:uiPriority w:val="19"/>
    <w:qFormat/>
    <w:rsid w:val="00061D3B"/>
    <w:rPr>
      <w:i/>
      <w:iCs/>
    </w:rPr>
  </w:style>
  <w:style w:type="character" w:styleId="IntenseEmphasis">
    <w:name w:val="Intense Emphasis"/>
    <w:uiPriority w:val="21"/>
    <w:qFormat/>
    <w:rsid w:val="00061D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1D3B"/>
    <w:rPr>
      <w:smallCaps/>
    </w:rPr>
  </w:style>
  <w:style w:type="character" w:styleId="IntenseReference">
    <w:name w:val="Intense Reference"/>
    <w:uiPriority w:val="32"/>
    <w:qFormat/>
    <w:rsid w:val="00061D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061D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D3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E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7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062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0621E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7C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46"/>
  </w:style>
  <w:style w:type="paragraph" w:styleId="Footer">
    <w:name w:val="footer"/>
    <w:basedOn w:val="Normal"/>
    <w:link w:val="FooterChar"/>
    <w:uiPriority w:val="99"/>
    <w:unhideWhenUsed/>
    <w:rsid w:val="00C37C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CEC790EB5EEF142A2AE83AB59288D4C" ma:contentTypeVersion="1" ma:contentTypeDescription="Izveidot jaunu dokumentu." ma:contentTypeScope="" ma:versionID="2c6cdead50edd001728e66a9c0d0f6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b9b96df0e3340ea8c13d89a08649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ākuma datuma plānošan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177DF2F-49E0-4475-B8EC-F09608F0F840}">
  <ds:schemaRefs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66AAF-7E7F-4646-A8BC-394B092F9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CD3DB-D899-4214-B316-F209B1FDD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3928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Amata apraksts</vt:lpstr>
    </vt:vector>
  </TitlesOfParts>
  <Company>Finanšu ministrija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Amata apraksts</dc:title>
  <dc:subject/>
  <dc:creator>pn-krisa</dc:creator>
  <cp:keywords/>
  <dc:description/>
  <cp:lastModifiedBy>Antra Matuzele</cp:lastModifiedBy>
  <cp:revision>2</cp:revision>
  <cp:lastPrinted>2021-09-28T12:11:00Z</cp:lastPrinted>
  <dcterms:created xsi:type="dcterms:W3CDTF">2021-12-03T09:13:00Z</dcterms:created>
  <dcterms:modified xsi:type="dcterms:W3CDTF">2021-12-03T09:13:00Z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0x0101000CEC790EB5EEF142A2AE83AB59288D4C</vt:lpwstr>
  </property>
</Properties>
</file>