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782F" w14:textId="77777777" w:rsidR="004B2C7D" w:rsidRDefault="002E6246" w:rsidP="004B2C7D">
      <w:pPr>
        <w:tabs>
          <w:tab w:val="left" w:pos="810"/>
        </w:tabs>
        <w:jc w:val="center"/>
        <w:rPr>
          <w:rFonts w:eastAsia="Times New Roman" w:cs="Times New Roman"/>
          <w:b/>
          <w:iCs/>
          <w:szCs w:val="24"/>
        </w:rPr>
      </w:pPr>
      <w:r w:rsidRPr="002D7758">
        <w:rPr>
          <w:rFonts w:eastAsia="Times New Roman" w:cs="Times New Roman"/>
          <w:b/>
          <w:iCs/>
          <w:szCs w:val="24"/>
        </w:rPr>
        <w:t>Uzziņa par tiesību</w:t>
      </w:r>
      <w:r w:rsidR="004B2C7D">
        <w:rPr>
          <w:rFonts w:eastAsia="Times New Roman" w:cs="Times New Roman"/>
          <w:b/>
          <w:iCs/>
          <w:szCs w:val="24"/>
        </w:rPr>
        <w:t xml:space="preserve"> akta projektu Vadības komitejas sēdei</w:t>
      </w:r>
    </w:p>
    <w:p w14:paraId="6477A76B" w14:textId="01D32BC3" w:rsidR="002E6246" w:rsidRDefault="00EF16DC" w:rsidP="004B2C7D">
      <w:pPr>
        <w:tabs>
          <w:tab w:val="left" w:pos="810"/>
        </w:tabs>
        <w:jc w:val="center"/>
        <w:rPr>
          <w:rFonts w:eastAsia="Times New Roman" w:cs="Times New Roman"/>
          <w:i/>
          <w:iCs/>
          <w:szCs w:val="24"/>
        </w:rPr>
      </w:pPr>
      <w:r>
        <w:rPr>
          <w:rFonts w:eastAsia="Times New Roman" w:cs="Times New Roman"/>
          <w:i/>
          <w:iCs/>
          <w:szCs w:val="24"/>
        </w:rPr>
        <w:t>13.01.2020</w:t>
      </w:r>
    </w:p>
    <w:p w14:paraId="1D428673" w14:textId="77777777" w:rsidR="00EF16DC" w:rsidRPr="004B2C7D" w:rsidRDefault="00EF16DC" w:rsidP="004B2C7D">
      <w:pPr>
        <w:tabs>
          <w:tab w:val="left" w:pos="810"/>
        </w:tabs>
        <w:jc w:val="center"/>
        <w:rPr>
          <w:rFonts w:eastAsia="Times New Roman" w:cs="Times New Roman"/>
          <w:b/>
          <w:iCs/>
          <w:szCs w:val="24"/>
        </w:rPr>
      </w:pPr>
    </w:p>
    <w:p w14:paraId="14D01441" w14:textId="77777777" w:rsidR="002E6246" w:rsidRPr="002D7758" w:rsidRDefault="002E6246" w:rsidP="002E6246">
      <w:pPr>
        <w:rPr>
          <w:rFonts w:eastAsia="Times New Roman" w:cs="Times New Roman"/>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005"/>
        <w:gridCol w:w="6350"/>
      </w:tblGrid>
      <w:tr w:rsidR="002E6246" w:rsidRPr="002D7758" w14:paraId="0A680686" w14:textId="77777777" w:rsidTr="2A45E688">
        <w:tc>
          <w:tcPr>
            <w:tcW w:w="710" w:type="dxa"/>
          </w:tcPr>
          <w:p w14:paraId="11A88137" w14:textId="77777777" w:rsidR="002E6246" w:rsidRPr="002D7758" w:rsidRDefault="002E6246" w:rsidP="002E6246">
            <w:pPr>
              <w:spacing w:before="60" w:after="60"/>
              <w:jc w:val="center"/>
              <w:rPr>
                <w:rFonts w:eastAsia="Times New Roman" w:cs="Times New Roman"/>
                <w:szCs w:val="24"/>
              </w:rPr>
            </w:pPr>
            <w:r w:rsidRPr="002D7758">
              <w:rPr>
                <w:rFonts w:eastAsia="Times New Roman" w:cs="Times New Roman"/>
                <w:szCs w:val="24"/>
              </w:rPr>
              <w:t>№</w:t>
            </w:r>
          </w:p>
        </w:tc>
        <w:tc>
          <w:tcPr>
            <w:tcW w:w="3005" w:type="dxa"/>
            <w:vAlign w:val="center"/>
          </w:tcPr>
          <w:p w14:paraId="1456EB21" w14:textId="77777777" w:rsidR="002E6246" w:rsidRPr="002D7758" w:rsidRDefault="002E6246" w:rsidP="002E6246">
            <w:pPr>
              <w:spacing w:before="60" w:after="60"/>
              <w:jc w:val="center"/>
              <w:rPr>
                <w:rFonts w:eastAsia="Times New Roman" w:cs="Times New Roman"/>
                <w:szCs w:val="24"/>
              </w:rPr>
            </w:pPr>
            <w:r w:rsidRPr="002D7758">
              <w:rPr>
                <w:rFonts w:eastAsia="Times New Roman" w:cs="Times New Roman"/>
                <w:szCs w:val="24"/>
              </w:rPr>
              <w:t>Sniedzamā informācija</w:t>
            </w:r>
          </w:p>
        </w:tc>
        <w:tc>
          <w:tcPr>
            <w:tcW w:w="6350" w:type="dxa"/>
            <w:vAlign w:val="center"/>
          </w:tcPr>
          <w:p w14:paraId="4EA2AF69" w14:textId="77777777" w:rsidR="002E6246" w:rsidRPr="002D7758" w:rsidRDefault="00791E04" w:rsidP="00AA3403">
            <w:pPr>
              <w:spacing w:before="60" w:after="60"/>
              <w:jc w:val="center"/>
              <w:rPr>
                <w:rFonts w:eastAsia="Times New Roman" w:cs="Times New Roman"/>
                <w:szCs w:val="24"/>
              </w:rPr>
            </w:pPr>
            <w:r w:rsidRPr="002D7758">
              <w:rPr>
                <w:rFonts w:eastAsia="Times New Roman" w:cs="Times New Roman"/>
                <w:szCs w:val="24"/>
              </w:rPr>
              <w:t>Informācija par projektu</w:t>
            </w:r>
          </w:p>
        </w:tc>
      </w:tr>
      <w:tr w:rsidR="002E6246" w:rsidRPr="002D7758" w14:paraId="038F4CF4" w14:textId="77777777" w:rsidTr="2A45E688">
        <w:tc>
          <w:tcPr>
            <w:tcW w:w="710" w:type="dxa"/>
          </w:tcPr>
          <w:p w14:paraId="649C7D6B" w14:textId="77777777" w:rsidR="002E6246" w:rsidRPr="002D7758" w:rsidRDefault="002E6246" w:rsidP="002E6246">
            <w:pPr>
              <w:spacing w:before="60" w:after="60"/>
              <w:rPr>
                <w:rFonts w:eastAsia="Times New Roman" w:cs="Times New Roman"/>
                <w:szCs w:val="24"/>
              </w:rPr>
            </w:pPr>
          </w:p>
        </w:tc>
        <w:tc>
          <w:tcPr>
            <w:tcW w:w="9355" w:type="dxa"/>
            <w:gridSpan w:val="2"/>
          </w:tcPr>
          <w:p w14:paraId="5FD324EE" w14:textId="529DB735" w:rsidR="002E6246" w:rsidRPr="00FA4E76" w:rsidRDefault="009B77A5" w:rsidP="0069538A">
            <w:pPr>
              <w:shd w:val="clear" w:color="auto" w:fill="FFFFFF"/>
              <w:jc w:val="center"/>
              <w:rPr>
                <w:rFonts w:eastAsia="Calibri" w:cs="Times New Roman"/>
                <w:b/>
                <w:bCs/>
                <w:szCs w:val="24"/>
              </w:rPr>
            </w:pPr>
            <w:sdt>
              <w:sdtPr>
                <w:id w:val="882755678"/>
                <w:placeholder>
                  <w:docPart w:val="9634D5CA8E494EBFA5370DD0F326997B"/>
                </w:placeholder>
              </w:sdtPr>
              <w:sdtEndPr>
                <w:rPr>
                  <w:rFonts w:eastAsia="Times New Roman" w:cs="Times New Roman"/>
                  <w:b/>
                  <w:bCs/>
                  <w:color w:val="000000" w:themeColor="text1"/>
                  <w:szCs w:val="24"/>
                  <w:lang w:eastAsia="lv-LV"/>
                </w:rPr>
              </w:sdtEndPr>
              <w:sdtContent>
                <w:r w:rsidR="00B11F6B" w:rsidRPr="003A07AE">
                  <w:t>Likumprojekts “</w:t>
                </w:r>
                <w:proofErr w:type="spellStart"/>
                <w:r w:rsidR="0069538A">
                  <w:t>Vērtspapīrošanas</w:t>
                </w:r>
                <w:proofErr w:type="spellEnd"/>
                <w:r w:rsidR="0069538A">
                  <w:t xml:space="preserve"> un segto obligāciju likums</w:t>
                </w:r>
                <w:r w:rsidR="006A58A6">
                  <w:t>”.</w:t>
                </w:r>
              </w:sdtContent>
            </w:sdt>
          </w:p>
        </w:tc>
      </w:tr>
      <w:tr w:rsidR="002E6246" w:rsidRPr="002D7758" w14:paraId="1B6154FB" w14:textId="77777777" w:rsidTr="2A45E688">
        <w:trPr>
          <w:trHeight w:val="725"/>
        </w:trPr>
        <w:tc>
          <w:tcPr>
            <w:tcW w:w="710" w:type="dxa"/>
          </w:tcPr>
          <w:p w14:paraId="03AF8BF1"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1649A217" w14:textId="77777777" w:rsidR="002E6246" w:rsidRPr="002D7758" w:rsidRDefault="002E6246" w:rsidP="002E6246">
            <w:pPr>
              <w:rPr>
                <w:rFonts w:eastAsia="Times New Roman" w:cs="Times New Roman"/>
                <w:szCs w:val="24"/>
              </w:rPr>
            </w:pPr>
            <w:r w:rsidRPr="002D7758">
              <w:rPr>
                <w:rFonts w:eastAsia="Times New Roman" w:cs="Times New Roman"/>
                <w:szCs w:val="24"/>
              </w:rPr>
              <w:t>Projekta izstrādes nepieciešamības pamatojums</w:t>
            </w:r>
          </w:p>
        </w:tc>
        <w:tc>
          <w:tcPr>
            <w:tcW w:w="6350" w:type="dxa"/>
          </w:tcPr>
          <w:p w14:paraId="66FC4FCF" w14:textId="3F38A5B9" w:rsidR="00FA3026" w:rsidRDefault="0069538A" w:rsidP="00FA3026">
            <w:pPr>
              <w:spacing w:after="60"/>
              <w:jc w:val="both"/>
              <w:rPr>
                <w:rFonts w:cs="Times New Roman"/>
                <w:szCs w:val="24"/>
              </w:rPr>
            </w:pPr>
            <w:r w:rsidRPr="0069538A">
              <w:rPr>
                <w:rFonts w:cs="Times New Roman"/>
                <w:szCs w:val="24"/>
              </w:rPr>
              <w:t>Likumprojekt</w:t>
            </w:r>
            <w:r w:rsidR="00AB0C52">
              <w:rPr>
                <w:rFonts w:cs="Times New Roman"/>
                <w:szCs w:val="24"/>
              </w:rPr>
              <w:t>a</w:t>
            </w:r>
            <w:r w:rsidRPr="0069538A">
              <w:rPr>
                <w:rFonts w:cs="Times New Roman"/>
                <w:szCs w:val="24"/>
              </w:rPr>
              <w:t xml:space="preserve"> “</w:t>
            </w:r>
            <w:proofErr w:type="spellStart"/>
            <w:r w:rsidRPr="0069538A">
              <w:rPr>
                <w:rFonts w:cs="Times New Roman"/>
                <w:szCs w:val="24"/>
              </w:rPr>
              <w:t>Vērtspapīrošanas</w:t>
            </w:r>
            <w:proofErr w:type="spellEnd"/>
            <w:r w:rsidRPr="0069538A">
              <w:rPr>
                <w:rFonts w:cs="Times New Roman"/>
                <w:szCs w:val="24"/>
              </w:rPr>
              <w:t xml:space="preserve"> un segto obligāciju likums” </w:t>
            </w:r>
            <w:r w:rsidR="00AB0C52">
              <w:rPr>
                <w:rFonts w:cs="Times New Roman"/>
                <w:szCs w:val="24"/>
              </w:rPr>
              <w:t>izstrādes mērķis ir izveidot</w:t>
            </w:r>
            <w:r w:rsidRPr="0069538A">
              <w:rPr>
                <w:rFonts w:cs="Times New Roman"/>
                <w:szCs w:val="24"/>
              </w:rPr>
              <w:t xml:space="preserve"> </w:t>
            </w:r>
            <w:proofErr w:type="spellStart"/>
            <w:r w:rsidRPr="0069538A">
              <w:rPr>
                <w:rFonts w:cs="Times New Roman"/>
                <w:szCs w:val="24"/>
              </w:rPr>
              <w:t>vērtspapīrošanas</w:t>
            </w:r>
            <w:proofErr w:type="spellEnd"/>
            <w:r w:rsidRPr="0069538A">
              <w:rPr>
                <w:rFonts w:cs="Times New Roman"/>
                <w:szCs w:val="24"/>
              </w:rPr>
              <w:t xml:space="preserve"> un segto obligāciju tiesisko ietvaru Latvijā, </w:t>
            </w:r>
            <w:r w:rsidR="00FA3026">
              <w:rPr>
                <w:rFonts w:cs="Times New Roman"/>
                <w:szCs w:val="24"/>
              </w:rPr>
              <w:t>lai nodrošinātu:</w:t>
            </w:r>
          </w:p>
          <w:p w14:paraId="29430C92" w14:textId="77777777" w:rsidR="00FA3026" w:rsidRDefault="00FA3026" w:rsidP="00FA3026">
            <w:pPr>
              <w:spacing w:after="60"/>
              <w:jc w:val="both"/>
              <w:rPr>
                <w:rFonts w:cs="Times New Roman"/>
                <w:szCs w:val="24"/>
              </w:rPr>
            </w:pPr>
            <w:r>
              <w:rPr>
                <w:rFonts w:cs="Times New Roman"/>
                <w:szCs w:val="24"/>
              </w:rPr>
              <w:t xml:space="preserve">1. </w:t>
            </w:r>
            <w:r w:rsidRPr="00FA3026">
              <w:rPr>
                <w:rFonts w:cs="Times New Roman"/>
                <w:szCs w:val="24"/>
              </w:rPr>
              <w:t>Artura Krišjāņa Kariņa vadītā Ministru kabineta Deklarācijas iecerēto darbību valdības rīcības plāna īs</w:t>
            </w:r>
            <w:r>
              <w:rPr>
                <w:rFonts w:cs="Times New Roman"/>
                <w:szCs w:val="24"/>
              </w:rPr>
              <w:t>tenošanas 17.1 un 27.3. pasākuma īstenošanu;</w:t>
            </w:r>
          </w:p>
          <w:p w14:paraId="5B036820" w14:textId="5CEA5F9E" w:rsidR="00FA3026" w:rsidRDefault="00FA3026" w:rsidP="00FA3026">
            <w:pPr>
              <w:spacing w:after="60"/>
              <w:jc w:val="both"/>
              <w:rPr>
                <w:rFonts w:cs="Times New Roman"/>
                <w:szCs w:val="24"/>
              </w:rPr>
            </w:pPr>
            <w:r>
              <w:rPr>
                <w:rFonts w:cs="Times New Roman"/>
                <w:szCs w:val="24"/>
              </w:rPr>
              <w:t xml:space="preserve">2. </w:t>
            </w:r>
            <w:r w:rsidR="0069538A" w:rsidRPr="0069538A">
              <w:rPr>
                <w:rFonts w:cs="Times New Roman"/>
                <w:szCs w:val="24"/>
              </w:rPr>
              <w:t xml:space="preserve">Eiropas Parlamenta un Padomes 2019.gada 27.novembra </w:t>
            </w:r>
            <w:r>
              <w:rPr>
                <w:rFonts w:cs="Times New Roman"/>
                <w:szCs w:val="24"/>
              </w:rPr>
              <w:t>D</w:t>
            </w:r>
            <w:r w:rsidR="0069538A" w:rsidRPr="0069538A">
              <w:rPr>
                <w:rFonts w:cs="Times New Roman"/>
                <w:szCs w:val="24"/>
              </w:rPr>
              <w:t>irektīvas 2019/2162 par segto obligāciju emisiju un segto obligāciju publisko uzraudzību un ar ko groza Direktīvas 2009/65/EK un 2014/59/ES prasīb</w:t>
            </w:r>
            <w:r>
              <w:rPr>
                <w:rFonts w:cs="Times New Roman"/>
                <w:szCs w:val="24"/>
              </w:rPr>
              <w:t>u</w:t>
            </w:r>
            <w:r w:rsidR="00095D12">
              <w:rPr>
                <w:rFonts w:cs="Times New Roman"/>
                <w:szCs w:val="24"/>
              </w:rPr>
              <w:t xml:space="preserve"> (turpmāk – Direktīva 2019/2162)</w:t>
            </w:r>
            <w:r>
              <w:rPr>
                <w:rFonts w:cs="Times New Roman"/>
                <w:szCs w:val="24"/>
              </w:rPr>
              <w:t xml:space="preserve"> pārņemšanu;</w:t>
            </w:r>
          </w:p>
          <w:p w14:paraId="249A7BA6" w14:textId="18ACB1F4" w:rsidR="004300A9" w:rsidRPr="002D7758" w:rsidRDefault="00FA3026" w:rsidP="00FA3026">
            <w:pPr>
              <w:spacing w:after="60"/>
              <w:jc w:val="both"/>
              <w:rPr>
                <w:rFonts w:eastAsia="Calibri" w:cs="Times New Roman"/>
                <w:szCs w:val="24"/>
              </w:rPr>
            </w:pPr>
            <w:r>
              <w:rPr>
                <w:rFonts w:cs="Times New Roman"/>
                <w:szCs w:val="24"/>
              </w:rPr>
              <w:t xml:space="preserve">3. </w:t>
            </w:r>
            <w:r w:rsidRPr="00FA3026">
              <w:rPr>
                <w:rFonts w:cs="Times New Roman"/>
                <w:szCs w:val="24"/>
              </w:rPr>
              <w:t>Finanšu sektora attīstības plāna 2017.-2019.gadam 3.2.3.uzdevuma izpildi</w:t>
            </w:r>
            <w:r w:rsidR="0069538A" w:rsidRPr="0069538A">
              <w:rPr>
                <w:rFonts w:cs="Times New Roman"/>
                <w:szCs w:val="24"/>
              </w:rPr>
              <w:t xml:space="preserve">. </w:t>
            </w:r>
          </w:p>
        </w:tc>
      </w:tr>
      <w:tr w:rsidR="002E6246" w:rsidRPr="002D7758" w14:paraId="3D8E39E8" w14:textId="77777777" w:rsidTr="2A45E688">
        <w:tc>
          <w:tcPr>
            <w:tcW w:w="710" w:type="dxa"/>
          </w:tcPr>
          <w:p w14:paraId="45A28F15"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4495A350" w14:textId="77777777" w:rsidR="002E6246" w:rsidRPr="002D7758" w:rsidRDefault="002E6246" w:rsidP="002E6246">
            <w:pPr>
              <w:rPr>
                <w:rFonts w:eastAsia="Times New Roman" w:cs="Times New Roman"/>
                <w:szCs w:val="24"/>
              </w:rPr>
            </w:pPr>
            <w:r w:rsidRPr="002D7758">
              <w:rPr>
                <w:rFonts w:eastAsia="Times New Roman" w:cs="Times New Roman"/>
                <w:szCs w:val="24"/>
              </w:rPr>
              <w:t>Vadības darba plāna uzdevuma numurs un tā izpildes termiņš (ja nepieciešams)</w:t>
            </w:r>
          </w:p>
        </w:tc>
        <w:tc>
          <w:tcPr>
            <w:tcW w:w="6350" w:type="dxa"/>
          </w:tcPr>
          <w:p w14:paraId="75FFFEEF" w14:textId="56A82D72" w:rsidR="005D4BBE" w:rsidRPr="002D7758" w:rsidRDefault="00095D12" w:rsidP="000344E9">
            <w:pPr>
              <w:pStyle w:val="doc-ti"/>
              <w:jc w:val="left"/>
              <w:rPr>
                <w:b w:val="0"/>
                <w:iCs/>
              </w:rPr>
            </w:pPr>
            <w:r>
              <w:rPr>
                <w:b w:val="0"/>
                <w:iCs/>
              </w:rPr>
              <w:t>2019-DP-05-17/53</w:t>
            </w:r>
            <w:r w:rsidR="00076811" w:rsidRPr="002D7758">
              <w:rPr>
                <w:b w:val="0"/>
                <w:iCs/>
              </w:rPr>
              <w:t>.</w:t>
            </w:r>
            <w:r>
              <w:rPr>
                <w:b w:val="0"/>
                <w:iCs/>
              </w:rPr>
              <w:t xml:space="preserve"> </w:t>
            </w:r>
          </w:p>
        </w:tc>
      </w:tr>
      <w:tr w:rsidR="002E6246" w:rsidRPr="002D7758" w14:paraId="18ADF702" w14:textId="77777777" w:rsidTr="2A45E688">
        <w:tc>
          <w:tcPr>
            <w:tcW w:w="710" w:type="dxa"/>
          </w:tcPr>
          <w:p w14:paraId="166D11E8"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1E4E51FE" w14:textId="77777777" w:rsidR="002E6246" w:rsidRPr="002D7758" w:rsidRDefault="002E6246" w:rsidP="002E6246">
            <w:pPr>
              <w:rPr>
                <w:rFonts w:eastAsia="Times New Roman" w:cs="Times New Roman"/>
                <w:szCs w:val="24"/>
                <w:highlight w:val="yellow"/>
              </w:rPr>
            </w:pPr>
            <w:r w:rsidRPr="002D7758">
              <w:rPr>
                <w:rFonts w:eastAsia="Times New Roman" w:cs="Times New Roman"/>
                <w:szCs w:val="24"/>
              </w:rPr>
              <w:t>Projekta īss saturs</w:t>
            </w:r>
          </w:p>
        </w:tc>
        <w:tc>
          <w:tcPr>
            <w:tcW w:w="6350" w:type="dxa"/>
          </w:tcPr>
          <w:p w14:paraId="68BE5DD6" w14:textId="77777777" w:rsidR="00FA3026" w:rsidRDefault="00E73318" w:rsidP="00BB618A">
            <w:pPr>
              <w:autoSpaceDE w:val="0"/>
              <w:autoSpaceDN w:val="0"/>
              <w:adjustRightInd w:val="0"/>
              <w:jc w:val="both"/>
              <w:rPr>
                <w:rFonts w:eastAsia="Times New Roman" w:cs="Times New Roman"/>
                <w:iCs/>
                <w:color w:val="000000" w:themeColor="text1"/>
                <w:szCs w:val="24"/>
                <w:lang w:eastAsia="lv-LV"/>
              </w:rPr>
            </w:pPr>
            <w:r w:rsidRPr="00E73318">
              <w:rPr>
                <w:rFonts w:eastAsia="Times New Roman" w:cs="Times New Roman"/>
                <w:iCs/>
                <w:color w:val="000000" w:themeColor="text1"/>
                <w:szCs w:val="24"/>
                <w:lang w:eastAsia="lv-LV"/>
              </w:rPr>
              <w:t>Likumprojektā tiks paredzēt</w:t>
            </w:r>
            <w:r w:rsidR="00FA3026">
              <w:rPr>
                <w:rFonts w:eastAsia="Times New Roman" w:cs="Times New Roman"/>
                <w:iCs/>
                <w:color w:val="000000" w:themeColor="text1"/>
                <w:szCs w:val="24"/>
                <w:lang w:eastAsia="lv-LV"/>
              </w:rPr>
              <w:t>s:</w:t>
            </w:r>
          </w:p>
          <w:p w14:paraId="6DA69940" w14:textId="77777777" w:rsidR="00FA3026" w:rsidRDefault="00FA3026" w:rsidP="00BB618A">
            <w:pPr>
              <w:autoSpaceDE w:val="0"/>
              <w:autoSpaceDN w:val="0"/>
              <w:adjustRightInd w:val="0"/>
              <w:jc w:val="both"/>
              <w:rPr>
                <w:rFonts w:eastAsia="Times New Roman" w:cs="Times New Roman"/>
                <w:iCs/>
                <w:color w:val="000000" w:themeColor="text1"/>
                <w:szCs w:val="24"/>
                <w:lang w:eastAsia="lv-LV"/>
              </w:rPr>
            </w:pPr>
            <w:r>
              <w:rPr>
                <w:rFonts w:eastAsia="Times New Roman" w:cs="Times New Roman"/>
                <w:iCs/>
                <w:color w:val="000000" w:themeColor="text1"/>
                <w:szCs w:val="24"/>
                <w:lang w:eastAsia="lv-LV"/>
              </w:rPr>
              <w:t>A daļā:</w:t>
            </w:r>
          </w:p>
          <w:p w14:paraId="208C5B98" w14:textId="10CA6389" w:rsidR="00A56BC9" w:rsidRDefault="00FA3026" w:rsidP="00886801">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9421B0">
              <w:rPr>
                <w:rFonts w:eastAsia="Times New Roman" w:cs="Times New Roman"/>
                <w:iCs/>
                <w:color w:val="000000" w:themeColor="text1"/>
                <w:szCs w:val="24"/>
                <w:lang w:eastAsia="lv-LV"/>
              </w:rPr>
              <w:t xml:space="preserve">vispārīgie noteikumi, kas ietvers likuma mērķi un likumā ietverto terminu definīcijas, kā arī </w:t>
            </w:r>
            <w:r w:rsidR="00E73318" w:rsidRPr="009421B0">
              <w:rPr>
                <w:rFonts w:eastAsia="Times New Roman" w:cs="Times New Roman"/>
                <w:iCs/>
                <w:color w:val="000000" w:themeColor="text1"/>
                <w:szCs w:val="24"/>
                <w:lang w:eastAsia="lv-LV"/>
              </w:rPr>
              <w:t>ieguldītāju aizsardzības noteikum</w:t>
            </w:r>
            <w:r w:rsidRPr="009421B0">
              <w:rPr>
                <w:rFonts w:eastAsia="Times New Roman" w:cs="Times New Roman"/>
                <w:iCs/>
                <w:color w:val="000000" w:themeColor="text1"/>
                <w:szCs w:val="24"/>
                <w:lang w:eastAsia="lv-LV"/>
              </w:rPr>
              <w:t>us</w:t>
            </w:r>
            <w:r w:rsidR="00E73318" w:rsidRPr="009421B0">
              <w:rPr>
                <w:rFonts w:eastAsia="Times New Roman" w:cs="Times New Roman"/>
                <w:iCs/>
                <w:color w:val="000000" w:themeColor="text1"/>
                <w:szCs w:val="24"/>
                <w:lang w:eastAsia="lv-LV"/>
              </w:rPr>
              <w:t xml:space="preserve"> attiecībā uz </w:t>
            </w:r>
            <w:proofErr w:type="spellStart"/>
            <w:r w:rsidR="00E73318" w:rsidRPr="009421B0">
              <w:rPr>
                <w:rFonts w:eastAsia="Times New Roman" w:cs="Times New Roman"/>
                <w:iCs/>
                <w:color w:val="000000" w:themeColor="text1"/>
                <w:szCs w:val="24"/>
                <w:lang w:eastAsia="lv-LV"/>
              </w:rPr>
              <w:t>vērtspapīrošanas</w:t>
            </w:r>
            <w:proofErr w:type="spellEnd"/>
            <w:r w:rsidR="00E73318" w:rsidRPr="009421B0">
              <w:rPr>
                <w:rFonts w:eastAsia="Times New Roman" w:cs="Times New Roman"/>
                <w:iCs/>
                <w:color w:val="000000" w:themeColor="text1"/>
                <w:szCs w:val="24"/>
                <w:lang w:eastAsia="lv-LV"/>
              </w:rPr>
              <w:t xml:space="preserve"> un segto obligāciju emisijas prasībām</w:t>
            </w:r>
            <w:r w:rsidRPr="009421B0">
              <w:rPr>
                <w:rFonts w:eastAsia="Times New Roman" w:cs="Times New Roman"/>
                <w:iCs/>
                <w:color w:val="000000" w:themeColor="text1"/>
                <w:szCs w:val="24"/>
                <w:lang w:eastAsia="lv-LV"/>
              </w:rPr>
              <w:t>;</w:t>
            </w:r>
            <w:r w:rsidR="009421B0" w:rsidRPr="009421B0">
              <w:rPr>
                <w:rFonts w:eastAsia="Times New Roman" w:cs="Times New Roman"/>
                <w:iCs/>
                <w:color w:val="000000" w:themeColor="text1"/>
                <w:szCs w:val="24"/>
                <w:lang w:eastAsia="lv-LV"/>
              </w:rPr>
              <w:t xml:space="preserve"> </w:t>
            </w:r>
          </w:p>
          <w:p w14:paraId="6DF2A1AE" w14:textId="3A215E3F" w:rsidR="00FA3026" w:rsidRPr="009421B0" w:rsidRDefault="00FA3026" w:rsidP="00886801">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9421B0">
              <w:rPr>
                <w:rFonts w:eastAsia="Times New Roman" w:cs="Times New Roman"/>
                <w:iCs/>
                <w:color w:val="000000" w:themeColor="text1"/>
                <w:szCs w:val="24"/>
                <w:lang w:eastAsia="lv-LV"/>
              </w:rPr>
              <w:t xml:space="preserve">mērķsabiedrību izveidi un darbību, to </w:t>
            </w:r>
            <w:r w:rsidRPr="009421B0">
              <w:rPr>
                <w:noProof/>
                <w:spacing w:val="-2"/>
              </w:rPr>
              <w:t xml:space="preserve">lomu un funkcijas vērtspapīrošanas un segto obligāciju emisijas gadījumos, to reorganizācijas un likvidācijas regulējumu, kā arī maksātnespējas kārtību. </w:t>
            </w:r>
          </w:p>
          <w:p w14:paraId="3611CC12" w14:textId="77777777" w:rsidR="00FA3026" w:rsidRDefault="00FA3026" w:rsidP="00BB618A">
            <w:pPr>
              <w:autoSpaceDE w:val="0"/>
              <w:autoSpaceDN w:val="0"/>
              <w:adjustRightInd w:val="0"/>
              <w:jc w:val="both"/>
              <w:rPr>
                <w:rFonts w:eastAsia="Times New Roman" w:cs="Times New Roman"/>
                <w:iCs/>
                <w:color w:val="000000" w:themeColor="text1"/>
                <w:szCs w:val="24"/>
                <w:lang w:eastAsia="lv-LV"/>
              </w:rPr>
            </w:pPr>
            <w:r>
              <w:rPr>
                <w:rFonts w:eastAsia="Times New Roman" w:cs="Times New Roman"/>
                <w:iCs/>
                <w:color w:val="000000" w:themeColor="text1"/>
                <w:szCs w:val="24"/>
                <w:lang w:eastAsia="lv-LV"/>
              </w:rPr>
              <w:t>B daļā:</w:t>
            </w:r>
          </w:p>
          <w:p w14:paraId="468085B3" w14:textId="77777777" w:rsidR="00A56BC9" w:rsidRDefault="00FA3026" w:rsidP="00DB03AE">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A56BC9">
              <w:rPr>
                <w:rFonts w:eastAsia="Times New Roman" w:cs="Times New Roman"/>
                <w:iCs/>
                <w:color w:val="000000" w:themeColor="text1"/>
                <w:szCs w:val="24"/>
                <w:lang w:eastAsia="lv-LV"/>
              </w:rPr>
              <w:t xml:space="preserve">tiks noteikti </w:t>
            </w:r>
            <w:proofErr w:type="spellStart"/>
            <w:r w:rsidRPr="00A56BC9">
              <w:rPr>
                <w:rFonts w:eastAsia="Times New Roman" w:cs="Times New Roman"/>
                <w:iCs/>
                <w:color w:val="000000" w:themeColor="text1"/>
                <w:szCs w:val="24"/>
                <w:lang w:eastAsia="lv-LV"/>
              </w:rPr>
              <w:t>vērtspapīrošanas</w:t>
            </w:r>
            <w:proofErr w:type="spellEnd"/>
            <w:r w:rsidRPr="00A56BC9">
              <w:rPr>
                <w:rFonts w:eastAsia="Times New Roman" w:cs="Times New Roman"/>
                <w:iCs/>
                <w:color w:val="000000" w:themeColor="text1"/>
                <w:szCs w:val="24"/>
                <w:lang w:eastAsia="lv-LV"/>
              </w:rPr>
              <w:t xml:space="preserve"> vispārīgie noteikumi, t.sk. izmantoto seguma aktīvu iegāde un atsavināšana;</w:t>
            </w:r>
          </w:p>
          <w:p w14:paraId="240E2AB6" w14:textId="77777777" w:rsidR="00A56BC9" w:rsidRDefault="00FA3026" w:rsidP="0046167F">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A56BC9">
              <w:rPr>
                <w:rFonts w:eastAsia="Times New Roman" w:cs="Times New Roman"/>
                <w:iCs/>
                <w:color w:val="000000" w:themeColor="text1"/>
                <w:szCs w:val="24"/>
                <w:lang w:eastAsia="lv-LV"/>
              </w:rPr>
              <w:t xml:space="preserve">aprakstīta </w:t>
            </w:r>
            <w:proofErr w:type="spellStart"/>
            <w:r w:rsidRPr="00A56BC9">
              <w:rPr>
                <w:rFonts w:eastAsia="Times New Roman" w:cs="Times New Roman"/>
                <w:iCs/>
                <w:color w:val="000000" w:themeColor="text1"/>
                <w:szCs w:val="24"/>
                <w:lang w:eastAsia="lv-LV"/>
              </w:rPr>
              <w:t>vērtspapīrošanas</w:t>
            </w:r>
            <w:proofErr w:type="spellEnd"/>
            <w:r w:rsidRPr="00A56BC9">
              <w:rPr>
                <w:rFonts w:eastAsia="Times New Roman" w:cs="Times New Roman"/>
                <w:iCs/>
                <w:color w:val="000000" w:themeColor="text1"/>
                <w:szCs w:val="24"/>
                <w:lang w:eastAsia="lv-LV"/>
              </w:rPr>
              <w:t xml:space="preserve"> riska vadība;</w:t>
            </w:r>
          </w:p>
          <w:p w14:paraId="480E0840" w14:textId="77777777" w:rsidR="00A56BC9" w:rsidRDefault="00FA3026" w:rsidP="00F23CF4">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A56BC9">
              <w:rPr>
                <w:rFonts w:eastAsia="Times New Roman" w:cs="Times New Roman"/>
                <w:iCs/>
                <w:color w:val="000000" w:themeColor="text1"/>
                <w:szCs w:val="24"/>
                <w:lang w:eastAsia="lv-LV"/>
              </w:rPr>
              <w:t xml:space="preserve">noteiktas </w:t>
            </w:r>
            <w:proofErr w:type="spellStart"/>
            <w:r w:rsidRPr="00A56BC9">
              <w:rPr>
                <w:rFonts w:eastAsia="Times New Roman" w:cs="Times New Roman"/>
                <w:iCs/>
                <w:color w:val="000000" w:themeColor="text1"/>
                <w:szCs w:val="24"/>
                <w:lang w:eastAsia="lv-LV"/>
              </w:rPr>
              <w:t>vērtspapīrošanas</w:t>
            </w:r>
            <w:proofErr w:type="spellEnd"/>
            <w:r w:rsidRPr="00A56BC9">
              <w:rPr>
                <w:rFonts w:eastAsia="Times New Roman" w:cs="Times New Roman"/>
                <w:iCs/>
                <w:color w:val="000000" w:themeColor="text1"/>
                <w:szCs w:val="24"/>
                <w:lang w:eastAsia="lv-LV"/>
              </w:rPr>
              <w:t xml:space="preserve"> ieguldītāju un priviliģēto kreditoru tiesības;</w:t>
            </w:r>
          </w:p>
          <w:p w14:paraId="3A2FA12D" w14:textId="1109E023" w:rsidR="00FA3026" w:rsidRPr="00A56BC9" w:rsidRDefault="00FA3026" w:rsidP="00F23CF4">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A56BC9">
              <w:rPr>
                <w:rFonts w:eastAsia="Times New Roman" w:cs="Times New Roman"/>
                <w:iCs/>
                <w:color w:val="000000" w:themeColor="text1"/>
                <w:szCs w:val="24"/>
                <w:lang w:eastAsia="lv-LV"/>
              </w:rPr>
              <w:t>ietverts regulējumu par ieguldītāju un priviliģēto kreditoru pilnvarnieku, kas pārstāv investoru un priviliģēto kreditoru tiesības, tai skaitā, nosakot kārtību kā tiek noteikta pilnvarnieka iecelšanas kārtība, funkcijas, atbildība, nomaiņa un citi jautājumi</w:t>
            </w:r>
            <w:r w:rsidR="00343D84">
              <w:rPr>
                <w:rFonts w:eastAsia="Times New Roman" w:cs="Times New Roman"/>
                <w:iCs/>
                <w:color w:val="000000" w:themeColor="text1"/>
                <w:szCs w:val="24"/>
                <w:lang w:eastAsia="lv-LV"/>
              </w:rPr>
              <w:t>.</w:t>
            </w:r>
          </w:p>
          <w:p w14:paraId="3C32D7E1" w14:textId="75015E52" w:rsidR="00FA3026" w:rsidRDefault="00FA3026" w:rsidP="00BB618A">
            <w:pPr>
              <w:autoSpaceDE w:val="0"/>
              <w:autoSpaceDN w:val="0"/>
              <w:adjustRightInd w:val="0"/>
              <w:jc w:val="both"/>
              <w:rPr>
                <w:rFonts w:eastAsia="Times New Roman" w:cs="Times New Roman"/>
                <w:iCs/>
                <w:color w:val="000000" w:themeColor="text1"/>
                <w:szCs w:val="24"/>
                <w:lang w:eastAsia="lv-LV"/>
              </w:rPr>
            </w:pPr>
            <w:r>
              <w:rPr>
                <w:rFonts w:eastAsia="Times New Roman" w:cs="Times New Roman"/>
                <w:iCs/>
                <w:color w:val="000000" w:themeColor="text1"/>
                <w:szCs w:val="24"/>
                <w:lang w:eastAsia="lv-LV"/>
              </w:rPr>
              <w:t>C daļā:</w:t>
            </w:r>
          </w:p>
          <w:p w14:paraId="0DEA19E9" w14:textId="154EBC94" w:rsidR="00A56BC9" w:rsidRDefault="00A56BC9" w:rsidP="000532F7">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Pr>
                <w:rFonts w:eastAsia="Times New Roman" w:cs="Times New Roman"/>
                <w:iCs/>
                <w:color w:val="000000" w:themeColor="text1"/>
                <w:szCs w:val="24"/>
                <w:lang w:eastAsia="lv-LV"/>
              </w:rPr>
              <w:t>n</w:t>
            </w:r>
            <w:r w:rsidR="00FA3026" w:rsidRPr="00A56BC9">
              <w:rPr>
                <w:rFonts w:eastAsia="Times New Roman" w:cs="Times New Roman"/>
                <w:iCs/>
                <w:color w:val="000000" w:themeColor="text1"/>
                <w:szCs w:val="24"/>
                <w:lang w:eastAsia="lv-LV"/>
              </w:rPr>
              <w:t>oteikts segto obligāciju regulējums;</w:t>
            </w:r>
          </w:p>
          <w:p w14:paraId="6216F6A7" w14:textId="77777777" w:rsidR="00A56BC9" w:rsidRPr="00A56BC9" w:rsidRDefault="00FA3026" w:rsidP="003623F0">
            <w:pPr>
              <w:pStyle w:val="ListParagraph"/>
              <w:numPr>
                <w:ilvl w:val="0"/>
                <w:numId w:val="10"/>
              </w:numPr>
              <w:autoSpaceDE w:val="0"/>
              <w:autoSpaceDN w:val="0"/>
              <w:adjustRightInd w:val="0"/>
              <w:jc w:val="both"/>
              <w:rPr>
                <w:noProof/>
                <w:spacing w:val="-2"/>
              </w:rPr>
            </w:pPr>
            <w:r w:rsidRPr="00A56BC9">
              <w:rPr>
                <w:rFonts w:eastAsia="Times New Roman" w:cs="Times New Roman"/>
                <w:iCs/>
                <w:color w:val="000000" w:themeColor="text1"/>
                <w:szCs w:val="24"/>
                <w:lang w:eastAsia="lv-LV"/>
              </w:rPr>
              <w:lastRenderedPageBreak/>
              <w:t>segto obligāciju reģistrācijas process FKTK un priekšnosacījumi segto obligāciju programmas iekļaušanai segto obligāciju reģistrā, kā arī tiesības un atbilstošie apstākļi, lai atteiktu reģistrāciju;</w:t>
            </w:r>
          </w:p>
          <w:p w14:paraId="5699F612" w14:textId="77777777" w:rsidR="00933E4B" w:rsidRPr="00933E4B" w:rsidRDefault="00FA3026" w:rsidP="00933E4B">
            <w:pPr>
              <w:pStyle w:val="ListParagraph"/>
              <w:numPr>
                <w:ilvl w:val="0"/>
                <w:numId w:val="10"/>
              </w:numPr>
              <w:autoSpaceDE w:val="0"/>
              <w:autoSpaceDN w:val="0"/>
              <w:adjustRightInd w:val="0"/>
              <w:jc w:val="both"/>
              <w:rPr>
                <w:noProof/>
                <w:spacing w:val="-2"/>
              </w:rPr>
            </w:pPr>
            <w:r w:rsidRPr="00A56BC9">
              <w:rPr>
                <w:noProof/>
                <w:spacing w:val="-2"/>
              </w:rPr>
              <w:t>emitenta pienākumi un informācijas sniegšanas prasības;</w:t>
            </w:r>
          </w:p>
          <w:p w14:paraId="34F023D8" w14:textId="503197E6" w:rsidR="00933E4B" w:rsidRDefault="00933E4B" w:rsidP="00933E4B">
            <w:pPr>
              <w:pStyle w:val="ListParagraph"/>
              <w:numPr>
                <w:ilvl w:val="0"/>
                <w:numId w:val="10"/>
              </w:numPr>
              <w:autoSpaceDE w:val="0"/>
              <w:autoSpaceDN w:val="0"/>
              <w:adjustRightInd w:val="0"/>
              <w:jc w:val="both"/>
              <w:rPr>
                <w:noProof/>
                <w:spacing w:val="-2"/>
              </w:rPr>
            </w:pPr>
            <w:r w:rsidRPr="00933E4B">
              <w:rPr>
                <w:noProof/>
                <w:spacing w:val="-2"/>
              </w:rPr>
              <w:t>seguma porfeļa uzrauga darbība, uzrauga apstiprināšana, funkcijas un tiesības saņemt informāciju</w:t>
            </w:r>
            <w:r>
              <w:rPr>
                <w:noProof/>
                <w:spacing w:val="-2"/>
              </w:rPr>
              <w:t>;</w:t>
            </w:r>
            <w:r w:rsidRPr="00933E4B">
              <w:rPr>
                <w:noProof/>
                <w:spacing w:val="-2"/>
              </w:rPr>
              <w:t xml:space="preserve"> </w:t>
            </w:r>
          </w:p>
          <w:p w14:paraId="3A9F730E" w14:textId="522D7303" w:rsidR="00933E4B" w:rsidRDefault="00933E4B" w:rsidP="00933E4B">
            <w:pPr>
              <w:pStyle w:val="ListParagraph"/>
              <w:numPr>
                <w:ilvl w:val="0"/>
                <w:numId w:val="10"/>
              </w:numPr>
              <w:autoSpaceDE w:val="0"/>
              <w:autoSpaceDN w:val="0"/>
              <w:adjustRightInd w:val="0"/>
              <w:jc w:val="both"/>
              <w:rPr>
                <w:noProof/>
                <w:spacing w:val="-2"/>
              </w:rPr>
            </w:pPr>
            <w:r w:rsidRPr="00933E4B">
              <w:rPr>
                <w:noProof/>
                <w:spacing w:val="-2"/>
              </w:rPr>
              <w:t>emitenta un obligāciju iestādes divējāda regresa un maksātnespējas vai noregulējuma mehānisms</w:t>
            </w:r>
            <w:r>
              <w:rPr>
                <w:noProof/>
                <w:spacing w:val="-2"/>
              </w:rPr>
              <w:t>;</w:t>
            </w:r>
          </w:p>
          <w:p w14:paraId="6D3DA57C" w14:textId="77777777" w:rsidR="00933E4B" w:rsidRDefault="00933E4B" w:rsidP="00933E4B">
            <w:pPr>
              <w:pStyle w:val="ListParagraph"/>
              <w:numPr>
                <w:ilvl w:val="0"/>
                <w:numId w:val="10"/>
              </w:numPr>
              <w:autoSpaceDE w:val="0"/>
              <w:autoSpaceDN w:val="0"/>
              <w:adjustRightInd w:val="0"/>
              <w:jc w:val="both"/>
              <w:rPr>
                <w:noProof/>
                <w:spacing w:val="-2"/>
              </w:rPr>
            </w:pPr>
            <w:r w:rsidRPr="00933E4B">
              <w:rPr>
                <w:noProof/>
                <w:spacing w:val="-2"/>
              </w:rPr>
              <w:t>noteikta seguma aktīvu nošķiršana no pārējiem kredītiestādes aktīviem, kas tiek īstenota nododot seguma akīvu īpašumtiesības obligāciju iestādei</w:t>
            </w:r>
            <w:r>
              <w:rPr>
                <w:noProof/>
                <w:spacing w:val="-2"/>
              </w:rPr>
              <w:t>;</w:t>
            </w:r>
          </w:p>
          <w:p w14:paraId="700FBA61" w14:textId="3BBFAFA5" w:rsidR="00933E4B" w:rsidRDefault="00933E4B" w:rsidP="00933E4B">
            <w:pPr>
              <w:pStyle w:val="ListParagraph"/>
              <w:numPr>
                <w:ilvl w:val="0"/>
                <w:numId w:val="10"/>
              </w:numPr>
              <w:autoSpaceDE w:val="0"/>
              <w:autoSpaceDN w:val="0"/>
              <w:adjustRightInd w:val="0"/>
              <w:jc w:val="both"/>
              <w:rPr>
                <w:noProof/>
                <w:spacing w:val="-2"/>
              </w:rPr>
            </w:pPr>
            <w:r w:rsidRPr="00933E4B">
              <w:rPr>
                <w:noProof/>
                <w:spacing w:val="-2"/>
              </w:rPr>
              <w:t xml:space="preserve">seguma atkīvu saglabāšana un adminstrēšana emitenta likvdiācijas </w:t>
            </w:r>
            <w:r>
              <w:rPr>
                <w:noProof/>
                <w:spacing w:val="-2"/>
              </w:rPr>
              <w:t>un restrukturizācijas gadījum;</w:t>
            </w:r>
          </w:p>
          <w:p w14:paraId="62057A11" w14:textId="77777777" w:rsidR="00933E4B" w:rsidRDefault="00933E4B" w:rsidP="00933E4B">
            <w:pPr>
              <w:pStyle w:val="ListParagraph"/>
              <w:numPr>
                <w:ilvl w:val="0"/>
                <w:numId w:val="10"/>
              </w:numPr>
              <w:autoSpaceDE w:val="0"/>
              <w:autoSpaceDN w:val="0"/>
              <w:adjustRightInd w:val="0"/>
              <w:jc w:val="both"/>
              <w:rPr>
                <w:noProof/>
                <w:spacing w:val="-2"/>
              </w:rPr>
            </w:pPr>
            <w:r w:rsidRPr="00933E4B">
              <w:rPr>
                <w:noProof/>
                <w:spacing w:val="-2"/>
              </w:rPr>
              <w:t>speciālā administratora iecelšanas kārtību, tā tiesības un pienākumus, sadarbību ar ob</w:t>
            </w:r>
            <w:r>
              <w:rPr>
                <w:noProof/>
                <w:spacing w:val="-2"/>
              </w:rPr>
              <w:t>ligāciju iestādi un atalgojumu;</w:t>
            </w:r>
          </w:p>
          <w:p w14:paraId="1F92ACC3" w14:textId="4A436368" w:rsidR="00933E4B" w:rsidRPr="00933E4B" w:rsidRDefault="00933E4B" w:rsidP="00510A16">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sidRPr="00933E4B">
              <w:rPr>
                <w:noProof/>
                <w:spacing w:val="-2"/>
              </w:rPr>
              <w:t>sadarbību starp emitenta maksātnespējas administratoru un seguma porfeļa speciālo administratoru maksātnespējas un restrukturizācijas situācijās</w:t>
            </w:r>
            <w:r>
              <w:rPr>
                <w:noProof/>
                <w:spacing w:val="-2"/>
              </w:rPr>
              <w:t>;</w:t>
            </w:r>
            <w:r w:rsidRPr="00933E4B">
              <w:rPr>
                <w:noProof/>
                <w:spacing w:val="-2"/>
              </w:rPr>
              <w:t xml:space="preserve"> </w:t>
            </w:r>
          </w:p>
          <w:p w14:paraId="2F42BC44" w14:textId="3FD87CC6" w:rsidR="00933E4B" w:rsidRPr="00933E4B" w:rsidRDefault="00933E4B" w:rsidP="00510A16">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Pr>
                <w:noProof/>
                <w:spacing w:val="-2"/>
              </w:rPr>
              <w:t>segto obligāciju uzraudzību, un kompetentās iestādes pilnvaras;</w:t>
            </w:r>
          </w:p>
          <w:p w14:paraId="0C134092" w14:textId="2F3B52FE" w:rsidR="00933E4B" w:rsidRPr="00933E4B" w:rsidRDefault="00933E4B" w:rsidP="00510A16">
            <w:pPr>
              <w:pStyle w:val="ListParagraph"/>
              <w:numPr>
                <w:ilvl w:val="0"/>
                <w:numId w:val="10"/>
              </w:numPr>
              <w:autoSpaceDE w:val="0"/>
              <w:autoSpaceDN w:val="0"/>
              <w:adjustRightInd w:val="0"/>
              <w:jc w:val="both"/>
              <w:rPr>
                <w:rFonts w:eastAsia="Times New Roman" w:cs="Times New Roman"/>
                <w:iCs/>
                <w:color w:val="000000" w:themeColor="text1"/>
                <w:szCs w:val="24"/>
                <w:lang w:eastAsia="lv-LV"/>
              </w:rPr>
            </w:pPr>
            <w:r>
              <w:rPr>
                <w:noProof/>
                <w:spacing w:val="-2"/>
              </w:rPr>
              <w:t>administratīvos sodus un citus administratīvos pasākumus.</w:t>
            </w:r>
          </w:p>
          <w:p w14:paraId="2B3A819D" w14:textId="77777777" w:rsidR="00933E4B" w:rsidRPr="00933E4B" w:rsidRDefault="00933E4B" w:rsidP="00933E4B">
            <w:pPr>
              <w:autoSpaceDE w:val="0"/>
              <w:autoSpaceDN w:val="0"/>
              <w:adjustRightInd w:val="0"/>
              <w:ind w:left="360"/>
              <w:jc w:val="both"/>
              <w:rPr>
                <w:rFonts w:eastAsia="Times New Roman" w:cs="Times New Roman"/>
                <w:iCs/>
                <w:color w:val="000000" w:themeColor="text1"/>
                <w:szCs w:val="24"/>
                <w:lang w:eastAsia="lv-LV"/>
              </w:rPr>
            </w:pPr>
          </w:p>
          <w:p w14:paraId="111E2F06" w14:textId="2E73CADE" w:rsidR="00FA3026" w:rsidRPr="00933E4B" w:rsidRDefault="00FA3026" w:rsidP="00933E4B">
            <w:pPr>
              <w:autoSpaceDE w:val="0"/>
              <w:autoSpaceDN w:val="0"/>
              <w:adjustRightInd w:val="0"/>
              <w:ind w:left="360"/>
              <w:jc w:val="both"/>
              <w:rPr>
                <w:rFonts w:eastAsia="Times New Roman" w:cs="Times New Roman"/>
                <w:iCs/>
                <w:color w:val="000000" w:themeColor="text1"/>
                <w:szCs w:val="24"/>
                <w:lang w:eastAsia="lv-LV"/>
              </w:rPr>
            </w:pPr>
            <w:r w:rsidRPr="00933E4B">
              <w:rPr>
                <w:noProof/>
                <w:spacing w:val="-2"/>
              </w:rPr>
              <w:t>D daļ</w:t>
            </w:r>
            <w:r w:rsidR="00304F1A" w:rsidRPr="00933E4B">
              <w:rPr>
                <w:noProof/>
                <w:spacing w:val="-2"/>
              </w:rPr>
              <w:t>ā:</w:t>
            </w:r>
          </w:p>
          <w:p w14:paraId="285DE908" w14:textId="44909258" w:rsidR="00FA3026" w:rsidRPr="00AB2CFC" w:rsidRDefault="00304F1A" w:rsidP="00FA3026">
            <w:pPr>
              <w:autoSpaceDE w:val="0"/>
              <w:autoSpaceDN w:val="0"/>
              <w:adjustRightInd w:val="0"/>
              <w:jc w:val="both"/>
              <w:rPr>
                <w:rFonts w:eastAsia="Times New Roman" w:cs="Times New Roman"/>
                <w:iCs/>
                <w:color w:val="000000" w:themeColor="text1"/>
                <w:szCs w:val="24"/>
                <w:lang w:eastAsia="lv-LV"/>
              </w:rPr>
            </w:pPr>
            <w:r w:rsidRPr="00304F1A">
              <w:rPr>
                <w:rFonts w:eastAsia="Times New Roman" w:cs="Times New Roman"/>
                <w:iCs/>
                <w:color w:val="000000" w:themeColor="text1"/>
                <w:szCs w:val="24"/>
                <w:lang w:eastAsia="lv-LV"/>
              </w:rPr>
              <w:t>Baltijas segto obligāciju ietvars tiek veidots harmonizējot nacionālo normatīvo regulējumu starp trim valstīm, saskaņojot būtiskākos elementus, lai būtu iespējams seguma portfelī apvienot banku aktīvus no trim valstīm</w:t>
            </w:r>
            <w:r w:rsidR="009421B0">
              <w:rPr>
                <w:rFonts w:eastAsia="Times New Roman" w:cs="Times New Roman"/>
                <w:iCs/>
                <w:color w:val="000000" w:themeColor="text1"/>
                <w:szCs w:val="24"/>
                <w:lang w:eastAsia="lv-LV"/>
              </w:rPr>
              <w:t>.</w:t>
            </w:r>
          </w:p>
          <w:p w14:paraId="1A931884" w14:textId="77777777" w:rsidR="00E73318" w:rsidRDefault="00E73318" w:rsidP="00BB618A">
            <w:pPr>
              <w:autoSpaceDE w:val="0"/>
              <w:autoSpaceDN w:val="0"/>
              <w:adjustRightInd w:val="0"/>
              <w:jc w:val="both"/>
              <w:rPr>
                <w:rFonts w:eastAsia="Times New Roman" w:cs="Times New Roman"/>
                <w:iCs/>
                <w:color w:val="000000" w:themeColor="text1"/>
                <w:szCs w:val="24"/>
                <w:lang w:eastAsia="lv-LV"/>
              </w:rPr>
            </w:pPr>
          </w:p>
          <w:p w14:paraId="7BE7D4A9" w14:textId="1296D476" w:rsidR="00304F1A" w:rsidRDefault="00304F1A" w:rsidP="00BB618A">
            <w:pPr>
              <w:autoSpaceDE w:val="0"/>
              <w:autoSpaceDN w:val="0"/>
              <w:adjustRightInd w:val="0"/>
              <w:jc w:val="both"/>
              <w:rPr>
                <w:rFonts w:eastAsia="Times New Roman" w:cs="Times New Roman"/>
                <w:iCs/>
                <w:color w:val="000000" w:themeColor="text1"/>
                <w:szCs w:val="24"/>
                <w:lang w:eastAsia="lv-LV"/>
              </w:rPr>
            </w:pPr>
            <w:r>
              <w:rPr>
                <w:rFonts w:eastAsia="Times New Roman" w:cs="Times New Roman"/>
                <w:iCs/>
                <w:color w:val="000000" w:themeColor="text1"/>
                <w:szCs w:val="24"/>
                <w:lang w:eastAsia="lv-LV"/>
              </w:rPr>
              <w:t>Vienlaikus ar likumprojektu</w:t>
            </w:r>
            <w:r w:rsidRPr="00304F1A">
              <w:rPr>
                <w:rFonts w:eastAsia="Times New Roman" w:cs="Times New Roman"/>
                <w:iCs/>
                <w:color w:val="000000" w:themeColor="text1"/>
                <w:szCs w:val="24"/>
                <w:lang w:eastAsia="lv-LV"/>
              </w:rPr>
              <w:t xml:space="preserve"> “</w:t>
            </w:r>
            <w:proofErr w:type="spellStart"/>
            <w:r w:rsidRPr="00304F1A">
              <w:rPr>
                <w:rFonts w:eastAsia="Times New Roman" w:cs="Times New Roman"/>
                <w:iCs/>
                <w:color w:val="000000" w:themeColor="text1"/>
                <w:szCs w:val="24"/>
                <w:lang w:eastAsia="lv-LV"/>
              </w:rPr>
              <w:t>Vērtspapīroša</w:t>
            </w:r>
            <w:r>
              <w:rPr>
                <w:rFonts w:eastAsia="Times New Roman" w:cs="Times New Roman"/>
                <w:iCs/>
                <w:color w:val="000000" w:themeColor="text1"/>
                <w:szCs w:val="24"/>
                <w:lang w:eastAsia="lv-LV"/>
              </w:rPr>
              <w:t>nas</w:t>
            </w:r>
            <w:proofErr w:type="spellEnd"/>
            <w:r>
              <w:rPr>
                <w:rFonts w:eastAsia="Times New Roman" w:cs="Times New Roman"/>
                <w:iCs/>
                <w:color w:val="000000" w:themeColor="text1"/>
                <w:szCs w:val="24"/>
                <w:lang w:eastAsia="lv-LV"/>
              </w:rPr>
              <w:t xml:space="preserve"> un segto obligāciju likums” ir paredzēts:</w:t>
            </w:r>
            <w:r w:rsidR="00A56BC9">
              <w:rPr>
                <w:rFonts w:eastAsia="Times New Roman" w:cs="Times New Roman"/>
                <w:iCs/>
                <w:color w:val="000000" w:themeColor="text1"/>
                <w:szCs w:val="24"/>
                <w:lang w:eastAsia="lv-LV"/>
              </w:rPr>
              <w:t xml:space="preserve"> </w:t>
            </w:r>
          </w:p>
          <w:p w14:paraId="276DE8AE" w14:textId="233D26A6" w:rsidR="00304F1A" w:rsidRPr="00A56BC9" w:rsidRDefault="00E73318" w:rsidP="00A56BC9">
            <w:pPr>
              <w:pStyle w:val="ListParagraph"/>
              <w:numPr>
                <w:ilvl w:val="0"/>
                <w:numId w:val="10"/>
              </w:numPr>
              <w:autoSpaceDE w:val="0"/>
              <w:autoSpaceDN w:val="0"/>
              <w:adjustRightInd w:val="0"/>
              <w:jc w:val="both"/>
              <w:rPr>
                <w:noProof/>
                <w:spacing w:val="-2"/>
              </w:rPr>
            </w:pPr>
            <w:r w:rsidRPr="00A56BC9">
              <w:rPr>
                <w:noProof/>
                <w:spacing w:val="-2"/>
              </w:rPr>
              <w:t xml:space="preserve">atcelt </w:t>
            </w:r>
            <w:r w:rsidR="009F455B" w:rsidRPr="00A56BC9">
              <w:rPr>
                <w:noProof/>
                <w:spacing w:val="-2"/>
              </w:rPr>
              <w:t>Hipotekāro ķīlu zīmju likum</w:t>
            </w:r>
            <w:r w:rsidRPr="00A56BC9">
              <w:rPr>
                <w:noProof/>
                <w:spacing w:val="-2"/>
              </w:rPr>
              <w:t>u</w:t>
            </w:r>
            <w:r w:rsidR="00304F1A" w:rsidRPr="00A56BC9">
              <w:rPr>
                <w:noProof/>
                <w:spacing w:val="-2"/>
              </w:rPr>
              <w:t>;</w:t>
            </w:r>
          </w:p>
          <w:p w14:paraId="3E11FFD7" w14:textId="12C9AC0D" w:rsidR="009F455B" w:rsidRPr="00A56BC9" w:rsidRDefault="00304F1A" w:rsidP="00A56BC9">
            <w:pPr>
              <w:pStyle w:val="ListParagraph"/>
              <w:numPr>
                <w:ilvl w:val="0"/>
                <w:numId w:val="10"/>
              </w:numPr>
              <w:autoSpaceDE w:val="0"/>
              <w:autoSpaceDN w:val="0"/>
              <w:adjustRightInd w:val="0"/>
              <w:jc w:val="both"/>
              <w:rPr>
                <w:noProof/>
                <w:spacing w:val="-2"/>
              </w:rPr>
            </w:pPr>
            <w:r w:rsidRPr="00A56BC9">
              <w:rPr>
                <w:noProof/>
                <w:spacing w:val="-2"/>
              </w:rPr>
              <w:t xml:space="preserve">izstrādāt nepieciešamos precizējumus vairākos likumos kā, piemēram, </w:t>
            </w:r>
            <w:r w:rsidR="00E73318" w:rsidRPr="00A56BC9">
              <w:rPr>
                <w:noProof/>
                <w:spacing w:val="-2"/>
              </w:rPr>
              <w:t>K</w:t>
            </w:r>
            <w:r w:rsidR="002D79D7" w:rsidRPr="00A56BC9">
              <w:rPr>
                <w:noProof/>
                <w:spacing w:val="-2"/>
              </w:rPr>
              <w:t>redītiestāžu likumā</w:t>
            </w:r>
            <w:r w:rsidRPr="00A56BC9">
              <w:rPr>
                <w:noProof/>
                <w:spacing w:val="-2"/>
              </w:rPr>
              <w:t xml:space="preserve">, </w:t>
            </w:r>
            <w:r w:rsidR="002D79D7" w:rsidRPr="00A56BC9">
              <w:rPr>
                <w:noProof/>
                <w:spacing w:val="-2"/>
              </w:rPr>
              <w:t xml:space="preserve">Civillikumā, Civilprocesa likumā, Zemesgrāmatu likumā, </w:t>
            </w:r>
            <w:r w:rsidR="00E73318" w:rsidRPr="00A56BC9">
              <w:rPr>
                <w:noProof/>
                <w:spacing w:val="-2"/>
              </w:rPr>
              <w:t>Finanšu nodrošinājuma</w:t>
            </w:r>
            <w:r w:rsidR="002D79D7" w:rsidRPr="00A56BC9">
              <w:rPr>
                <w:noProof/>
                <w:spacing w:val="-2"/>
              </w:rPr>
              <w:t xml:space="preserve"> likumā, Kredītiestāžu un ieguldījumu brokeru sabiedrību darbības atjaunošanas un noregulējuma likum</w:t>
            </w:r>
            <w:r w:rsidRPr="00A56BC9">
              <w:rPr>
                <w:noProof/>
                <w:spacing w:val="-2"/>
              </w:rPr>
              <w:t>ā</w:t>
            </w:r>
            <w:r w:rsidR="002D79D7" w:rsidRPr="00A56BC9">
              <w:rPr>
                <w:noProof/>
                <w:spacing w:val="-2"/>
              </w:rPr>
              <w:t>, Komerclikumā</w:t>
            </w:r>
            <w:r w:rsidR="00DB354F" w:rsidRPr="00A56BC9">
              <w:rPr>
                <w:noProof/>
                <w:spacing w:val="-2"/>
              </w:rPr>
              <w:t>,</w:t>
            </w:r>
            <w:r w:rsidR="002D79D7" w:rsidRPr="00A56BC9">
              <w:rPr>
                <w:noProof/>
                <w:spacing w:val="-2"/>
              </w:rPr>
              <w:t xml:space="preserve"> Komercķīlu likumā</w:t>
            </w:r>
            <w:r w:rsidR="00DB354F" w:rsidRPr="00A56BC9">
              <w:rPr>
                <w:noProof/>
                <w:spacing w:val="-2"/>
              </w:rPr>
              <w:t xml:space="preserve"> un Uzņēmuma ienākuma nodokļa likumā</w:t>
            </w:r>
            <w:r w:rsidR="00E73318" w:rsidRPr="00A56BC9">
              <w:rPr>
                <w:noProof/>
                <w:spacing w:val="-2"/>
              </w:rPr>
              <w:t>.</w:t>
            </w:r>
          </w:p>
          <w:p w14:paraId="16751375" w14:textId="437706F5" w:rsidR="00BB618A" w:rsidRPr="00B1619C" w:rsidRDefault="00BB618A" w:rsidP="00DB354F">
            <w:pPr>
              <w:pStyle w:val="ListParagraph"/>
              <w:autoSpaceDE w:val="0"/>
              <w:autoSpaceDN w:val="0"/>
              <w:adjustRightInd w:val="0"/>
              <w:jc w:val="both"/>
              <w:rPr>
                <w:noProof/>
                <w:szCs w:val="24"/>
              </w:rPr>
            </w:pPr>
          </w:p>
        </w:tc>
      </w:tr>
      <w:tr w:rsidR="002E6246" w:rsidRPr="002D7758" w14:paraId="12E3A7C9" w14:textId="77777777" w:rsidTr="2A45E688">
        <w:tc>
          <w:tcPr>
            <w:tcW w:w="710" w:type="dxa"/>
          </w:tcPr>
          <w:p w14:paraId="6524DD2E"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71B625FF" w14:textId="77777777" w:rsidR="002E6246" w:rsidRPr="002D7758" w:rsidRDefault="002E6246" w:rsidP="002E6246">
            <w:pPr>
              <w:rPr>
                <w:rFonts w:eastAsia="Times New Roman" w:cs="Times New Roman"/>
                <w:szCs w:val="24"/>
              </w:rPr>
            </w:pPr>
            <w:r w:rsidRPr="002D7758">
              <w:rPr>
                <w:rFonts w:eastAsia="Times New Roman" w:cs="Times New Roman"/>
                <w:szCs w:val="24"/>
              </w:rPr>
              <w:t>Iespējamie risinājuma varianti (ja nepieciešams)</w:t>
            </w:r>
          </w:p>
        </w:tc>
        <w:tc>
          <w:tcPr>
            <w:tcW w:w="6350" w:type="dxa"/>
          </w:tcPr>
          <w:p w14:paraId="599BD753" w14:textId="77777777" w:rsidR="002E6246" w:rsidRDefault="002E6246" w:rsidP="002E6246">
            <w:pPr>
              <w:spacing w:after="60"/>
              <w:jc w:val="both"/>
              <w:rPr>
                <w:rFonts w:eastAsia="Times New Roman" w:cs="Times New Roman"/>
                <w:szCs w:val="24"/>
              </w:rPr>
            </w:pPr>
            <w:r w:rsidRPr="002D7758">
              <w:rPr>
                <w:rFonts w:eastAsia="Times New Roman" w:cs="Times New Roman"/>
                <w:szCs w:val="24"/>
              </w:rPr>
              <w:t>Nav</w:t>
            </w:r>
            <w:r w:rsidR="00C72F1A" w:rsidRPr="002D7758">
              <w:rPr>
                <w:rFonts w:eastAsia="Times New Roman" w:cs="Times New Roman"/>
                <w:szCs w:val="24"/>
              </w:rPr>
              <w:t xml:space="preserve"> citi risinājumi.</w:t>
            </w:r>
          </w:p>
          <w:p w14:paraId="6E2820A1" w14:textId="575DA628" w:rsidR="009E37E2" w:rsidRPr="002D7758" w:rsidRDefault="009E37E2" w:rsidP="009E37E2">
            <w:pPr>
              <w:spacing w:after="60"/>
              <w:jc w:val="both"/>
              <w:rPr>
                <w:rFonts w:eastAsia="Times New Roman" w:cs="Times New Roman"/>
                <w:szCs w:val="24"/>
              </w:rPr>
            </w:pPr>
          </w:p>
        </w:tc>
      </w:tr>
      <w:tr w:rsidR="002E6246" w:rsidRPr="002D7758" w14:paraId="12BB06A4" w14:textId="77777777" w:rsidTr="2A45E688">
        <w:tc>
          <w:tcPr>
            <w:tcW w:w="710" w:type="dxa"/>
          </w:tcPr>
          <w:p w14:paraId="4810C09E"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23E8DF96" w14:textId="77777777" w:rsidR="002E6246" w:rsidRPr="002D7758" w:rsidRDefault="002E6246" w:rsidP="002E6246">
            <w:pPr>
              <w:rPr>
                <w:rFonts w:eastAsia="Times New Roman" w:cs="Times New Roman"/>
                <w:szCs w:val="24"/>
              </w:rPr>
            </w:pPr>
            <w:r w:rsidRPr="002D7758">
              <w:rPr>
                <w:rFonts w:eastAsia="Times New Roman" w:cs="Times New Roman"/>
                <w:szCs w:val="24"/>
              </w:rPr>
              <w:t>Par projektu nosakāmā atbildīgā amatpersona</w:t>
            </w:r>
          </w:p>
        </w:tc>
        <w:tc>
          <w:tcPr>
            <w:tcW w:w="6350" w:type="dxa"/>
          </w:tcPr>
          <w:p w14:paraId="36224F76" w14:textId="77777777" w:rsidR="002E6246" w:rsidRPr="002D7758" w:rsidRDefault="002E6246" w:rsidP="00C72F1A">
            <w:pPr>
              <w:spacing w:after="60"/>
              <w:jc w:val="both"/>
              <w:rPr>
                <w:rFonts w:eastAsia="Times New Roman" w:cs="Times New Roman"/>
                <w:szCs w:val="24"/>
              </w:rPr>
            </w:pPr>
            <w:r w:rsidRPr="002D7758">
              <w:rPr>
                <w:rFonts w:eastAsia="Times New Roman" w:cs="Times New Roman"/>
                <w:szCs w:val="24"/>
              </w:rPr>
              <w:t xml:space="preserve">Finanšu ministrijas Finanšu tirgus politikas departamenta direktore </w:t>
            </w:r>
            <w:r w:rsidR="00C72F1A" w:rsidRPr="002D7758">
              <w:rPr>
                <w:rFonts w:eastAsia="Times New Roman" w:cs="Times New Roman"/>
                <w:szCs w:val="24"/>
              </w:rPr>
              <w:t>Aija Zitcere</w:t>
            </w:r>
          </w:p>
        </w:tc>
      </w:tr>
      <w:tr w:rsidR="002E6246" w:rsidRPr="002D7758" w14:paraId="461FE1A3" w14:textId="77777777" w:rsidTr="2A45E688">
        <w:tc>
          <w:tcPr>
            <w:tcW w:w="710" w:type="dxa"/>
          </w:tcPr>
          <w:p w14:paraId="479A9CF7"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543BA5B4" w14:textId="77777777" w:rsidR="002E6246" w:rsidRPr="002D7758" w:rsidRDefault="002E6246" w:rsidP="002E6246">
            <w:pPr>
              <w:rPr>
                <w:rFonts w:eastAsia="Times New Roman" w:cs="Times New Roman"/>
                <w:szCs w:val="24"/>
              </w:rPr>
            </w:pPr>
            <w:r w:rsidRPr="002D7758">
              <w:rPr>
                <w:rFonts w:eastAsia="Times New Roman" w:cs="Times New Roman"/>
                <w:szCs w:val="24"/>
              </w:rPr>
              <w:t>Nosakāmais projekta sagatavotājs (ja nepieciešams)</w:t>
            </w:r>
          </w:p>
        </w:tc>
        <w:tc>
          <w:tcPr>
            <w:tcW w:w="6350" w:type="dxa"/>
          </w:tcPr>
          <w:p w14:paraId="20D17DDF" w14:textId="0CCD376D" w:rsidR="002E6246" w:rsidRPr="002D7758" w:rsidRDefault="002E6246" w:rsidP="00F76C66">
            <w:pPr>
              <w:spacing w:after="60"/>
              <w:jc w:val="both"/>
              <w:rPr>
                <w:rFonts w:eastAsia="Calibri" w:cs="Times New Roman"/>
                <w:szCs w:val="24"/>
              </w:rPr>
            </w:pPr>
            <w:r w:rsidRPr="002D7758">
              <w:rPr>
                <w:rFonts w:eastAsia="Times New Roman" w:cs="Times New Roman"/>
                <w:szCs w:val="24"/>
              </w:rPr>
              <w:t>Finanšu ministrijas Finanšu tirgus politikas departamenta</w:t>
            </w:r>
            <w:r w:rsidR="00E91330" w:rsidRPr="002D7758">
              <w:rPr>
                <w:rFonts w:eastAsia="Times New Roman" w:cs="Times New Roman"/>
                <w:szCs w:val="24"/>
              </w:rPr>
              <w:t xml:space="preserve"> </w:t>
            </w:r>
            <w:r w:rsidR="00226CF4" w:rsidRPr="002D7758">
              <w:rPr>
                <w:rFonts w:eastAsia="Times New Roman" w:cs="Times New Roman"/>
                <w:szCs w:val="24"/>
              </w:rPr>
              <w:t xml:space="preserve">Kapitāla tirgus un apdrošināšanas politikas nodaļas </w:t>
            </w:r>
            <w:r w:rsidR="00F76C66">
              <w:rPr>
                <w:rFonts w:eastAsia="Times New Roman" w:cs="Times New Roman"/>
                <w:szCs w:val="24"/>
              </w:rPr>
              <w:t xml:space="preserve">vecākais eksperts Imants </w:t>
            </w:r>
            <w:proofErr w:type="spellStart"/>
            <w:r w:rsidR="00F76C66">
              <w:rPr>
                <w:rFonts w:eastAsia="Times New Roman" w:cs="Times New Roman"/>
                <w:szCs w:val="24"/>
              </w:rPr>
              <w:t>Tiesnieks</w:t>
            </w:r>
            <w:proofErr w:type="spellEnd"/>
            <w:r w:rsidR="00F76C66">
              <w:rPr>
                <w:rFonts w:eastAsia="Times New Roman" w:cs="Times New Roman"/>
                <w:szCs w:val="24"/>
              </w:rPr>
              <w:t>.</w:t>
            </w:r>
          </w:p>
        </w:tc>
      </w:tr>
      <w:tr w:rsidR="002E6246" w:rsidRPr="002D7758" w14:paraId="787539A1" w14:textId="77777777" w:rsidTr="2A45E688">
        <w:tc>
          <w:tcPr>
            <w:tcW w:w="710" w:type="dxa"/>
          </w:tcPr>
          <w:p w14:paraId="7FC6FE2B"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51C7635C" w14:textId="77777777" w:rsidR="002E6246" w:rsidRPr="002D7758" w:rsidRDefault="002E6246" w:rsidP="002E6246">
            <w:pPr>
              <w:rPr>
                <w:rFonts w:eastAsia="Times New Roman" w:cs="Times New Roman"/>
                <w:szCs w:val="24"/>
              </w:rPr>
            </w:pPr>
            <w:r w:rsidRPr="002D7758">
              <w:rPr>
                <w:rFonts w:eastAsia="Times New Roman" w:cs="Times New Roman"/>
                <w:szCs w:val="24"/>
              </w:rPr>
              <w:t>Darba grupas vadītājs un iespējamais sastāvs (ja nepieciešams)</w:t>
            </w:r>
          </w:p>
        </w:tc>
        <w:tc>
          <w:tcPr>
            <w:tcW w:w="6350" w:type="dxa"/>
          </w:tcPr>
          <w:p w14:paraId="7741757F" w14:textId="47AFFB36" w:rsidR="002E6246" w:rsidRPr="002D7758" w:rsidRDefault="00095D12" w:rsidP="00095D12">
            <w:pPr>
              <w:spacing w:after="60"/>
              <w:jc w:val="both"/>
              <w:rPr>
                <w:rFonts w:eastAsia="Calibri" w:cs="Times New Roman"/>
                <w:szCs w:val="24"/>
                <w:lang w:eastAsia="lv-LV"/>
              </w:rPr>
            </w:pPr>
            <w:r>
              <w:rPr>
                <w:rFonts w:eastAsia="Calibri" w:cs="Times New Roman"/>
                <w:szCs w:val="24"/>
              </w:rPr>
              <w:t>Ir izveidota ekspertu darba grupa, kurā piedalās pārstāvji no Tieslietu ministrijas, Fina</w:t>
            </w:r>
            <w:r w:rsidR="00A511C8">
              <w:rPr>
                <w:rFonts w:eastAsia="Calibri" w:cs="Times New Roman"/>
                <w:szCs w:val="24"/>
              </w:rPr>
              <w:t>nšu un kapitāla tirgus komisijas</w:t>
            </w:r>
            <w:bookmarkStart w:id="0" w:name="_GoBack"/>
            <w:bookmarkEnd w:id="0"/>
            <w:r>
              <w:rPr>
                <w:rFonts w:eastAsia="Calibri" w:cs="Times New Roman"/>
                <w:szCs w:val="24"/>
              </w:rPr>
              <w:t>, Latvijas Bankas un Latvijas Finanšu nozares asociācijas. Darba grupas vadītāja – Aija Zitcere.</w:t>
            </w:r>
          </w:p>
        </w:tc>
      </w:tr>
      <w:tr w:rsidR="002E6246" w:rsidRPr="002D7758" w14:paraId="1863AA7C" w14:textId="77777777" w:rsidTr="2A45E688">
        <w:tc>
          <w:tcPr>
            <w:tcW w:w="710" w:type="dxa"/>
          </w:tcPr>
          <w:p w14:paraId="67CDCA75"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37B619D2" w14:textId="77777777" w:rsidR="002E6246" w:rsidRPr="002D7758" w:rsidRDefault="002E6246" w:rsidP="002E6246">
            <w:pPr>
              <w:rPr>
                <w:rFonts w:eastAsia="Times New Roman" w:cs="Times New Roman"/>
                <w:szCs w:val="24"/>
              </w:rPr>
            </w:pPr>
            <w:r w:rsidRPr="002D7758">
              <w:rPr>
                <w:rFonts w:eastAsia="Calibri" w:cs="Times New Roman"/>
                <w:szCs w:val="24"/>
              </w:rPr>
              <w:t>Sabiedrības līdzdalība</w:t>
            </w:r>
          </w:p>
        </w:tc>
        <w:tc>
          <w:tcPr>
            <w:tcW w:w="6350" w:type="dxa"/>
          </w:tcPr>
          <w:p w14:paraId="237148F2" w14:textId="7178B561" w:rsidR="002E6246" w:rsidRPr="002D7758" w:rsidRDefault="2A45E688" w:rsidP="00EF16DC">
            <w:pPr>
              <w:spacing w:after="60"/>
              <w:jc w:val="both"/>
              <w:rPr>
                <w:rFonts w:eastAsia="Calibri" w:cs="Times New Roman"/>
                <w:szCs w:val="24"/>
              </w:rPr>
            </w:pPr>
            <w:r w:rsidRPr="002D7758">
              <w:rPr>
                <w:rFonts w:ascii="Times New Roman,Calibri" w:eastAsia="Times New Roman,Calibri" w:hAnsi="Times New Roman,Calibri" w:cs="Times New Roman,Calibri"/>
                <w:szCs w:val="24"/>
              </w:rPr>
              <w:t xml:space="preserve">Uzziņa </w:t>
            </w:r>
            <w:r w:rsidR="00516CB9" w:rsidRPr="002D7758">
              <w:rPr>
                <w:rFonts w:ascii="Times New Roman,Calibri" w:eastAsia="Times New Roman,Calibri" w:hAnsi="Times New Roman,Calibri" w:cs="Times New Roman,Calibri"/>
                <w:szCs w:val="24"/>
              </w:rPr>
              <w:t>tiks publicēt</w:t>
            </w:r>
            <w:r w:rsidRPr="002D7758">
              <w:rPr>
                <w:rFonts w:ascii="Times New Roman,Calibri" w:eastAsia="Times New Roman,Calibri" w:hAnsi="Times New Roman,Calibri" w:cs="Times New Roman,Calibri"/>
                <w:szCs w:val="24"/>
              </w:rPr>
              <w:t>a</w:t>
            </w:r>
            <w:r w:rsidR="00516CB9" w:rsidRPr="002D7758">
              <w:rPr>
                <w:rFonts w:ascii="Times New Roman,Calibri" w:eastAsia="Times New Roman,Calibri" w:hAnsi="Times New Roman,Calibri" w:cs="Times New Roman,Calibri"/>
                <w:szCs w:val="24"/>
              </w:rPr>
              <w:t xml:space="preserve"> Finanšu ministrijas tīmekļa vietnē </w:t>
            </w:r>
            <w:r w:rsidR="00D815A4" w:rsidRPr="002D7758">
              <w:rPr>
                <w:rFonts w:eastAsia="Calibri" w:cs="Times New Roman"/>
                <w:szCs w:val="24"/>
              </w:rPr>
              <w:t xml:space="preserve">sadaļā “Sabiedrības </w:t>
            </w:r>
            <w:r w:rsidR="00D815A4" w:rsidRPr="00D271D5">
              <w:rPr>
                <w:rFonts w:eastAsia="Calibri" w:cs="Times New Roman"/>
                <w:szCs w:val="24"/>
              </w:rPr>
              <w:t>līdzdalība”</w:t>
            </w:r>
            <w:r w:rsidR="005A25FE">
              <w:rPr>
                <w:rFonts w:eastAsia="Calibri" w:cs="Times New Roman"/>
                <w:szCs w:val="24"/>
              </w:rPr>
              <w:t xml:space="preserve"> un sabiedrība viedokļus var sniegt līdz 27.janvārim</w:t>
            </w:r>
            <w:r w:rsidR="00EF16DC">
              <w:rPr>
                <w:rFonts w:eastAsia="Calibri" w:cs="Times New Roman"/>
                <w:szCs w:val="24"/>
              </w:rPr>
              <w:t xml:space="preserve">. </w:t>
            </w:r>
            <w:r w:rsidRPr="00D271D5">
              <w:rPr>
                <w:rFonts w:eastAsia="Times New Roman" w:cs="Times New Roman"/>
                <w:szCs w:val="24"/>
              </w:rPr>
              <w:t>Sabiedrības pārstāvji varēs līdz</w:t>
            </w:r>
            <w:r w:rsidR="000C4905" w:rsidRPr="00D271D5">
              <w:rPr>
                <w:rFonts w:eastAsia="Times New Roman" w:cs="Times New Roman"/>
                <w:szCs w:val="24"/>
              </w:rPr>
              <w:t>darboties likumprojekta izstrādē</w:t>
            </w:r>
            <w:r w:rsidRPr="00D271D5">
              <w:rPr>
                <w:rFonts w:eastAsia="Times New Roman" w:cs="Times New Roman"/>
                <w:szCs w:val="24"/>
              </w:rPr>
              <w:t>, sniedzot</w:t>
            </w:r>
            <w:r w:rsidRPr="002D7758">
              <w:rPr>
                <w:rFonts w:eastAsia="Times New Roman" w:cs="Times New Roman"/>
                <w:szCs w:val="24"/>
              </w:rPr>
              <w:t xml:space="preserve"> atzinumu par to pēc izsludināš</w:t>
            </w:r>
            <w:r w:rsidR="002D1B5B">
              <w:rPr>
                <w:rFonts w:eastAsia="Times New Roman" w:cs="Times New Roman"/>
                <w:szCs w:val="24"/>
              </w:rPr>
              <w:t>anas Valsts sekretāru sanāksmē.</w:t>
            </w:r>
          </w:p>
        </w:tc>
      </w:tr>
      <w:tr w:rsidR="002E6246" w:rsidRPr="002D7758" w14:paraId="6CF3A075" w14:textId="77777777" w:rsidTr="2A45E688">
        <w:tc>
          <w:tcPr>
            <w:tcW w:w="710" w:type="dxa"/>
          </w:tcPr>
          <w:p w14:paraId="5FCE7A86"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72A154C6" w14:textId="77777777" w:rsidR="002E6246" w:rsidRPr="002D7758" w:rsidRDefault="002E6246" w:rsidP="002E6246">
            <w:pPr>
              <w:rPr>
                <w:rFonts w:eastAsia="Times New Roman" w:cs="Times New Roman"/>
                <w:szCs w:val="24"/>
              </w:rPr>
            </w:pPr>
            <w:r w:rsidRPr="002D7758">
              <w:rPr>
                <w:rFonts w:eastAsia="Times New Roman" w:cs="Times New Roman"/>
                <w:szCs w:val="24"/>
              </w:rPr>
              <w:t>Ministrijas struktūrvienības un padotības iestādēm ar kurām projekts jāsaskaņo</w:t>
            </w:r>
          </w:p>
        </w:tc>
        <w:tc>
          <w:tcPr>
            <w:tcW w:w="6350" w:type="dxa"/>
          </w:tcPr>
          <w:p w14:paraId="0C9A81D3" w14:textId="1FA3624F" w:rsidR="002E6246" w:rsidRPr="000048F9" w:rsidRDefault="004712BA" w:rsidP="000344E9">
            <w:pPr>
              <w:widowControl w:val="0"/>
              <w:tabs>
                <w:tab w:val="left" w:pos="851"/>
                <w:tab w:val="right" w:pos="9356"/>
              </w:tabs>
              <w:adjustRightInd w:val="0"/>
              <w:spacing w:after="60"/>
              <w:jc w:val="both"/>
              <w:rPr>
                <w:rFonts w:eastAsia="Calibri" w:cs="Times New Roman"/>
                <w:szCs w:val="24"/>
                <w:lang w:eastAsia="en-GB"/>
              </w:rPr>
            </w:pPr>
            <w:r w:rsidRPr="000048F9">
              <w:rPr>
                <w:rFonts w:eastAsia="Times New Roman" w:cs="Times New Roman"/>
                <w:szCs w:val="24"/>
              </w:rPr>
              <w:t xml:space="preserve">Finanšu ministrijas </w:t>
            </w:r>
            <w:r w:rsidR="00A71199" w:rsidRPr="000048F9">
              <w:rPr>
                <w:rFonts w:eastAsia="Calibri" w:cs="Times New Roman"/>
                <w:szCs w:val="24"/>
                <w:lang w:eastAsia="en-GB"/>
              </w:rPr>
              <w:t>Juridiskais</w:t>
            </w:r>
            <w:r w:rsidR="000A1913" w:rsidRPr="000048F9">
              <w:rPr>
                <w:rFonts w:eastAsia="Calibri" w:cs="Times New Roman"/>
                <w:szCs w:val="24"/>
                <w:lang w:eastAsia="en-GB"/>
              </w:rPr>
              <w:t xml:space="preserve"> departaments</w:t>
            </w:r>
            <w:r w:rsidR="00990DBA">
              <w:rPr>
                <w:rFonts w:eastAsia="Calibri" w:cs="Times New Roman"/>
                <w:szCs w:val="24"/>
                <w:lang w:eastAsia="en-GB"/>
              </w:rPr>
              <w:t>, Grāmatvedības un revīzijas politikas departaments</w:t>
            </w:r>
            <w:r w:rsidR="009421B0">
              <w:rPr>
                <w:rFonts w:eastAsia="Calibri" w:cs="Times New Roman"/>
                <w:szCs w:val="24"/>
                <w:lang w:eastAsia="en-GB"/>
              </w:rPr>
              <w:t xml:space="preserve">, </w:t>
            </w:r>
            <w:r w:rsidR="009421B0" w:rsidRPr="009421B0">
              <w:rPr>
                <w:rFonts w:eastAsia="Calibri" w:cs="Times New Roman"/>
                <w:szCs w:val="24"/>
                <w:lang w:eastAsia="en-GB"/>
              </w:rPr>
              <w:t>Nodokļu administrēšanas un sabiedrības interešu politiku departaments</w:t>
            </w:r>
            <w:r w:rsidR="000344E9">
              <w:rPr>
                <w:rFonts w:eastAsia="Calibri" w:cs="Times New Roman"/>
                <w:szCs w:val="24"/>
                <w:lang w:eastAsia="en-GB"/>
              </w:rPr>
              <w:t xml:space="preserve"> un</w:t>
            </w:r>
            <w:r w:rsidR="00830FC8">
              <w:rPr>
                <w:rFonts w:eastAsia="Calibri" w:cs="Times New Roman"/>
                <w:szCs w:val="24"/>
                <w:lang w:eastAsia="en-GB"/>
              </w:rPr>
              <w:t xml:space="preserve"> Tiešo nodokļu departaments</w:t>
            </w:r>
            <w:r w:rsidR="000344E9">
              <w:rPr>
                <w:rFonts w:eastAsia="Calibri" w:cs="Times New Roman"/>
                <w:szCs w:val="24"/>
                <w:lang w:eastAsia="en-GB"/>
              </w:rPr>
              <w:t>.</w:t>
            </w:r>
          </w:p>
        </w:tc>
      </w:tr>
      <w:tr w:rsidR="002E6246" w:rsidRPr="002D7758" w14:paraId="454CF805" w14:textId="77777777" w:rsidTr="2A45E688">
        <w:tc>
          <w:tcPr>
            <w:tcW w:w="710" w:type="dxa"/>
          </w:tcPr>
          <w:p w14:paraId="72D3DDE7"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324AF56B" w14:textId="77777777" w:rsidR="002E6246" w:rsidRPr="002D7758" w:rsidRDefault="002E6246" w:rsidP="002E6246">
            <w:pPr>
              <w:rPr>
                <w:rFonts w:eastAsia="Times New Roman" w:cs="Times New Roman"/>
                <w:szCs w:val="24"/>
              </w:rPr>
            </w:pPr>
            <w:r w:rsidRPr="002D7758">
              <w:rPr>
                <w:rFonts w:eastAsia="Times New Roman" w:cs="Times New Roman"/>
                <w:szCs w:val="24"/>
              </w:rPr>
              <w:t>Saskaņošanas termiņš</w:t>
            </w:r>
          </w:p>
        </w:tc>
        <w:tc>
          <w:tcPr>
            <w:tcW w:w="6350" w:type="dxa"/>
          </w:tcPr>
          <w:p w14:paraId="012A856E" w14:textId="75423025" w:rsidR="00A71199" w:rsidRPr="000048F9" w:rsidRDefault="00A71199" w:rsidP="00A71199">
            <w:pPr>
              <w:spacing w:after="60"/>
              <w:jc w:val="both"/>
              <w:rPr>
                <w:rFonts w:eastAsia="Times New Roman" w:cs="Times New Roman"/>
                <w:szCs w:val="24"/>
              </w:rPr>
            </w:pPr>
            <w:r w:rsidRPr="000048F9">
              <w:rPr>
                <w:rFonts w:eastAsia="Times New Roman" w:cs="Times New Roman"/>
                <w:szCs w:val="24"/>
              </w:rPr>
              <w:t xml:space="preserve">Nosūtīt iekšējai saskaņošanai: </w:t>
            </w:r>
            <w:r w:rsidR="007813AA" w:rsidRPr="00EF16DC">
              <w:rPr>
                <w:rFonts w:eastAsia="Times New Roman" w:cs="Times New Roman"/>
                <w:szCs w:val="24"/>
              </w:rPr>
              <w:t>0</w:t>
            </w:r>
            <w:r w:rsidR="002D1B5B" w:rsidRPr="00EF16DC">
              <w:rPr>
                <w:rFonts w:eastAsia="Times New Roman" w:cs="Times New Roman"/>
                <w:szCs w:val="24"/>
              </w:rPr>
              <w:t>1</w:t>
            </w:r>
            <w:r w:rsidR="007813AA" w:rsidRPr="00EF16DC">
              <w:rPr>
                <w:rFonts w:eastAsia="Times New Roman" w:cs="Times New Roman"/>
                <w:szCs w:val="24"/>
              </w:rPr>
              <w:t>.0</w:t>
            </w:r>
            <w:r w:rsidR="00630D59" w:rsidRPr="00EF16DC">
              <w:rPr>
                <w:rFonts w:eastAsia="Times New Roman" w:cs="Times New Roman"/>
                <w:szCs w:val="24"/>
              </w:rPr>
              <w:t>6</w:t>
            </w:r>
            <w:r w:rsidR="007813AA" w:rsidRPr="00EF16DC">
              <w:rPr>
                <w:rFonts w:eastAsia="Times New Roman" w:cs="Times New Roman"/>
                <w:szCs w:val="24"/>
              </w:rPr>
              <w:t>.2020</w:t>
            </w:r>
            <w:r w:rsidR="004600A0" w:rsidRPr="00EF16DC">
              <w:rPr>
                <w:rFonts w:eastAsia="Times New Roman" w:cs="Times New Roman"/>
                <w:szCs w:val="24"/>
              </w:rPr>
              <w:t>.</w:t>
            </w:r>
            <w:r w:rsidR="00830FC8">
              <w:rPr>
                <w:rFonts w:eastAsia="Times New Roman" w:cs="Times New Roman"/>
                <w:i/>
                <w:szCs w:val="24"/>
              </w:rPr>
              <w:t xml:space="preserve"> </w:t>
            </w:r>
          </w:p>
          <w:p w14:paraId="1CBDB43D" w14:textId="1CD7EC28" w:rsidR="006C0DC6" w:rsidRPr="000048F9" w:rsidRDefault="006C0DC6" w:rsidP="00CA7C00">
            <w:pPr>
              <w:spacing w:after="60"/>
              <w:jc w:val="both"/>
              <w:rPr>
                <w:rFonts w:eastAsia="Times New Roman" w:cs="Times New Roman"/>
                <w:szCs w:val="24"/>
              </w:rPr>
            </w:pPr>
            <w:r w:rsidRPr="000048F9">
              <w:rPr>
                <w:rFonts w:eastAsia="Times New Roman" w:cs="Times New Roman"/>
                <w:szCs w:val="24"/>
              </w:rPr>
              <w:t>Saskaņošanas termiņš</w:t>
            </w:r>
            <w:r w:rsidR="00184875" w:rsidRPr="000048F9">
              <w:rPr>
                <w:rFonts w:eastAsia="Times New Roman" w:cs="Times New Roman"/>
                <w:szCs w:val="24"/>
              </w:rPr>
              <w:t>:</w:t>
            </w:r>
            <w:r w:rsidRPr="000048F9">
              <w:rPr>
                <w:rFonts w:eastAsia="Times New Roman" w:cs="Times New Roman"/>
                <w:szCs w:val="24"/>
              </w:rPr>
              <w:t xml:space="preserve"> </w:t>
            </w:r>
            <w:r w:rsidR="007813AA" w:rsidRPr="00EF16DC">
              <w:rPr>
                <w:rFonts w:eastAsia="Times New Roman" w:cs="Times New Roman"/>
                <w:szCs w:val="24"/>
              </w:rPr>
              <w:t>1</w:t>
            </w:r>
            <w:r w:rsidR="002D1B5B" w:rsidRPr="00EF16DC">
              <w:rPr>
                <w:rFonts w:eastAsia="Times New Roman" w:cs="Times New Roman"/>
                <w:szCs w:val="24"/>
              </w:rPr>
              <w:t>5</w:t>
            </w:r>
            <w:r w:rsidR="007813AA" w:rsidRPr="00EF16DC">
              <w:rPr>
                <w:rFonts w:eastAsia="Times New Roman" w:cs="Times New Roman"/>
                <w:szCs w:val="24"/>
              </w:rPr>
              <w:t>.0</w:t>
            </w:r>
            <w:r w:rsidR="00630D59" w:rsidRPr="00EF16DC">
              <w:rPr>
                <w:rFonts w:eastAsia="Times New Roman" w:cs="Times New Roman"/>
                <w:szCs w:val="24"/>
              </w:rPr>
              <w:t>6</w:t>
            </w:r>
            <w:r w:rsidR="007813AA" w:rsidRPr="00EF16DC">
              <w:rPr>
                <w:rFonts w:eastAsia="Times New Roman" w:cs="Times New Roman"/>
                <w:szCs w:val="24"/>
              </w:rPr>
              <w:t>.2020</w:t>
            </w:r>
            <w:r w:rsidR="004600A0" w:rsidRPr="00EF16DC">
              <w:rPr>
                <w:rFonts w:eastAsia="Times New Roman" w:cs="Times New Roman"/>
                <w:szCs w:val="24"/>
              </w:rPr>
              <w:t>.</w:t>
            </w:r>
            <w:r w:rsidR="00830FC8">
              <w:rPr>
                <w:rFonts w:eastAsia="Times New Roman" w:cs="Times New Roman"/>
                <w:i/>
                <w:szCs w:val="24"/>
              </w:rPr>
              <w:t xml:space="preserve"> </w:t>
            </w:r>
          </w:p>
          <w:p w14:paraId="1F4C9D4A" w14:textId="77777777" w:rsidR="006C0DC6" w:rsidRPr="000048F9" w:rsidRDefault="006C0DC6" w:rsidP="00CA7C00">
            <w:pPr>
              <w:spacing w:after="60"/>
              <w:jc w:val="both"/>
              <w:rPr>
                <w:rFonts w:eastAsia="Times New Roman" w:cs="Times New Roman"/>
                <w:szCs w:val="24"/>
              </w:rPr>
            </w:pPr>
          </w:p>
        </w:tc>
      </w:tr>
      <w:tr w:rsidR="002E6246" w:rsidRPr="002D7758" w14:paraId="3D048E97" w14:textId="77777777" w:rsidTr="2A45E688">
        <w:tc>
          <w:tcPr>
            <w:tcW w:w="710" w:type="dxa"/>
          </w:tcPr>
          <w:p w14:paraId="4FF9EC8A"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1A60437E" w14:textId="77777777" w:rsidR="002E6246" w:rsidRPr="002D7758" w:rsidRDefault="002E6246" w:rsidP="002E6246">
            <w:pPr>
              <w:rPr>
                <w:rFonts w:eastAsia="Times New Roman" w:cs="Times New Roman"/>
                <w:szCs w:val="24"/>
              </w:rPr>
            </w:pPr>
            <w:r w:rsidRPr="002D7758">
              <w:rPr>
                <w:rFonts w:eastAsia="Times New Roman" w:cs="Times New Roman"/>
                <w:szCs w:val="24"/>
              </w:rPr>
              <w:t>Prognozējamā projekta finansiālā ietekme uz valsts budžetu</w:t>
            </w:r>
          </w:p>
        </w:tc>
        <w:tc>
          <w:tcPr>
            <w:tcW w:w="6350" w:type="dxa"/>
          </w:tcPr>
          <w:p w14:paraId="7E5B00CB" w14:textId="4F17AAC6" w:rsidR="002E6246" w:rsidRPr="002D7758" w:rsidRDefault="002E6246" w:rsidP="00B22B1D">
            <w:pPr>
              <w:tabs>
                <w:tab w:val="num" w:pos="1440"/>
              </w:tabs>
              <w:spacing w:after="60"/>
              <w:jc w:val="both"/>
              <w:rPr>
                <w:rFonts w:eastAsia="Times New Roman" w:cs="Times New Roman"/>
                <w:szCs w:val="24"/>
              </w:rPr>
            </w:pPr>
            <w:r w:rsidRPr="002D7758">
              <w:rPr>
                <w:rFonts w:eastAsia="Times New Roman" w:cs="Times New Roman"/>
                <w:szCs w:val="24"/>
              </w:rPr>
              <w:t xml:space="preserve">Projektā noteiktais regulējums </w:t>
            </w:r>
            <w:r w:rsidR="00E06AB5" w:rsidRPr="002D7758">
              <w:rPr>
                <w:rFonts w:eastAsia="Times New Roman" w:cs="Times New Roman"/>
                <w:szCs w:val="24"/>
              </w:rPr>
              <w:t>ne</w:t>
            </w:r>
            <w:r w:rsidRPr="002D7758">
              <w:rPr>
                <w:rFonts w:eastAsia="Times New Roman" w:cs="Times New Roman"/>
                <w:szCs w:val="24"/>
              </w:rPr>
              <w:t xml:space="preserve">radīs  ietekmi uz valsts budžetu. </w:t>
            </w:r>
          </w:p>
        </w:tc>
      </w:tr>
      <w:tr w:rsidR="002E6246" w:rsidRPr="002D7758" w14:paraId="77845EBC" w14:textId="77777777" w:rsidTr="2A45E688">
        <w:tc>
          <w:tcPr>
            <w:tcW w:w="710" w:type="dxa"/>
          </w:tcPr>
          <w:p w14:paraId="2C83A408"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Pr>
          <w:p w14:paraId="22A0C521" w14:textId="77777777" w:rsidR="002E6246" w:rsidRPr="002D7758" w:rsidRDefault="002E6246" w:rsidP="002E6246">
            <w:pPr>
              <w:rPr>
                <w:rFonts w:eastAsia="Times New Roman" w:cs="Times New Roman"/>
                <w:szCs w:val="24"/>
              </w:rPr>
            </w:pPr>
            <w:r w:rsidRPr="002D7758">
              <w:rPr>
                <w:rFonts w:eastAsia="Times New Roman" w:cs="Times New Roman"/>
                <w:szCs w:val="24"/>
              </w:rPr>
              <w:t>Tiesību akta pieņemšanas kalendārais plāns</w:t>
            </w:r>
          </w:p>
        </w:tc>
        <w:tc>
          <w:tcPr>
            <w:tcW w:w="6350" w:type="dxa"/>
          </w:tcPr>
          <w:p w14:paraId="607A8EC7" w14:textId="0035F2C5" w:rsidR="006C0DC6" w:rsidRPr="002D7758" w:rsidRDefault="00184875" w:rsidP="002E6246">
            <w:pPr>
              <w:spacing w:after="60"/>
              <w:jc w:val="both"/>
              <w:rPr>
                <w:rFonts w:eastAsia="Times New Roman" w:cs="Times New Roman"/>
                <w:szCs w:val="24"/>
              </w:rPr>
            </w:pPr>
            <w:r w:rsidRPr="002D7758">
              <w:rPr>
                <w:rFonts w:eastAsia="Times New Roman" w:cs="Times New Roman"/>
                <w:szCs w:val="24"/>
              </w:rPr>
              <w:t>Izsludināt VSS līdz:</w:t>
            </w:r>
            <w:r w:rsidR="00990DBA">
              <w:rPr>
                <w:rFonts w:eastAsia="Times New Roman" w:cs="Times New Roman"/>
                <w:szCs w:val="24"/>
              </w:rPr>
              <w:t xml:space="preserve"> 23</w:t>
            </w:r>
            <w:r w:rsidR="00EF16DC">
              <w:rPr>
                <w:rFonts w:eastAsia="Times New Roman" w:cs="Times New Roman"/>
                <w:szCs w:val="24"/>
              </w:rPr>
              <w:t>.07</w:t>
            </w:r>
            <w:r w:rsidR="003E61C1" w:rsidRPr="00EF16DC">
              <w:rPr>
                <w:rFonts w:eastAsia="Times New Roman" w:cs="Times New Roman"/>
                <w:szCs w:val="24"/>
              </w:rPr>
              <w:t>.2020</w:t>
            </w:r>
            <w:r w:rsidR="002D1B5B" w:rsidRPr="00EF16DC">
              <w:rPr>
                <w:rFonts w:eastAsia="Times New Roman" w:cs="Times New Roman"/>
                <w:szCs w:val="24"/>
              </w:rPr>
              <w:t>.</w:t>
            </w:r>
            <w:r w:rsidR="00830FC8" w:rsidRPr="00830FC8">
              <w:rPr>
                <w:rFonts w:eastAsia="Times New Roman" w:cs="Times New Roman"/>
                <w:i/>
                <w:szCs w:val="24"/>
              </w:rPr>
              <w:t xml:space="preserve"> </w:t>
            </w:r>
          </w:p>
          <w:p w14:paraId="69BB10F3" w14:textId="17E9231A" w:rsidR="002E6246" w:rsidRDefault="00E06AB5" w:rsidP="002D1B5B">
            <w:pPr>
              <w:spacing w:after="60"/>
              <w:jc w:val="both"/>
              <w:rPr>
                <w:rFonts w:eastAsia="Times New Roman" w:cs="Times New Roman"/>
                <w:i/>
                <w:szCs w:val="24"/>
              </w:rPr>
            </w:pPr>
            <w:r w:rsidRPr="002D7758">
              <w:rPr>
                <w:rFonts w:eastAsia="Times New Roman" w:cs="Times New Roman"/>
                <w:szCs w:val="24"/>
              </w:rPr>
              <w:t>I</w:t>
            </w:r>
            <w:r w:rsidR="00A71199" w:rsidRPr="002D7758">
              <w:rPr>
                <w:rFonts w:eastAsia="Times New Roman" w:cs="Times New Roman"/>
                <w:szCs w:val="24"/>
              </w:rPr>
              <w:t>esniegt</w:t>
            </w:r>
            <w:r w:rsidR="002C2709">
              <w:rPr>
                <w:rFonts w:eastAsia="Times New Roman" w:cs="Times New Roman"/>
                <w:szCs w:val="24"/>
              </w:rPr>
              <w:t xml:space="preserve"> MK </w:t>
            </w:r>
            <w:r w:rsidR="003A07AE">
              <w:rPr>
                <w:rFonts w:eastAsia="Times New Roman" w:cs="Times New Roman"/>
                <w:szCs w:val="24"/>
              </w:rPr>
              <w:t xml:space="preserve">līdz: </w:t>
            </w:r>
            <w:r w:rsidR="00990DBA">
              <w:rPr>
                <w:rFonts w:eastAsia="Times New Roman" w:cs="Times New Roman"/>
                <w:szCs w:val="24"/>
              </w:rPr>
              <w:t>18</w:t>
            </w:r>
            <w:r w:rsidR="00EF16DC">
              <w:rPr>
                <w:rFonts w:eastAsia="Times New Roman" w:cs="Times New Roman"/>
                <w:szCs w:val="24"/>
              </w:rPr>
              <w:t>.12.</w:t>
            </w:r>
            <w:r w:rsidR="003E61C1" w:rsidRPr="00EF16DC">
              <w:rPr>
                <w:rFonts w:eastAsia="Times New Roman" w:cs="Times New Roman"/>
                <w:szCs w:val="24"/>
              </w:rPr>
              <w:t>2020</w:t>
            </w:r>
            <w:r w:rsidR="003A6626" w:rsidRPr="00EF16DC">
              <w:rPr>
                <w:rFonts w:eastAsia="Times New Roman" w:cs="Times New Roman"/>
                <w:szCs w:val="24"/>
              </w:rPr>
              <w:t>.</w:t>
            </w:r>
            <w:r w:rsidR="00830FC8" w:rsidRPr="00EF16DC">
              <w:rPr>
                <w:rFonts w:eastAsia="Times New Roman" w:cs="Times New Roman"/>
                <w:szCs w:val="24"/>
              </w:rPr>
              <w:t xml:space="preserve"> </w:t>
            </w:r>
          </w:p>
          <w:p w14:paraId="70D4464F" w14:textId="7284E36C" w:rsidR="00BE3B93" w:rsidRPr="002D7758" w:rsidRDefault="00BE3B93" w:rsidP="002D1B5B">
            <w:pPr>
              <w:spacing w:after="60"/>
              <w:jc w:val="both"/>
              <w:rPr>
                <w:rFonts w:eastAsia="Times New Roman" w:cs="Times New Roman"/>
                <w:szCs w:val="24"/>
              </w:rPr>
            </w:pPr>
          </w:p>
        </w:tc>
      </w:tr>
      <w:tr w:rsidR="002E6246" w:rsidRPr="002D7758" w14:paraId="1C8BBCCD" w14:textId="77777777" w:rsidTr="2A45E688">
        <w:tc>
          <w:tcPr>
            <w:tcW w:w="710" w:type="dxa"/>
            <w:tcBorders>
              <w:bottom w:val="single" w:sz="4" w:space="0" w:color="000000"/>
            </w:tcBorders>
          </w:tcPr>
          <w:p w14:paraId="3BEA4558" w14:textId="77777777" w:rsidR="002E6246" w:rsidRPr="002D7758" w:rsidRDefault="002E6246" w:rsidP="002E6246">
            <w:pPr>
              <w:numPr>
                <w:ilvl w:val="0"/>
                <w:numId w:val="1"/>
              </w:numPr>
              <w:spacing w:after="160" w:line="259" w:lineRule="auto"/>
              <w:jc w:val="center"/>
              <w:rPr>
                <w:rFonts w:eastAsia="Calibri" w:cs="Times New Roman"/>
                <w:szCs w:val="24"/>
              </w:rPr>
            </w:pPr>
          </w:p>
        </w:tc>
        <w:tc>
          <w:tcPr>
            <w:tcW w:w="3005" w:type="dxa"/>
            <w:tcBorders>
              <w:bottom w:val="single" w:sz="4" w:space="0" w:color="000000"/>
            </w:tcBorders>
          </w:tcPr>
          <w:p w14:paraId="653F0584" w14:textId="0F225909" w:rsidR="002E6246" w:rsidRPr="002D7758" w:rsidRDefault="003E61C1" w:rsidP="002E6246">
            <w:pPr>
              <w:rPr>
                <w:rFonts w:eastAsia="Times New Roman" w:cs="Times New Roman"/>
                <w:szCs w:val="24"/>
              </w:rPr>
            </w:pPr>
            <w:r>
              <w:rPr>
                <w:rFonts w:eastAsia="Times New Roman" w:cs="Times New Roman"/>
                <w:szCs w:val="24"/>
              </w:rPr>
              <w:t>Uzziņas sagatavotāja</w:t>
            </w:r>
          </w:p>
        </w:tc>
        <w:tc>
          <w:tcPr>
            <w:tcW w:w="6350" w:type="dxa"/>
            <w:tcBorders>
              <w:bottom w:val="single" w:sz="4" w:space="0" w:color="000000"/>
            </w:tcBorders>
          </w:tcPr>
          <w:p w14:paraId="6AF6184A" w14:textId="5E1759E5" w:rsidR="002D1B5B" w:rsidRDefault="00E91330" w:rsidP="002D1B5B">
            <w:pPr>
              <w:spacing w:after="160"/>
              <w:jc w:val="both"/>
              <w:rPr>
                <w:rFonts w:eastAsia="Times New Roman" w:cs="Times New Roman"/>
                <w:szCs w:val="24"/>
              </w:rPr>
            </w:pPr>
            <w:r w:rsidRPr="002D7758">
              <w:rPr>
                <w:rFonts w:eastAsia="Times New Roman" w:cs="Times New Roman"/>
                <w:szCs w:val="24"/>
              </w:rPr>
              <w:t xml:space="preserve">Finanšu ministrijas Finanšu tirgus politikas departamenta Kapitāla tirgus un apdrošināšanas politikas nodaļas </w:t>
            </w:r>
            <w:r w:rsidR="00830FC8">
              <w:rPr>
                <w:rFonts w:eastAsia="Times New Roman" w:cs="Times New Roman"/>
                <w:szCs w:val="24"/>
              </w:rPr>
              <w:t>vecākais eksperts</w:t>
            </w:r>
            <w:r w:rsidRPr="002D7758">
              <w:rPr>
                <w:rFonts w:eastAsia="Times New Roman" w:cs="Times New Roman"/>
                <w:szCs w:val="24"/>
              </w:rPr>
              <w:t xml:space="preserve"> </w:t>
            </w:r>
            <w:r w:rsidR="00830FC8">
              <w:rPr>
                <w:rFonts w:eastAsia="Times New Roman" w:cs="Times New Roman"/>
                <w:szCs w:val="24"/>
              </w:rPr>
              <w:t xml:space="preserve">Imants </w:t>
            </w:r>
            <w:proofErr w:type="spellStart"/>
            <w:r w:rsidR="00830FC8">
              <w:rPr>
                <w:rFonts w:eastAsia="Times New Roman" w:cs="Times New Roman"/>
                <w:szCs w:val="24"/>
              </w:rPr>
              <w:t>Tiesnieks</w:t>
            </w:r>
            <w:proofErr w:type="spellEnd"/>
          </w:p>
          <w:p w14:paraId="505ED5F1" w14:textId="6A19045A" w:rsidR="002E6246" w:rsidRPr="00AA1A40" w:rsidRDefault="002E6246" w:rsidP="00830FC8">
            <w:pPr>
              <w:spacing w:after="160"/>
              <w:jc w:val="both"/>
              <w:rPr>
                <w:rFonts w:eastAsia="Times New Roman" w:cs="Times New Roman"/>
                <w:szCs w:val="24"/>
              </w:rPr>
            </w:pPr>
            <w:r w:rsidRPr="002D7758">
              <w:rPr>
                <w:rFonts w:eastAsia="Times New Roman" w:cs="Times New Roman"/>
                <w:szCs w:val="24"/>
              </w:rPr>
              <w:t xml:space="preserve">Tālrunis, e-pasts: </w:t>
            </w:r>
            <w:r w:rsidR="00226CF4" w:rsidRPr="002D7758">
              <w:rPr>
                <w:rFonts w:eastAsia="Times New Roman" w:cs="Times New Roman"/>
                <w:szCs w:val="24"/>
              </w:rPr>
              <w:t>670</w:t>
            </w:r>
            <w:r w:rsidR="00830FC8">
              <w:rPr>
                <w:rFonts w:eastAsia="Times New Roman" w:cs="Times New Roman"/>
                <w:szCs w:val="24"/>
              </w:rPr>
              <w:t>95667, Imants.Tiesnieks</w:t>
            </w:r>
            <w:r w:rsidR="00226CF4" w:rsidRPr="002D7758">
              <w:rPr>
                <w:rFonts w:eastAsia="Times New Roman" w:cs="Times New Roman"/>
                <w:szCs w:val="24"/>
              </w:rPr>
              <w:t>@fm.gov.lv</w:t>
            </w:r>
          </w:p>
        </w:tc>
      </w:tr>
      <w:tr w:rsidR="002E6246" w:rsidRPr="002D7758" w14:paraId="1CBCBC09" w14:textId="77777777" w:rsidTr="2A45E688">
        <w:tc>
          <w:tcPr>
            <w:tcW w:w="10065" w:type="dxa"/>
            <w:gridSpan w:val="3"/>
            <w:tcBorders>
              <w:left w:val="nil"/>
              <w:bottom w:val="nil"/>
              <w:right w:val="nil"/>
            </w:tcBorders>
          </w:tcPr>
          <w:p w14:paraId="4D2D5573" w14:textId="77777777" w:rsidR="002E6246" w:rsidRPr="002D7758" w:rsidRDefault="002E6246" w:rsidP="002E6246">
            <w:pPr>
              <w:rPr>
                <w:rFonts w:eastAsia="Times New Roman" w:cs="Times New Roman"/>
                <w:szCs w:val="24"/>
                <w:highlight w:val="yellow"/>
              </w:rPr>
            </w:pPr>
          </w:p>
        </w:tc>
      </w:tr>
    </w:tbl>
    <w:p w14:paraId="55EAE7D2" w14:textId="16754548" w:rsidR="00247FF4" w:rsidRPr="00247FF4" w:rsidRDefault="00247FF4" w:rsidP="005C3B11">
      <w:pPr>
        <w:spacing w:after="160"/>
        <w:jc w:val="both"/>
        <w:rPr>
          <w:rFonts w:eastAsia="Times New Roman" w:cs="Times New Roman"/>
          <w:szCs w:val="24"/>
        </w:rPr>
      </w:pPr>
      <w:r w:rsidRPr="00247FF4">
        <w:rPr>
          <w:rFonts w:eastAsia="Times New Roman" w:cs="Times New Roman"/>
          <w:szCs w:val="24"/>
        </w:rPr>
        <w:t>Uzzi</w:t>
      </w:r>
      <w:r w:rsidRPr="00247FF4">
        <w:rPr>
          <w:rFonts w:eastAsia="Times New Roman" w:cs="Times New Roman" w:hint="eastAsia"/>
          <w:szCs w:val="24"/>
        </w:rPr>
        <w:t>ņ</w:t>
      </w:r>
      <w:r w:rsidRPr="00247FF4">
        <w:rPr>
          <w:rFonts w:eastAsia="Times New Roman" w:cs="Times New Roman"/>
          <w:szCs w:val="24"/>
        </w:rPr>
        <w:t xml:space="preserve">u iesniedza: </w:t>
      </w:r>
      <w:r w:rsidR="00561E8F" w:rsidRPr="002D7758">
        <w:rPr>
          <w:rFonts w:eastAsia="Times New Roman" w:cs="Times New Roman"/>
          <w:szCs w:val="24"/>
        </w:rPr>
        <w:t xml:space="preserve">Finanšu ministrijas Finanšu tirgus politikas departamenta Kapitāla tirgus un apdrošināšanas politikas nodaļas </w:t>
      </w:r>
      <w:r w:rsidR="00830FC8">
        <w:rPr>
          <w:rFonts w:eastAsia="Times New Roman" w:cs="Times New Roman"/>
          <w:szCs w:val="24"/>
        </w:rPr>
        <w:t>vecākais eksperts</w:t>
      </w:r>
      <w:r w:rsidR="00561E8F" w:rsidRPr="002D7758">
        <w:rPr>
          <w:rFonts w:eastAsia="Times New Roman" w:cs="Times New Roman"/>
          <w:szCs w:val="24"/>
        </w:rPr>
        <w:t xml:space="preserve"> </w:t>
      </w:r>
      <w:r w:rsidR="00830FC8">
        <w:rPr>
          <w:rFonts w:eastAsia="Times New Roman" w:cs="Times New Roman"/>
          <w:szCs w:val="24"/>
        </w:rPr>
        <w:t xml:space="preserve">Imants </w:t>
      </w:r>
      <w:proofErr w:type="spellStart"/>
      <w:r w:rsidR="00830FC8">
        <w:rPr>
          <w:rFonts w:eastAsia="Times New Roman" w:cs="Times New Roman"/>
          <w:szCs w:val="24"/>
        </w:rPr>
        <w:t>Tiesnieks</w:t>
      </w:r>
      <w:proofErr w:type="spellEnd"/>
      <w:r w:rsidR="000C4905">
        <w:rPr>
          <w:rFonts w:eastAsia="Times New Roman" w:cs="Times New Roman"/>
          <w:szCs w:val="24"/>
        </w:rPr>
        <w:t xml:space="preserve"> (t</w:t>
      </w:r>
      <w:r w:rsidRPr="00247FF4">
        <w:rPr>
          <w:rFonts w:eastAsia="Times New Roman" w:cs="Times New Roman" w:hint="eastAsia"/>
          <w:szCs w:val="24"/>
        </w:rPr>
        <w:t>ā</w:t>
      </w:r>
      <w:r w:rsidRPr="00247FF4">
        <w:rPr>
          <w:rFonts w:eastAsia="Times New Roman" w:cs="Times New Roman"/>
          <w:szCs w:val="24"/>
        </w:rPr>
        <w:t xml:space="preserve">lrunis, e-pasts: </w:t>
      </w:r>
      <w:r w:rsidR="00561E8F" w:rsidRPr="002D7758">
        <w:rPr>
          <w:rFonts w:eastAsia="Times New Roman" w:cs="Times New Roman"/>
          <w:szCs w:val="24"/>
        </w:rPr>
        <w:t>670</w:t>
      </w:r>
      <w:r w:rsidR="00830FC8">
        <w:rPr>
          <w:rFonts w:eastAsia="Times New Roman" w:cs="Times New Roman"/>
          <w:szCs w:val="24"/>
        </w:rPr>
        <w:t>95667</w:t>
      </w:r>
      <w:r w:rsidR="00561E8F" w:rsidRPr="002D7758">
        <w:rPr>
          <w:rFonts w:eastAsia="Times New Roman" w:cs="Times New Roman"/>
          <w:szCs w:val="24"/>
        </w:rPr>
        <w:t xml:space="preserve">, </w:t>
      </w:r>
      <w:r w:rsidR="00830FC8">
        <w:rPr>
          <w:rFonts w:eastAsia="Times New Roman" w:cs="Times New Roman"/>
          <w:szCs w:val="24"/>
        </w:rPr>
        <w:t>Imants.Tiesnieks</w:t>
      </w:r>
      <w:r w:rsidR="00567188" w:rsidRPr="002D7758">
        <w:rPr>
          <w:rFonts w:eastAsia="Times New Roman" w:cs="Times New Roman"/>
          <w:szCs w:val="24"/>
        </w:rPr>
        <w:t>@fm.gov.lv</w:t>
      </w:r>
      <w:r w:rsidR="00567188">
        <w:rPr>
          <w:rFonts w:eastAsia="Times New Roman" w:cs="Times New Roman"/>
          <w:szCs w:val="24"/>
        </w:rPr>
        <w:t>)</w:t>
      </w:r>
    </w:p>
    <w:p w14:paraId="44CEA524" w14:textId="74682F7A" w:rsidR="002E6246" w:rsidRPr="002D7758" w:rsidRDefault="00247FF4" w:rsidP="00247FF4">
      <w:pPr>
        <w:spacing w:after="160" w:line="259" w:lineRule="auto"/>
        <w:rPr>
          <w:rFonts w:eastAsia="Times New Roman" w:cs="Times New Roman"/>
          <w:szCs w:val="24"/>
        </w:rPr>
      </w:pPr>
      <w:r w:rsidRPr="00247FF4">
        <w:rPr>
          <w:rFonts w:eastAsia="Times New Roman" w:cs="Times New Roman"/>
          <w:szCs w:val="24"/>
        </w:rPr>
        <w:t>Uzzi</w:t>
      </w:r>
      <w:r w:rsidRPr="00247FF4">
        <w:rPr>
          <w:rFonts w:eastAsia="Times New Roman" w:cs="Times New Roman" w:hint="eastAsia"/>
          <w:szCs w:val="24"/>
        </w:rPr>
        <w:t>ņ</w:t>
      </w:r>
      <w:r w:rsidRPr="00247FF4">
        <w:rPr>
          <w:rFonts w:eastAsia="Times New Roman" w:cs="Times New Roman"/>
          <w:szCs w:val="24"/>
        </w:rPr>
        <w:t>a iesniegta</w:t>
      </w:r>
      <w:r w:rsidR="003A07AE">
        <w:rPr>
          <w:rFonts w:eastAsia="Times New Roman" w:cs="Times New Roman"/>
          <w:szCs w:val="24"/>
        </w:rPr>
        <w:t xml:space="preserve">: </w:t>
      </w:r>
      <w:r w:rsidR="009421B0">
        <w:rPr>
          <w:rFonts w:eastAsia="Times New Roman" w:cs="Times New Roman"/>
          <w:szCs w:val="24"/>
        </w:rPr>
        <w:t>06</w:t>
      </w:r>
      <w:r w:rsidR="00095D12">
        <w:rPr>
          <w:rFonts w:eastAsia="Times New Roman" w:cs="Times New Roman"/>
          <w:szCs w:val="24"/>
        </w:rPr>
        <w:t>.01.2020.</w:t>
      </w:r>
    </w:p>
    <w:sectPr w:rsidR="002E6246" w:rsidRPr="002D7758" w:rsidSect="004444EB">
      <w:headerReference w:type="default" r:id="rId10"/>
      <w:footerReference w:type="default" r:id="rId11"/>
      <w:foot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AA7F" w14:textId="77777777" w:rsidR="009B77A5" w:rsidRDefault="009B77A5">
      <w:r>
        <w:separator/>
      </w:r>
    </w:p>
  </w:endnote>
  <w:endnote w:type="continuationSeparator" w:id="0">
    <w:p w14:paraId="506DDD0A" w14:textId="77777777" w:rsidR="009B77A5" w:rsidRDefault="009B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Times New Roman,Calibri">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8182" w14:textId="77777777" w:rsidR="0088019C" w:rsidRPr="002D1EE0" w:rsidRDefault="0088019C" w:rsidP="0088019C">
    <w:pPr>
      <w:pStyle w:val="Footer"/>
      <w:rPr>
        <w:rFonts w:cs="Times New Roman"/>
        <w:sz w:val="20"/>
        <w:szCs w:val="20"/>
      </w:rPr>
    </w:pPr>
  </w:p>
  <w:p w14:paraId="7E09676B" w14:textId="77777777" w:rsidR="0093064E" w:rsidRDefault="0088019C" w:rsidP="0088019C">
    <w:pPr>
      <w:pStyle w:val="Footer"/>
      <w:rPr>
        <w:rFonts w:cs="Times New Roman"/>
        <w:sz w:val="20"/>
        <w:szCs w:val="20"/>
      </w:rPr>
    </w:pPr>
    <w:r>
      <w:rPr>
        <w:rFonts w:cs="Times New Roman"/>
        <w:sz w:val="20"/>
        <w:szCs w:val="20"/>
      </w:rPr>
      <w:tab/>
    </w:r>
  </w:p>
  <w:p w14:paraId="36808788" w14:textId="77777777" w:rsidR="004444EB" w:rsidRPr="00B7651E" w:rsidRDefault="009B77A5" w:rsidP="00B7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82277"/>
      <w:docPartObj>
        <w:docPartGallery w:val="Page Numbers (Top of Page)"/>
        <w:docPartUnique/>
      </w:docPartObj>
    </w:sdtPr>
    <w:sdtEndPr>
      <w:rPr>
        <w:noProof/>
        <w:szCs w:val="24"/>
      </w:rPr>
    </w:sdtEndPr>
    <w:sdtContent>
      <w:p w14:paraId="651BA42C" w14:textId="125DDE07" w:rsidR="00066DE9" w:rsidRPr="004444EB" w:rsidRDefault="00066DE9" w:rsidP="00066DE9">
        <w:pPr>
          <w:pStyle w:val="Header"/>
          <w:jc w:val="center"/>
          <w:rPr>
            <w:szCs w:val="24"/>
          </w:rPr>
        </w:pPr>
        <w:r w:rsidRPr="004444EB">
          <w:rPr>
            <w:szCs w:val="24"/>
          </w:rPr>
          <w:fldChar w:fldCharType="begin"/>
        </w:r>
        <w:r w:rsidRPr="004444EB">
          <w:rPr>
            <w:szCs w:val="24"/>
          </w:rPr>
          <w:instrText xml:space="preserve"> PAGE   \* MERGEFORMAT </w:instrText>
        </w:r>
        <w:r w:rsidRPr="004444EB">
          <w:rPr>
            <w:szCs w:val="24"/>
          </w:rPr>
          <w:fldChar w:fldCharType="separate"/>
        </w:r>
        <w:r w:rsidR="00A511C8">
          <w:rPr>
            <w:noProof/>
            <w:szCs w:val="24"/>
          </w:rPr>
          <w:t>1</w:t>
        </w:r>
        <w:r w:rsidRPr="004444EB">
          <w:rPr>
            <w:noProof/>
            <w:szCs w:val="24"/>
          </w:rPr>
          <w:fldChar w:fldCharType="end"/>
        </w:r>
      </w:p>
    </w:sdtContent>
  </w:sdt>
  <w:p w14:paraId="28DB289C" w14:textId="77777777" w:rsidR="00066DE9" w:rsidRDefault="00066DE9" w:rsidP="00066DE9"/>
  <w:p w14:paraId="1FE728BC" w14:textId="77777777" w:rsidR="00066DE9" w:rsidRDefault="00066DE9" w:rsidP="00066DE9">
    <w:pPr>
      <w:pStyle w:val="Footer"/>
    </w:pPr>
  </w:p>
  <w:p w14:paraId="15C5CB33" w14:textId="77777777" w:rsidR="00066DE9" w:rsidRDefault="00066DE9" w:rsidP="00066DE9"/>
  <w:p w14:paraId="19649B39" w14:textId="77777777" w:rsidR="002B3839" w:rsidRPr="00806A94" w:rsidRDefault="009B77A5" w:rsidP="0080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A862A" w14:textId="77777777" w:rsidR="009B77A5" w:rsidRDefault="009B77A5">
      <w:r>
        <w:separator/>
      </w:r>
    </w:p>
  </w:footnote>
  <w:footnote w:type="continuationSeparator" w:id="0">
    <w:p w14:paraId="7251DEA9" w14:textId="77777777" w:rsidR="009B77A5" w:rsidRDefault="009B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62592"/>
      <w:docPartObj>
        <w:docPartGallery w:val="Page Numbers (Top of Page)"/>
        <w:docPartUnique/>
      </w:docPartObj>
    </w:sdtPr>
    <w:sdtEndPr>
      <w:rPr>
        <w:noProof/>
        <w:szCs w:val="24"/>
      </w:rPr>
    </w:sdtEndPr>
    <w:sdtContent>
      <w:p w14:paraId="19058AFF" w14:textId="252E6A2D" w:rsidR="004444EB" w:rsidRPr="004444EB" w:rsidRDefault="002E6246" w:rsidP="004444EB">
        <w:pPr>
          <w:pStyle w:val="Header"/>
          <w:jc w:val="center"/>
          <w:rPr>
            <w:szCs w:val="24"/>
          </w:rPr>
        </w:pPr>
        <w:r w:rsidRPr="004444EB">
          <w:rPr>
            <w:szCs w:val="24"/>
          </w:rPr>
          <w:fldChar w:fldCharType="begin"/>
        </w:r>
        <w:r w:rsidRPr="004444EB">
          <w:rPr>
            <w:szCs w:val="24"/>
          </w:rPr>
          <w:instrText xml:space="preserve"> PAGE   \* MERGEFORMAT </w:instrText>
        </w:r>
        <w:r w:rsidRPr="004444EB">
          <w:rPr>
            <w:szCs w:val="24"/>
          </w:rPr>
          <w:fldChar w:fldCharType="separate"/>
        </w:r>
        <w:r w:rsidR="00A511C8">
          <w:rPr>
            <w:noProof/>
            <w:szCs w:val="24"/>
          </w:rPr>
          <w:t>3</w:t>
        </w:r>
        <w:r w:rsidRPr="004444EB">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650F"/>
    <w:multiLevelType w:val="hybridMultilevel"/>
    <w:tmpl w:val="EC146774"/>
    <w:lvl w:ilvl="0" w:tplc="DD687132">
      <w:start w:val="2019"/>
      <w:numFmt w:val="bullet"/>
      <w:lvlText w:val="-"/>
      <w:lvlJc w:val="left"/>
      <w:pPr>
        <w:ind w:left="1080" w:hanging="360"/>
      </w:pPr>
      <w:rPr>
        <w:rFonts w:ascii="Times New Roman" w:eastAsiaTheme="minorHAnsi" w:hAnsi="Times New Roman" w:cs="Times New Roman" w:hint="default"/>
        <w:color w:val="auto"/>
        <w:sz w:val="19"/>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D447B83"/>
    <w:multiLevelType w:val="hybridMultilevel"/>
    <w:tmpl w:val="D0666A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96010D"/>
    <w:multiLevelType w:val="hybridMultilevel"/>
    <w:tmpl w:val="A7B0B35C"/>
    <w:lvl w:ilvl="0" w:tplc="B20E7450">
      <w:start w:val="20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CD00C9"/>
    <w:multiLevelType w:val="hybridMultilevel"/>
    <w:tmpl w:val="F1945C04"/>
    <w:lvl w:ilvl="0" w:tplc="6E088B48">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9556C"/>
    <w:multiLevelType w:val="hybridMultilevel"/>
    <w:tmpl w:val="2730A008"/>
    <w:lvl w:ilvl="0" w:tplc="7B6A2C0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8B055C5"/>
    <w:multiLevelType w:val="hybridMultilevel"/>
    <w:tmpl w:val="BFB63A24"/>
    <w:lvl w:ilvl="0" w:tplc="0C36D4F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0F6DA5"/>
    <w:multiLevelType w:val="hybridMultilevel"/>
    <w:tmpl w:val="64466F56"/>
    <w:lvl w:ilvl="0" w:tplc="E6DABDCA">
      <w:start w:val="1"/>
      <w:numFmt w:val="decimal"/>
      <w:lvlText w:val="%1."/>
      <w:lvlJc w:val="left"/>
      <w:pPr>
        <w:ind w:left="720" w:hanging="360"/>
      </w:pPr>
      <w:rPr>
        <w:rFonts w:eastAsia="Times New Roman" w:cs="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A1033D"/>
    <w:multiLevelType w:val="hybridMultilevel"/>
    <w:tmpl w:val="1CAEA7B0"/>
    <w:lvl w:ilvl="0" w:tplc="A61AB5F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474047"/>
    <w:multiLevelType w:val="hybridMultilevel"/>
    <w:tmpl w:val="6E1699B6"/>
    <w:lvl w:ilvl="0" w:tplc="7DE8B33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E83250"/>
    <w:multiLevelType w:val="hybridMultilevel"/>
    <w:tmpl w:val="ED14C984"/>
    <w:lvl w:ilvl="0" w:tplc="D80A9BD0">
      <w:start w:val="1"/>
      <w:numFmt w:val="decimal"/>
      <w:lvlText w:val="%1)"/>
      <w:lvlJc w:val="left"/>
      <w:pPr>
        <w:ind w:left="872" w:hanging="645"/>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num w:numId="1">
    <w:abstractNumId w:val="3"/>
  </w:num>
  <w:num w:numId="2">
    <w:abstractNumId w:val="6"/>
  </w:num>
  <w:num w:numId="3">
    <w:abstractNumId w:val="1"/>
  </w:num>
  <w:num w:numId="4">
    <w:abstractNumId w:val="9"/>
  </w:num>
  <w:num w:numId="5">
    <w:abstractNumId w:val="7"/>
  </w:num>
  <w:num w:numId="6">
    <w:abstractNumId w:val="5"/>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6B"/>
    <w:rsid w:val="000048F9"/>
    <w:rsid w:val="00016046"/>
    <w:rsid w:val="000344E9"/>
    <w:rsid w:val="0004135A"/>
    <w:rsid w:val="00043853"/>
    <w:rsid w:val="00053DFA"/>
    <w:rsid w:val="00066DE9"/>
    <w:rsid w:val="00076811"/>
    <w:rsid w:val="00077145"/>
    <w:rsid w:val="000879D7"/>
    <w:rsid w:val="0009446B"/>
    <w:rsid w:val="00095D12"/>
    <w:rsid w:val="000A1913"/>
    <w:rsid w:val="000B3084"/>
    <w:rsid w:val="000C4905"/>
    <w:rsid w:val="000E0B0D"/>
    <w:rsid w:val="0012536C"/>
    <w:rsid w:val="00132A20"/>
    <w:rsid w:val="00164B07"/>
    <w:rsid w:val="00170D32"/>
    <w:rsid w:val="0017144A"/>
    <w:rsid w:val="00175ED7"/>
    <w:rsid w:val="00184875"/>
    <w:rsid w:val="001D5F0F"/>
    <w:rsid w:val="00200781"/>
    <w:rsid w:val="00223137"/>
    <w:rsid w:val="00226CF4"/>
    <w:rsid w:val="00243A0C"/>
    <w:rsid w:val="00247FF4"/>
    <w:rsid w:val="002C2709"/>
    <w:rsid w:val="002D1B5B"/>
    <w:rsid w:val="002D1EE0"/>
    <w:rsid w:val="002D7758"/>
    <w:rsid w:val="002D79D7"/>
    <w:rsid w:val="002E3996"/>
    <w:rsid w:val="002E6246"/>
    <w:rsid w:val="002E6EA6"/>
    <w:rsid w:val="002F5AE0"/>
    <w:rsid w:val="00304F1A"/>
    <w:rsid w:val="00312282"/>
    <w:rsid w:val="00313E4D"/>
    <w:rsid w:val="003175B5"/>
    <w:rsid w:val="00341873"/>
    <w:rsid w:val="00343D84"/>
    <w:rsid w:val="00344601"/>
    <w:rsid w:val="00380E97"/>
    <w:rsid w:val="003A07AE"/>
    <w:rsid w:val="003A35C5"/>
    <w:rsid w:val="003A6626"/>
    <w:rsid w:val="003B249A"/>
    <w:rsid w:val="003C540E"/>
    <w:rsid w:val="003E54F6"/>
    <w:rsid w:val="003E61C1"/>
    <w:rsid w:val="004120CB"/>
    <w:rsid w:val="004300A9"/>
    <w:rsid w:val="00434C1D"/>
    <w:rsid w:val="004600A0"/>
    <w:rsid w:val="004600F7"/>
    <w:rsid w:val="004712BA"/>
    <w:rsid w:val="00490CA9"/>
    <w:rsid w:val="004B2C7D"/>
    <w:rsid w:val="004B7D21"/>
    <w:rsid w:val="004D750A"/>
    <w:rsid w:val="004E3530"/>
    <w:rsid w:val="005152AB"/>
    <w:rsid w:val="00516CB9"/>
    <w:rsid w:val="0052364E"/>
    <w:rsid w:val="00556033"/>
    <w:rsid w:val="00561E8F"/>
    <w:rsid w:val="00567188"/>
    <w:rsid w:val="005803E4"/>
    <w:rsid w:val="005A25FE"/>
    <w:rsid w:val="005C3B11"/>
    <w:rsid w:val="005C4A42"/>
    <w:rsid w:val="005C6304"/>
    <w:rsid w:val="005C723D"/>
    <w:rsid w:val="005D4BBE"/>
    <w:rsid w:val="005D503F"/>
    <w:rsid w:val="006003C1"/>
    <w:rsid w:val="00630D59"/>
    <w:rsid w:val="00650BED"/>
    <w:rsid w:val="00650DEE"/>
    <w:rsid w:val="0069538A"/>
    <w:rsid w:val="00697968"/>
    <w:rsid w:val="006A58A6"/>
    <w:rsid w:val="006C0DC6"/>
    <w:rsid w:val="006D0189"/>
    <w:rsid w:val="006D2E84"/>
    <w:rsid w:val="007255BD"/>
    <w:rsid w:val="007259D2"/>
    <w:rsid w:val="00726735"/>
    <w:rsid w:val="00727AB7"/>
    <w:rsid w:val="007418AC"/>
    <w:rsid w:val="0075197E"/>
    <w:rsid w:val="007813AA"/>
    <w:rsid w:val="00784075"/>
    <w:rsid w:val="00787181"/>
    <w:rsid w:val="00791E04"/>
    <w:rsid w:val="00796271"/>
    <w:rsid w:val="007A65DA"/>
    <w:rsid w:val="007C6AE5"/>
    <w:rsid w:val="00801699"/>
    <w:rsid w:val="0080186E"/>
    <w:rsid w:val="008105BE"/>
    <w:rsid w:val="008106F2"/>
    <w:rsid w:val="00830FC8"/>
    <w:rsid w:val="00831722"/>
    <w:rsid w:val="00864618"/>
    <w:rsid w:val="0088019C"/>
    <w:rsid w:val="00880578"/>
    <w:rsid w:val="0088247F"/>
    <w:rsid w:val="008B702F"/>
    <w:rsid w:val="008C5CB7"/>
    <w:rsid w:val="008E55BA"/>
    <w:rsid w:val="008F7D64"/>
    <w:rsid w:val="00907115"/>
    <w:rsid w:val="00924982"/>
    <w:rsid w:val="00933E4B"/>
    <w:rsid w:val="009400E0"/>
    <w:rsid w:val="009421B0"/>
    <w:rsid w:val="00946034"/>
    <w:rsid w:val="009558E5"/>
    <w:rsid w:val="00990DBA"/>
    <w:rsid w:val="009A6D72"/>
    <w:rsid w:val="009B77A5"/>
    <w:rsid w:val="009D1299"/>
    <w:rsid w:val="009D1FE6"/>
    <w:rsid w:val="009E37E2"/>
    <w:rsid w:val="009E42E1"/>
    <w:rsid w:val="009E62C3"/>
    <w:rsid w:val="009F455B"/>
    <w:rsid w:val="00A12E65"/>
    <w:rsid w:val="00A511C8"/>
    <w:rsid w:val="00A51DFF"/>
    <w:rsid w:val="00A56385"/>
    <w:rsid w:val="00A56BC9"/>
    <w:rsid w:val="00A64733"/>
    <w:rsid w:val="00A65CD2"/>
    <w:rsid w:val="00A71199"/>
    <w:rsid w:val="00A72E34"/>
    <w:rsid w:val="00A8079C"/>
    <w:rsid w:val="00A84242"/>
    <w:rsid w:val="00A86B63"/>
    <w:rsid w:val="00AA1A40"/>
    <w:rsid w:val="00AA3403"/>
    <w:rsid w:val="00AB0C52"/>
    <w:rsid w:val="00AB2CFC"/>
    <w:rsid w:val="00AC4C8B"/>
    <w:rsid w:val="00B06E03"/>
    <w:rsid w:val="00B11F6B"/>
    <w:rsid w:val="00B13012"/>
    <w:rsid w:val="00B1619C"/>
    <w:rsid w:val="00B22B1D"/>
    <w:rsid w:val="00B2384F"/>
    <w:rsid w:val="00B44BF8"/>
    <w:rsid w:val="00B74A30"/>
    <w:rsid w:val="00BA63A4"/>
    <w:rsid w:val="00BB618A"/>
    <w:rsid w:val="00BC647C"/>
    <w:rsid w:val="00BD0D8B"/>
    <w:rsid w:val="00BD49EE"/>
    <w:rsid w:val="00BE1989"/>
    <w:rsid w:val="00BE3B93"/>
    <w:rsid w:val="00BE3C8F"/>
    <w:rsid w:val="00C00FD4"/>
    <w:rsid w:val="00C16C87"/>
    <w:rsid w:val="00C34AA0"/>
    <w:rsid w:val="00C515BE"/>
    <w:rsid w:val="00C5364E"/>
    <w:rsid w:val="00C67CF2"/>
    <w:rsid w:val="00C72F1A"/>
    <w:rsid w:val="00C76390"/>
    <w:rsid w:val="00C8280A"/>
    <w:rsid w:val="00C90AB0"/>
    <w:rsid w:val="00C919ED"/>
    <w:rsid w:val="00CA7C00"/>
    <w:rsid w:val="00CF46E6"/>
    <w:rsid w:val="00CF5188"/>
    <w:rsid w:val="00D10731"/>
    <w:rsid w:val="00D13C0D"/>
    <w:rsid w:val="00D271D5"/>
    <w:rsid w:val="00D54831"/>
    <w:rsid w:val="00D65424"/>
    <w:rsid w:val="00D707A8"/>
    <w:rsid w:val="00D815A4"/>
    <w:rsid w:val="00D958B1"/>
    <w:rsid w:val="00DB354F"/>
    <w:rsid w:val="00DD14DA"/>
    <w:rsid w:val="00DE191D"/>
    <w:rsid w:val="00DF22CE"/>
    <w:rsid w:val="00E06AB5"/>
    <w:rsid w:val="00E101E9"/>
    <w:rsid w:val="00E14E21"/>
    <w:rsid w:val="00E42110"/>
    <w:rsid w:val="00E54503"/>
    <w:rsid w:val="00E643B2"/>
    <w:rsid w:val="00E67EDE"/>
    <w:rsid w:val="00E73318"/>
    <w:rsid w:val="00E91330"/>
    <w:rsid w:val="00E96814"/>
    <w:rsid w:val="00EB23E6"/>
    <w:rsid w:val="00EB6B15"/>
    <w:rsid w:val="00EE4B3C"/>
    <w:rsid w:val="00EF16DC"/>
    <w:rsid w:val="00F068E3"/>
    <w:rsid w:val="00F120A1"/>
    <w:rsid w:val="00F23258"/>
    <w:rsid w:val="00F50B44"/>
    <w:rsid w:val="00F726F8"/>
    <w:rsid w:val="00F75429"/>
    <w:rsid w:val="00F76C66"/>
    <w:rsid w:val="00FA3026"/>
    <w:rsid w:val="00FA4E76"/>
    <w:rsid w:val="00FB6FD8"/>
    <w:rsid w:val="00FD67EC"/>
    <w:rsid w:val="2A45E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133E"/>
  <w15:chartTrackingRefBased/>
  <w15:docId w15:val="{7E513FFA-3385-41A2-9949-AF16A05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46"/>
    <w:pPr>
      <w:tabs>
        <w:tab w:val="center" w:pos="4153"/>
        <w:tab w:val="right" w:pos="8306"/>
      </w:tabs>
    </w:pPr>
  </w:style>
  <w:style w:type="character" w:customStyle="1" w:styleId="HeaderChar">
    <w:name w:val="Header Char"/>
    <w:basedOn w:val="DefaultParagraphFont"/>
    <w:link w:val="Header"/>
    <w:uiPriority w:val="99"/>
    <w:rsid w:val="002E6246"/>
  </w:style>
  <w:style w:type="paragraph" w:styleId="Footer">
    <w:name w:val="footer"/>
    <w:basedOn w:val="Normal"/>
    <w:link w:val="FooterChar"/>
    <w:uiPriority w:val="99"/>
    <w:unhideWhenUsed/>
    <w:rsid w:val="002E6246"/>
    <w:pPr>
      <w:tabs>
        <w:tab w:val="center" w:pos="4153"/>
        <w:tab w:val="right" w:pos="8306"/>
      </w:tabs>
    </w:pPr>
  </w:style>
  <w:style w:type="character" w:customStyle="1" w:styleId="FooterChar">
    <w:name w:val="Footer Char"/>
    <w:basedOn w:val="DefaultParagraphFont"/>
    <w:link w:val="Footer"/>
    <w:uiPriority w:val="99"/>
    <w:rsid w:val="002E6246"/>
  </w:style>
  <w:style w:type="character" w:styleId="Strong">
    <w:name w:val="Strong"/>
    <w:basedOn w:val="DefaultParagraphFont"/>
    <w:uiPriority w:val="22"/>
    <w:qFormat/>
    <w:rsid w:val="00CA7C00"/>
    <w:rPr>
      <w:b/>
      <w:bCs/>
    </w:rPr>
  </w:style>
  <w:style w:type="paragraph" w:styleId="BalloonText">
    <w:name w:val="Balloon Text"/>
    <w:basedOn w:val="Normal"/>
    <w:link w:val="BalloonTextChar"/>
    <w:uiPriority w:val="99"/>
    <w:semiHidden/>
    <w:unhideWhenUsed/>
    <w:rsid w:val="006C0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C6"/>
    <w:rPr>
      <w:rFonts w:ascii="Segoe UI" w:hAnsi="Segoe UI" w:cs="Segoe UI"/>
      <w:sz w:val="18"/>
      <w:szCs w:val="18"/>
    </w:rPr>
  </w:style>
  <w:style w:type="paragraph" w:customStyle="1" w:styleId="doc-ti">
    <w:name w:val="doc-ti"/>
    <w:basedOn w:val="Normal"/>
    <w:rsid w:val="005D4BBE"/>
    <w:pPr>
      <w:spacing w:before="240" w:after="120"/>
      <w:jc w:val="center"/>
    </w:pPr>
    <w:rPr>
      <w:rFonts w:eastAsia="Times New Roman" w:cs="Times New Roman"/>
      <w:b/>
      <w:bCs/>
      <w:szCs w:val="24"/>
      <w:lang w:eastAsia="lv-LV"/>
    </w:rPr>
  </w:style>
  <w:style w:type="paragraph" w:customStyle="1" w:styleId="naiskr">
    <w:name w:val="naiskr"/>
    <w:basedOn w:val="Normal"/>
    <w:rsid w:val="00E54503"/>
    <w:pPr>
      <w:spacing w:before="75" w:after="75"/>
    </w:pPr>
    <w:rPr>
      <w:rFonts w:eastAsia="Times New Roman" w:cs="Times New Roman"/>
      <w:szCs w:val="24"/>
      <w:lang w:eastAsia="lv-LV"/>
    </w:rPr>
  </w:style>
  <w:style w:type="paragraph" w:customStyle="1" w:styleId="Default">
    <w:name w:val="Default"/>
    <w:rsid w:val="00E54503"/>
    <w:pPr>
      <w:autoSpaceDE w:val="0"/>
      <w:autoSpaceDN w:val="0"/>
      <w:adjustRightInd w:val="0"/>
    </w:pPr>
    <w:rPr>
      <w:rFonts w:ascii="EUAlbertina" w:eastAsia="Times New Roman" w:hAnsi="EUAlbertina" w:cs="EUAlbertina"/>
      <w:color w:val="000000"/>
      <w:szCs w:val="24"/>
      <w:lang w:eastAsia="lv-LV"/>
    </w:rPr>
  </w:style>
  <w:style w:type="paragraph" w:styleId="ListParagraph">
    <w:name w:val="List Paragraph"/>
    <w:basedOn w:val="Normal"/>
    <w:uiPriority w:val="34"/>
    <w:qFormat/>
    <w:rsid w:val="00BB618A"/>
    <w:pPr>
      <w:ind w:left="720"/>
      <w:contextualSpacing/>
    </w:pPr>
  </w:style>
  <w:style w:type="character" w:styleId="Hyperlink">
    <w:name w:val="Hyperlink"/>
    <w:basedOn w:val="DefaultParagraphFont"/>
    <w:uiPriority w:val="99"/>
    <w:unhideWhenUsed/>
    <w:rsid w:val="00226CF4"/>
    <w:rPr>
      <w:color w:val="0563C1" w:themeColor="hyperlink"/>
      <w:u w:val="single"/>
    </w:rPr>
  </w:style>
  <w:style w:type="character" w:styleId="FootnoteReference">
    <w:name w:val="footnote reference"/>
    <w:aliases w:val="Footnote Reference Number,Footnote symbol,SUPERS"/>
    <w:uiPriority w:val="99"/>
    <w:unhideWhenUsed/>
    <w:rsid w:val="00312282"/>
    <w:rPr>
      <w:vertAlign w:val="superscript"/>
    </w:rPr>
  </w:style>
  <w:style w:type="character" w:styleId="Emphasis">
    <w:name w:val="Emphasis"/>
    <w:basedOn w:val="DefaultParagraphFont"/>
    <w:uiPriority w:val="20"/>
    <w:qFormat/>
    <w:rsid w:val="005C4A42"/>
    <w:rPr>
      <w:i/>
      <w:iCs/>
    </w:rPr>
  </w:style>
  <w:style w:type="character" w:styleId="CommentReference">
    <w:name w:val="annotation reference"/>
    <w:basedOn w:val="DefaultParagraphFont"/>
    <w:uiPriority w:val="99"/>
    <w:semiHidden/>
    <w:unhideWhenUsed/>
    <w:rsid w:val="00304F1A"/>
    <w:rPr>
      <w:sz w:val="16"/>
      <w:szCs w:val="16"/>
    </w:rPr>
  </w:style>
  <w:style w:type="paragraph" w:styleId="CommentText">
    <w:name w:val="annotation text"/>
    <w:basedOn w:val="Normal"/>
    <w:link w:val="CommentTextChar"/>
    <w:uiPriority w:val="99"/>
    <w:semiHidden/>
    <w:unhideWhenUsed/>
    <w:rsid w:val="00304F1A"/>
    <w:rPr>
      <w:sz w:val="20"/>
      <w:szCs w:val="20"/>
    </w:rPr>
  </w:style>
  <w:style w:type="character" w:customStyle="1" w:styleId="CommentTextChar">
    <w:name w:val="Comment Text Char"/>
    <w:basedOn w:val="DefaultParagraphFont"/>
    <w:link w:val="CommentText"/>
    <w:uiPriority w:val="99"/>
    <w:semiHidden/>
    <w:rsid w:val="00304F1A"/>
    <w:rPr>
      <w:sz w:val="20"/>
      <w:szCs w:val="20"/>
    </w:rPr>
  </w:style>
  <w:style w:type="paragraph" w:styleId="CommentSubject">
    <w:name w:val="annotation subject"/>
    <w:basedOn w:val="CommentText"/>
    <w:next w:val="CommentText"/>
    <w:link w:val="CommentSubjectChar"/>
    <w:uiPriority w:val="99"/>
    <w:semiHidden/>
    <w:unhideWhenUsed/>
    <w:rsid w:val="00304F1A"/>
    <w:rPr>
      <w:b/>
      <w:bCs/>
    </w:rPr>
  </w:style>
  <w:style w:type="character" w:customStyle="1" w:styleId="CommentSubjectChar">
    <w:name w:val="Comment Subject Char"/>
    <w:basedOn w:val="CommentTextChar"/>
    <w:link w:val="CommentSubject"/>
    <w:uiPriority w:val="99"/>
    <w:semiHidden/>
    <w:rsid w:val="00304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6415">
      <w:bodyDiv w:val="1"/>
      <w:marLeft w:val="390"/>
      <w:marRight w:val="390"/>
      <w:marTop w:val="0"/>
      <w:marBottom w:val="0"/>
      <w:divBdr>
        <w:top w:val="none" w:sz="0" w:space="0" w:color="auto"/>
        <w:left w:val="none" w:sz="0" w:space="0" w:color="auto"/>
        <w:bottom w:val="none" w:sz="0" w:space="0" w:color="auto"/>
        <w:right w:val="none" w:sz="0" w:space="0" w:color="auto"/>
      </w:divBdr>
    </w:div>
    <w:div w:id="609319992">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34D5CA8E494EBFA5370DD0F326997B"/>
        <w:category>
          <w:name w:val="General"/>
          <w:gallery w:val="placeholder"/>
        </w:category>
        <w:types>
          <w:type w:val="bbPlcHdr"/>
        </w:types>
        <w:behaviors>
          <w:behavior w:val="content"/>
        </w:behaviors>
        <w:guid w:val="{36ACCA41-5913-431F-A3D2-E1E1CDB8F7EA}"/>
      </w:docPartPr>
      <w:docPartBody>
        <w:p w:rsidR="00E16436" w:rsidRDefault="006938F3" w:rsidP="006938F3">
          <w:pPr>
            <w:pStyle w:val="9634D5CA8E494EBFA5370DD0F326997B"/>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Times New Roman,Calibri">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3"/>
    <w:rsid w:val="000F06FB"/>
    <w:rsid w:val="00231477"/>
    <w:rsid w:val="003C778F"/>
    <w:rsid w:val="006938F3"/>
    <w:rsid w:val="006E5207"/>
    <w:rsid w:val="007A7D5C"/>
    <w:rsid w:val="007E4942"/>
    <w:rsid w:val="00912070"/>
    <w:rsid w:val="00920AFA"/>
    <w:rsid w:val="00C53621"/>
    <w:rsid w:val="00D07E29"/>
    <w:rsid w:val="00E14B08"/>
    <w:rsid w:val="00E16436"/>
    <w:rsid w:val="00F05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8F3"/>
    <w:rPr>
      <w:color w:val="808080"/>
    </w:rPr>
  </w:style>
  <w:style w:type="paragraph" w:customStyle="1" w:styleId="E4F0C85C5FEA48148B7C9EEDA5322F00">
    <w:name w:val="E4F0C85C5FEA48148B7C9EEDA5322F00"/>
    <w:rsid w:val="006938F3"/>
  </w:style>
  <w:style w:type="paragraph" w:customStyle="1" w:styleId="9634D5CA8E494EBFA5370DD0F326997B">
    <w:name w:val="9634D5CA8E494EBFA5370DD0F326997B"/>
    <w:rsid w:val="00693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 Zitcere (FTPD)</Zinotajs>
    <NPK xmlns="bf0a44d4-cc3b-414c-aa68-884178465e3a">1.</NPK>
    <VK_x0020_l_x0113_mums xmlns="bf0a44d4-cc3b-414c-aa68-884178465e3a">Nav</VK_x0020_l_x0113_m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722EF7574E2F4C9F8FBFF15E48B4F1" ma:contentTypeVersion="" ma:contentTypeDescription="Izveidot jaunu dokumentu." ma:contentTypeScope="" ma:versionID="27d739214692d17992c83028e7f301b7">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99F53-BD9C-4A08-9D65-EB063C557B8E}">
  <ds:schemaRefs>
    <ds:schemaRef ds:uri="http://schemas.microsoft.com/office/2006/metadata/properties"/>
    <ds:schemaRef ds:uri="http://schemas.microsoft.com/office/infopath/2007/PartnerControls"/>
    <ds:schemaRef ds:uri="076bee50-7a25-411a-a5a6-8097026bde27"/>
    <ds:schemaRef ds:uri="bf0a44d4-cc3b-414c-aa68-884178465e3a"/>
  </ds:schemaRefs>
</ds:datastoreItem>
</file>

<file path=customXml/itemProps2.xml><?xml version="1.0" encoding="utf-8"?>
<ds:datastoreItem xmlns:ds="http://schemas.openxmlformats.org/officeDocument/2006/customXml" ds:itemID="{95AB77B1-3DAA-47B3-8803-0EDFF840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82BA5-BF2C-4DC2-857F-E2E8AABB6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3708</Words>
  <Characters>2114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Uzziņa par likumprojektu “Vērtspapīrošanas un segto obligāciju likums”</vt:lpstr>
    </vt:vector>
  </TitlesOfParts>
  <Company>Finanšu ministrija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“Vērtspapīrošanas un segto obligāciju likums”</dc:title>
  <dc:subject>Uzziņa</dc:subject>
  <dc:creator>M. Tiesnieks (FTPD)</dc:creator>
  <cp:keywords/>
  <cp:lastModifiedBy>Inguna Dancīte</cp:lastModifiedBy>
  <cp:revision>3</cp:revision>
  <cp:lastPrinted>2020-01-03T11:57:00Z</cp:lastPrinted>
  <dcterms:created xsi:type="dcterms:W3CDTF">2020-01-10T09:24:00Z</dcterms:created>
  <dcterms:modified xsi:type="dcterms:W3CDTF">2020-01-13T07:18:00Z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0x01010087722EF7574E2F4C9F8FBFF15E48B4F1</vt:lpwstr>
  </property>
</Properties>
</file>