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975" w:rsidRPr="007C7320" w:rsidRDefault="00990C1C" w:rsidP="00250975">
      <w:pPr>
        <w:jc w:val="center"/>
        <w:rPr>
          <w:b/>
          <w:spacing w:val="4"/>
          <w:szCs w:val="24"/>
        </w:rPr>
      </w:pPr>
      <w:bookmarkStart w:id="0" w:name="_GoBack"/>
      <w:bookmarkEnd w:id="0"/>
      <w:r w:rsidRPr="007C7320">
        <w:rPr>
          <w:b/>
          <w:iCs/>
          <w:szCs w:val="24"/>
          <w:lang w:eastAsia="lv-LV"/>
        </w:rPr>
        <w:t>Kārtība, kādā Finanšu ministrijā tiek nodrošināta vidēja termiņa budžeta ietvara likuma projekta un Stabilitātes programmas sagatavošana</w:t>
      </w:r>
    </w:p>
    <w:p w:rsidR="00E04F00" w:rsidRPr="003F2252" w:rsidRDefault="00E04F00" w:rsidP="007F3771">
      <w:pPr>
        <w:rPr>
          <w:szCs w:val="24"/>
        </w:rPr>
      </w:pPr>
    </w:p>
    <w:p w:rsidR="008D22AE" w:rsidRPr="005F5D84" w:rsidRDefault="008D22AE" w:rsidP="0043155C">
      <w:pPr>
        <w:framePr w:w="9083" w:h="3601" w:hRule="exact" w:hSpace="181" w:wrap="around" w:vAnchor="page" w:hAnchor="page" w:x="1701" w:y="573" w:anchorLock="1"/>
        <w:widowControl w:val="0"/>
        <w:autoSpaceDE w:val="0"/>
        <w:autoSpaceDN w:val="0"/>
        <w:adjustRightInd w:val="0"/>
        <w:ind w:left="-1800" w:firstLine="1942"/>
        <w:jc w:val="right"/>
        <w:rPr>
          <w:rFonts w:ascii="Courier" w:hAnsi="Courier"/>
          <w:szCs w:val="24"/>
          <w:lang w:val="en-CA" w:eastAsia="lv-LV"/>
        </w:rPr>
      </w:pPr>
    </w:p>
    <w:p w:rsidR="008D22AE" w:rsidRPr="005F5D84" w:rsidRDefault="008D22AE" w:rsidP="0043155C">
      <w:pPr>
        <w:framePr w:w="9083" w:h="3601" w:hRule="exact" w:hSpace="181" w:wrap="around" w:vAnchor="page" w:hAnchor="page" w:x="1701" w:y="573" w:anchorLock="1"/>
        <w:widowControl w:val="0"/>
        <w:autoSpaceDE w:val="0"/>
        <w:autoSpaceDN w:val="0"/>
        <w:adjustRightInd w:val="0"/>
        <w:ind w:left="-1800" w:firstLine="1942"/>
        <w:jc w:val="right"/>
        <w:rPr>
          <w:rFonts w:ascii="Courier" w:hAnsi="Courier"/>
          <w:szCs w:val="24"/>
          <w:lang w:val="en-CA" w:eastAsia="lv-LV"/>
        </w:rPr>
      </w:pPr>
    </w:p>
    <w:p w:rsidR="008D22AE" w:rsidRPr="005F5D84" w:rsidRDefault="008D22AE" w:rsidP="0043155C">
      <w:pPr>
        <w:framePr w:w="9083" w:h="3601" w:hRule="exact" w:hSpace="181" w:wrap="around" w:vAnchor="page" w:hAnchor="page" w:x="1701" w:y="573" w:anchorLock="1"/>
        <w:widowControl w:val="0"/>
        <w:autoSpaceDE w:val="0"/>
        <w:autoSpaceDN w:val="0"/>
        <w:adjustRightInd w:val="0"/>
        <w:ind w:left="-1800" w:firstLine="1942"/>
        <w:jc w:val="center"/>
        <w:rPr>
          <w:rFonts w:ascii="Courier" w:hAnsi="Courier"/>
          <w:szCs w:val="24"/>
          <w:lang w:val="en-CA" w:eastAsia="lv-LV"/>
        </w:rPr>
      </w:pPr>
    </w:p>
    <w:p w:rsidR="008D22AE" w:rsidRPr="005F5D84" w:rsidRDefault="008D22AE" w:rsidP="0043155C">
      <w:pPr>
        <w:framePr w:w="9083" w:h="3601" w:hRule="exact" w:hSpace="181" w:wrap="around" w:vAnchor="page" w:hAnchor="page" w:x="1701" w:y="573" w:anchorLock="1"/>
        <w:widowControl w:val="0"/>
        <w:autoSpaceDE w:val="0"/>
        <w:autoSpaceDN w:val="0"/>
        <w:adjustRightInd w:val="0"/>
        <w:ind w:left="-1800" w:firstLine="1942"/>
        <w:jc w:val="center"/>
        <w:rPr>
          <w:rFonts w:ascii="Courier" w:hAnsi="Courier"/>
          <w:szCs w:val="24"/>
          <w:lang w:val="en-CA" w:eastAsia="lv-LV"/>
        </w:rPr>
      </w:pPr>
    </w:p>
    <w:p w:rsidR="008D22AE" w:rsidRPr="005F5D84" w:rsidRDefault="008D22AE" w:rsidP="0043155C">
      <w:pPr>
        <w:framePr w:w="9083" w:h="3601" w:hRule="exact" w:hSpace="181" w:wrap="around" w:vAnchor="page" w:hAnchor="page" w:x="1701" w:y="573" w:anchorLock="1"/>
        <w:widowControl w:val="0"/>
        <w:autoSpaceDE w:val="0"/>
        <w:autoSpaceDN w:val="0"/>
        <w:adjustRightInd w:val="0"/>
        <w:jc w:val="center"/>
        <w:rPr>
          <w:rFonts w:ascii="Minion Pro" w:hAnsi="Minion Pro" w:cs="Minion Pro"/>
          <w:szCs w:val="24"/>
          <w:lang w:eastAsia="lv-LV"/>
        </w:rPr>
      </w:pPr>
      <w:r w:rsidRPr="005F5D84">
        <w:rPr>
          <w:rFonts w:ascii="Minion Pro" w:hAnsi="Minion Pro" w:cs="Minion Pro"/>
          <w:szCs w:val="24"/>
          <w:lang w:eastAsia="lv-LV"/>
        </w:rPr>
        <w:t>LATVIJAS REPUBLIKAS FINANŠU MINISTRIJA</w:t>
      </w:r>
    </w:p>
    <w:p w:rsidR="000778F0" w:rsidRDefault="00693FB4" w:rsidP="0043155C">
      <w:pPr>
        <w:framePr w:w="9083" w:h="3601" w:hRule="exact" w:hSpace="181" w:wrap="around" w:vAnchor="page" w:hAnchor="page" w:x="1701" w:y="573" w:anchorLock="1"/>
        <w:widowControl w:val="0"/>
        <w:autoSpaceDE w:val="0"/>
        <w:autoSpaceDN w:val="0"/>
        <w:adjustRightInd w:val="0"/>
        <w:spacing w:before="180"/>
        <w:rPr>
          <w:sz w:val="20"/>
        </w:rPr>
      </w:pPr>
      <w:r>
        <w:rPr>
          <w:rFonts w:ascii="Courier" w:hAnsi="Courier"/>
          <w:noProof/>
          <w:sz w:val="20"/>
          <w:lang w:eastAsia="lv-LV"/>
        </w:rPr>
        <mc:AlternateContent>
          <mc:Choice Requires="wps">
            <w:drawing>
              <wp:anchor distT="4294967295" distB="4294967295" distL="114300" distR="114300" simplePos="0" relativeHeight="251661312" behindDoc="0" locked="0" layoutInCell="1" allowOverlap="1">
                <wp:simplePos x="0" y="0"/>
                <wp:positionH relativeFrom="column">
                  <wp:posOffset>111760</wp:posOffset>
                </wp:positionH>
                <wp:positionV relativeFrom="paragraph">
                  <wp:posOffset>22859</wp:posOffset>
                </wp:positionV>
                <wp:extent cx="5400040" cy="0"/>
                <wp:effectExtent l="0" t="0" r="292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09076B" id="_x0000_t32" coordsize="21600,21600" o:spt="32" o:oned="t" path="m,l21600,21600e" filled="f">
                <v:path arrowok="t" fillok="f" o:connecttype="none"/>
                <o:lock v:ext="edit" shapetype="t"/>
              </v:shapetype>
              <v:shape id="Straight Arrow Connector 2" o:spid="_x0000_s1026" type="#_x0000_t32" style="position:absolute;margin-left:8.8pt;margin-top:1.8pt;width:425.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"/>
            </w:pict>
          </mc:Fallback>
        </mc:AlternateContent>
      </w:r>
    </w:p>
    <w:p w:rsidR="000778F0" w:rsidRDefault="000778F0" w:rsidP="0043155C">
      <w:pPr>
        <w:framePr w:w="9083" w:h="3601" w:hRule="exact" w:hSpace="181" w:wrap="around" w:vAnchor="page" w:hAnchor="page" w:x="1701" w:y="573" w:anchorLock="1"/>
        <w:rPr>
          <w:sz w:val="20"/>
        </w:rPr>
      </w:pPr>
    </w:p>
    <w:p w:rsidR="000778F0" w:rsidRPr="00406D87" w:rsidRDefault="0043155C" w:rsidP="0043155C">
      <w:pPr>
        <w:framePr w:w="9083" w:h="3601" w:hRule="exact" w:hSpace="181" w:wrap="around" w:vAnchor="page" w:hAnchor="page" w:x="1701" w:y="573" w:anchorLock="1"/>
        <w:jc w:val="center"/>
        <w:rPr>
          <w:spacing w:val="120"/>
          <w:sz w:val="20"/>
        </w:rPr>
      </w:pPr>
      <w:r w:rsidRPr="00406D87">
        <w:rPr>
          <w:spacing w:val="120"/>
          <w:sz w:val="20"/>
        </w:rPr>
        <w:t>IEKŠĒJIE NOTEIKUMI</w:t>
      </w:r>
    </w:p>
    <w:p w:rsidR="0043155C" w:rsidRDefault="0043155C" w:rsidP="0043155C">
      <w:pPr>
        <w:framePr w:w="9083" w:h="3601" w:hRule="exact" w:hSpace="181" w:wrap="around" w:vAnchor="page" w:hAnchor="page" w:x="1701" w:y="573" w:anchorLock="1"/>
        <w:jc w:val="center"/>
        <w:rPr>
          <w:sz w:val="16"/>
        </w:rPr>
      </w:pPr>
    </w:p>
    <w:p w:rsidR="00406D87" w:rsidRDefault="00406D87" w:rsidP="00406D87">
      <w:pPr>
        <w:framePr w:w="9083" w:h="3601" w:hRule="exact" w:hSpace="181" w:wrap="around" w:vAnchor="page" w:hAnchor="page" w:x="1701" w:y="573" w:anchorLock="1"/>
        <w:jc w:val="center"/>
        <w:rPr>
          <w:sz w:val="20"/>
        </w:rPr>
      </w:pPr>
      <w:r w:rsidRPr="00914649">
        <w:rPr>
          <w:sz w:val="20"/>
        </w:rPr>
        <w:t>Rīgā</w:t>
      </w:r>
    </w:p>
    <w:p w:rsidR="008D22AE" w:rsidRPr="006B33CB" w:rsidRDefault="008D22AE" w:rsidP="0043155C">
      <w:pPr>
        <w:framePr w:w="9083" w:h="3601" w:hRule="exact" w:hSpace="181" w:wrap="around" w:vAnchor="page" w:hAnchor="page" w:x="1701" w:y="573" w:anchorLock="1"/>
        <w:rPr>
          <w:sz w:val="20"/>
        </w:rPr>
      </w:pPr>
    </w:p>
    <w:tbl>
      <w:tblPr>
        <w:tblW w:w="9180" w:type="dxa"/>
        <w:tblLook w:val="0000" w:firstRow="0" w:lastRow="0" w:firstColumn="0" w:lastColumn="0" w:noHBand="0" w:noVBand="0"/>
      </w:tblPr>
      <w:tblGrid>
        <w:gridCol w:w="450"/>
        <w:gridCol w:w="1785"/>
        <w:gridCol w:w="4819"/>
        <w:gridCol w:w="2126"/>
      </w:tblGrid>
      <w:tr w:rsidR="008D22AE" w:rsidRPr="002A20A3" w:rsidTr="000778F0">
        <w:tc>
          <w:tcPr>
            <w:tcW w:w="450" w:type="dxa"/>
            <w:tcBorders>
              <w:top w:val="nil"/>
              <w:left w:val="nil"/>
              <w:bottom w:val="nil"/>
              <w:right w:val="nil"/>
            </w:tcBorders>
          </w:tcPr>
          <w:p w:rsidR="008D22AE" w:rsidRPr="002A20A3" w:rsidRDefault="008D22AE" w:rsidP="0043155C">
            <w:pPr>
              <w:framePr w:w="9083" w:h="3601" w:hRule="exact" w:hSpace="181" w:wrap="around" w:vAnchor="page" w:hAnchor="page" w:x="1701" w:y="573" w:anchorLock="1"/>
              <w:tabs>
                <w:tab w:val="left" w:pos="360"/>
                <w:tab w:val="left" w:pos="3960"/>
              </w:tabs>
              <w:rPr>
                <w:sz w:val="20"/>
              </w:rPr>
            </w:pPr>
          </w:p>
        </w:tc>
        <w:bookmarkStart w:id="1" w:name="reg_dat"/>
        <w:tc>
          <w:tcPr>
            <w:tcW w:w="1785" w:type="dxa"/>
            <w:tcBorders>
              <w:top w:val="nil"/>
              <w:left w:val="nil"/>
              <w:bottom w:val="single" w:sz="4" w:space="0" w:color="auto"/>
              <w:right w:val="nil"/>
            </w:tcBorders>
          </w:tcPr>
          <w:p w:rsidR="008D22AE" w:rsidRPr="002A20A3" w:rsidRDefault="000661F9" w:rsidP="0043155C">
            <w:pPr>
              <w:framePr w:w="9083" w:h="3601" w:hRule="exact" w:hSpace="181" w:wrap="around" w:vAnchor="page" w:hAnchor="page" w:x="1701" w:y="573" w:anchorLock="1"/>
              <w:tabs>
                <w:tab w:val="left" w:pos="3960"/>
              </w:tabs>
              <w:rPr>
                <w:szCs w:val="24"/>
              </w:rPr>
            </w:pPr>
            <w:r>
              <w:rPr>
                <w:szCs w:val="24"/>
              </w:rPr>
              <w:fldChar w:fldCharType="begin">
                <w:ffData>
                  <w:name w:val="reg_dat"/>
                  <w:enabled/>
                  <w:calcOnExit w:val="0"/>
                  <w:textInput>
                    <w:default w:val="                      "/>
                  </w:textInput>
                </w:ffData>
              </w:fldChar>
            </w:r>
            <w:r w:rsidR="008D22AE">
              <w:rPr>
                <w:szCs w:val="24"/>
              </w:rPr>
              <w:instrText xml:space="preserve"> FORMTEXT </w:instrText>
            </w:r>
            <w:r w:rsidR="00EA6E70">
              <w:rPr>
                <w:szCs w:val="24"/>
              </w:rPr>
            </w:r>
            <w:r>
              <w:rPr>
                <w:szCs w:val="24"/>
              </w:rPr>
              <w:fldChar w:fldCharType="separate"/>
            </w:r>
            <w:r w:rsidR="00EA6E70">
              <w:rPr>
                <w:szCs w:val="24"/>
              </w:rPr>
              <w:t>18.06.2018</w:t>
            </w:r>
            <w:r>
              <w:rPr>
                <w:szCs w:val="24"/>
              </w:rPr>
              <w:fldChar w:fldCharType="end"/>
            </w:r>
            <w:bookmarkEnd w:id="1"/>
          </w:p>
        </w:tc>
        <w:tc>
          <w:tcPr>
            <w:tcW w:w="4819" w:type="dxa"/>
            <w:tcBorders>
              <w:top w:val="nil"/>
              <w:left w:val="nil"/>
              <w:bottom w:val="nil"/>
              <w:right w:val="nil"/>
            </w:tcBorders>
          </w:tcPr>
          <w:p w:rsidR="008D22AE" w:rsidRPr="002A20A3" w:rsidRDefault="008D22AE" w:rsidP="0043155C">
            <w:pPr>
              <w:framePr w:w="9083" w:h="3601" w:hRule="exact" w:hSpace="181" w:wrap="around" w:vAnchor="page" w:hAnchor="page" w:x="1701" w:y="573" w:anchorLock="1"/>
              <w:tabs>
                <w:tab w:val="left" w:pos="360"/>
                <w:tab w:val="left" w:pos="3960"/>
              </w:tabs>
              <w:jc w:val="right"/>
              <w:rPr>
                <w:sz w:val="20"/>
              </w:rPr>
            </w:pPr>
            <w:r w:rsidRPr="002A20A3">
              <w:rPr>
                <w:sz w:val="20"/>
              </w:rPr>
              <w:t>Nr.</w:t>
            </w:r>
          </w:p>
        </w:tc>
        <w:bookmarkStart w:id="2" w:name="lietas_nr"/>
        <w:tc>
          <w:tcPr>
            <w:tcW w:w="2126" w:type="dxa"/>
            <w:tcBorders>
              <w:top w:val="nil"/>
              <w:left w:val="nil"/>
              <w:bottom w:val="single" w:sz="4" w:space="0" w:color="auto"/>
              <w:right w:val="nil"/>
            </w:tcBorders>
          </w:tcPr>
          <w:p w:rsidR="008D22AE" w:rsidRPr="002A20A3" w:rsidRDefault="000661F9" w:rsidP="0043155C">
            <w:pPr>
              <w:framePr w:w="9083" w:h="3601" w:hRule="exact" w:hSpace="181" w:wrap="around" w:vAnchor="page" w:hAnchor="page" w:x="1701" w:y="573" w:anchorLock="1"/>
              <w:tabs>
                <w:tab w:val="left" w:pos="360"/>
                <w:tab w:val="left" w:pos="3960"/>
              </w:tabs>
              <w:rPr>
                <w:szCs w:val="24"/>
              </w:rPr>
            </w:pPr>
            <w:r>
              <w:rPr>
                <w:szCs w:val="24"/>
              </w:rPr>
              <w:fldChar w:fldCharType="begin">
                <w:ffData>
                  <w:name w:val="lietas_nr"/>
                  <w:enabled/>
                  <w:calcOnExit w:val="0"/>
                  <w:textInput>
                    <w:default w:val="                "/>
                  </w:textInput>
                </w:ffData>
              </w:fldChar>
            </w:r>
            <w:r w:rsidR="008D22AE">
              <w:rPr>
                <w:szCs w:val="24"/>
              </w:rPr>
              <w:instrText xml:space="preserve"> FORMTEXT </w:instrText>
            </w:r>
            <w:r>
              <w:rPr>
                <w:szCs w:val="24"/>
              </w:rPr>
            </w:r>
            <w:r>
              <w:rPr>
                <w:szCs w:val="24"/>
              </w:rPr>
              <w:fldChar w:fldCharType="separate"/>
            </w:r>
            <w:r w:rsidR="00990C1C">
              <w:rPr>
                <w:szCs w:val="24"/>
              </w:rPr>
              <w:t>12-5</w:t>
            </w:r>
            <w:r>
              <w:rPr>
                <w:szCs w:val="24"/>
              </w:rPr>
              <w:fldChar w:fldCharType="end"/>
            </w:r>
            <w:bookmarkEnd w:id="2"/>
            <w:r w:rsidR="008D22AE" w:rsidRPr="002A20A3">
              <w:rPr>
                <w:szCs w:val="24"/>
              </w:rPr>
              <w:t>/</w:t>
            </w:r>
            <w:bookmarkStart w:id="3" w:name="reg_num"/>
            <w:r>
              <w:rPr>
                <w:szCs w:val="24"/>
              </w:rPr>
              <w:fldChar w:fldCharType="begin">
                <w:ffData>
                  <w:name w:val="reg_num"/>
                  <w:enabled/>
                  <w:calcOnExit w:val="0"/>
                  <w:textInput>
                    <w:default w:val="            "/>
                  </w:textInput>
                </w:ffData>
              </w:fldChar>
            </w:r>
            <w:r w:rsidR="008D22AE">
              <w:rPr>
                <w:szCs w:val="24"/>
              </w:rPr>
              <w:instrText xml:space="preserve"> FORMTEXT </w:instrText>
            </w:r>
            <w:r w:rsidR="00EA6E70">
              <w:rPr>
                <w:szCs w:val="24"/>
              </w:rPr>
            </w:r>
            <w:r>
              <w:rPr>
                <w:szCs w:val="24"/>
              </w:rPr>
              <w:fldChar w:fldCharType="separate"/>
            </w:r>
            <w:r w:rsidR="00EA6E70">
              <w:rPr>
                <w:szCs w:val="24"/>
              </w:rPr>
              <w:t>18</w:t>
            </w:r>
            <w:r>
              <w:rPr>
                <w:szCs w:val="24"/>
              </w:rPr>
              <w:fldChar w:fldCharType="end"/>
            </w:r>
            <w:bookmarkEnd w:id="3"/>
          </w:p>
        </w:tc>
      </w:tr>
      <w:tr w:rsidR="008D22AE" w:rsidRPr="002A20A3" w:rsidTr="000778F0">
        <w:trPr>
          <w:trHeight w:val="188"/>
        </w:trPr>
        <w:tc>
          <w:tcPr>
            <w:tcW w:w="450" w:type="dxa"/>
            <w:tcBorders>
              <w:top w:val="nil"/>
              <w:left w:val="nil"/>
              <w:bottom w:val="nil"/>
              <w:right w:val="nil"/>
            </w:tcBorders>
          </w:tcPr>
          <w:p w:rsidR="008D22AE" w:rsidRPr="002A20A3" w:rsidRDefault="008D22AE" w:rsidP="0043155C">
            <w:pPr>
              <w:framePr w:w="9083" w:h="3601" w:hRule="exact" w:hSpace="181" w:wrap="around" w:vAnchor="page" w:hAnchor="page" w:x="1701" w:y="573" w:anchorLock="1"/>
              <w:tabs>
                <w:tab w:val="left" w:pos="360"/>
                <w:tab w:val="left" w:pos="3960"/>
              </w:tabs>
              <w:rPr>
                <w:sz w:val="20"/>
              </w:rPr>
            </w:pPr>
          </w:p>
        </w:tc>
        <w:tc>
          <w:tcPr>
            <w:tcW w:w="1785" w:type="dxa"/>
            <w:tcBorders>
              <w:top w:val="single" w:sz="4" w:space="0" w:color="auto"/>
              <w:left w:val="nil"/>
              <w:bottom w:val="nil"/>
              <w:right w:val="nil"/>
            </w:tcBorders>
          </w:tcPr>
          <w:p w:rsidR="008D22AE" w:rsidRPr="002A20A3" w:rsidRDefault="008D22AE" w:rsidP="0043155C">
            <w:pPr>
              <w:framePr w:w="9083" w:h="3601" w:hRule="exact" w:hSpace="181" w:wrap="around" w:vAnchor="page" w:hAnchor="page" w:x="1701" w:y="573" w:anchorLock="1"/>
              <w:tabs>
                <w:tab w:val="left" w:pos="360"/>
                <w:tab w:val="left" w:pos="3960"/>
              </w:tabs>
              <w:rPr>
                <w:sz w:val="20"/>
              </w:rPr>
            </w:pPr>
          </w:p>
        </w:tc>
        <w:tc>
          <w:tcPr>
            <w:tcW w:w="4819" w:type="dxa"/>
            <w:tcBorders>
              <w:top w:val="nil"/>
              <w:left w:val="nil"/>
              <w:bottom w:val="nil"/>
              <w:right w:val="nil"/>
            </w:tcBorders>
          </w:tcPr>
          <w:p w:rsidR="008D22AE" w:rsidRPr="002A20A3" w:rsidRDefault="008D22AE" w:rsidP="0043155C">
            <w:pPr>
              <w:framePr w:w="9083" w:h="3601" w:hRule="exact" w:hSpace="181" w:wrap="around" w:vAnchor="page" w:hAnchor="page" w:x="1701" w:y="573" w:anchorLock="1"/>
              <w:tabs>
                <w:tab w:val="left" w:pos="360"/>
                <w:tab w:val="left" w:pos="3960"/>
              </w:tabs>
              <w:jc w:val="center"/>
              <w:rPr>
                <w:sz w:val="20"/>
              </w:rPr>
            </w:pPr>
          </w:p>
        </w:tc>
        <w:tc>
          <w:tcPr>
            <w:tcW w:w="2126" w:type="dxa"/>
            <w:tcBorders>
              <w:top w:val="single" w:sz="4" w:space="0" w:color="auto"/>
              <w:left w:val="nil"/>
              <w:bottom w:val="nil"/>
              <w:right w:val="nil"/>
            </w:tcBorders>
          </w:tcPr>
          <w:p w:rsidR="008D22AE" w:rsidRPr="002A20A3" w:rsidRDefault="008D22AE" w:rsidP="0043155C">
            <w:pPr>
              <w:framePr w:w="9083" w:h="3601" w:hRule="exact" w:hSpace="181" w:wrap="around" w:vAnchor="page" w:hAnchor="page" w:x="1701" w:y="573" w:anchorLock="1"/>
              <w:tabs>
                <w:tab w:val="left" w:pos="360"/>
                <w:tab w:val="left" w:pos="3960"/>
              </w:tabs>
              <w:rPr>
                <w:sz w:val="20"/>
              </w:rPr>
            </w:pPr>
          </w:p>
        </w:tc>
      </w:tr>
    </w:tbl>
    <w:p w:rsidR="008D22AE" w:rsidRDefault="008D22AE" w:rsidP="0043155C">
      <w:pPr>
        <w:framePr w:w="9083" w:h="3601" w:hRule="exact" w:hSpace="181" w:wrap="around" w:vAnchor="page" w:hAnchor="page" w:x="1701" w:y="573" w:anchorLock="1"/>
        <w:tabs>
          <w:tab w:val="left" w:pos="4820"/>
        </w:tabs>
        <w:rPr>
          <w:sz w:val="20"/>
        </w:rPr>
      </w:pPr>
    </w:p>
    <w:p w:rsidR="007C7320" w:rsidRPr="00D377F3" w:rsidRDefault="007C7320" w:rsidP="007C7320">
      <w:pPr>
        <w:pStyle w:val="ListParagraph"/>
        <w:tabs>
          <w:tab w:val="left" w:pos="1134"/>
        </w:tabs>
        <w:spacing w:line="276" w:lineRule="auto"/>
        <w:ind w:left="360"/>
        <w:jc w:val="right"/>
        <w:rPr>
          <w:rFonts w:ascii="Times New Roman" w:hAnsi="Times New Roman" w:cs="Times New Roman"/>
          <w:color w:val="000000" w:themeColor="text1"/>
          <w:sz w:val="20"/>
          <w:szCs w:val="24"/>
        </w:rPr>
      </w:pPr>
      <w:r w:rsidRPr="00D377F3">
        <w:rPr>
          <w:rFonts w:ascii="Times New Roman" w:hAnsi="Times New Roman" w:cs="Times New Roman"/>
          <w:color w:val="000000" w:themeColor="text1"/>
          <w:sz w:val="20"/>
          <w:szCs w:val="24"/>
        </w:rPr>
        <w:t>Izdoti saskaņā ar</w:t>
      </w:r>
    </w:p>
    <w:p w:rsidR="007C7320" w:rsidRPr="00D377F3" w:rsidRDefault="007C7320" w:rsidP="007C7320">
      <w:pPr>
        <w:pStyle w:val="ListParagraph"/>
        <w:tabs>
          <w:tab w:val="left" w:pos="1134"/>
        </w:tabs>
        <w:spacing w:line="276" w:lineRule="auto"/>
        <w:ind w:left="360"/>
        <w:jc w:val="right"/>
        <w:rPr>
          <w:rFonts w:ascii="Times New Roman" w:hAnsi="Times New Roman" w:cs="Times New Roman"/>
          <w:color w:val="000000" w:themeColor="text1"/>
          <w:sz w:val="20"/>
          <w:szCs w:val="24"/>
        </w:rPr>
      </w:pPr>
      <w:r w:rsidRPr="00D377F3">
        <w:rPr>
          <w:rFonts w:ascii="Times New Roman" w:hAnsi="Times New Roman" w:cs="Times New Roman"/>
          <w:color w:val="000000" w:themeColor="text1"/>
          <w:sz w:val="20"/>
          <w:szCs w:val="24"/>
        </w:rPr>
        <w:t>Valsts pārvaldes iekārtas likuma</w:t>
      </w:r>
    </w:p>
    <w:p w:rsidR="007C7320" w:rsidRPr="00D377F3" w:rsidRDefault="007C7320" w:rsidP="007C7320">
      <w:pPr>
        <w:pStyle w:val="ListParagraph"/>
        <w:tabs>
          <w:tab w:val="left" w:pos="1134"/>
        </w:tabs>
        <w:spacing w:line="276" w:lineRule="auto"/>
        <w:ind w:left="360"/>
        <w:jc w:val="right"/>
        <w:rPr>
          <w:rFonts w:ascii="Times New Roman" w:hAnsi="Times New Roman" w:cs="Times New Roman"/>
          <w:color w:val="000000" w:themeColor="text1"/>
          <w:sz w:val="20"/>
          <w:szCs w:val="24"/>
        </w:rPr>
      </w:pPr>
      <w:r w:rsidRPr="00D377F3">
        <w:rPr>
          <w:rFonts w:ascii="Times New Roman" w:hAnsi="Times New Roman" w:cs="Times New Roman"/>
          <w:color w:val="000000" w:themeColor="text1"/>
          <w:sz w:val="20"/>
          <w:szCs w:val="24"/>
        </w:rPr>
        <w:t>72.panta pirmās daļas 2.punktu</w:t>
      </w:r>
    </w:p>
    <w:p w:rsidR="007C7320" w:rsidRPr="0071341C" w:rsidRDefault="007C7320" w:rsidP="007C7320">
      <w:pPr>
        <w:tabs>
          <w:tab w:val="left" w:pos="1134"/>
        </w:tabs>
        <w:spacing w:line="0" w:lineRule="atLeast"/>
        <w:ind w:firstLine="720"/>
        <w:jc w:val="right"/>
        <w:rPr>
          <w:sz w:val="20"/>
          <w:szCs w:val="24"/>
        </w:rPr>
      </w:pPr>
    </w:p>
    <w:p w:rsidR="007C7320" w:rsidRPr="003543E1" w:rsidRDefault="007C7320" w:rsidP="007C7320">
      <w:pPr>
        <w:pStyle w:val="ListParagraph"/>
        <w:numPr>
          <w:ilvl w:val="0"/>
          <w:numId w:val="1"/>
        </w:numPr>
        <w:tabs>
          <w:tab w:val="left" w:pos="1134"/>
        </w:tabs>
        <w:spacing w:line="0" w:lineRule="atLeast"/>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 xml:space="preserve">Iekšējie noteikumi (turpmāk – noteikumi) nosaka kārtību, kādā Finanšu ministrija nodrošina vidēja termiņa budžeta ietvara likuma projekta sagatavošanu, ievērojot Likuma par budžetu un finanšu vadību, Fiskālās disciplīnas likuma un Padomes Direktīvas 2011/85/ES (2011. gada 8. novembris) par prasībām dalībvalstu budžeta struktūrām (turpmāk – Direktīva) prasības, un Stabilitātes programmas sagatavošanu, ņemot vērā Stabilitātes un izaugsmes paktā un tajā ietilpstošo Eiropas Savienības regulu prasības, kā arī tā ieviešanas vadlīnijas. </w:t>
      </w:r>
    </w:p>
    <w:p w:rsidR="007C7320" w:rsidRPr="003543E1" w:rsidRDefault="007C7320" w:rsidP="007C7320">
      <w:pPr>
        <w:pStyle w:val="ListParagraph"/>
        <w:numPr>
          <w:ilvl w:val="0"/>
          <w:numId w:val="1"/>
        </w:numPr>
        <w:tabs>
          <w:tab w:val="left" w:pos="1134"/>
        </w:tabs>
        <w:spacing w:line="0" w:lineRule="atLeast"/>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 xml:space="preserve">Vidēja termiņa budžeta ietvara likuma un tā paskaidrojumu projekta izstrādi īsteno saskaņā ar pielikumu Nr. 1 “Vidēja termiņa budžeta ietvara likuma projekta un tā paskaidrojumos ietveramie jautājumi un atbildīgie” (turpmāk – pielikums Nr.1.). </w:t>
      </w:r>
    </w:p>
    <w:p w:rsidR="007C7320" w:rsidRPr="003543E1" w:rsidRDefault="007C7320" w:rsidP="007C7320">
      <w:pPr>
        <w:pStyle w:val="ListParagraph"/>
        <w:numPr>
          <w:ilvl w:val="0"/>
          <w:numId w:val="1"/>
        </w:numPr>
        <w:tabs>
          <w:tab w:val="left" w:pos="1134"/>
        </w:tabs>
        <w:spacing w:line="0" w:lineRule="atLeast"/>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Iesaistītās struktūrvienības izstrādā Vidēja termiņa budžeta ietvara likuma pantus un tā paskaidrojumu projekta attiecīgās sadaļas atbilstoši kompetencei saskaņā ar pielikumu Nr.1. un saskaņā ar Direktīvas 4. panta 1. punktu.</w:t>
      </w:r>
    </w:p>
    <w:p w:rsidR="007C7320" w:rsidRDefault="007C7320" w:rsidP="007C7320">
      <w:pPr>
        <w:pStyle w:val="ListParagraph"/>
        <w:numPr>
          <w:ilvl w:val="0"/>
          <w:numId w:val="1"/>
        </w:numPr>
        <w:tabs>
          <w:tab w:val="left" w:pos="1134"/>
        </w:tabs>
        <w:spacing w:line="0" w:lineRule="atLeast"/>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Tautsaimniecības analīzes departaments (turpmāk – TAD) izstrādā Vidēja termiņa budžeta ietvara likuma paskaidrojumus un tajā ietver informāciju par makroekonomikas un budžeta prognožu salīdzinājumu ar visaktuālākajām Eiropas Komisijas prognozēm un attiecīgā gadījumā citu neatkarīgu institūciju pr</w:t>
      </w:r>
      <w:r>
        <w:rPr>
          <w:rFonts w:ascii="Times New Roman" w:hAnsi="Times New Roman" w:cs="Times New Roman"/>
          <w:color w:val="000000" w:themeColor="text1"/>
          <w:sz w:val="24"/>
          <w:szCs w:val="24"/>
        </w:rPr>
        <w:t>ognozēm.</w:t>
      </w:r>
    </w:p>
    <w:p w:rsidR="007C7320" w:rsidRPr="003543E1" w:rsidRDefault="007C7320" w:rsidP="007C7320">
      <w:pPr>
        <w:pStyle w:val="ListParagraph"/>
        <w:numPr>
          <w:ilvl w:val="0"/>
          <w:numId w:val="1"/>
        </w:numPr>
        <w:tabs>
          <w:tab w:val="left" w:pos="1134"/>
        </w:tabs>
        <w:spacing w:line="0" w:lineRule="atLeast"/>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TAD</w:t>
      </w:r>
      <w:r w:rsidRPr="003543E1">
        <w:rPr>
          <w:rFonts w:ascii="Times New Roman" w:hAnsi="Times New Roman" w:cs="Times New Roman"/>
          <w:color w:val="000000" w:themeColor="text1"/>
          <w:sz w:val="24"/>
          <w:szCs w:val="24"/>
        </w:rPr>
        <w:t xml:space="preserve"> nozīmīgas atšķirības starp izvēlēto makrofiskālo scenāriju un Eiropas Komisijas prognozi izklāsta Vidēja termiņa budžeta ietvara likuma paskaidrojumos, norādot pamatojumu, jo īpaši tad, ja mainīgo lielumu pieauguma līmenis ārējos pieņēmumos būtiski atšķiras no Eiropas Komisijas prognozēs ietvertajām vērtībām.</w:t>
      </w:r>
    </w:p>
    <w:p w:rsidR="007C7320" w:rsidRPr="003543E1" w:rsidRDefault="007C7320" w:rsidP="007C7320">
      <w:pPr>
        <w:pStyle w:val="ListParagraph"/>
        <w:numPr>
          <w:ilvl w:val="0"/>
          <w:numId w:val="1"/>
        </w:numPr>
        <w:tabs>
          <w:tab w:val="left" w:pos="1134"/>
        </w:tabs>
        <w:spacing w:line="0" w:lineRule="atLeast"/>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Šo noteikumu 4.</w:t>
      </w:r>
      <w:r>
        <w:rPr>
          <w:rFonts w:ascii="Times New Roman" w:hAnsi="Times New Roman" w:cs="Times New Roman"/>
          <w:color w:val="000000" w:themeColor="text1"/>
          <w:sz w:val="24"/>
          <w:szCs w:val="24"/>
        </w:rPr>
        <w:t xml:space="preserve"> un 5. </w:t>
      </w:r>
      <w:r w:rsidRPr="003543E1">
        <w:rPr>
          <w:rFonts w:ascii="Times New Roman" w:hAnsi="Times New Roman" w:cs="Times New Roman"/>
          <w:color w:val="000000" w:themeColor="text1"/>
          <w:sz w:val="24"/>
          <w:szCs w:val="24"/>
        </w:rPr>
        <w:t>punktā minētās prasības piemēro arī sagatavojot gadskārtējā valsts budžeta likuma projekta paskaidrojumu</w:t>
      </w:r>
      <w:r>
        <w:rPr>
          <w:rFonts w:ascii="Times New Roman" w:hAnsi="Times New Roman" w:cs="Times New Roman"/>
          <w:color w:val="000000" w:themeColor="text1"/>
          <w:sz w:val="24"/>
          <w:szCs w:val="24"/>
        </w:rPr>
        <w:t>s</w:t>
      </w:r>
      <w:r w:rsidRPr="003543E1">
        <w:rPr>
          <w:rFonts w:ascii="Times New Roman" w:hAnsi="Times New Roman" w:cs="Times New Roman"/>
          <w:color w:val="000000" w:themeColor="text1"/>
          <w:sz w:val="24"/>
          <w:szCs w:val="24"/>
        </w:rPr>
        <w:t xml:space="preserve">, ja Vidēja termiņa budžeta ietvara likuma projekts tiek sagatavots un iesniegts Saeimai </w:t>
      </w:r>
      <w:r>
        <w:rPr>
          <w:rFonts w:ascii="Times New Roman" w:hAnsi="Times New Roman" w:cs="Times New Roman"/>
          <w:color w:val="000000" w:themeColor="text1"/>
          <w:sz w:val="24"/>
          <w:szCs w:val="24"/>
        </w:rPr>
        <w:t>atsevišķi no valsts budžeta likuma projekta</w:t>
      </w:r>
      <w:r w:rsidRPr="003543E1">
        <w:rPr>
          <w:rFonts w:ascii="Times New Roman" w:hAnsi="Times New Roman" w:cs="Times New Roman"/>
          <w:color w:val="000000" w:themeColor="text1"/>
          <w:sz w:val="24"/>
          <w:szCs w:val="24"/>
        </w:rPr>
        <w:t>.</w:t>
      </w:r>
    </w:p>
    <w:p w:rsidR="007C7320" w:rsidRDefault="007C7320" w:rsidP="007C7320">
      <w:pPr>
        <w:pStyle w:val="ListParagraph"/>
        <w:numPr>
          <w:ilvl w:val="0"/>
          <w:numId w:val="1"/>
        </w:numPr>
        <w:tabs>
          <w:tab w:val="left" w:pos="1134"/>
        </w:tabs>
        <w:spacing w:line="0" w:lineRule="atLeast"/>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Iesaistītās struktūrvienības</w:t>
      </w:r>
      <w:r>
        <w:rPr>
          <w:rFonts w:ascii="Times New Roman" w:hAnsi="Times New Roman" w:cs="Times New Roman"/>
          <w:color w:val="000000" w:themeColor="text1"/>
          <w:sz w:val="24"/>
          <w:szCs w:val="24"/>
        </w:rPr>
        <w:t xml:space="preserve"> saskaņā ar </w:t>
      </w:r>
      <w:r w:rsidRPr="003543E1">
        <w:rPr>
          <w:rFonts w:ascii="Times New Roman" w:hAnsi="Times New Roman" w:cs="Times New Roman"/>
          <w:color w:val="000000" w:themeColor="text1"/>
          <w:sz w:val="24"/>
          <w:szCs w:val="24"/>
        </w:rPr>
        <w:t>piel</w:t>
      </w:r>
      <w:r>
        <w:rPr>
          <w:rFonts w:ascii="Times New Roman" w:hAnsi="Times New Roman" w:cs="Times New Roman"/>
          <w:color w:val="000000" w:themeColor="text1"/>
          <w:sz w:val="24"/>
          <w:szCs w:val="24"/>
        </w:rPr>
        <w:t>ikumu</w:t>
      </w:r>
      <w:r w:rsidRPr="003543E1">
        <w:rPr>
          <w:rFonts w:ascii="Times New Roman" w:hAnsi="Times New Roman" w:cs="Times New Roman"/>
          <w:color w:val="000000" w:themeColor="text1"/>
          <w:sz w:val="24"/>
          <w:szCs w:val="24"/>
        </w:rPr>
        <w:t xml:space="preserve"> Nr.1. Vidēja termiņa budžeta ietvara likuma pantus un paskaidrojumu projekta attiecīgās sadaļas nosūta Fiskālās politikas departamentam (turpmāk- FPD) apkopošanai. </w:t>
      </w:r>
    </w:p>
    <w:p w:rsidR="007C7320" w:rsidRPr="003543E1" w:rsidRDefault="007C7320" w:rsidP="007C7320">
      <w:pPr>
        <w:pStyle w:val="ListParagraph"/>
        <w:numPr>
          <w:ilvl w:val="0"/>
          <w:numId w:val="1"/>
        </w:numPr>
        <w:tabs>
          <w:tab w:val="left" w:pos="1134"/>
        </w:tabs>
        <w:spacing w:line="0" w:lineRule="atLeast"/>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FPD nodrošina Vidēja termiņa budžeta ietvara likuma un tā paskaidrojumu projekta iesniegšanu Ministru kabinetam un pēc tā apstiprināšanas Ministru kabinetā to iesniegšanu Saeimā.</w:t>
      </w:r>
    </w:p>
    <w:p w:rsidR="007C7320" w:rsidRPr="003543E1" w:rsidRDefault="007C7320" w:rsidP="007C7320">
      <w:pPr>
        <w:pStyle w:val="ListParagraph"/>
        <w:numPr>
          <w:ilvl w:val="0"/>
          <w:numId w:val="1"/>
        </w:numPr>
        <w:tabs>
          <w:tab w:val="left" w:pos="1134"/>
        </w:tabs>
        <w:spacing w:line="0" w:lineRule="atLeast"/>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 xml:space="preserve">TAD sagatavo informatīvo ziņojumu </w:t>
      </w:r>
      <w:r w:rsidRPr="003543E1">
        <w:rPr>
          <w:rFonts w:ascii="Times New Roman" w:hAnsi="Times New Roman" w:cs="Times New Roman"/>
          <w:i/>
          <w:color w:val="000000" w:themeColor="text1"/>
          <w:sz w:val="24"/>
          <w:szCs w:val="24"/>
        </w:rPr>
        <w:t>"Par makroekonomisko rādītāju, ieņēmumu un vispārējās valdības budžeta bilances prognozēm"</w:t>
      </w:r>
      <w:r w:rsidRPr="003543E1">
        <w:rPr>
          <w:rFonts w:ascii="Times New Roman" w:hAnsi="Times New Roman" w:cs="Times New Roman"/>
          <w:color w:val="000000" w:themeColor="text1"/>
          <w:sz w:val="24"/>
          <w:szCs w:val="24"/>
        </w:rPr>
        <w:t xml:space="preserve"> (turpmāk – Ziņojums) un iesniedz Ministru kabinetam saskaņā ar vidēja termiņa budžeta ietvara likuma projekta un gadskārtējā valsts budžeta likuma projekta izstrādes un iesniegšanas grafiku. Iesaistītās struktūrvienības, izstrādājot Ziņojuma attiecīgās sadaļas, tajās ietver informāciju par makroekonomisko rādītāju, ieņēmumu, izdevumu un vispārējās valdības budžeta bilances prognozēm vidējam termiņam sadalījumā pa </w:t>
      </w:r>
      <w:r w:rsidRPr="003543E1">
        <w:rPr>
          <w:rFonts w:ascii="Times New Roman" w:hAnsi="Times New Roman" w:cs="Times New Roman"/>
          <w:color w:val="000000" w:themeColor="text1"/>
          <w:sz w:val="24"/>
          <w:szCs w:val="24"/>
        </w:rPr>
        <w:lastRenderedPageBreak/>
        <w:t>galvenajiem vispārējās valdības izdevumu un ieņēmumu posteņiem balstoties uz nemainīgu politiku saskaņā ar Direktīvas 9. panta 2. punkta b) apakšpunktu.</w:t>
      </w:r>
    </w:p>
    <w:p w:rsidR="007C7320" w:rsidRDefault="007C7320" w:rsidP="007C7320">
      <w:pPr>
        <w:pStyle w:val="ListParagraph"/>
        <w:numPr>
          <w:ilvl w:val="0"/>
          <w:numId w:val="1"/>
        </w:numPr>
        <w:ind w:left="0" w:firstLine="720"/>
        <w:jc w:val="both"/>
        <w:rPr>
          <w:rFonts w:ascii="Times New Roman" w:hAnsi="Times New Roman" w:cs="Times New Roman"/>
          <w:color w:val="000000" w:themeColor="text1"/>
          <w:sz w:val="24"/>
          <w:szCs w:val="24"/>
        </w:rPr>
      </w:pPr>
      <w:r w:rsidRPr="005C6977">
        <w:rPr>
          <w:rFonts w:ascii="Times New Roman" w:hAnsi="Times New Roman" w:cs="Times New Roman"/>
          <w:color w:val="000000" w:themeColor="text1"/>
          <w:sz w:val="24"/>
          <w:szCs w:val="24"/>
        </w:rPr>
        <w:t xml:space="preserve">Sākot ar 2019.gadu, reizi četros gados Finanšu ministrija nodrošina objektīvos kritērijos balstītu neatkarīgu, objektīvu un visaptverošu makroekonomisko un budžeta prognožu kvalitātes </w:t>
      </w:r>
      <w:r w:rsidRPr="005C6977">
        <w:rPr>
          <w:rFonts w:ascii="Times New Roman" w:hAnsi="Times New Roman" w:cs="Times New Roman"/>
          <w:i/>
          <w:color w:val="000000" w:themeColor="text1"/>
          <w:sz w:val="24"/>
          <w:szCs w:val="24"/>
        </w:rPr>
        <w:t>ex-post</w:t>
      </w:r>
      <w:r w:rsidRPr="005C6977">
        <w:rPr>
          <w:rFonts w:ascii="Times New Roman" w:hAnsi="Times New Roman" w:cs="Times New Roman"/>
          <w:color w:val="000000" w:themeColor="text1"/>
          <w:sz w:val="24"/>
          <w:szCs w:val="24"/>
        </w:rPr>
        <w:t xml:space="preserve"> novērtējumu par vismaz četru iepriekšējo gadu periodu</w:t>
      </w:r>
      <w:r>
        <w:rPr>
          <w:rFonts w:ascii="Times New Roman" w:hAnsi="Times New Roman" w:cs="Times New Roman"/>
          <w:color w:val="000000" w:themeColor="text1"/>
          <w:sz w:val="24"/>
          <w:szCs w:val="24"/>
        </w:rPr>
        <w:t>.</w:t>
      </w:r>
    </w:p>
    <w:p w:rsidR="007C7320" w:rsidRPr="005C6977" w:rsidRDefault="007C7320" w:rsidP="007C7320">
      <w:pPr>
        <w:pStyle w:val="ListParagraph"/>
        <w:numPr>
          <w:ilvl w:val="0"/>
          <w:numId w:val="1"/>
        </w:numPr>
        <w:ind w:left="0" w:firstLine="720"/>
        <w:jc w:val="both"/>
        <w:rPr>
          <w:rFonts w:ascii="Times New Roman" w:hAnsi="Times New Roman" w:cs="Times New Roman"/>
          <w:color w:val="000000" w:themeColor="text1"/>
          <w:sz w:val="24"/>
          <w:szCs w:val="24"/>
        </w:rPr>
      </w:pPr>
      <w:r w:rsidRPr="005C6977">
        <w:rPr>
          <w:rFonts w:ascii="Times New Roman" w:hAnsi="Times New Roman" w:cs="Times New Roman"/>
          <w:color w:val="000000" w:themeColor="text1"/>
          <w:sz w:val="24"/>
          <w:szCs w:val="24"/>
        </w:rPr>
        <w:t>FPD izstrādā iepirkuma dokumentācijā iekļaujamās prasības.</w:t>
      </w:r>
    </w:p>
    <w:p w:rsidR="007C7320" w:rsidRPr="003543E1" w:rsidRDefault="007C7320" w:rsidP="007C7320">
      <w:pPr>
        <w:pStyle w:val="ListParagraph"/>
        <w:numPr>
          <w:ilvl w:val="0"/>
          <w:numId w:val="1"/>
        </w:numPr>
        <w:ind w:left="0" w:firstLine="709"/>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 xml:space="preserve">FPD </w:t>
      </w:r>
      <w:r w:rsidRPr="003543E1">
        <w:rPr>
          <w:rFonts w:ascii="Times New Roman" w:hAnsi="Times New Roman" w:cs="Times New Roman"/>
          <w:i/>
          <w:color w:val="000000" w:themeColor="text1"/>
          <w:sz w:val="24"/>
          <w:szCs w:val="24"/>
        </w:rPr>
        <w:t>ex-post</w:t>
      </w:r>
      <w:r w:rsidRPr="003543E1">
        <w:rPr>
          <w:rFonts w:ascii="Times New Roman" w:hAnsi="Times New Roman" w:cs="Times New Roman"/>
          <w:color w:val="000000" w:themeColor="text1"/>
          <w:sz w:val="24"/>
          <w:szCs w:val="24"/>
        </w:rPr>
        <w:t xml:space="preserve"> novērtējumu publicē Finanšu ministrijas tīmekļa vietnē (</w:t>
      </w:r>
      <w:hyperlink r:id="rId8" w:history="1">
        <w:r w:rsidRPr="003543E1">
          <w:rPr>
            <w:rStyle w:val="Hyperlink"/>
            <w:rFonts w:ascii="Times New Roman" w:hAnsi="Times New Roman" w:cs="Times New Roman"/>
            <w:sz w:val="24"/>
            <w:szCs w:val="24"/>
          </w:rPr>
          <w:t>http://www.fm.gov.lv/lv/sadalas/tautsaimniecibas_analize/fiskala_politika/</w:t>
        </w:r>
      </w:hyperlink>
      <w:r w:rsidRPr="003543E1">
        <w:rPr>
          <w:rFonts w:ascii="Times New Roman" w:hAnsi="Times New Roman" w:cs="Times New Roman"/>
          <w:color w:val="000000" w:themeColor="text1"/>
          <w:sz w:val="24"/>
          <w:szCs w:val="24"/>
        </w:rPr>
        <w:t>) piecu darba dienu laikā no tā saņemšanas.</w:t>
      </w:r>
    </w:p>
    <w:p w:rsidR="007C7320" w:rsidRPr="003543E1" w:rsidRDefault="007C7320" w:rsidP="007C7320">
      <w:pPr>
        <w:pStyle w:val="ListParagraph"/>
        <w:numPr>
          <w:ilvl w:val="0"/>
          <w:numId w:val="1"/>
        </w:numPr>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 xml:space="preserve">FPD sadarbībā ar citām noteikumu izpildē iesaistītajām struktūrvienībām izvērtē </w:t>
      </w:r>
      <w:r w:rsidRPr="003543E1">
        <w:rPr>
          <w:rFonts w:ascii="Times New Roman" w:hAnsi="Times New Roman" w:cs="Times New Roman"/>
          <w:i/>
          <w:color w:val="000000" w:themeColor="text1"/>
          <w:sz w:val="24"/>
          <w:szCs w:val="24"/>
        </w:rPr>
        <w:t>ex-post</w:t>
      </w:r>
      <w:r w:rsidRPr="003543E1">
        <w:rPr>
          <w:rFonts w:ascii="Times New Roman" w:hAnsi="Times New Roman" w:cs="Times New Roman"/>
          <w:color w:val="000000" w:themeColor="text1"/>
          <w:sz w:val="24"/>
          <w:szCs w:val="24"/>
        </w:rPr>
        <w:t xml:space="preserve"> novērtējuma rezultātus. Ja </w:t>
      </w:r>
      <w:r w:rsidRPr="003543E1">
        <w:rPr>
          <w:rFonts w:ascii="Times New Roman" w:hAnsi="Times New Roman" w:cs="Times New Roman"/>
          <w:i/>
          <w:color w:val="000000" w:themeColor="text1"/>
          <w:sz w:val="24"/>
          <w:szCs w:val="24"/>
        </w:rPr>
        <w:t>ex-post</w:t>
      </w:r>
      <w:r w:rsidRPr="003543E1">
        <w:rPr>
          <w:rFonts w:ascii="Times New Roman" w:hAnsi="Times New Roman" w:cs="Times New Roman"/>
          <w:color w:val="000000" w:themeColor="text1"/>
          <w:sz w:val="24"/>
          <w:szCs w:val="24"/>
        </w:rPr>
        <w:t xml:space="preserve"> novērtējums atklāj būtiskas novirzes, kas ietekmē makroekonomiskās prognozes vismaz četru secīgu gadu periodā, FPD sadarbībā ar citām iesaistītajām struktūrvienībām atbilstoši kompetencei ierosina korektīvus pasākumus. </w:t>
      </w:r>
    </w:p>
    <w:p w:rsidR="007C7320" w:rsidRPr="003543E1" w:rsidRDefault="007C7320" w:rsidP="007C7320">
      <w:pPr>
        <w:pStyle w:val="ListParagraph"/>
        <w:numPr>
          <w:ilvl w:val="0"/>
          <w:numId w:val="1"/>
        </w:numPr>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 xml:space="preserve">FPD sadarbībā ar citām iesaistītajām struktūrvienībām korektīvus pasākumus ietver nākamajā Vidēja termiņa budžeta ietvara likuma projekta paskaidrojumos. </w:t>
      </w:r>
    </w:p>
    <w:p w:rsidR="007C7320" w:rsidRPr="003543E1" w:rsidRDefault="007C7320" w:rsidP="007C7320">
      <w:pPr>
        <w:pStyle w:val="ListParagraph"/>
        <w:numPr>
          <w:ilvl w:val="0"/>
          <w:numId w:val="1"/>
        </w:numPr>
        <w:tabs>
          <w:tab w:val="left" w:pos="1134"/>
        </w:tabs>
        <w:spacing w:line="0" w:lineRule="atLeast"/>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Stabilitātes programmas sagatavošanu īsteno saskaņā ar pielikumu Nr. 2 “Stabilitātes programmas iespējamās sadaļas un par tām atbildīgās Finanšu ministrijas struktūrvienības un citas institūcijas” (turpmāk – pielikums Nr.2.).</w:t>
      </w:r>
    </w:p>
    <w:p w:rsidR="007C7320" w:rsidRPr="003543E1" w:rsidRDefault="007C7320" w:rsidP="007C7320">
      <w:pPr>
        <w:pStyle w:val="ListParagraph"/>
        <w:numPr>
          <w:ilvl w:val="0"/>
          <w:numId w:val="1"/>
        </w:numPr>
        <w:tabs>
          <w:tab w:val="left" w:pos="1134"/>
        </w:tabs>
        <w:spacing w:line="0" w:lineRule="atLeast"/>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 xml:space="preserve">FPD sagatavoto Stabilitātes programmas sagatavošanas grafiku saskaņā ar pielikumu Nr. 2, papildinot ar kolonnu “Iesniegšanas termiņi”, līdz kārtējā gada 15. janvārim nosūta divu nedēļu saskaņošanai iesaistītajām struktūrvienībām. </w:t>
      </w:r>
    </w:p>
    <w:p w:rsidR="007C7320" w:rsidRPr="003543E1" w:rsidRDefault="007C7320" w:rsidP="007C7320">
      <w:pPr>
        <w:pStyle w:val="ListParagraph"/>
        <w:numPr>
          <w:ilvl w:val="0"/>
          <w:numId w:val="1"/>
        </w:numPr>
        <w:tabs>
          <w:tab w:val="left" w:pos="1134"/>
        </w:tabs>
        <w:spacing w:line="0" w:lineRule="atLeast"/>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 xml:space="preserve">Iesaistītās struktūrvienības, izvērtējot Stabilitātes programmas sagatavošanas grafiku, vienlaicīgi var iesniegt FPD priekšlikumus par izmaiņām Stabilitātes programmas sadaļās, nosūtot tos elektroniski uz elektroniskā pasta adresi </w:t>
      </w:r>
      <w:hyperlink r:id="rId9" w:history="1">
        <w:r w:rsidRPr="003543E1">
          <w:rPr>
            <w:rStyle w:val="Hyperlink"/>
            <w:rFonts w:ascii="Times New Roman" w:hAnsi="Times New Roman" w:cs="Times New Roman"/>
            <w:sz w:val="24"/>
            <w:szCs w:val="24"/>
          </w:rPr>
          <w:t>fiskalie.dati@fm.gov.lv</w:t>
        </w:r>
      </w:hyperlink>
      <w:r w:rsidRPr="003543E1">
        <w:rPr>
          <w:rFonts w:ascii="Times New Roman" w:hAnsi="Times New Roman" w:cs="Times New Roman"/>
          <w:color w:val="000000" w:themeColor="text1"/>
          <w:sz w:val="24"/>
          <w:szCs w:val="24"/>
        </w:rPr>
        <w:t xml:space="preserve">. </w:t>
      </w:r>
    </w:p>
    <w:p w:rsidR="007C7320" w:rsidRPr="003543E1" w:rsidRDefault="007C7320" w:rsidP="007C7320">
      <w:pPr>
        <w:pStyle w:val="ListParagraph"/>
        <w:numPr>
          <w:ilvl w:val="0"/>
          <w:numId w:val="1"/>
        </w:numPr>
        <w:tabs>
          <w:tab w:val="left" w:pos="1134"/>
        </w:tabs>
        <w:spacing w:line="0" w:lineRule="atLeast"/>
        <w:ind w:left="0" w:firstLine="720"/>
        <w:jc w:val="both"/>
        <w:rPr>
          <w:rFonts w:ascii="Times New Roman" w:hAnsi="Times New Roman" w:cs="Times New Roman"/>
          <w:color w:val="000000" w:themeColor="text1"/>
          <w:sz w:val="24"/>
          <w:szCs w:val="24"/>
        </w:rPr>
      </w:pPr>
      <w:r w:rsidRPr="003543E1">
        <w:rPr>
          <w:rFonts w:ascii="Times New Roman" w:hAnsi="Times New Roman" w:cs="Times New Roman"/>
          <w:color w:val="000000" w:themeColor="text1"/>
          <w:sz w:val="24"/>
          <w:szCs w:val="24"/>
        </w:rPr>
        <w:t>Atzīt par spēku zaudējušiem Finanšu ministrijas 2018. gada 16. februāra iekšējos noteikumus Nr. 12-5/8 "Kārtība, kādā Finanšu ministrijā tiek nodrošināta vidēja termiņa budžeta ietvara likuma projekta un Stabilitātes programmas sagatavošana".</w:t>
      </w:r>
    </w:p>
    <w:p w:rsidR="007C7320" w:rsidRDefault="007C7320" w:rsidP="007C7320">
      <w:pPr>
        <w:rPr>
          <w:szCs w:val="24"/>
        </w:rPr>
      </w:pPr>
    </w:p>
    <w:p w:rsidR="007C7320" w:rsidRDefault="007C7320" w:rsidP="007C7320">
      <w:pPr>
        <w:rPr>
          <w:szCs w:val="24"/>
        </w:rPr>
      </w:pPr>
    </w:p>
    <w:p w:rsidR="007C7320" w:rsidRDefault="007C7320" w:rsidP="007C7320">
      <w:pPr>
        <w:rPr>
          <w:szCs w:val="24"/>
        </w:rPr>
      </w:pPr>
    </w:p>
    <w:p w:rsidR="007C7320" w:rsidRDefault="007C7320" w:rsidP="007C7320">
      <w:pPr>
        <w:rPr>
          <w:szCs w:val="24"/>
        </w:rPr>
      </w:pPr>
    </w:p>
    <w:p w:rsidR="007C7320" w:rsidRDefault="007C7320" w:rsidP="007C7320">
      <w:pPr>
        <w:rPr>
          <w:szCs w:val="24"/>
        </w:rPr>
      </w:pPr>
    </w:p>
    <w:p w:rsidR="007C7320" w:rsidRDefault="007C7320" w:rsidP="007C7320">
      <w:pPr>
        <w:rPr>
          <w:szCs w:val="24"/>
        </w:rPr>
      </w:pPr>
      <w:r>
        <w:rPr>
          <w:szCs w:val="24"/>
        </w:rPr>
        <w:t>SASKAŅOTS elektroniski</w:t>
      </w:r>
    </w:p>
    <w:p w:rsidR="007C7320" w:rsidRDefault="007C7320" w:rsidP="007C7320">
      <w:pPr>
        <w:rPr>
          <w:szCs w:val="24"/>
        </w:rPr>
      </w:pPr>
      <w:r>
        <w:rPr>
          <w:szCs w:val="24"/>
        </w:rPr>
        <w:t xml:space="preserve">Finanšu ministre </w:t>
      </w:r>
      <w:r>
        <w:rPr>
          <w:szCs w:val="24"/>
        </w:rPr>
        <w:tab/>
        <w:t>D</w:t>
      </w:r>
      <w:r w:rsidRPr="00615936">
        <w:rPr>
          <w:szCs w:val="24"/>
        </w:rPr>
        <w:t>.</w:t>
      </w:r>
      <w:r>
        <w:rPr>
          <w:szCs w:val="24"/>
        </w:rPr>
        <w:t>Reizniece-Ozola</w:t>
      </w:r>
    </w:p>
    <w:p w:rsidR="007C7320" w:rsidRDefault="007C7320" w:rsidP="007C7320">
      <w:pPr>
        <w:rPr>
          <w:szCs w:val="24"/>
        </w:rPr>
      </w:pPr>
      <w:r>
        <w:rPr>
          <w:szCs w:val="24"/>
        </w:rPr>
        <w:t>___.___._______.</w:t>
      </w:r>
    </w:p>
    <w:p w:rsidR="007C7320" w:rsidRDefault="007C7320" w:rsidP="007C7320">
      <w:pPr>
        <w:rPr>
          <w:szCs w:val="24"/>
        </w:rPr>
      </w:pPr>
    </w:p>
    <w:p w:rsidR="007C7320" w:rsidRDefault="007C7320" w:rsidP="007C7320">
      <w:pPr>
        <w:rPr>
          <w:szCs w:val="24"/>
        </w:rPr>
      </w:pPr>
    </w:p>
    <w:tbl>
      <w:tblPr>
        <w:tblStyle w:val="TableGrid"/>
        <w:tblW w:w="91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1985"/>
        <w:gridCol w:w="2693"/>
      </w:tblGrid>
      <w:tr w:rsidR="007C7320" w:rsidRPr="00615936" w:rsidTr="00C610BD">
        <w:tc>
          <w:tcPr>
            <w:tcW w:w="4428" w:type="dxa"/>
          </w:tcPr>
          <w:p w:rsidR="007C7320" w:rsidRPr="00615936" w:rsidRDefault="007C7320" w:rsidP="00C610BD">
            <w:pPr>
              <w:rPr>
                <w:szCs w:val="24"/>
              </w:rPr>
            </w:pPr>
            <w:r>
              <w:rPr>
                <w:szCs w:val="24"/>
              </w:rPr>
              <w:t>Valsts sekretāre</w:t>
            </w:r>
          </w:p>
        </w:tc>
        <w:tc>
          <w:tcPr>
            <w:tcW w:w="1985" w:type="dxa"/>
          </w:tcPr>
          <w:p w:rsidR="007C7320" w:rsidRDefault="007C7320" w:rsidP="00C610BD">
            <w:pPr>
              <w:jc w:val="right"/>
              <w:rPr>
                <w:szCs w:val="24"/>
              </w:rPr>
            </w:pPr>
            <w:bookmarkStart w:id="4" w:name="edoc_info2"/>
            <w:r>
              <w:rPr>
                <w:szCs w:val="24"/>
              </w:rPr>
              <w:t>(paraksts*)</w:t>
            </w:r>
            <w:bookmarkEnd w:id="4"/>
          </w:p>
        </w:tc>
        <w:tc>
          <w:tcPr>
            <w:tcW w:w="2693" w:type="dxa"/>
            <w:vAlign w:val="bottom"/>
          </w:tcPr>
          <w:p w:rsidR="007C7320" w:rsidRPr="00615936" w:rsidRDefault="007C7320" w:rsidP="00C610BD">
            <w:pPr>
              <w:jc w:val="right"/>
              <w:rPr>
                <w:szCs w:val="24"/>
              </w:rPr>
            </w:pPr>
            <w:bookmarkStart w:id="5" w:name="parak_nos"/>
            <w:r>
              <w:rPr>
                <w:szCs w:val="24"/>
              </w:rPr>
              <w:t>B</w:t>
            </w:r>
            <w:r w:rsidRPr="00615936">
              <w:rPr>
                <w:szCs w:val="24"/>
              </w:rPr>
              <w:t>.</w:t>
            </w:r>
            <w:r>
              <w:rPr>
                <w:szCs w:val="24"/>
              </w:rPr>
              <w:t>Bāne</w:t>
            </w:r>
            <w:bookmarkEnd w:id="5"/>
          </w:p>
        </w:tc>
      </w:tr>
      <w:tr w:rsidR="007C7320" w:rsidRPr="00615936" w:rsidTr="00C610BD">
        <w:tc>
          <w:tcPr>
            <w:tcW w:w="4428" w:type="dxa"/>
          </w:tcPr>
          <w:p w:rsidR="007C7320" w:rsidRPr="00615936" w:rsidRDefault="007C7320" w:rsidP="00C610BD">
            <w:pPr>
              <w:rPr>
                <w:szCs w:val="24"/>
              </w:rPr>
            </w:pPr>
          </w:p>
        </w:tc>
        <w:tc>
          <w:tcPr>
            <w:tcW w:w="1985" w:type="dxa"/>
          </w:tcPr>
          <w:p w:rsidR="007C7320" w:rsidRPr="00615936" w:rsidRDefault="007C7320" w:rsidP="00C610BD">
            <w:pPr>
              <w:jc w:val="right"/>
              <w:rPr>
                <w:szCs w:val="24"/>
              </w:rPr>
            </w:pPr>
          </w:p>
        </w:tc>
        <w:tc>
          <w:tcPr>
            <w:tcW w:w="2693" w:type="dxa"/>
            <w:vAlign w:val="bottom"/>
          </w:tcPr>
          <w:p w:rsidR="007C7320" w:rsidRPr="00615936" w:rsidRDefault="007C7320" w:rsidP="00C610BD">
            <w:pPr>
              <w:jc w:val="right"/>
              <w:rPr>
                <w:szCs w:val="24"/>
              </w:rPr>
            </w:pPr>
          </w:p>
        </w:tc>
      </w:tr>
    </w:tbl>
    <w:tbl>
      <w:tblPr>
        <w:tblW w:w="0" w:type="auto"/>
        <w:tblInd w:w="-142" w:type="dxa"/>
        <w:tblLook w:val="04A0" w:firstRow="1" w:lastRow="0" w:firstColumn="1" w:lastColumn="0" w:noHBand="0" w:noVBand="1"/>
      </w:tblPr>
      <w:tblGrid>
        <w:gridCol w:w="8703"/>
      </w:tblGrid>
      <w:tr w:rsidR="007C7320" w:rsidTr="00C610BD">
        <w:trPr>
          <w:cantSplit/>
          <w:trHeight w:val="592"/>
        </w:trPr>
        <w:tc>
          <w:tcPr>
            <w:tcW w:w="8703" w:type="dxa"/>
          </w:tcPr>
          <w:p w:rsidR="007C7320" w:rsidRDefault="007C7320" w:rsidP="00C610BD">
            <w:pPr>
              <w:pStyle w:val="BodyTextIndent"/>
              <w:ind w:left="0"/>
            </w:pPr>
            <w:bookmarkStart w:id="6" w:name="edoc_info" w:colFirst="0" w:colLast="0"/>
            <w:r w:rsidRPr="00AA6DC1">
              <w:rPr>
                <w:sz w:val="24"/>
                <w:szCs w:val="24"/>
              </w:rPr>
              <w:t>*Dokuments ir parakstīts ar drošu elektronisko parakstu</w:t>
            </w:r>
          </w:p>
        </w:tc>
      </w:tr>
      <w:bookmarkEnd w:id="6"/>
    </w:tbl>
    <w:p w:rsidR="007C7320" w:rsidRDefault="007C7320" w:rsidP="007C7320">
      <w:pPr>
        <w:rPr>
          <w:sz w:val="20"/>
        </w:rPr>
      </w:pPr>
    </w:p>
    <w:p w:rsidR="00884265" w:rsidRDefault="00884265" w:rsidP="007C7320">
      <w:pPr>
        <w:rPr>
          <w:sz w:val="20"/>
        </w:rPr>
      </w:pPr>
    </w:p>
    <w:p w:rsidR="007C7320" w:rsidRPr="00A7294F" w:rsidRDefault="007C7320" w:rsidP="007C7320">
      <w:pPr>
        <w:rPr>
          <w:szCs w:val="24"/>
          <w:u w:val="single"/>
        </w:rPr>
      </w:pPr>
      <w:r w:rsidRPr="00A7294F">
        <w:rPr>
          <w:szCs w:val="24"/>
          <w:u w:val="single"/>
        </w:rPr>
        <w:t>Nosūtīšanas uzdevums</w:t>
      </w:r>
    </w:p>
    <w:p w:rsidR="007C7320" w:rsidRDefault="007C7320" w:rsidP="007C7320">
      <w:pPr>
        <w:rPr>
          <w:szCs w:val="24"/>
        </w:rPr>
      </w:pPr>
      <w:r>
        <w:rPr>
          <w:szCs w:val="24"/>
        </w:rPr>
        <w:t xml:space="preserve">Oriģināls: </w:t>
      </w:r>
      <w:r w:rsidRPr="007C2D9B">
        <w:rPr>
          <w:szCs w:val="24"/>
        </w:rPr>
        <w:t>Dokumentu pārvaldības departamentā</w:t>
      </w:r>
    </w:p>
    <w:p w:rsidR="006E36F1" w:rsidRPr="00D377F3" w:rsidRDefault="007C7320" w:rsidP="006E36F1">
      <w:pPr>
        <w:ind w:left="851" w:hanging="851"/>
        <w:rPr>
          <w:color w:val="000000" w:themeColor="text1"/>
          <w:sz w:val="20"/>
        </w:rPr>
      </w:pPr>
      <w:r>
        <w:rPr>
          <w:szCs w:val="24"/>
        </w:rPr>
        <w:t xml:space="preserve">Kopija: </w:t>
      </w:r>
      <w:r w:rsidR="006E36F1" w:rsidRPr="006E36F1">
        <w:rPr>
          <w:szCs w:val="24"/>
        </w:rPr>
        <w:t>Valsts sekretāra vietniekiem, Fiskālās politikas departamentam, Budžeta departamentam,  Tautsaimniecības analīzes departamentam, Nodokļu analīzes departamentam, ES fondu stratēģijas departamentam, ES fondu uzraudzības departamentam, Valsts kasei</w:t>
      </w:r>
    </w:p>
    <w:p w:rsidR="007C7320" w:rsidRDefault="007C7320" w:rsidP="007C7320">
      <w:pPr>
        <w:rPr>
          <w:sz w:val="20"/>
        </w:rPr>
      </w:pPr>
    </w:p>
    <w:p w:rsidR="00884265" w:rsidRDefault="00884265" w:rsidP="007C7320">
      <w:pPr>
        <w:rPr>
          <w:sz w:val="20"/>
        </w:rPr>
      </w:pPr>
    </w:p>
    <w:p w:rsidR="00884265" w:rsidRDefault="00884265" w:rsidP="007C7320">
      <w:pPr>
        <w:rPr>
          <w:sz w:val="20"/>
        </w:rPr>
      </w:pPr>
    </w:p>
    <w:p w:rsidR="00884265" w:rsidRDefault="00884265" w:rsidP="007C7320">
      <w:pPr>
        <w:rPr>
          <w:sz w:val="20"/>
        </w:rPr>
      </w:pPr>
    </w:p>
    <w:p w:rsidR="007C7320" w:rsidRDefault="007C7320" w:rsidP="007C7320">
      <w:pPr>
        <w:rPr>
          <w:sz w:val="20"/>
        </w:rPr>
      </w:pPr>
      <w:r>
        <w:rPr>
          <w:sz w:val="20"/>
        </w:rPr>
        <w:t xml:space="preserve">Ozoliņa 67 083 823 </w:t>
      </w:r>
    </w:p>
    <w:p w:rsidR="00826D51" w:rsidRPr="006D6710" w:rsidRDefault="00EA6E70" w:rsidP="000C519F">
      <w:pPr>
        <w:rPr>
          <w:sz w:val="20"/>
        </w:rPr>
      </w:pPr>
      <w:hyperlink r:id="rId10" w:history="1">
        <w:r w:rsidR="006E36F1" w:rsidRPr="00F27F67">
          <w:rPr>
            <w:rStyle w:val="Hyperlink"/>
            <w:sz w:val="20"/>
          </w:rPr>
          <w:t>Liga.Ozolina@fm.gov.lv</w:t>
        </w:r>
      </w:hyperlink>
      <w:r w:rsidR="006E36F1">
        <w:rPr>
          <w:sz w:val="20"/>
        </w:rPr>
        <w:t xml:space="preserve"> </w:t>
      </w:r>
    </w:p>
    <w:sectPr w:rsidR="00826D51" w:rsidRPr="006D6710" w:rsidSect="002B16E5">
      <w:headerReference w:type="even" r:id="rId11"/>
      <w:headerReference w:type="default" r:id="rId12"/>
      <w:footerReference w:type="default" r:id="rId13"/>
      <w:footerReference w:type="first" r:id="rId14"/>
      <w:pgSz w:w="11907" w:h="16840" w:code="9"/>
      <w:pgMar w:top="567" w:right="850"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79" w:rsidRDefault="00AC4079">
      <w:r>
        <w:separator/>
      </w:r>
    </w:p>
  </w:endnote>
  <w:endnote w:type="continuationSeparator" w:id="0">
    <w:p w:rsidR="00AC4079" w:rsidRDefault="00AC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22951"/>
      <w:docPartObj>
        <w:docPartGallery w:val="Page Numbers (Bottom of Page)"/>
        <w:docPartUnique/>
      </w:docPartObj>
    </w:sdtPr>
    <w:sdtEndPr/>
    <w:sdtContent>
      <w:p w:rsidR="0015384D" w:rsidRDefault="000661F9">
        <w:pPr>
          <w:pStyle w:val="Footer"/>
          <w:jc w:val="center"/>
        </w:pPr>
        <w:r w:rsidRPr="00557B49">
          <w:rPr>
            <w:sz w:val="24"/>
            <w:szCs w:val="24"/>
          </w:rPr>
          <w:fldChar w:fldCharType="begin"/>
        </w:r>
        <w:r w:rsidR="009E200C" w:rsidRPr="00557B49">
          <w:rPr>
            <w:sz w:val="24"/>
            <w:szCs w:val="24"/>
          </w:rPr>
          <w:instrText xml:space="preserve"> PAGE   \* MERGEFORMAT </w:instrText>
        </w:r>
        <w:r w:rsidRPr="00557B49">
          <w:rPr>
            <w:sz w:val="24"/>
            <w:szCs w:val="24"/>
          </w:rPr>
          <w:fldChar w:fldCharType="separate"/>
        </w:r>
        <w:r w:rsidR="00EA6E70">
          <w:rPr>
            <w:noProof/>
            <w:sz w:val="24"/>
            <w:szCs w:val="24"/>
          </w:rPr>
          <w:t>2</w:t>
        </w:r>
        <w:r w:rsidRPr="00557B49">
          <w:rPr>
            <w:sz w:val="24"/>
            <w:szCs w:val="24"/>
          </w:rPr>
          <w:fldChar w:fldCharType="end"/>
        </w:r>
      </w:p>
    </w:sdtContent>
  </w:sdt>
  <w:p w:rsidR="0015384D" w:rsidRDefault="00153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4D" w:rsidRDefault="0015384D">
    <w:pPr>
      <w:pStyle w:val="Footer"/>
      <w:jc w:val="center"/>
    </w:pPr>
  </w:p>
  <w:p w:rsidR="0015384D" w:rsidRDefault="0015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79" w:rsidRDefault="00AC4079">
      <w:r>
        <w:separator/>
      </w:r>
    </w:p>
  </w:footnote>
  <w:footnote w:type="continuationSeparator" w:id="0">
    <w:p w:rsidR="00AC4079" w:rsidRDefault="00AC4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BE" w:rsidRDefault="000661F9">
    <w:pPr>
      <w:pStyle w:val="Header"/>
      <w:framePr w:wrap="around" w:vAnchor="text" w:hAnchor="margin" w:xAlign="center" w:y="1"/>
      <w:rPr>
        <w:rStyle w:val="PageNumber"/>
      </w:rPr>
    </w:pPr>
    <w:r>
      <w:rPr>
        <w:rStyle w:val="PageNumber"/>
      </w:rPr>
      <w:fldChar w:fldCharType="begin"/>
    </w:r>
    <w:r w:rsidR="00F33DBE">
      <w:rPr>
        <w:rStyle w:val="PageNumber"/>
      </w:rPr>
      <w:instrText xml:space="preserve">PAGE  </w:instrText>
    </w:r>
    <w:r>
      <w:rPr>
        <w:rStyle w:val="PageNumber"/>
      </w:rPr>
      <w:fldChar w:fldCharType="separate"/>
    </w:r>
    <w:r w:rsidR="0015384D">
      <w:rPr>
        <w:rStyle w:val="PageNumber"/>
        <w:noProof/>
      </w:rPr>
      <w:t>2</w:t>
    </w:r>
    <w:r>
      <w:rPr>
        <w:rStyle w:val="PageNumber"/>
      </w:rPr>
      <w:fldChar w:fldCharType="end"/>
    </w:r>
  </w:p>
  <w:p w:rsidR="00F33DBE" w:rsidRDefault="00F33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BE" w:rsidRDefault="00F33DBE" w:rsidP="008C508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48"/>
    <w:multiLevelType w:val="hybridMultilevel"/>
    <w:tmpl w:val="0CC2BA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51"/>
    <w:rsid w:val="0002005E"/>
    <w:rsid w:val="00025906"/>
    <w:rsid w:val="00054277"/>
    <w:rsid w:val="00062D32"/>
    <w:rsid w:val="000661F9"/>
    <w:rsid w:val="000704C8"/>
    <w:rsid w:val="00072A98"/>
    <w:rsid w:val="000778F0"/>
    <w:rsid w:val="0008360A"/>
    <w:rsid w:val="000859B0"/>
    <w:rsid w:val="00086189"/>
    <w:rsid w:val="000A0A49"/>
    <w:rsid w:val="000A1A94"/>
    <w:rsid w:val="000A2273"/>
    <w:rsid w:val="000A4A49"/>
    <w:rsid w:val="000B5E98"/>
    <w:rsid w:val="000B75CE"/>
    <w:rsid w:val="000C1481"/>
    <w:rsid w:val="000C519F"/>
    <w:rsid w:val="000E05A4"/>
    <w:rsid w:val="000E7902"/>
    <w:rsid w:val="000F3E40"/>
    <w:rsid w:val="00101EF2"/>
    <w:rsid w:val="001042A3"/>
    <w:rsid w:val="00114955"/>
    <w:rsid w:val="00130802"/>
    <w:rsid w:val="001421E1"/>
    <w:rsid w:val="001428D4"/>
    <w:rsid w:val="001459C6"/>
    <w:rsid w:val="00146475"/>
    <w:rsid w:val="00146FE3"/>
    <w:rsid w:val="0015384D"/>
    <w:rsid w:val="00156874"/>
    <w:rsid w:val="00160F55"/>
    <w:rsid w:val="0017402C"/>
    <w:rsid w:val="00176F63"/>
    <w:rsid w:val="00184AB5"/>
    <w:rsid w:val="00191FF8"/>
    <w:rsid w:val="001943EE"/>
    <w:rsid w:val="001D78A7"/>
    <w:rsid w:val="00203705"/>
    <w:rsid w:val="0021300E"/>
    <w:rsid w:val="00220CEE"/>
    <w:rsid w:val="00224396"/>
    <w:rsid w:val="00227D91"/>
    <w:rsid w:val="0023013F"/>
    <w:rsid w:val="00235349"/>
    <w:rsid w:val="00244390"/>
    <w:rsid w:val="00250975"/>
    <w:rsid w:val="00261352"/>
    <w:rsid w:val="002644F0"/>
    <w:rsid w:val="00266CF2"/>
    <w:rsid w:val="00267E3D"/>
    <w:rsid w:val="00292E11"/>
    <w:rsid w:val="0029448D"/>
    <w:rsid w:val="002A20A3"/>
    <w:rsid w:val="002B16E5"/>
    <w:rsid w:val="002B2B9A"/>
    <w:rsid w:val="002D6CB4"/>
    <w:rsid w:val="002E06CD"/>
    <w:rsid w:val="002E288C"/>
    <w:rsid w:val="002F5D59"/>
    <w:rsid w:val="003026CE"/>
    <w:rsid w:val="00302D28"/>
    <w:rsid w:val="00304112"/>
    <w:rsid w:val="003043C9"/>
    <w:rsid w:val="00314B6D"/>
    <w:rsid w:val="0031519D"/>
    <w:rsid w:val="00325CE2"/>
    <w:rsid w:val="00330C2A"/>
    <w:rsid w:val="00332AF9"/>
    <w:rsid w:val="00341839"/>
    <w:rsid w:val="00380855"/>
    <w:rsid w:val="00383D87"/>
    <w:rsid w:val="00386F28"/>
    <w:rsid w:val="00392EBE"/>
    <w:rsid w:val="00393EB9"/>
    <w:rsid w:val="00396BF4"/>
    <w:rsid w:val="003A324A"/>
    <w:rsid w:val="003B4764"/>
    <w:rsid w:val="003D09AE"/>
    <w:rsid w:val="003D179D"/>
    <w:rsid w:val="003E4EA3"/>
    <w:rsid w:val="003F2252"/>
    <w:rsid w:val="003F2673"/>
    <w:rsid w:val="003F4635"/>
    <w:rsid w:val="003F79A5"/>
    <w:rsid w:val="004059A7"/>
    <w:rsid w:val="00406D87"/>
    <w:rsid w:val="004241B4"/>
    <w:rsid w:val="0043155C"/>
    <w:rsid w:val="00434A02"/>
    <w:rsid w:val="0043643E"/>
    <w:rsid w:val="004478B9"/>
    <w:rsid w:val="00474D18"/>
    <w:rsid w:val="004E45F2"/>
    <w:rsid w:val="004F221F"/>
    <w:rsid w:val="004F671B"/>
    <w:rsid w:val="004F7DFD"/>
    <w:rsid w:val="005053F3"/>
    <w:rsid w:val="00513B65"/>
    <w:rsid w:val="0053353D"/>
    <w:rsid w:val="00546FDE"/>
    <w:rsid w:val="00550841"/>
    <w:rsid w:val="00557B49"/>
    <w:rsid w:val="0056044A"/>
    <w:rsid w:val="00566B07"/>
    <w:rsid w:val="00583887"/>
    <w:rsid w:val="00583F38"/>
    <w:rsid w:val="00584ED6"/>
    <w:rsid w:val="005910E7"/>
    <w:rsid w:val="005A0BBB"/>
    <w:rsid w:val="005D5DAA"/>
    <w:rsid w:val="005D7171"/>
    <w:rsid w:val="005E3D1E"/>
    <w:rsid w:val="005F3139"/>
    <w:rsid w:val="00600251"/>
    <w:rsid w:val="00622CFD"/>
    <w:rsid w:val="006240D2"/>
    <w:rsid w:val="00642EE6"/>
    <w:rsid w:val="00643F3C"/>
    <w:rsid w:val="006610B8"/>
    <w:rsid w:val="00667635"/>
    <w:rsid w:val="00683E8B"/>
    <w:rsid w:val="00693FB4"/>
    <w:rsid w:val="00697AB8"/>
    <w:rsid w:val="006A05F7"/>
    <w:rsid w:val="006A3594"/>
    <w:rsid w:val="006A707B"/>
    <w:rsid w:val="006B29C8"/>
    <w:rsid w:val="006B33CB"/>
    <w:rsid w:val="006B42A2"/>
    <w:rsid w:val="006D24EC"/>
    <w:rsid w:val="006D5BA9"/>
    <w:rsid w:val="006D6710"/>
    <w:rsid w:val="006E36F1"/>
    <w:rsid w:val="006E45DD"/>
    <w:rsid w:val="006E689E"/>
    <w:rsid w:val="006E6DBE"/>
    <w:rsid w:val="00701105"/>
    <w:rsid w:val="0070258A"/>
    <w:rsid w:val="00706C69"/>
    <w:rsid w:val="0070718E"/>
    <w:rsid w:val="0071276C"/>
    <w:rsid w:val="00730E2D"/>
    <w:rsid w:val="00733696"/>
    <w:rsid w:val="007523B6"/>
    <w:rsid w:val="00765592"/>
    <w:rsid w:val="00792DE6"/>
    <w:rsid w:val="007A5BA9"/>
    <w:rsid w:val="007A73EC"/>
    <w:rsid w:val="007C2D9B"/>
    <w:rsid w:val="007C5B7E"/>
    <w:rsid w:val="007C7320"/>
    <w:rsid w:val="007E021E"/>
    <w:rsid w:val="007E7EA0"/>
    <w:rsid w:val="007F3771"/>
    <w:rsid w:val="007F6888"/>
    <w:rsid w:val="00812E64"/>
    <w:rsid w:val="008237C6"/>
    <w:rsid w:val="00826D51"/>
    <w:rsid w:val="008360BD"/>
    <w:rsid w:val="00837277"/>
    <w:rsid w:val="0084706A"/>
    <w:rsid w:val="00866595"/>
    <w:rsid w:val="00875EF1"/>
    <w:rsid w:val="00884265"/>
    <w:rsid w:val="00884446"/>
    <w:rsid w:val="008A5EC1"/>
    <w:rsid w:val="008C508E"/>
    <w:rsid w:val="008D22AE"/>
    <w:rsid w:val="008E4EA4"/>
    <w:rsid w:val="008E4FE5"/>
    <w:rsid w:val="008F1369"/>
    <w:rsid w:val="008F15DF"/>
    <w:rsid w:val="008F2376"/>
    <w:rsid w:val="00903B9C"/>
    <w:rsid w:val="00911470"/>
    <w:rsid w:val="00920076"/>
    <w:rsid w:val="009212D8"/>
    <w:rsid w:val="009328EF"/>
    <w:rsid w:val="00963ACC"/>
    <w:rsid w:val="00973529"/>
    <w:rsid w:val="0098433C"/>
    <w:rsid w:val="00990C1C"/>
    <w:rsid w:val="00996DC8"/>
    <w:rsid w:val="009B2296"/>
    <w:rsid w:val="009B7929"/>
    <w:rsid w:val="009C643F"/>
    <w:rsid w:val="009E200C"/>
    <w:rsid w:val="009F3293"/>
    <w:rsid w:val="00A03231"/>
    <w:rsid w:val="00A17946"/>
    <w:rsid w:val="00A21D44"/>
    <w:rsid w:val="00A318B0"/>
    <w:rsid w:val="00A4004D"/>
    <w:rsid w:val="00A87DFA"/>
    <w:rsid w:val="00AA21A4"/>
    <w:rsid w:val="00AA74E7"/>
    <w:rsid w:val="00AB2288"/>
    <w:rsid w:val="00AB278E"/>
    <w:rsid w:val="00AC4079"/>
    <w:rsid w:val="00AC60C1"/>
    <w:rsid w:val="00AD0AF9"/>
    <w:rsid w:val="00AD576B"/>
    <w:rsid w:val="00AE2200"/>
    <w:rsid w:val="00AF21C7"/>
    <w:rsid w:val="00B26E48"/>
    <w:rsid w:val="00B30E51"/>
    <w:rsid w:val="00B45C16"/>
    <w:rsid w:val="00B9570C"/>
    <w:rsid w:val="00BB4400"/>
    <w:rsid w:val="00BC7CFB"/>
    <w:rsid w:val="00BD24E4"/>
    <w:rsid w:val="00BE3E7A"/>
    <w:rsid w:val="00BE5011"/>
    <w:rsid w:val="00BE78C7"/>
    <w:rsid w:val="00BF11EB"/>
    <w:rsid w:val="00BF233C"/>
    <w:rsid w:val="00C038B7"/>
    <w:rsid w:val="00C041F7"/>
    <w:rsid w:val="00C06861"/>
    <w:rsid w:val="00C21975"/>
    <w:rsid w:val="00C31A43"/>
    <w:rsid w:val="00C345B8"/>
    <w:rsid w:val="00C375DF"/>
    <w:rsid w:val="00C44804"/>
    <w:rsid w:val="00C45100"/>
    <w:rsid w:val="00C50C30"/>
    <w:rsid w:val="00C53A90"/>
    <w:rsid w:val="00C54CFF"/>
    <w:rsid w:val="00C56C1D"/>
    <w:rsid w:val="00C6145F"/>
    <w:rsid w:val="00C640B7"/>
    <w:rsid w:val="00C81055"/>
    <w:rsid w:val="00C87CD4"/>
    <w:rsid w:val="00CA5AAF"/>
    <w:rsid w:val="00CD3BB8"/>
    <w:rsid w:val="00CE0655"/>
    <w:rsid w:val="00D06A60"/>
    <w:rsid w:val="00D1142D"/>
    <w:rsid w:val="00D3049B"/>
    <w:rsid w:val="00D4070C"/>
    <w:rsid w:val="00D462B6"/>
    <w:rsid w:val="00D51CC7"/>
    <w:rsid w:val="00D57801"/>
    <w:rsid w:val="00D65123"/>
    <w:rsid w:val="00D70A7C"/>
    <w:rsid w:val="00D73652"/>
    <w:rsid w:val="00D873B0"/>
    <w:rsid w:val="00DA3EAF"/>
    <w:rsid w:val="00DA7256"/>
    <w:rsid w:val="00DA7D9E"/>
    <w:rsid w:val="00DB1E3A"/>
    <w:rsid w:val="00DB5AB6"/>
    <w:rsid w:val="00DC0F95"/>
    <w:rsid w:val="00DC1600"/>
    <w:rsid w:val="00DC461E"/>
    <w:rsid w:val="00DD4524"/>
    <w:rsid w:val="00DD56CC"/>
    <w:rsid w:val="00DD5E25"/>
    <w:rsid w:val="00DE7EC9"/>
    <w:rsid w:val="00DF1EC1"/>
    <w:rsid w:val="00DF75CE"/>
    <w:rsid w:val="00E04F00"/>
    <w:rsid w:val="00E0527A"/>
    <w:rsid w:val="00E13483"/>
    <w:rsid w:val="00E15F9B"/>
    <w:rsid w:val="00E200EC"/>
    <w:rsid w:val="00E25982"/>
    <w:rsid w:val="00E3743F"/>
    <w:rsid w:val="00E44ADB"/>
    <w:rsid w:val="00E71316"/>
    <w:rsid w:val="00EA6E70"/>
    <w:rsid w:val="00EA7310"/>
    <w:rsid w:val="00EB1825"/>
    <w:rsid w:val="00EB2C30"/>
    <w:rsid w:val="00EB2DD0"/>
    <w:rsid w:val="00ED0BF9"/>
    <w:rsid w:val="00EE1908"/>
    <w:rsid w:val="00EF2339"/>
    <w:rsid w:val="00F220D5"/>
    <w:rsid w:val="00F33DBE"/>
    <w:rsid w:val="00F33E54"/>
    <w:rsid w:val="00F35615"/>
    <w:rsid w:val="00F365B1"/>
    <w:rsid w:val="00F37820"/>
    <w:rsid w:val="00F462A6"/>
    <w:rsid w:val="00F62E54"/>
    <w:rsid w:val="00F84ADE"/>
    <w:rsid w:val="00F949B7"/>
    <w:rsid w:val="00F952BC"/>
    <w:rsid w:val="00FB1DB2"/>
    <w:rsid w:val="00FB225E"/>
    <w:rsid w:val="00FC2E02"/>
    <w:rsid w:val="00FE0EA9"/>
    <w:rsid w:val="00FE2AC9"/>
    <w:rsid w:val="00FE7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85C740-CDA3-40AF-976A-C718DBE9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EA4"/>
    <w:pPr>
      <w:jc w:val="both"/>
    </w:pPr>
    <w:rPr>
      <w:sz w:val="24"/>
      <w:lang w:eastAsia="en-US"/>
    </w:rPr>
  </w:style>
  <w:style w:type="paragraph" w:styleId="Heading1">
    <w:name w:val="heading 1"/>
    <w:basedOn w:val="Normal"/>
    <w:next w:val="Normal"/>
    <w:qFormat/>
    <w:rsid w:val="00903B9C"/>
    <w:pPr>
      <w:keepNext/>
      <w:spacing w:before="240" w:after="60"/>
      <w:outlineLvl w:val="0"/>
    </w:pPr>
    <w:rPr>
      <w:b/>
      <w:kern w:val="28"/>
      <w:sz w:val="28"/>
    </w:rPr>
  </w:style>
  <w:style w:type="paragraph" w:styleId="Heading2">
    <w:name w:val="heading 2"/>
    <w:basedOn w:val="Normal"/>
    <w:next w:val="Normal"/>
    <w:qFormat/>
    <w:rsid w:val="00903B9C"/>
    <w:pPr>
      <w:keepNext/>
      <w:spacing w:before="240" w:after="60"/>
      <w:outlineLvl w:val="1"/>
    </w:pPr>
    <w:rPr>
      <w:b/>
      <w:sz w:val="26"/>
    </w:rPr>
  </w:style>
  <w:style w:type="paragraph" w:styleId="Heading3">
    <w:name w:val="heading 3"/>
    <w:basedOn w:val="Normal"/>
    <w:next w:val="Normal"/>
    <w:qFormat/>
    <w:rsid w:val="00903B9C"/>
    <w:pPr>
      <w:keepNext/>
      <w:spacing w:before="240" w:after="60"/>
      <w:outlineLvl w:val="2"/>
    </w:pPr>
    <w:rPr>
      <w:b/>
    </w:rPr>
  </w:style>
  <w:style w:type="paragraph" w:styleId="Heading4">
    <w:name w:val="heading 4"/>
    <w:basedOn w:val="Normal"/>
    <w:next w:val="Normal"/>
    <w:qFormat/>
    <w:rsid w:val="00903B9C"/>
    <w:pPr>
      <w:keepNext/>
      <w:jc w:val="center"/>
      <w:outlineLvl w:val="3"/>
    </w:pPr>
    <w:rPr>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B9C"/>
    <w:pPr>
      <w:tabs>
        <w:tab w:val="center" w:pos="4153"/>
        <w:tab w:val="right" w:pos="8306"/>
      </w:tabs>
    </w:pPr>
    <w:rPr>
      <w:sz w:val="18"/>
    </w:rPr>
  </w:style>
  <w:style w:type="paragraph" w:styleId="Footer">
    <w:name w:val="footer"/>
    <w:basedOn w:val="Normal"/>
    <w:link w:val="FooterChar"/>
    <w:uiPriority w:val="99"/>
    <w:rsid w:val="00903B9C"/>
    <w:pPr>
      <w:tabs>
        <w:tab w:val="center" w:pos="4153"/>
        <w:tab w:val="right" w:pos="8306"/>
      </w:tabs>
    </w:pPr>
    <w:rPr>
      <w:sz w:val="18"/>
    </w:rPr>
  </w:style>
  <w:style w:type="character" w:styleId="PageNumber">
    <w:name w:val="page number"/>
    <w:rsid w:val="00903B9C"/>
    <w:rPr>
      <w:rFonts w:ascii="Times New Roman" w:hAnsi="Times New Roman"/>
    </w:rPr>
  </w:style>
  <w:style w:type="paragraph" w:styleId="Caption">
    <w:name w:val="caption"/>
    <w:basedOn w:val="Normal"/>
    <w:next w:val="Normal"/>
    <w:qFormat/>
    <w:rsid w:val="00903B9C"/>
    <w:pPr>
      <w:framePr w:w="9083" w:hSpace="181" w:wrap="around" w:vAnchor="page" w:hAnchor="page" w:x="1702" w:y="579" w:anchorLock="1"/>
      <w:pBdr>
        <w:bottom w:val="single" w:sz="6" w:space="4" w:color="auto"/>
      </w:pBdr>
      <w:jc w:val="center"/>
    </w:pPr>
    <w:rPr>
      <w:spacing w:val="2"/>
      <w:sz w:val="28"/>
    </w:rPr>
  </w:style>
  <w:style w:type="paragraph" w:styleId="FootnoteText">
    <w:name w:val="footnote text"/>
    <w:basedOn w:val="Normal"/>
    <w:link w:val="FootnoteTextChar"/>
    <w:semiHidden/>
    <w:rsid w:val="00903B9C"/>
    <w:rPr>
      <w:sz w:val="20"/>
    </w:rPr>
  </w:style>
  <w:style w:type="character" w:styleId="FootnoteReference">
    <w:name w:val="footnote reference"/>
    <w:semiHidden/>
    <w:rsid w:val="00903B9C"/>
    <w:rPr>
      <w:rFonts w:ascii="Times New Roman" w:hAnsi="Times New Roman"/>
      <w:vertAlign w:val="superscript"/>
    </w:rPr>
  </w:style>
  <w:style w:type="paragraph" w:styleId="DocumentMap">
    <w:name w:val="Document Map"/>
    <w:basedOn w:val="Normal"/>
    <w:semiHidden/>
    <w:rsid w:val="00903B9C"/>
    <w:pPr>
      <w:shd w:val="clear" w:color="auto" w:fill="000080"/>
    </w:pPr>
    <w:rPr>
      <w:rFonts w:ascii="Tahoma" w:hAnsi="Tahoma" w:cs="Tahoma"/>
    </w:rPr>
  </w:style>
  <w:style w:type="character" w:styleId="Hyperlink">
    <w:name w:val="Hyperlink"/>
    <w:rsid w:val="00101EF2"/>
    <w:rPr>
      <w:color w:val="0000FF"/>
      <w:u w:val="single"/>
    </w:rPr>
  </w:style>
  <w:style w:type="paragraph" w:styleId="BalloonText">
    <w:name w:val="Balloon Text"/>
    <w:basedOn w:val="Normal"/>
    <w:semiHidden/>
    <w:rsid w:val="00884446"/>
    <w:rPr>
      <w:rFonts w:ascii="Tahoma" w:hAnsi="Tahoma" w:cs="Tahoma"/>
      <w:sz w:val="16"/>
      <w:szCs w:val="16"/>
    </w:rPr>
  </w:style>
  <w:style w:type="character" w:customStyle="1" w:styleId="FootnoteTextChar">
    <w:name w:val="Footnote Text Char"/>
    <w:link w:val="FootnoteText"/>
    <w:semiHidden/>
    <w:rsid w:val="008F15DF"/>
    <w:rPr>
      <w:lang w:eastAsia="en-US"/>
    </w:rPr>
  </w:style>
  <w:style w:type="character" w:customStyle="1" w:styleId="FooterChar">
    <w:name w:val="Footer Char"/>
    <w:basedOn w:val="DefaultParagraphFont"/>
    <w:link w:val="Footer"/>
    <w:uiPriority w:val="99"/>
    <w:rsid w:val="006D6710"/>
    <w:rPr>
      <w:sz w:val="18"/>
      <w:lang w:eastAsia="en-US"/>
    </w:rPr>
  </w:style>
  <w:style w:type="paragraph" w:styleId="BodyTextIndent">
    <w:name w:val="Body Text Indent"/>
    <w:basedOn w:val="Normal"/>
    <w:link w:val="BodyTextIndentChar"/>
    <w:uiPriority w:val="99"/>
    <w:unhideWhenUsed/>
    <w:rsid w:val="002D6CB4"/>
    <w:pPr>
      <w:spacing w:before="120" w:after="120"/>
      <w:ind w:left="283"/>
      <w:jc w:val="left"/>
    </w:pPr>
    <w:rPr>
      <w:sz w:val="20"/>
    </w:rPr>
  </w:style>
  <w:style w:type="character" w:customStyle="1" w:styleId="BodyTextIndentChar">
    <w:name w:val="Body Text Indent Char"/>
    <w:basedOn w:val="DefaultParagraphFont"/>
    <w:link w:val="BodyTextIndent"/>
    <w:uiPriority w:val="99"/>
    <w:rsid w:val="002D6CB4"/>
    <w:rPr>
      <w:lang w:eastAsia="en-US"/>
    </w:rPr>
  </w:style>
  <w:style w:type="character" w:styleId="PlaceholderText">
    <w:name w:val="Placeholder Text"/>
    <w:basedOn w:val="DefaultParagraphFont"/>
    <w:uiPriority w:val="99"/>
    <w:semiHidden/>
    <w:rsid w:val="00826D51"/>
    <w:rPr>
      <w:color w:val="808080"/>
    </w:rPr>
  </w:style>
  <w:style w:type="table" w:styleId="TableGrid">
    <w:name w:val="Table Grid"/>
    <w:basedOn w:val="TableNormal"/>
    <w:uiPriority w:val="59"/>
    <w:rsid w:val="0025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320"/>
    <w:pPr>
      <w:ind w:left="720"/>
      <w:contextualSpacing/>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3217">
      <w:bodyDiv w:val="1"/>
      <w:marLeft w:val="0"/>
      <w:marRight w:val="0"/>
      <w:marTop w:val="0"/>
      <w:marBottom w:val="0"/>
      <w:divBdr>
        <w:top w:val="none" w:sz="0" w:space="0" w:color="auto"/>
        <w:left w:val="none" w:sz="0" w:space="0" w:color="auto"/>
        <w:bottom w:val="none" w:sz="0" w:space="0" w:color="auto"/>
        <w:right w:val="none" w:sz="0" w:space="0" w:color="auto"/>
      </w:divBdr>
    </w:div>
    <w:div w:id="163015375">
      <w:bodyDiv w:val="1"/>
      <w:marLeft w:val="0"/>
      <w:marRight w:val="0"/>
      <w:marTop w:val="0"/>
      <w:marBottom w:val="0"/>
      <w:divBdr>
        <w:top w:val="none" w:sz="0" w:space="0" w:color="auto"/>
        <w:left w:val="none" w:sz="0" w:space="0" w:color="auto"/>
        <w:bottom w:val="none" w:sz="0" w:space="0" w:color="auto"/>
        <w:right w:val="none" w:sz="0" w:space="0" w:color="auto"/>
      </w:divBdr>
    </w:div>
    <w:div w:id="253784472">
      <w:bodyDiv w:val="1"/>
      <w:marLeft w:val="0"/>
      <w:marRight w:val="0"/>
      <w:marTop w:val="0"/>
      <w:marBottom w:val="0"/>
      <w:divBdr>
        <w:top w:val="none" w:sz="0" w:space="0" w:color="auto"/>
        <w:left w:val="none" w:sz="0" w:space="0" w:color="auto"/>
        <w:bottom w:val="none" w:sz="0" w:space="0" w:color="auto"/>
        <w:right w:val="none" w:sz="0" w:space="0" w:color="auto"/>
      </w:divBdr>
    </w:div>
    <w:div w:id="557320575">
      <w:bodyDiv w:val="1"/>
      <w:marLeft w:val="0"/>
      <w:marRight w:val="0"/>
      <w:marTop w:val="0"/>
      <w:marBottom w:val="0"/>
      <w:divBdr>
        <w:top w:val="none" w:sz="0" w:space="0" w:color="auto"/>
        <w:left w:val="none" w:sz="0" w:space="0" w:color="auto"/>
        <w:bottom w:val="none" w:sz="0" w:space="0" w:color="auto"/>
        <w:right w:val="none" w:sz="0" w:space="0" w:color="auto"/>
      </w:divBdr>
    </w:div>
    <w:div w:id="566110072">
      <w:bodyDiv w:val="1"/>
      <w:marLeft w:val="0"/>
      <w:marRight w:val="0"/>
      <w:marTop w:val="0"/>
      <w:marBottom w:val="0"/>
      <w:divBdr>
        <w:top w:val="none" w:sz="0" w:space="0" w:color="auto"/>
        <w:left w:val="none" w:sz="0" w:space="0" w:color="auto"/>
        <w:bottom w:val="none" w:sz="0" w:space="0" w:color="auto"/>
        <w:right w:val="none" w:sz="0" w:space="0" w:color="auto"/>
      </w:divBdr>
    </w:div>
    <w:div w:id="844393798">
      <w:bodyDiv w:val="1"/>
      <w:marLeft w:val="0"/>
      <w:marRight w:val="0"/>
      <w:marTop w:val="0"/>
      <w:marBottom w:val="0"/>
      <w:divBdr>
        <w:top w:val="none" w:sz="0" w:space="0" w:color="auto"/>
        <w:left w:val="none" w:sz="0" w:space="0" w:color="auto"/>
        <w:bottom w:val="none" w:sz="0" w:space="0" w:color="auto"/>
        <w:right w:val="none" w:sz="0" w:space="0" w:color="auto"/>
      </w:divBdr>
    </w:div>
    <w:div w:id="960914943">
      <w:bodyDiv w:val="1"/>
      <w:marLeft w:val="0"/>
      <w:marRight w:val="0"/>
      <w:marTop w:val="0"/>
      <w:marBottom w:val="0"/>
      <w:divBdr>
        <w:top w:val="none" w:sz="0" w:space="0" w:color="auto"/>
        <w:left w:val="none" w:sz="0" w:space="0" w:color="auto"/>
        <w:bottom w:val="none" w:sz="0" w:space="0" w:color="auto"/>
        <w:right w:val="none" w:sz="0" w:space="0" w:color="auto"/>
      </w:divBdr>
    </w:div>
    <w:div w:id="982393156">
      <w:bodyDiv w:val="1"/>
      <w:marLeft w:val="0"/>
      <w:marRight w:val="0"/>
      <w:marTop w:val="0"/>
      <w:marBottom w:val="0"/>
      <w:divBdr>
        <w:top w:val="none" w:sz="0" w:space="0" w:color="auto"/>
        <w:left w:val="none" w:sz="0" w:space="0" w:color="auto"/>
        <w:bottom w:val="none" w:sz="0" w:space="0" w:color="auto"/>
        <w:right w:val="none" w:sz="0" w:space="0" w:color="auto"/>
      </w:divBdr>
    </w:div>
    <w:div w:id="1021977085">
      <w:bodyDiv w:val="1"/>
      <w:marLeft w:val="0"/>
      <w:marRight w:val="0"/>
      <w:marTop w:val="0"/>
      <w:marBottom w:val="0"/>
      <w:divBdr>
        <w:top w:val="none" w:sz="0" w:space="0" w:color="auto"/>
        <w:left w:val="none" w:sz="0" w:space="0" w:color="auto"/>
        <w:bottom w:val="none" w:sz="0" w:space="0" w:color="auto"/>
        <w:right w:val="none" w:sz="0" w:space="0" w:color="auto"/>
      </w:divBdr>
    </w:div>
    <w:div w:id="1057512489">
      <w:bodyDiv w:val="1"/>
      <w:marLeft w:val="0"/>
      <w:marRight w:val="0"/>
      <w:marTop w:val="0"/>
      <w:marBottom w:val="0"/>
      <w:divBdr>
        <w:top w:val="none" w:sz="0" w:space="0" w:color="auto"/>
        <w:left w:val="none" w:sz="0" w:space="0" w:color="auto"/>
        <w:bottom w:val="none" w:sz="0" w:space="0" w:color="auto"/>
        <w:right w:val="none" w:sz="0" w:space="0" w:color="auto"/>
      </w:divBdr>
    </w:div>
    <w:div w:id="1175221815">
      <w:bodyDiv w:val="1"/>
      <w:marLeft w:val="0"/>
      <w:marRight w:val="0"/>
      <w:marTop w:val="0"/>
      <w:marBottom w:val="0"/>
      <w:divBdr>
        <w:top w:val="none" w:sz="0" w:space="0" w:color="auto"/>
        <w:left w:val="none" w:sz="0" w:space="0" w:color="auto"/>
        <w:bottom w:val="none" w:sz="0" w:space="0" w:color="auto"/>
        <w:right w:val="none" w:sz="0" w:space="0" w:color="auto"/>
      </w:divBdr>
    </w:div>
    <w:div w:id="1204176316">
      <w:bodyDiv w:val="1"/>
      <w:marLeft w:val="0"/>
      <w:marRight w:val="0"/>
      <w:marTop w:val="0"/>
      <w:marBottom w:val="0"/>
      <w:divBdr>
        <w:top w:val="none" w:sz="0" w:space="0" w:color="auto"/>
        <w:left w:val="none" w:sz="0" w:space="0" w:color="auto"/>
        <w:bottom w:val="none" w:sz="0" w:space="0" w:color="auto"/>
        <w:right w:val="none" w:sz="0" w:space="0" w:color="auto"/>
      </w:divBdr>
    </w:div>
    <w:div w:id="1238594022">
      <w:bodyDiv w:val="1"/>
      <w:marLeft w:val="0"/>
      <w:marRight w:val="0"/>
      <w:marTop w:val="0"/>
      <w:marBottom w:val="0"/>
      <w:divBdr>
        <w:top w:val="none" w:sz="0" w:space="0" w:color="auto"/>
        <w:left w:val="none" w:sz="0" w:space="0" w:color="auto"/>
        <w:bottom w:val="none" w:sz="0" w:space="0" w:color="auto"/>
        <w:right w:val="none" w:sz="0" w:space="0" w:color="auto"/>
      </w:divBdr>
    </w:div>
    <w:div w:id="1246501274">
      <w:bodyDiv w:val="1"/>
      <w:marLeft w:val="0"/>
      <w:marRight w:val="0"/>
      <w:marTop w:val="0"/>
      <w:marBottom w:val="0"/>
      <w:divBdr>
        <w:top w:val="none" w:sz="0" w:space="0" w:color="auto"/>
        <w:left w:val="none" w:sz="0" w:space="0" w:color="auto"/>
        <w:bottom w:val="none" w:sz="0" w:space="0" w:color="auto"/>
        <w:right w:val="none" w:sz="0" w:space="0" w:color="auto"/>
      </w:divBdr>
    </w:div>
    <w:div w:id="1285967147">
      <w:bodyDiv w:val="1"/>
      <w:marLeft w:val="0"/>
      <w:marRight w:val="0"/>
      <w:marTop w:val="0"/>
      <w:marBottom w:val="0"/>
      <w:divBdr>
        <w:top w:val="none" w:sz="0" w:space="0" w:color="auto"/>
        <w:left w:val="none" w:sz="0" w:space="0" w:color="auto"/>
        <w:bottom w:val="none" w:sz="0" w:space="0" w:color="auto"/>
        <w:right w:val="none" w:sz="0" w:space="0" w:color="auto"/>
      </w:divBdr>
    </w:div>
    <w:div w:id="1457871076">
      <w:bodyDiv w:val="1"/>
      <w:marLeft w:val="0"/>
      <w:marRight w:val="0"/>
      <w:marTop w:val="0"/>
      <w:marBottom w:val="0"/>
      <w:divBdr>
        <w:top w:val="none" w:sz="0" w:space="0" w:color="auto"/>
        <w:left w:val="none" w:sz="0" w:space="0" w:color="auto"/>
        <w:bottom w:val="none" w:sz="0" w:space="0" w:color="auto"/>
        <w:right w:val="none" w:sz="0" w:space="0" w:color="auto"/>
      </w:divBdr>
    </w:div>
    <w:div w:id="1486314849">
      <w:bodyDiv w:val="1"/>
      <w:marLeft w:val="0"/>
      <w:marRight w:val="0"/>
      <w:marTop w:val="0"/>
      <w:marBottom w:val="0"/>
      <w:divBdr>
        <w:top w:val="none" w:sz="0" w:space="0" w:color="auto"/>
        <w:left w:val="none" w:sz="0" w:space="0" w:color="auto"/>
        <w:bottom w:val="none" w:sz="0" w:space="0" w:color="auto"/>
        <w:right w:val="none" w:sz="0" w:space="0" w:color="auto"/>
      </w:divBdr>
    </w:div>
    <w:div w:id="1535315218">
      <w:bodyDiv w:val="1"/>
      <w:marLeft w:val="0"/>
      <w:marRight w:val="0"/>
      <w:marTop w:val="0"/>
      <w:marBottom w:val="0"/>
      <w:divBdr>
        <w:top w:val="none" w:sz="0" w:space="0" w:color="auto"/>
        <w:left w:val="none" w:sz="0" w:space="0" w:color="auto"/>
        <w:bottom w:val="none" w:sz="0" w:space="0" w:color="auto"/>
        <w:right w:val="none" w:sz="0" w:space="0" w:color="auto"/>
      </w:divBdr>
    </w:div>
    <w:div w:id="1540359254">
      <w:bodyDiv w:val="1"/>
      <w:marLeft w:val="0"/>
      <w:marRight w:val="0"/>
      <w:marTop w:val="0"/>
      <w:marBottom w:val="0"/>
      <w:divBdr>
        <w:top w:val="none" w:sz="0" w:space="0" w:color="auto"/>
        <w:left w:val="none" w:sz="0" w:space="0" w:color="auto"/>
        <w:bottom w:val="none" w:sz="0" w:space="0" w:color="auto"/>
        <w:right w:val="none" w:sz="0" w:space="0" w:color="auto"/>
      </w:divBdr>
    </w:div>
    <w:div w:id="1555892873">
      <w:bodyDiv w:val="1"/>
      <w:marLeft w:val="0"/>
      <w:marRight w:val="0"/>
      <w:marTop w:val="0"/>
      <w:marBottom w:val="0"/>
      <w:divBdr>
        <w:top w:val="none" w:sz="0" w:space="0" w:color="auto"/>
        <w:left w:val="none" w:sz="0" w:space="0" w:color="auto"/>
        <w:bottom w:val="none" w:sz="0" w:space="0" w:color="auto"/>
        <w:right w:val="none" w:sz="0" w:space="0" w:color="auto"/>
      </w:divBdr>
    </w:div>
    <w:div w:id="1643736012">
      <w:bodyDiv w:val="1"/>
      <w:marLeft w:val="0"/>
      <w:marRight w:val="0"/>
      <w:marTop w:val="0"/>
      <w:marBottom w:val="0"/>
      <w:divBdr>
        <w:top w:val="none" w:sz="0" w:space="0" w:color="auto"/>
        <w:left w:val="none" w:sz="0" w:space="0" w:color="auto"/>
        <w:bottom w:val="none" w:sz="0" w:space="0" w:color="auto"/>
        <w:right w:val="none" w:sz="0" w:space="0" w:color="auto"/>
      </w:divBdr>
    </w:div>
    <w:div w:id="1921406743">
      <w:bodyDiv w:val="1"/>
      <w:marLeft w:val="0"/>
      <w:marRight w:val="0"/>
      <w:marTop w:val="0"/>
      <w:marBottom w:val="0"/>
      <w:divBdr>
        <w:top w:val="none" w:sz="0" w:space="0" w:color="auto"/>
        <w:left w:val="none" w:sz="0" w:space="0" w:color="auto"/>
        <w:bottom w:val="none" w:sz="0" w:space="0" w:color="auto"/>
        <w:right w:val="none" w:sz="0" w:space="0" w:color="auto"/>
      </w:divBdr>
    </w:div>
    <w:div w:id="1926528303">
      <w:bodyDiv w:val="1"/>
      <w:marLeft w:val="0"/>
      <w:marRight w:val="0"/>
      <w:marTop w:val="0"/>
      <w:marBottom w:val="0"/>
      <w:divBdr>
        <w:top w:val="none" w:sz="0" w:space="0" w:color="auto"/>
        <w:left w:val="none" w:sz="0" w:space="0" w:color="auto"/>
        <w:bottom w:val="none" w:sz="0" w:space="0" w:color="auto"/>
        <w:right w:val="none" w:sz="0" w:space="0" w:color="auto"/>
      </w:divBdr>
    </w:div>
    <w:div w:id="2068872610">
      <w:bodyDiv w:val="1"/>
      <w:marLeft w:val="0"/>
      <w:marRight w:val="0"/>
      <w:marTop w:val="0"/>
      <w:marBottom w:val="0"/>
      <w:divBdr>
        <w:top w:val="none" w:sz="0" w:space="0" w:color="auto"/>
        <w:left w:val="none" w:sz="0" w:space="0" w:color="auto"/>
        <w:bottom w:val="none" w:sz="0" w:space="0" w:color="auto"/>
        <w:right w:val="none" w:sz="0" w:space="0" w:color="auto"/>
      </w:divBdr>
    </w:div>
    <w:div w:id="213767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gov.lv/lv/sadalas/tautsaimniecibas_analize/fiskala_politik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ga.Ozolina@fm.gov.lv" TargetMode="External"/><Relationship Id="rId4" Type="http://schemas.openxmlformats.org/officeDocument/2006/relationships/settings" Target="settings.xml"/><Relationship Id="rId9" Type="http://schemas.openxmlformats.org/officeDocument/2006/relationships/hyperlink" Target="mailto:fiskalie.dati@fm.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12A29-900A-4CC4-8A91-2228EC4B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3839</Words>
  <Characters>2189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Nosūtāmais dokuments</vt:lpstr>
    </vt:vector>
  </TitlesOfParts>
  <Company>Finanšu ministrija</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Nosūtāmais dokuments</dc:title>
  <dc:subject>Kārtība, kādā Finanšu ministrijā tiek nodrošināta </dc:subject>
  <dc:creator>Ozoliņa L.</dc:creator>
  <dc:description>Sagatavots ALS E-aprites vidē.</dc:description>
  <cp:lastModifiedBy>Baiba Bāne</cp:lastModifiedBy>
  <cp:revision>8</cp:revision>
  <cp:lastPrinted>2007-06-25T10:49:00Z</cp:lastPrinted>
  <dcterms:created xsi:type="dcterms:W3CDTF">2018-06-14T12:57:00Z</dcterms:created>
  <dcterms:modified xsi:type="dcterms:W3CDTF">2018-06-18T12:19:00Z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arkAsFinal">
    <vt:bool>true</vt:bool>
  </property>
</Properties>
</file>