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FC" w:rsidRPr="00911CE0" w:rsidRDefault="001E0AFC" w:rsidP="001E0AFC">
      <w:pPr>
        <w:spacing w:after="0" w:line="240" w:lineRule="auto"/>
        <w:jc w:val="right"/>
        <w:rPr>
          <w:rFonts w:ascii="Times New Roman" w:hAnsi="Times New Roman"/>
          <w:sz w:val="20"/>
        </w:rPr>
      </w:pPr>
      <w:bookmarkStart w:id="0" w:name="_GoBack"/>
      <w:bookmarkEnd w:id="0"/>
      <w:r w:rsidRPr="00911CE0">
        <w:rPr>
          <w:rFonts w:ascii="Times New Roman" w:hAnsi="Times New Roman"/>
          <w:sz w:val="20"/>
        </w:rPr>
        <w:t xml:space="preserve">2 .pielikums </w:t>
      </w:r>
    </w:p>
    <w:p w:rsidR="001E0AFC" w:rsidRPr="00911CE0" w:rsidRDefault="001E0AFC" w:rsidP="001E0AFC">
      <w:pPr>
        <w:spacing w:after="0" w:line="240" w:lineRule="auto"/>
        <w:jc w:val="right"/>
        <w:rPr>
          <w:rFonts w:ascii="Times New Roman" w:hAnsi="Times New Roman"/>
          <w:sz w:val="20"/>
        </w:rPr>
      </w:pPr>
      <w:r w:rsidRPr="00911CE0">
        <w:rPr>
          <w:rFonts w:ascii="Times New Roman" w:hAnsi="Times New Roman"/>
          <w:sz w:val="20"/>
        </w:rPr>
        <w:t>Finanšu ministrijas</w:t>
      </w:r>
    </w:p>
    <w:p w:rsidR="001E0AFC" w:rsidRPr="00911CE0" w:rsidRDefault="001E0AFC" w:rsidP="001E0AFC">
      <w:pPr>
        <w:spacing w:after="0" w:line="240" w:lineRule="auto"/>
        <w:jc w:val="right"/>
        <w:rPr>
          <w:rFonts w:ascii="Times New Roman" w:hAnsi="Times New Roman"/>
          <w:sz w:val="20"/>
        </w:rPr>
      </w:pPr>
      <w:r w:rsidRPr="00911CE0">
        <w:rPr>
          <w:rFonts w:ascii="Times New Roman" w:hAnsi="Times New Roman"/>
          <w:sz w:val="20"/>
        </w:rPr>
        <w:t xml:space="preserve"> </w:t>
      </w:r>
      <w:r>
        <w:rPr>
          <w:rFonts w:ascii="Times New Roman" w:hAnsi="Times New Roman"/>
          <w:sz w:val="20"/>
        </w:rPr>
        <w:t>2018</w:t>
      </w:r>
      <w:r w:rsidRPr="00911CE0">
        <w:rPr>
          <w:rFonts w:ascii="Times New Roman" w:hAnsi="Times New Roman"/>
          <w:sz w:val="20"/>
        </w:rPr>
        <w:t>.gada__________</w:t>
      </w:r>
    </w:p>
    <w:p w:rsidR="001E0AFC" w:rsidRPr="00911CE0" w:rsidRDefault="001E0AFC" w:rsidP="001E0AFC">
      <w:pPr>
        <w:spacing w:after="0" w:line="240" w:lineRule="auto"/>
        <w:jc w:val="right"/>
        <w:rPr>
          <w:rFonts w:ascii="Times New Roman" w:hAnsi="Times New Roman"/>
          <w:sz w:val="20"/>
        </w:rPr>
      </w:pPr>
      <w:r w:rsidRPr="00911CE0">
        <w:rPr>
          <w:rFonts w:ascii="Times New Roman" w:hAnsi="Times New Roman"/>
          <w:sz w:val="20"/>
        </w:rPr>
        <w:t>iekšējiem noteikumiem Nr.___</w:t>
      </w:r>
    </w:p>
    <w:p w:rsidR="001E0AFC" w:rsidRPr="00911CE0" w:rsidRDefault="001E0AFC" w:rsidP="001E0AFC">
      <w:pPr>
        <w:spacing w:after="0" w:line="240" w:lineRule="auto"/>
        <w:jc w:val="right"/>
        <w:rPr>
          <w:rFonts w:ascii="Times New Roman" w:hAnsi="Times New Roman"/>
          <w:sz w:val="20"/>
        </w:rPr>
      </w:pPr>
      <w:r w:rsidRPr="00911CE0">
        <w:rPr>
          <w:rFonts w:ascii="Times New Roman" w:hAnsi="Times New Roman"/>
          <w:sz w:val="20"/>
        </w:rPr>
        <w:t xml:space="preserve">“Kārtība, kādā Finanšu ministrijā tiek nodrošināta </w:t>
      </w:r>
    </w:p>
    <w:p w:rsidR="001E0AFC" w:rsidRPr="00911CE0" w:rsidRDefault="001E0AFC" w:rsidP="001E0AFC">
      <w:pPr>
        <w:spacing w:after="0" w:line="240" w:lineRule="auto"/>
        <w:jc w:val="right"/>
        <w:rPr>
          <w:rFonts w:ascii="Times New Roman" w:hAnsi="Times New Roman"/>
          <w:color w:val="000000" w:themeColor="text1"/>
          <w:sz w:val="20"/>
        </w:rPr>
      </w:pPr>
      <w:r w:rsidRPr="00911CE0">
        <w:rPr>
          <w:rFonts w:ascii="Times New Roman" w:hAnsi="Times New Roman"/>
          <w:color w:val="000000" w:themeColor="text1"/>
          <w:sz w:val="20"/>
        </w:rPr>
        <w:t xml:space="preserve">vidēja termiņa budžeta ietvara likuma projekta </w:t>
      </w:r>
    </w:p>
    <w:p w:rsidR="001E0AFC" w:rsidRPr="00911CE0" w:rsidRDefault="001E0AFC" w:rsidP="001E0AFC">
      <w:pPr>
        <w:spacing w:after="0" w:line="240" w:lineRule="auto"/>
        <w:jc w:val="right"/>
        <w:rPr>
          <w:rFonts w:ascii="Times New Roman" w:hAnsi="Times New Roman"/>
          <w:sz w:val="20"/>
        </w:rPr>
      </w:pPr>
      <w:r w:rsidRPr="00911CE0">
        <w:rPr>
          <w:rFonts w:ascii="Times New Roman" w:hAnsi="Times New Roman"/>
          <w:color w:val="000000" w:themeColor="text1"/>
          <w:sz w:val="20"/>
        </w:rPr>
        <w:t>un Stabilitātes programmas sagatavošana</w:t>
      </w:r>
      <w:r w:rsidRPr="00911CE0">
        <w:rPr>
          <w:rFonts w:ascii="Times New Roman" w:hAnsi="Times New Roman"/>
          <w:sz w:val="20"/>
        </w:rPr>
        <w:t>”</w:t>
      </w:r>
    </w:p>
    <w:p w:rsidR="001E0AFC" w:rsidRPr="00D377F3" w:rsidRDefault="001E0AFC" w:rsidP="001E0AFC">
      <w:pPr>
        <w:spacing w:after="0" w:line="240" w:lineRule="auto"/>
        <w:rPr>
          <w:rFonts w:ascii="Times New Roman" w:hAnsi="Times New Roman"/>
          <w:bCs/>
          <w:sz w:val="28"/>
          <w:szCs w:val="24"/>
          <w:lang w:eastAsia="lv-LV"/>
        </w:rPr>
      </w:pPr>
    </w:p>
    <w:p w:rsidR="001E0AFC" w:rsidRPr="00911CE0" w:rsidRDefault="001E0AFC" w:rsidP="001E0AFC">
      <w:pPr>
        <w:spacing w:after="0" w:line="240" w:lineRule="auto"/>
        <w:jc w:val="center"/>
        <w:rPr>
          <w:rFonts w:ascii="Times New Roman" w:hAnsi="Times New Roman"/>
          <w:b/>
          <w:bCs/>
          <w:sz w:val="24"/>
          <w:szCs w:val="24"/>
          <w:lang w:eastAsia="lv-LV"/>
        </w:rPr>
      </w:pPr>
      <w:r w:rsidRPr="00911CE0">
        <w:rPr>
          <w:rFonts w:ascii="Times New Roman" w:hAnsi="Times New Roman"/>
          <w:b/>
          <w:bCs/>
          <w:sz w:val="24"/>
          <w:szCs w:val="24"/>
          <w:lang w:eastAsia="lv-LV"/>
        </w:rPr>
        <w:t>Stabilitātes programmas iespējamās sadaļas un par tām atbildīgās FM struktūrvienības un citas institūcijas</w:t>
      </w:r>
    </w:p>
    <w:p w:rsidR="001E0AFC" w:rsidRPr="00911CE0" w:rsidRDefault="001E0AFC" w:rsidP="001E0AFC">
      <w:pPr>
        <w:pStyle w:val="ListParagraph"/>
        <w:numPr>
          <w:ilvl w:val="0"/>
          <w:numId w:val="1"/>
        </w:numPr>
        <w:jc w:val="center"/>
        <w:rPr>
          <w:rFonts w:ascii="Times New Roman" w:hAnsi="Times New Roman" w:cs="Times New Roman"/>
          <w:b/>
          <w:bCs/>
          <w:sz w:val="24"/>
          <w:szCs w:val="24"/>
          <w:lang w:eastAsia="lv-LV"/>
        </w:rPr>
      </w:pPr>
      <w:r w:rsidRPr="00911CE0">
        <w:rPr>
          <w:rFonts w:ascii="Times New Roman" w:hAnsi="Times New Roman" w:cs="Times New Roman"/>
          <w:b/>
          <w:bCs/>
          <w:sz w:val="24"/>
          <w:szCs w:val="24"/>
          <w:lang w:eastAsia="lv-LV"/>
        </w:rPr>
        <w:t>Stabilitātes programmas iespējamās sadaļas un par tām atbildīgās FM struktūrvienības un citas institūcijas</w:t>
      </w:r>
    </w:p>
    <w:p w:rsidR="001E0AFC" w:rsidRPr="00D377F3" w:rsidRDefault="001E0AFC" w:rsidP="001E0AFC">
      <w:pPr>
        <w:spacing w:after="0" w:line="240" w:lineRule="auto"/>
        <w:jc w:val="right"/>
        <w:rPr>
          <w:rFonts w:ascii="Times New Roman" w:hAnsi="Times New Roman"/>
          <w:bCs/>
          <w:sz w:val="28"/>
          <w:szCs w:val="24"/>
          <w:lang w:eastAsia="lv-LV"/>
        </w:rPr>
      </w:pPr>
    </w:p>
    <w:tbl>
      <w:tblPr>
        <w:tblW w:w="10201" w:type="dxa"/>
        <w:jc w:val="center"/>
        <w:tblLook w:val="04A0" w:firstRow="1" w:lastRow="0" w:firstColumn="1" w:lastColumn="0" w:noHBand="0" w:noVBand="1"/>
      </w:tblPr>
      <w:tblGrid>
        <w:gridCol w:w="7650"/>
        <w:gridCol w:w="2551"/>
      </w:tblGrid>
      <w:tr w:rsidR="001E0AFC" w:rsidRPr="00911CE0" w:rsidTr="00C610BD">
        <w:trPr>
          <w:trHeight w:val="315"/>
          <w:tblHeader/>
          <w:jc w:val="center"/>
        </w:trPr>
        <w:tc>
          <w:tcPr>
            <w:tcW w:w="765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1E0AFC" w:rsidRPr="00911CE0" w:rsidRDefault="001E0AFC" w:rsidP="00C610BD">
            <w:pPr>
              <w:spacing w:after="0" w:line="240" w:lineRule="auto"/>
              <w:jc w:val="center"/>
              <w:rPr>
                <w:rFonts w:ascii="Times New Roman" w:hAnsi="Times New Roman"/>
                <w:b/>
                <w:bCs/>
                <w:color w:val="000000"/>
                <w:sz w:val="20"/>
                <w:szCs w:val="24"/>
                <w:lang w:eastAsia="lv-LV"/>
              </w:rPr>
            </w:pPr>
            <w:r w:rsidRPr="00911CE0">
              <w:rPr>
                <w:rFonts w:ascii="Times New Roman" w:hAnsi="Times New Roman"/>
                <w:b/>
                <w:bCs/>
                <w:color w:val="000000"/>
                <w:sz w:val="20"/>
                <w:szCs w:val="24"/>
                <w:lang w:eastAsia="lv-LV"/>
              </w:rPr>
              <w:t>Stabilitātes programmas sadaļas</w:t>
            </w:r>
          </w:p>
        </w:tc>
        <w:tc>
          <w:tcPr>
            <w:tcW w:w="2551" w:type="dxa"/>
            <w:tcBorders>
              <w:top w:val="single" w:sz="4" w:space="0" w:color="auto"/>
              <w:left w:val="nil"/>
              <w:bottom w:val="single" w:sz="4" w:space="0" w:color="auto"/>
              <w:right w:val="single" w:sz="4" w:space="0" w:color="auto"/>
            </w:tcBorders>
            <w:shd w:val="clear" w:color="000000" w:fill="B8CCE4"/>
            <w:noWrap/>
            <w:vAlign w:val="center"/>
            <w:hideMark/>
          </w:tcPr>
          <w:p w:rsidR="001E0AFC" w:rsidRPr="00911CE0" w:rsidRDefault="001E0AFC" w:rsidP="00C610BD">
            <w:pPr>
              <w:spacing w:after="0" w:line="240" w:lineRule="auto"/>
              <w:jc w:val="center"/>
              <w:rPr>
                <w:rFonts w:ascii="Times New Roman" w:hAnsi="Times New Roman"/>
                <w:b/>
                <w:bCs/>
                <w:color w:val="000000"/>
                <w:sz w:val="20"/>
                <w:szCs w:val="24"/>
                <w:lang w:eastAsia="lv-LV"/>
              </w:rPr>
            </w:pPr>
            <w:r w:rsidRPr="00911CE0">
              <w:rPr>
                <w:rFonts w:ascii="Times New Roman" w:hAnsi="Times New Roman"/>
                <w:b/>
                <w:bCs/>
                <w:sz w:val="20"/>
                <w:szCs w:val="24"/>
              </w:rPr>
              <w:t>Atbildīgā struktūrvienība</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D9D9D9"/>
            <w:noWrap/>
            <w:vAlign w:val="bottom"/>
            <w:hideMark/>
          </w:tcPr>
          <w:p w:rsidR="001E0AFC" w:rsidRPr="00911CE0" w:rsidRDefault="001E0AFC" w:rsidP="00C610BD">
            <w:pPr>
              <w:spacing w:after="0" w:line="240" w:lineRule="auto"/>
              <w:rPr>
                <w:rFonts w:ascii="Times New Roman" w:hAnsi="Times New Roman"/>
                <w:b/>
                <w:bCs/>
                <w:color w:val="000000"/>
                <w:sz w:val="20"/>
                <w:szCs w:val="24"/>
                <w:lang w:eastAsia="lv-LV"/>
              </w:rPr>
            </w:pPr>
            <w:r w:rsidRPr="00911CE0">
              <w:rPr>
                <w:rFonts w:ascii="Times New Roman" w:hAnsi="Times New Roman"/>
                <w:b/>
                <w:bCs/>
                <w:color w:val="000000"/>
                <w:sz w:val="20"/>
                <w:szCs w:val="24"/>
                <w:lang w:eastAsia="lv-LV"/>
              </w:rPr>
              <w:t>1 Vispārējās ekonomiskās politikas vadlīnijas un mērķi</w:t>
            </w:r>
          </w:p>
        </w:tc>
        <w:tc>
          <w:tcPr>
            <w:tcW w:w="2551" w:type="dxa"/>
            <w:tcBorders>
              <w:top w:val="nil"/>
              <w:left w:val="nil"/>
              <w:bottom w:val="single" w:sz="4" w:space="0" w:color="auto"/>
              <w:right w:val="single" w:sz="4" w:space="0" w:color="auto"/>
            </w:tcBorders>
            <w:shd w:val="clear" w:color="000000" w:fill="D9D9D9"/>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FPD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D9D9D9"/>
            <w:noWrap/>
            <w:vAlign w:val="bottom"/>
            <w:hideMark/>
          </w:tcPr>
          <w:p w:rsidR="001E0AFC" w:rsidRPr="00911CE0" w:rsidRDefault="001E0AFC" w:rsidP="00C610BD">
            <w:pPr>
              <w:spacing w:after="0" w:line="240" w:lineRule="auto"/>
              <w:rPr>
                <w:rFonts w:ascii="Times New Roman" w:hAnsi="Times New Roman"/>
                <w:b/>
                <w:bCs/>
                <w:color w:val="000000"/>
                <w:sz w:val="20"/>
                <w:szCs w:val="24"/>
                <w:lang w:eastAsia="lv-LV"/>
              </w:rPr>
            </w:pPr>
            <w:r w:rsidRPr="00911CE0">
              <w:rPr>
                <w:rFonts w:ascii="Times New Roman" w:hAnsi="Times New Roman"/>
                <w:b/>
                <w:bCs/>
                <w:color w:val="000000"/>
                <w:sz w:val="20"/>
                <w:szCs w:val="24"/>
                <w:lang w:eastAsia="lv-LV"/>
              </w:rPr>
              <w:t>2 Ekonomiskā situācija</w:t>
            </w:r>
          </w:p>
        </w:tc>
        <w:tc>
          <w:tcPr>
            <w:tcW w:w="2551" w:type="dxa"/>
            <w:tcBorders>
              <w:top w:val="nil"/>
              <w:left w:val="nil"/>
              <w:bottom w:val="single" w:sz="4" w:space="0" w:color="auto"/>
              <w:right w:val="single" w:sz="4" w:space="0" w:color="auto"/>
            </w:tcBorders>
            <w:shd w:val="clear" w:color="000000" w:fill="D9D9D9"/>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 </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2.1. Ārējā ekonomiskā vide</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TAD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2.2. Pašreizējā ekonomiskā attīstība</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TAD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2.3. Makroekonomiskās attīstības scenārijs</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TAD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D9D9D9"/>
            <w:noWrap/>
            <w:vAlign w:val="bottom"/>
            <w:hideMark/>
          </w:tcPr>
          <w:p w:rsidR="001E0AFC" w:rsidRPr="00911CE0" w:rsidRDefault="001E0AFC" w:rsidP="00C610BD">
            <w:pPr>
              <w:spacing w:after="0" w:line="240" w:lineRule="auto"/>
              <w:rPr>
                <w:rFonts w:ascii="Times New Roman" w:hAnsi="Times New Roman"/>
                <w:b/>
                <w:bCs/>
                <w:color w:val="000000"/>
                <w:sz w:val="20"/>
                <w:szCs w:val="24"/>
                <w:lang w:eastAsia="lv-LV"/>
              </w:rPr>
            </w:pPr>
            <w:r w:rsidRPr="00911CE0">
              <w:rPr>
                <w:rFonts w:ascii="Times New Roman" w:hAnsi="Times New Roman"/>
                <w:b/>
                <w:bCs/>
                <w:color w:val="000000"/>
                <w:sz w:val="20"/>
                <w:szCs w:val="24"/>
                <w:lang w:eastAsia="lv-LV"/>
              </w:rPr>
              <w:t>3 Vispārējās valdības budžeta bilance un parāds</w:t>
            </w:r>
          </w:p>
        </w:tc>
        <w:tc>
          <w:tcPr>
            <w:tcW w:w="2551" w:type="dxa"/>
            <w:tcBorders>
              <w:top w:val="nil"/>
              <w:left w:val="nil"/>
              <w:bottom w:val="single" w:sz="4" w:space="0" w:color="auto"/>
              <w:right w:val="single" w:sz="4" w:space="0" w:color="auto"/>
            </w:tcBorders>
            <w:shd w:val="clear" w:color="000000" w:fill="D9D9D9"/>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 </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3.1. Pašreizējā fiskālā situācija</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FPD, TAD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3.2. Fiskālās attīstības scenārijs</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FPD, TAD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3.3. Vidēja termiņa mērķis un strukturālā bilance</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Pr>
                <w:rFonts w:ascii="Times New Roman" w:hAnsi="Times New Roman"/>
                <w:color w:val="000000"/>
                <w:sz w:val="20"/>
                <w:szCs w:val="24"/>
                <w:lang w:eastAsia="lv-LV"/>
              </w:rPr>
              <w:t>FPD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3.4. Valdības parāda vidējā termiņa attīstības tendences</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Valsts kase</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D9D9D9"/>
            <w:noWrap/>
            <w:vAlign w:val="bottom"/>
            <w:hideMark/>
          </w:tcPr>
          <w:p w:rsidR="001E0AFC" w:rsidRPr="00911CE0" w:rsidRDefault="001E0AFC" w:rsidP="00C610BD">
            <w:pPr>
              <w:spacing w:after="0" w:line="240" w:lineRule="auto"/>
              <w:rPr>
                <w:rFonts w:ascii="Times New Roman" w:hAnsi="Times New Roman"/>
                <w:b/>
                <w:bCs/>
                <w:color w:val="000000"/>
                <w:sz w:val="20"/>
                <w:szCs w:val="24"/>
                <w:lang w:eastAsia="lv-LV"/>
              </w:rPr>
            </w:pPr>
            <w:r w:rsidRPr="00911CE0">
              <w:rPr>
                <w:rFonts w:ascii="Times New Roman" w:hAnsi="Times New Roman"/>
                <w:b/>
                <w:bCs/>
                <w:color w:val="000000"/>
                <w:sz w:val="20"/>
                <w:szCs w:val="24"/>
                <w:lang w:eastAsia="lv-LV"/>
              </w:rPr>
              <w:t>4. Jutīguma analīze un salīdzinājums</w:t>
            </w:r>
          </w:p>
        </w:tc>
        <w:tc>
          <w:tcPr>
            <w:tcW w:w="2551" w:type="dxa"/>
            <w:tcBorders>
              <w:top w:val="nil"/>
              <w:left w:val="nil"/>
              <w:bottom w:val="single" w:sz="4" w:space="0" w:color="auto"/>
              <w:right w:val="single" w:sz="4" w:space="0" w:color="auto"/>
            </w:tcBorders>
            <w:shd w:val="clear" w:color="000000" w:fill="D9D9D9"/>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 </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4.1. Makroekonomiskā scenārija riski</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TAD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4.2. Jutīguma analīze</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TAD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D9D9D9"/>
            <w:noWrap/>
            <w:vAlign w:val="bottom"/>
            <w:hideMark/>
          </w:tcPr>
          <w:p w:rsidR="001E0AFC" w:rsidRPr="00911CE0" w:rsidRDefault="001E0AFC" w:rsidP="00C610BD">
            <w:pPr>
              <w:spacing w:after="0" w:line="240" w:lineRule="auto"/>
              <w:rPr>
                <w:rFonts w:ascii="Times New Roman" w:hAnsi="Times New Roman"/>
                <w:b/>
                <w:bCs/>
                <w:color w:val="000000"/>
                <w:sz w:val="20"/>
                <w:szCs w:val="24"/>
                <w:lang w:eastAsia="lv-LV"/>
              </w:rPr>
            </w:pPr>
            <w:r w:rsidRPr="00911CE0">
              <w:rPr>
                <w:rFonts w:ascii="Times New Roman" w:hAnsi="Times New Roman"/>
                <w:b/>
                <w:bCs/>
                <w:color w:val="000000"/>
                <w:sz w:val="20"/>
                <w:szCs w:val="24"/>
                <w:lang w:eastAsia="lv-LV"/>
              </w:rPr>
              <w:t>5.</w:t>
            </w:r>
            <w:r>
              <w:rPr>
                <w:rFonts w:ascii="Times New Roman" w:hAnsi="Times New Roman"/>
                <w:b/>
                <w:bCs/>
                <w:color w:val="000000"/>
                <w:sz w:val="20"/>
                <w:szCs w:val="24"/>
                <w:lang w:eastAsia="lv-LV"/>
              </w:rPr>
              <w:t xml:space="preserve"> </w:t>
            </w:r>
            <w:r w:rsidRPr="00911CE0">
              <w:rPr>
                <w:rFonts w:ascii="Times New Roman" w:hAnsi="Times New Roman"/>
                <w:b/>
                <w:bCs/>
                <w:color w:val="000000"/>
                <w:sz w:val="20"/>
                <w:szCs w:val="24"/>
                <w:lang w:eastAsia="lv-LV"/>
              </w:rPr>
              <w:t>Salīdzinājums ar iepriekšējā perioda Latvijas Stabilitātes programmu</w:t>
            </w:r>
          </w:p>
        </w:tc>
        <w:tc>
          <w:tcPr>
            <w:tcW w:w="2551" w:type="dxa"/>
            <w:tcBorders>
              <w:top w:val="nil"/>
              <w:left w:val="nil"/>
              <w:bottom w:val="single" w:sz="4" w:space="0" w:color="auto"/>
              <w:right w:val="single" w:sz="4" w:space="0" w:color="auto"/>
            </w:tcBorders>
            <w:shd w:val="clear" w:color="000000" w:fill="D9D9D9"/>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TAD, Valsts kase </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D9D9D9"/>
            <w:noWrap/>
            <w:vAlign w:val="bottom"/>
            <w:hideMark/>
          </w:tcPr>
          <w:p w:rsidR="001E0AFC" w:rsidRPr="00911CE0" w:rsidRDefault="001E0AFC" w:rsidP="00C610BD">
            <w:pPr>
              <w:spacing w:after="0" w:line="240" w:lineRule="auto"/>
              <w:rPr>
                <w:rFonts w:ascii="Times New Roman" w:hAnsi="Times New Roman"/>
                <w:b/>
                <w:bCs/>
                <w:color w:val="000000"/>
                <w:sz w:val="20"/>
                <w:szCs w:val="24"/>
                <w:lang w:eastAsia="lv-LV"/>
              </w:rPr>
            </w:pPr>
            <w:r w:rsidRPr="00911CE0">
              <w:rPr>
                <w:rFonts w:ascii="Times New Roman" w:hAnsi="Times New Roman"/>
                <w:b/>
                <w:bCs/>
                <w:color w:val="000000"/>
                <w:sz w:val="20"/>
                <w:szCs w:val="24"/>
                <w:lang w:eastAsia="lv-LV"/>
              </w:rPr>
              <w:t>6. Valsts finanšu kvalitāte</w:t>
            </w:r>
          </w:p>
        </w:tc>
        <w:tc>
          <w:tcPr>
            <w:tcW w:w="2551" w:type="dxa"/>
            <w:tcBorders>
              <w:top w:val="nil"/>
              <w:left w:val="nil"/>
              <w:bottom w:val="single" w:sz="4" w:space="0" w:color="auto"/>
              <w:right w:val="single" w:sz="4" w:space="0" w:color="auto"/>
            </w:tcBorders>
            <w:shd w:val="clear" w:color="000000" w:fill="D9D9D9"/>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 </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6.1. Valsts budžeta līdzekļu efektivitāte un izlietojuma kontrole</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FVMD, BD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6.2. Ieņēmumu struktūras un sistēmas efektivitāte</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NAD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D9D9D9"/>
            <w:noWrap/>
            <w:vAlign w:val="bottom"/>
            <w:hideMark/>
          </w:tcPr>
          <w:p w:rsidR="001E0AFC" w:rsidRPr="00911CE0" w:rsidRDefault="001E0AFC" w:rsidP="00C610BD">
            <w:pPr>
              <w:spacing w:after="0" w:line="240" w:lineRule="auto"/>
              <w:rPr>
                <w:rFonts w:ascii="Times New Roman" w:hAnsi="Times New Roman"/>
                <w:b/>
                <w:bCs/>
                <w:color w:val="000000"/>
                <w:sz w:val="20"/>
                <w:szCs w:val="24"/>
                <w:lang w:eastAsia="lv-LV"/>
              </w:rPr>
            </w:pPr>
            <w:r w:rsidRPr="00911CE0">
              <w:rPr>
                <w:rFonts w:ascii="Times New Roman" w:hAnsi="Times New Roman"/>
                <w:b/>
                <w:bCs/>
                <w:color w:val="000000"/>
                <w:sz w:val="20"/>
                <w:szCs w:val="24"/>
                <w:lang w:eastAsia="lv-LV"/>
              </w:rPr>
              <w:t>7. Publisko finanšu ilgtspēja</w:t>
            </w:r>
          </w:p>
        </w:tc>
        <w:tc>
          <w:tcPr>
            <w:tcW w:w="2551" w:type="dxa"/>
            <w:tcBorders>
              <w:top w:val="nil"/>
              <w:left w:val="nil"/>
              <w:bottom w:val="single" w:sz="4" w:space="0" w:color="auto"/>
              <w:right w:val="single" w:sz="4" w:space="0" w:color="auto"/>
            </w:tcBorders>
            <w:shd w:val="clear" w:color="000000" w:fill="D9D9D9"/>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 </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7.1. Publisko finanšu ilgtermiņa attīstības scenārijs</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TAD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7.2. Valsts sniegtie galvojumi</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Valsts kase</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D9D9D9"/>
            <w:noWrap/>
            <w:vAlign w:val="bottom"/>
            <w:hideMark/>
          </w:tcPr>
          <w:p w:rsidR="001E0AFC" w:rsidRPr="00911CE0" w:rsidRDefault="001E0AFC" w:rsidP="00C610BD">
            <w:pPr>
              <w:spacing w:after="0" w:line="240" w:lineRule="auto"/>
              <w:rPr>
                <w:rFonts w:ascii="Times New Roman" w:hAnsi="Times New Roman"/>
                <w:b/>
                <w:bCs/>
                <w:color w:val="000000"/>
                <w:sz w:val="20"/>
                <w:szCs w:val="24"/>
                <w:lang w:eastAsia="lv-LV"/>
              </w:rPr>
            </w:pPr>
            <w:r w:rsidRPr="00911CE0">
              <w:rPr>
                <w:rFonts w:ascii="Times New Roman" w:hAnsi="Times New Roman"/>
                <w:b/>
                <w:bCs/>
                <w:color w:val="000000"/>
                <w:sz w:val="20"/>
                <w:szCs w:val="24"/>
                <w:lang w:eastAsia="lv-LV"/>
              </w:rPr>
              <w:t>8. Valsts finanšu institucionālās iezīmes</w:t>
            </w:r>
          </w:p>
        </w:tc>
        <w:tc>
          <w:tcPr>
            <w:tcW w:w="2551" w:type="dxa"/>
            <w:tcBorders>
              <w:top w:val="nil"/>
              <w:left w:val="nil"/>
              <w:bottom w:val="single" w:sz="4" w:space="0" w:color="auto"/>
              <w:right w:val="single" w:sz="4" w:space="0" w:color="auto"/>
            </w:tcBorders>
            <w:shd w:val="clear" w:color="000000" w:fill="D9D9D9"/>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 </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8.1. Valsts budžeta noteikumu ieviešana un citas institucionālās attīstības attiecībā uz valsts finansēm</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PFDUFD, FPD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8.2. Vidējā termiņa budžeta plānošana</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FPD, FVMD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8.3. Budžeta procedūras, t.sk. valsts finanšu statistikas pārvalde</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 </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8.3.1. Budžeta procedūras</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FVMD, PFDUFD, BD, FPD</w:t>
            </w:r>
          </w:p>
        </w:tc>
      </w:tr>
      <w:tr w:rsidR="001E0AFC" w:rsidRPr="00911CE0" w:rsidTr="00C610BD">
        <w:trPr>
          <w:trHeight w:val="300"/>
          <w:jc w:val="center"/>
        </w:trPr>
        <w:tc>
          <w:tcPr>
            <w:tcW w:w="7650" w:type="dxa"/>
            <w:tcBorders>
              <w:top w:val="nil"/>
              <w:left w:val="single" w:sz="4" w:space="0" w:color="auto"/>
              <w:bottom w:val="single" w:sz="4" w:space="0" w:color="auto"/>
              <w:right w:val="single" w:sz="4" w:space="0" w:color="auto"/>
            </w:tcBorders>
            <w:shd w:val="clear" w:color="000000" w:fill="FFFFFF"/>
            <w:noWrap/>
            <w:vAlign w:val="bottom"/>
            <w:hideMark/>
          </w:tcPr>
          <w:p w:rsidR="001E0AFC" w:rsidRPr="00911CE0" w:rsidRDefault="001E0AFC" w:rsidP="00C610BD">
            <w:pPr>
              <w:spacing w:after="0" w:line="240" w:lineRule="auto"/>
              <w:rPr>
                <w:rFonts w:ascii="Times New Roman" w:hAnsi="Times New Roman"/>
                <w:color w:val="000000"/>
                <w:sz w:val="20"/>
                <w:szCs w:val="24"/>
                <w:lang w:eastAsia="lv-LV"/>
              </w:rPr>
            </w:pPr>
            <w:r w:rsidRPr="00911CE0">
              <w:rPr>
                <w:rFonts w:ascii="Times New Roman" w:hAnsi="Times New Roman"/>
                <w:color w:val="000000"/>
                <w:sz w:val="20"/>
                <w:szCs w:val="24"/>
                <w:lang w:eastAsia="lv-LV"/>
              </w:rPr>
              <w:t>8.3.2. Valsts finanšu statistikas pārvaldība</w:t>
            </w:r>
          </w:p>
        </w:tc>
        <w:tc>
          <w:tcPr>
            <w:tcW w:w="2551" w:type="dxa"/>
            <w:tcBorders>
              <w:top w:val="nil"/>
              <w:left w:val="nil"/>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hAnsi="Times New Roman"/>
                <w:color w:val="000000"/>
                <w:sz w:val="20"/>
                <w:szCs w:val="24"/>
                <w:lang w:eastAsia="lv-LV"/>
              </w:rPr>
            </w:pPr>
            <w:r w:rsidRPr="00911CE0">
              <w:rPr>
                <w:rFonts w:ascii="Times New Roman" w:hAnsi="Times New Roman"/>
                <w:color w:val="000000"/>
                <w:sz w:val="20"/>
                <w:szCs w:val="24"/>
                <w:lang w:eastAsia="lv-LV"/>
              </w:rPr>
              <w:t>CSP</w:t>
            </w:r>
          </w:p>
        </w:tc>
      </w:tr>
    </w:tbl>
    <w:p w:rsidR="001E0AFC" w:rsidRDefault="001E0AFC" w:rsidP="001E0AFC">
      <w:pPr>
        <w:spacing w:after="0" w:line="240" w:lineRule="auto"/>
        <w:rPr>
          <w:rFonts w:ascii="Times New Roman" w:hAnsi="Times New Roman"/>
          <w:sz w:val="24"/>
          <w:szCs w:val="24"/>
        </w:rPr>
      </w:pPr>
    </w:p>
    <w:p w:rsidR="001E0AFC" w:rsidRDefault="001E0AFC" w:rsidP="001E0AFC">
      <w:pPr>
        <w:widowControl/>
        <w:spacing w:after="0" w:line="240" w:lineRule="auto"/>
        <w:rPr>
          <w:rFonts w:ascii="Times New Roman" w:hAnsi="Times New Roman"/>
          <w:b/>
          <w:bCs/>
          <w:sz w:val="28"/>
          <w:szCs w:val="24"/>
          <w:lang w:eastAsia="lv-LV"/>
        </w:rPr>
      </w:pPr>
      <w:r>
        <w:rPr>
          <w:rFonts w:ascii="Times New Roman" w:hAnsi="Times New Roman"/>
          <w:b/>
          <w:bCs/>
          <w:sz w:val="28"/>
          <w:szCs w:val="24"/>
          <w:lang w:eastAsia="lv-LV"/>
        </w:rPr>
        <w:br w:type="page"/>
      </w:r>
    </w:p>
    <w:p w:rsidR="001E0AFC" w:rsidRPr="00911CE0" w:rsidRDefault="001E0AFC" w:rsidP="001E0AFC">
      <w:pPr>
        <w:pStyle w:val="ListParagraph"/>
        <w:numPr>
          <w:ilvl w:val="0"/>
          <w:numId w:val="1"/>
        </w:numPr>
        <w:jc w:val="center"/>
        <w:rPr>
          <w:rFonts w:ascii="Times New Roman" w:hAnsi="Times New Roman" w:cs="Times New Roman"/>
          <w:b/>
          <w:bCs/>
          <w:sz w:val="24"/>
          <w:szCs w:val="24"/>
          <w:lang w:eastAsia="lv-LV"/>
        </w:rPr>
      </w:pPr>
      <w:r w:rsidRPr="00911CE0">
        <w:rPr>
          <w:rFonts w:ascii="Times New Roman" w:hAnsi="Times New Roman" w:cs="Times New Roman"/>
          <w:b/>
          <w:bCs/>
          <w:sz w:val="24"/>
          <w:szCs w:val="24"/>
          <w:lang w:eastAsia="lv-LV"/>
        </w:rPr>
        <w:lastRenderedPageBreak/>
        <w:t>Stabilitātes programmas sagatavošanas grafiks pa posmiem</w:t>
      </w:r>
    </w:p>
    <w:p w:rsidR="001E0AFC" w:rsidRPr="00D377F3" w:rsidRDefault="001E0AFC" w:rsidP="001E0AFC">
      <w:pPr>
        <w:spacing w:after="0" w:line="240" w:lineRule="auto"/>
        <w:jc w:val="right"/>
        <w:rPr>
          <w:rFonts w:ascii="Times New Roman" w:hAnsi="Times New Roman"/>
          <w:bCs/>
          <w:sz w:val="20"/>
          <w:szCs w:val="24"/>
          <w:lang w:eastAsia="lv-LV"/>
        </w:rPr>
      </w:pPr>
    </w:p>
    <w:p w:rsidR="001E0AFC" w:rsidRDefault="001E0AFC" w:rsidP="001E0AFC">
      <w:pPr>
        <w:tabs>
          <w:tab w:val="left" w:pos="9135"/>
        </w:tabs>
        <w:spacing w:after="0" w:line="240" w:lineRule="auto"/>
        <w:rPr>
          <w:rFonts w:ascii="Times New Roman" w:hAnsi="Times New Roman"/>
          <w:bCs/>
          <w:sz w:val="24"/>
          <w:szCs w:val="24"/>
          <w:lang w:eastAsia="lv-LV"/>
        </w:rPr>
      </w:pPr>
    </w:p>
    <w:tbl>
      <w:tblPr>
        <w:tblW w:w="10201" w:type="dxa"/>
        <w:jc w:val="center"/>
        <w:tblLook w:val="04A0" w:firstRow="1" w:lastRow="0" w:firstColumn="1" w:lastColumn="0" w:noHBand="0" w:noVBand="1"/>
      </w:tblPr>
      <w:tblGrid>
        <w:gridCol w:w="704"/>
        <w:gridCol w:w="6150"/>
        <w:gridCol w:w="1505"/>
        <w:gridCol w:w="1842"/>
      </w:tblGrid>
      <w:tr w:rsidR="001E0AFC" w:rsidRPr="00911CE0" w:rsidTr="00C610BD">
        <w:trPr>
          <w:trHeight w:val="379"/>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E0AFC" w:rsidRPr="00911CE0" w:rsidRDefault="001E0AFC" w:rsidP="00C610BD">
            <w:pPr>
              <w:spacing w:after="0" w:line="240" w:lineRule="auto"/>
              <w:ind w:left="-120" w:right="-71"/>
              <w:jc w:val="center"/>
              <w:rPr>
                <w:rFonts w:ascii="Times New Roman" w:eastAsia="Times New Roman" w:hAnsi="Times New Roman"/>
                <w:b/>
                <w:bCs/>
                <w:sz w:val="20"/>
                <w:lang w:eastAsia="lv-LV"/>
              </w:rPr>
            </w:pPr>
            <w:r w:rsidRPr="00911CE0">
              <w:rPr>
                <w:rFonts w:ascii="Times New Roman" w:eastAsia="Times New Roman" w:hAnsi="Times New Roman"/>
                <w:b/>
                <w:bCs/>
                <w:sz w:val="20"/>
                <w:lang w:eastAsia="lv-LV"/>
              </w:rPr>
              <w:t>Nr.p.k.</w:t>
            </w:r>
          </w:p>
        </w:tc>
        <w:tc>
          <w:tcPr>
            <w:tcW w:w="61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E0AFC" w:rsidRPr="00911CE0" w:rsidRDefault="001E0AFC" w:rsidP="00C610BD">
            <w:pPr>
              <w:spacing w:after="0" w:line="240" w:lineRule="auto"/>
              <w:jc w:val="center"/>
              <w:rPr>
                <w:rFonts w:ascii="Times New Roman" w:eastAsia="Times New Roman" w:hAnsi="Times New Roman"/>
                <w:b/>
                <w:bCs/>
                <w:sz w:val="20"/>
                <w:lang w:eastAsia="lv-LV"/>
              </w:rPr>
            </w:pPr>
            <w:r w:rsidRPr="00911CE0">
              <w:rPr>
                <w:rFonts w:ascii="Times New Roman" w:eastAsia="Times New Roman" w:hAnsi="Times New Roman"/>
                <w:b/>
                <w:bCs/>
                <w:sz w:val="20"/>
                <w:lang w:eastAsia="lv-LV"/>
              </w:rPr>
              <w:t>Informācijas sagatavošanas posmi</w:t>
            </w:r>
          </w:p>
        </w:tc>
        <w:tc>
          <w:tcPr>
            <w:tcW w:w="15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E0AFC" w:rsidRPr="00911CE0" w:rsidRDefault="001E0AFC" w:rsidP="00C610BD">
            <w:pPr>
              <w:spacing w:after="0" w:line="240" w:lineRule="auto"/>
              <w:jc w:val="center"/>
              <w:rPr>
                <w:rFonts w:ascii="Times New Roman" w:eastAsia="Times New Roman" w:hAnsi="Times New Roman"/>
                <w:b/>
                <w:bCs/>
                <w:sz w:val="20"/>
                <w:lang w:eastAsia="lv-LV"/>
              </w:rPr>
            </w:pPr>
            <w:r w:rsidRPr="00911CE0">
              <w:rPr>
                <w:rFonts w:ascii="Times New Roman" w:eastAsia="Times New Roman" w:hAnsi="Times New Roman"/>
                <w:b/>
                <w:bCs/>
                <w:sz w:val="20"/>
                <w:lang w:eastAsia="lv-LV"/>
              </w:rPr>
              <w:t>Sagatavotājs</w:t>
            </w: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E0AFC" w:rsidRPr="00911CE0" w:rsidRDefault="001E0AFC" w:rsidP="00C610BD">
            <w:pPr>
              <w:spacing w:after="0" w:line="240" w:lineRule="auto"/>
              <w:jc w:val="center"/>
              <w:rPr>
                <w:rFonts w:ascii="Times New Roman" w:eastAsia="Times New Roman" w:hAnsi="Times New Roman"/>
                <w:b/>
                <w:bCs/>
                <w:sz w:val="20"/>
                <w:lang w:eastAsia="lv-LV"/>
              </w:rPr>
            </w:pPr>
            <w:r w:rsidRPr="00911CE0">
              <w:rPr>
                <w:rFonts w:ascii="Times New Roman" w:eastAsia="Times New Roman" w:hAnsi="Times New Roman"/>
                <w:b/>
                <w:bCs/>
                <w:sz w:val="20"/>
                <w:lang w:eastAsia="lv-LV"/>
              </w:rPr>
              <w:t>Saņēmējs</w:t>
            </w:r>
          </w:p>
        </w:tc>
      </w:tr>
      <w:tr w:rsidR="001E0AFC" w:rsidRPr="00911CE0" w:rsidTr="00C610BD">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both"/>
              <w:rPr>
                <w:rFonts w:ascii="Times New Roman" w:eastAsia="Times New Roman" w:hAnsi="Times New Roman"/>
                <w:sz w:val="20"/>
                <w:lang w:eastAsia="lv-LV"/>
              </w:rPr>
            </w:pPr>
            <w:r w:rsidRPr="00911CE0">
              <w:rPr>
                <w:rFonts w:ascii="Times New Roman" w:eastAsia="Times New Roman" w:hAnsi="Times New Roman"/>
                <w:sz w:val="20"/>
                <w:lang w:eastAsia="lv-LV"/>
              </w:rPr>
              <w:t>IKP ātrais novērtējums</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CSP</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TAD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2</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Makroprognozes tiek nosūtīts saskaņošanai</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TAD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Fiskālās disciplīnas padome</w:t>
            </w:r>
          </w:p>
        </w:tc>
      </w:tr>
      <w:tr w:rsidR="001E0AFC" w:rsidRPr="00911CE0" w:rsidTr="00C610BD">
        <w:trPr>
          <w:trHeight w:val="509"/>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3</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 xml:space="preserve">Labklājības ministrijai tiek nosūtīts informācijas pieprasījums par valsts speciālā budžeta prognožu sagatavošanu periodam no n līdz n+3 gadiem. </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FM (FPD)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Labklājības ministrija</w:t>
            </w:r>
          </w:p>
        </w:tc>
      </w:tr>
      <w:tr w:rsidR="001E0AFC" w:rsidRPr="00911CE0" w:rsidTr="00C610BD">
        <w:trPr>
          <w:trHeight w:val="403"/>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4</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Diskusijas ar Latvijas Banku un Ekonomikas ministriju par makroprognozēm</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TAD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Latvijas Banka, Ekonomikas ministrija</w:t>
            </w:r>
          </w:p>
        </w:tc>
      </w:tr>
      <w:tr w:rsidR="001E0AFC" w:rsidRPr="00911CE0" w:rsidTr="00C610BD">
        <w:trPr>
          <w:trHeight w:val="403"/>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E0AFC" w:rsidRPr="00911CE0" w:rsidRDefault="001E0AFC" w:rsidP="00C610BD">
            <w:pPr>
              <w:spacing w:after="0" w:line="240" w:lineRule="auto"/>
              <w:jc w:val="center"/>
              <w:rPr>
                <w:rFonts w:ascii="Times New Roman" w:eastAsia="Times New Roman" w:hAnsi="Times New Roman"/>
                <w:sz w:val="20"/>
                <w:lang w:eastAsia="lv-LV"/>
              </w:rPr>
            </w:pPr>
            <w:r>
              <w:rPr>
                <w:rFonts w:ascii="Times New Roman" w:eastAsia="Times New Roman" w:hAnsi="Times New Roman"/>
                <w:sz w:val="20"/>
                <w:lang w:eastAsia="lv-LV"/>
              </w:rPr>
              <w:t>5</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Diskusijas ar SVF un Eiropas Komisiju par makroprognozēm</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TAD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SVF un EK</w:t>
            </w:r>
          </w:p>
        </w:tc>
      </w:tr>
      <w:tr w:rsidR="001E0AFC" w:rsidRPr="00911CE0" w:rsidTr="00C610BD">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Pr>
                <w:rFonts w:ascii="Times New Roman" w:eastAsia="Times New Roman" w:hAnsi="Times New Roman"/>
                <w:sz w:val="20"/>
                <w:lang w:eastAsia="lv-LV"/>
              </w:rPr>
              <w:t>6</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Tiek izsūtīts informācijas pieprasījums Stabilitātes programmas (turpmāk-SP) sagatavošanai</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FPD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Valsts kase, CSP</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7</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Makroprognozes vidējam termiņam</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TAD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NAD/BD, FPD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8</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Labklājības ministrijai tiek nosūtītas makroekonomisko rādītāju prognozes</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FM (TAD)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LM</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9</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Valsts sociālās apdrošināšanas obligāto iemaksu prognozes</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FM (NAD)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LM</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10</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Iemaksu prognozes valsts fondēto pensiju shēmā</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LM</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FM (NAD)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11</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Nodokļu prognozes (pēc naudas plūsmas)</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NAD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TAD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12</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Valsts pamatbudžeta bāzes izdevumu aprēķins periodam no n+1 līdz n+3 gadiem.</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BD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TAD</w:t>
            </w:r>
          </w:p>
        </w:tc>
      </w:tr>
      <w:tr w:rsidR="001E0AFC" w:rsidRPr="00911CE0" w:rsidTr="00C610BD">
        <w:trPr>
          <w:trHeight w:val="481"/>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13</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Informācija par izdevumiem ES politiku instrumentu un pārējās ārvalstu finanšu palīdzības līdzfinansēto projektu un pasākumu īstenošanai</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BD, ESFUD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TAD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14</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 xml:space="preserve">Valsts speciālā budžeta prognozes periodam </w:t>
            </w:r>
            <w:r w:rsidRPr="009F2E01">
              <w:rPr>
                <w:rFonts w:ascii="Times New Roman" w:eastAsia="Times New Roman" w:hAnsi="Times New Roman"/>
                <w:sz w:val="20"/>
                <w:lang w:eastAsia="lv-LV"/>
              </w:rPr>
              <w:t>no n līdz n+3 gadiem</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LM</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FM (TAD)</w:t>
            </w:r>
          </w:p>
        </w:tc>
      </w:tr>
      <w:tr w:rsidR="001E0AFC" w:rsidRPr="00911CE0" w:rsidTr="00C610BD">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15</w:t>
            </w:r>
          </w:p>
        </w:tc>
        <w:tc>
          <w:tcPr>
            <w:tcW w:w="6150" w:type="dxa"/>
            <w:tcBorders>
              <w:top w:val="single" w:sz="4" w:space="0" w:color="auto"/>
              <w:left w:val="single" w:sz="4" w:space="0" w:color="auto"/>
              <w:bottom w:val="single" w:sz="4" w:space="0" w:color="auto"/>
              <w:right w:val="single" w:sz="4" w:space="0" w:color="auto"/>
            </w:tcBorders>
            <w:shd w:val="clear" w:color="000000" w:fill="FFFFFF"/>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Informācija par izdevumiem valsts sociālajiem pabalstiem un pensijām, sakarā ar aktuālākām sociālās apdrošināšanas pakalpojumu saņēmēju kontingenta, kā arī pensiju un pabalstu vidējā apmēra prognozēm</w:t>
            </w:r>
          </w:p>
        </w:tc>
        <w:tc>
          <w:tcPr>
            <w:tcW w:w="1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LM</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FM (FPD)</w:t>
            </w:r>
          </w:p>
        </w:tc>
      </w:tr>
      <w:tr w:rsidR="001E0AFC" w:rsidRPr="00911CE0" w:rsidTr="00C610BD">
        <w:trPr>
          <w:trHeight w:val="1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16</w:t>
            </w:r>
          </w:p>
        </w:tc>
        <w:tc>
          <w:tcPr>
            <w:tcW w:w="6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Informācija par izdevumiem valsts sociālajiem pabalstiem un pensijām, sakarā ar aktuālākām sociālās apdrošināšanas pakalpojumu saņēmēju kontingenta, kā arī pensiju un pabalstu vidējā apmēra prognozēm:</w:t>
            </w:r>
          </w:p>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a. par no Militārpersonu pensiju fonda izmaksājamo izdienas pensiju saņēmēju prognozēm (Aizsardzības ministrijas pamatbudžeta programma 31.00.00. "Militārpersonu pensiju fonds")</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BD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FPD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17</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Nodokļu prognozes (pēc EKS)</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NAD, ESFUD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TAD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18</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SP 6.1. sadaļa</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BD, FVMD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FPD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19</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SP 8.1., 8.2. (kopā ar FVMD) sadaļa</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FPD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FPD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20</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SP 8.3., 8.3.1. sadaļa</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BD, PFDUFD, FVMD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FPD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21</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SP 8.3.2. sadaļa</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CSP</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FPD</w:t>
            </w:r>
          </w:p>
        </w:tc>
      </w:tr>
      <w:tr w:rsidR="001E0AFC" w:rsidRPr="00911CE0" w:rsidTr="00C610BD">
        <w:trPr>
          <w:trHeight w:val="64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22</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 xml:space="preserve">Diskrecionārie ieņēmumu pasākumi </w:t>
            </w:r>
            <w:r w:rsidRPr="009F2E01">
              <w:rPr>
                <w:rFonts w:ascii="Times New Roman" w:eastAsia="Times New Roman" w:hAnsi="Times New Roman"/>
                <w:sz w:val="20"/>
                <w:lang w:eastAsia="lv-LV"/>
              </w:rPr>
              <w:t xml:space="preserve">n-2, n-1, n., n+1, n+2, n+3 gadiem </w:t>
            </w:r>
            <w:r w:rsidRPr="00611321">
              <w:rPr>
                <w:rFonts w:ascii="Times New Roman" w:eastAsia="Times New Roman" w:hAnsi="Times New Roman"/>
                <w:sz w:val="20"/>
                <w:lang w:eastAsia="lv-LV"/>
              </w:rPr>
              <w:t>(visas apstiprinātās budžeta ieņēmumu puses izmaiņas, salīdzinot ar iepriekšējo gadu, bez kumulatīvās ietekmes, atbilstoši EKS metodoloģijai)</w:t>
            </w:r>
          </w:p>
        </w:tc>
        <w:tc>
          <w:tcPr>
            <w:tcW w:w="1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NAD</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FPD</w:t>
            </w:r>
          </w:p>
        </w:tc>
      </w:tr>
      <w:tr w:rsidR="001E0AFC" w:rsidRPr="00911CE0" w:rsidTr="00C610BD">
        <w:trPr>
          <w:trHeight w:val="30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lastRenderedPageBreak/>
              <w:t>23</w:t>
            </w:r>
          </w:p>
        </w:tc>
        <w:tc>
          <w:tcPr>
            <w:tcW w:w="6150" w:type="dxa"/>
            <w:tcBorders>
              <w:top w:val="single" w:sz="4" w:space="0" w:color="auto"/>
              <w:left w:val="single" w:sz="4" w:space="0" w:color="auto"/>
              <w:bottom w:val="single" w:sz="4" w:space="0" w:color="auto"/>
              <w:right w:val="single" w:sz="4" w:space="0" w:color="auto"/>
            </w:tcBorders>
            <w:shd w:val="clear" w:color="000000" w:fill="FFFFFF"/>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a. Vispārējās valdības budžeta bilances prognozes (tai skaitā kopbudžeta bilance un EKS korekcijas);</w:t>
            </w:r>
          </w:p>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 xml:space="preserve">b. GG tabulas; </w:t>
            </w:r>
          </w:p>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 xml:space="preserve">c. ES fondu EKS korekciju aprēķins, tai skaitā piemērotās nacionālā publiskā līdzfinansējuma likmes; </w:t>
            </w:r>
          </w:p>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 xml:space="preserve">d. Vispārējās valdības budžeta ieņēmumi </w:t>
            </w:r>
            <w:r w:rsidRPr="009F2E01">
              <w:rPr>
                <w:rFonts w:ascii="Times New Roman" w:eastAsia="Times New Roman" w:hAnsi="Times New Roman"/>
                <w:sz w:val="20"/>
                <w:lang w:eastAsia="lv-LV"/>
              </w:rPr>
              <w:t>n-2, n-1, n., n+1, n+2, n+3 gadiem</w:t>
            </w:r>
            <w:r w:rsidRPr="00611321">
              <w:rPr>
                <w:rFonts w:ascii="Times New Roman" w:eastAsia="Times New Roman" w:hAnsi="Times New Roman"/>
                <w:sz w:val="20"/>
                <w:lang w:eastAsia="lv-LV"/>
              </w:rPr>
              <w:t xml:space="preserve"> pēc EKS (EKS kods „TR”);</w:t>
            </w:r>
          </w:p>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 xml:space="preserve">e. Vispārējās valdības budžeta izdevumi </w:t>
            </w:r>
            <w:r w:rsidRPr="009F2E01">
              <w:rPr>
                <w:rFonts w:ascii="Times New Roman" w:eastAsia="Times New Roman" w:hAnsi="Times New Roman"/>
                <w:sz w:val="20"/>
                <w:lang w:eastAsia="lv-LV"/>
              </w:rPr>
              <w:t>n-2, n-1, n., n+1, n+2, n+3 gadiem</w:t>
            </w:r>
            <w:r w:rsidRPr="00611321">
              <w:rPr>
                <w:rFonts w:ascii="Times New Roman" w:eastAsia="Times New Roman" w:hAnsi="Times New Roman"/>
                <w:sz w:val="20"/>
                <w:lang w:eastAsia="lv-LV"/>
              </w:rPr>
              <w:t xml:space="preserve"> pēc EKS (EKS kods „TE”);</w:t>
            </w:r>
          </w:p>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 xml:space="preserve">f. Bruto kopējā pamatkapitāla veidošana pēc EKS </w:t>
            </w:r>
            <w:r w:rsidRPr="009F2E01">
              <w:rPr>
                <w:rFonts w:ascii="Times New Roman" w:eastAsia="Times New Roman" w:hAnsi="Times New Roman"/>
                <w:sz w:val="20"/>
                <w:lang w:eastAsia="lv-LV"/>
              </w:rPr>
              <w:t>n-2, n-1, n., n+1, n+2, n+3 gadiem</w:t>
            </w:r>
            <w:r w:rsidRPr="00611321">
              <w:rPr>
                <w:rFonts w:ascii="Times New Roman" w:eastAsia="Times New Roman" w:hAnsi="Times New Roman"/>
                <w:sz w:val="20"/>
                <w:lang w:eastAsia="lv-LV"/>
              </w:rPr>
              <w:t xml:space="preserve"> (EKS kods „P51”);</w:t>
            </w:r>
          </w:p>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 xml:space="preserve">g. Potenciālā iekšzemes kopprodukta pieauguma tempi </w:t>
            </w:r>
            <w:r w:rsidRPr="009F2E01">
              <w:rPr>
                <w:rFonts w:ascii="Times New Roman" w:eastAsia="Times New Roman" w:hAnsi="Times New Roman"/>
                <w:sz w:val="20"/>
                <w:lang w:eastAsia="lv-LV"/>
              </w:rPr>
              <w:t>gadu periodam no n-8 līdz n+5.</w:t>
            </w:r>
          </w:p>
        </w:tc>
        <w:tc>
          <w:tcPr>
            <w:tcW w:w="1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TAD</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FPD</w:t>
            </w:r>
          </w:p>
        </w:tc>
      </w:tr>
      <w:tr w:rsidR="001E0AFC" w:rsidRPr="00911CE0" w:rsidTr="00C610BD">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24</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Vispārējās valdības budžeta strukturālās bilances mērķa definēšana, atbilstoši Fiskālās disciplīnas likuma un Eiropas Savienības fiskālās disciplīnas nosacījumiem (ja FPD ir pabeidzis tehniskās konsultācijas par veiktajiem aprēķiniem ar iesaistītajām struktūrvienībām to kompetences ietvaros)</w:t>
            </w:r>
          </w:p>
        </w:tc>
        <w:tc>
          <w:tcPr>
            <w:tcW w:w="1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FPD</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TAD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25</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Prognozēšanas darba grupas (PDG) sanāksme</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TAD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Iesaistītās struktūrvienības</w:t>
            </w:r>
          </w:p>
        </w:tc>
      </w:tr>
      <w:tr w:rsidR="001E0AFC" w:rsidRPr="00911CE0" w:rsidTr="00C610BD">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26</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Informācijas nosūtīšana Fiskālās disciplīnas uzraudzības komitejas (FDUK) sanāksmei</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BD, TAD, NAD, FPD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 xml:space="preserve">Iesaistītās struktūrvienības, Fiskālās disciplīnas padome </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27</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SP 2.1., 2.2., 2.3., 4.1., 4.2., 7.1. sadaļa</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TAD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FPD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28</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SP 6.2. sadaļa</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NAD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FPD</w:t>
            </w:r>
          </w:p>
        </w:tc>
      </w:tr>
      <w:tr w:rsidR="001E0AFC" w:rsidRPr="00911CE0" w:rsidTr="00C610BD">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29</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FDUK sanāksme</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 xml:space="preserve">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 xml:space="preserve">Iesaistītās struktūrvienības, Fiskālās disciplīnas padome </w:t>
            </w:r>
          </w:p>
        </w:tc>
      </w:tr>
      <w:tr w:rsidR="001E0AFC" w:rsidRPr="00911CE0" w:rsidTr="00C610BD">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30</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Informācijas (t.sk. 15., 16., 22., 23., 24.punktā minētās informācijas) nosūtīšana Fiskālās disciplīnas padomei fiskālo nosacījumu pārbaudei</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FM</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Fiskālās disciplīnas padome</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31</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Valsts budžeta bilances prognoze periodam no n līdz n+3 gadam</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TAD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Valsts kase</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32</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both"/>
              <w:rPr>
                <w:rFonts w:ascii="Times New Roman" w:eastAsia="Times New Roman" w:hAnsi="Times New Roman"/>
                <w:sz w:val="20"/>
                <w:lang w:eastAsia="lv-LV"/>
              </w:rPr>
            </w:pPr>
            <w:r w:rsidRPr="00611321">
              <w:rPr>
                <w:rFonts w:ascii="Times New Roman" w:eastAsia="Times New Roman" w:hAnsi="Times New Roman"/>
                <w:sz w:val="20"/>
                <w:lang w:eastAsia="lv-LV"/>
              </w:rPr>
              <w:t>SP 3.1., 3.3., 5. sadaļa un attiecīgās tabulas</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TAD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611321" w:rsidRDefault="001E0AFC" w:rsidP="00C610BD">
            <w:pPr>
              <w:spacing w:after="0" w:line="240" w:lineRule="auto"/>
              <w:jc w:val="center"/>
              <w:rPr>
                <w:rFonts w:ascii="Times New Roman" w:eastAsia="Times New Roman" w:hAnsi="Times New Roman"/>
                <w:sz w:val="20"/>
                <w:lang w:eastAsia="lv-LV"/>
              </w:rPr>
            </w:pPr>
            <w:r w:rsidRPr="00611321">
              <w:rPr>
                <w:rFonts w:ascii="Times New Roman" w:eastAsia="Times New Roman" w:hAnsi="Times New Roman"/>
                <w:sz w:val="20"/>
                <w:lang w:eastAsia="lv-LV"/>
              </w:rPr>
              <w:t>FPD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33</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both"/>
              <w:rPr>
                <w:rFonts w:ascii="Times New Roman" w:eastAsia="Times New Roman" w:hAnsi="Times New Roman"/>
                <w:sz w:val="20"/>
                <w:lang w:eastAsia="lv-LV"/>
              </w:rPr>
            </w:pPr>
            <w:r>
              <w:rPr>
                <w:rFonts w:ascii="Times New Roman" w:eastAsia="Times New Roman" w:hAnsi="Times New Roman"/>
                <w:sz w:val="20"/>
                <w:lang w:eastAsia="lv-LV"/>
              </w:rPr>
              <w:t>SP 3.2. sadaļa (kopā ar TA</w:t>
            </w:r>
            <w:r w:rsidRPr="00911CE0">
              <w:rPr>
                <w:rFonts w:ascii="Times New Roman" w:eastAsia="Times New Roman" w:hAnsi="Times New Roman"/>
                <w:sz w:val="20"/>
                <w:lang w:eastAsia="lv-LV"/>
              </w:rPr>
              <w:t>D)</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FPD, TAD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FPD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34</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both"/>
              <w:rPr>
                <w:rFonts w:ascii="Times New Roman" w:eastAsia="Times New Roman" w:hAnsi="Times New Roman"/>
                <w:sz w:val="20"/>
                <w:lang w:eastAsia="lv-LV"/>
              </w:rPr>
            </w:pPr>
            <w:r w:rsidRPr="00911CE0">
              <w:rPr>
                <w:rFonts w:ascii="Times New Roman" w:eastAsia="Times New Roman" w:hAnsi="Times New Roman"/>
                <w:sz w:val="20"/>
                <w:lang w:eastAsia="lv-LV"/>
              </w:rPr>
              <w:t>SP 3.4., 5., 7.2. sadaļa un attiecīgās tabulas</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Valsts Kase</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FPD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35</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both"/>
              <w:rPr>
                <w:rFonts w:ascii="Times New Roman" w:eastAsia="Times New Roman" w:hAnsi="Times New Roman"/>
                <w:sz w:val="20"/>
                <w:lang w:eastAsia="lv-LV"/>
              </w:rPr>
            </w:pPr>
            <w:r w:rsidRPr="00911CE0">
              <w:rPr>
                <w:rFonts w:ascii="Times New Roman" w:eastAsia="Times New Roman" w:hAnsi="Times New Roman"/>
                <w:sz w:val="20"/>
                <w:lang w:eastAsia="lv-LV"/>
              </w:rPr>
              <w:t>SP 1. sadaļa</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FPD</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eastAsia="Times New Roman" w:hAnsi="Times New Roman"/>
                <w:sz w:val="20"/>
                <w:lang w:eastAsia="lv-LV"/>
              </w:rPr>
              <w:t>FPD</w:t>
            </w:r>
          </w:p>
        </w:tc>
      </w:tr>
      <w:tr w:rsidR="001E0AFC" w:rsidRPr="00911CE0" w:rsidTr="00C610B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E0AFC" w:rsidRPr="009F2E01" w:rsidRDefault="001E0AFC" w:rsidP="00C610BD">
            <w:pPr>
              <w:spacing w:after="0" w:line="240" w:lineRule="auto"/>
              <w:jc w:val="center"/>
              <w:rPr>
                <w:rFonts w:ascii="Times New Roman" w:eastAsia="Times New Roman" w:hAnsi="Times New Roman"/>
                <w:sz w:val="20"/>
                <w:lang w:eastAsia="lv-LV"/>
              </w:rPr>
            </w:pPr>
            <w:r w:rsidRPr="009F2E01">
              <w:rPr>
                <w:rFonts w:ascii="Times New Roman" w:hAnsi="Times New Roman"/>
                <w:sz w:val="20"/>
                <w:szCs w:val="24"/>
                <w:lang w:eastAsia="lv-LV"/>
              </w:rPr>
              <w:t>36</w:t>
            </w:r>
          </w:p>
        </w:tc>
        <w:tc>
          <w:tcPr>
            <w:tcW w:w="6150" w:type="dxa"/>
            <w:tcBorders>
              <w:top w:val="single" w:sz="4" w:space="0" w:color="auto"/>
              <w:left w:val="single" w:sz="4" w:space="0" w:color="auto"/>
              <w:bottom w:val="single" w:sz="4" w:space="0" w:color="auto"/>
              <w:right w:val="single" w:sz="4" w:space="0" w:color="auto"/>
            </w:tcBorders>
            <w:shd w:val="clear" w:color="000000" w:fill="FFFFFF"/>
            <w:vAlign w:val="center"/>
          </w:tcPr>
          <w:p w:rsidR="001E0AFC" w:rsidRPr="009F2E01" w:rsidRDefault="001E0AFC" w:rsidP="00C610BD">
            <w:pPr>
              <w:spacing w:after="0" w:line="240" w:lineRule="auto"/>
              <w:jc w:val="both"/>
              <w:rPr>
                <w:rFonts w:ascii="Times New Roman" w:eastAsia="Times New Roman" w:hAnsi="Times New Roman"/>
                <w:sz w:val="20"/>
                <w:lang w:eastAsia="lv-LV"/>
              </w:rPr>
            </w:pPr>
            <w:r w:rsidRPr="009F2E01">
              <w:rPr>
                <w:rFonts w:ascii="Times New Roman" w:hAnsi="Times New Roman"/>
                <w:sz w:val="20"/>
                <w:szCs w:val="24"/>
                <w:lang w:eastAsia="lv-LV"/>
              </w:rPr>
              <w:t>Gatavs Stabilitātes programmas projekts n, n+1, n+2, n+3 gadam</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hAnsi="Times New Roman"/>
                <w:sz w:val="20"/>
                <w:szCs w:val="24"/>
                <w:lang w:eastAsia="lv-LV"/>
              </w:rPr>
              <w:t>Iesaistītās struktūrvienības</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1E0AFC" w:rsidRPr="00911CE0" w:rsidRDefault="001E0AFC" w:rsidP="00C610BD">
            <w:pPr>
              <w:spacing w:after="0" w:line="240" w:lineRule="auto"/>
              <w:jc w:val="center"/>
              <w:rPr>
                <w:rFonts w:ascii="Times New Roman" w:eastAsia="Times New Roman" w:hAnsi="Times New Roman"/>
                <w:sz w:val="20"/>
                <w:lang w:eastAsia="lv-LV"/>
              </w:rPr>
            </w:pPr>
            <w:r w:rsidRPr="00911CE0">
              <w:rPr>
                <w:rFonts w:ascii="Times New Roman" w:hAnsi="Times New Roman"/>
                <w:sz w:val="20"/>
                <w:szCs w:val="24"/>
                <w:lang w:eastAsia="lv-LV"/>
              </w:rPr>
              <w:t>FPD</w:t>
            </w:r>
          </w:p>
        </w:tc>
      </w:tr>
    </w:tbl>
    <w:p w:rsidR="001E0AFC" w:rsidRPr="001032A6" w:rsidRDefault="001E0AFC" w:rsidP="001E0AFC">
      <w:pPr>
        <w:tabs>
          <w:tab w:val="left" w:pos="9135"/>
        </w:tabs>
        <w:spacing w:after="0" w:line="240" w:lineRule="auto"/>
        <w:rPr>
          <w:rFonts w:ascii="Times New Roman" w:hAnsi="Times New Roman"/>
          <w:bCs/>
          <w:szCs w:val="24"/>
          <w:lang w:eastAsia="lv-LV"/>
        </w:rPr>
      </w:pPr>
    </w:p>
    <w:p w:rsidR="001E0AFC" w:rsidRPr="00475237" w:rsidRDefault="001E0AFC" w:rsidP="001E0AFC">
      <w:pPr>
        <w:spacing w:after="0" w:line="240" w:lineRule="auto"/>
        <w:ind w:left="851" w:hanging="851"/>
        <w:rPr>
          <w:rFonts w:ascii="Times New Roman" w:hAnsi="Times New Roman"/>
          <w:sz w:val="24"/>
          <w:szCs w:val="24"/>
        </w:rPr>
      </w:pPr>
    </w:p>
    <w:p w:rsidR="00F34E6D" w:rsidRDefault="00F34E6D"/>
    <w:sectPr w:rsidR="00F34E6D" w:rsidSect="001E0AFC">
      <w:headerReference w:type="default" r:id="rId7"/>
      <w:pgSz w:w="11920" w:h="16840"/>
      <w:pgMar w:top="1134" w:right="851" w:bottom="1134" w:left="1560" w:header="109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7BF" w:rsidRDefault="006B47BF" w:rsidP="001E0AFC">
      <w:pPr>
        <w:spacing w:after="0" w:line="240" w:lineRule="auto"/>
      </w:pPr>
      <w:r>
        <w:separator/>
      </w:r>
    </w:p>
  </w:endnote>
  <w:endnote w:type="continuationSeparator" w:id="0">
    <w:p w:rsidR="006B47BF" w:rsidRDefault="006B47BF" w:rsidP="001E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7BF" w:rsidRDefault="006B47BF" w:rsidP="001E0AFC">
      <w:pPr>
        <w:spacing w:after="0" w:line="240" w:lineRule="auto"/>
      </w:pPr>
      <w:r>
        <w:separator/>
      </w:r>
    </w:p>
  </w:footnote>
  <w:footnote w:type="continuationSeparator" w:id="0">
    <w:p w:rsidR="006B47BF" w:rsidRDefault="006B47BF" w:rsidP="001E0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142221"/>
      <w:docPartObj>
        <w:docPartGallery w:val="Page Numbers (Top of Page)"/>
        <w:docPartUnique/>
      </w:docPartObj>
    </w:sdtPr>
    <w:sdtEndPr>
      <w:rPr>
        <w:rFonts w:ascii="Times New Roman" w:hAnsi="Times New Roman"/>
        <w:noProof/>
        <w:sz w:val="20"/>
      </w:rPr>
    </w:sdtEndPr>
    <w:sdtContent>
      <w:p w:rsidR="001E0AFC" w:rsidRPr="001E0AFC" w:rsidRDefault="001E0AFC">
        <w:pPr>
          <w:pStyle w:val="Header"/>
          <w:jc w:val="center"/>
          <w:rPr>
            <w:rFonts w:ascii="Times New Roman" w:hAnsi="Times New Roman"/>
            <w:sz w:val="20"/>
          </w:rPr>
        </w:pPr>
        <w:r w:rsidRPr="001E0AFC">
          <w:rPr>
            <w:rFonts w:ascii="Times New Roman" w:hAnsi="Times New Roman"/>
            <w:sz w:val="20"/>
          </w:rPr>
          <w:fldChar w:fldCharType="begin"/>
        </w:r>
        <w:r w:rsidRPr="001E0AFC">
          <w:rPr>
            <w:rFonts w:ascii="Times New Roman" w:hAnsi="Times New Roman"/>
            <w:sz w:val="20"/>
          </w:rPr>
          <w:instrText xml:space="preserve"> PAGE   \* MERGEFORMAT </w:instrText>
        </w:r>
        <w:r w:rsidRPr="001E0AFC">
          <w:rPr>
            <w:rFonts w:ascii="Times New Roman" w:hAnsi="Times New Roman"/>
            <w:sz w:val="20"/>
          </w:rPr>
          <w:fldChar w:fldCharType="separate"/>
        </w:r>
        <w:r w:rsidR="00474320">
          <w:rPr>
            <w:rFonts w:ascii="Times New Roman" w:hAnsi="Times New Roman"/>
            <w:noProof/>
            <w:sz w:val="20"/>
          </w:rPr>
          <w:t>2</w:t>
        </w:r>
        <w:r w:rsidRPr="001E0AFC">
          <w:rPr>
            <w:rFonts w:ascii="Times New Roman" w:hAnsi="Times New Roman"/>
            <w:noProof/>
            <w:sz w:val="20"/>
          </w:rPr>
          <w:fldChar w:fldCharType="end"/>
        </w:r>
      </w:p>
    </w:sdtContent>
  </w:sdt>
  <w:p w:rsidR="001E0AFC" w:rsidRDefault="001E0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A4048"/>
    <w:multiLevelType w:val="hybridMultilevel"/>
    <w:tmpl w:val="CA7EC4B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82"/>
    <w:rsid w:val="001E0AFC"/>
    <w:rsid w:val="002A314A"/>
    <w:rsid w:val="00474320"/>
    <w:rsid w:val="006B47BF"/>
    <w:rsid w:val="00725AE1"/>
    <w:rsid w:val="008871F0"/>
    <w:rsid w:val="00AA5282"/>
    <w:rsid w:val="00E12982"/>
    <w:rsid w:val="00F34E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AE580-C5B8-4D65-B653-FE35AEDC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AFC"/>
    <w:pPr>
      <w:widowControl w:val="0"/>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FC"/>
    <w:pPr>
      <w:widowControl/>
      <w:spacing w:after="0" w:line="240" w:lineRule="auto"/>
      <w:ind w:left="720"/>
      <w:contextualSpacing/>
    </w:pPr>
    <w:rPr>
      <w:rFonts w:eastAsiaTheme="minorHAnsi" w:cs="Calibri"/>
    </w:rPr>
  </w:style>
  <w:style w:type="paragraph" w:styleId="Header">
    <w:name w:val="header"/>
    <w:basedOn w:val="Normal"/>
    <w:link w:val="HeaderChar"/>
    <w:uiPriority w:val="99"/>
    <w:unhideWhenUsed/>
    <w:rsid w:val="001E0A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0AFC"/>
    <w:rPr>
      <w:rFonts w:ascii="Calibri" w:eastAsia="Calibri" w:hAnsi="Calibri" w:cs="Times New Roman"/>
      <w:sz w:val="22"/>
    </w:rPr>
  </w:style>
  <w:style w:type="paragraph" w:styleId="Footer">
    <w:name w:val="footer"/>
    <w:basedOn w:val="Normal"/>
    <w:link w:val="FooterChar"/>
    <w:uiPriority w:val="99"/>
    <w:unhideWhenUsed/>
    <w:rsid w:val="001E0A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0AFC"/>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3913</Words>
  <Characters>2231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Ozoliņa</dc:creator>
  <cp:keywords/>
  <dc:description/>
  <cp:lastModifiedBy>Anna Mileika</cp:lastModifiedBy>
  <cp:revision>2</cp:revision>
  <dcterms:created xsi:type="dcterms:W3CDTF">2018-09-14T11:17:00Z</dcterms:created>
  <dcterms:modified xsi:type="dcterms:W3CDTF">2018-09-14T11:17:00Z</dcterms:modified>
</cp:coreProperties>
</file>