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D931" w14:textId="77777777" w:rsidR="002E6246" w:rsidRPr="002E3996" w:rsidRDefault="002E6246" w:rsidP="002E6246">
      <w:pPr>
        <w:tabs>
          <w:tab w:val="left" w:pos="810"/>
        </w:tabs>
        <w:jc w:val="center"/>
        <w:rPr>
          <w:rFonts w:eastAsia="Times New Roman" w:cs="Times New Roman"/>
          <w:b/>
          <w:iCs/>
          <w:sz w:val="28"/>
          <w:szCs w:val="28"/>
        </w:rPr>
      </w:pPr>
      <w:bookmarkStart w:id="0" w:name="_GoBack"/>
      <w:bookmarkEnd w:id="0"/>
      <w:r w:rsidRPr="002E3996">
        <w:rPr>
          <w:rFonts w:eastAsia="Times New Roman" w:cs="Times New Roman"/>
          <w:b/>
          <w:iCs/>
          <w:sz w:val="28"/>
          <w:szCs w:val="28"/>
        </w:rPr>
        <w:t>Uzziņa par tiesību akta projektu Vadības komitejai</w:t>
      </w:r>
    </w:p>
    <w:p w14:paraId="06150B4A" w14:textId="77777777" w:rsidR="002E6246" w:rsidRPr="002E6246" w:rsidRDefault="002E6246" w:rsidP="002E6246">
      <w:pPr>
        <w:tabs>
          <w:tab w:val="left" w:pos="810"/>
        </w:tabs>
        <w:jc w:val="center"/>
        <w:rPr>
          <w:rFonts w:eastAsia="Times New Roman" w:cs="Times New Roman"/>
          <w:b/>
          <w:iCs/>
          <w:sz w:val="26"/>
          <w:szCs w:val="26"/>
        </w:rPr>
      </w:pPr>
    </w:p>
    <w:p w14:paraId="705ECB3B" w14:textId="77777777" w:rsidR="002E6246" w:rsidRPr="002E6246" w:rsidRDefault="00F5462D" w:rsidP="002E6246">
      <w:pPr>
        <w:tabs>
          <w:tab w:val="left" w:pos="810"/>
          <w:tab w:val="left" w:pos="4125"/>
          <w:tab w:val="center" w:pos="5404"/>
        </w:tabs>
        <w:jc w:val="center"/>
        <w:rPr>
          <w:rFonts w:eastAsia="Times New Roman" w:cs="Times New Roman"/>
          <w:i/>
          <w:iCs/>
          <w:sz w:val="26"/>
          <w:szCs w:val="26"/>
        </w:rPr>
      </w:pPr>
      <w:r>
        <w:rPr>
          <w:rFonts w:eastAsia="Times New Roman" w:cs="Times New Roman"/>
          <w:i/>
          <w:iCs/>
          <w:sz w:val="26"/>
          <w:szCs w:val="26"/>
        </w:rPr>
        <w:t>13.01.2020.</w:t>
      </w:r>
    </w:p>
    <w:p w14:paraId="7FA77CDB" w14:textId="77777777" w:rsidR="002E6246" w:rsidRPr="002E6246" w:rsidRDefault="002E6246" w:rsidP="002E6246">
      <w:pPr>
        <w:rPr>
          <w:rFonts w:eastAsia="Times New Roman" w:cs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6350"/>
      </w:tblGrid>
      <w:tr w:rsidR="002E6246" w:rsidRPr="002E6246" w14:paraId="3D1331EE" w14:textId="77777777" w:rsidTr="00F64964">
        <w:tc>
          <w:tcPr>
            <w:tcW w:w="710" w:type="dxa"/>
          </w:tcPr>
          <w:p w14:paraId="576DE973" w14:textId="77777777" w:rsidR="002E6246" w:rsidRPr="002E3996" w:rsidRDefault="002E6246" w:rsidP="002E6246">
            <w:pPr>
              <w:spacing w:before="60" w:after="6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5" w:type="dxa"/>
            <w:vAlign w:val="center"/>
          </w:tcPr>
          <w:p w14:paraId="2EA1BF6A" w14:textId="77777777" w:rsidR="002E6246" w:rsidRPr="002E3996" w:rsidRDefault="002E6246" w:rsidP="002E6246">
            <w:pPr>
              <w:spacing w:before="60" w:after="6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Sniedzamā informācija</w:t>
            </w:r>
          </w:p>
        </w:tc>
        <w:tc>
          <w:tcPr>
            <w:tcW w:w="6350" w:type="dxa"/>
            <w:vAlign w:val="center"/>
          </w:tcPr>
          <w:p w14:paraId="0E3908CC" w14:textId="77777777" w:rsidR="002E6246" w:rsidRPr="002E3996" w:rsidRDefault="00791E04" w:rsidP="00AA3403">
            <w:pPr>
              <w:spacing w:before="60" w:after="6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Informācija par projektu</w:t>
            </w:r>
          </w:p>
        </w:tc>
      </w:tr>
      <w:tr w:rsidR="002E6246" w:rsidRPr="002E6246" w14:paraId="4284AB90" w14:textId="77777777" w:rsidTr="00F64964">
        <w:tc>
          <w:tcPr>
            <w:tcW w:w="710" w:type="dxa"/>
          </w:tcPr>
          <w:p w14:paraId="246F5DAA" w14:textId="77777777" w:rsidR="002E6246" w:rsidRPr="002E6246" w:rsidRDefault="002E6246" w:rsidP="002E6246">
            <w:pPr>
              <w:spacing w:before="60" w:after="6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2"/>
          </w:tcPr>
          <w:p w14:paraId="5F69134E" w14:textId="77777777" w:rsidR="004120CB" w:rsidRPr="004616B3" w:rsidRDefault="00184875" w:rsidP="004120CB">
            <w:pPr>
              <w:jc w:val="center"/>
              <w:rPr>
                <w:b/>
                <w:szCs w:val="24"/>
              </w:rPr>
            </w:pPr>
            <w:r w:rsidRPr="004616B3">
              <w:rPr>
                <w:b/>
                <w:szCs w:val="24"/>
              </w:rPr>
              <w:t>Likumprojekts</w:t>
            </w:r>
            <w:r w:rsidR="00F5462D" w:rsidRPr="004616B3">
              <w:rPr>
                <w:b/>
                <w:szCs w:val="24"/>
              </w:rPr>
              <w:t xml:space="preserve"> “Ieguldījumu brokeru sabiedrību</w:t>
            </w:r>
            <w:r w:rsidR="00076811" w:rsidRPr="004616B3">
              <w:rPr>
                <w:b/>
                <w:szCs w:val="24"/>
              </w:rPr>
              <w:t xml:space="preserve"> likums”</w:t>
            </w:r>
            <w:r w:rsidR="004616B3" w:rsidRPr="004616B3">
              <w:rPr>
                <w:b/>
                <w:szCs w:val="24"/>
              </w:rPr>
              <w:t xml:space="preserve"> un likumprojekts “Grozījumi Finanšu instrumentu tirgus likumā”</w:t>
            </w:r>
          </w:p>
          <w:p w14:paraId="5D167B4A" w14:textId="77777777" w:rsidR="002E6246" w:rsidRPr="002E6246" w:rsidRDefault="002E6246" w:rsidP="003A35C5">
            <w:pPr>
              <w:spacing w:before="60" w:after="60"/>
              <w:jc w:val="center"/>
              <w:rPr>
                <w:rFonts w:ascii="Times New Roman Bold" w:eastAsia="Calibri" w:hAnsi="Times New Roman Bold" w:cs="Times New Roman"/>
                <w:b/>
                <w:bCs/>
                <w:sz w:val="26"/>
                <w:szCs w:val="26"/>
              </w:rPr>
            </w:pPr>
          </w:p>
        </w:tc>
      </w:tr>
      <w:tr w:rsidR="002E6246" w:rsidRPr="002E6246" w14:paraId="0DC5EFE9" w14:textId="77777777" w:rsidTr="00F64964">
        <w:trPr>
          <w:trHeight w:val="725"/>
        </w:trPr>
        <w:tc>
          <w:tcPr>
            <w:tcW w:w="710" w:type="dxa"/>
          </w:tcPr>
          <w:p w14:paraId="76B67971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515DE4DA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Projekta izstrādes nepieciešamības pamatojums</w:t>
            </w:r>
          </w:p>
        </w:tc>
        <w:tc>
          <w:tcPr>
            <w:tcW w:w="6350" w:type="dxa"/>
          </w:tcPr>
          <w:p w14:paraId="1A216254" w14:textId="77777777" w:rsidR="004300A9" w:rsidRPr="00CC7E07" w:rsidRDefault="004616B3" w:rsidP="00CC7E07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Likumprojekta </w:t>
            </w:r>
            <w:r w:rsidR="002E3996" w:rsidRPr="00CC7E07">
              <w:rPr>
                <w:noProof/>
              </w:rPr>
              <w:t>"</w:t>
            </w:r>
            <w:r w:rsidR="00F5462D" w:rsidRPr="00CC7E07">
              <w:rPr>
                <w:noProof/>
              </w:rPr>
              <w:t>Ieguldījumu brokeru sabiedrību</w:t>
            </w:r>
            <w:r w:rsidR="002E3996" w:rsidRPr="00CC7E07">
              <w:rPr>
                <w:noProof/>
              </w:rPr>
              <w:t xml:space="preserve"> likums" </w:t>
            </w:r>
            <w:r w:rsidRPr="00CC7E07">
              <w:rPr>
                <w:noProof/>
              </w:rPr>
              <w:t xml:space="preserve">un likumprojekta “Grozījumi Finanšu instrumentu tirgus likumā” </w:t>
            </w:r>
            <w:r w:rsidR="00F5462D" w:rsidRPr="00CC7E07">
              <w:rPr>
                <w:noProof/>
              </w:rPr>
              <w:t xml:space="preserve">izstrādes mērķis ir </w:t>
            </w:r>
            <w:r w:rsidR="002E3996" w:rsidRPr="00CC7E07">
              <w:rPr>
                <w:noProof/>
              </w:rPr>
              <w:t xml:space="preserve"> </w:t>
            </w:r>
            <w:r w:rsidR="00CC7E07" w:rsidRPr="00CC7E07">
              <w:rPr>
                <w:noProof/>
              </w:rPr>
              <w:t>2019.gada 27.novembra Eiropas Parlamenta un Padomes Direktīvas 2019/2034 par ieguldījumu brokeru sabiedrību prudenciālo uzraudzību un ar ko groza Direktīvas 2002/87/EK, 2009/65/EK, 2011/61/ES, 2013/36/ES, 2014/59/ES un 2014/65/ES pārņemšana, kā arī 2019.gada 18.decembra Eiropas Parlamenta un Padomes Direktīvas</w:t>
            </w:r>
            <w:r w:rsidR="00CC7E07">
              <w:rPr>
                <w:noProof/>
              </w:rPr>
              <w:t xml:space="preserve"> 2019/2177 </w:t>
            </w:r>
            <w:r w:rsidR="00CC7E07" w:rsidRPr="00CC7E07">
              <w:rPr>
                <w:noProof/>
              </w:rPr>
              <w:t>ar ko groza Direktīvu 2009/138/EK par uzņēmējdarbības uzsākšanu un veikšanu apdrošināšanas un pārapdrošināšanas jomā (Maksātspēja II), Direktīvu 2014/65/ES par finanšu instrumentu tirgiem un Direktīvu (ES) 2015/849 par to, lai nepieļautu finanšu sistēmas izmantošanu nelikumīgi iegūtu līdzekļu legalizēšanai vai teroristu finansēšanai</w:t>
            </w:r>
            <w:r w:rsidR="00CC7E07">
              <w:rPr>
                <w:noProof/>
              </w:rPr>
              <w:t xml:space="preserve"> 1.panta pārņemšana.</w:t>
            </w:r>
          </w:p>
        </w:tc>
      </w:tr>
      <w:tr w:rsidR="002E6246" w:rsidRPr="002E6246" w14:paraId="6A4466BC" w14:textId="77777777" w:rsidTr="00F64964">
        <w:tc>
          <w:tcPr>
            <w:tcW w:w="710" w:type="dxa"/>
          </w:tcPr>
          <w:p w14:paraId="7D916461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4DC4D9EB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Vadības darba plāna uzdevuma numurs un tā izpildes termiņš (ja nepieciešams)</w:t>
            </w:r>
          </w:p>
        </w:tc>
        <w:tc>
          <w:tcPr>
            <w:tcW w:w="6350" w:type="dxa"/>
          </w:tcPr>
          <w:p w14:paraId="13E8EFCE" w14:textId="77777777" w:rsidR="005D4BBE" w:rsidRPr="00016046" w:rsidRDefault="00076811" w:rsidP="00A71199">
            <w:pPr>
              <w:pStyle w:val="doc-ti"/>
              <w:jc w:val="left"/>
              <w:rPr>
                <w:b w:val="0"/>
                <w:iCs/>
              </w:rPr>
            </w:pPr>
            <w:r w:rsidRPr="00016046">
              <w:rPr>
                <w:b w:val="0"/>
                <w:iCs/>
              </w:rPr>
              <w:t>Nav attiecināms.</w:t>
            </w:r>
          </w:p>
        </w:tc>
      </w:tr>
      <w:tr w:rsidR="002E6246" w:rsidRPr="002E6246" w14:paraId="303F09E6" w14:textId="77777777" w:rsidTr="00F64964">
        <w:tc>
          <w:tcPr>
            <w:tcW w:w="710" w:type="dxa"/>
          </w:tcPr>
          <w:p w14:paraId="5D261D47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1A3E049D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  <w:highlight w:val="yellow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Projekta īss saturs</w:t>
            </w:r>
          </w:p>
        </w:tc>
        <w:tc>
          <w:tcPr>
            <w:tcW w:w="6350" w:type="dxa"/>
          </w:tcPr>
          <w:p w14:paraId="5843AA04" w14:textId="77777777" w:rsidR="001369F9" w:rsidRDefault="002E3996" w:rsidP="001369F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Likumprojekts</w:t>
            </w:r>
            <w:r w:rsidR="001369F9">
              <w:rPr>
                <w:noProof/>
              </w:rPr>
              <w:t xml:space="preserve"> nosaka:</w:t>
            </w:r>
            <w:r>
              <w:rPr>
                <w:noProof/>
              </w:rPr>
              <w:t xml:space="preserve"> </w:t>
            </w:r>
          </w:p>
          <w:p w14:paraId="36DE3106" w14:textId="77777777" w:rsidR="001369F9" w:rsidRDefault="001369F9" w:rsidP="001369F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1) prudenciālās uzraudzības prasības, lai ieguldījumu brokeru sabiedrības tiktu pārvaldītas pienācīgi un klientu interesēs;</w:t>
            </w:r>
          </w:p>
          <w:p w14:paraId="050B774B" w14:textId="77777777" w:rsidR="001369F9" w:rsidRDefault="001369F9" w:rsidP="001369F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2) sākotnējā kapitāla prasības, kuras balstās </w:t>
            </w:r>
            <w:r w:rsidRPr="001369F9">
              <w:rPr>
                <w:noProof/>
              </w:rPr>
              <w:t>uz tiem pakalpojumiem un darbībām, ko minētajai ieguldījumu brokeru sabiedrībai ir atļauts attiecīgi sniegt</w:t>
            </w:r>
            <w:r>
              <w:rPr>
                <w:noProof/>
              </w:rPr>
              <w:t>;</w:t>
            </w:r>
          </w:p>
          <w:p w14:paraId="23EC2FFF" w14:textId="77777777" w:rsidR="001369F9" w:rsidRDefault="001369F9" w:rsidP="001369F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3) </w:t>
            </w:r>
            <w:r w:rsidR="005E0426">
              <w:rPr>
                <w:noProof/>
              </w:rPr>
              <w:t xml:space="preserve">komerciāli sensitīvas infomācijas aizsardzību, </w:t>
            </w:r>
            <w:r w:rsidR="005E0426" w:rsidRPr="005E0426">
              <w:rPr>
                <w:noProof/>
              </w:rPr>
              <w:t>kompetentajām iestādēm, veicot uzraudzības uzdevumus un apmainoties ar konfidenciālu informāciju</w:t>
            </w:r>
            <w:r w:rsidR="005E0426">
              <w:rPr>
                <w:noProof/>
              </w:rPr>
              <w:t>;</w:t>
            </w:r>
          </w:p>
          <w:p w14:paraId="36FA0282" w14:textId="77777777" w:rsidR="002E6246" w:rsidRPr="00E101E9" w:rsidRDefault="005E0426" w:rsidP="002E3996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4) </w:t>
            </w:r>
            <w:r w:rsidR="00B44829" w:rsidRPr="00B44829">
              <w:rPr>
                <w:noProof/>
              </w:rPr>
              <w:t>kompetentajām iestādēm piemē</w:t>
            </w:r>
            <w:r w:rsidR="00B44829">
              <w:rPr>
                <w:noProof/>
              </w:rPr>
              <w:t>rojamajām publiskošanas prasības ieguldījumu brokeru sabiedrībām</w:t>
            </w:r>
            <w:r w:rsidR="00B44829" w:rsidRPr="00B44829">
              <w:rPr>
                <w:noProof/>
              </w:rPr>
              <w:t xml:space="preserve"> prudenciālā regulējuma un uzraudzības jomā.</w:t>
            </w:r>
          </w:p>
        </w:tc>
      </w:tr>
      <w:tr w:rsidR="002E6246" w:rsidRPr="002E6246" w14:paraId="1C25661E" w14:textId="77777777" w:rsidTr="00F64964">
        <w:tc>
          <w:tcPr>
            <w:tcW w:w="710" w:type="dxa"/>
          </w:tcPr>
          <w:p w14:paraId="7D6B79C5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1F2B63C5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Iespējamie risinājuma varianti (ja nepieciešams)</w:t>
            </w:r>
          </w:p>
        </w:tc>
        <w:tc>
          <w:tcPr>
            <w:tcW w:w="6350" w:type="dxa"/>
          </w:tcPr>
          <w:p w14:paraId="5E9F30F1" w14:textId="77777777" w:rsidR="002E6246" w:rsidRPr="00016046" w:rsidRDefault="002E6246" w:rsidP="002E6246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16046">
              <w:rPr>
                <w:rFonts w:eastAsia="Times New Roman" w:cs="Times New Roman"/>
                <w:szCs w:val="24"/>
              </w:rPr>
              <w:t>Nav</w:t>
            </w:r>
            <w:r w:rsidR="00C72F1A" w:rsidRPr="00016046">
              <w:rPr>
                <w:rFonts w:eastAsia="Times New Roman" w:cs="Times New Roman"/>
                <w:szCs w:val="24"/>
              </w:rPr>
              <w:t xml:space="preserve"> citi risinājumi.</w:t>
            </w:r>
          </w:p>
        </w:tc>
      </w:tr>
      <w:tr w:rsidR="002E6246" w:rsidRPr="002E6246" w14:paraId="3548A611" w14:textId="77777777" w:rsidTr="00F64964">
        <w:tc>
          <w:tcPr>
            <w:tcW w:w="710" w:type="dxa"/>
          </w:tcPr>
          <w:p w14:paraId="61CB5B32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5176863F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Par projektu nosakāmā atbildīgā amatpersona</w:t>
            </w:r>
          </w:p>
        </w:tc>
        <w:tc>
          <w:tcPr>
            <w:tcW w:w="6350" w:type="dxa"/>
          </w:tcPr>
          <w:p w14:paraId="4B090D1B" w14:textId="77777777" w:rsidR="002E6246" w:rsidRPr="00016046" w:rsidRDefault="002E6246" w:rsidP="00C72F1A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16046">
              <w:rPr>
                <w:rFonts w:eastAsia="Times New Roman" w:cs="Times New Roman"/>
                <w:szCs w:val="24"/>
              </w:rPr>
              <w:t xml:space="preserve">Finanšu ministrijas Finanšu tirgus politikas departamenta direktore </w:t>
            </w:r>
            <w:r w:rsidR="00C72F1A" w:rsidRPr="00016046">
              <w:rPr>
                <w:rFonts w:eastAsia="Times New Roman" w:cs="Times New Roman"/>
                <w:szCs w:val="24"/>
              </w:rPr>
              <w:t>Aija Zitcere</w:t>
            </w:r>
          </w:p>
        </w:tc>
      </w:tr>
      <w:tr w:rsidR="002E6246" w:rsidRPr="002E6246" w14:paraId="2065E7C1" w14:textId="77777777" w:rsidTr="00F64964">
        <w:tc>
          <w:tcPr>
            <w:tcW w:w="710" w:type="dxa"/>
          </w:tcPr>
          <w:p w14:paraId="3F17AB2C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0A0E9E64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Nosakāmais projekta sagatavotājs (ja nepieciešams)</w:t>
            </w:r>
          </w:p>
        </w:tc>
        <w:tc>
          <w:tcPr>
            <w:tcW w:w="6350" w:type="dxa"/>
          </w:tcPr>
          <w:p w14:paraId="6DDF08EA" w14:textId="77777777" w:rsidR="002E6246" w:rsidRPr="00016046" w:rsidRDefault="002E6246" w:rsidP="00C72F1A">
            <w:pPr>
              <w:spacing w:after="60"/>
              <w:jc w:val="both"/>
              <w:rPr>
                <w:rFonts w:eastAsia="Calibri" w:cs="Times New Roman"/>
                <w:szCs w:val="24"/>
              </w:rPr>
            </w:pPr>
            <w:r w:rsidRPr="00016046">
              <w:rPr>
                <w:rFonts w:eastAsia="Times New Roman" w:cs="Times New Roman"/>
                <w:szCs w:val="24"/>
              </w:rPr>
              <w:t>Finanšu ministrijas Finanšu tirgus politikas departamenta</w:t>
            </w:r>
            <w:r w:rsidR="00C76390" w:rsidRPr="00016046">
              <w:rPr>
                <w:rFonts w:eastAsia="Times New Roman" w:cs="Times New Roman"/>
                <w:szCs w:val="24"/>
              </w:rPr>
              <w:t>,</w:t>
            </w:r>
            <w:r w:rsidRPr="00016046">
              <w:rPr>
                <w:rFonts w:eastAsia="Times New Roman" w:cs="Times New Roman"/>
                <w:szCs w:val="24"/>
              </w:rPr>
              <w:t xml:space="preserve"> </w:t>
            </w:r>
            <w:r w:rsidR="00C76390" w:rsidRPr="00016046">
              <w:rPr>
                <w:rFonts w:eastAsiaTheme="minorEastAsia" w:cs="Times New Roman"/>
                <w:noProof/>
                <w:szCs w:val="24"/>
                <w:lang w:eastAsia="lv-LV"/>
              </w:rPr>
              <w:t>Finanšu sektora pārvaldības nodaļas juriskonsults</w:t>
            </w:r>
            <w:r w:rsidR="00C76390" w:rsidRPr="00016046">
              <w:rPr>
                <w:rFonts w:eastAsia="Times New Roman" w:cs="Times New Roman"/>
                <w:szCs w:val="24"/>
              </w:rPr>
              <w:t xml:space="preserve"> </w:t>
            </w:r>
            <w:r w:rsidR="00C72F1A" w:rsidRPr="00016046">
              <w:rPr>
                <w:rFonts w:eastAsia="Times New Roman" w:cs="Times New Roman"/>
                <w:szCs w:val="24"/>
              </w:rPr>
              <w:t>Aivis Hammers</w:t>
            </w:r>
          </w:p>
        </w:tc>
      </w:tr>
      <w:tr w:rsidR="002E6246" w:rsidRPr="002E6246" w14:paraId="6ACE24B6" w14:textId="77777777" w:rsidTr="00F64964">
        <w:tc>
          <w:tcPr>
            <w:tcW w:w="710" w:type="dxa"/>
          </w:tcPr>
          <w:p w14:paraId="00789C93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2E1B757E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Darba grupas vadītājs un iespējamais sastāvs (ja nepieciešams)</w:t>
            </w:r>
          </w:p>
        </w:tc>
        <w:tc>
          <w:tcPr>
            <w:tcW w:w="6350" w:type="dxa"/>
          </w:tcPr>
          <w:p w14:paraId="6E771E31" w14:textId="77777777" w:rsidR="002E6246" w:rsidRPr="00016046" w:rsidRDefault="002E6246" w:rsidP="002E6246">
            <w:pPr>
              <w:spacing w:after="60"/>
              <w:jc w:val="both"/>
              <w:rPr>
                <w:rFonts w:eastAsia="Calibri" w:cs="Times New Roman"/>
                <w:szCs w:val="24"/>
                <w:lang w:eastAsia="lv-LV"/>
              </w:rPr>
            </w:pPr>
            <w:r w:rsidRPr="00016046">
              <w:rPr>
                <w:rFonts w:eastAsia="Calibri" w:cs="Times New Roman"/>
                <w:szCs w:val="24"/>
              </w:rPr>
              <w:t>Darba grupa nav nepieciešama</w:t>
            </w:r>
            <w:r w:rsidR="00C72F1A" w:rsidRPr="00016046">
              <w:rPr>
                <w:rFonts w:eastAsia="Calibri" w:cs="Times New Roman"/>
                <w:szCs w:val="24"/>
              </w:rPr>
              <w:t>.</w:t>
            </w:r>
          </w:p>
        </w:tc>
      </w:tr>
      <w:tr w:rsidR="002E6246" w:rsidRPr="002E6246" w14:paraId="192802F0" w14:textId="77777777" w:rsidTr="00F64964">
        <w:tc>
          <w:tcPr>
            <w:tcW w:w="710" w:type="dxa"/>
          </w:tcPr>
          <w:p w14:paraId="016359B9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5B75CE92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Calibri" w:cs="Times New Roman"/>
                <w:sz w:val="28"/>
                <w:szCs w:val="28"/>
              </w:rPr>
              <w:t>Sabiedrības līdzdalība</w:t>
            </w:r>
          </w:p>
        </w:tc>
        <w:tc>
          <w:tcPr>
            <w:tcW w:w="6350" w:type="dxa"/>
          </w:tcPr>
          <w:p w14:paraId="51829201" w14:textId="1566DAF9" w:rsidR="002E6246" w:rsidRPr="001D208E" w:rsidRDefault="001D208E" w:rsidP="001D208E">
            <w:pPr>
              <w:widowControl w:val="0"/>
              <w:tabs>
                <w:tab w:val="left" w:pos="851"/>
                <w:tab w:val="right" w:pos="9356"/>
              </w:tabs>
              <w:adjustRightInd w:val="0"/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1D208E">
              <w:rPr>
                <w:rFonts w:eastAsia="Calibri" w:cs="Times New Roman"/>
                <w:szCs w:val="24"/>
              </w:rPr>
              <w:t>Uzziņa tiks publicēta Finanšu ministrijas tīmekļa vietnē sadaļā “Sabiedrības līdzdalība”</w:t>
            </w:r>
            <w:r w:rsidR="007E5F8E">
              <w:rPr>
                <w:rFonts w:eastAsia="Calibri" w:cs="Times New Roman"/>
                <w:szCs w:val="24"/>
              </w:rPr>
              <w:t xml:space="preserve"> un sabiedrība viedokļus var sniegt līdz 27.janvārim</w:t>
            </w:r>
            <w:r w:rsidRPr="001D208E">
              <w:rPr>
                <w:rFonts w:eastAsia="Calibri" w:cs="Times New Roman"/>
                <w:szCs w:val="24"/>
              </w:rPr>
              <w:t>. Sabiedrības pārstāvji varēs līdzdarboties likumprojekta izstrādē, sniedzot atzinumu par to pēc izsludināšanas Valsts sekretāru sanāksmē.</w:t>
            </w:r>
            <w:r>
              <w:t xml:space="preserve"> </w:t>
            </w:r>
          </w:p>
        </w:tc>
      </w:tr>
      <w:tr w:rsidR="002E6246" w:rsidRPr="002E6246" w14:paraId="03ADF470" w14:textId="77777777" w:rsidTr="00F64964">
        <w:tc>
          <w:tcPr>
            <w:tcW w:w="710" w:type="dxa"/>
          </w:tcPr>
          <w:p w14:paraId="2F056B1C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7DEAD44E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Ministrijas struktūrvienības un padotības iestādēm ar kurām projekts jāsaskaņo</w:t>
            </w:r>
          </w:p>
        </w:tc>
        <w:tc>
          <w:tcPr>
            <w:tcW w:w="6350" w:type="dxa"/>
          </w:tcPr>
          <w:p w14:paraId="34DFAAF3" w14:textId="77777777" w:rsidR="002E6246" w:rsidRPr="001D208E" w:rsidRDefault="001D208E" w:rsidP="001D208E">
            <w:pPr>
              <w:widowControl w:val="0"/>
              <w:tabs>
                <w:tab w:val="left" w:pos="851"/>
                <w:tab w:val="right" w:pos="9356"/>
              </w:tabs>
              <w:adjustRightInd w:val="0"/>
              <w:spacing w:after="60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1D208E">
              <w:rPr>
                <w:rFonts w:eastAsia="Calibri" w:cs="Times New Roman"/>
                <w:szCs w:val="24"/>
              </w:rPr>
              <w:t>Juridiskais departaments, Tiešo nodokļu departaments</w:t>
            </w:r>
            <w:r>
              <w:rPr>
                <w:rFonts w:eastAsia="Calibri" w:cs="Times New Roman"/>
                <w:szCs w:val="24"/>
              </w:rPr>
              <w:t xml:space="preserve">, </w:t>
            </w:r>
            <w:r w:rsidRPr="001D208E">
              <w:rPr>
                <w:rFonts w:eastAsia="Calibri" w:cs="Times New Roman"/>
                <w:szCs w:val="24"/>
              </w:rPr>
              <w:t>Grāmatvedības un revīzijas politikas departamentam un tiks lūgts viedoklis</w:t>
            </w:r>
            <w:r>
              <w:rPr>
                <w:rFonts w:eastAsia="Calibri" w:cs="Times New Roman"/>
                <w:szCs w:val="24"/>
              </w:rPr>
              <w:t xml:space="preserve"> arī</w:t>
            </w:r>
            <w:r w:rsidRPr="001D208E">
              <w:rPr>
                <w:rFonts w:eastAsia="Calibri" w:cs="Times New Roman"/>
                <w:szCs w:val="24"/>
              </w:rPr>
              <w:t xml:space="preserve"> Finanšu</w:t>
            </w:r>
            <w:r>
              <w:rPr>
                <w:rFonts w:eastAsia="Calibri" w:cs="Times New Roman"/>
                <w:szCs w:val="24"/>
              </w:rPr>
              <w:t xml:space="preserve"> un kapitāla tirgus komisijai</w:t>
            </w:r>
            <w:r w:rsidRPr="001D208E">
              <w:rPr>
                <w:rFonts w:eastAsia="Calibri" w:cs="Times New Roman"/>
                <w:szCs w:val="24"/>
              </w:rPr>
              <w:t>.</w:t>
            </w:r>
            <w:r>
              <w:t xml:space="preserve"> </w:t>
            </w:r>
          </w:p>
        </w:tc>
      </w:tr>
      <w:tr w:rsidR="002E6246" w:rsidRPr="002E6246" w14:paraId="0B3EDCBA" w14:textId="77777777" w:rsidTr="00F64964">
        <w:tc>
          <w:tcPr>
            <w:tcW w:w="710" w:type="dxa"/>
          </w:tcPr>
          <w:p w14:paraId="43871D17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3173E23C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Saskaņošanas termiņš</w:t>
            </w:r>
          </w:p>
        </w:tc>
        <w:tc>
          <w:tcPr>
            <w:tcW w:w="6350" w:type="dxa"/>
          </w:tcPr>
          <w:p w14:paraId="45BADA55" w14:textId="77777777" w:rsidR="00A71199" w:rsidRPr="00016046" w:rsidRDefault="00A71199" w:rsidP="00A71199">
            <w:pPr>
              <w:spacing w:after="60"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016046">
              <w:rPr>
                <w:rFonts w:eastAsia="Times New Roman" w:cs="Times New Roman"/>
                <w:szCs w:val="24"/>
              </w:rPr>
              <w:t xml:space="preserve">Nosūtīt iekšējai saskaņošanai: </w:t>
            </w:r>
            <w:r w:rsidR="00F5462D">
              <w:rPr>
                <w:rFonts w:eastAsia="Times New Roman" w:cs="Times New Roman"/>
                <w:szCs w:val="24"/>
              </w:rPr>
              <w:t>31.07.2020.</w:t>
            </w:r>
          </w:p>
          <w:p w14:paraId="2C56D41C" w14:textId="77777777" w:rsidR="006C0DC6" w:rsidRPr="00016046" w:rsidRDefault="006C0DC6" w:rsidP="00CA7C00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16046">
              <w:rPr>
                <w:rFonts w:eastAsia="Times New Roman" w:cs="Times New Roman"/>
                <w:szCs w:val="24"/>
              </w:rPr>
              <w:t>Saskaņošanas termiņš</w:t>
            </w:r>
            <w:r w:rsidR="00184875" w:rsidRPr="00016046">
              <w:rPr>
                <w:rFonts w:eastAsia="Times New Roman" w:cs="Times New Roman"/>
                <w:szCs w:val="24"/>
              </w:rPr>
              <w:t>:</w:t>
            </w:r>
            <w:r w:rsidRPr="00016046">
              <w:rPr>
                <w:rFonts w:eastAsia="Times New Roman" w:cs="Times New Roman"/>
                <w:szCs w:val="24"/>
              </w:rPr>
              <w:t xml:space="preserve"> </w:t>
            </w:r>
            <w:r w:rsidR="00F5462D">
              <w:rPr>
                <w:rFonts w:eastAsia="Times New Roman" w:cs="Times New Roman"/>
                <w:szCs w:val="24"/>
              </w:rPr>
              <w:t>14.08.2020</w:t>
            </w:r>
            <w:r w:rsidRPr="00016046">
              <w:rPr>
                <w:rFonts w:eastAsia="Times New Roman" w:cs="Times New Roman"/>
                <w:szCs w:val="24"/>
              </w:rPr>
              <w:t>.</w:t>
            </w:r>
          </w:p>
          <w:p w14:paraId="1A13F8DC" w14:textId="77777777" w:rsidR="006C0DC6" w:rsidRPr="00016046" w:rsidRDefault="006C0DC6" w:rsidP="00CA7C00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E6246" w:rsidRPr="002E6246" w14:paraId="7F4C39B0" w14:textId="77777777" w:rsidTr="00F64964">
        <w:tc>
          <w:tcPr>
            <w:tcW w:w="710" w:type="dxa"/>
          </w:tcPr>
          <w:p w14:paraId="05A68605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60701501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Prognozējamā projekta finansiālā ietekme uz valsts budžetu</w:t>
            </w:r>
          </w:p>
        </w:tc>
        <w:tc>
          <w:tcPr>
            <w:tcW w:w="6350" w:type="dxa"/>
          </w:tcPr>
          <w:p w14:paraId="46E2A121" w14:textId="77777777" w:rsidR="002E6246" w:rsidRPr="00016046" w:rsidRDefault="002E6246" w:rsidP="00E06AB5">
            <w:pPr>
              <w:tabs>
                <w:tab w:val="num" w:pos="1440"/>
              </w:tabs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16046">
              <w:rPr>
                <w:rFonts w:eastAsia="Times New Roman" w:cs="Times New Roman"/>
                <w:szCs w:val="24"/>
              </w:rPr>
              <w:t xml:space="preserve">Projektā noteiktais regulējums </w:t>
            </w:r>
            <w:r w:rsidR="00E06AB5" w:rsidRPr="00016046">
              <w:rPr>
                <w:rFonts w:eastAsia="Times New Roman" w:cs="Times New Roman"/>
                <w:szCs w:val="24"/>
              </w:rPr>
              <w:t>ne</w:t>
            </w:r>
            <w:r w:rsidRPr="00016046">
              <w:rPr>
                <w:rFonts w:eastAsia="Times New Roman" w:cs="Times New Roman"/>
                <w:szCs w:val="24"/>
              </w:rPr>
              <w:t xml:space="preserve">radīs  ietekmi uz valsts budžetu. </w:t>
            </w:r>
          </w:p>
        </w:tc>
      </w:tr>
      <w:tr w:rsidR="002E6246" w:rsidRPr="002E6246" w14:paraId="6FDE462B" w14:textId="77777777" w:rsidTr="00F64964">
        <w:tc>
          <w:tcPr>
            <w:tcW w:w="710" w:type="dxa"/>
          </w:tcPr>
          <w:p w14:paraId="2A4E18D0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14:paraId="111AB16B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Tiesību akta pieņemšanas kalendārais plāns</w:t>
            </w:r>
          </w:p>
        </w:tc>
        <w:tc>
          <w:tcPr>
            <w:tcW w:w="6350" w:type="dxa"/>
          </w:tcPr>
          <w:p w14:paraId="4814FEC8" w14:textId="77777777" w:rsidR="006C0DC6" w:rsidRPr="00016046" w:rsidRDefault="00184875" w:rsidP="002E6246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16046">
              <w:rPr>
                <w:rFonts w:eastAsia="Times New Roman" w:cs="Times New Roman"/>
                <w:szCs w:val="24"/>
              </w:rPr>
              <w:t>Izsludināt VSS līdz:</w:t>
            </w:r>
            <w:r w:rsidR="00F5462D">
              <w:rPr>
                <w:rFonts w:eastAsia="Times New Roman" w:cs="Times New Roman"/>
                <w:szCs w:val="24"/>
              </w:rPr>
              <w:t xml:space="preserve"> 03.09.2020.</w:t>
            </w:r>
          </w:p>
          <w:p w14:paraId="687F1F3D" w14:textId="77777777" w:rsidR="002E6246" w:rsidRPr="00016046" w:rsidRDefault="00E06AB5" w:rsidP="00016046">
            <w:pPr>
              <w:spacing w:after="60"/>
              <w:jc w:val="both"/>
              <w:rPr>
                <w:rFonts w:eastAsia="Times New Roman" w:cs="Times New Roman"/>
                <w:szCs w:val="24"/>
              </w:rPr>
            </w:pPr>
            <w:r w:rsidRPr="00016046">
              <w:rPr>
                <w:rFonts w:eastAsia="Times New Roman" w:cs="Times New Roman"/>
                <w:szCs w:val="24"/>
              </w:rPr>
              <w:t>I</w:t>
            </w:r>
            <w:r w:rsidR="00A71199" w:rsidRPr="00016046">
              <w:rPr>
                <w:rFonts w:eastAsia="Times New Roman" w:cs="Times New Roman"/>
                <w:szCs w:val="24"/>
              </w:rPr>
              <w:t>esniegt</w:t>
            </w:r>
            <w:r w:rsidRPr="00016046">
              <w:rPr>
                <w:rFonts w:eastAsia="Times New Roman" w:cs="Times New Roman"/>
                <w:szCs w:val="24"/>
              </w:rPr>
              <w:t xml:space="preserve"> MK: līdz </w:t>
            </w:r>
            <w:r w:rsidR="00F5462D">
              <w:rPr>
                <w:rFonts w:eastAsia="Times New Roman" w:cs="Times New Roman"/>
                <w:szCs w:val="24"/>
              </w:rPr>
              <w:t>07.12.2020.</w:t>
            </w:r>
          </w:p>
        </w:tc>
      </w:tr>
      <w:tr w:rsidR="002E6246" w:rsidRPr="002E6246" w14:paraId="021CD70F" w14:textId="77777777" w:rsidTr="00F64964">
        <w:tc>
          <w:tcPr>
            <w:tcW w:w="710" w:type="dxa"/>
            <w:tcBorders>
              <w:bottom w:val="single" w:sz="4" w:space="0" w:color="000000"/>
            </w:tcBorders>
          </w:tcPr>
          <w:p w14:paraId="3D36C5C0" w14:textId="77777777" w:rsidR="002E6246" w:rsidRPr="002E6246" w:rsidRDefault="002E6246" w:rsidP="002E624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14:paraId="794D2067" w14:textId="77777777" w:rsidR="002E6246" w:rsidRPr="002E3996" w:rsidRDefault="002E6246" w:rsidP="002E6246">
            <w:pPr>
              <w:rPr>
                <w:rFonts w:eastAsia="Times New Roman" w:cs="Times New Roman"/>
                <w:sz w:val="28"/>
                <w:szCs w:val="28"/>
              </w:rPr>
            </w:pPr>
            <w:r w:rsidRPr="002E3996">
              <w:rPr>
                <w:rFonts w:eastAsia="Times New Roman" w:cs="Times New Roman"/>
                <w:sz w:val="28"/>
                <w:szCs w:val="28"/>
              </w:rPr>
              <w:t>Uzziņas sagatavotājs</w:t>
            </w:r>
          </w:p>
        </w:tc>
        <w:tc>
          <w:tcPr>
            <w:tcW w:w="6350" w:type="dxa"/>
            <w:tcBorders>
              <w:bottom w:val="single" w:sz="4" w:space="0" w:color="000000"/>
            </w:tcBorders>
          </w:tcPr>
          <w:p w14:paraId="1EE0FE77" w14:textId="77777777" w:rsidR="002E6246" w:rsidRPr="00016046" w:rsidRDefault="002E6246" w:rsidP="002E6246">
            <w:pPr>
              <w:spacing w:after="160"/>
              <w:rPr>
                <w:rFonts w:eastAsia="Times New Roman" w:cs="Times New Roman"/>
                <w:szCs w:val="24"/>
              </w:rPr>
            </w:pPr>
            <w:r w:rsidRPr="00016046">
              <w:rPr>
                <w:rFonts w:eastAsiaTheme="minorEastAsia" w:cs="Times New Roman"/>
                <w:noProof/>
                <w:szCs w:val="24"/>
                <w:lang w:eastAsia="lv-LV"/>
              </w:rPr>
              <w:t>Finanšu tirgus politikas departamenta,</w:t>
            </w:r>
            <w:r w:rsidR="00C72F1A" w:rsidRPr="00016046">
              <w:rPr>
                <w:rFonts w:eastAsiaTheme="minorEastAsia" w:cs="Times New Roman"/>
                <w:noProof/>
                <w:szCs w:val="24"/>
                <w:lang w:eastAsia="lv-LV"/>
              </w:rPr>
              <w:t xml:space="preserve"> Kapitāla tirgus un apdrošināšanas</w:t>
            </w:r>
            <w:r w:rsidRPr="00016046">
              <w:rPr>
                <w:rFonts w:eastAsiaTheme="minorEastAsia" w:cs="Times New Roman"/>
                <w:noProof/>
                <w:szCs w:val="24"/>
                <w:lang w:eastAsia="lv-LV"/>
              </w:rPr>
              <w:t xml:space="preserve"> nodaļas juriskonsults</w:t>
            </w:r>
            <w:r w:rsidRPr="00016046">
              <w:rPr>
                <w:rFonts w:eastAsia="Times New Roman" w:cs="Times New Roman"/>
                <w:szCs w:val="24"/>
              </w:rPr>
              <w:t xml:space="preserve"> </w:t>
            </w:r>
            <w:r w:rsidR="00C72F1A" w:rsidRPr="00016046">
              <w:rPr>
                <w:rFonts w:eastAsia="Times New Roman" w:cs="Times New Roman"/>
                <w:szCs w:val="24"/>
              </w:rPr>
              <w:t>Aivis Hammers</w:t>
            </w:r>
            <w:r w:rsidRPr="00016046">
              <w:rPr>
                <w:rFonts w:eastAsia="Times New Roman" w:cs="Times New Roman"/>
                <w:szCs w:val="24"/>
              </w:rPr>
              <w:t>.</w:t>
            </w:r>
          </w:p>
          <w:p w14:paraId="388ED633" w14:textId="77777777" w:rsidR="002E6246" w:rsidRPr="00016046" w:rsidRDefault="002E6246" w:rsidP="002E6246">
            <w:pPr>
              <w:spacing w:after="160"/>
              <w:rPr>
                <w:rFonts w:eastAsia="Times New Roman" w:cs="Times New Roman"/>
                <w:szCs w:val="24"/>
              </w:rPr>
            </w:pPr>
            <w:r w:rsidRPr="00016046">
              <w:rPr>
                <w:rFonts w:eastAsia="Times New Roman" w:cs="Times New Roman"/>
                <w:szCs w:val="24"/>
              </w:rPr>
              <w:t xml:space="preserve">Tālrunis, e-pasts: </w:t>
            </w:r>
            <w:r w:rsidRPr="00016046">
              <w:rPr>
                <w:rFonts w:cs="Times New Roman"/>
                <w:szCs w:val="24"/>
              </w:rPr>
              <w:t>67095441</w:t>
            </w:r>
            <w:r w:rsidRPr="00016046">
              <w:rPr>
                <w:rFonts w:eastAsia="Times New Roman" w:cs="Times New Roman"/>
                <w:szCs w:val="24"/>
              </w:rPr>
              <w:t xml:space="preserve">, </w:t>
            </w:r>
            <w:r w:rsidR="00C72F1A" w:rsidRPr="00016046">
              <w:rPr>
                <w:rFonts w:eastAsia="Times New Roman" w:cs="Times New Roman"/>
                <w:szCs w:val="24"/>
              </w:rPr>
              <w:t>aivis.hammers</w:t>
            </w:r>
            <w:r w:rsidRPr="00016046">
              <w:rPr>
                <w:rFonts w:eastAsia="Times New Roman" w:cs="Times New Roman"/>
                <w:szCs w:val="24"/>
              </w:rPr>
              <w:t>@fm.gov.lv</w:t>
            </w:r>
          </w:p>
          <w:p w14:paraId="5ABC3A7E" w14:textId="77777777" w:rsidR="002E6246" w:rsidRPr="00016046" w:rsidRDefault="002E6246" w:rsidP="002E6246">
            <w:pPr>
              <w:jc w:val="both"/>
              <w:rPr>
                <w:rFonts w:eastAsia="Times New Roman" w:cs="Times New Roman"/>
                <w:color w:val="333333"/>
                <w:szCs w:val="24"/>
              </w:rPr>
            </w:pPr>
          </w:p>
        </w:tc>
      </w:tr>
      <w:tr w:rsidR="002E6246" w:rsidRPr="002E6246" w14:paraId="020A0460" w14:textId="77777777" w:rsidTr="00F64964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2773016A" w14:textId="77777777" w:rsidR="002E6246" w:rsidRPr="002E6246" w:rsidRDefault="002E6246" w:rsidP="002E6246">
            <w:pPr>
              <w:rPr>
                <w:rFonts w:eastAsia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55567838" w14:textId="77777777" w:rsidR="002E6246" w:rsidRPr="002E6246" w:rsidRDefault="002E6246" w:rsidP="002E6246">
      <w:pPr>
        <w:spacing w:after="160" w:line="259" w:lineRule="auto"/>
        <w:rPr>
          <w:rFonts w:eastAsia="Times New Roman" w:cs="Times New Roman"/>
          <w:sz w:val="26"/>
          <w:szCs w:val="26"/>
        </w:rPr>
      </w:pPr>
    </w:p>
    <w:p w14:paraId="714ECFAA" w14:textId="77777777" w:rsidR="00E96814" w:rsidRDefault="00E96814"/>
    <w:p w14:paraId="77819CFF" w14:textId="77777777" w:rsidR="00E96814" w:rsidRPr="00E96814" w:rsidRDefault="00E96814" w:rsidP="00E96814"/>
    <w:p w14:paraId="4270E6BC" w14:textId="77777777" w:rsidR="00E96814" w:rsidRPr="00E96814" w:rsidRDefault="00E96814" w:rsidP="00E96814"/>
    <w:p w14:paraId="00509D22" w14:textId="77777777" w:rsidR="00E96814" w:rsidRPr="00E96814" w:rsidRDefault="00E96814" w:rsidP="00E96814"/>
    <w:p w14:paraId="2FA8C4DE" w14:textId="77777777" w:rsidR="00E96814" w:rsidRPr="00E96814" w:rsidRDefault="00E96814" w:rsidP="00E96814"/>
    <w:p w14:paraId="7895563B" w14:textId="77777777" w:rsidR="00E96814" w:rsidRPr="00E96814" w:rsidRDefault="00E96814" w:rsidP="00E96814"/>
    <w:p w14:paraId="141A1F01" w14:textId="77777777" w:rsidR="00E96814" w:rsidRPr="00E96814" w:rsidRDefault="00E96814" w:rsidP="00E96814"/>
    <w:p w14:paraId="49242FB9" w14:textId="77777777" w:rsidR="00E96814" w:rsidRPr="00E96814" w:rsidRDefault="00E96814" w:rsidP="00E96814"/>
    <w:p w14:paraId="0C479531" w14:textId="77777777" w:rsidR="00E96814" w:rsidRPr="00E96814" w:rsidRDefault="00E96814" w:rsidP="00E96814"/>
    <w:p w14:paraId="31332921" w14:textId="77777777" w:rsidR="00E96814" w:rsidRPr="00E96814" w:rsidRDefault="00E96814" w:rsidP="00E96814"/>
    <w:p w14:paraId="12BDB6E6" w14:textId="77777777" w:rsidR="00E96814" w:rsidRPr="00E96814" w:rsidRDefault="00E96814" w:rsidP="00E96814"/>
    <w:p w14:paraId="131E5C37" w14:textId="77777777" w:rsidR="00E96814" w:rsidRPr="00E96814" w:rsidRDefault="00E96814" w:rsidP="00E96814"/>
    <w:p w14:paraId="0EC46879" w14:textId="77777777" w:rsidR="00E96814" w:rsidRDefault="00E96814" w:rsidP="00E96814"/>
    <w:p w14:paraId="1FE8B02B" w14:textId="77777777" w:rsidR="00DF22CE" w:rsidRPr="00E96814" w:rsidRDefault="00E96814" w:rsidP="00E96814">
      <w:pPr>
        <w:tabs>
          <w:tab w:val="left" w:pos="4095"/>
        </w:tabs>
      </w:pPr>
      <w:r>
        <w:tab/>
      </w:r>
    </w:p>
    <w:sectPr w:rsidR="00DF22CE" w:rsidRPr="00E96814" w:rsidSect="004444EB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5EBE" w14:textId="77777777" w:rsidR="00E40718" w:rsidRDefault="00E40718">
      <w:r>
        <w:separator/>
      </w:r>
    </w:p>
  </w:endnote>
  <w:endnote w:type="continuationSeparator" w:id="0">
    <w:p w14:paraId="061F5410" w14:textId="77777777" w:rsidR="00E40718" w:rsidRDefault="00E4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6F47" w14:textId="77777777" w:rsidR="00F5462D" w:rsidRPr="002D1EE0" w:rsidRDefault="00F5462D" w:rsidP="00F5462D">
    <w:pPr>
      <w:pStyle w:val="Foo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FM</w:t>
    </w:r>
    <w:r w:rsidRPr="00B7651E">
      <w:rPr>
        <w:rFonts w:cs="Times New Roman"/>
        <w:sz w:val="20"/>
        <w:szCs w:val="20"/>
      </w:rPr>
      <w:t>U</w:t>
    </w:r>
    <w:r>
      <w:rPr>
        <w:rFonts w:cs="Times New Roman"/>
        <w:sz w:val="20"/>
        <w:szCs w:val="20"/>
      </w:rPr>
      <w:t>zzina_130120_IBSL</w:t>
    </w:r>
    <w:r w:rsidRPr="00B7651E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 xml:space="preserve">Likumprojekts </w:t>
    </w:r>
    <w:r w:rsidRPr="002D1EE0">
      <w:rPr>
        <w:rFonts w:cs="Times New Roman"/>
        <w:sz w:val="20"/>
        <w:szCs w:val="20"/>
      </w:rPr>
      <w:t>“</w:t>
    </w:r>
    <w:r>
      <w:rPr>
        <w:sz w:val="20"/>
        <w:szCs w:val="20"/>
      </w:rPr>
      <w:t>Ieguldījumu brokeru sabiedrību likums</w:t>
    </w:r>
    <w:r w:rsidRPr="002D1EE0">
      <w:rPr>
        <w:rFonts w:cs="Times New Roman"/>
        <w:sz w:val="20"/>
        <w:szCs w:val="20"/>
      </w:rPr>
      <w:t>”</w:t>
    </w:r>
  </w:p>
  <w:p w14:paraId="3EC3E144" w14:textId="77777777" w:rsidR="0088019C" w:rsidRPr="002D1EE0" w:rsidRDefault="0088019C" w:rsidP="0088019C">
    <w:pPr>
      <w:pStyle w:val="Footer"/>
      <w:rPr>
        <w:rFonts w:cs="Times New Roman"/>
        <w:sz w:val="20"/>
        <w:szCs w:val="20"/>
      </w:rPr>
    </w:pPr>
  </w:p>
  <w:p w14:paraId="7BA5CBCF" w14:textId="77777777" w:rsidR="0093064E" w:rsidRDefault="0088019C" w:rsidP="0088019C">
    <w:pPr>
      <w:pStyle w:val="Foo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</w:p>
  <w:p w14:paraId="2288C9CC" w14:textId="77777777" w:rsidR="004444EB" w:rsidRPr="00B7651E" w:rsidRDefault="00E40718" w:rsidP="00B76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74BD" w14:textId="77777777" w:rsidR="00C72F1A" w:rsidRPr="002D1EE0" w:rsidRDefault="00C72F1A" w:rsidP="00C72F1A">
    <w:pPr>
      <w:pStyle w:val="Foo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FM</w:t>
    </w:r>
    <w:r w:rsidRPr="00B7651E">
      <w:rPr>
        <w:rFonts w:cs="Times New Roman"/>
        <w:sz w:val="20"/>
        <w:szCs w:val="20"/>
      </w:rPr>
      <w:t>U</w:t>
    </w:r>
    <w:r>
      <w:rPr>
        <w:rFonts w:cs="Times New Roman"/>
        <w:sz w:val="20"/>
        <w:szCs w:val="20"/>
      </w:rPr>
      <w:t>zzina_</w:t>
    </w:r>
    <w:r w:rsidR="00F5462D">
      <w:rPr>
        <w:rFonts w:cs="Times New Roman"/>
        <w:sz w:val="20"/>
        <w:szCs w:val="20"/>
      </w:rPr>
      <w:t>130120_IBSL</w:t>
    </w:r>
    <w:r w:rsidRPr="00B7651E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 xml:space="preserve">Likumprojekts </w:t>
    </w:r>
    <w:r w:rsidRPr="002D1EE0">
      <w:rPr>
        <w:rFonts w:cs="Times New Roman"/>
        <w:sz w:val="20"/>
        <w:szCs w:val="20"/>
      </w:rPr>
      <w:t>“</w:t>
    </w:r>
    <w:r w:rsidR="00F5462D">
      <w:rPr>
        <w:sz w:val="20"/>
        <w:szCs w:val="20"/>
      </w:rPr>
      <w:t>Ieguldījumu brokeru sabiedrību</w:t>
    </w:r>
    <w:r>
      <w:rPr>
        <w:sz w:val="20"/>
        <w:szCs w:val="20"/>
      </w:rPr>
      <w:t xml:space="preserve"> likums</w:t>
    </w:r>
    <w:r w:rsidRPr="002D1EE0">
      <w:rPr>
        <w:rFonts w:cs="Times New Roman"/>
        <w:sz w:val="20"/>
        <w:szCs w:val="20"/>
      </w:rPr>
      <w:t>”</w:t>
    </w:r>
  </w:p>
  <w:p w14:paraId="6CEB8240" w14:textId="77777777" w:rsidR="002B3839" w:rsidRPr="00806A94" w:rsidRDefault="00E40718" w:rsidP="00806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8A5E" w14:textId="77777777" w:rsidR="00E40718" w:rsidRDefault="00E40718">
      <w:r>
        <w:separator/>
      </w:r>
    </w:p>
  </w:footnote>
  <w:footnote w:type="continuationSeparator" w:id="0">
    <w:p w14:paraId="679D1205" w14:textId="77777777" w:rsidR="00E40718" w:rsidRDefault="00E4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062592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448849CE" w14:textId="781CC0A7" w:rsidR="004444EB" w:rsidRPr="004444EB" w:rsidRDefault="002E6246" w:rsidP="004444EB">
        <w:pPr>
          <w:pStyle w:val="Header"/>
          <w:jc w:val="center"/>
          <w:rPr>
            <w:szCs w:val="24"/>
          </w:rPr>
        </w:pPr>
        <w:r w:rsidRPr="004444EB">
          <w:rPr>
            <w:szCs w:val="24"/>
          </w:rPr>
          <w:fldChar w:fldCharType="begin"/>
        </w:r>
        <w:r w:rsidRPr="004444EB">
          <w:rPr>
            <w:szCs w:val="24"/>
          </w:rPr>
          <w:instrText xml:space="preserve"> PAGE   \* MERGEFORMAT </w:instrText>
        </w:r>
        <w:r w:rsidRPr="004444EB">
          <w:rPr>
            <w:szCs w:val="24"/>
          </w:rPr>
          <w:fldChar w:fldCharType="separate"/>
        </w:r>
        <w:r w:rsidR="00654205">
          <w:rPr>
            <w:noProof/>
            <w:szCs w:val="24"/>
          </w:rPr>
          <w:t>2</w:t>
        </w:r>
        <w:r w:rsidRPr="004444EB">
          <w:rPr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0C9"/>
    <w:multiLevelType w:val="hybridMultilevel"/>
    <w:tmpl w:val="F1945C04"/>
    <w:lvl w:ilvl="0" w:tplc="6E088B4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6B"/>
    <w:rsid w:val="00016046"/>
    <w:rsid w:val="00043853"/>
    <w:rsid w:val="00076811"/>
    <w:rsid w:val="00077145"/>
    <w:rsid w:val="0009446B"/>
    <w:rsid w:val="000A1913"/>
    <w:rsid w:val="000B3084"/>
    <w:rsid w:val="000E0B0D"/>
    <w:rsid w:val="00132A20"/>
    <w:rsid w:val="001369F9"/>
    <w:rsid w:val="00164B07"/>
    <w:rsid w:val="00184875"/>
    <w:rsid w:val="001D208E"/>
    <w:rsid w:val="002D1EE0"/>
    <w:rsid w:val="002E3996"/>
    <w:rsid w:val="002E6246"/>
    <w:rsid w:val="00313E4D"/>
    <w:rsid w:val="003A35C5"/>
    <w:rsid w:val="003C540E"/>
    <w:rsid w:val="004120CB"/>
    <w:rsid w:val="004300A9"/>
    <w:rsid w:val="00434C1D"/>
    <w:rsid w:val="004616B3"/>
    <w:rsid w:val="004B7D21"/>
    <w:rsid w:val="004D750A"/>
    <w:rsid w:val="00516CB9"/>
    <w:rsid w:val="005803E4"/>
    <w:rsid w:val="005D4BBE"/>
    <w:rsid w:val="005E0426"/>
    <w:rsid w:val="00650BED"/>
    <w:rsid w:val="00654205"/>
    <w:rsid w:val="006C0DC6"/>
    <w:rsid w:val="006D2E84"/>
    <w:rsid w:val="007255BD"/>
    <w:rsid w:val="00791E04"/>
    <w:rsid w:val="007A65DA"/>
    <w:rsid w:val="007C6AE5"/>
    <w:rsid w:val="007E5F8E"/>
    <w:rsid w:val="00801699"/>
    <w:rsid w:val="008106F2"/>
    <w:rsid w:val="00831722"/>
    <w:rsid w:val="0088019C"/>
    <w:rsid w:val="008B702F"/>
    <w:rsid w:val="00924982"/>
    <w:rsid w:val="00946034"/>
    <w:rsid w:val="009A6D72"/>
    <w:rsid w:val="009D1299"/>
    <w:rsid w:val="009E42E1"/>
    <w:rsid w:val="00A56385"/>
    <w:rsid w:val="00A71199"/>
    <w:rsid w:val="00A72E34"/>
    <w:rsid w:val="00A84242"/>
    <w:rsid w:val="00AA3403"/>
    <w:rsid w:val="00B2384F"/>
    <w:rsid w:val="00B44829"/>
    <w:rsid w:val="00B74A30"/>
    <w:rsid w:val="00BA63A4"/>
    <w:rsid w:val="00BD49EE"/>
    <w:rsid w:val="00BE3C8F"/>
    <w:rsid w:val="00C00FD4"/>
    <w:rsid w:val="00C515BE"/>
    <w:rsid w:val="00C72F1A"/>
    <w:rsid w:val="00C76390"/>
    <w:rsid w:val="00CA7C00"/>
    <w:rsid w:val="00CC7E07"/>
    <w:rsid w:val="00CF5188"/>
    <w:rsid w:val="00DF22CE"/>
    <w:rsid w:val="00E06AB5"/>
    <w:rsid w:val="00E101E9"/>
    <w:rsid w:val="00E14E21"/>
    <w:rsid w:val="00E40718"/>
    <w:rsid w:val="00E42110"/>
    <w:rsid w:val="00E54503"/>
    <w:rsid w:val="00E643B2"/>
    <w:rsid w:val="00E67EDE"/>
    <w:rsid w:val="00E96814"/>
    <w:rsid w:val="00EB23E6"/>
    <w:rsid w:val="00EE0646"/>
    <w:rsid w:val="00F5462D"/>
    <w:rsid w:val="00F726F8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1E64"/>
  <w15:chartTrackingRefBased/>
  <w15:docId w15:val="{7E513FFA-3385-41A2-9949-AF16A05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2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46"/>
  </w:style>
  <w:style w:type="paragraph" w:styleId="Footer">
    <w:name w:val="footer"/>
    <w:basedOn w:val="Normal"/>
    <w:link w:val="FooterChar"/>
    <w:uiPriority w:val="99"/>
    <w:unhideWhenUsed/>
    <w:rsid w:val="002E62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46"/>
  </w:style>
  <w:style w:type="character" w:styleId="Strong">
    <w:name w:val="Strong"/>
    <w:basedOn w:val="DefaultParagraphFont"/>
    <w:uiPriority w:val="22"/>
    <w:qFormat/>
    <w:rsid w:val="00CA7C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C6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5D4BBE"/>
    <w:pPr>
      <w:spacing w:before="240" w:after="120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kr">
    <w:name w:val="naiskr"/>
    <w:basedOn w:val="Normal"/>
    <w:rsid w:val="00E54503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Default">
    <w:name w:val="Default"/>
    <w:rsid w:val="00E5450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D208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64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A. Zitcere (FTPD)</Zinotajs>
    <NPK xmlns="bf0a44d4-cc3b-414c-aa68-884178465e3a">3.</NPK>
    <VK_x0020_l_x0113_mums xmlns="bf0a44d4-cc3b-414c-aa68-884178465e3a">Apstiprināt</VK_x0020_l_x0113_mu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722EF7574E2F4C9F8FBFF15E48B4F1" ma:contentTypeVersion="" ma:contentTypeDescription="Izveidot jaunu dokumentu." ma:contentTypeScope="" ma:versionID="27d739214692d17992c83028e7f301b7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CD9C3-25DC-4262-BB9B-4A4E2228A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0C701-E968-443A-A860-57230362E836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customXml/itemProps3.xml><?xml version="1.0" encoding="utf-8"?>
<ds:datastoreItem xmlns:ds="http://schemas.openxmlformats.org/officeDocument/2006/customXml" ds:itemID="{9E85A04B-3DAB-43B8-8135-D2389D81D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likumprojektiem "Ieguldījumu brokeru sabiedrību likums", "Grozījumi Finanšu instrumentu tirgus likumā"</vt:lpstr>
    </vt:vector>
  </TitlesOfParts>
  <Company>Finanšu ministrija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likumprojektiem "Ieguldījumu brokeru sabiedrību likums", "Grozījumi Finanšu instrumentu tirgus likumā"</dc:title>
  <dc:subject>Uzziņa</dc:subject>
  <dc:creator>A. Hammers (FTPD)</dc:creator>
  <cp:keywords/>
  <dc:description>67095441, aivis.hammers@fm.gov.lv</dc:description>
  <cp:lastModifiedBy>Inguna Dancīte</cp:lastModifiedBy>
  <cp:revision>2</cp:revision>
  <dcterms:created xsi:type="dcterms:W3CDTF">2020-01-10T09:24:00Z</dcterms:created>
  <dcterms:modified xsi:type="dcterms:W3CDTF">2020-01-10T09:24:00Z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0x01010087722EF7574E2F4C9F8FBFF15E48B4F1</vt:lpwstr>
  </property>
</Properties>
</file>