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D931" w14:textId="77777777" w:rsidR="002E6246" w:rsidRPr="00781C0F" w:rsidRDefault="002E6246" w:rsidP="002E6246">
      <w:pPr>
        <w:tabs>
          <w:tab w:val="left" w:pos="810"/>
        </w:tabs>
        <w:jc w:val="center"/>
        <w:rPr>
          <w:rFonts w:eastAsia="Times New Roman" w:cs="Times New Roman"/>
          <w:b/>
          <w:iCs/>
          <w:sz w:val="28"/>
          <w:szCs w:val="28"/>
        </w:rPr>
      </w:pPr>
      <w:bookmarkStart w:id="0" w:name="_GoBack"/>
      <w:bookmarkEnd w:id="0"/>
      <w:r w:rsidRPr="00781C0F">
        <w:rPr>
          <w:rFonts w:eastAsia="Times New Roman" w:cs="Times New Roman"/>
          <w:b/>
          <w:iCs/>
          <w:sz w:val="28"/>
          <w:szCs w:val="28"/>
        </w:rPr>
        <w:t>Uzziņa par tiesību akta projektu Vadības komitejai</w:t>
      </w:r>
    </w:p>
    <w:p w14:paraId="06150B4A" w14:textId="77777777" w:rsidR="002E6246" w:rsidRPr="00781C0F" w:rsidRDefault="002E6246" w:rsidP="002E6246">
      <w:pPr>
        <w:tabs>
          <w:tab w:val="left" w:pos="810"/>
        </w:tabs>
        <w:jc w:val="center"/>
        <w:rPr>
          <w:rFonts w:eastAsia="Times New Roman" w:cs="Times New Roman"/>
          <w:b/>
          <w:iCs/>
          <w:sz w:val="26"/>
          <w:szCs w:val="26"/>
        </w:rPr>
      </w:pPr>
    </w:p>
    <w:p w14:paraId="705ECB3B" w14:textId="617DAE62" w:rsidR="002E6246" w:rsidRPr="00781C0F" w:rsidRDefault="00F95B3D" w:rsidP="002E6246">
      <w:pPr>
        <w:tabs>
          <w:tab w:val="left" w:pos="810"/>
          <w:tab w:val="left" w:pos="4125"/>
          <w:tab w:val="center" w:pos="5404"/>
        </w:tabs>
        <w:jc w:val="center"/>
        <w:rPr>
          <w:rFonts w:eastAsia="Times New Roman" w:cs="Times New Roman"/>
          <w:i/>
          <w:iCs/>
          <w:sz w:val="26"/>
          <w:szCs w:val="26"/>
        </w:rPr>
      </w:pPr>
      <w:r w:rsidRPr="00781C0F">
        <w:rPr>
          <w:rFonts w:eastAsia="Times New Roman" w:cs="Times New Roman"/>
          <w:i/>
          <w:iCs/>
          <w:sz w:val="26"/>
          <w:szCs w:val="26"/>
        </w:rPr>
        <w:t>20</w:t>
      </w:r>
      <w:r w:rsidR="00F5462D" w:rsidRPr="00781C0F">
        <w:rPr>
          <w:rFonts w:eastAsia="Times New Roman" w:cs="Times New Roman"/>
          <w:i/>
          <w:iCs/>
          <w:sz w:val="26"/>
          <w:szCs w:val="26"/>
        </w:rPr>
        <w:t>.01.2020.</w:t>
      </w:r>
    </w:p>
    <w:p w14:paraId="7FA77CDB" w14:textId="77777777" w:rsidR="002E6246" w:rsidRPr="00781C0F" w:rsidRDefault="002E6246" w:rsidP="002E6246">
      <w:pPr>
        <w:rPr>
          <w:rFonts w:eastAsia="Times New Roman" w:cs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6350"/>
      </w:tblGrid>
      <w:tr w:rsidR="00781C0F" w:rsidRPr="00781C0F" w14:paraId="3D1331EE" w14:textId="77777777" w:rsidTr="00F64964">
        <w:tc>
          <w:tcPr>
            <w:tcW w:w="710" w:type="dxa"/>
          </w:tcPr>
          <w:p w14:paraId="576DE973" w14:textId="77777777" w:rsidR="002E6246" w:rsidRPr="00781C0F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3005" w:type="dxa"/>
            <w:vAlign w:val="center"/>
          </w:tcPr>
          <w:p w14:paraId="2EA1BF6A" w14:textId="77777777" w:rsidR="002E6246" w:rsidRPr="00781C0F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Sniedzamā informācija</w:t>
            </w:r>
          </w:p>
        </w:tc>
        <w:tc>
          <w:tcPr>
            <w:tcW w:w="6350" w:type="dxa"/>
            <w:vAlign w:val="center"/>
          </w:tcPr>
          <w:p w14:paraId="0E3908CC" w14:textId="77777777" w:rsidR="002E6246" w:rsidRPr="00781C0F" w:rsidRDefault="00791E04" w:rsidP="00AA3403">
            <w:pPr>
              <w:spacing w:before="60" w:after="60"/>
              <w:jc w:val="center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Informācija par projektu</w:t>
            </w:r>
          </w:p>
        </w:tc>
      </w:tr>
      <w:tr w:rsidR="00781C0F" w:rsidRPr="00781C0F" w14:paraId="4284AB90" w14:textId="77777777" w:rsidTr="00F64964">
        <w:tc>
          <w:tcPr>
            <w:tcW w:w="710" w:type="dxa"/>
          </w:tcPr>
          <w:p w14:paraId="246F5DAA" w14:textId="77777777" w:rsidR="002E6246" w:rsidRPr="00781C0F" w:rsidRDefault="002E6246" w:rsidP="002E6246">
            <w:pPr>
              <w:spacing w:before="60" w:after="6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5F69134E" w14:textId="6CA590AC" w:rsidR="004120CB" w:rsidRPr="00781C0F" w:rsidRDefault="00184875" w:rsidP="004120CB">
            <w:pPr>
              <w:jc w:val="center"/>
              <w:rPr>
                <w:b/>
                <w:szCs w:val="24"/>
              </w:rPr>
            </w:pPr>
            <w:r w:rsidRPr="00781C0F">
              <w:rPr>
                <w:b/>
                <w:szCs w:val="24"/>
              </w:rPr>
              <w:t>Likumprojekts</w:t>
            </w:r>
            <w:r w:rsidR="004616B3" w:rsidRPr="00781C0F">
              <w:rPr>
                <w:b/>
                <w:szCs w:val="24"/>
              </w:rPr>
              <w:t xml:space="preserve"> “Grozījumi</w:t>
            </w:r>
            <w:r w:rsidR="00F95B3D" w:rsidRPr="00781C0F">
              <w:rPr>
                <w:b/>
                <w:szCs w:val="24"/>
              </w:rPr>
              <w:t xml:space="preserve"> Apdrošināšanas un pārapdrošināšanas likumā</w:t>
            </w:r>
            <w:r w:rsidR="004616B3" w:rsidRPr="00781C0F">
              <w:rPr>
                <w:b/>
                <w:szCs w:val="24"/>
              </w:rPr>
              <w:t>”</w:t>
            </w:r>
          </w:p>
          <w:p w14:paraId="5D167B4A" w14:textId="77777777" w:rsidR="002E6246" w:rsidRPr="00781C0F" w:rsidRDefault="002E6246" w:rsidP="003A35C5">
            <w:pPr>
              <w:spacing w:before="60" w:after="60"/>
              <w:jc w:val="center"/>
              <w:rPr>
                <w:rFonts w:ascii="Times New Roman Bold" w:eastAsia="Calibri" w:hAnsi="Times New Roman Bold" w:cs="Times New Roman"/>
                <w:b/>
                <w:bCs/>
                <w:szCs w:val="24"/>
              </w:rPr>
            </w:pPr>
          </w:p>
        </w:tc>
      </w:tr>
      <w:tr w:rsidR="00781C0F" w:rsidRPr="00781C0F" w14:paraId="0DC5EFE9" w14:textId="77777777" w:rsidTr="00F64964">
        <w:trPr>
          <w:trHeight w:val="725"/>
        </w:trPr>
        <w:tc>
          <w:tcPr>
            <w:tcW w:w="710" w:type="dxa"/>
          </w:tcPr>
          <w:p w14:paraId="76B67971" w14:textId="77777777" w:rsidR="002E6246" w:rsidRPr="00781C0F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515DE4DA" w14:textId="77777777" w:rsidR="002E6246" w:rsidRPr="00781C0F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Projekta izstrādes nepieciešamības pamatojums</w:t>
            </w:r>
          </w:p>
        </w:tc>
        <w:tc>
          <w:tcPr>
            <w:tcW w:w="6350" w:type="dxa"/>
          </w:tcPr>
          <w:p w14:paraId="1A216254" w14:textId="69AEC14D" w:rsidR="004300A9" w:rsidRPr="00781C0F" w:rsidRDefault="00F95B3D" w:rsidP="00856381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  <w:r w:rsidRPr="00781C0F">
              <w:rPr>
                <w:noProof/>
                <w:szCs w:val="24"/>
              </w:rPr>
              <w:t xml:space="preserve">Likumprojekta </w:t>
            </w:r>
            <w:r w:rsidR="00F5462D" w:rsidRPr="00781C0F">
              <w:rPr>
                <w:noProof/>
                <w:szCs w:val="24"/>
              </w:rPr>
              <w:t xml:space="preserve">izstrādes mērķis ir </w:t>
            </w:r>
            <w:r w:rsidR="002E3996" w:rsidRPr="00781C0F">
              <w:rPr>
                <w:noProof/>
                <w:szCs w:val="24"/>
              </w:rPr>
              <w:t xml:space="preserve"> </w:t>
            </w:r>
            <w:r w:rsidR="00CC7E07" w:rsidRPr="00781C0F">
              <w:rPr>
                <w:noProof/>
                <w:szCs w:val="24"/>
              </w:rPr>
              <w:t xml:space="preserve">Eiropas Parlamenta un Padomes </w:t>
            </w:r>
            <w:r w:rsidR="00856381" w:rsidRPr="00781C0F">
              <w:rPr>
                <w:noProof/>
                <w:szCs w:val="24"/>
              </w:rPr>
              <w:t xml:space="preserve">2019.gada 18.decembra </w:t>
            </w:r>
            <w:r w:rsidR="00CC7E07" w:rsidRPr="00781C0F">
              <w:rPr>
                <w:noProof/>
                <w:szCs w:val="24"/>
              </w:rPr>
              <w:t xml:space="preserve">Direktīvas </w:t>
            </w:r>
            <w:r w:rsidR="00283301" w:rsidRPr="00781C0F">
              <w:rPr>
                <w:noProof/>
                <w:szCs w:val="24"/>
              </w:rPr>
              <w:t>Nr.</w:t>
            </w:r>
            <w:r w:rsidR="00CC7E07" w:rsidRPr="00781C0F">
              <w:rPr>
                <w:noProof/>
                <w:szCs w:val="24"/>
              </w:rPr>
              <w:t>2019/2177</w:t>
            </w:r>
            <w:r w:rsidRPr="00781C0F">
              <w:rPr>
                <w:noProof/>
                <w:szCs w:val="24"/>
              </w:rPr>
              <w:t>,</w:t>
            </w:r>
            <w:r w:rsidR="00856381" w:rsidRPr="00781C0F">
              <w:rPr>
                <w:szCs w:val="24"/>
              </w:rPr>
              <w:t xml:space="preserve"> </w:t>
            </w:r>
            <w:r w:rsidR="00856381" w:rsidRPr="00781C0F">
              <w:rPr>
                <w:noProof/>
                <w:szCs w:val="24"/>
              </w:rPr>
              <w:t xml:space="preserve">ar ko groza Direktīvu </w:t>
            </w:r>
            <w:r w:rsidR="00812B08" w:rsidRPr="00781C0F">
              <w:rPr>
                <w:noProof/>
                <w:szCs w:val="24"/>
              </w:rPr>
              <w:t>Nr.</w:t>
            </w:r>
            <w:r w:rsidR="00856381" w:rsidRPr="00781C0F">
              <w:rPr>
                <w:noProof/>
                <w:szCs w:val="24"/>
              </w:rPr>
              <w:t xml:space="preserve">2009/138/EK par uzņēmējdarbības uzsākšanu un veikšanu apdrošināšanas un pārapdrošināšanas jomā (Maksātspēja II), Direktīvu </w:t>
            </w:r>
            <w:r w:rsidR="00812B08" w:rsidRPr="00781C0F">
              <w:rPr>
                <w:noProof/>
                <w:szCs w:val="24"/>
              </w:rPr>
              <w:t>Nr.</w:t>
            </w:r>
            <w:r w:rsidR="00856381" w:rsidRPr="00781C0F">
              <w:rPr>
                <w:noProof/>
                <w:szCs w:val="24"/>
              </w:rPr>
              <w:t xml:space="preserve">2014/65/ES par finanšu instrumentu tirgiem un Direktīvu (ES) </w:t>
            </w:r>
            <w:r w:rsidR="00812B08" w:rsidRPr="00781C0F">
              <w:rPr>
                <w:noProof/>
                <w:szCs w:val="24"/>
              </w:rPr>
              <w:t>Nr.</w:t>
            </w:r>
            <w:r w:rsidR="00856381" w:rsidRPr="00781C0F">
              <w:rPr>
                <w:noProof/>
                <w:szCs w:val="24"/>
              </w:rPr>
              <w:t>2015/849 par to, lai nepieļautu finanšu sistēmas izmantošanu nelikumīgi iegūtu līdzekļu legalizēšanai vai teroristu finansēšanai</w:t>
            </w:r>
            <w:r w:rsidRPr="00781C0F">
              <w:rPr>
                <w:noProof/>
                <w:szCs w:val="24"/>
              </w:rPr>
              <w:t>,</w:t>
            </w:r>
            <w:r w:rsidR="00CC7E07" w:rsidRPr="00781C0F">
              <w:rPr>
                <w:noProof/>
                <w:szCs w:val="24"/>
              </w:rPr>
              <w:t xml:space="preserve"> </w:t>
            </w:r>
            <w:r w:rsidRPr="00781C0F">
              <w:rPr>
                <w:noProof/>
                <w:szCs w:val="24"/>
              </w:rPr>
              <w:t xml:space="preserve">2.panta pārņemšana. </w:t>
            </w:r>
          </w:p>
        </w:tc>
      </w:tr>
      <w:tr w:rsidR="00781C0F" w:rsidRPr="00781C0F" w14:paraId="6A4466BC" w14:textId="77777777" w:rsidTr="00F64964">
        <w:tc>
          <w:tcPr>
            <w:tcW w:w="710" w:type="dxa"/>
          </w:tcPr>
          <w:p w14:paraId="7D916461" w14:textId="77777777" w:rsidR="002E6246" w:rsidRPr="00781C0F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4DC4D9EB" w14:textId="77777777" w:rsidR="002E6246" w:rsidRPr="00781C0F" w:rsidRDefault="002E6246" w:rsidP="002E6246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6350" w:type="dxa"/>
          </w:tcPr>
          <w:p w14:paraId="13E8EFCE" w14:textId="77777777" w:rsidR="005D4BBE" w:rsidRPr="00781C0F" w:rsidRDefault="00076811" w:rsidP="00A71199">
            <w:pPr>
              <w:pStyle w:val="doc-ti"/>
              <w:jc w:val="left"/>
              <w:rPr>
                <w:b w:val="0"/>
                <w:iCs/>
              </w:rPr>
            </w:pPr>
            <w:r w:rsidRPr="00781C0F">
              <w:rPr>
                <w:b w:val="0"/>
                <w:iCs/>
              </w:rPr>
              <w:t>Nav attiecināms.</w:t>
            </w:r>
          </w:p>
        </w:tc>
      </w:tr>
      <w:tr w:rsidR="00781C0F" w:rsidRPr="00781C0F" w14:paraId="303F09E6" w14:textId="77777777" w:rsidTr="00F64964">
        <w:tc>
          <w:tcPr>
            <w:tcW w:w="710" w:type="dxa"/>
          </w:tcPr>
          <w:p w14:paraId="5D261D47" w14:textId="77777777" w:rsidR="002E6246" w:rsidRPr="00781C0F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A3E049D" w14:textId="77777777" w:rsidR="002E6246" w:rsidRPr="00781C0F" w:rsidRDefault="002E6246" w:rsidP="002E6246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781C0F">
              <w:rPr>
                <w:rFonts w:eastAsia="Times New Roman" w:cs="Times New Roman"/>
                <w:szCs w:val="24"/>
              </w:rPr>
              <w:t>Projekta īss saturs</w:t>
            </w:r>
          </w:p>
        </w:tc>
        <w:tc>
          <w:tcPr>
            <w:tcW w:w="6350" w:type="dxa"/>
          </w:tcPr>
          <w:p w14:paraId="2AE59D21" w14:textId="30B2E5AD" w:rsidR="00FD2916" w:rsidRPr="00781C0F" w:rsidRDefault="002E3996" w:rsidP="001369F9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  <w:r w:rsidRPr="00781C0F">
              <w:rPr>
                <w:noProof/>
                <w:szCs w:val="24"/>
              </w:rPr>
              <w:t>Likumprojekts</w:t>
            </w:r>
            <w:r w:rsidR="001369F9" w:rsidRPr="00781C0F">
              <w:rPr>
                <w:noProof/>
                <w:szCs w:val="24"/>
              </w:rPr>
              <w:t xml:space="preserve"> nosaka:</w:t>
            </w:r>
            <w:r w:rsidRPr="00781C0F">
              <w:rPr>
                <w:noProof/>
                <w:szCs w:val="24"/>
              </w:rPr>
              <w:t xml:space="preserve"> </w:t>
            </w:r>
          </w:p>
          <w:p w14:paraId="4B7F271D" w14:textId="62ABB491" w:rsidR="00FD2916" w:rsidRPr="00781C0F" w:rsidRDefault="00FD2916" w:rsidP="007C73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  <w:r w:rsidRPr="00781C0F">
              <w:rPr>
                <w:noProof/>
                <w:szCs w:val="24"/>
              </w:rPr>
              <w:t xml:space="preserve">piemērotu riska koriģētas valsts starpības robežvērtību, lai </w:t>
            </w:r>
            <w:r w:rsidR="007C7325" w:rsidRPr="00781C0F">
              <w:rPr>
                <w:noProof/>
                <w:szCs w:val="24"/>
              </w:rPr>
              <w:t>valsts komponente svārstīguma pielāgojumā efektīvi mazinātu obligāciju vērtības starpības atlikumus;</w:t>
            </w:r>
          </w:p>
          <w:p w14:paraId="703B1C8D" w14:textId="608F0B02" w:rsidR="007C7325" w:rsidRPr="00781C0F" w:rsidRDefault="00B86E21" w:rsidP="00B86E21">
            <w:pPr>
              <w:pStyle w:val="ListParagraph"/>
              <w:numPr>
                <w:ilvl w:val="0"/>
                <w:numId w:val="3"/>
              </w:numPr>
              <w:jc w:val="both"/>
              <w:rPr>
                <w:noProof/>
                <w:szCs w:val="24"/>
              </w:rPr>
            </w:pPr>
            <w:r w:rsidRPr="00781C0F">
              <w:rPr>
                <w:noProof/>
                <w:szCs w:val="24"/>
              </w:rPr>
              <w:t xml:space="preserve">Finanšu un kapitāla tirgus komisijas </w:t>
            </w:r>
            <w:r w:rsidR="007C7325" w:rsidRPr="00781C0F">
              <w:rPr>
                <w:noProof/>
                <w:szCs w:val="24"/>
              </w:rPr>
              <w:t xml:space="preserve">pienākumu informēt </w:t>
            </w:r>
            <w:r w:rsidR="00354B29" w:rsidRPr="00781C0F">
              <w:rPr>
                <w:noProof/>
                <w:szCs w:val="24"/>
              </w:rPr>
              <w:t xml:space="preserve"> Eiropas Apdrošināšanas un aroda pensiju iestādi (turpmāk – </w:t>
            </w:r>
            <w:r w:rsidR="007C7325" w:rsidRPr="00781C0F">
              <w:rPr>
                <w:noProof/>
                <w:szCs w:val="24"/>
              </w:rPr>
              <w:t>EAAPI</w:t>
            </w:r>
            <w:r w:rsidR="00354B29" w:rsidRPr="00781C0F">
              <w:rPr>
                <w:noProof/>
                <w:szCs w:val="24"/>
              </w:rPr>
              <w:t>)</w:t>
            </w:r>
            <w:r w:rsidR="007C7325" w:rsidRPr="00781C0F">
              <w:rPr>
                <w:noProof/>
                <w:szCs w:val="24"/>
              </w:rPr>
              <w:t xml:space="preserve"> par visiem  apdrošināšanas</w:t>
            </w:r>
            <w:r w:rsidRPr="00781C0F">
              <w:rPr>
                <w:noProof/>
                <w:szCs w:val="24"/>
              </w:rPr>
              <w:t xml:space="preserve"> un pārapdrošināšanas sabiedrības</w:t>
            </w:r>
            <w:r w:rsidR="007C7325" w:rsidRPr="00781C0F">
              <w:rPr>
                <w:noProof/>
                <w:szCs w:val="24"/>
              </w:rPr>
              <w:t xml:space="preserve"> un </w:t>
            </w:r>
            <w:r w:rsidRPr="00781C0F">
              <w:rPr>
                <w:noProof/>
                <w:szCs w:val="24"/>
              </w:rPr>
              <w:t>apdrošināšanas un pārapdrošināšanas sabiedrību grupas</w:t>
            </w:r>
            <w:r w:rsidR="007C7325" w:rsidRPr="00781C0F">
              <w:rPr>
                <w:noProof/>
                <w:szCs w:val="24"/>
              </w:rPr>
              <w:t xml:space="preserve"> pieteikumiem izmanot vai mainīt iekšējo modeli maksātspējas kapitāla prasības aprēķināšanai;</w:t>
            </w:r>
          </w:p>
          <w:p w14:paraId="07C32648" w14:textId="51A4442C" w:rsidR="007C7325" w:rsidRPr="00781C0F" w:rsidRDefault="00B86E21" w:rsidP="00B86E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  <w:r w:rsidRPr="00781C0F">
              <w:rPr>
                <w:noProof/>
                <w:szCs w:val="24"/>
              </w:rPr>
              <w:t xml:space="preserve">Finanšu un kapitāla tirgus komisijas </w:t>
            </w:r>
            <w:r w:rsidR="007C7325" w:rsidRPr="00781C0F">
              <w:rPr>
                <w:noProof/>
                <w:szCs w:val="24"/>
              </w:rPr>
              <w:t>pienākumus</w:t>
            </w:r>
            <w:r w:rsidR="00354B29" w:rsidRPr="00781C0F">
              <w:rPr>
                <w:noProof/>
                <w:szCs w:val="24"/>
              </w:rPr>
              <w:t xml:space="preserve"> </w:t>
            </w:r>
            <w:r w:rsidR="007C7325" w:rsidRPr="00781C0F">
              <w:rPr>
                <w:noProof/>
                <w:szCs w:val="24"/>
              </w:rPr>
              <w:t xml:space="preserve">informācijas apmaiņā un sadarbībā ar citu </w:t>
            </w:r>
            <w:r w:rsidR="00354B29" w:rsidRPr="00781C0F">
              <w:rPr>
                <w:noProof/>
                <w:szCs w:val="24"/>
              </w:rPr>
              <w:t>dalīb</w:t>
            </w:r>
            <w:r w:rsidR="007C7325" w:rsidRPr="00781C0F">
              <w:rPr>
                <w:noProof/>
                <w:szCs w:val="24"/>
              </w:rPr>
              <w:t xml:space="preserve">valstu  uzraudzības iestādēm un </w:t>
            </w:r>
            <w:r w:rsidR="00354B29" w:rsidRPr="00781C0F">
              <w:rPr>
                <w:noProof/>
                <w:szCs w:val="24"/>
              </w:rPr>
              <w:t>E</w:t>
            </w:r>
            <w:r w:rsidR="007C7325" w:rsidRPr="00781C0F">
              <w:rPr>
                <w:noProof/>
                <w:szCs w:val="24"/>
              </w:rPr>
              <w:t>AAPI</w:t>
            </w:r>
            <w:r w:rsidR="00354B29" w:rsidRPr="00781C0F">
              <w:rPr>
                <w:noProof/>
                <w:szCs w:val="24"/>
              </w:rPr>
              <w:t xml:space="preserve">, lai uzlabotu vienveidīgu </w:t>
            </w:r>
            <w:r w:rsidRPr="00781C0F">
              <w:rPr>
                <w:noProof/>
                <w:szCs w:val="24"/>
              </w:rPr>
              <w:t xml:space="preserve">Eiropas </w:t>
            </w:r>
            <w:r w:rsidR="00354B29" w:rsidRPr="00781C0F">
              <w:rPr>
                <w:noProof/>
                <w:szCs w:val="24"/>
              </w:rPr>
              <w:t>Savienības tiesību aktu piemērošanu pārrobežu apdrošinā</w:t>
            </w:r>
            <w:r w:rsidR="00E148E4" w:rsidRPr="00781C0F">
              <w:rPr>
                <w:noProof/>
                <w:szCs w:val="24"/>
              </w:rPr>
              <w:t>šanas darbības gadījumos. Panākot</w:t>
            </w:r>
            <w:r w:rsidR="00354B29" w:rsidRPr="00781C0F">
              <w:rPr>
                <w:noProof/>
                <w:szCs w:val="24"/>
              </w:rPr>
              <w:t xml:space="preserve"> ciešāku un savlaicīgu sadarbību starp </w:t>
            </w:r>
            <w:r w:rsidR="00E148E4" w:rsidRPr="00781C0F">
              <w:rPr>
                <w:noProof/>
                <w:szCs w:val="24"/>
              </w:rPr>
              <w:t xml:space="preserve">uzraudzības iestādēm pārrobežu apdrošināšanas darbības gadījumos, tiek uzlabota </w:t>
            </w:r>
            <w:r w:rsidRPr="00781C0F">
              <w:rPr>
                <w:noProof/>
                <w:szCs w:val="24"/>
              </w:rPr>
              <w:t>apdrošināšanas ņēmēju</w:t>
            </w:r>
            <w:r w:rsidR="00E148E4" w:rsidRPr="00781C0F">
              <w:rPr>
                <w:noProof/>
                <w:szCs w:val="24"/>
              </w:rPr>
              <w:t xml:space="preserve"> aizsardzība</w:t>
            </w:r>
            <w:r w:rsidR="00354B29" w:rsidRPr="00781C0F">
              <w:rPr>
                <w:noProof/>
                <w:szCs w:val="24"/>
              </w:rPr>
              <w:t xml:space="preserve">. 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4"/>
            </w:tblGrid>
            <w:tr w:rsidR="00781C0F" w:rsidRPr="00781C0F" w14:paraId="1D14900A" w14:textId="77777777" w:rsidTr="00FD2916">
              <w:tc>
                <w:tcPr>
                  <w:tcW w:w="8640" w:type="dxa"/>
                  <w:shd w:val="clear" w:color="auto" w:fill="FFFFFF"/>
                  <w:hideMark/>
                </w:tcPr>
                <w:p w14:paraId="3764476A" w14:textId="79C99A9C" w:rsidR="00FD2916" w:rsidRPr="00781C0F" w:rsidRDefault="00FD2916" w:rsidP="00FD2916">
                  <w:pPr>
                    <w:spacing w:before="120" w:line="312" w:lineRule="atLeast"/>
                    <w:jc w:val="both"/>
                    <w:rPr>
                      <w:rFonts w:eastAsia="Times New Roman" w:cs="Times New Roman"/>
                      <w:sz w:val="27"/>
                      <w:szCs w:val="27"/>
                      <w:lang w:eastAsia="lv-LV"/>
                    </w:rPr>
                  </w:pPr>
                </w:p>
              </w:tc>
            </w:tr>
          </w:tbl>
          <w:p w14:paraId="38E6A401" w14:textId="77777777" w:rsidR="00FD2916" w:rsidRPr="00781C0F" w:rsidRDefault="00FD2916" w:rsidP="00FD2916">
            <w:pPr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"/>
              <w:gridCol w:w="5905"/>
            </w:tblGrid>
            <w:tr w:rsidR="00781C0F" w:rsidRPr="00781C0F" w14:paraId="110D342B" w14:textId="77777777" w:rsidTr="00FD2916">
              <w:tc>
                <w:tcPr>
                  <w:tcW w:w="315" w:type="dxa"/>
                  <w:shd w:val="clear" w:color="auto" w:fill="FFFFFF"/>
                  <w:hideMark/>
                </w:tcPr>
                <w:p w14:paraId="032E8213" w14:textId="1343FEC0" w:rsidR="00FD2916" w:rsidRPr="00781C0F" w:rsidRDefault="00FD2916" w:rsidP="00FD2916">
                  <w:pPr>
                    <w:spacing w:before="120" w:line="312" w:lineRule="atLeast"/>
                    <w:jc w:val="both"/>
                    <w:rPr>
                      <w:rFonts w:eastAsia="Times New Roman" w:cs="Times New Roman"/>
                      <w:sz w:val="27"/>
                      <w:szCs w:val="27"/>
                      <w:lang w:eastAsia="lv-LV"/>
                    </w:rPr>
                  </w:pPr>
                </w:p>
              </w:tc>
              <w:tc>
                <w:tcPr>
                  <w:tcW w:w="8325" w:type="dxa"/>
                  <w:shd w:val="clear" w:color="auto" w:fill="FFFFFF"/>
                  <w:hideMark/>
                </w:tcPr>
                <w:p w14:paraId="2A40BFDC" w14:textId="37AD3B6E" w:rsidR="00FD2916" w:rsidRPr="00781C0F" w:rsidRDefault="00FD2916" w:rsidP="00FD2916">
                  <w:pPr>
                    <w:spacing w:before="120" w:line="312" w:lineRule="atLeast"/>
                    <w:jc w:val="both"/>
                    <w:rPr>
                      <w:rFonts w:eastAsia="Times New Roman" w:cs="Times New Roman"/>
                      <w:sz w:val="27"/>
                      <w:szCs w:val="27"/>
                      <w:lang w:eastAsia="lv-LV"/>
                    </w:rPr>
                  </w:pPr>
                </w:p>
              </w:tc>
            </w:tr>
          </w:tbl>
          <w:p w14:paraId="4297068D" w14:textId="77777777" w:rsidR="00FD2916" w:rsidRPr="00781C0F" w:rsidRDefault="00FD2916" w:rsidP="00FD2916">
            <w:pPr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  <w:p w14:paraId="688F308F" w14:textId="77777777" w:rsidR="00FD2916" w:rsidRPr="00781C0F" w:rsidRDefault="00FD2916" w:rsidP="00FD2916">
            <w:pPr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  <w:p w14:paraId="36FA0282" w14:textId="4CEB0095" w:rsidR="002E6246" w:rsidRPr="00781C0F" w:rsidRDefault="002E6246" w:rsidP="002E3996">
            <w:pPr>
              <w:autoSpaceDE w:val="0"/>
              <w:autoSpaceDN w:val="0"/>
              <w:adjustRightInd w:val="0"/>
              <w:jc w:val="both"/>
              <w:rPr>
                <w:noProof/>
                <w:szCs w:val="24"/>
              </w:rPr>
            </w:pPr>
          </w:p>
        </w:tc>
      </w:tr>
      <w:tr w:rsidR="00781C0F" w:rsidRPr="00781C0F" w14:paraId="1C25661E" w14:textId="77777777" w:rsidTr="00F64964">
        <w:tc>
          <w:tcPr>
            <w:tcW w:w="710" w:type="dxa"/>
          </w:tcPr>
          <w:p w14:paraId="7D6B79C5" w14:textId="77777777" w:rsidR="00482C57" w:rsidRPr="00781C0F" w:rsidRDefault="00482C57" w:rsidP="00482C57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F2B63C5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Iespējamie risinājuma varianti (ja nepieciešams)</w:t>
            </w:r>
          </w:p>
        </w:tc>
        <w:tc>
          <w:tcPr>
            <w:tcW w:w="6350" w:type="dxa"/>
          </w:tcPr>
          <w:p w14:paraId="5E9F30F1" w14:textId="01728B9D" w:rsidR="00482C57" w:rsidRPr="00781C0F" w:rsidRDefault="00482C57" w:rsidP="00482C57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Nav citi risinājumi.</w:t>
            </w:r>
          </w:p>
        </w:tc>
      </w:tr>
      <w:tr w:rsidR="00781C0F" w:rsidRPr="00781C0F" w14:paraId="3548A611" w14:textId="77777777" w:rsidTr="00F64964">
        <w:tc>
          <w:tcPr>
            <w:tcW w:w="710" w:type="dxa"/>
          </w:tcPr>
          <w:p w14:paraId="61CB5B32" w14:textId="77777777" w:rsidR="00482C57" w:rsidRPr="00781C0F" w:rsidRDefault="00482C57" w:rsidP="00482C57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5176863F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Par projektu nosakāmā atbildīgā amatpersona</w:t>
            </w:r>
          </w:p>
        </w:tc>
        <w:tc>
          <w:tcPr>
            <w:tcW w:w="6350" w:type="dxa"/>
          </w:tcPr>
          <w:p w14:paraId="4B090D1B" w14:textId="416DBD03" w:rsidR="00482C57" w:rsidRPr="00781C0F" w:rsidRDefault="00482C57" w:rsidP="00482C57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Finanšu ministrijas Finanšu tirgus politikas departamenta direktore Aija Zitcere</w:t>
            </w:r>
          </w:p>
        </w:tc>
      </w:tr>
      <w:tr w:rsidR="00781C0F" w:rsidRPr="00781C0F" w14:paraId="2065E7C1" w14:textId="77777777" w:rsidTr="00F64964">
        <w:tc>
          <w:tcPr>
            <w:tcW w:w="710" w:type="dxa"/>
          </w:tcPr>
          <w:p w14:paraId="3F17AB2C" w14:textId="77777777" w:rsidR="00482C57" w:rsidRPr="00781C0F" w:rsidRDefault="00482C57" w:rsidP="00482C57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0A0E9E64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Nosakāmais projekta sagatavotājs (ja nepieciešams)</w:t>
            </w:r>
          </w:p>
        </w:tc>
        <w:tc>
          <w:tcPr>
            <w:tcW w:w="6350" w:type="dxa"/>
          </w:tcPr>
          <w:p w14:paraId="6DDF08EA" w14:textId="4EAAB0E9" w:rsidR="00482C57" w:rsidRPr="00781C0F" w:rsidRDefault="00482C57" w:rsidP="00482C57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Finanšu ministrijas Finanšu tirgus politikas departamenta Kapitāla tirgus un apdrošināšanas politikas nodaļas juriskonsulte Inese Albova</w:t>
            </w:r>
          </w:p>
        </w:tc>
      </w:tr>
      <w:tr w:rsidR="00781C0F" w:rsidRPr="00781C0F" w14:paraId="6ACE24B6" w14:textId="77777777" w:rsidTr="00F64964">
        <w:tc>
          <w:tcPr>
            <w:tcW w:w="710" w:type="dxa"/>
          </w:tcPr>
          <w:p w14:paraId="00789C93" w14:textId="77777777" w:rsidR="00482C57" w:rsidRPr="00781C0F" w:rsidRDefault="00482C57" w:rsidP="00482C57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2E1B757E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Darba grupas vadītājs un iespējamais sastāvs (ja nepieciešams)</w:t>
            </w:r>
          </w:p>
        </w:tc>
        <w:tc>
          <w:tcPr>
            <w:tcW w:w="6350" w:type="dxa"/>
          </w:tcPr>
          <w:p w14:paraId="6E771E31" w14:textId="2AE78653" w:rsidR="00482C57" w:rsidRPr="00781C0F" w:rsidRDefault="00482C57" w:rsidP="00482C57">
            <w:pPr>
              <w:spacing w:after="60"/>
              <w:jc w:val="both"/>
              <w:rPr>
                <w:rFonts w:eastAsia="Calibri" w:cs="Times New Roman"/>
                <w:szCs w:val="24"/>
                <w:lang w:eastAsia="lv-LV"/>
              </w:rPr>
            </w:pPr>
            <w:r w:rsidRPr="00781C0F">
              <w:rPr>
                <w:rFonts w:eastAsia="Calibri" w:cs="Times New Roman"/>
                <w:szCs w:val="24"/>
              </w:rPr>
              <w:t>Darba grupa nav nepieciešama.</w:t>
            </w:r>
          </w:p>
        </w:tc>
      </w:tr>
      <w:tr w:rsidR="00781C0F" w:rsidRPr="00781C0F" w14:paraId="192802F0" w14:textId="77777777" w:rsidTr="00F64964">
        <w:tc>
          <w:tcPr>
            <w:tcW w:w="710" w:type="dxa"/>
          </w:tcPr>
          <w:p w14:paraId="016359B9" w14:textId="77777777" w:rsidR="00482C57" w:rsidRPr="00781C0F" w:rsidRDefault="00482C57" w:rsidP="00482C57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5B75CE92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Calibri" w:cs="Times New Roman"/>
                <w:szCs w:val="24"/>
              </w:rPr>
              <w:t>Sabiedrības līdzdalība</w:t>
            </w:r>
          </w:p>
        </w:tc>
        <w:tc>
          <w:tcPr>
            <w:tcW w:w="6350" w:type="dxa"/>
          </w:tcPr>
          <w:p w14:paraId="51829201" w14:textId="6561DE31" w:rsidR="00482C57" w:rsidRPr="00781C0F" w:rsidRDefault="00482C57" w:rsidP="00482C57">
            <w:pPr>
              <w:widowControl w:val="0"/>
              <w:tabs>
                <w:tab w:val="left" w:pos="851"/>
                <w:tab w:val="right" w:pos="9356"/>
              </w:tabs>
              <w:adjustRightInd w:val="0"/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Uzziņa tiks publicēta Finanšu ministrijas tīmekļa vietnē </w:t>
            </w:r>
            <w:r w:rsidRPr="00781C0F">
              <w:rPr>
                <w:rFonts w:eastAsia="Calibri" w:cs="Times New Roman"/>
                <w:szCs w:val="24"/>
              </w:rPr>
              <w:t xml:space="preserve">sadaļā “Sabiedrības līdzdalība”, kurā noteiktais termiņš sabiedrības līdzdalībai ir </w:t>
            </w:r>
            <w:r w:rsidR="00BB7AFC" w:rsidRPr="00781C0F">
              <w:rPr>
                <w:rFonts w:ascii="Times New Roman,Calibri" w:eastAsia="Times New Roman,Calibri" w:hAnsi="Times New Roman,Calibri" w:cs="Times New Roman,Calibri"/>
                <w:szCs w:val="24"/>
              </w:rPr>
              <w:t>03.</w:t>
            </w:r>
            <w:r w:rsidR="00BB7AFC" w:rsidRPr="00781C0F">
              <w:rPr>
                <w:rFonts w:ascii="Times New Roman,Calibri" w:eastAsia="Times New Roman,Calibri" w:hAnsi="Times New Roman,Calibri" w:cs="Times New Roman,Calibri"/>
                <w:szCs w:val="24"/>
              </w:rPr>
              <w:softHyphen/>
            </w:r>
            <w:r w:rsidR="00BB7AFC" w:rsidRPr="00781C0F">
              <w:rPr>
                <w:rFonts w:ascii="Times New Roman,Calibri" w:eastAsia="Times New Roman,Calibri" w:hAnsi="Times New Roman,Calibri" w:cs="Times New Roman,Calibri"/>
                <w:szCs w:val="24"/>
              </w:rPr>
              <w:softHyphen/>
              <w:t>02.2020</w:t>
            </w:r>
            <w:r w:rsidRPr="00781C0F">
              <w:rPr>
                <w:rFonts w:ascii="Times New Roman,Calibri" w:eastAsia="Times New Roman,Calibri" w:hAnsi="Times New Roman,Calibri" w:cs="Times New Roman,Calibri"/>
                <w:szCs w:val="24"/>
              </w:rPr>
              <w:t xml:space="preserve">. </w:t>
            </w:r>
            <w:r w:rsidRPr="00781C0F">
              <w:rPr>
                <w:rFonts w:eastAsia="Times New Roman" w:cs="Times New Roman"/>
                <w:szCs w:val="24"/>
              </w:rPr>
              <w:t xml:space="preserve">Sabiedrības pārstāvji varēs līdzdarboties likumprojekta izstrādē, sniedzot atzinumu par to pēc izsludināšanas Valsts sekretāru sanāksmē. </w:t>
            </w:r>
          </w:p>
        </w:tc>
      </w:tr>
      <w:tr w:rsidR="00781C0F" w:rsidRPr="00781C0F" w14:paraId="03ADF470" w14:textId="77777777" w:rsidTr="00F64964">
        <w:tc>
          <w:tcPr>
            <w:tcW w:w="710" w:type="dxa"/>
          </w:tcPr>
          <w:p w14:paraId="2F056B1C" w14:textId="77777777" w:rsidR="00482C57" w:rsidRPr="00781C0F" w:rsidRDefault="00482C57" w:rsidP="00482C57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7DEAD44E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Ministrijas struktūrvienības un padotības iestādēm ar kurām projekts jāsaskaņo</w:t>
            </w:r>
          </w:p>
        </w:tc>
        <w:tc>
          <w:tcPr>
            <w:tcW w:w="6350" w:type="dxa"/>
          </w:tcPr>
          <w:p w14:paraId="34DFAAF3" w14:textId="62241877" w:rsidR="00482C57" w:rsidRPr="00781C0F" w:rsidRDefault="00482C57" w:rsidP="00482C57">
            <w:pPr>
              <w:widowControl w:val="0"/>
              <w:tabs>
                <w:tab w:val="left" w:pos="851"/>
                <w:tab w:val="right" w:pos="9356"/>
              </w:tabs>
              <w:adjustRightInd w:val="0"/>
              <w:spacing w:after="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1C0F">
              <w:rPr>
                <w:rFonts w:eastAsia="Times New Roman" w:cs="Times New Roman"/>
                <w:szCs w:val="24"/>
              </w:rPr>
              <w:t xml:space="preserve">Finanšu ministrijas </w:t>
            </w:r>
            <w:r w:rsidRPr="00781C0F">
              <w:rPr>
                <w:rFonts w:eastAsia="Calibri" w:cs="Times New Roman"/>
                <w:szCs w:val="24"/>
                <w:lang w:eastAsia="en-GB"/>
              </w:rPr>
              <w:t>Juridiskais departaments</w:t>
            </w:r>
            <w:r w:rsidR="009140C1" w:rsidRPr="00781C0F">
              <w:rPr>
                <w:rFonts w:eastAsia="Calibri" w:cs="Times New Roman"/>
                <w:szCs w:val="24"/>
                <w:lang w:eastAsia="en-GB"/>
              </w:rPr>
              <w:t xml:space="preserve">. Viedoklis tiks lūgts arī </w:t>
            </w:r>
            <w:r w:rsidRPr="00781C0F">
              <w:rPr>
                <w:rFonts w:eastAsia="Calibri" w:cs="Times New Roman"/>
                <w:szCs w:val="24"/>
              </w:rPr>
              <w:t>Finanšu un kapitāla tirgus komisija</w:t>
            </w:r>
            <w:r w:rsidR="009140C1" w:rsidRPr="00781C0F">
              <w:rPr>
                <w:rFonts w:eastAsia="Calibri" w:cs="Times New Roman"/>
                <w:szCs w:val="24"/>
              </w:rPr>
              <w:t>i.</w:t>
            </w:r>
          </w:p>
        </w:tc>
      </w:tr>
      <w:tr w:rsidR="00781C0F" w:rsidRPr="00781C0F" w14:paraId="0B3EDCBA" w14:textId="77777777" w:rsidTr="00F64964">
        <w:tc>
          <w:tcPr>
            <w:tcW w:w="710" w:type="dxa"/>
          </w:tcPr>
          <w:p w14:paraId="43871D17" w14:textId="77777777" w:rsidR="00482C57" w:rsidRPr="00781C0F" w:rsidRDefault="00482C57" w:rsidP="00482C57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3173E23C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Saskaņošanas termiņš</w:t>
            </w:r>
          </w:p>
        </w:tc>
        <w:tc>
          <w:tcPr>
            <w:tcW w:w="6350" w:type="dxa"/>
          </w:tcPr>
          <w:p w14:paraId="6C9A4E1C" w14:textId="7DE230DD" w:rsidR="00283301" w:rsidRPr="003350B3" w:rsidRDefault="00283301" w:rsidP="004F1860">
            <w:pPr>
              <w:pStyle w:val="ListParagraph"/>
              <w:numPr>
                <w:ilvl w:val="0"/>
                <w:numId w:val="10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 xml:space="preserve">Uzziņas 3.punkta 1.apakšpunktam (ievērojot to, ka Direktīva Nr.2019/2177 tika publicēta 2019.gada 27.decembrī un </w:t>
            </w:r>
            <w:r w:rsidRPr="003350B3">
              <w:rPr>
                <w:rFonts w:eastAsia="Times New Roman" w:cs="Times New Roman"/>
                <w:szCs w:val="24"/>
              </w:rPr>
              <w:t xml:space="preserve">saskaņā ar Direktīvas Nr.2019/2177  4.panta 2.punktu </w:t>
            </w:r>
            <w:r w:rsidR="00B72DF2">
              <w:rPr>
                <w:rFonts w:eastAsia="Times New Roman" w:cs="Times New Roman"/>
                <w:szCs w:val="24"/>
              </w:rPr>
              <w:t xml:space="preserve">dalībvalstij </w:t>
            </w:r>
            <w:r w:rsidRPr="003350B3">
              <w:rPr>
                <w:rFonts w:eastAsia="Times New Roman" w:cs="Times New Roman"/>
                <w:szCs w:val="24"/>
              </w:rPr>
              <w:t>attiecīgās tiesību normas ir jāpieņem un jāpublicē līdz 2020.gada 30.jūnijam, projekts tiks virzīts kā Ministru kabineta lieta):</w:t>
            </w:r>
          </w:p>
          <w:p w14:paraId="0A33E738" w14:textId="3D8B5DE1" w:rsidR="006B266C" w:rsidRPr="003350B3" w:rsidRDefault="006B266C" w:rsidP="006B266C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3350B3">
              <w:rPr>
                <w:rFonts w:eastAsia="Times New Roman" w:cs="Times New Roman"/>
                <w:szCs w:val="24"/>
              </w:rPr>
              <w:t>nosūtīt iekšējai saskaņošanai: 02.03.2020.</w:t>
            </w:r>
            <w:r w:rsidR="004F1860" w:rsidRPr="003350B3">
              <w:rPr>
                <w:rFonts w:eastAsia="Times New Roman" w:cs="Times New Roman"/>
                <w:szCs w:val="24"/>
              </w:rPr>
              <w:t>;</w:t>
            </w:r>
          </w:p>
          <w:p w14:paraId="6D7112AD" w14:textId="37FDEE56" w:rsidR="00283301" w:rsidRPr="003350B3" w:rsidRDefault="006B266C" w:rsidP="006B266C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3350B3">
              <w:rPr>
                <w:rFonts w:eastAsia="Times New Roman" w:cs="Times New Roman"/>
                <w:szCs w:val="24"/>
              </w:rPr>
              <w:t xml:space="preserve">saskaņošanas termiņš: 09.03.2020. </w:t>
            </w:r>
            <w:r w:rsidR="00283301" w:rsidRPr="003350B3">
              <w:rPr>
                <w:rFonts w:eastAsia="Times New Roman" w:cs="Times New Roman"/>
                <w:szCs w:val="24"/>
              </w:rPr>
              <w:t xml:space="preserve">(ievērojot to, ka nepieciešams īss precizējums </w:t>
            </w:r>
            <w:r w:rsidRPr="003350B3">
              <w:rPr>
                <w:rFonts w:eastAsia="Times New Roman" w:cs="Times New Roman"/>
                <w:szCs w:val="24"/>
              </w:rPr>
              <w:t>Apdrošināšanas un pārapdrošināšanas likuma 114.panta ceturtajā daļā</w:t>
            </w:r>
            <w:r w:rsidR="00283301" w:rsidRPr="003350B3">
              <w:rPr>
                <w:rFonts w:eastAsia="Times New Roman" w:cs="Times New Roman"/>
                <w:szCs w:val="24"/>
              </w:rPr>
              <w:t>)</w:t>
            </w:r>
            <w:r w:rsidRPr="003350B3">
              <w:rPr>
                <w:rFonts w:eastAsia="Times New Roman" w:cs="Times New Roman"/>
                <w:szCs w:val="24"/>
              </w:rPr>
              <w:t>.</w:t>
            </w:r>
          </w:p>
          <w:p w14:paraId="23AD3482" w14:textId="77777777" w:rsidR="004F1860" w:rsidRPr="003350B3" w:rsidRDefault="004F1860" w:rsidP="004F1860">
            <w:pPr>
              <w:pStyle w:val="ListParagraph"/>
              <w:spacing w:after="60"/>
              <w:ind w:left="1080"/>
              <w:jc w:val="both"/>
              <w:rPr>
                <w:rFonts w:eastAsia="Times New Roman" w:cs="Times New Roman"/>
                <w:szCs w:val="24"/>
              </w:rPr>
            </w:pPr>
          </w:p>
          <w:p w14:paraId="3F641E9C" w14:textId="2C9A393F" w:rsidR="006B266C" w:rsidRPr="00781C0F" w:rsidRDefault="006B266C" w:rsidP="004F1860">
            <w:pPr>
              <w:pStyle w:val="ListParagraph"/>
              <w:numPr>
                <w:ilvl w:val="0"/>
                <w:numId w:val="10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3350B3">
              <w:rPr>
                <w:rFonts w:eastAsia="Times New Roman" w:cs="Times New Roman"/>
                <w:szCs w:val="24"/>
              </w:rPr>
              <w:t>Uzziņas 3.punkta 2. un 3.apakšpunktam</w:t>
            </w:r>
            <w:r w:rsidR="00781C0F" w:rsidRPr="00781C0F">
              <w:rPr>
                <w:rFonts w:eastAsia="Times New Roman" w:cs="Times New Roman"/>
                <w:szCs w:val="24"/>
              </w:rPr>
              <w:t>:</w:t>
            </w:r>
          </w:p>
          <w:p w14:paraId="62A8B03A" w14:textId="46078DD1" w:rsidR="006B266C" w:rsidRPr="00781C0F" w:rsidRDefault="006B266C" w:rsidP="006B266C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nosūtīt iekšējai saskaņošanai: 01.09.2020.</w:t>
            </w:r>
            <w:r w:rsidR="004F1860" w:rsidRPr="00781C0F">
              <w:rPr>
                <w:rFonts w:eastAsia="Times New Roman" w:cs="Times New Roman"/>
                <w:szCs w:val="24"/>
              </w:rPr>
              <w:t>;</w:t>
            </w:r>
          </w:p>
          <w:p w14:paraId="1A13F8DC" w14:textId="1BC0E315" w:rsidR="004F1860" w:rsidRPr="00781C0F" w:rsidRDefault="006B266C" w:rsidP="004F1860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saskaņošanas termiņš: 15.09.2020.</w:t>
            </w:r>
          </w:p>
        </w:tc>
      </w:tr>
      <w:tr w:rsidR="00781C0F" w:rsidRPr="00781C0F" w14:paraId="7F4C39B0" w14:textId="77777777" w:rsidTr="00F64964">
        <w:tc>
          <w:tcPr>
            <w:tcW w:w="710" w:type="dxa"/>
          </w:tcPr>
          <w:p w14:paraId="05A68605" w14:textId="77777777" w:rsidR="00482C57" w:rsidRPr="00781C0F" w:rsidRDefault="00482C57" w:rsidP="004F1860">
            <w:pPr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60701501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Prognozējamā projekta finansiālā ietekme uz valsts budžetu</w:t>
            </w:r>
          </w:p>
        </w:tc>
        <w:tc>
          <w:tcPr>
            <w:tcW w:w="6350" w:type="dxa"/>
          </w:tcPr>
          <w:p w14:paraId="46E2A121" w14:textId="4E601F4B" w:rsidR="00482C57" w:rsidRPr="00781C0F" w:rsidRDefault="00482C57" w:rsidP="00482C57">
            <w:pPr>
              <w:tabs>
                <w:tab w:val="num" w:pos="1440"/>
              </w:tabs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Projektā noteiktais regulējums ne</w:t>
            </w:r>
            <w:r w:rsidR="00B86E21" w:rsidRPr="00781C0F">
              <w:rPr>
                <w:rFonts w:eastAsia="Times New Roman" w:cs="Times New Roman"/>
                <w:szCs w:val="24"/>
              </w:rPr>
              <w:t xml:space="preserve">radīs </w:t>
            </w:r>
            <w:r w:rsidRPr="00781C0F">
              <w:rPr>
                <w:rFonts w:eastAsia="Times New Roman" w:cs="Times New Roman"/>
                <w:szCs w:val="24"/>
              </w:rPr>
              <w:t xml:space="preserve">ietekmi uz valsts budžetu. </w:t>
            </w:r>
          </w:p>
        </w:tc>
      </w:tr>
      <w:tr w:rsidR="00781C0F" w:rsidRPr="00781C0F" w14:paraId="6FDE462B" w14:textId="77777777" w:rsidTr="00F64964">
        <w:tc>
          <w:tcPr>
            <w:tcW w:w="710" w:type="dxa"/>
          </w:tcPr>
          <w:p w14:paraId="2A4E18D0" w14:textId="77777777" w:rsidR="00482C57" w:rsidRPr="00781C0F" w:rsidRDefault="00482C57" w:rsidP="004F1860">
            <w:pPr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</w:tcPr>
          <w:p w14:paraId="111AB16B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Tiesību akta pieņemšanas kalendārais plāns</w:t>
            </w:r>
          </w:p>
        </w:tc>
        <w:tc>
          <w:tcPr>
            <w:tcW w:w="6350" w:type="dxa"/>
          </w:tcPr>
          <w:p w14:paraId="22089576" w14:textId="27E262B6" w:rsidR="006A1812" w:rsidRPr="00781C0F" w:rsidRDefault="008B5082" w:rsidP="00B72DF2">
            <w:pPr>
              <w:pStyle w:val="ListParagraph"/>
              <w:numPr>
                <w:ilvl w:val="0"/>
                <w:numId w:val="11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 xml:space="preserve">Uzziņas 3.punkta 1.apakšpunktam </w:t>
            </w:r>
            <w:r w:rsidR="004F1860" w:rsidRPr="00781C0F">
              <w:rPr>
                <w:rFonts w:eastAsia="Times New Roman" w:cs="Times New Roman"/>
                <w:szCs w:val="24"/>
              </w:rPr>
              <w:t xml:space="preserve">(ievērojot to, ka Direktīva Nr.2019/2177 tika publicēta 2019.gada 27.decembrī un saskaņā ar Direktīvas Nr.2019/2177  4.panta 2.punktu </w:t>
            </w:r>
            <w:r w:rsidR="00B72DF2" w:rsidRPr="00B72DF2">
              <w:rPr>
                <w:rFonts w:eastAsia="Times New Roman" w:cs="Times New Roman"/>
                <w:szCs w:val="24"/>
              </w:rPr>
              <w:t xml:space="preserve">dalībvalstij </w:t>
            </w:r>
            <w:r w:rsidR="004F1860" w:rsidRPr="00781C0F">
              <w:rPr>
                <w:rFonts w:eastAsia="Times New Roman" w:cs="Times New Roman"/>
                <w:szCs w:val="24"/>
              </w:rPr>
              <w:t>attiecīgās tiesību normas ir jāpieņem un jāpublicē līdz 2020.gada 30.jūnijam, projekts tiks virzīts kā Ministru kabineta lieta):</w:t>
            </w:r>
          </w:p>
          <w:p w14:paraId="14AD3B7B" w14:textId="31213069" w:rsidR="006A1812" w:rsidRPr="00781C0F" w:rsidRDefault="008B5082" w:rsidP="006A1812">
            <w:pPr>
              <w:pStyle w:val="ListParagraph"/>
              <w:numPr>
                <w:ilvl w:val="0"/>
                <w:numId w:val="7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 xml:space="preserve">iesniegt MK līdz: </w:t>
            </w:r>
            <w:r w:rsidR="00781C0F" w:rsidRPr="00781C0F">
              <w:rPr>
                <w:rFonts w:eastAsia="Times New Roman" w:cs="Times New Roman"/>
                <w:szCs w:val="24"/>
              </w:rPr>
              <w:t>30.04</w:t>
            </w:r>
            <w:r w:rsidRPr="00781C0F">
              <w:rPr>
                <w:rFonts w:eastAsia="Times New Roman" w:cs="Times New Roman"/>
                <w:szCs w:val="24"/>
              </w:rPr>
              <w:t>.2020.</w:t>
            </w:r>
          </w:p>
          <w:p w14:paraId="4648CCA3" w14:textId="77777777" w:rsidR="006B266C" w:rsidRPr="00781C0F" w:rsidRDefault="006B266C" w:rsidP="006B266C">
            <w:pPr>
              <w:pStyle w:val="ListParagraph"/>
              <w:spacing w:after="60"/>
              <w:ind w:left="1080"/>
              <w:jc w:val="both"/>
              <w:rPr>
                <w:rFonts w:eastAsia="Times New Roman" w:cs="Times New Roman"/>
                <w:szCs w:val="24"/>
              </w:rPr>
            </w:pPr>
          </w:p>
          <w:p w14:paraId="25B31963" w14:textId="74D68EF0" w:rsidR="008B5082" w:rsidRPr="00781C0F" w:rsidRDefault="008B5082" w:rsidP="00E83475">
            <w:pPr>
              <w:pStyle w:val="ListParagraph"/>
              <w:numPr>
                <w:ilvl w:val="0"/>
                <w:numId w:val="11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Uzziņas 3.punkta 2. un 3.apakšpunktam;</w:t>
            </w:r>
          </w:p>
          <w:p w14:paraId="7F5F3281" w14:textId="4AF3F6CB" w:rsidR="008B5082" w:rsidRPr="00781C0F" w:rsidRDefault="008B5082" w:rsidP="00E83475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izsludināt VSS līdz: 01.10.2020.;</w:t>
            </w:r>
          </w:p>
          <w:p w14:paraId="7EDE66E6" w14:textId="3F757FBF" w:rsidR="006A1812" w:rsidRPr="00781C0F" w:rsidRDefault="008B5082" w:rsidP="00E83475">
            <w:pPr>
              <w:pStyle w:val="ListParagraph"/>
              <w:numPr>
                <w:ilvl w:val="0"/>
                <w:numId w:val="12"/>
              </w:num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 xml:space="preserve">iesniegt MK līdz: </w:t>
            </w:r>
            <w:r w:rsidR="006B266C" w:rsidRPr="00781C0F">
              <w:rPr>
                <w:rFonts w:eastAsia="Times New Roman" w:cs="Times New Roman"/>
                <w:szCs w:val="24"/>
              </w:rPr>
              <w:t>30</w:t>
            </w:r>
            <w:r w:rsidRPr="00781C0F">
              <w:rPr>
                <w:rFonts w:eastAsia="Times New Roman" w:cs="Times New Roman"/>
                <w:szCs w:val="24"/>
              </w:rPr>
              <w:t>.12.2020.</w:t>
            </w:r>
          </w:p>
          <w:p w14:paraId="687F1F3D" w14:textId="0B880638" w:rsidR="00482C57" w:rsidRPr="00781C0F" w:rsidRDefault="00482C57" w:rsidP="00482C57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781C0F" w:rsidRPr="00781C0F" w14:paraId="021CD70F" w14:textId="77777777" w:rsidTr="00F64964">
        <w:tc>
          <w:tcPr>
            <w:tcW w:w="710" w:type="dxa"/>
            <w:tcBorders>
              <w:bottom w:val="single" w:sz="4" w:space="0" w:color="000000"/>
            </w:tcBorders>
          </w:tcPr>
          <w:p w14:paraId="3D36C5C0" w14:textId="77777777" w:rsidR="00482C57" w:rsidRPr="00781C0F" w:rsidRDefault="00482C57" w:rsidP="00E83475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794D2067" w14:textId="77777777" w:rsidR="00482C57" w:rsidRPr="00781C0F" w:rsidRDefault="00482C57" w:rsidP="00482C57">
            <w:pPr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Uzziņas sagatavotājs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</w:tcPr>
          <w:p w14:paraId="7D20A03A" w14:textId="77777777" w:rsidR="00482C57" w:rsidRPr="00781C0F" w:rsidRDefault="00482C57" w:rsidP="00482C57">
            <w:pPr>
              <w:spacing w:after="160"/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Finanšu ministrijas Finanšu tirgus politikas departamenta Kapitāla tirgus un apdrošināšanas politikas nodaļas juriskonsulte Inese Albova</w:t>
            </w:r>
          </w:p>
          <w:p w14:paraId="5ABC3A7E" w14:textId="67AFCAE7" w:rsidR="00482C57" w:rsidRPr="00781C0F" w:rsidRDefault="00482C57" w:rsidP="00482C57">
            <w:pPr>
              <w:jc w:val="both"/>
              <w:rPr>
                <w:rFonts w:eastAsia="Times New Roman" w:cs="Times New Roman"/>
                <w:szCs w:val="24"/>
              </w:rPr>
            </w:pPr>
            <w:r w:rsidRPr="00781C0F">
              <w:rPr>
                <w:rFonts w:eastAsia="Times New Roman" w:cs="Times New Roman"/>
                <w:szCs w:val="24"/>
              </w:rPr>
              <w:t>Tālrunis, e-pasts: 67083857, inese.albova@fm.gov.lv</w:t>
            </w:r>
          </w:p>
        </w:tc>
      </w:tr>
      <w:tr w:rsidR="00781C0F" w:rsidRPr="00781C0F" w14:paraId="020A0460" w14:textId="77777777" w:rsidTr="00F64964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2773016A" w14:textId="77777777" w:rsidR="00482C57" w:rsidRPr="00781C0F" w:rsidRDefault="00482C57" w:rsidP="00482C57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1BA3962A" w14:textId="77777777" w:rsidR="00482C57" w:rsidRPr="00781C0F" w:rsidRDefault="00482C57" w:rsidP="00482C57">
      <w:pPr>
        <w:spacing w:after="160"/>
        <w:jc w:val="both"/>
        <w:rPr>
          <w:rFonts w:eastAsia="Times New Roman" w:cs="Times New Roman"/>
          <w:szCs w:val="24"/>
        </w:rPr>
      </w:pPr>
      <w:r w:rsidRPr="00781C0F">
        <w:rPr>
          <w:rFonts w:eastAsia="Times New Roman" w:cs="Times New Roman"/>
          <w:szCs w:val="24"/>
        </w:rPr>
        <w:t>Uzzi</w:t>
      </w:r>
      <w:r w:rsidRPr="00781C0F">
        <w:rPr>
          <w:rFonts w:eastAsia="Times New Roman" w:cs="Times New Roman" w:hint="eastAsia"/>
          <w:szCs w:val="24"/>
        </w:rPr>
        <w:t>ņ</w:t>
      </w:r>
      <w:r w:rsidRPr="00781C0F">
        <w:rPr>
          <w:rFonts w:eastAsia="Times New Roman" w:cs="Times New Roman"/>
          <w:szCs w:val="24"/>
        </w:rPr>
        <w:t>u iesniedza: Finanšu ministrijas Finanšu tirgus politikas departamenta Kapitāla tirgus un apdrošināšanas politikas nodaļas juriskonsulte Inese Albova (t</w:t>
      </w:r>
      <w:r w:rsidRPr="00781C0F">
        <w:rPr>
          <w:rFonts w:eastAsia="Times New Roman" w:cs="Times New Roman" w:hint="eastAsia"/>
          <w:szCs w:val="24"/>
        </w:rPr>
        <w:t>ā</w:t>
      </w:r>
      <w:r w:rsidRPr="00781C0F">
        <w:rPr>
          <w:rFonts w:eastAsia="Times New Roman" w:cs="Times New Roman"/>
          <w:szCs w:val="24"/>
        </w:rPr>
        <w:t>lrunis, e-pasts: 67083857, inese.albova@fm.gov.lv)</w:t>
      </w:r>
    </w:p>
    <w:p w14:paraId="131E5C37" w14:textId="18AAC4ED" w:rsidR="00E96814" w:rsidRPr="00781C0F" w:rsidRDefault="00482C57" w:rsidP="00DC087A">
      <w:pPr>
        <w:spacing w:after="160" w:line="259" w:lineRule="auto"/>
        <w:rPr>
          <w:rFonts w:eastAsia="Times New Roman" w:cs="Times New Roman"/>
          <w:szCs w:val="24"/>
        </w:rPr>
      </w:pPr>
      <w:r w:rsidRPr="00781C0F">
        <w:rPr>
          <w:rFonts w:eastAsia="Times New Roman" w:cs="Times New Roman"/>
          <w:szCs w:val="24"/>
        </w:rPr>
        <w:t>Uzzi</w:t>
      </w:r>
      <w:r w:rsidRPr="00781C0F">
        <w:rPr>
          <w:rFonts w:eastAsia="Times New Roman" w:cs="Times New Roman" w:hint="eastAsia"/>
          <w:szCs w:val="24"/>
        </w:rPr>
        <w:t>ņ</w:t>
      </w:r>
      <w:r w:rsidRPr="00781C0F">
        <w:rPr>
          <w:rFonts w:eastAsia="Times New Roman" w:cs="Times New Roman"/>
          <w:szCs w:val="24"/>
        </w:rPr>
        <w:t xml:space="preserve">a iesniegta: </w:t>
      </w:r>
      <w:r w:rsidR="00DC087A" w:rsidRPr="00781C0F">
        <w:rPr>
          <w:rFonts w:eastAsia="Times New Roman" w:cs="Times New Roman"/>
          <w:szCs w:val="24"/>
        </w:rPr>
        <w:t>16.01.2020.</w:t>
      </w:r>
    </w:p>
    <w:p w14:paraId="1FE8B02B" w14:textId="644B469D" w:rsidR="00DF22CE" w:rsidRPr="00781C0F" w:rsidRDefault="00DF22CE" w:rsidP="00E96814">
      <w:pPr>
        <w:tabs>
          <w:tab w:val="left" w:pos="4095"/>
        </w:tabs>
      </w:pPr>
    </w:p>
    <w:sectPr w:rsidR="00DF22CE" w:rsidRPr="00781C0F" w:rsidSect="004444E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2F05" w14:textId="77777777" w:rsidR="005B4DC5" w:rsidRDefault="005B4DC5">
      <w:r>
        <w:separator/>
      </w:r>
    </w:p>
  </w:endnote>
  <w:endnote w:type="continuationSeparator" w:id="0">
    <w:p w14:paraId="55522392" w14:textId="77777777" w:rsidR="005B4DC5" w:rsidRDefault="005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 Bold"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6F47" w14:textId="69814B4E" w:rsidR="00F5462D" w:rsidRPr="002D1EE0" w:rsidRDefault="00F5462D" w:rsidP="00F5462D">
    <w:pPr>
      <w:pStyle w:val="Footer"/>
      <w:rPr>
        <w:rFonts w:cs="Times New Roman"/>
        <w:sz w:val="20"/>
        <w:szCs w:val="20"/>
      </w:rPr>
    </w:pPr>
  </w:p>
  <w:p w14:paraId="3EC3E144" w14:textId="77777777" w:rsidR="0088019C" w:rsidRPr="002D1EE0" w:rsidRDefault="0088019C" w:rsidP="0088019C">
    <w:pPr>
      <w:pStyle w:val="Footer"/>
      <w:rPr>
        <w:rFonts w:cs="Times New Roman"/>
        <w:sz w:val="20"/>
        <w:szCs w:val="20"/>
      </w:rPr>
    </w:pPr>
  </w:p>
  <w:p w14:paraId="7BA5CBCF" w14:textId="77777777" w:rsidR="0093064E" w:rsidRDefault="0088019C" w:rsidP="0088019C">
    <w:pPr>
      <w:pStyle w:val="Foo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</w:p>
  <w:p w14:paraId="2288C9CC" w14:textId="77777777" w:rsidR="004444EB" w:rsidRPr="00B7651E" w:rsidRDefault="005B4DC5" w:rsidP="00B76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D886C" w14:textId="77777777" w:rsidR="005B4DC5" w:rsidRDefault="005B4DC5">
      <w:r>
        <w:separator/>
      </w:r>
    </w:p>
  </w:footnote>
  <w:footnote w:type="continuationSeparator" w:id="0">
    <w:p w14:paraId="5259C821" w14:textId="77777777" w:rsidR="005B4DC5" w:rsidRDefault="005B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062592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448849CE" w14:textId="6EB10914" w:rsidR="004444EB" w:rsidRPr="004444EB" w:rsidRDefault="002E6246" w:rsidP="004444EB">
        <w:pPr>
          <w:pStyle w:val="Header"/>
          <w:jc w:val="center"/>
          <w:rPr>
            <w:szCs w:val="24"/>
          </w:rPr>
        </w:pPr>
        <w:r w:rsidRPr="004444EB">
          <w:rPr>
            <w:szCs w:val="24"/>
          </w:rPr>
          <w:fldChar w:fldCharType="begin"/>
        </w:r>
        <w:r w:rsidRPr="004444EB">
          <w:rPr>
            <w:szCs w:val="24"/>
          </w:rPr>
          <w:instrText xml:space="preserve"> PAGE   \* MERGEFORMAT </w:instrText>
        </w:r>
        <w:r w:rsidRPr="004444EB">
          <w:rPr>
            <w:szCs w:val="24"/>
          </w:rPr>
          <w:fldChar w:fldCharType="separate"/>
        </w:r>
        <w:r w:rsidR="008350EF">
          <w:rPr>
            <w:noProof/>
            <w:szCs w:val="24"/>
          </w:rPr>
          <w:t>2</w:t>
        </w:r>
        <w:r w:rsidRPr="004444EB">
          <w:rPr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F45"/>
    <w:multiLevelType w:val="hybridMultilevel"/>
    <w:tmpl w:val="A62EA4F2"/>
    <w:lvl w:ilvl="0" w:tplc="79761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EC1"/>
    <w:multiLevelType w:val="hybridMultilevel"/>
    <w:tmpl w:val="0B169ED6"/>
    <w:lvl w:ilvl="0" w:tplc="2124E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8630E"/>
    <w:multiLevelType w:val="hybridMultilevel"/>
    <w:tmpl w:val="725497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626F"/>
    <w:multiLevelType w:val="hybridMultilevel"/>
    <w:tmpl w:val="E12AC0E0"/>
    <w:lvl w:ilvl="0" w:tplc="E09A2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0C9"/>
    <w:multiLevelType w:val="hybridMultilevel"/>
    <w:tmpl w:val="F1945C04"/>
    <w:lvl w:ilvl="0" w:tplc="6E088B4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D1ACD"/>
    <w:multiLevelType w:val="hybridMultilevel"/>
    <w:tmpl w:val="715082F6"/>
    <w:lvl w:ilvl="0" w:tplc="252A0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3E08FC"/>
    <w:multiLevelType w:val="hybridMultilevel"/>
    <w:tmpl w:val="68641E56"/>
    <w:lvl w:ilvl="0" w:tplc="75A6FEEC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1FBF"/>
    <w:multiLevelType w:val="hybridMultilevel"/>
    <w:tmpl w:val="47A6F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A7E70"/>
    <w:multiLevelType w:val="hybridMultilevel"/>
    <w:tmpl w:val="47A6F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10DE"/>
    <w:multiLevelType w:val="hybridMultilevel"/>
    <w:tmpl w:val="A840249C"/>
    <w:lvl w:ilvl="0" w:tplc="2F262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01057"/>
    <w:multiLevelType w:val="hybridMultilevel"/>
    <w:tmpl w:val="0B169ED6"/>
    <w:lvl w:ilvl="0" w:tplc="2124E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A271DE"/>
    <w:multiLevelType w:val="hybridMultilevel"/>
    <w:tmpl w:val="FDBCDCB8"/>
    <w:lvl w:ilvl="0" w:tplc="1C4AA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B"/>
    <w:rsid w:val="00016046"/>
    <w:rsid w:val="00043853"/>
    <w:rsid w:val="00076811"/>
    <w:rsid w:val="00077145"/>
    <w:rsid w:val="0009446B"/>
    <w:rsid w:val="00096D40"/>
    <w:rsid w:val="000A1913"/>
    <w:rsid w:val="000B3084"/>
    <w:rsid w:val="000E0B0D"/>
    <w:rsid w:val="00132A20"/>
    <w:rsid w:val="001369F9"/>
    <w:rsid w:val="00164B07"/>
    <w:rsid w:val="00184875"/>
    <w:rsid w:val="001D208E"/>
    <w:rsid w:val="00283301"/>
    <w:rsid w:val="002C5B1B"/>
    <w:rsid w:val="002D1EE0"/>
    <w:rsid w:val="002E3996"/>
    <w:rsid w:val="002E6246"/>
    <w:rsid w:val="00313E4D"/>
    <w:rsid w:val="003350B3"/>
    <w:rsid w:val="003412B3"/>
    <w:rsid w:val="00354B29"/>
    <w:rsid w:val="003A35C5"/>
    <w:rsid w:val="003C540E"/>
    <w:rsid w:val="004120CB"/>
    <w:rsid w:val="004300A9"/>
    <w:rsid w:val="00434C1D"/>
    <w:rsid w:val="00445CFB"/>
    <w:rsid w:val="004616B3"/>
    <w:rsid w:val="00461B31"/>
    <w:rsid w:val="00482C57"/>
    <w:rsid w:val="004B7D21"/>
    <w:rsid w:val="004D750A"/>
    <w:rsid w:val="004F1860"/>
    <w:rsid w:val="00516CB9"/>
    <w:rsid w:val="005803E4"/>
    <w:rsid w:val="00594439"/>
    <w:rsid w:val="005B4DC5"/>
    <w:rsid w:val="005D4BBE"/>
    <w:rsid w:val="005E0426"/>
    <w:rsid w:val="00650BED"/>
    <w:rsid w:val="00654205"/>
    <w:rsid w:val="006836BF"/>
    <w:rsid w:val="006A1812"/>
    <w:rsid w:val="006B266C"/>
    <w:rsid w:val="006C0DC6"/>
    <w:rsid w:val="006D2E84"/>
    <w:rsid w:val="007255BD"/>
    <w:rsid w:val="00781C0F"/>
    <w:rsid w:val="00791242"/>
    <w:rsid w:val="00791E04"/>
    <w:rsid w:val="007A65DA"/>
    <w:rsid w:val="007C6AE5"/>
    <w:rsid w:val="007C7325"/>
    <w:rsid w:val="007E4840"/>
    <w:rsid w:val="007E5F8E"/>
    <w:rsid w:val="00801699"/>
    <w:rsid w:val="008106F2"/>
    <w:rsid w:val="00812B08"/>
    <w:rsid w:val="00831722"/>
    <w:rsid w:val="008350EF"/>
    <w:rsid w:val="00856381"/>
    <w:rsid w:val="0088019C"/>
    <w:rsid w:val="008B5082"/>
    <w:rsid w:val="008B702F"/>
    <w:rsid w:val="009140C1"/>
    <w:rsid w:val="0092292F"/>
    <w:rsid w:val="00924982"/>
    <w:rsid w:val="009415EB"/>
    <w:rsid w:val="00946034"/>
    <w:rsid w:val="009A6D72"/>
    <w:rsid w:val="009D1299"/>
    <w:rsid w:val="009E42E1"/>
    <w:rsid w:val="00A56385"/>
    <w:rsid w:val="00A71199"/>
    <w:rsid w:val="00A72E34"/>
    <w:rsid w:val="00A84242"/>
    <w:rsid w:val="00AA3403"/>
    <w:rsid w:val="00B2384F"/>
    <w:rsid w:val="00B44829"/>
    <w:rsid w:val="00B72DF2"/>
    <w:rsid w:val="00B74A30"/>
    <w:rsid w:val="00B85653"/>
    <w:rsid w:val="00B86E21"/>
    <w:rsid w:val="00BA63A4"/>
    <w:rsid w:val="00BB7AFC"/>
    <w:rsid w:val="00BD49EE"/>
    <w:rsid w:val="00BE3C8F"/>
    <w:rsid w:val="00C00FD4"/>
    <w:rsid w:val="00C515BE"/>
    <w:rsid w:val="00C72F1A"/>
    <w:rsid w:val="00C76390"/>
    <w:rsid w:val="00CA7C00"/>
    <w:rsid w:val="00CC7E07"/>
    <w:rsid w:val="00CE78EF"/>
    <w:rsid w:val="00CF5188"/>
    <w:rsid w:val="00CF751C"/>
    <w:rsid w:val="00D5179A"/>
    <w:rsid w:val="00DC087A"/>
    <w:rsid w:val="00DF22CE"/>
    <w:rsid w:val="00E06AB5"/>
    <w:rsid w:val="00E101E9"/>
    <w:rsid w:val="00E148E4"/>
    <w:rsid w:val="00E14E21"/>
    <w:rsid w:val="00E40718"/>
    <w:rsid w:val="00E42110"/>
    <w:rsid w:val="00E54503"/>
    <w:rsid w:val="00E643B2"/>
    <w:rsid w:val="00E67EDE"/>
    <w:rsid w:val="00E83475"/>
    <w:rsid w:val="00E96814"/>
    <w:rsid w:val="00EB23E6"/>
    <w:rsid w:val="00EE0646"/>
    <w:rsid w:val="00F5462D"/>
    <w:rsid w:val="00F726F8"/>
    <w:rsid w:val="00F834B8"/>
    <w:rsid w:val="00F95B3D"/>
    <w:rsid w:val="00FD2916"/>
    <w:rsid w:val="00FD67EC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E64"/>
  <w15:chartTrackingRefBased/>
  <w15:docId w15:val="{7E513FFA-3385-41A2-9949-AF16A05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46"/>
  </w:style>
  <w:style w:type="paragraph" w:styleId="Footer">
    <w:name w:val="footer"/>
    <w:basedOn w:val="Normal"/>
    <w:link w:val="Foot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46"/>
  </w:style>
  <w:style w:type="character" w:styleId="Strong">
    <w:name w:val="Strong"/>
    <w:basedOn w:val="DefaultParagraphFont"/>
    <w:uiPriority w:val="22"/>
    <w:qFormat/>
    <w:rsid w:val="00CA7C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C6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5D4BBE"/>
    <w:pPr>
      <w:spacing w:before="240" w:after="120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kr">
    <w:name w:val="naiskr"/>
    <w:basedOn w:val="Normal"/>
    <w:rsid w:val="00E54503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Default">
    <w:name w:val="Default"/>
    <w:rsid w:val="00E5450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D208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140C1"/>
    <w:pPr>
      <w:ind w:left="720"/>
      <w:contextualSpacing/>
    </w:pPr>
  </w:style>
  <w:style w:type="paragraph" w:customStyle="1" w:styleId="Normal1">
    <w:name w:val="Normal1"/>
    <w:basedOn w:val="Normal"/>
    <w:rsid w:val="00FD291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D2916"/>
    <w:rPr>
      <w:color w:val="0000FF"/>
      <w:u w:val="single"/>
    </w:rPr>
  </w:style>
  <w:style w:type="character" w:customStyle="1" w:styleId="super">
    <w:name w:val="super"/>
    <w:basedOn w:val="DefaultParagraphFont"/>
    <w:rsid w:val="00FD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4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A. Zitcere (FTPD)</Zinotajs>
    <NPK xmlns="bf0a44d4-cc3b-414c-aa68-884178465e3a">3.</NPK>
    <VK_x0020_l_x0113_mums xmlns="bf0a44d4-cc3b-414c-aa68-884178465e3a">Nav</VK_x0020_l_x0113_mu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D9C3-25DC-4262-BB9B-4A4E2228A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0C701-E968-443A-A860-57230362E836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3.xml><?xml version="1.0" encoding="utf-8"?>
<ds:datastoreItem xmlns:ds="http://schemas.openxmlformats.org/officeDocument/2006/customXml" ds:itemID="{9E85A04B-3DAB-43B8-8135-D2389D81D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346EC-D0B3-4C2A-A339-90A31346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likumprojektu “Grozījumi Apdrošināšanas un pārapdrošināšanas likumā”</vt:lpstr>
    </vt:vector>
  </TitlesOfParts>
  <Company>Finanšu ministrija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likumprojektu “Grozījumi Apdrošināšanas un pārapdrošināšanas likumā”</dc:title>
  <dc:subject>Uzziņa</dc:subject>
  <dc:creator>I. Albova (FTPD)</dc:creator>
  <cp:keywords/>
  <dc:description/>
  <cp:lastModifiedBy>Inguna Dancīte</cp:lastModifiedBy>
  <cp:revision>2</cp:revision>
  <dcterms:created xsi:type="dcterms:W3CDTF">2020-01-17T09:34:00Z</dcterms:created>
  <dcterms:modified xsi:type="dcterms:W3CDTF">2020-01-17T09:34:00Z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