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AED756" w14:textId="77777777" w:rsidR="00543AA6" w:rsidRPr="005851C0" w:rsidRDefault="00393CF5" w:rsidP="00E660F2">
      <w:pPr>
        <w:spacing w:after="0" w:line="240" w:lineRule="auto"/>
        <w:ind w:firstLine="301"/>
        <w:jc w:val="center"/>
        <w:rPr>
          <w:rFonts w:ascii="Times New Roman" w:eastAsia="Times New Roman" w:hAnsi="Times New Roman" w:cs="Times New Roman"/>
          <w:b/>
          <w:bCs/>
          <w:sz w:val="26"/>
          <w:szCs w:val="26"/>
          <w:lang w:eastAsia="lv-LV"/>
        </w:rPr>
      </w:pPr>
      <w:bookmarkStart w:id="0" w:name="_GoBack"/>
      <w:bookmarkEnd w:id="0"/>
      <w:r w:rsidRPr="005851C0">
        <w:rPr>
          <w:rFonts w:ascii="Times New Roman" w:eastAsia="Times New Roman" w:hAnsi="Times New Roman" w:cs="Times New Roman"/>
          <w:b/>
          <w:bCs/>
          <w:sz w:val="24"/>
          <w:szCs w:val="24"/>
          <w:lang w:eastAsia="lv-LV"/>
        </w:rPr>
        <w:t xml:space="preserve"> </w:t>
      </w:r>
      <w:r w:rsidR="00E41115" w:rsidRPr="005851C0">
        <w:rPr>
          <w:rFonts w:ascii="Times New Roman" w:eastAsia="Times New Roman" w:hAnsi="Times New Roman" w:cs="Times New Roman"/>
          <w:b/>
          <w:bCs/>
          <w:sz w:val="26"/>
          <w:szCs w:val="26"/>
          <w:lang w:eastAsia="lv-LV"/>
        </w:rPr>
        <w:t xml:space="preserve">Likumprojekta </w:t>
      </w:r>
      <w:r w:rsidR="00D6069A">
        <w:rPr>
          <w:rFonts w:ascii="Times New Roman" w:eastAsia="Times New Roman" w:hAnsi="Times New Roman" w:cs="Times New Roman"/>
          <w:b/>
          <w:bCs/>
          <w:sz w:val="26"/>
          <w:szCs w:val="26"/>
          <w:lang w:eastAsia="lv-LV"/>
        </w:rPr>
        <w:t>“</w:t>
      </w:r>
      <w:r w:rsidR="00E41115" w:rsidRPr="005851C0">
        <w:rPr>
          <w:rFonts w:ascii="Times New Roman" w:eastAsia="Times New Roman" w:hAnsi="Times New Roman" w:cs="Times New Roman"/>
          <w:b/>
          <w:bCs/>
          <w:sz w:val="26"/>
          <w:szCs w:val="26"/>
          <w:lang w:eastAsia="lv-LV"/>
        </w:rPr>
        <w:t xml:space="preserve">Grozījumi likumā </w:t>
      </w:r>
      <w:r w:rsidR="00D6069A">
        <w:rPr>
          <w:rFonts w:ascii="Times New Roman" w:eastAsia="Times New Roman" w:hAnsi="Times New Roman" w:cs="Times New Roman"/>
          <w:b/>
          <w:bCs/>
          <w:sz w:val="26"/>
          <w:szCs w:val="26"/>
          <w:lang w:eastAsia="lv-LV"/>
        </w:rPr>
        <w:t>“</w:t>
      </w:r>
      <w:r w:rsidR="00E41115" w:rsidRPr="005851C0">
        <w:rPr>
          <w:rFonts w:ascii="Times New Roman" w:eastAsia="Times New Roman" w:hAnsi="Times New Roman" w:cs="Times New Roman"/>
          <w:b/>
          <w:bCs/>
          <w:sz w:val="26"/>
          <w:szCs w:val="26"/>
          <w:lang w:eastAsia="lv-LV"/>
        </w:rPr>
        <w:t>Par akcīzes nodokli””</w:t>
      </w:r>
      <w:r w:rsidR="00543AA6" w:rsidRPr="005851C0">
        <w:rPr>
          <w:rFonts w:ascii="Times New Roman" w:eastAsia="Times New Roman" w:hAnsi="Times New Roman" w:cs="Times New Roman"/>
          <w:b/>
          <w:bCs/>
          <w:sz w:val="26"/>
          <w:szCs w:val="26"/>
          <w:lang w:eastAsia="lv-LV"/>
        </w:rPr>
        <w:t xml:space="preserve"> sākotnējās ietekmes novērtējuma ziņojums</w:t>
      </w:r>
      <w:r w:rsidR="00543AA6" w:rsidRPr="005851C0">
        <w:rPr>
          <w:rFonts w:ascii="Times New Roman" w:eastAsia="Times New Roman" w:hAnsi="Times New Roman" w:cs="Times New Roman"/>
          <w:b/>
          <w:bCs/>
          <w:sz w:val="26"/>
          <w:szCs w:val="26"/>
          <w:lang w:eastAsia="lv-LV"/>
        </w:rPr>
        <w:br/>
        <w:t>(anotācija)</w:t>
      </w:r>
    </w:p>
    <w:p w14:paraId="3D87C75F" w14:textId="77777777" w:rsidR="00E660F2" w:rsidRPr="005851C0" w:rsidRDefault="00E660F2" w:rsidP="00E660F2">
      <w:pPr>
        <w:spacing w:after="0" w:line="240" w:lineRule="auto"/>
        <w:ind w:firstLine="301"/>
        <w:jc w:val="center"/>
        <w:rPr>
          <w:rFonts w:ascii="Times New Roman" w:eastAsia="Times New Roman" w:hAnsi="Times New Roman" w:cs="Times New Roman"/>
          <w:b/>
          <w:bCs/>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537"/>
        <w:gridCol w:w="5564"/>
      </w:tblGrid>
      <w:tr w:rsidR="00543AA6" w:rsidRPr="005851C0" w14:paraId="015978C0" w14:textId="77777777" w:rsidTr="0058711A">
        <w:tc>
          <w:tcPr>
            <w:tcW w:w="5000" w:type="pct"/>
            <w:gridSpan w:val="2"/>
            <w:tcBorders>
              <w:top w:val="outset" w:sz="6" w:space="0" w:color="414142"/>
              <w:left w:val="outset" w:sz="6" w:space="0" w:color="414142"/>
              <w:bottom w:val="outset" w:sz="6" w:space="0" w:color="414142"/>
              <w:right w:val="outset" w:sz="6" w:space="0" w:color="414142"/>
            </w:tcBorders>
            <w:vAlign w:val="center"/>
            <w:hideMark/>
          </w:tcPr>
          <w:p w14:paraId="1CF86C25" w14:textId="77777777" w:rsidR="00543AA6" w:rsidRPr="005851C0" w:rsidRDefault="00543AA6" w:rsidP="00993C84">
            <w:pPr>
              <w:spacing w:before="100" w:beforeAutospacing="1" w:after="100" w:afterAutospacing="1" w:line="360" w:lineRule="auto"/>
              <w:ind w:firstLine="300"/>
              <w:jc w:val="center"/>
              <w:rPr>
                <w:rFonts w:ascii="Times New Roman" w:eastAsia="Times New Roman" w:hAnsi="Times New Roman" w:cs="Times New Roman"/>
                <w:b/>
                <w:bCs/>
                <w:sz w:val="24"/>
                <w:szCs w:val="24"/>
                <w:lang w:eastAsia="lv-LV"/>
              </w:rPr>
            </w:pPr>
            <w:r w:rsidRPr="005851C0">
              <w:rPr>
                <w:rFonts w:ascii="Times New Roman" w:eastAsia="Times New Roman" w:hAnsi="Times New Roman" w:cs="Times New Roman"/>
                <w:b/>
                <w:bCs/>
                <w:sz w:val="24"/>
                <w:szCs w:val="24"/>
                <w:lang w:eastAsia="lv-LV"/>
              </w:rPr>
              <w:t>Tiesību akta projekta anotācijas kopsavilkums</w:t>
            </w:r>
          </w:p>
        </w:tc>
      </w:tr>
      <w:tr w:rsidR="0058711A" w:rsidRPr="005851C0" w14:paraId="7A524EC3" w14:textId="77777777" w:rsidTr="002A4683">
        <w:tc>
          <w:tcPr>
            <w:tcW w:w="1943" w:type="pct"/>
            <w:tcBorders>
              <w:top w:val="outset" w:sz="6" w:space="0" w:color="414142"/>
              <w:left w:val="outset" w:sz="6" w:space="0" w:color="414142"/>
              <w:bottom w:val="outset" w:sz="6" w:space="0" w:color="414142"/>
              <w:right w:val="outset" w:sz="6" w:space="0" w:color="414142"/>
            </w:tcBorders>
            <w:hideMark/>
          </w:tcPr>
          <w:p w14:paraId="6079FECB" w14:textId="77777777" w:rsidR="0058711A" w:rsidRPr="005851C0" w:rsidRDefault="0058711A" w:rsidP="0069728C">
            <w:pPr>
              <w:spacing w:after="0" w:line="240" w:lineRule="auto"/>
              <w:jc w:val="both"/>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Mērķis, risinājums un projekta spēkā stāšanās laiks (500 zīmes bez atstarpēm)</w:t>
            </w:r>
          </w:p>
        </w:tc>
        <w:tc>
          <w:tcPr>
            <w:tcW w:w="3057" w:type="pct"/>
            <w:tcBorders>
              <w:top w:val="outset" w:sz="6" w:space="0" w:color="414142"/>
              <w:left w:val="outset" w:sz="6" w:space="0" w:color="414142"/>
              <w:bottom w:val="outset" w:sz="6" w:space="0" w:color="414142"/>
              <w:right w:val="outset" w:sz="6" w:space="0" w:color="414142"/>
            </w:tcBorders>
            <w:hideMark/>
          </w:tcPr>
          <w:p w14:paraId="43308F8F" w14:textId="77777777" w:rsidR="00302376" w:rsidRPr="005851C0" w:rsidRDefault="00302376" w:rsidP="00302376">
            <w:pPr>
              <w:spacing w:after="0" w:line="240" w:lineRule="auto"/>
              <w:ind w:firstLine="400"/>
              <w:jc w:val="both"/>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 xml:space="preserve">Likumprojekts </w:t>
            </w:r>
            <w:r w:rsidRPr="005851C0">
              <w:rPr>
                <w:rFonts w:ascii="Times New Roman" w:eastAsia="Times New Roman" w:hAnsi="Times New Roman" w:cs="Times New Roman"/>
                <w:bCs/>
                <w:sz w:val="24"/>
                <w:szCs w:val="24"/>
                <w:lang w:eastAsia="lv-LV"/>
              </w:rPr>
              <w:t xml:space="preserve">“Grozījumi likumā </w:t>
            </w:r>
            <w:r w:rsidR="00D6069A">
              <w:rPr>
                <w:rFonts w:ascii="Times New Roman" w:eastAsia="Times New Roman" w:hAnsi="Times New Roman" w:cs="Times New Roman"/>
                <w:bCs/>
                <w:sz w:val="24"/>
                <w:szCs w:val="24"/>
                <w:lang w:eastAsia="lv-LV"/>
              </w:rPr>
              <w:t>“</w:t>
            </w:r>
            <w:r w:rsidRPr="005851C0">
              <w:rPr>
                <w:rFonts w:ascii="Times New Roman" w:eastAsia="Times New Roman" w:hAnsi="Times New Roman" w:cs="Times New Roman"/>
                <w:bCs/>
                <w:sz w:val="24"/>
                <w:szCs w:val="24"/>
                <w:lang w:eastAsia="lv-LV"/>
              </w:rPr>
              <w:t>Par akcīzes nodokli”” (turpmāk – likumprojekts) paredz</w:t>
            </w:r>
            <w:r w:rsidRPr="005851C0">
              <w:rPr>
                <w:rFonts w:ascii="Times New Roman" w:eastAsia="Times New Roman" w:hAnsi="Times New Roman" w:cs="Times New Roman"/>
                <w:sz w:val="24"/>
                <w:szCs w:val="24"/>
                <w:lang w:eastAsia="lv-LV"/>
              </w:rPr>
              <w:t xml:space="preserve"> veikt grozījumus likumā “Par akcīzes nodokli” (turpmāk – likums)</w:t>
            </w:r>
            <w:r w:rsidR="00EF4764" w:rsidRPr="005851C0">
              <w:rPr>
                <w:rFonts w:ascii="Times New Roman" w:eastAsia="Times New Roman" w:hAnsi="Times New Roman" w:cs="Times New Roman"/>
                <w:sz w:val="24"/>
                <w:szCs w:val="24"/>
                <w:lang w:eastAsia="lv-LV"/>
              </w:rPr>
              <w:t xml:space="preserve"> ar mērķi</w:t>
            </w:r>
            <w:r w:rsidRPr="005851C0">
              <w:rPr>
                <w:rFonts w:ascii="Times New Roman" w:eastAsia="Times New Roman" w:hAnsi="Times New Roman" w:cs="Times New Roman"/>
                <w:sz w:val="24"/>
                <w:szCs w:val="24"/>
                <w:lang w:eastAsia="lv-LV"/>
              </w:rPr>
              <w:t>:</w:t>
            </w:r>
          </w:p>
          <w:p w14:paraId="39002FC6" w14:textId="77777777" w:rsidR="00302376" w:rsidRPr="005851C0" w:rsidRDefault="00302376" w:rsidP="00342915">
            <w:pPr>
              <w:spacing w:after="0" w:line="240" w:lineRule="auto"/>
              <w:ind w:firstLine="400"/>
              <w:jc w:val="both"/>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 pārskatīt un pilnveidot atsevišķu</w:t>
            </w:r>
            <w:r w:rsidR="0090451F" w:rsidRPr="005851C0">
              <w:rPr>
                <w:rFonts w:ascii="Times New Roman" w:eastAsia="Times New Roman" w:hAnsi="Times New Roman" w:cs="Times New Roman"/>
                <w:sz w:val="24"/>
                <w:szCs w:val="24"/>
                <w:lang w:eastAsia="lv-LV"/>
              </w:rPr>
              <w:t>s</w:t>
            </w:r>
            <w:r w:rsidRPr="005851C0">
              <w:rPr>
                <w:rFonts w:ascii="Times New Roman" w:eastAsia="Times New Roman" w:hAnsi="Times New Roman" w:cs="Times New Roman"/>
                <w:sz w:val="24"/>
                <w:szCs w:val="24"/>
                <w:lang w:eastAsia="lv-LV"/>
              </w:rPr>
              <w:t xml:space="preserve"> akcīzes preču aprites nosacījumus;</w:t>
            </w:r>
          </w:p>
          <w:p w14:paraId="57359C11" w14:textId="77777777" w:rsidR="00302376" w:rsidRPr="005851C0" w:rsidRDefault="00302376" w:rsidP="00302376">
            <w:pPr>
              <w:spacing w:after="0" w:line="240" w:lineRule="auto"/>
              <w:ind w:firstLine="400"/>
              <w:jc w:val="both"/>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 nodrošināt akcīzes nodokļa atbrīvojuma piemērošanā vienādu pieeju neharmonizētajām akcīzes precēm;</w:t>
            </w:r>
          </w:p>
          <w:p w14:paraId="3EB1098C" w14:textId="6A6F4908" w:rsidR="00302376" w:rsidRPr="005851C0" w:rsidRDefault="008A209D" w:rsidP="00302376">
            <w:pPr>
              <w:spacing w:after="0" w:line="240" w:lineRule="auto"/>
              <w:ind w:firstLine="400"/>
              <w:jc w:val="both"/>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 xml:space="preserve">- </w:t>
            </w:r>
            <w:r w:rsidR="007664D9">
              <w:rPr>
                <w:rFonts w:ascii="Times New Roman" w:eastAsia="Times New Roman" w:hAnsi="Times New Roman" w:cs="Times New Roman"/>
                <w:sz w:val="24"/>
                <w:szCs w:val="24"/>
                <w:lang w:eastAsia="lv-LV"/>
              </w:rPr>
              <w:t xml:space="preserve">mazināt administratīvo un finansiālo slogu </w:t>
            </w:r>
            <w:r w:rsidR="00E41EB9">
              <w:rPr>
                <w:rFonts w:ascii="Times New Roman" w:eastAsia="Times New Roman" w:hAnsi="Times New Roman" w:cs="Times New Roman"/>
                <w:sz w:val="24"/>
                <w:szCs w:val="24"/>
                <w:lang w:eastAsia="lv-LV"/>
              </w:rPr>
              <w:t>uzņēmumiem</w:t>
            </w:r>
            <w:r w:rsidR="00302376" w:rsidRPr="005851C0">
              <w:rPr>
                <w:rFonts w:ascii="Times New Roman" w:eastAsia="Times New Roman" w:hAnsi="Times New Roman" w:cs="Times New Roman"/>
                <w:sz w:val="24"/>
                <w:szCs w:val="24"/>
                <w:lang w:eastAsia="lv-LV"/>
              </w:rPr>
              <w:t xml:space="preserve"> darbībām ar akcīzes nodokļa markām marķējamām akcīzes precēm.</w:t>
            </w:r>
          </w:p>
          <w:p w14:paraId="28C823BE" w14:textId="77777777" w:rsidR="00302376" w:rsidRPr="005851C0" w:rsidRDefault="00A5015E" w:rsidP="00342915">
            <w:pPr>
              <w:spacing w:after="0" w:line="240" w:lineRule="auto"/>
              <w:ind w:firstLine="400"/>
              <w:jc w:val="both"/>
              <w:rPr>
                <w:rFonts w:ascii="Times New Roman" w:eastAsia="Times New Roman" w:hAnsi="Times New Roman" w:cs="Times New Roman"/>
                <w:sz w:val="24"/>
                <w:szCs w:val="24"/>
                <w:lang w:eastAsia="lv-LV"/>
              </w:rPr>
            </w:pPr>
            <w:r w:rsidRPr="005851C0">
              <w:rPr>
                <w:rFonts w:ascii="Times New Roman" w:hAnsi="Times New Roman" w:cs="Times New Roman"/>
                <w:sz w:val="24"/>
                <w:szCs w:val="24"/>
              </w:rPr>
              <w:t>Likums stājas spēkā 2021.gada 1.janvārī.</w:t>
            </w:r>
          </w:p>
          <w:p w14:paraId="210FE85F" w14:textId="77777777" w:rsidR="00BB079D" w:rsidRPr="005851C0" w:rsidRDefault="00BB079D" w:rsidP="00342915">
            <w:pPr>
              <w:spacing w:after="0" w:line="240" w:lineRule="auto"/>
              <w:ind w:firstLine="400"/>
              <w:jc w:val="both"/>
              <w:rPr>
                <w:rFonts w:ascii="Times New Roman" w:eastAsia="Times New Roman" w:hAnsi="Times New Roman" w:cs="Times New Roman"/>
                <w:bCs/>
                <w:sz w:val="24"/>
                <w:szCs w:val="24"/>
                <w:lang w:eastAsia="lv-LV"/>
              </w:rPr>
            </w:pPr>
          </w:p>
        </w:tc>
      </w:tr>
    </w:tbl>
    <w:p w14:paraId="42A48F44" w14:textId="77777777" w:rsidR="0058711A" w:rsidRPr="005851C0" w:rsidRDefault="0058711A" w:rsidP="00543AA6">
      <w:pPr>
        <w:spacing w:after="0" w:line="240" w:lineRule="auto"/>
        <w:rPr>
          <w:rFonts w:ascii="Times New Roman" w:eastAsia="Times New Roman" w:hAnsi="Times New Roman" w:cs="Times New Roman"/>
          <w:sz w:val="24"/>
          <w:szCs w:val="24"/>
          <w:lang w:eastAsia="lv-LV"/>
        </w:rPr>
      </w:pPr>
    </w:p>
    <w:tbl>
      <w:tblPr>
        <w:tblW w:w="504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625"/>
        <w:gridCol w:w="2912"/>
        <w:gridCol w:w="5637"/>
      </w:tblGrid>
      <w:tr w:rsidR="00543AA6" w:rsidRPr="005851C0" w14:paraId="61B1F8EC" w14:textId="77777777" w:rsidTr="00F909CA">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3E190A6E" w14:textId="77777777" w:rsidR="00543AA6" w:rsidRPr="005851C0" w:rsidRDefault="00543AA6" w:rsidP="00993C84">
            <w:pPr>
              <w:spacing w:before="100" w:beforeAutospacing="1" w:after="100" w:afterAutospacing="1" w:line="360" w:lineRule="auto"/>
              <w:ind w:firstLine="300"/>
              <w:jc w:val="center"/>
              <w:rPr>
                <w:rFonts w:ascii="Times New Roman" w:eastAsia="Times New Roman" w:hAnsi="Times New Roman" w:cs="Times New Roman"/>
                <w:b/>
                <w:bCs/>
                <w:sz w:val="24"/>
                <w:szCs w:val="24"/>
                <w:lang w:eastAsia="lv-LV"/>
              </w:rPr>
            </w:pPr>
            <w:r w:rsidRPr="005851C0">
              <w:rPr>
                <w:rFonts w:ascii="Times New Roman" w:eastAsia="Times New Roman" w:hAnsi="Times New Roman" w:cs="Times New Roman"/>
                <w:b/>
                <w:bCs/>
                <w:sz w:val="24"/>
                <w:szCs w:val="24"/>
                <w:lang w:eastAsia="lv-LV"/>
              </w:rPr>
              <w:t>I. Tiesību akta projekta izstrādes nepieciešamība</w:t>
            </w:r>
          </w:p>
        </w:tc>
      </w:tr>
      <w:tr w:rsidR="00543AA6" w:rsidRPr="005851C0" w14:paraId="5D097535" w14:textId="77777777" w:rsidTr="002A4683">
        <w:tc>
          <w:tcPr>
            <w:tcW w:w="341" w:type="pct"/>
            <w:tcBorders>
              <w:top w:val="outset" w:sz="6" w:space="0" w:color="414142"/>
              <w:left w:val="outset" w:sz="6" w:space="0" w:color="414142"/>
              <w:bottom w:val="outset" w:sz="6" w:space="0" w:color="414142"/>
              <w:right w:val="outset" w:sz="6" w:space="0" w:color="414142"/>
            </w:tcBorders>
            <w:hideMark/>
          </w:tcPr>
          <w:p w14:paraId="03A76335" w14:textId="77777777" w:rsidR="00543AA6" w:rsidRPr="005851C0" w:rsidRDefault="00543AA6" w:rsidP="00993C84">
            <w:pPr>
              <w:spacing w:before="100" w:beforeAutospacing="1" w:after="100" w:afterAutospacing="1" w:line="360" w:lineRule="auto"/>
              <w:ind w:firstLine="300"/>
              <w:jc w:val="center"/>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1.</w:t>
            </w:r>
          </w:p>
        </w:tc>
        <w:tc>
          <w:tcPr>
            <w:tcW w:w="1587" w:type="pct"/>
            <w:tcBorders>
              <w:top w:val="outset" w:sz="6" w:space="0" w:color="414142"/>
              <w:left w:val="outset" w:sz="6" w:space="0" w:color="414142"/>
              <w:bottom w:val="outset" w:sz="6" w:space="0" w:color="414142"/>
              <w:right w:val="outset" w:sz="6" w:space="0" w:color="414142"/>
            </w:tcBorders>
            <w:hideMark/>
          </w:tcPr>
          <w:p w14:paraId="4795AA31" w14:textId="77777777" w:rsidR="00174314" w:rsidRPr="005851C0" w:rsidRDefault="00543AA6" w:rsidP="00FB308F">
            <w:pPr>
              <w:spacing w:after="0" w:line="240" w:lineRule="auto"/>
              <w:jc w:val="both"/>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Pamatojums</w:t>
            </w:r>
          </w:p>
          <w:p w14:paraId="53AEEDA5" w14:textId="77777777" w:rsidR="00174314" w:rsidRPr="005851C0" w:rsidRDefault="00174314" w:rsidP="00174314">
            <w:pPr>
              <w:rPr>
                <w:rFonts w:ascii="Times New Roman" w:eastAsia="Times New Roman" w:hAnsi="Times New Roman" w:cs="Times New Roman"/>
                <w:sz w:val="24"/>
                <w:szCs w:val="24"/>
                <w:lang w:eastAsia="lv-LV"/>
              </w:rPr>
            </w:pPr>
          </w:p>
          <w:p w14:paraId="78DFB698" w14:textId="77777777" w:rsidR="00174314" w:rsidRPr="005851C0" w:rsidRDefault="00174314" w:rsidP="00174314">
            <w:pPr>
              <w:rPr>
                <w:rFonts w:ascii="Times New Roman" w:eastAsia="Times New Roman" w:hAnsi="Times New Roman" w:cs="Times New Roman"/>
                <w:sz w:val="24"/>
                <w:szCs w:val="24"/>
                <w:lang w:eastAsia="lv-LV"/>
              </w:rPr>
            </w:pPr>
          </w:p>
          <w:p w14:paraId="396CD563" w14:textId="77777777" w:rsidR="00543AA6" w:rsidRPr="005851C0" w:rsidRDefault="00543AA6" w:rsidP="00174314">
            <w:pPr>
              <w:ind w:firstLine="720"/>
              <w:rPr>
                <w:rFonts w:ascii="Times New Roman" w:eastAsia="Times New Roman" w:hAnsi="Times New Roman" w:cs="Times New Roman"/>
                <w:sz w:val="24"/>
                <w:szCs w:val="24"/>
                <w:lang w:eastAsia="lv-LV"/>
              </w:rPr>
            </w:pPr>
          </w:p>
        </w:tc>
        <w:tc>
          <w:tcPr>
            <w:tcW w:w="3073" w:type="pct"/>
            <w:tcBorders>
              <w:top w:val="outset" w:sz="6" w:space="0" w:color="414142"/>
              <w:left w:val="outset" w:sz="6" w:space="0" w:color="414142"/>
              <w:bottom w:val="outset" w:sz="6" w:space="0" w:color="414142"/>
              <w:right w:val="outset" w:sz="6" w:space="0" w:color="414142"/>
            </w:tcBorders>
            <w:hideMark/>
          </w:tcPr>
          <w:p w14:paraId="1F430DA9" w14:textId="3E5B88B0" w:rsidR="005A0779" w:rsidRDefault="0094435A" w:rsidP="00A50548">
            <w:pPr>
              <w:spacing w:after="0" w:line="240" w:lineRule="auto"/>
              <w:ind w:firstLine="390"/>
              <w:jc w:val="both"/>
              <w:rPr>
                <w:rFonts w:ascii="Times New Roman" w:hAnsi="Times New Roman" w:cs="Times New Roman"/>
                <w:sz w:val="24"/>
                <w:szCs w:val="24"/>
              </w:rPr>
            </w:pPr>
            <w:r w:rsidRPr="005851C0">
              <w:rPr>
                <w:rFonts w:ascii="Times New Roman" w:hAnsi="Times New Roman" w:cs="Times New Roman"/>
                <w:sz w:val="24"/>
                <w:szCs w:val="24"/>
              </w:rPr>
              <w:t xml:space="preserve">Ministru kabineta 2018.gada 18.decembra sēdes protokola Nr.60 </w:t>
            </w:r>
            <w:r w:rsidR="00C235A4" w:rsidRPr="005851C0">
              <w:rPr>
                <w:rFonts w:ascii="Times New Roman" w:hAnsi="Times New Roman" w:cs="Times New Roman"/>
                <w:sz w:val="24"/>
                <w:szCs w:val="24"/>
              </w:rPr>
              <w:t xml:space="preserve">9.§ </w:t>
            </w:r>
            <w:r w:rsidRPr="005851C0">
              <w:rPr>
                <w:rFonts w:ascii="Times New Roman" w:hAnsi="Times New Roman" w:cs="Times New Roman"/>
                <w:sz w:val="24"/>
                <w:szCs w:val="24"/>
              </w:rPr>
              <w:t>“Noteikumu projekts “Kārtība, kādā piešķirams patstāvīgas mazās alus darītavas statuss un piemērojama akcīzes nodokļa likme patstāvīgo mazo alus darītavu saražotajam alum”</w:t>
            </w:r>
            <w:r w:rsidR="00211D2D" w:rsidRPr="005851C0">
              <w:rPr>
                <w:rFonts w:ascii="Times New Roman" w:hAnsi="Times New Roman" w:cs="Times New Roman"/>
                <w:sz w:val="24"/>
                <w:szCs w:val="24"/>
              </w:rPr>
              <w:t>” 2.punkts (turpmāk – MK protokola nr.60</w:t>
            </w:r>
            <w:r w:rsidR="00C235A4" w:rsidRPr="005851C0">
              <w:rPr>
                <w:rFonts w:ascii="Times New Roman" w:hAnsi="Times New Roman" w:cs="Times New Roman"/>
                <w:sz w:val="24"/>
                <w:szCs w:val="24"/>
              </w:rPr>
              <w:t xml:space="preserve"> 9.§ </w:t>
            </w:r>
            <w:r w:rsidR="00211D2D" w:rsidRPr="005851C0">
              <w:rPr>
                <w:rFonts w:ascii="Times New Roman" w:hAnsi="Times New Roman" w:cs="Times New Roman"/>
                <w:sz w:val="24"/>
                <w:szCs w:val="24"/>
              </w:rPr>
              <w:t>2.punkts)</w:t>
            </w:r>
            <w:r w:rsidRPr="005851C0">
              <w:rPr>
                <w:rFonts w:ascii="Times New Roman" w:hAnsi="Times New Roman" w:cs="Times New Roman"/>
                <w:sz w:val="24"/>
                <w:szCs w:val="24"/>
              </w:rPr>
              <w:t>.</w:t>
            </w:r>
          </w:p>
          <w:p w14:paraId="6F0A7794" w14:textId="45A4BBFD" w:rsidR="009A61AA" w:rsidRPr="009A61AA" w:rsidRDefault="009A61AA" w:rsidP="009A61AA">
            <w:pPr>
              <w:spacing w:after="0" w:line="240" w:lineRule="auto"/>
              <w:ind w:firstLine="390"/>
              <w:jc w:val="both"/>
              <w:rPr>
                <w:rFonts w:ascii="Times New Roman" w:hAnsi="Times New Roman" w:cs="Times New Roman"/>
                <w:bCs/>
                <w:sz w:val="24"/>
                <w:szCs w:val="24"/>
              </w:rPr>
            </w:pPr>
            <w:r>
              <w:rPr>
                <w:rFonts w:ascii="Times New Roman" w:hAnsi="Times New Roman" w:cs="Times New Roman"/>
                <w:bCs/>
                <w:sz w:val="24"/>
                <w:szCs w:val="24"/>
              </w:rPr>
              <w:t>S</w:t>
            </w:r>
            <w:r w:rsidRPr="009A61AA">
              <w:rPr>
                <w:rFonts w:ascii="Times New Roman" w:hAnsi="Times New Roman" w:cs="Times New Roman"/>
                <w:bCs/>
                <w:sz w:val="24"/>
                <w:szCs w:val="24"/>
              </w:rPr>
              <w:t>aņemti</w:t>
            </w:r>
            <w:r>
              <w:rPr>
                <w:rFonts w:ascii="Times New Roman" w:hAnsi="Times New Roman" w:cs="Times New Roman"/>
                <w:bCs/>
                <w:sz w:val="24"/>
                <w:szCs w:val="24"/>
              </w:rPr>
              <w:t>e</w:t>
            </w:r>
            <w:r w:rsidRPr="009A61AA">
              <w:rPr>
                <w:rFonts w:ascii="Times New Roman" w:hAnsi="Times New Roman" w:cs="Times New Roman"/>
                <w:bCs/>
                <w:sz w:val="24"/>
                <w:szCs w:val="24"/>
              </w:rPr>
              <w:t xml:space="preserve"> priekšlikumi</w:t>
            </w:r>
            <w:r w:rsidR="00FA71F1">
              <w:rPr>
                <w:rFonts w:ascii="Times New Roman" w:hAnsi="Times New Roman" w:cs="Times New Roman"/>
                <w:bCs/>
                <w:sz w:val="24"/>
                <w:szCs w:val="24"/>
              </w:rPr>
              <w:t>, kā arī</w:t>
            </w:r>
            <w:r w:rsidRPr="009A61AA">
              <w:rPr>
                <w:rFonts w:ascii="Times New Roman" w:hAnsi="Times New Roman" w:cs="Times New Roman"/>
                <w:bCs/>
                <w:sz w:val="24"/>
                <w:szCs w:val="24"/>
              </w:rPr>
              <w:t xml:space="preserve"> darba procesā apzināti</w:t>
            </w:r>
            <w:r w:rsidR="00FA71F1">
              <w:rPr>
                <w:rFonts w:ascii="Times New Roman" w:hAnsi="Times New Roman" w:cs="Times New Roman"/>
                <w:bCs/>
                <w:sz w:val="24"/>
                <w:szCs w:val="24"/>
              </w:rPr>
              <w:t>e</w:t>
            </w:r>
            <w:r w:rsidRPr="009A61AA">
              <w:rPr>
                <w:rFonts w:ascii="Times New Roman" w:hAnsi="Times New Roman" w:cs="Times New Roman"/>
                <w:bCs/>
                <w:sz w:val="24"/>
                <w:szCs w:val="24"/>
              </w:rPr>
              <w:t xml:space="preserve"> nepieciešamie grozījumi, lai vienkāršotu un uzlabotu uzņēmējdarbību ar akcīzes precēm.</w:t>
            </w:r>
          </w:p>
          <w:p w14:paraId="6A6FC5F0" w14:textId="77777777" w:rsidR="00A50548" w:rsidRPr="005851C0" w:rsidRDefault="00A50548" w:rsidP="00A50548">
            <w:pPr>
              <w:spacing w:after="0" w:line="240" w:lineRule="auto"/>
              <w:ind w:firstLine="390"/>
              <w:jc w:val="both"/>
              <w:rPr>
                <w:rFonts w:ascii="Times New Roman" w:hAnsi="Times New Roman" w:cs="Times New Roman"/>
                <w:sz w:val="24"/>
                <w:szCs w:val="24"/>
              </w:rPr>
            </w:pPr>
          </w:p>
        </w:tc>
      </w:tr>
      <w:tr w:rsidR="0038587F" w:rsidRPr="005851C0" w14:paraId="4AD0AF51" w14:textId="77777777" w:rsidTr="002A4683">
        <w:tc>
          <w:tcPr>
            <w:tcW w:w="341" w:type="pct"/>
            <w:tcBorders>
              <w:top w:val="outset" w:sz="6" w:space="0" w:color="414142"/>
              <w:left w:val="outset" w:sz="6" w:space="0" w:color="414142"/>
              <w:bottom w:val="outset" w:sz="6" w:space="0" w:color="414142"/>
              <w:right w:val="outset" w:sz="6" w:space="0" w:color="414142"/>
            </w:tcBorders>
            <w:hideMark/>
          </w:tcPr>
          <w:p w14:paraId="4EE2571B" w14:textId="77777777" w:rsidR="009F2884" w:rsidRPr="005851C0" w:rsidRDefault="0038587F" w:rsidP="0038587F">
            <w:pPr>
              <w:spacing w:before="100" w:beforeAutospacing="1" w:after="100" w:afterAutospacing="1" w:line="360" w:lineRule="auto"/>
              <w:ind w:firstLine="300"/>
              <w:jc w:val="center"/>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2.</w:t>
            </w:r>
          </w:p>
          <w:p w14:paraId="5C349361" w14:textId="77777777" w:rsidR="009F2884" w:rsidRPr="005851C0" w:rsidRDefault="009F2884" w:rsidP="009F2884">
            <w:pPr>
              <w:rPr>
                <w:rFonts w:ascii="Times New Roman" w:eastAsia="Times New Roman" w:hAnsi="Times New Roman" w:cs="Times New Roman"/>
                <w:sz w:val="24"/>
                <w:szCs w:val="24"/>
                <w:lang w:eastAsia="lv-LV"/>
              </w:rPr>
            </w:pPr>
          </w:p>
          <w:p w14:paraId="6806D1A5" w14:textId="77777777" w:rsidR="009F2884" w:rsidRPr="005851C0" w:rsidRDefault="009F2884" w:rsidP="009F2884">
            <w:pPr>
              <w:rPr>
                <w:rFonts w:ascii="Times New Roman" w:eastAsia="Times New Roman" w:hAnsi="Times New Roman" w:cs="Times New Roman"/>
                <w:sz w:val="24"/>
                <w:szCs w:val="24"/>
                <w:lang w:eastAsia="lv-LV"/>
              </w:rPr>
            </w:pPr>
          </w:p>
          <w:p w14:paraId="68A585E0" w14:textId="77777777" w:rsidR="009F2884" w:rsidRPr="005851C0" w:rsidRDefault="009F2884" w:rsidP="009F2884">
            <w:pPr>
              <w:rPr>
                <w:rFonts w:ascii="Times New Roman" w:eastAsia="Times New Roman" w:hAnsi="Times New Roman" w:cs="Times New Roman"/>
                <w:sz w:val="24"/>
                <w:szCs w:val="24"/>
                <w:lang w:eastAsia="lv-LV"/>
              </w:rPr>
            </w:pPr>
          </w:p>
          <w:p w14:paraId="310DC189" w14:textId="77777777" w:rsidR="009F2884" w:rsidRPr="005851C0" w:rsidRDefault="009F2884" w:rsidP="009F2884">
            <w:pPr>
              <w:rPr>
                <w:rFonts w:ascii="Times New Roman" w:eastAsia="Times New Roman" w:hAnsi="Times New Roman" w:cs="Times New Roman"/>
                <w:sz w:val="24"/>
                <w:szCs w:val="24"/>
                <w:lang w:eastAsia="lv-LV"/>
              </w:rPr>
            </w:pPr>
          </w:p>
          <w:p w14:paraId="77C67278" w14:textId="77777777" w:rsidR="009F2884" w:rsidRPr="005851C0" w:rsidRDefault="009F2884" w:rsidP="009F2884">
            <w:pPr>
              <w:rPr>
                <w:rFonts w:ascii="Times New Roman" w:eastAsia="Times New Roman" w:hAnsi="Times New Roman" w:cs="Times New Roman"/>
                <w:sz w:val="24"/>
                <w:szCs w:val="24"/>
                <w:lang w:eastAsia="lv-LV"/>
              </w:rPr>
            </w:pPr>
          </w:p>
          <w:p w14:paraId="13224D4C" w14:textId="77777777" w:rsidR="009F2884" w:rsidRPr="005851C0" w:rsidRDefault="009F2884" w:rsidP="009F2884">
            <w:pPr>
              <w:rPr>
                <w:rFonts w:ascii="Times New Roman" w:eastAsia="Times New Roman" w:hAnsi="Times New Roman" w:cs="Times New Roman"/>
                <w:sz w:val="24"/>
                <w:szCs w:val="24"/>
                <w:lang w:eastAsia="lv-LV"/>
              </w:rPr>
            </w:pPr>
          </w:p>
          <w:p w14:paraId="25FC1F13" w14:textId="77777777" w:rsidR="009F2884" w:rsidRPr="005851C0" w:rsidRDefault="009F2884" w:rsidP="009F2884">
            <w:pPr>
              <w:rPr>
                <w:rFonts w:ascii="Times New Roman" w:eastAsia="Times New Roman" w:hAnsi="Times New Roman" w:cs="Times New Roman"/>
                <w:sz w:val="24"/>
                <w:szCs w:val="24"/>
                <w:lang w:eastAsia="lv-LV"/>
              </w:rPr>
            </w:pPr>
          </w:p>
          <w:p w14:paraId="5440D3CC" w14:textId="77777777" w:rsidR="0038587F" w:rsidRPr="005851C0" w:rsidRDefault="0038587F" w:rsidP="009F2884">
            <w:pPr>
              <w:rPr>
                <w:rFonts w:ascii="Times New Roman" w:eastAsia="Times New Roman" w:hAnsi="Times New Roman" w:cs="Times New Roman"/>
                <w:sz w:val="24"/>
                <w:szCs w:val="24"/>
                <w:lang w:eastAsia="lv-LV"/>
              </w:rPr>
            </w:pPr>
          </w:p>
        </w:tc>
        <w:tc>
          <w:tcPr>
            <w:tcW w:w="1587" w:type="pct"/>
            <w:tcBorders>
              <w:top w:val="outset" w:sz="6" w:space="0" w:color="414142"/>
              <w:left w:val="outset" w:sz="6" w:space="0" w:color="414142"/>
              <w:bottom w:val="outset" w:sz="6" w:space="0" w:color="414142"/>
              <w:right w:val="outset" w:sz="6" w:space="0" w:color="414142"/>
            </w:tcBorders>
            <w:hideMark/>
          </w:tcPr>
          <w:p w14:paraId="560A2647" w14:textId="77777777" w:rsidR="002F71AE" w:rsidRPr="005851C0" w:rsidRDefault="0038587F" w:rsidP="0038587F">
            <w:pPr>
              <w:spacing w:after="0" w:line="240" w:lineRule="auto"/>
              <w:jc w:val="both"/>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lastRenderedPageBreak/>
              <w:t>Pašreizējā situācija un problēmas, kuru risināšanai tiesību akta projekts izstrādāts, tiesiskā regulējuma mērķis un būtība</w:t>
            </w:r>
          </w:p>
          <w:p w14:paraId="5E6B6495" w14:textId="77777777" w:rsidR="002F71AE" w:rsidRPr="005851C0" w:rsidRDefault="002F71AE" w:rsidP="002F71AE">
            <w:pPr>
              <w:rPr>
                <w:rFonts w:ascii="Times New Roman" w:eastAsia="Times New Roman" w:hAnsi="Times New Roman" w:cs="Times New Roman"/>
                <w:sz w:val="24"/>
                <w:szCs w:val="24"/>
                <w:lang w:eastAsia="lv-LV"/>
              </w:rPr>
            </w:pPr>
          </w:p>
          <w:p w14:paraId="58FE8C75" w14:textId="77777777" w:rsidR="002F71AE" w:rsidRPr="005851C0" w:rsidRDefault="002F71AE" w:rsidP="002F71AE">
            <w:pPr>
              <w:rPr>
                <w:rFonts w:ascii="Times New Roman" w:eastAsia="Times New Roman" w:hAnsi="Times New Roman" w:cs="Times New Roman"/>
                <w:sz w:val="24"/>
                <w:szCs w:val="24"/>
                <w:lang w:eastAsia="lv-LV"/>
              </w:rPr>
            </w:pPr>
          </w:p>
          <w:p w14:paraId="385F46A9" w14:textId="77777777" w:rsidR="002F71AE" w:rsidRPr="005851C0" w:rsidRDefault="002F71AE" w:rsidP="002F71AE">
            <w:pPr>
              <w:rPr>
                <w:rFonts w:ascii="Times New Roman" w:eastAsia="Times New Roman" w:hAnsi="Times New Roman" w:cs="Times New Roman"/>
                <w:sz w:val="24"/>
                <w:szCs w:val="24"/>
                <w:lang w:eastAsia="lv-LV"/>
              </w:rPr>
            </w:pPr>
          </w:p>
          <w:p w14:paraId="3A269949" w14:textId="77777777" w:rsidR="002F71AE" w:rsidRPr="005851C0" w:rsidRDefault="002F71AE" w:rsidP="00A85CD8">
            <w:pPr>
              <w:ind w:firstLine="720"/>
              <w:rPr>
                <w:rFonts w:ascii="Times New Roman" w:eastAsia="Times New Roman" w:hAnsi="Times New Roman" w:cs="Times New Roman"/>
                <w:sz w:val="24"/>
                <w:szCs w:val="24"/>
                <w:lang w:eastAsia="lv-LV"/>
              </w:rPr>
            </w:pPr>
          </w:p>
          <w:p w14:paraId="75D361D4" w14:textId="77777777" w:rsidR="002F71AE" w:rsidRPr="005851C0" w:rsidRDefault="002F71AE" w:rsidP="002F71AE">
            <w:pPr>
              <w:rPr>
                <w:rFonts w:ascii="Times New Roman" w:eastAsia="Times New Roman" w:hAnsi="Times New Roman" w:cs="Times New Roman"/>
                <w:sz w:val="24"/>
                <w:szCs w:val="24"/>
                <w:lang w:eastAsia="lv-LV"/>
              </w:rPr>
            </w:pPr>
          </w:p>
          <w:p w14:paraId="495CF9D3" w14:textId="77777777" w:rsidR="002F71AE" w:rsidRPr="005851C0" w:rsidRDefault="002F71AE" w:rsidP="002F71AE">
            <w:pPr>
              <w:rPr>
                <w:rFonts w:ascii="Times New Roman" w:eastAsia="Times New Roman" w:hAnsi="Times New Roman" w:cs="Times New Roman"/>
                <w:sz w:val="24"/>
                <w:szCs w:val="24"/>
                <w:lang w:eastAsia="lv-LV"/>
              </w:rPr>
            </w:pPr>
          </w:p>
          <w:p w14:paraId="0EE8FE94" w14:textId="77777777" w:rsidR="002A4683" w:rsidRPr="005851C0" w:rsidRDefault="002A4683" w:rsidP="002F71AE">
            <w:pPr>
              <w:ind w:firstLine="720"/>
              <w:rPr>
                <w:rFonts w:ascii="Times New Roman" w:eastAsia="Times New Roman" w:hAnsi="Times New Roman" w:cs="Times New Roman"/>
                <w:sz w:val="24"/>
                <w:szCs w:val="24"/>
                <w:lang w:eastAsia="lv-LV"/>
              </w:rPr>
            </w:pPr>
          </w:p>
          <w:p w14:paraId="1B7B2EF6" w14:textId="77777777" w:rsidR="002A4683" w:rsidRPr="005851C0" w:rsidRDefault="002A4683" w:rsidP="002A4683">
            <w:pPr>
              <w:rPr>
                <w:rFonts w:ascii="Times New Roman" w:eastAsia="Times New Roman" w:hAnsi="Times New Roman" w:cs="Times New Roman"/>
                <w:sz w:val="24"/>
                <w:szCs w:val="24"/>
                <w:lang w:eastAsia="lv-LV"/>
              </w:rPr>
            </w:pPr>
          </w:p>
          <w:p w14:paraId="5FC559E0" w14:textId="77777777" w:rsidR="002A4683" w:rsidRPr="005851C0" w:rsidRDefault="002A4683" w:rsidP="002A4683">
            <w:pPr>
              <w:rPr>
                <w:rFonts w:ascii="Times New Roman" w:eastAsia="Times New Roman" w:hAnsi="Times New Roman" w:cs="Times New Roman"/>
                <w:sz w:val="24"/>
                <w:szCs w:val="24"/>
                <w:lang w:eastAsia="lv-LV"/>
              </w:rPr>
            </w:pPr>
          </w:p>
          <w:p w14:paraId="3115BD4B" w14:textId="77777777" w:rsidR="002A4683" w:rsidRPr="005851C0" w:rsidRDefault="002A4683" w:rsidP="002A4683">
            <w:pPr>
              <w:rPr>
                <w:rFonts w:ascii="Times New Roman" w:eastAsia="Times New Roman" w:hAnsi="Times New Roman" w:cs="Times New Roman"/>
                <w:sz w:val="24"/>
                <w:szCs w:val="24"/>
                <w:lang w:eastAsia="lv-LV"/>
              </w:rPr>
            </w:pPr>
          </w:p>
          <w:p w14:paraId="2A0BB4B3" w14:textId="77777777" w:rsidR="002A4683" w:rsidRPr="005851C0" w:rsidRDefault="002A4683" w:rsidP="002A4683">
            <w:pPr>
              <w:rPr>
                <w:rFonts w:ascii="Times New Roman" w:eastAsia="Times New Roman" w:hAnsi="Times New Roman" w:cs="Times New Roman"/>
                <w:sz w:val="24"/>
                <w:szCs w:val="24"/>
                <w:lang w:eastAsia="lv-LV"/>
              </w:rPr>
            </w:pPr>
          </w:p>
          <w:p w14:paraId="1E1FF153" w14:textId="77777777" w:rsidR="002A4683" w:rsidRPr="005851C0" w:rsidRDefault="002A4683" w:rsidP="002A4683">
            <w:pPr>
              <w:rPr>
                <w:rFonts w:ascii="Times New Roman" w:eastAsia="Times New Roman" w:hAnsi="Times New Roman" w:cs="Times New Roman"/>
                <w:sz w:val="24"/>
                <w:szCs w:val="24"/>
                <w:lang w:eastAsia="lv-LV"/>
              </w:rPr>
            </w:pPr>
          </w:p>
          <w:p w14:paraId="4A79BCC4" w14:textId="77777777" w:rsidR="0038587F" w:rsidRPr="005851C0" w:rsidRDefault="002A4683" w:rsidP="002A4683">
            <w:pPr>
              <w:tabs>
                <w:tab w:val="left" w:pos="915"/>
              </w:tabs>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ab/>
            </w:r>
          </w:p>
        </w:tc>
        <w:tc>
          <w:tcPr>
            <w:tcW w:w="3073" w:type="pct"/>
            <w:tcBorders>
              <w:top w:val="outset" w:sz="6" w:space="0" w:color="414142"/>
              <w:left w:val="outset" w:sz="6" w:space="0" w:color="414142"/>
              <w:bottom w:val="outset" w:sz="6" w:space="0" w:color="414142"/>
              <w:right w:val="outset" w:sz="6" w:space="0" w:color="414142"/>
            </w:tcBorders>
          </w:tcPr>
          <w:p w14:paraId="347C6912" w14:textId="6BADFE98" w:rsidR="00A374DC" w:rsidRPr="00FB4E9E" w:rsidRDefault="003C590A" w:rsidP="00A374DC">
            <w:pPr>
              <w:tabs>
                <w:tab w:val="left" w:pos="250"/>
              </w:tabs>
              <w:spacing w:after="0" w:line="240" w:lineRule="auto"/>
              <w:ind w:firstLine="392"/>
              <w:jc w:val="both"/>
              <w:rPr>
                <w:rFonts w:ascii="Times New Roman" w:hAnsi="Times New Roman" w:cs="Times New Roman"/>
                <w:sz w:val="24"/>
                <w:szCs w:val="24"/>
              </w:rPr>
            </w:pPr>
            <w:r w:rsidRPr="00FB4E9E">
              <w:rPr>
                <w:rFonts w:ascii="Times New Roman" w:hAnsi="Times New Roman" w:cs="Times New Roman"/>
                <w:sz w:val="24"/>
                <w:szCs w:val="24"/>
              </w:rPr>
              <w:lastRenderedPageBreak/>
              <w:t>1)</w:t>
            </w:r>
            <w:r w:rsidRPr="00FB4E9E">
              <w:rPr>
                <w:rFonts w:ascii="Times New Roman" w:eastAsia="Calibri" w:hAnsi="Times New Roman" w:cs="Times New Roman"/>
                <w:color w:val="44546A"/>
                <w:sz w:val="24"/>
                <w:szCs w:val="24"/>
              </w:rPr>
              <w:t xml:space="preserve"> </w:t>
            </w:r>
            <w:r w:rsidR="00A374DC" w:rsidRPr="00FB4E9E">
              <w:rPr>
                <w:rFonts w:ascii="Times New Roman" w:hAnsi="Times New Roman" w:cs="Times New Roman"/>
                <w:sz w:val="24"/>
                <w:szCs w:val="24"/>
              </w:rPr>
              <w:t xml:space="preserve">Lēmumu pieņemšanu par speciālo atļauju (licenču) izsniegšanu Valsts ieņēmumu dienests veic, ievērojot Administratīvā procesa likuma 67.panta prasības par administratīvā akta obligāto sastāvdaļu ietveršanu lēmumos. Pārskatot lēmumu pieņemšanas praksi, Valsts ieņēmumu dienests ir secinājis, ka ne visos gadījumos, kad pieņemami lēmumi administratīvā procesa ietvaros, pastāv objektīva nepieciešamība izvērsti lēmumā ietvert visas administratīvā akta sastāvdaļas. Administratīvo aktu izdod </w:t>
            </w:r>
            <w:proofErr w:type="spellStart"/>
            <w:r w:rsidR="00A374DC" w:rsidRPr="00FB4E9E">
              <w:rPr>
                <w:rFonts w:ascii="Times New Roman" w:hAnsi="Times New Roman" w:cs="Times New Roman"/>
                <w:sz w:val="24"/>
                <w:szCs w:val="24"/>
              </w:rPr>
              <w:t>rakstveidā</w:t>
            </w:r>
            <w:proofErr w:type="spellEnd"/>
            <w:r w:rsidR="00A374DC" w:rsidRPr="00FB4E9E">
              <w:rPr>
                <w:rFonts w:ascii="Times New Roman" w:hAnsi="Times New Roman" w:cs="Times New Roman"/>
                <w:sz w:val="24"/>
                <w:szCs w:val="24"/>
              </w:rPr>
              <w:t>, izņemot Administratīvā procesa likuma 69.pantā minētos gadījumus</w:t>
            </w:r>
            <w:r w:rsidR="00A374DC" w:rsidRPr="00FB4E9E">
              <w:rPr>
                <w:rFonts w:ascii="Times New Roman" w:hAnsi="Times New Roman" w:cs="Times New Roman"/>
                <w:sz w:val="24"/>
                <w:szCs w:val="24"/>
                <w:vertAlign w:val="superscript"/>
              </w:rPr>
              <w:footnoteReference w:id="1"/>
            </w:r>
            <w:r w:rsidR="00A374DC" w:rsidRPr="00FB4E9E">
              <w:rPr>
                <w:rFonts w:ascii="Times New Roman" w:hAnsi="Times New Roman" w:cs="Times New Roman"/>
                <w:sz w:val="24"/>
                <w:szCs w:val="24"/>
              </w:rPr>
              <w:t xml:space="preserve">. Administratīvo aktu var izdot mutvārdos vai citādi, neievērojot </w:t>
            </w:r>
            <w:r w:rsidR="009D7C66">
              <w:rPr>
                <w:rFonts w:ascii="Times New Roman" w:hAnsi="Times New Roman" w:cs="Times New Roman"/>
                <w:sz w:val="24"/>
                <w:szCs w:val="24"/>
              </w:rPr>
              <w:t xml:space="preserve">Administratīvā procesa </w:t>
            </w:r>
            <w:r w:rsidR="00A374DC" w:rsidRPr="00FB4E9E">
              <w:rPr>
                <w:rFonts w:ascii="Times New Roman" w:hAnsi="Times New Roman" w:cs="Times New Roman"/>
                <w:sz w:val="24"/>
                <w:szCs w:val="24"/>
              </w:rPr>
              <w:t>likuma 67.panta noteikumus, ja tas paredzēts piemērojamā normatīvajā aktā</w:t>
            </w:r>
            <w:r w:rsidR="00A374DC" w:rsidRPr="00FB4E9E">
              <w:rPr>
                <w:rFonts w:ascii="Times New Roman" w:hAnsi="Times New Roman" w:cs="Times New Roman"/>
                <w:sz w:val="24"/>
                <w:szCs w:val="24"/>
                <w:vertAlign w:val="superscript"/>
              </w:rPr>
              <w:footnoteReference w:id="2"/>
            </w:r>
            <w:r w:rsidR="00A374DC" w:rsidRPr="00FB4E9E">
              <w:rPr>
                <w:rFonts w:ascii="Times New Roman" w:hAnsi="Times New Roman" w:cs="Times New Roman"/>
                <w:sz w:val="24"/>
                <w:szCs w:val="24"/>
              </w:rPr>
              <w:t xml:space="preserve">. Valsts ieņēmumu </w:t>
            </w:r>
            <w:r w:rsidR="00A374DC" w:rsidRPr="00FB4E9E">
              <w:rPr>
                <w:rFonts w:ascii="Times New Roman" w:hAnsi="Times New Roman" w:cs="Times New Roman"/>
                <w:sz w:val="24"/>
                <w:szCs w:val="24"/>
              </w:rPr>
              <w:lastRenderedPageBreak/>
              <w:t xml:space="preserve">dienests, analizējot tiesisko regulējumu, ierosina paredzēt gadījumus, kad būtu iespējams atteikties no administratīvā akta rakstveida formas un administratīvo aktu izdot citādi, piemērojot Administratīvā procesa likuma 69.panta pirmās daļas 2.punktu. </w:t>
            </w:r>
          </w:p>
          <w:p w14:paraId="23D7B0EE" w14:textId="4B32769E" w:rsidR="00A374DC" w:rsidRPr="00FB4E9E" w:rsidRDefault="00A374DC" w:rsidP="00A374DC">
            <w:pPr>
              <w:tabs>
                <w:tab w:val="left" w:pos="250"/>
              </w:tabs>
              <w:spacing w:after="0" w:line="240" w:lineRule="auto"/>
              <w:ind w:firstLine="392"/>
              <w:jc w:val="both"/>
              <w:rPr>
                <w:rFonts w:ascii="Times New Roman" w:hAnsi="Times New Roman" w:cs="Times New Roman"/>
                <w:sz w:val="24"/>
                <w:szCs w:val="24"/>
              </w:rPr>
            </w:pPr>
            <w:r w:rsidRPr="00FB4E9E">
              <w:rPr>
                <w:rFonts w:ascii="Times New Roman" w:hAnsi="Times New Roman" w:cs="Times New Roman"/>
                <w:sz w:val="24"/>
                <w:szCs w:val="24"/>
              </w:rPr>
              <w:t xml:space="preserve">Līdz ar to ir nepieciešams papildināt likuma 2.pantu ar devīto daļu, kas paredz, ka labvēlīgu lēmumu par speciālās atļaujas (licences) izsniegšanu, </w:t>
            </w:r>
            <w:proofErr w:type="spellStart"/>
            <w:r w:rsidRPr="00FB4E9E">
              <w:rPr>
                <w:rFonts w:ascii="Times New Roman" w:hAnsi="Times New Roman" w:cs="Times New Roman"/>
                <w:sz w:val="24"/>
                <w:szCs w:val="24"/>
              </w:rPr>
              <w:t>pārreģistrāciju</w:t>
            </w:r>
            <w:proofErr w:type="spellEnd"/>
            <w:r w:rsidRPr="00FB4E9E">
              <w:rPr>
                <w:rFonts w:ascii="Times New Roman" w:hAnsi="Times New Roman" w:cs="Times New Roman"/>
                <w:sz w:val="24"/>
                <w:szCs w:val="24"/>
              </w:rPr>
              <w:t xml:space="preserve"> vai lēmumu par speciālās atļaujas (licences), tajā norādītās darbības vietas, darbības veida vai preču veidu anulēšanu, ja tie pieņemti</w:t>
            </w:r>
            <w:r w:rsidR="00F92A52">
              <w:rPr>
                <w:rFonts w:ascii="Times New Roman" w:hAnsi="Times New Roman" w:cs="Times New Roman"/>
                <w:sz w:val="24"/>
                <w:szCs w:val="24"/>
              </w:rPr>
              <w:t>, pamatojoties</w:t>
            </w:r>
            <w:r w:rsidRPr="00FB4E9E">
              <w:rPr>
                <w:rFonts w:ascii="Times New Roman" w:hAnsi="Times New Roman" w:cs="Times New Roman"/>
                <w:sz w:val="24"/>
                <w:szCs w:val="24"/>
              </w:rPr>
              <w:t xml:space="preserve"> uz nodokļu maksātāja iesniegum</w:t>
            </w:r>
            <w:r w:rsidR="00F92A52">
              <w:rPr>
                <w:rFonts w:ascii="Times New Roman" w:hAnsi="Times New Roman" w:cs="Times New Roman"/>
                <w:sz w:val="24"/>
                <w:szCs w:val="24"/>
              </w:rPr>
              <w:t>u</w:t>
            </w:r>
            <w:r w:rsidRPr="00FB4E9E">
              <w:rPr>
                <w:rFonts w:ascii="Times New Roman" w:hAnsi="Times New Roman" w:cs="Times New Roman"/>
                <w:sz w:val="24"/>
                <w:szCs w:val="24"/>
              </w:rPr>
              <w:t xml:space="preserve">, </w:t>
            </w:r>
            <w:proofErr w:type="spellStart"/>
            <w:r w:rsidRPr="00FB4E9E">
              <w:rPr>
                <w:rFonts w:ascii="Times New Roman" w:hAnsi="Times New Roman" w:cs="Times New Roman"/>
                <w:sz w:val="24"/>
                <w:szCs w:val="24"/>
              </w:rPr>
              <w:t>rakstveidā</w:t>
            </w:r>
            <w:proofErr w:type="spellEnd"/>
            <w:r w:rsidRPr="00FB4E9E">
              <w:rPr>
                <w:rFonts w:ascii="Times New Roman" w:hAnsi="Times New Roman" w:cs="Times New Roman"/>
                <w:sz w:val="24"/>
                <w:szCs w:val="24"/>
              </w:rPr>
              <w:t xml:space="preserve"> neizdod, bet lēmumu paziņo ar informācijas publicēšanu Valsts ieņēmumu dienesta tīmekļa vietnē. </w:t>
            </w:r>
          </w:p>
          <w:p w14:paraId="0E5AA77F" w14:textId="77777777" w:rsidR="00A374DC" w:rsidRDefault="00A374DC" w:rsidP="00D6069A">
            <w:pPr>
              <w:tabs>
                <w:tab w:val="left" w:pos="250"/>
              </w:tabs>
              <w:spacing w:after="0" w:line="240" w:lineRule="auto"/>
              <w:ind w:firstLine="392"/>
              <w:jc w:val="both"/>
              <w:rPr>
                <w:rFonts w:ascii="Times New Roman" w:eastAsia="Calibri" w:hAnsi="Times New Roman" w:cs="Times New Roman"/>
                <w:color w:val="44546A"/>
                <w:sz w:val="24"/>
                <w:szCs w:val="24"/>
              </w:rPr>
            </w:pPr>
          </w:p>
          <w:p w14:paraId="3B4B8D36" w14:textId="2E80D983" w:rsidR="003C590A" w:rsidRPr="00FB4E9E" w:rsidRDefault="00A374DC" w:rsidP="00D6069A">
            <w:pPr>
              <w:tabs>
                <w:tab w:val="left" w:pos="250"/>
              </w:tabs>
              <w:spacing w:after="0" w:line="240" w:lineRule="auto"/>
              <w:ind w:firstLine="392"/>
              <w:jc w:val="both"/>
              <w:rPr>
                <w:rFonts w:ascii="Times New Roman" w:hAnsi="Times New Roman" w:cs="Times New Roman"/>
                <w:sz w:val="24"/>
                <w:szCs w:val="24"/>
              </w:rPr>
            </w:pPr>
            <w:r>
              <w:rPr>
                <w:rFonts w:ascii="Times New Roman" w:eastAsia="Calibri" w:hAnsi="Times New Roman" w:cs="Times New Roman"/>
                <w:color w:val="44546A"/>
                <w:sz w:val="24"/>
                <w:szCs w:val="24"/>
              </w:rPr>
              <w:t xml:space="preserve">2) </w:t>
            </w:r>
            <w:r w:rsidR="003C590A" w:rsidRPr="00FB4E9E">
              <w:rPr>
                <w:rFonts w:ascii="Times New Roman" w:eastAsia="Calibri" w:hAnsi="Times New Roman" w:cs="Times New Roman"/>
                <w:sz w:val="24"/>
                <w:szCs w:val="24"/>
              </w:rPr>
              <w:t>L</w:t>
            </w:r>
            <w:r w:rsidR="003C590A" w:rsidRPr="00FB4E9E">
              <w:rPr>
                <w:rFonts w:ascii="Times New Roman" w:hAnsi="Times New Roman" w:cs="Times New Roman"/>
                <w:sz w:val="24"/>
                <w:szCs w:val="24"/>
              </w:rPr>
              <w:t>ikuma 6.</w:t>
            </w:r>
            <w:r w:rsidR="003C590A" w:rsidRPr="00FB4E9E">
              <w:rPr>
                <w:rFonts w:ascii="Times New Roman" w:hAnsi="Times New Roman" w:cs="Times New Roman"/>
                <w:sz w:val="24"/>
                <w:szCs w:val="24"/>
                <w:vertAlign w:val="superscript"/>
              </w:rPr>
              <w:t>1</w:t>
            </w:r>
            <w:r w:rsidR="003C590A" w:rsidRPr="00FB4E9E">
              <w:rPr>
                <w:rFonts w:ascii="Times New Roman" w:hAnsi="Times New Roman" w:cs="Times New Roman"/>
                <w:sz w:val="24"/>
                <w:szCs w:val="24"/>
              </w:rPr>
              <w:t xml:space="preserve"> panta ceturtā daļa nosaka, ka ar akcīzes nodokli neapliek dabasgāzi, kuru vienotais dabasgāzes pārvades un uzglabāšanas sistēmas operators un dabasgāzes sadales sistēmas operators izlieto dabasgāzes pārvades, uzglabāšanas vai sadales sistēmas tehnoloģiskajām vajadzībām. </w:t>
            </w:r>
          </w:p>
          <w:p w14:paraId="5C751A92" w14:textId="70793A30" w:rsidR="003C590A" w:rsidRPr="00FB4E9E" w:rsidRDefault="003C590A" w:rsidP="00D6069A">
            <w:pPr>
              <w:tabs>
                <w:tab w:val="left" w:pos="250"/>
              </w:tabs>
              <w:spacing w:after="0" w:line="240" w:lineRule="auto"/>
              <w:ind w:firstLine="392"/>
              <w:jc w:val="both"/>
              <w:rPr>
                <w:rFonts w:ascii="Times New Roman" w:hAnsi="Times New Roman" w:cs="Times New Roman"/>
                <w:sz w:val="24"/>
                <w:szCs w:val="24"/>
              </w:rPr>
            </w:pPr>
            <w:r w:rsidRPr="00FB4E9E">
              <w:rPr>
                <w:rFonts w:ascii="Times New Roman" w:hAnsi="Times New Roman" w:cs="Times New Roman"/>
                <w:sz w:val="24"/>
                <w:szCs w:val="24"/>
              </w:rPr>
              <w:t>Valsts ieņēmumu dienests, administrējot akcīzes nodokli dabasgāzei, ir konstatējis, ka Vienotais dabasgāzes pārvades un uzglabāšanas sistēmas operators sniedz</w:t>
            </w:r>
            <w:r w:rsidR="00CA3545">
              <w:rPr>
                <w:rFonts w:ascii="Times New Roman" w:hAnsi="Times New Roman" w:cs="Times New Roman"/>
                <w:sz w:val="24"/>
                <w:szCs w:val="24"/>
              </w:rPr>
              <w:t xml:space="preserve"> arī</w:t>
            </w:r>
            <w:r w:rsidRPr="00FB4E9E">
              <w:rPr>
                <w:rFonts w:ascii="Times New Roman" w:hAnsi="Times New Roman" w:cs="Times New Roman"/>
                <w:sz w:val="24"/>
                <w:szCs w:val="24"/>
              </w:rPr>
              <w:t xml:space="preserve"> pakalpojumu - dabasgāzes iesūknēšanu krātuvē. Saskaņā ar Sabiedrisko pakalpojumu regulēšanas komisijas padomes 2018.gada 28.maija lēmumu Nr.1/10 “Inčukalna pazemes gāzes krātuves lietošanas noteikumi” 49.punktu dabasgāzes iesūknēšanas agregātu (kompresoru) darbībai nepieciešamo dabasgāzes (degvielas gāzes) daudzumu par saviem līdzekļiem nodrošina sistēmas lietotājs. Tādējādi vienotais dabasgāzes pārvades un uzglabāšanas sistēmas operators sniedz dabasgāzes iesūknēšanas pakalpojumu</w:t>
            </w:r>
            <w:r w:rsidR="003C0429" w:rsidRPr="00FB4E9E">
              <w:rPr>
                <w:rFonts w:ascii="Times New Roman" w:hAnsi="Times New Roman" w:cs="Times New Roman"/>
                <w:sz w:val="24"/>
                <w:szCs w:val="24"/>
              </w:rPr>
              <w:t xml:space="preserve">, </w:t>
            </w:r>
            <w:r w:rsidRPr="00FB4E9E">
              <w:rPr>
                <w:rFonts w:ascii="Times New Roman" w:hAnsi="Times New Roman" w:cs="Times New Roman"/>
                <w:sz w:val="24"/>
                <w:szCs w:val="24"/>
              </w:rPr>
              <w:t xml:space="preserve">izlietojot dabasgāzi, kuru tam nodrošina sistēmas lietotājs.  </w:t>
            </w:r>
          </w:p>
          <w:p w14:paraId="13893799" w14:textId="5E0C0B9E" w:rsidR="003C590A" w:rsidRPr="00FB4E9E" w:rsidRDefault="009438C8" w:rsidP="00D6069A">
            <w:pPr>
              <w:tabs>
                <w:tab w:val="left" w:pos="250"/>
              </w:tabs>
              <w:spacing w:after="0" w:line="240" w:lineRule="auto"/>
              <w:ind w:firstLine="392"/>
              <w:jc w:val="both"/>
              <w:rPr>
                <w:rFonts w:ascii="Times New Roman" w:hAnsi="Times New Roman" w:cs="Times New Roman"/>
                <w:sz w:val="24"/>
                <w:szCs w:val="24"/>
              </w:rPr>
            </w:pPr>
            <w:r w:rsidRPr="00FB4E9E">
              <w:rPr>
                <w:rFonts w:ascii="Times New Roman" w:hAnsi="Times New Roman" w:cs="Times New Roman"/>
                <w:sz w:val="24"/>
                <w:szCs w:val="24"/>
              </w:rPr>
              <w:t xml:space="preserve">Šobrīd </w:t>
            </w:r>
            <w:r w:rsidR="00B365AA" w:rsidRPr="00FB4E9E">
              <w:rPr>
                <w:rFonts w:ascii="Times New Roman" w:hAnsi="Times New Roman" w:cs="Times New Roman"/>
                <w:sz w:val="24"/>
                <w:szCs w:val="24"/>
              </w:rPr>
              <w:t>a</w:t>
            </w:r>
            <w:r w:rsidR="003C590A" w:rsidRPr="00FB4E9E">
              <w:rPr>
                <w:rFonts w:ascii="Times New Roman" w:hAnsi="Times New Roman" w:cs="Times New Roman"/>
                <w:sz w:val="24"/>
                <w:szCs w:val="24"/>
              </w:rPr>
              <w:t>tbilstoši likumā noteiktajam, atbrīvojumu izlietotajai dabasgāzei piemēro sistēmas operators, tātad, persona, kurai dabasgāze nepieder un kur</w:t>
            </w:r>
            <w:r w:rsidR="00B365AA" w:rsidRPr="00FB4E9E">
              <w:rPr>
                <w:rFonts w:ascii="Times New Roman" w:hAnsi="Times New Roman" w:cs="Times New Roman"/>
                <w:sz w:val="24"/>
                <w:szCs w:val="24"/>
              </w:rPr>
              <w:t>ai nav akcīzes nodokļa saistību. S</w:t>
            </w:r>
            <w:r w:rsidR="003C590A" w:rsidRPr="00FB4E9E">
              <w:rPr>
                <w:rFonts w:ascii="Times New Roman" w:hAnsi="Times New Roman" w:cs="Times New Roman"/>
                <w:sz w:val="24"/>
                <w:szCs w:val="24"/>
              </w:rPr>
              <w:t>avukārt dabasgāzes īpašnieks, kas ir sistēmas lietotājs un kuram ir pienākums operatoram nodrošināt dabasgāzi, nav tiesīgs piemērot atbrīvojumu no akcīzes nodokļa.</w:t>
            </w:r>
          </w:p>
          <w:p w14:paraId="310F3AD0" w14:textId="214186F6" w:rsidR="002F66ED" w:rsidRDefault="002F66ED" w:rsidP="002F66ED">
            <w:pPr>
              <w:tabs>
                <w:tab w:val="left" w:pos="250"/>
              </w:tabs>
              <w:spacing w:after="0" w:line="240" w:lineRule="auto"/>
              <w:ind w:firstLine="392"/>
              <w:jc w:val="both"/>
              <w:rPr>
                <w:rFonts w:ascii="Times New Roman" w:hAnsi="Times New Roman" w:cs="Times New Roman"/>
                <w:sz w:val="24"/>
                <w:szCs w:val="24"/>
              </w:rPr>
            </w:pPr>
            <w:r w:rsidRPr="00FB4E9E">
              <w:rPr>
                <w:rFonts w:ascii="Times New Roman" w:hAnsi="Times New Roman" w:cs="Times New Roman"/>
                <w:sz w:val="24"/>
                <w:szCs w:val="24"/>
              </w:rPr>
              <w:t>Līdz ar to ir nepieciešams attiecīgi precizēt likuma 6.</w:t>
            </w:r>
            <w:r w:rsidRPr="00FB4E9E">
              <w:rPr>
                <w:rFonts w:ascii="Times New Roman" w:hAnsi="Times New Roman" w:cs="Times New Roman"/>
                <w:sz w:val="24"/>
                <w:szCs w:val="24"/>
                <w:vertAlign w:val="superscript"/>
              </w:rPr>
              <w:t>1 </w:t>
            </w:r>
            <w:r w:rsidRPr="00FB4E9E">
              <w:rPr>
                <w:rFonts w:ascii="Times New Roman" w:hAnsi="Times New Roman" w:cs="Times New Roman"/>
                <w:sz w:val="24"/>
                <w:szCs w:val="24"/>
              </w:rPr>
              <w:t>panta ceturto daļu</w:t>
            </w:r>
            <w:r w:rsidR="008602C7">
              <w:rPr>
                <w:rFonts w:ascii="Times New Roman" w:hAnsi="Times New Roman" w:cs="Times New Roman"/>
                <w:sz w:val="24"/>
                <w:szCs w:val="24"/>
              </w:rPr>
              <w:t>, paredzot, ka</w:t>
            </w:r>
            <w:r w:rsidR="005057B3">
              <w:rPr>
                <w:rFonts w:ascii="Times New Roman" w:hAnsi="Times New Roman" w:cs="Times New Roman"/>
                <w:sz w:val="24"/>
                <w:szCs w:val="24"/>
              </w:rPr>
              <w:t xml:space="preserve"> atbrīvojumu piemēro</w:t>
            </w:r>
            <w:r w:rsidR="008602C7">
              <w:rPr>
                <w:rFonts w:ascii="Times New Roman" w:hAnsi="Times New Roman" w:cs="Times New Roman"/>
                <w:sz w:val="24"/>
                <w:szCs w:val="24"/>
              </w:rPr>
              <w:t xml:space="preserve"> dabasgāze</w:t>
            </w:r>
            <w:r w:rsidR="005057B3">
              <w:rPr>
                <w:rFonts w:ascii="Times New Roman" w:hAnsi="Times New Roman" w:cs="Times New Roman"/>
                <w:sz w:val="24"/>
                <w:szCs w:val="24"/>
              </w:rPr>
              <w:t>i</w:t>
            </w:r>
            <w:r w:rsidR="008602C7">
              <w:rPr>
                <w:rFonts w:ascii="Times New Roman" w:hAnsi="Times New Roman" w:cs="Times New Roman"/>
                <w:sz w:val="24"/>
                <w:szCs w:val="24"/>
              </w:rPr>
              <w:t xml:space="preserve">, </w:t>
            </w:r>
            <w:r w:rsidR="008602C7" w:rsidRPr="008602C7">
              <w:rPr>
                <w:rFonts w:ascii="Times New Roman" w:hAnsi="Times New Roman" w:cs="Times New Roman"/>
                <w:sz w:val="24"/>
                <w:szCs w:val="24"/>
              </w:rPr>
              <w:t>kura tiek izmantota vienotā dabasgāzes pārvades un uzglabāšanas sistēmā un dabasgāzes sadales sistēmā dabasgāzes pārvades, uzglabāšanas vai sadales sistēmas tehnoloģisko vajadzību nodrošināšanai</w:t>
            </w:r>
            <w:r w:rsidR="00CA3545">
              <w:rPr>
                <w:rFonts w:ascii="Times New Roman" w:hAnsi="Times New Roman" w:cs="Times New Roman"/>
                <w:sz w:val="24"/>
                <w:szCs w:val="24"/>
              </w:rPr>
              <w:t>, neatsaucoties uz sistēmas operatoru</w:t>
            </w:r>
            <w:r w:rsidRPr="00FB4E9E">
              <w:rPr>
                <w:rFonts w:ascii="Times New Roman" w:hAnsi="Times New Roman" w:cs="Times New Roman"/>
                <w:sz w:val="24"/>
                <w:szCs w:val="24"/>
              </w:rPr>
              <w:t>.</w:t>
            </w:r>
          </w:p>
          <w:p w14:paraId="6AFED565" w14:textId="1064E358" w:rsidR="00A374DC" w:rsidRDefault="00A374DC" w:rsidP="002F66ED">
            <w:pPr>
              <w:tabs>
                <w:tab w:val="left" w:pos="250"/>
              </w:tabs>
              <w:spacing w:after="0" w:line="240" w:lineRule="auto"/>
              <w:ind w:firstLine="392"/>
              <w:jc w:val="both"/>
              <w:rPr>
                <w:rFonts w:ascii="Times New Roman" w:hAnsi="Times New Roman" w:cs="Times New Roman"/>
                <w:sz w:val="24"/>
                <w:szCs w:val="24"/>
              </w:rPr>
            </w:pPr>
          </w:p>
          <w:p w14:paraId="0F53A195" w14:textId="3E698942" w:rsidR="00A374DC" w:rsidRPr="00FB4E9E" w:rsidRDefault="00A374DC" w:rsidP="00A374DC">
            <w:pPr>
              <w:tabs>
                <w:tab w:val="left" w:pos="250"/>
              </w:tabs>
              <w:spacing w:after="0" w:line="240" w:lineRule="auto"/>
              <w:ind w:firstLine="392"/>
              <w:jc w:val="both"/>
              <w:rPr>
                <w:rFonts w:ascii="Times New Roman" w:hAnsi="Times New Roman" w:cs="Times New Roman"/>
                <w:sz w:val="24"/>
                <w:szCs w:val="24"/>
              </w:rPr>
            </w:pPr>
            <w:r>
              <w:rPr>
                <w:rFonts w:ascii="Times New Roman" w:hAnsi="Times New Roman" w:cs="Times New Roman"/>
                <w:sz w:val="24"/>
                <w:szCs w:val="24"/>
              </w:rPr>
              <w:t xml:space="preserve">3) Likuma 9.pants paredz normas par reģistrētu saņēmēju un īslaicīgi reģistrētu saņēmēju. </w:t>
            </w:r>
            <w:r w:rsidRPr="00FB4E9E">
              <w:rPr>
                <w:rFonts w:ascii="Times New Roman" w:hAnsi="Times New Roman" w:cs="Times New Roman"/>
                <w:sz w:val="24"/>
                <w:szCs w:val="24"/>
              </w:rPr>
              <w:t xml:space="preserve">Šobrīd Valsts </w:t>
            </w:r>
            <w:r w:rsidRPr="00FB4E9E">
              <w:rPr>
                <w:rFonts w:ascii="Times New Roman" w:hAnsi="Times New Roman" w:cs="Times New Roman"/>
                <w:sz w:val="24"/>
                <w:szCs w:val="24"/>
              </w:rPr>
              <w:lastRenderedPageBreak/>
              <w:t xml:space="preserve">ieņēmumu dienestam nākas saskarties ar problēmu, ka komersanti (īslaicīgi reģistrēts saņēmējs un reģistrēts saņēmējs), kuri nevar uzglabāt akcīzes preces atliktā akcīzes nodokļa maksāšanas režīmā, ieved </w:t>
            </w:r>
            <w:r w:rsidR="00682D52">
              <w:rPr>
                <w:rFonts w:ascii="Times New Roman" w:hAnsi="Times New Roman" w:cs="Times New Roman"/>
                <w:sz w:val="24"/>
                <w:szCs w:val="24"/>
              </w:rPr>
              <w:t xml:space="preserve">Latvijas Republikā </w:t>
            </w:r>
            <w:r w:rsidRPr="00FB4E9E">
              <w:rPr>
                <w:rFonts w:ascii="Times New Roman" w:hAnsi="Times New Roman" w:cs="Times New Roman"/>
                <w:sz w:val="24"/>
                <w:szCs w:val="24"/>
              </w:rPr>
              <w:t xml:space="preserve">marķējamās akcīzes preces bez akcīzes nodokļa markām. Atbilstoši likuma 27.pantam, kas reglamentē noteikumus attiecībā uz alkoholisko dzērienu un tabakas izstrādājumu marķēšanu, īslaicīgi reģistrētam saņēmējam un reģistrētam saņēmējam nav atļauts ar akcīzes nodokļa markām marķēt alkoholiskos dzērienus un tabakas izstrādājumus. Tādējādi, reģistrētam saņēmējam un īslaicīgi reģistrētam saņēmējam ievedot Latvijas Republikā ar akcīzes nodokļa markām marķējamas akcīzes preces, tām jābūt jau marķētām ar akcīzes nodokļa markām ievešanas brīdī atbilstoši likuma 27.panta nosacījumiem. </w:t>
            </w:r>
          </w:p>
          <w:p w14:paraId="166A8535" w14:textId="59AE66B2" w:rsidR="00A374DC" w:rsidRPr="00FB4E9E" w:rsidRDefault="00A374DC" w:rsidP="00A374DC">
            <w:pPr>
              <w:tabs>
                <w:tab w:val="left" w:pos="250"/>
              </w:tabs>
              <w:spacing w:after="0" w:line="240" w:lineRule="auto"/>
              <w:ind w:firstLine="392"/>
              <w:jc w:val="both"/>
              <w:rPr>
                <w:rFonts w:ascii="Times New Roman" w:hAnsi="Times New Roman" w:cs="Times New Roman"/>
                <w:sz w:val="24"/>
                <w:szCs w:val="24"/>
              </w:rPr>
            </w:pPr>
            <w:r w:rsidRPr="00FB4E9E">
              <w:rPr>
                <w:rFonts w:ascii="Times New Roman" w:hAnsi="Times New Roman" w:cs="Times New Roman"/>
                <w:sz w:val="24"/>
                <w:szCs w:val="24"/>
              </w:rPr>
              <w:t>Līdz ar to, lai īslaicīgi reģistrētam saņēmējam un reģistrētam saņēmējam būtu skaidra rīcība attiecībā uz ar akcīzes nodokļa markām marķējamām akcīzes precēm, ievedot tās Latvijas Republikā, nepieciešams papildināt likuma 9.pantu ar sesto daļu, kas nosaka, ka, minētām personām, ievedot Latvijas Republikā ar akcīzes nodokļa markām marķējamas akcīzes preces, tām jābūt</w:t>
            </w:r>
            <w:r w:rsidR="005057B3">
              <w:rPr>
                <w:rFonts w:ascii="Times New Roman" w:hAnsi="Times New Roman" w:cs="Times New Roman"/>
                <w:sz w:val="24"/>
                <w:szCs w:val="24"/>
              </w:rPr>
              <w:t xml:space="preserve"> jau</w:t>
            </w:r>
            <w:r w:rsidRPr="00FB4E9E">
              <w:rPr>
                <w:rFonts w:ascii="Times New Roman" w:hAnsi="Times New Roman" w:cs="Times New Roman"/>
                <w:sz w:val="24"/>
                <w:szCs w:val="24"/>
              </w:rPr>
              <w:t xml:space="preserve"> marķētām ar akcīzes nodokļa markām ievešanas brīdī.</w:t>
            </w:r>
          </w:p>
          <w:p w14:paraId="097266F6" w14:textId="72DD7877" w:rsidR="00A374DC" w:rsidRPr="00FB4E9E" w:rsidRDefault="00A374DC" w:rsidP="002F66ED">
            <w:pPr>
              <w:tabs>
                <w:tab w:val="left" w:pos="250"/>
              </w:tabs>
              <w:spacing w:after="0" w:line="240" w:lineRule="auto"/>
              <w:ind w:firstLine="392"/>
              <w:jc w:val="both"/>
              <w:rPr>
                <w:rFonts w:ascii="Times New Roman" w:hAnsi="Times New Roman" w:cs="Times New Roman"/>
                <w:sz w:val="24"/>
                <w:szCs w:val="24"/>
              </w:rPr>
            </w:pPr>
          </w:p>
          <w:p w14:paraId="403050EE" w14:textId="14CA9098" w:rsidR="000A63AE" w:rsidRDefault="000A63AE" w:rsidP="00D6069A">
            <w:pPr>
              <w:tabs>
                <w:tab w:val="left" w:pos="250"/>
              </w:tabs>
              <w:spacing w:after="0" w:line="240" w:lineRule="auto"/>
              <w:ind w:firstLine="392"/>
              <w:jc w:val="both"/>
              <w:rPr>
                <w:rFonts w:ascii="Times New Roman" w:hAnsi="Times New Roman" w:cs="Times New Roman"/>
                <w:sz w:val="24"/>
                <w:szCs w:val="24"/>
              </w:rPr>
            </w:pPr>
            <w:r>
              <w:rPr>
                <w:rFonts w:ascii="Times New Roman" w:hAnsi="Times New Roman" w:cs="Times New Roman"/>
                <w:sz w:val="24"/>
                <w:szCs w:val="24"/>
              </w:rPr>
              <w:t>4</w:t>
            </w:r>
            <w:r w:rsidR="00E417C8" w:rsidRPr="00FB4E9E">
              <w:rPr>
                <w:rFonts w:ascii="Times New Roman" w:hAnsi="Times New Roman" w:cs="Times New Roman"/>
                <w:sz w:val="24"/>
                <w:szCs w:val="24"/>
              </w:rPr>
              <w:t xml:space="preserve">) </w:t>
            </w:r>
            <w:r>
              <w:rPr>
                <w:rFonts w:ascii="Times New Roman" w:hAnsi="Times New Roman" w:cs="Times New Roman"/>
                <w:sz w:val="24"/>
                <w:szCs w:val="24"/>
              </w:rPr>
              <w:t>L</w:t>
            </w:r>
            <w:r w:rsidRPr="000A63AE">
              <w:rPr>
                <w:rFonts w:ascii="Times New Roman" w:hAnsi="Times New Roman" w:cs="Times New Roman"/>
                <w:sz w:val="24"/>
                <w:szCs w:val="24"/>
              </w:rPr>
              <w:t xml:space="preserve">ikuma 12.panta trešajā daļā </w:t>
            </w:r>
            <w:r>
              <w:rPr>
                <w:rFonts w:ascii="Times New Roman" w:hAnsi="Times New Roman" w:cs="Times New Roman"/>
                <w:sz w:val="24"/>
                <w:szCs w:val="24"/>
              </w:rPr>
              <w:t xml:space="preserve">ir dots </w:t>
            </w:r>
            <w:r w:rsidRPr="000A63AE">
              <w:rPr>
                <w:rFonts w:ascii="Times New Roman" w:hAnsi="Times New Roman" w:cs="Times New Roman"/>
                <w:sz w:val="24"/>
                <w:szCs w:val="24"/>
              </w:rPr>
              <w:t>Ministru kabinetam deleģējum</w:t>
            </w:r>
            <w:r>
              <w:rPr>
                <w:rFonts w:ascii="Times New Roman" w:hAnsi="Times New Roman" w:cs="Times New Roman"/>
                <w:sz w:val="24"/>
                <w:szCs w:val="24"/>
              </w:rPr>
              <w:t>s</w:t>
            </w:r>
            <w:r w:rsidRPr="000A63AE">
              <w:rPr>
                <w:rFonts w:ascii="Times New Roman" w:hAnsi="Times New Roman" w:cs="Times New Roman"/>
                <w:sz w:val="24"/>
                <w:szCs w:val="24"/>
              </w:rPr>
              <w:t xml:space="preserve"> par patstāvīgu mazo alus darītavu un tās statusu</w:t>
            </w:r>
            <w:r>
              <w:rPr>
                <w:rFonts w:ascii="Times New Roman" w:hAnsi="Times New Roman" w:cs="Times New Roman"/>
                <w:sz w:val="24"/>
                <w:szCs w:val="24"/>
              </w:rPr>
              <w:t>.</w:t>
            </w:r>
          </w:p>
          <w:p w14:paraId="6CDF0CE5" w14:textId="6D4D0E73" w:rsidR="00E417C8" w:rsidRPr="00FB4E9E" w:rsidRDefault="00E417C8" w:rsidP="00D6069A">
            <w:pPr>
              <w:tabs>
                <w:tab w:val="left" w:pos="250"/>
              </w:tabs>
              <w:spacing w:after="0" w:line="240" w:lineRule="auto"/>
              <w:ind w:firstLine="392"/>
              <w:jc w:val="both"/>
              <w:rPr>
                <w:rFonts w:ascii="Times New Roman" w:hAnsi="Times New Roman" w:cs="Times New Roman"/>
                <w:sz w:val="24"/>
                <w:szCs w:val="24"/>
              </w:rPr>
            </w:pPr>
            <w:r w:rsidRPr="00FB4E9E">
              <w:rPr>
                <w:rFonts w:ascii="Times New Roman" w:hAnsi="Times New Roman" w:cs="Times New Roman"/>
                <w:sz w:val="24"/>
                <w:szCs w:val="24"/>
              </w:rPr>
              <w:t>Ministru kabineta protokola Nr.60  9.§ 2.punkts nosaka uzdevumu Finanšu ministrijai sagatavot grozījumus likumā, papildinot likumu ar pilnvarojumu Ministru kabinetam noteikt kārtību, kādā Latvijas Republikā pārvieto patstāvīgās mazās alus darītavas saražoto alu, kam piemēro likuma 12.panta otrajā daļā noteikto akcīzes nodokļa likmi, piemēro likuma 12.panta otrajā daļā noteikto akcīzes nodokļa likmi alum, kas saražots citas dalībvalsts patstāvīgā mazā alus darītavā un kalendāra gadā ievests Latvijas Republikā, kā arī paredzot nosacījumus, kad alus darītava nav uzskatāma par juridiski un saimnieciski neatkarīgu no citām alus darītavām, un iesniegt grozījumus izskatīšanai Ministru kabinetā vienlaikus ar citiem būtiskiem grozījumiem likumā “Par akcīzes nodokli”.</w:t>
            </w:r>
          </w:p>
          <w:p w14:paraId="6281E1C6" w14:textId="038E3C2E" w:rsidR="006242C5" w:rsidRPr="00FB4E9E" w:rsidRDefault="006242C5" w:rsidP="00D6069A">
            <w:pPr>
              <w:tabs>
                <w:tab w:val="left" w:pos="250"/>
              </w:tabs>
              <w:spacing w:after="0" w:line="240" w:lineRule="auto"/>
              <w:ind w:firstLine="392"/>
              <w:jc w:val="both"/>
              <w:rPr>
                <w:rFonts w:ascii="Times New Roman" w:hAnsi="Times New Roman" w:cs="Times New Roman"/>
                <w:sz w:val="24"/>
                <w:szCs w:val="24"/>
              </w:rPr>
            </w:pPr>
            <w:r w:rsidRPr="00FB4E9E">
              <w:rPr>
                <w:rFonts w:ascii="Times New Roman" w:hAnsi="Times New Roman" w:cs="Times New Roman"/>
                <w:sz w:val="24"/>
                <w:szCs w:val="24"/>
              </w:rPr>
              <w:t xml:space="preserve">Tādējādi ir nepieciešams </w:t>
            </w:r>
            <w:r w:rsidR="003D4DC8">
              <w:rPr>
                <w:rFonts w:ascii="Times New Roman" w:hAnsi="Times New Roman" w:cs="Times New Roman"/>
                <w:sz w:val="24"/>
                <w:szCs w:val="24"/>
              </w:rPr>
              <w:t>sakārt</w:t>
            </w:r>
            <w:r w:rsidRPr="00FB4E9E">
              <w:rPr>
                <w:rFonts w:ascii="Times New Roman" w:hAnsi="Times New Roman" w:cs="Times New Roman"/>
                <w:sz w:val="24"/>
                <w:szCs w:val="24"/>
              </w:rPr>
              <w:t>ot likuma 12.panta trešajā daļā Ministru kabinetam doto deleģējumu par patstāvīgu mazo alus darītavu un tās statusu;</w:t>
            </w:r>
          </w:p>
          <w:p w14:paraId="43FEB0FE" w14:textId="77777777" w:rsidR="00FE790B" w:rsidRPr="00FB4E9E" w:rsidRDefault="00FE790B" w:rsidP="00D6069A">
            <w:pPr>
              <w:tabs>
                <w:tab w:val="left" w:pos="250"/>
              </w:tabs>
              <w:spacing w:after="0" w:line="240" w:lineRule="auto"/>
              <w:ind w:firstLine="392"/>
              <w:jc w:val="both"/>
              <w:rPr>
                <w:rFonts w:ascii="Times New Roman" w:hAnsi="Times New Roman" w:cs="Times New Roman"/>
                <w:sz w:val="24"/>
                <w:szCs w:val="24"/>
              </w:rPr>
            </w:pPr>
          </w:p>
          <w:p w14:paraId="0C162802" w14:textId="3B23360E" w:rsidR="00EF76CC" w:rsidRPr="00FB4E9E" w:rsidRDefault="00EF76CC" w:rsidP="00EF76CC">
            <w:pPr>
              <w:tabs>
                <w:tab w:val="left" w:pos="250"/>
              </w:tabs>
              <w:spacing w:after="0" w:line="240" w:lineRule="auto"/>
              <w:ind w:firstLine="392"/>
              <w:jc w:val="both"/>
              <w:rPr>
                <w:rFonts w:ascii="Times New Roman" w:hAnsi="Times New Roman" w:cs="Times New Roman"/>
                <w:sz w:val="24"/>
                <w:szCs w:val="24"/>
              </w:rPr>
            </w:pPr>
            <w:r>
              <w:rPr>
                <w:rFonts w:ascii="Times New Roman" w:hAnsi="Times New Roman" w:cs="Times New Roman"/>
                <w:sz w:val="24"/>
                <w:szCs w:val="24"/>
              </w:rPr>
              <w:t>5)</w:t>
            </w:r>
            <w:r w:rsidRPr="00FB4E9E">
              <w:rPr>
                <w:rFonts w:ascii="Times New Roman" w:hAnsi="Times New Roman" w:cs="Times New Roman"/>
                <w:sz w:val="24"/>
                <w:szCs w:val="24"/>
              </w:rPr>
              <w:t xml:space="preserve"> Saskaņā ar likuma 14.panta 2.</w:t>
            </w:r>
            <w:r w:rsidRPr="00FB4E9E">
              <w:rPr>
                <w:rFonts w:ascii="Times New Roman" w:hAnsi="Times New Roman" w:cs="Times New Roman"/>
                <w:sz w:val="24"/>
                <w:szCs w:val="24"/>
                <w:vertAlign w:val="superscript"/>
              </w:rPr>
              <w:t>1</w:t>
            </w:r>
            <w:r w:rsidRPr="00FB4E9E">
              <w:rPr>
                <w:rFonts w:ascii="Times New Roman" w:hAnsi="Times New Roman" w:cs="Times New Roman"/>
                <w:sz w:val="24"/>
                <w:szCs w:val="24"/>
              </w:rPr>
              <w:t xml:space="preserve">daļu eļļas atkritumiem, kuri ietilpst Kombinētās nomenklatūras 2710.preču pozīcijā, izņemot šā panta pirmās daļas </w:t>
            </w:r>
            <w:r w:rsidRPr="00FB4E9E">
              <w:rPr>
                <w:rFonts w:ascii="Times New Roman" w:hAnsi="Times New Roman" w:cs="Times New Roman"/>
                <w:sz w:val="24"/>
                <w:szCs w:val="24"/>
              </w:rPr>
              <w:lastRenderedPageBreak/>
              <w:t xml:space="preserve">7.punktā minēto produktu, Ministru kabineta noteiktajā kārtībā piemēro šā panta otrajā daļā noteikto nodokļa likmi, ja tos realizē vai paredz realizācijai, izmanto vai paredz izmantošanai par kurināmo. Šajā gadījumā uz eļļas atkritumiem neattiecas norma par iezīmēšanu (marķēšanu). Minēto Ministra kabineta kārtību </w:t>
            </w:r>
            <w:r w:rsidR="005057B3">
              <w:rPr>
                <w:rFonts w:ascii="Times New Roman" w:hAnsi="Times New Roman" w:cs="Times New Roman"/>
                <w:sz w:val="24"/>
                <w:szCs w:val="24"/>
              </w:rPr>
              <w:t>nosaka</w:t>
            </w:r>
            <w:r w:rsidRPr="00FB4E9E">
              <w:rPr>
                <w:rFonts w:ascii="Times New Roman" w:hAnsi="Times New Roman" w:cs="Times New Roman"/>
                <w:sz w:val="24"/>
                <w:szCs w:val="24"/>
              </w:rPr>
              <w:t xml:space="preserve"> </w:t>
            </w:r>
            <w:r w:rsidRPr="00FB4E9E">
              <w:rPr>
                <w:rFonts w:ascii="Times New Roman" w:hAnsi="Times New Roman" w:cs="Times New Roman"/>
                <w:bCs/>
                <w:sz w:val="24"/>
                <w:szCs w:val="24"/>
              </w:rPr>
              <w:t xml:space="preserve">Ministru kabineta </w:t>
            </w:r>
            <w:r w:rsidRPr="00FB4E9E">
              <w:rPr>
                <w:rFonts w:ascii="Times New Roman" w:hAnsi="Times New Roman" w:cs="Times New Roman"/>
                <w:sz w:val="24"/>
                <w:szCs w:val="24"/>
              </w:rPr>
              <w:t xml:space="preserve">2007.gada 31.jūlija </w:t>
            </w:r>
            <w:r w:rsidRPr="00FB4E9E">
              <w:rPr>
                <w:rFonts w:ascii="Times New Roman" w:hAnsi="Times New Roman" w:cs="Times New Roman"/>
                <w:bCs/>
                <w:sz w:val="24"/>
                <w:szCs w:val="24"/>
              </w:rPr>
              <w:t>noteikumi Nr.525</w:t>
            </w:r>
            <w:r w:rsidRPr="00FB4E9E">
              <w:rPr>
                <w:rFonts w:ascii="Times New Roman" w:hAnsi="Times New Roman" w:cs="Times New Roman"/>
                <w:sz w:val="24"/>
                <w:szCs w:val="24"/>
              </w:rPr>
              <w:t xml:space="preserve"> </w:t>
            </w:r>
            <w:r w:rsidRPr="00FB4E9E">
              <w:rPr>
                <w:rFonts w:ascii="Times New Roman" w:hAnsi="Times New Roman" w:cs="Times New Roman"/>
                <w:bCs/>
                <w:sz w:val="24"/>
                <w:szCs w:val="24"/>
              </w:rPr>
              <w:t xml:space="preserve">“Kārtība, kādā atsevišķiem naftas produktiem piemēro samazinātu akcīzes nodokļa likmi vai atbrīvojumu no akcīzes nodokļa”. Saskaņā ar minētajiem noteikumiem, lai eļļas atkritumus varētu izmantot par kurināmo un piemērot samazinātu akcīzes nodokļa likmi, ir nepieciešams saņemt izziņu par tiesībām iegādāties eļļas atkritumus. Minētie noteikumi nosaka arī šāda produkta kā akcīzes preces aprites kārtību šajā gadījumā. </w:t>
            </w:r>
            <w:r w:rsidRPr="00FB4E9E">
              <w:rPr>
                <w:rFonts w:ascii="Times New Roman" w:hAnsi="Times New Roman" w:cs="Times New Roman"/>
                <w:sz w:val="24"/>
                <w:szCs w:val="24"/>
              </w:rPr>
              <w:t xml:space="preserve"> </w:t>
            </w:r>
          </w:p>
          <w:p w14:paraId="490981E8" w14:textId="77777777" w:rsidR="00EF76CC" w:rsidRPr="00FB4E9E" w:rsidRDefault="00EF76CC" w:rsidP="00EF76CC">
            <w:pPr>
              <w:tabs>
                <w:tab w:val="left" w:pos="250"/>
              </w:tabs>
              <w:spacing w:after="0" w:line="240" w:lineRule="auto"/>
              <w:ind w:firstLine="392"/>
              <w:jc w:val="both"/>
              <w:rPr>
                <w:rFonts w:ascii="Times New Roman" w:hAnsi="Times New Roman" w:cs="Times New Roman"/>
                <w:sz w:val="24"/>
                <w:szCs w:val="24"/>
              </w:rPr>
            </w:pPr>
            <w:r w:rsidRPr="00FB4E9E">
              <w:rPr>
                <w:rFonts w:ascii="Times New Roman" w:hAnsi="Times New Roman" w:cs="Times New Roman"/>
                <w:sz w:val="24"/>
                <w:szCs w:val="24"/>
              </w:rPr>
              <w:t xml:space="preserve">Savukārt atkritumu apsaimniekošanas kārtību nosaka Atkritumu apsaimniekošanas likums, lai aizsargātu vidi, cilvēku dzīvību un veselību, novēršot atkritumu rašanos, nodrošinot Latvijas Republikas teritorijā radīto atkritumu dalītu savākšanu un reģenerāciju, kā arī vecinot dabas resursu efektīvu izmantošanu un apglabājamo atkritumu apjoma samazināšanu. Saskaņā ar Atkritumu apsaimniekošanas likumu atkritumi ir jebkurš priekšmets vai viela, no kuras tās valdītājs atbrīvojas, ir nolēmis vai spiests atbrīvoties. Naftas produktu atkritumu apsaimniekošanas kārtību reglamentē Ministru kabineta 2011.gada 21.jūnija noteikumi Nr.485 “Atsevišķu veidu bīstamo atkritumu apsaimniekošanas kārtība”. Saskaņā ar šiem noteikumiem naftas produktu atkritumi ir atkritumu eļļas un citi naftas produktus saturoši atkritumi. Atkritumu eļļas ir jebkuras minerālas vai sintētiskas izcelsmes smēreļļas vai rūpnieciskās eļļas (piemēram, lietotas </w:t>
            </w:r>
            <w:proofErr w:type="spellStart"/>
            <w:r w:rsidRPr="00FB4E9E">
              <w:rPr>
                <w:rFonts w:ascii="Times New Roman" w:hAnsi="Times New Roman" w:cs="Times New Roman"/>
                <w:sz w:val="24"/>
                <w:szCs w:val="24"/>
              </w:rPr>
              <w:t>iekšdedzes</w:t>
            </w:r>
            <w:proofErr w:type="spellEnd"/>
            <w:r w:rsidRPr="00FB4E9E">
              <w:rPr>
                <w:rFonts w:ascii="Times New Roman" w:hAnsi="Times New Roman" w:cs="Times New Roman"/>
                <w:sz w:val="24"/>
                <w:szCs w:val="24"/>
              </w:rPr>
              <w:t xml:space="preserve"> dzinēju un pārnesumkārbu eļļas, minerālās smēreļļas, turbīnu eļļas un hidrauliskās eļļas), kuras ir kļuvušas nederīgas sākotnēji paredzētajam lietošanas mērķim. Saskaņā ar noteikto kārtību naftas produktu atkritumu </w:t>
            </w:r>
            <w:proofErr w:type="spellStart"/>
            <w:r w:rsidRPr="00FB4E9E">
              <w:rPr>
                <w:rFonts w:ascii="Times New Roman" w:hAnsi="Times New Roman" w:cs="Times New Roman"/>
                <w:sz w:val="24"/>
                <w:szCs w:val="24"/>
              </w:rPr>
              <w:t>apsaimniekotājs</w:t>
            </w:r>
            <w:proofErr w:type="spellEnd"/>
            <w:r w:rsidRPr="00FB4E9E">
              <w:rPr>
                <w:rFonts w:ascii="Times New Roman" w:hAnsi="Times New Roman" w:cs="Times New Roman"/>
                <w:sz w:val="24"/>
                <w:szCs w:val="24"/>
              </w:rPr>
              <w:t xml:space="preserve"> vai valdītājs nodrošina naftas produktu atkritumu savākšanu atsevišķi no citiem atkritumu veidiem, ja tas ir tehniski iespējams un atbilst saņemtās atļaujas A vai B kategorijas piesārņojošai darbībai vai atkritumu apsaimniekošanas atļaujas nosacījumiem. </w:t>
            </w:r>
          </w:p>
          <w:p w14:paraId="0CC98F6E" w14:textId="77777777" w:rsidR="00EF76CC" w:rsidRPr="00FB4E9E" w:rsidRDefault="00EF76CC" w:rsidP="00EF76CC">
            <w:pPr>
              <w:tabs>
                <w:tab w:val="left" w:pos="250"/>
              </w:tabs>
              <w:spacing w:after="0" w:line="240" w:lineRule="auto"/>
              <w:ind w:firstLine="392"/>
              <w:jc w:val="both"/>
              <w:rPr>
                <w:rFonts w:ascii="Times New Roman" w:hAnsi="Times New Roman" w:cs="Times New Roman"/>
                <w:sz w:val="24"/>
                <w:szCs w:val="24"/>
              </w:rPr>
            </w:pPr>
            <w:r w:rsidRPr="00FB4E9E">
              <w:rPr>
                <w:rFonts w:ascii="Times New Roman" w:hAnsi="Times New Roman" w:cs="Times New Roman"/>
                <w:sz w:val="24"/>
                <w:szCs w:val="24"/>
              </w:rPr>
              <w:t>Naftas produktu saturoši atkritumi var veidoties muitas noliktavās, brīvajās zonās, ostās, uz kuģiem (kuģu atkritumi), akcīzes preču noliktavās, naftas produktu vairumtirdzniecības un mazumtirdzniecības vietās, autoservisos, kā arī cita veida uzņēmumos.</w:t>
            </w:r>
          </w:p>
          <w:p w14:paraId="2B9022E3" w14:textId="3A834568" w:rsidR="00EF76CC" w:rsidRPr="00FB4E9E" w:rsidRDefault="00EF76CC" w:rsidP="00EF76CC">
            <w:pPr>
              <w:tabs>
                <w:tab w:val="left" w:pos="250"/>
              </w:tabs>
              <w:spacing w:after="0" w:line="240" w:lineRule="auto"/>
              <w:ind w:firstLine="392"/>
              <w:jc w:val="both"/>
              <w:rPr>
                <w:rFonts w:ascii="Times New Roman" w:hAnsi="Times New Roman" w:cs="Times New Roman"/>
                <w:sz w:val="24"/>
                <w:szCs w:val="24"/>
              </w:rPr>
            </w:pPr>
            <w:r w:rsidRPr="00FB4E9E">
              <w:rPr>
                <w:rFonts w:ascii="Times New Roman" w:hAnsi="Times New Roman" w:cs="Times New Roman"/>
                <w:sz w:val="24"/>
                <w:szCs w:val="24"/>
              </w:rPr>
              <w:t xml:space="preserve">Ņemot vērā, ka eļļas atkritumi ir naftas produktu saturoši atkritumi, ir nepieciešams sakārtot jautājumu par to apriti, </w:t>
            </w:r>
            <w:r>
              <w:rPr>
                <w:rFonts w:ascii="Times New Roman" w:hAnsi="Times New Roman" w:cs="Times New Roman"/>
                <w:sz w:val="24"/>
                <w:szCs w:val="24"/>
              </w:rPr>
              <w:t>i</w:t>
            </w:r>
            <w:r w:rsidRPr="00FB4E9E">
              <w:rPr>
                <w:rFonts w:ascii="Times New Roman" w:hAnsi="Times New Roman" w:cs="Times New Roman"/>
                <w:sz w:val="24"/>
                <w:szCs w:val="24"/>
              </w:rPr>
              <w:t xml:space="preserve">zslēdzot no likuma normas par eļļas atkritumiem. </w:t>
            </w:r>
            <w:r>
              <w:rPr>
                <w:rFonts w:ascii="Times New Roman" w:hAnsi="Times New Roman" w:cs="Times New Roman"/>
                <w:sz w:val="24"/>
                <w:szCs w:val="24"/>
              </w:rPr>
              <w:lastRenderedPageBreak/>
              <w:t>Tādējādi</w:t>
            </w:r>
            <w:r w:rsidRPr="00FB4E9E">
              <w:rPr>
                <w:rFonts w:ascii="Times New Roman" w:hAnsi="Times New Roman" w:cs="Times New Roman"/>
                <w:sz w:val="24"/>
                <w:szCs w:val="24"/>
              </w:rPr>
              <w:t xml:space="preserve"> tiks nodrošināts, ka naftas produktu atkritumu aprite, piemēram,  savākšana, apsaimniekošana, pārstrāde, reģenerācija vai paglabāšana norit</w:t>
            </w:r>
            <w:r>
              <w:rPr>
                <w:rFonts w:ascii="Times New Roman" w:hAnsi="Times New Roman" w:cs="Times New Roman"/>
                <w:sz w:val="24"/>
                <w:szCs w:val="24"/>
              </w:rPr>
              <w:t>ēs</w:t>
            </w:r>
            <w:r w:rsidRPr="00FB4E9E">
              <w:rPr>
                <w:rFonts w:ascii="Times New Roman" w:hAnsi="Times New Roman" w:cs="Times New Roman"/>
                <w:sz w:val="24"/>
                <w:szCs w:val="24"/>
              </w:rPr>
              <w:t xml:space="preserve"> atbilstoši vides aizsardzības normatīvo aktu prasībām</w:t>
            </w:r>
            <w:r w:rsidR="005057B3">
              <w:rPr>
                <w:rFonts w:ascii="Times New Roman" w:hAnsi="Times New Roman" w:cs="Times New Roman"/>
                <w:sz w:val="24"/>
                <w:szCs w:val="24"/>
              </w:rPr>
              <w:t xml:space="preserve"> un to vairs neregulēs akcīzes jomas normatīvie akti</w:t>
            </w:r>
            <w:r w:rsidRPr="00FB4E9E">
              <w:rPr>
                <w:rFonts w:ascii="Times New Roman" w:hAnsi="Times New Roman" w:cs="Times New Roman"/>
                <w:sz w:val="24"/>
                <w:szCs w:val="24"/>
              </w:rPr>
              <w:t>.</w:t>
            </w:r>
          </w:p>
          <w:p w14:paraId="68933F35" w14:textId="13CF996F" w:rsidR="00EF76CC" w:rsidRDefault="00EF76CC" w:rsidP="00EF76CC">
            <w:pPr>
              <w:tabs>
                <w:tab w:val="left" w:pos="250"/>
              </w:tabs>
              <w:spacing w:after="0" w:line="240" w:lineRule="auto"/>
              <w:ind w:firstLine="392"/>
              <w:jc w:val="both"/>
              <w:rPr>
                <w:rFonts w:ascii="Times New Roman" w:hAnsi="Times New Roman" w:cs="Times New Roman"/>
                <w:sz w:val="24"/>
                <w:szCs w:val="24"/>
              </w:rPr>
            </w:pPr>
          </w:p>
          <w:p w14:paraId="247C359B" w14:textId="25D7D1F9" w:rsidR="00EF76CC" w:rsidRPr="00FB4E9E" w:rsidRDefault="00EF76CC" w:rsidP="00EF76CC">
            <w:pPr>
              <w:tabs>
                <w:tab w:val="left" w:pos="250"/>
              </w:tabs>
              <w:spacing w:after="0" w:line="240" w:lineRule="auto"/>
              <w:ind w:firstLine="392"/>
              <w:jc w:val="both"/>
              <w:rPr>
                <w:rFonts w:ascii="Times New Roman" w:hAnsi="Times New Roman" w:cs="Times New Roman"/>
                <w:sz w:val="24"/>
                <w:szCs w:val="24"/>
              </w:rPr>
            </w:pPr>
            <w:r>
              <w:rPr>
                <w:rFonts w:ascii="Times New Roman" w:hAnsi="Times New Roman" w:cs="Times New Roman"/>
                <w:sz w:val="24"/>
                <w:szCs w:val="24"/>
              </w:rPr>
              <w:t xml:space="preserve">6) </w:t>
            </w:r>
            <w:r w:rsidRPr="00FB4E9E">
              <w:rPr>
                <w:rFonts w:ascii="Times New Roman" w:hAnsi="Times New Roman" w:cs="Times New Roman"/>
                <w:sz w:val="24"/>
                <w:szCs w:val="24"/>
              </w:rPr>
              <w:t xml:space="preserve">Likuma 16.panta otrajā daļā ir dots deleģējums Ministru kabinetam noteikt spirta denaturēšanas un denaturētā spirta aprites kārtību. Minēto kārtību </w:t>
            </w:r>
            <w:r w:rsidR="005057B3">
              <w:rPr>
                <w:rFonts w:ascii="Times New Roman" w:hAnsi="Times New Roman" w:cs="Times New Roman"/>
                <w:sz w:val="24"/>
                <w:szCs w:val="24"/>
              </w:rPr>
              <w:t>nosaka</w:t>
            </w:r>
            <w:r w:rsidRPr="00FB4E9E">
              <w:rPr>
                <w:rFonts w:ascii="Times New Roman" w:hAnsi="Times New Roman" w:cs="Times New Roman"/>
                <w:sz w:val="24"/>
                <w:szCs w:val="24"/>
              </w:rPr>
              <w:t xml:space="preserve"> Ministru kabineta 2009.gada 3.marta noteikumi Nr.211 “Spirta denaturēšanas un denaturētā spirta aprites kārtība”. Minētie Ministru kabineta noteikumi ietver arī tādus jautājumus, kas attiecas uz kārtību, kādā Valsts ieņēmumu dienests izsniedz, pārreģistrē, anulē vai atsaka izsniegt atļauju denaturētā spirta iegādei, kā arī nosaka spirta denaturēšanas vielas un nosacījumus, kad spirts ir uzskatāms par denaturētu spirtu, prasības denaturētā spirta lietotājam. Līdz ar to ir nepieciešams attiecīgi </w:t>
            </w:r>
            <w:r w:rsidR="005057B3">
              <w:rPr>
                <w:rFonts w:ascii="Times New Roman" w:hAnsi="Times New Roman" w:cs="Times New Roman"/>
                <w:sz w:val="24"/>
                <w:szCs w:val="24"/>
              </w:rPr>
              <w:t>sakārto</w:t>
            </w:r>
            <w:r w:rsidRPr="00FB4E9E">
              <w:rPr>
                <w:rFonts w:ascii="Times New Roman" w:hAnsi="Times New Roman" w:cs="Times New Roman"/>
                <w:sz w:val="24"/>
                <w:szCs w:val="24"/>
              </w:rPr>
              <w:t>t Ministru kabinetam doto deleģējumu;</w:t>
            </w:r>
          </w:p>
          <w:p w14:paraId="4C2141AA" w14:textId="77777777" w:rsidR="00EF76CC" w:rsidRPr="00FB4E9E" w:rsidRDefault="00EF76CC" w:rsidP="00EF76CC">
            <w:pPr>
              <w:tabs>
                <w:tab w:val="left" w:pos="250"/>
              </w:tabs>
              <w:spacing w:after="0" w:line="240" w:lineRule="auto"/>
              <w:ind w:firstLine="392"/>
              <w:jc w:val="both"/>
              <w:rPr>
                <w:rFonts w:ascii="Times New Roman" w:hAnsi="Times New Roman" w:cs="Times New Roman"/>
                <w:sz w:val="24"/>
                <w:szCs w:val="24"/>
              </w:rPr>
            </w:pPr>
          </w:p>
          <w:p w14:paraId="0E21C6C3" w14:textId="3479CF94" w:rsidR="00EF76CC" w:rsidRDefault="00EF76CC" w:rsidP="00EF76CC">
            <w:pPr>
              <w:tabs>
                <w:tab w:val="left" w:pos="250"/>
              </w:tabs>
              <w:spacing w:after="0" w:line="240" w:lineRule="auto"/>
              <w:ind w:firstLine="392"/>
              <w:jc w:val="both"/>
              <w:rPr>
                <w:rFonts w:ascii="Times New Roman" w:hAnsi="Times New Roman" w:cs="Times New Roman"/>
                <w:sz w:val="24"/>
                <w:szCs w:val="24"/>
              </w:rPr>
            </w:pPr>
            <w:r>
              <w:rPr>
                <w:rFonts w:ascii="Times New Roman" w:hAnsi="Times New Roman" w:cs="Times New Roman"/>
                <w:sz w:val="24"/>
                <w:szCs w:val="24"/>
              </w:rPr>
              <w:t>7</w:t>
            </w:r>
            <w:r w:rsidRPr="00FB4E9E">
              <w:rPr>
                <w:rFonts w:ascii="Times New Roman" w:hAnsi="Times New Roman" w:cs="Times New Roman"/>
                <w:sz w:val="24"/>
                <w:szCs w:val="24"/>
              </w:rPr>
              <w:t>) Likuma 16.panta piektajā daļā ir dots deleģējums Ministru kabinetam paredzēt kārtību, kādā piemēro likuma 16.panta pirmās daļas 4.</w:t>
            </w:r>
            <w:r w:rsidRPr="00FB4E9E">
              <w:rPr>
                <w:rFonts w:ascii="Times New Roman" w:hAnsi="Times New Roman" w:cs="Times New Roman"/>
                <w:sz w:val="24"/>
                <w:szCs w:val="24"/>
                <w:vertAlign w:val="superscript"/>
              </w:rPr>
              <w:t>1</w:t>
            </w:r>
            <w:r w:rsidRPr="00FB4E9E">
              <w:rPr>
                <w:rFonts w:ascii="Times New Roman" w:hAnsi="Times New Roman" w:cs="Times New Roman"/>
                <w:sz w:val="24"/>
                <w:szCs w:val="24"/>
              </w:rPr>
              <w:t xml:space="preserve">, 5., 7., 8., 9. un 10.punktā noteiktos akcīzes nodokļa atbrīvojumus. Minēto kārtību reglamentē Ministru kabineta 2011.gada 30.augusta noteikumi Nr.684 “Kārtība, kādā atsevišķiem alkoholiskajiem dzērieniem piemēro akcīzes nodokļa atbrīvojumu”. Minētie Ministru kabineta noteikumi ietver arī tādus jautājumus, kas attiecas uz atļauju alkoholisko dzērienu iegādei izsniegšanu, </w:t>
            </w:r>
            <w:proofErr w:type="spellStart"/>
            <w:r w:rsidRPr="00FB4E9E">
              <w:rPr>
                <w:rFonts w:ascii="Times New Roman" w:hAnsi="Times New Roman" w:cs="Times New Roman"/>
                <w:sz w:val="24"/>
                <w:szCs w:val="24"/>
              </w:rPr>
              <w:t>pārreģistrāciju</w:t>
            </w:r>
            <w:proofErr w:type="spellEnd"/>
            <w:r w:rsidRPr="00FB4E9E">
              <w:rPr>
                <w:rFonts w:ascii="Times New Roman" w:hAnsi="Times New Roman" w:cs="Times New Roman"/>
                <w:sz w:val="24"/>
                <w:szCs w:val="24"/>
              </w:rPr>
              <w:t xml:space="preserve">, anulēšanu vai atteikšanu izsniegt minēto atļauju, alkoholisko dzērienu piegādi lietotājam, alkoholisko dzērienu atbrīvojumu piemērošanas, tajā skaitā alkoholisko dzērienu iznīcināšanas nosacījumiem, informāciju, kas ietverama atļaujā alkoholisko dzērienu iegādei, atļaujas alkoholisko dzērienu iegādei spēkā stāšanās nosacījumiem un darbības termiņiem, prasībām alkoholisko dzērienu piegādātajiem un lietotājiem. Līdz ar to ir nepieciešams </w:t>
            </w:r>
            <w:r w:rsidR="005F5B3E">
              <w:rPr>
                <w:rFonts w:ascii="Times New Roman" w:hAnsi="Times New Roman" w:cs="Times New Roman"/>
                <w:sz w:val="24"/>
                <w:szCs w:val="24"/>
              </w:rPr>
              <w:t>sakārto</w:t>
            </w:r>
            <w:r w:rsidRPr="00FB4E9E">
              <w:rPr>
                <w:rFonts w:ascii="Times New Roman" w:hAnsi="Times New Roman" w:cs="Times New Roman"/>
                <w:sz w:val="24"/>
                <w:szCs w:val="24"/>
              </w:rPr>
              <w:t>t Ministru kabinetam doto deleģējumu.</w:t>
            </w:r>
          </w:p>
          <w:p w14:paraId="259B6584" w14:textId="21A020A4" w:rsidR="008B2E38" w:rsidRDefault="008B2E38" w:rsidP="00EF76CC">
            <w:pPr>
              <w:tabs>
                <w:tab w:val="left" w:pos="250"/>
              </w:tabs>
              <w:spacing w:after="0" w:line="240" w:lineRule="auto"/>
              <w:ind w:firstLine="392"/>
              <w:jc w:val="both"/>
              <w:rPr>
                <w:rFonts w:ascii="Times New Roman" w:hAnsi="Times New Roman" w:cs="Times New Roman"/>
                <w:sz w:val="24"/>
                <w:szCs w:val="24"/>
              </w:rPr>
            </w:pPr>
          </w:p>
          <w:p w14:paraId="1710F84A" w14:textId="61E653FE" w:rsidR="008B2E38" w:rsidRDefault="008B2E38" w:rsidP="00EF76CC">
            <w:pPr>
              <w:tabs>
                <w:tab w:val="left" w:pos="250"/>
              </w:tabs>
              <w:spacing w:after="0" w:line="240" w:lineRule="auto"/>
              <w:ind w:firstLine="392"/>
              <w:jc w:val="both"/>
              <w:rPr>
                <w:rFonts w:ascii="Times New Roman" w:hAnsi="Times New Roman" w:cs="Times New Roman"/>
                <w:sz w:val="24"/>
                <w:szCs w:val="24"/>
              </w:rPr>
            </w:pPr>
            <w:r>
              <w:rPr>
                <w:rFonts w:ascii="Times New Roman" w:hAnsi="Times New Roman" w:cs="Times New Roman"/>
                <w:sz w:val="24"/>
                <w:szCs w:val="24"/>
              </w:rPr>
              <w:t xml:space="preserve">8) Nepieciešams likuma 17.pantu papildināt ar jaunu daļu par </w:t>
            </w:r>
            <w:r w:rsidRPr="008B2E38">
              <w:rPr>
                <w:rFonts w:ascii="Times New Roman" w:hAnsi="Times New Roman" w:cs="Times New Roman"/>
                <w:sz w:val="24"/>
                <w:szCs w:val="24"/>
              </w:rPr>
              <w:t>deleģējum</w:t>
            </w:r>
            <w:r>
              <w:rPr>
                <w:rFonts w:ascii="Times New Roman" w:hAnsi="Times New Roman" w:cs="Times New Roman"/>
                <w:sz w:val="24"/>
                <w:szCs w:val="24"/>
              </w:rPr>
              <w:t xml:space="preserve">u Ministru kabinetam, saskaņā ar kuru </w:t>
            </w:r>
            <w:r w:rsidRPr="008B2E38">
              <w:rPr>
                <w:rFonts w:ascii="Times New Roman" w:hAnsi="Times New Roman" w:cs="Times New Roman"/>
                <w:sz w:val="24"/>
                <w:szCs w:val="24"/>
              </w:rPr>
              <w:t xml:space="preserve"> Ministru kabinets nosaka kārtību, kādā Valsts ieņēmumu dienests izsniedz atļauju denaturēto tabakas izstrādājumu piegādei vai atsaka izsniegt atļauju denaturēto tabakas izstrādājumu piegādei, jo tie abi ir administratīvie akti. </w:t>
            </w:r>
          </w:p>
          <w:p w14:paraId="3576C906" w14:textId="77777777" w:rsidR="00EF76CC" w:rsidRDefault="00EF76CC" w:rsidP="00D6069A">
            <w:pPr>
              <w:tabs>
                <w:tab w:val="left" w:pos="250"/>
              </w:tabs>
              <w:spacing w:after="0" w:line="240" w:lineRule="auto"/>
              <w:ind w:firstLine="392"/>
              <w:jc w:val="both"/>
              <w:rPr>
                <w:rFonts w:ascii="Times New Roman" w:hAnsi="Times New Roman" w:cs="Times New Roman"/>
                <w:sz w:val="24"/>
                <w:szCs w:val="24"/>
              </w:rPr>
            </w:pPr>
          </w:p>
          <w:p w14:paraId="1C2DE6E2" w14:textId="51713A22" w:rsidR="00171408" w:rsidRPr="00FB4E9E" w:rsidRDefault="008B2E38" w:rsidP="00171408">
            <w:pPr>
              <w:tabs>
                <w:tab w:val="left" w:pos="250"/>
              </w:tabs>
              <w:spacing w:after="0" w:line="240" w:lineRule="auto"/>
              <w:ind w:firstLine="392"/>
              <w:jc w:val="both"/>
              <w:rPr>
                <w:rFonts w:ascii="Times New Roman" w:hAnsi="Times New Roman" w:cs="Times New Roman"/>
                <w:sz w:val="24"/>
                <w:szCs w:val="24"/>
              </w:rPr>
            </w:pPr>
            <w:r>
              <w:rPr>
                <w:rFonts w:ascii="Times New Roman" w:hAnsi="Times New Roman" w:cs="Times New Roman"/>
                <w:sz w:val="24"/>
                <w:szCs w:val="24"/>
              </w:rPr>
              <w:t>9</w:t>
            </w:r>
            <w:r w:rsidR="00D3611F" w:rsidRPr="00FB4E9E">
              <w:rPr>
                <w:rFonts w:ascii="Times New Roman" w:hAnsi="Times New Roman" w:cs="Times New Roman"/>
                <w:sz w:val="24"/>
                <w:szCs w:val="24"/>
              </w:rPr>
              <w:t>)</w:t>
            </w:r>
            <w:r w:rsidR="002D4012" w:rsidRPr="00FB4E9E">
              <w:rPr>
                <w:rFonts w:ascii="Times New Roman" w:hAnsi="Times New Roman" w:cs="Times New Roman"/>
                <w:sz w:val="24"/>
                <w:szCs w:val="24"/>
              </w:rPr>
              <w:t xml:space="preserve"> Šobrīd akcīzes preces iznīcina Valsts ieņēmumu dienesta pārstāvja klātbūtnē. Ir plānots mainīt šo pieeju un paredzēt, ka Valsts ieņēmumu dienests izvērtēs </w:t>
            </w:r>
            <w:r w:rsidR="002D4012" w:rsidRPr="00FB4E9E">
              <w:rPr>
                <w:rFonts w:ascii="Times New Roman" w:hAnsi="Times New Roman" w:cs="Times New Roman"/>
                <w:sz w:val="24"/>
                <w:szCs w:val="24"/>
              </w:rPr>
              <w:lastRenderedPageBreak/>
              <w:t>piedalīšanos iznīcināšanā, ņemot vērā konstatētos riskus. Tādējādi Valsts ieņēmumu dienests izvērtēs, kurā iznīcināšanā piedalīties un kurā nē. Līdz ar to ir jāveic atbilstoši grozījumi likuma 19.pantā.</w:t>
            </w:r>
            <w:r w:rsidR="00171408">
              <w:rPr>
                <w:rFonts w:ascii="Times New Roman" w:hAnsi="Times New Roman" w:cs="Times New Roman"/>
                <w:sz w:val="24"/>
                <w:szCs w:val="24"/>
              </w:rPr>
              <w:t xml:space="preserve"> Likuma 19.pantu ir nepieciešams papildināt arī ar jaunu daļu par deleģējumu Ministru kabinetam, saskaņā ar kuru </w:t>
            </w:r>
            <w:r w:rsidR="00171408" w:rsidRPr="00171408">
              <w:rPr>
                <w:rFonts w:ascii="Times New Roman" w:hAnsi="Times New Roman" w:cs="Times New Roman"/>
                <w:sz w:val="24"/>
                <w:szCs w:val="24"/>
              </w:rPr>
              <w:t>Ministru kabinets nosaka kārtību, kādā piemēro šā panta pirmajā daļā, 1.</w:t>
            </w:r>
            <w:r w:rsidR="00171408" w:rsidRPr="00171408">
              <w:rPr>
                <w:rFonts w:ascii="Times New Roman" w:hAnsi="Times New Roman" w:cs="Times New Roman"/>
                <w:sz w:val="24"/>
                <w:szCs w:val="24"/>
                <w:vertAlign w:val="superscript"/>
              </w:rPr>
              <w:t>1</w:t>
            </w:r>
            <w:r w:rsidR="00171408">
              <w:rPr>
                <w:rFonts w:ascii="Times New Roman" w:hAnsi="Times New Roman" w:cs="Times New Roman"/>
                <w:sz w:val="24"/>
                <w:szCs w:val="24"/>
              </w:rPr>
              <w:t> </w:t>
            </w:r>
            <w:r w:rsidR="00171408" w:rsidRPr="00171408">
              <w:rPr>
                <w:rFonts w:ascii="Times New Roman" w:hAnsi="Times New Roman" w:cs="Times New Roman"/>
                <w:sz w:val="24"/>
                <w:szCs w:val="24"/>
              </w:rPr>
              <w:t>daļas 1.punktā, otrajā un trešajā daļā noteiktos nodokļa atbrīvojumus, kā arī nosacījumus bezalkoholisko dzērienu un kafijas iznīcināšanai</w:t>
            </w:r>
            <w:r w:rsidR="00171408">
              <w:rPr>
                <w:rFonts w:ascii="Times New Roman" w:hAnsi="Times New Roman" w:cs="Times New Roman"/>
                <w:sz w:val="24"/>
                <w:szCs w:val="24"/>
              </w:rPr>
              <w:t>. Lai varētu noformulēt</w:t>
            </w:r>
            <w:r w:rsidR="000F5DC4">
              <w:rPr>
                <w:rFonts w:ascii="Times New Roman" w:hAnsi="Times New Roman" w:cs="Times New Roman"/>
                <w:sz w:val="24"/>
                <w:szCs w:val="24"/>
              </w:rPr>
              <w:t xml:space="preserve"> minēto</w:t>
            </w:r>
            <w:r w:rsidR="00171408">
              <w:rPr>
                <w:rFonts w:ascii="Times New Roman" w:hAnsi="Times New Roman" w:cs="Times New Roman"/>
                <w:sz w:val="24"/>
                <w:szCs w:val="24"/>
              </w:rPr>
              <w:t xml:space="preserve"> deleģējumu Ministru kabinetam, ir nepieciešams šobrīd spēkā esošā likuma 19.panta pirmo daļu sadalīt, jo nav paredzēts noteikt kārtību attiecībā uz akcīzes nodokļa atbrīvojuma piemērošanu bezalkoholiskajiem dzērieniem, kurus izgatavojusi fiziskā persona savam patēriņam</w:t>
            </w:r>
            <w:r w:rsidR="000F5DC4">
              <w:rPr>
                <w:rFonts w:ascii="Times New Roman" w:hAnsi="Times New Roman" w:cs="Times New Roman"/>
                <w:sz w:val="24"/>
                <w:szCs w:val="24"/>
              </w:rPr>
              <w:t xml:space="preserve"> vai kuri ir nefasēti un izgatavoti sabiedriskās ēdināšanas uzņēmumā patērēšanai </w:t>
            </w:r>
            <w:r w:rsidR="00171408">
              <w:rPr>
                <w:rFonts w:ascii="Times New Roman" w:hAnsi="Times New Roman" w:cs="Times New Roman"/>
                <w:sz w:val="24"/>
                <w:szCs w:val="24"/>
              </w:rPr>
              <w:t xml:space="preserve"> </w:t>
            </w:r>
            <w:r w:rsidR="000F5DC4">
              <w:rPr>
                <w:rFonts w:ascii="Times New Roman" w:hAnsi="Times New Roman" w:cs="Times New Roman"/>
                <w:sz w:val="24"/>
                <w:szCs w:val="24"/>
              </w:rPr>
              <w:t>uz vietas.</w:t>
            </w:r>
          </w:p>
          <w:p w14:paraId="65CEEBC1" w14:textId="77777777" w:rsidR="002D4012" w:rsidRDefault="002D4012" w:rsidP="00D6069A">
            <w:pPr>
              <w:tabs>
                <w:tab w:val="left" w:pos="250"/>
              </w:tabs>
              <w:spacing w:after="0" w:line="240" w:lineRule="auto"/>
              <w:ind w:firstLine="392"/>
              <w:jc w:val="both"/>
              <w:rPr>
                <w:rFonts w:ascii="Times New Roman" w:hAnsi="Times New Roman" w:cs="Times New Roman"/>
                <w:sz w:val="24"/>
                <w:szCs w:val="24"/>
              </w:rPr>
            </w:pPr>
          </w:p>
          <w:p w14:paraId="2A57516E" w14:textId="715BF091" w:rsidR="008D3543" w:rsidRPr="00FB4E9E" w:rsidRDefault="008B2E38" w:rsidP="00D6069A">
            <w:pPr>
              <w:tabs>
                <w:tab w:val="left" w:pos="250"/>
              </w:tabs>
              <w:spacing w:after="0" w:line="240" w:lineRule="auto"/>
              <w:ind w:firstLine="392"/>
              <w:jc w:val="both"/>
              <w:rPr>
                <w:rFonts w:ascii="Times New Roman" w:hAnsi="Times New Roman" w:cs="Times New Roman"/>
                <w:sz w:val="24"/>
                <w:szCs w:val="24"/>
              </w:rPr>
            </w:pPr>
            <w:r>
              <w:rPr>
                <w:rFonts w:ascii="Times New Roman" w:hAnsi="Times New Roman" w:cs="Times New Roman"/>
                <w:sz w:val="24"/>
                <w:szCs w:val="24"/>
              </w:rPr>
              <w:t>10</w:t>
            </w:r>
            <w:r w:rsidR="002D4012">
              <w:rPr>
                <w:rFonts w:ascii="Times New Roman" w:hAnsi="Times New Roman" w:cs="Times New Roman"/>
                <w:sz w:val="24"/>
                <w:szCs w:val="24"/>
              </w:rPr>
              <w:t xml:space="preserve">) </w:t>
            </w:r>
            <w:r w:rsidR="008D3543" w:rsidRPr="00FB4E9E">
              <w:rPr>
                <w:rFonts w:ascii="Times New Roman" w:hAnsi="Times New Roman" w:cs="Times New Roman"/>
                <w:sz w:val="24"/>
                <w:szCs w:val="24"/>
              </w:rPr>
              <w:t>Saskaņā ar likumu ar akcīzes nodokli apliek elektroniskajās cigaretēs izmantojamos šķidrumus. Elektroniskajās cigaretēs izmantojamie šķidrumi ir neharmonizētās akcīzes preces līdzīgi kā kafija un bezalkoholiskie dzērieni. Atbilstoši likuma 19.panta</w:t>
            </w:r>
            <w:r w:rsidR="00F263C9" w:rsidRPr="00FB4E9E">
              <w:rPr>
                <w:rFonts w:ascii="Times New Roman" w:hAnsi="Times New Roman" w:cs="Times New Roman"/>
                <w:sz w:val="24"/>
                <w:szCs w:val="24"/>
              </w:rPr>
              <w:t>m</w:t>
            </w:r>
            <w:r w:rsidR="008D3543" w:rsidRPr="00FB4E9E">
              <w:rPr>
                <w:rFonts w:ascii="Times New Roman" w:hAnsi="Times New Roman" w:cs="Times New Roman"/>
                <w:sz w:val="24"/>
                <w:szCs w:val="24"/>
              </w:rPr>
              <w:t xml:space="preserve"> no akcīzes nodokļa ir atbrīvota kafija un bezalkoholiskie dzērieni, k</w:t>
            </w:r>
            <w:r w:rsidR="00D3611F" w:rsidRPr="00FB4E9E">
              <w:rPr>
                <w:rFonts w:ascii="Times New Roman" w:hAnsi="Times New Roman" w:cs="Times New Roman"/>
                <w:sz w:val="24"/>
                <w:szCs w:val="24"/>
              </w:rPr>
              <w:t>uru</w:t>
            </w:r>
            <w:r w:rsidR="004742A7" w:rsidRPr="00FB4E9E">
              <w:rPr>
                <w:rFonts w:ascii="Times New Roman" w:hAnsi="Times New Roman" w:cs="Times New Roman"/>
                <w:sz w:val="24"/>
                <w:szCs w:val="24"/>
              </w:rPr>
              <w:t>s</w:t>
            </w:r>
            <w:r w:rsidR="008D3543" w:rsidRPr="00FB4E9E">
              <w:rPr>
                <w:rFonts w:ascii="Times New Roman" w:hAnsi="Times New Roman" w:cs="Times New Roman"/>
                <w:sz w:val="24"/>
                <w:szCs w:val="24"/>
              </w:rPr>
              <w:t xml:space="preserve"> </w:t>
            </w:r>
            <w:r w:rsidR="00D3611F" w:rsidRPr="00FB4E9E">
              <w:rPr>
                <w:rFonts w:ascii="Times New Roman" w:hAnsi="Times New Roman" w:cs="Times New Roman"/>
                <w:sz w:val="24"/>
                <w:szCs w:val="24"/>
              </w:rPr>
              <w:t>izmanto attiecīgā produkta kvalitātes noteikšanai vai kuru</w:t>
            </w:r>
            <w:r w:rsidR="008A4716" w:rsidRPr="00FB4E9E">
              <w:rPr>
                <w:rFonts w:ascii="Times New Roman" w:hAnsi="Times New Roman" w:cs="Times New Roman"/>
                <w:sz w:val="24"/>
                <w:szCs w:val="24"/>
              </w:rPr>
              <w:t>s</w:t>
            </w:r>
            <w:r w:rsidR="00D3611F" w:rsidRPr="00FB4E9E">
              <w:rPr>
                <w:rFonts w:ascii="Times New Roman" w:hAnsi="Times New Roman" w:cs="Times New Roman"/>
                <w:sz w:val="24"/>
                <w:szCs w:val="24"/>
              </w:rPr>
              <w:t xml:space="preserve"> iznīcina pilnvarotas Valsts ieņēmumu die</w:t>
            </w:r>
            <w:r w:rsidR="001063E4" w:rsidRPr="00FB4E9E">
              <w:rPr>
                <w:rFonts w:ascii="Times New Roman" w:hAnsi="Times New Roman" w:cs="Times New Roman"/>
                <w:sz w:val="24"/>
                <w:szCs w:val="24"/>
              </w:rPr>
              <w:t>nes</w:t>
            </w:r>
            <w:r w:rsidR="00D3611F" w:rsidRPr="00FB4E9E">
              <w:rPr>
                <w:rFonts w:ascii="Times New Roman" w:hAnsi="Times New Roman" w:cs="Times New Roman"/>
                <w:sz w:val="24"/>
                <w:szCs w:val="24"/>
              </w:rPr>
              <w:t xml:space="preserve">ta amatpersonas klātbūtnē. Ņemot to vērā, līdzīgai pieejai vajadzētu būt arī attiecībā uz akcīzes nodokļa atbrīvojuma piemērošanu </w:t>
            </w:r>
            <w:r w:rsidR="008D3543" w:rsidRPr="00FB4E9E">
              <w:rPr>
                <w:rFonts w:ascii="Times New Roman" w:hAnsi="Times New Roman" w:cs="Times New Roman"/>
                <w:sz w:val="24"/>
                <w:szCs w:val="24"/>
              </w:rPr>
              <w:t>elektroniskajās cigaretēs izmantojam</w:t>
            </w:r>
            <w:r w:rsidR="00D3611F" w:rsidRPr="00FB4E9E">
              <w:rPr>
                <w:rFonts w:ascii="Times New Roman" w:hAnsi="Times New Roman" w:cs="Times New Roman"/>
                <w:sz w:val="24"/>
                <w:szCs w:val="24"/>
              </w:rPr>
              <w:t>iem</w:t>
            </w:r>
            <w:r w:rsidR="008D3543" w:rsidRPr="00FB4E9E">
              <w:rPr>
                <w:rFonts w:ascii="Times New Roman" w:hAnsi="Times New Roman" w:cs="Times New Roman"/>
                <w:sz w:val="24"/>
                <w:szCs w:val="24"/>
              </w:rPr>
              <w:t xml:space="preserve"> šķidrum</w:t>
            </w:r>
            <w:r w:rsidR="00D3611F" w:rsidRPr="00FB4E9E">
              <w:rPr>
                <w:rFonts w:ascii="Times New Roman" w:hAnsi="Times New Roman" w:cs="Times New Roman"/>
                <w:sz w:val="24"/>
                <w:szCs w:val="24"/>
              </w:rPr>
              <w:t>iem. Līdz ar</w:t>
            </w:r>
            <w:r w:rsidR="001063E4" w:rsidRPr="00FB4E9E">
              <w:rPr>
                <w:rFonts w:ascii="Times New Roman" w:hAnsi="Times New Roman" w:cs="Times New Roman"/>
                <w:sz w:val="24"/>
                <w:szCs w:val="24"/>
              </w:rPr>
              <w:t xml:space="preserve"> to</w:t>
            </w:r>
            <w:r w:rsidR="00D3611F" w:rsidRPr="00FB4E9E">
              <w:rPr>
                <w:rFonts w:ascii="Times New Roman" w:hAnsi="Times New Roman" w:cs="Times New Roman"/>
                <w:sz w:val="24"/>
                <w:szCs w:val="24"/>
              </w:rPr>
              <w:t xml:space="preserve"> likums ir jāpapildina ar </w:t>
            </w:r>
            <w:r w:rsidR="00D65FED" w:rsidRPr="00FB4E9E">
              <w:rPr>
                <w:rFonts w:ascii="Times New Roman" w:hAnsi="Times New Roman" w:cs="Times New Roman"/>
                <w:sz w:val="24"/>
                <w:szCs w:val="24"/>
              </w:rPr>
              <w:t>19.</w:t>
            </w:r>
            <w:r w:rsidR="00D65FED" w:rsidRPr="00FB4E9E">
              <w:rPr>
                <w:rFonts w:ascii="Times New Roman" w:hAnsi="Times New Roman" w:cs="Times New Roman"/>
                <w:sz w:val="24"/>
                <w:szCs w:val="24"/>
                <w:vertAlign w:val="superscript"/>
              </w:rPr>
              <w:t>1</w:t>
            </w:r>
            <w:r w:rsidR="00D65FED" w:rsidRPr="00FB4E9E">
              <w:rPr>
                <w:rFonts w:ascii="Times New Roman" w:hAnsi="Times New Roman" w:cs="Times New Roman"/>
                <w:sz w:val="24"/>
                <w:szCs w:val="24"/>
              </w:rPr>
              <w:t> </w:t>
            </w:r>
            <w:r w:rsidR="00D3611F" w:rsidRPr="00FB4E9E">
              <w:rPr>
                <w:rFonts w:ascii="Times New Roman" w:hAnsi="Times New Roman" w:cs="Times New Roman"/>
                <w:sz w:val="24"/>
                <w:szCs w:val="24"/>
              </w:rPr>
              <w:t>pantu par akcīzes nodokļa atbrīvojuma piemē</w:t>
            </w:r>
            <w:r w:rsidR="001063E4" w:rsidRPr="00FB4E9E">
              <w:rPr>
                <w:rFonts w:ascii="Times New Roman" w:hAnsi="Times New Roman" w:cs="Times New Roman"/>
                <w:sz w:val="24"/>
                <w:szCs w:val="24"/>
              </w:rPr>
              <w:t>r</w:t>
            </w:r>
            <w:r w:rsidR="00D3611F" w:rsidRPr="00FB4E9E">
              <w:rPr>
                <w:rFonts w:ascii="Times New Roman" w:hAnsi="Times New Roman" w:cs="Times New Roman"/>
                <w:sz w:val="24"/>
                <w:szCs w:val="24"/>
              </w:rPr>
              <w:t>o</w:t>
            </w:r>
            <w:r w:rsidR="001063E4" w:rsidRPr="00FB4E9E">
              <w:rPr>
                <w:rFonts w:ascii="Times New Roman" w:hAnsi="Times New Roman" w:cs="Times New Roman"/>
                <w:sz w:val="24"/>
                <w:szCs w:val="24"/>
              </w:rPr>
              <w:t xml:space="preserve">šanu </w:t>
            </w:r>
            <w:r w:rsidR="008D3543" w:rsidRPr="00FB4E9E">
              <w:rPr>
                <w:rFonts w:ascii="Times New Roman" w:hAnsi="Times New Roman" w:cs="Times New Roman"/>
                <w:sz w:val="24"/>
                <w:szCs w:val="24"/>
              </w:rPr>
              <w:t>elektroniskajās cigaretēs izmantojam</w:t>
            </w:r>
            <w:r w:rsidR="001063E4" w:rsidRPr="00FB4E9E">
              <w:rPr>
                <w:rFonts w:ascii="Times New Roman" w:hAnsi="Times New Roman" w:cs="Times New Roman"/>
                <w:sz w:val="24"/>
                <w:szCs w:val="24"/>
              </w:rPr>
              <w:t>iem</w:t>
            </w:r>
            <w:r w:rsidR="008D3543" w:rsidRPr="00FB4E9E">
              <w:rPr>
                <w:rFonts w:ascii="Times New Roman" w:hAnsi="Times New Roman" w:cs="Times New Roman"/>
                <w:sz w:val="24"/>
                <w:szCs w:val="24"/>
              </w:rPr>
              <w:t xml:space="preserve"> šķidrum</w:t>
            </w:r>
            <w:r w:rsidR="001063E4" w:rsidRPr="00FB4E9E">
              <w:rPr>
                <w:rFonts w:ascii="Times New Roman" w:hAnsi="Times New Roman" w:cs="Times New Roman"/>
                <w:sz w:val="24"/>
                <w:szCs w:val="24"/>
              </w:rPr>
              <w:t>iem.</w:t>
            </w:r>
          </w:p>
          <w:p w14:paraId="72DBBE4D" w14:textId="37240962" w:rsidR="004A0613" w:rsidRDefault="004A0613" w:rsidP="00D6069A">
            <w:pPr>
              <w:tabs>
                <w:tab w:val="left" w:pos="250"/>
              </w:tabs>
              <w:spacing w:after="0" w:line="240" w:lineRule="auto"/>
              <w:ind w:firstLine="392"/>
              <w:jc w:val="both"/>
              <w:rPr>
                <w:rFonts w:ascii="Times New Roman" w:hAnsi="Times New Roman" w:cs="Times New Roman"/>
                <w:sz w:val="24"/>
                <w:szCs w:val="24"/>
              </w:rPr>
            </w:pPr>
          </w:p>
          <w:p w14:paraId="11433F48" w14:textId="163651E3" w:rsidR="009D603F" w:rsidRPr="00FB4E9E" w:rsidRDefault="005975FA" w:rsidP="009D603F">
            <w:pPr>
              <w:tabs>
                <w:tab w:val="left" w:pos="250"/>
              </w:tabs>
              <w:spacing w:after="0" w:line="240" w:lineRule="auto"/>
              <w:ind w:firstLine="392"/>
              <w:jc w:val="both"/>
              <w:rPr>
                <w:rFonts w:ascii="Times New Roman" w:hAnsi="Times New Roman" w:cs="Times New Roman"/>
                <w:sz w:val="24"/>
                <w:szCs w:val="24"/>
              </w:rPr>
            </w:pPr>
            <w:r>
              <w:rPr>
                <w:rFonts w:ascii="Times New Roman" w:hAnsi="Times New Roman" w:cs="Times New Roman"/>
                <w:sz w:val="24"/>
                <w:szCs w:val="24"/>
              </w:rPr>
              <w:t>1</w:t>
            </w:r>
            <w:r w:rsidR="008B2E38">
              <w:rPr>
                <w:rFonts w:ascii="Times New Roman" w:hAnsi="Times New Roman" w:cs="Times New Roman"/>
                <w:sz w:val="24"/>
                <w:szCs w:val="24"/>
              </w:rPr>
              <w:t>1</w:t>
            </w:r>
            <w:r>
              <w:rPr>
                <w:rFonts w:ascii="Times New Roman" w:hAnsi="Times New Roman" w:cs="Times New Roman"/>
                <w:sz w:val="24"/>
                <w:szCs w:val="24"/>
              </w:rPr>
              <w:t xml:space="preserve">) </w:t>
            </w:r>
            <w:r w:rsidR="009D603F" w:rsidRPr="00FB4E9E">
              <w:rPr>
                <w:rFonts w:ascii="Times New Roman" w:hAnsi="Times New Roman" w:cs="Times New Roman"/>
                <w:sz w:val="24"/>
                <w:szCs w:val="24"/>
              </w:rPr>
              <w:t xml:space="preserve">Šobrīd likuma 23.panta trešajā un devītajā daļā ir noteikts akcīzes nodokļa samaksas termiņš reģistrētam nosūtītājam, kas ir vienāds ar noteiktu nosacījumu iestāšanās termiņu, kuri ir noteikti citā likuma pantā un kuri ir par pamatu akcīzes nodokļa samaksai. Tas rada problēmas akcīzes nodokļa savlaicīgai nomaksai, jo nodoklis  jānomaksā tajā pašā dienā, kad iestājas noteiktie nosacījumi. </w:t>
            </w:r>
          </w:p>
          <w:p w14:paraId="7C88CF30" w14:textId="5BDF6AE5" w:rsidR="005975FA" w:rsidRDefault="009D603F" w:rsidP="009D603F">
            <w:pPr>
              <w:tabs>
                <w:tab w:val="left" w:pos="250"/>
              </w:tabs>
              <w:spacing w:after="0" w:line="240" w:lineRule="auto"/>
              <w:ind w:firstLine="392"/>
              <w:jc w:val="both"/>
              <w:rPr>
                <w:rFonts w:ascii="Times New Roman" w:hAnsi="Times New Roman" w:cs="Times New Roman"/>
                <w:sz w:val="24"/>
                <w:szCs w:val="24"/>
              </w:rPr>
            </w:pPr>
            <w:r w:rsidRPr="00FB4E9E">
              <w:rPr>
                <w:rFonts w:ascii="Times New Roman" w:hAnsi="Times New Roman" w:cs="Times New Roman"/>
                <w:sz w:val="24"/>
                <w:szCs w:val="24"/>
              </w:rPr>
              <w:t>Līdz ar to ir nepieciešams precizēt likuma 23.panta trešajā un devītajā daļā noteikto akcīzes nodokļa samaksas termiņu, paredzot, ka akcīzes nodoklis ir jānomaksā piecu darbdienu laikā pēc noteiktu nosacījumu iestāšanās.</w:t>
            </w:r>
          </w:p>
          <w:p w14:paraId="6D2844F9" w14:textId="77777777" w:rsidR="005975FA" w:rsidRPr="00FB4E9E" w:rsidRDefault="005975FA" w:rsidP="00D6069A">
            <w:pPr>
              <w:tabs>
                <w:tab w:val="left" w:pos="250"/>
              </w:tabs>
              <w:spacing w:after="0" w:line="240" w:lineRule="auto"/>
              <w:ind w:firstLine="392"/>
              <w:jc w:val="both"/>
              <w:rPr>
                <w:rFonts w:ascii="Times New Roman" w:hAnsi="Times New Roman" w:cs="Times New Roman"/>
                <w:sz w:val="24"/>
                <w:szCs w:val="24"/>
              </w:rPr>
            </w:pPr>
          </w:p>
          <w:p w14:paraId="59C29E48" w14:textId="58EF6900" w:rsidR="009D603F" w:rsidRDefault="009D603F" w:rsidP="009D603F">
            <w:pPr>
              <w:tabs>
                <w:tab w:val="left" w:pos="250"/>
              </w:tabs>
              <w:spacing w:after="0" w:line="240" w:lineRule="auto"/>
              <w:ind w:firstLine="392"/>
              <w:jc w:val="both"/>
              <w:rPr>
                <w:rFonts w:ascii="Times New Roman" w:hAnsi="Times New Roman" w:cs="Times New Roman"/>
                <w:sz w:val="24"/>
                <w:szCs w:val="24"/>
              </w:rPr>
            </w:pPr>
            <w:r>
              <w:rPr>
                <w:rFonts w:ascii="Times New Roman" w:hAnsi="Times New Roman" w:cs="Times New Roman"/>
                <w:sz w:val="24"/>
                <w:szCs w:val="24"/>
              </w:rPr>
              <w:t>1</w:t>
            </w:r>
            <w:r w:rsidR="008B2E38">
              <w:rPr>
                <w:rFonts w:ascii="Times New Roman" w:hAnsi="Times New Roman" w:cs="Times New Roman"/>
                <w:sz w:val="24"/>
                <w:szCs w:val="24"/>
              </w:rPr>
              <w:t>2</w:t>
            </w:r>
            <w:r w:rsidR="004A0613" w:rsidRPr="00FB4E9E">
              <w:rPr>
                <w:rFonts w:ascii="Times New Roman" w:hAnsi="Times New Roman" w:cs="Times New Roman"/>
                <w:sz w:val="24"/>
                <w:szCs w:val="24"/>
              </w:rPr>
              <w:t xml:space="preserve">) </w:t>
            </w:r>
            <w:r w:rsidRPr="00FB4E9E">
              <w:rPr>
                <w:rFonts w:ascii="Times New Roman" w:hAnsi="Times New Roman" w:cs="Times New Roman"/>
                <w:sz w:val="24"/>
                <w:szCs w:val="24"/>
              </w:rPr>
              <w:t xml:space="preserve">Šobrīd likuma 23.panta desmitajā daļā par akcīzes precēm, ko citu dalībvalstu komersanti ieved Latvijas Republikā saskaņā ar likuma 25.pantu, akcīzes nodokļa </w:t>
            </w:r>
            <w:r w:rsidRPr="00FB4E9E">
              <w:rPr>
                <w:rFonts w:ascii="Times New Roman" w:hAnsi="Times New Roman" w:cs="Times New Roman"/>
                <w:sz w:val="24"/>
                <w:szCs w:val="24"/>
              </w:rPr>
              <w:lastRenderedPageBreak/>
              <w:t>samaksas pienākumu nosaka tikai citas dalībvalsts apstiprinātam noliktavas turētājiem un reģistrētiem saņēmējiem. Taču praksē Valsts ieņēmumu dienests saskaras ar situācijām, kad akcīzes nodokļa samaksu nodrošina citas personas, piemēram, pārvadātājs, tāpēc, lai nodrošinātu akcīzes nodokļa iekasēšanu, nepieciešamas izmaiņas likuma 23.panta desmitajā daļā, papildinot to ar normu, kas nosaka, ka par akcīzes preču iztrūkumu Latvijas Republikā maksā ne tikai citas dalībvalsts apstiprināts noliktavas turētājs un reģistrēts nosūtītājs, bet arī persona, kas sniedz nodrošinājumu par no citas dalībvalsts uz  Latvijas Republiku pārvietotajām akcīzes precēm.</w:t>
            </w:r>
          </w:p>
          <w:p w14:paraId="642C3D7B" w14:textId="7322A821" w:rsidR="00E87DF8" w:rsidRPr="00E87DF8" w:rsidRDefault="00E87DF8" w:rsidP="00E87DF8">
            <w:pPr>
              <w:tabs>
                <w:tab w:val="left" w:pos="250"/>
              </w:tabs>
              <w:spacing w:after="0" w:line="240" w:lineRule="auto"/>
              <w:ind w:firstLine="392"/>
              <w:jc w:val="both"/>
              <w:rPr>
                <w:rFonts w:ascii="Times New Roman" w:hAnsi="Times New Roman" w:cs="Times New Roman"/>
                <w:sz w:val="24"/>
                <w:szCs w:val="24"/>
              </w:rPr>
            </w:pPr>
            <w:r>
              <w:rPr>
                <w:rFonts w:ascii="Times New Roman" w:hAnsi="Times New Roman" w:cs="Times New Roman"/>
                <w:sz w:val="24"/>
                <w:szCs w:val="24"/>
              </w:rPr>
              <w:t>Papildus, šajā daļā noteikts, ka</w:t>
            </w:r>
            <w:r w:rsidR="005F5B3E">
              <w:rPr>
                <w:rFonts w:ascii="Times New Roman" w:hAnsi="Times New Roman" w:cs="Times New Roman"/>
                <w:sz w:val="24"/>
                <w:szCs w:val="24"/>
              </w:rPr>
              <w:t xml:space="preserve"> </w:t>
            </w:r>
            <w:r w:rsidRPr="00E87DF8">
              <w:rPr>
                <w:rFonts w:ascii="Times New Roman" w:hAnsi="Times New Roman" w:cs="Times New Roman"/>
                <w:sz w:val="24"/>
                <w:szCs w:val="24"/>
              </w:rPr>
              <w:t>citas dalībvalsts apstiprināts noliktavas turētājs un reģistrēts nosūtītājs, kas Latvijas Republikā ieved akcīzes preces saskaņā ar šā likuma 25.pantu, par Latvijas Republikā konstatēto akcīzes preču iztrūkumu samaksā akcīzes nodokli četru mēnešu laikā no attiecīgo akcīzes preču pārvietošanas sākuma. Ja minētajā termiņā akcīzes nodoklis netiek samaksāts, tiek aprēķināta likuma “Par nodokļiem un nodevām” 29.panta otrajā daļā noteiktā nokavējuma nauda.</w:t>
            </w:r>
          </w:p>
          <w:p w14:paraId="103F84A2" w14:textId="5BA12544" w:rsidR="00E87DF8" w:rsidRPr="00E87DF8" w:rsidRDefault="00E87DF8" w:rsidP="00E87DF8">
            <w:pPr>
              <w:tabs>
                <w:tab w:val="left" w:pos="250"/>
              </w:tabs>
              <w:spacing w:after="0" w:line="240" w:lineRule="auto"/>
              <w:ind w:firstLine="392"/>
              <w:jc w:val="both"/>
              <w:rPr>
                <w:rFonts w:ascii="Times New Roman" w:hAnsi="Times New Roman" w:cs="Times New Roman"/>
                <w:sz w:val="24"/>
                <w:szCs w:val="24"/>
              </w:rPr>
            </w:pPr>
            <w:r>
              <w:rPr>
                <w:rFonts w:ascii="Times New Roman" w:hAnsi="Times New Roman" w:cs="Times New Roman"/>
                <w:sz w:val="24"/>
                <w:szCs w:val="24"/>
              </w:rPr>
              <w:t>Līdzšinējā prakse rāda, ka c</w:t>
            </w:r>
            <w:r w:rsidRPr="00E87DF8">
              <w:rPr>
                <w:rFonts w:ascii="Times New Roman" w:hAnsi="Times New Roman" w:cs="Times New Roman"/>
                <w:sz w:val="24"/>
                <w:szCs w:val="24"/>
              </w:rPr>
              <w:t>itu dalībvalstu komersantiem nav zināmas minētās Latvijas Republikas normatīvo aktu prasības un kāda ir nodokļa maksāšanas kārtība. Savukārt Valsts ieņēmumu dienestam pirms attiecīga lēmuma pieņemšanas ir nepieciešams pārbaudīt katrā elektroniskajā administratīvajā dokumentā norādītā iztrūkuma rašanās iemeslu. Lai to noskaidrotu</w:t>
            </w:r>
            <w:r>
              <w:rPr>
                <w:rFonts w:ascii="Times New Roman" w:hAnsi="Times New Roman" w:cs="Times New Roman"/>
                <w:sz w:val="24"/>
                <w:szCs w:val="24"/>
              </w:rPr>
              <w:t>,</w:t>
            </w:r>
            <w:r w:rsidRPr="00E87DF8">
              <w:rPr>
                <w:rFonts w:ascii="Times New Roman" w:hAnsi="Times New Roman" w:cs="Times New Roman"/>
                <w:sz w:val="24"/>
                <w:szCs w:val="24"/>
              </w:rPr>
              <w:t xml:space="preserve"> Valsts ieņēmumu dienestam ir jāsadarbojas ar attiecīgās nosūtītāja dalībvalsts nodokļu administrācij</w:t>
            </w:r>
            <w:r w:rsidR="003B2CFB">
              <w:rPr>
                <w:rFonts w:ascii="Times New Roman" w:hAnsi="Times New Roman" w:cs="Times New Roman"/>
                <w:sz w:val="24"/>
                <w:szCs w:val="24"/>
              </w:rPr>
              <w:t>u,</w:t>
            </w:r>
            <w:r w:rsidRPr="00E87DF8">
              <w:rPr>
                <w:rFonts w:ascii="Times New Roman" w:hAnsi="Times New Roman" w:cs="Times New Roman"/>
                <w:sz w:val="24"/>
                <w:szCs w:val="24"/>
              </w:rPr>
              <w:t xml:space="preserve"> izmantojot Eiropas Savienībā noteikto administratīvās sadarbības sistēmu. Līdz ar to</w:t>
            </w:r>
            <w:r w:rsidR="003B2CFB">
              <w:rPr>
                <w:rFonts w:ascii="Times New Roman" w:hAnsi="Times New Roman" w:cs="Times New Roman"/>
                <w:sz w:val="24"/>
                <w:szCs w:val="24"/>
              </w:rPr>
              <w:t>,</w:t>
            </w:r>
            <w:r w:rsidRPr="00E87DF8">
              <w:rPr>
                <w:rFonts w:ascii="Times New Roman" w:hAnsi="Times New Roman" w:cs="Times New Roman"/>
                <w:sz w:val="24"/>
                <w:szCs w:val="24"/>
              </w:rPr>
              <w:t xml:space="preserve"> ņemot vērā akcīzes preču pārvietošanas laiku, minētai administratīvai sadarbībai nepieciešamo laiku, kas parasti prasa vairākus mēnešus, un informācijas analīzei nepieciešamo laiku, līdz attiecīga lēmuma pieņemšanai bieži paiet vairāk kā četri mēneši. Līdz ar to Valsts ieņēmumu dienestam ir jāgatavo lēmums, kurā jau ir aprēķināta nokavējuma nauda. </w:t>
            </w:r>
          </w:p>
          <w:p w14:paraId="0AA8FC62" w14:textId="5A703296" w:rsidR="00E87DF8" w:rsidRDefault="00E87DF8" w:rsidP="00E87DF8">
            <w:pPr>
              <w:tabs>
                <w:tab w:val="left" w:pos="250"/>
              </w:tabs>
              <w:spacing w:after="0" w:line="240" w:lineRule="auto"/>
              <w:ind w:firstLine="392"/>
              <w:jc w:val="both"/>
              <w:rPr>
                <w:rFonts w:ascii="Times New Roman" w:hAnsi="Times New Roman" w:cs="Times New Roman"/>
                <w:sz w:val="24"/>
                <w:szCs w:val="24"/>
              </w:rPr>
            </w:pPr>
            <w:r w:rsidRPr="00E87DF8">
              <w:rPr>
                <w:rFonts w:ascii="Times New Roman" w:hAnsi="Times New Roman" w:cs="Times New Roman"/>
                <w:sz w:val="24"/>
                <w:szCs w:val="24"/>
              </w:rPr>
              <w:t>Ņemot vērā to, ka Valsts ieņēmumu dienestam četru mēnešu laikā no akcīzes preču pārvietošanas sākuma bieži nav iespējams noskaidrot faktiskos iztrūkumu iemeslus un sagatavot attiecīgu lēmumu, kā arī tam nav iespējas sazināties ar attiecīgo akcīzes preču nosūtītāju, lai to savlaicīgi informētu, ka tam var izveidoties akcīzes nodokļa parāds, būtu nepieciešams likuma 23.pant</w:t>
            </w:r>
            <w:r w:rsidR="00D95397">
              <w:rPr>
                <w:rFonts w:ascii="Times New Roman" w:hAnsi="Times New Roman" w:cs="Times New Roman"/>
                <w:sz w:val="24"/>
                <w:szCs w:val="24"/>
              </w:rPr>
              <w:t>a desmitajā daļā</w:t>
            </w:r>
            <w:r w:rsidRPr="00E87DF8">
              <w:rPr>
                <w:rFonts w:ascii="Times New Roman" w:hAnsi="Times New Roman" w:cs="Times New Roman"/>
                <w:sz w:val="24"/>
                <w:szCs w:val="24"/>
              </w:rPr>
              <w:t xml:space="preserve"> noteikt, ka </w:t>
            </w:r>
            <w:r w:rsidR="00D95397">
              <w:rPr>
                <w:rFonts w:ascii="Times New Roman" w:hAnsi="Times New Roman" w:cs="Times New Roman"/>
                <w:sz w:val="24"/>
                <w:szCs w:val="24"/>
              </w:rPr>
              <w:t xml:space="preserve">akcīzes </w:t>
            </w:r>
            <w:r w:rsidR="00D95397" w:rsidRPr="00D95397">
              <w:rPr>
                <w:rFonts w:ascii="Times New Roman" w:hAnsi="Times New Roman" w:cs="Times New Roman"/>
                <w:sz w:val="24"/>
                <w:szCs w:val="24"/>
              </w:rPr>
              <w:t xml:space="preserve">nodokli samaksā persona (vai personas solidāri), kura elektroniskajā administratīvajā dokumentā norādīta kā garantētājs, </w:t>
            </w:r>
            <w:r w:rsidR="00D95397" w:rsidRPr="00D95397">
              <w:rPr>
                <w:rFonts w:ascii="Times New Roman" w:hAnsi="Times New Roman" w:cs="Times New Roman"/>
                <w:sz w:val="24"/>
                <w:szCs w:val="24"/>
              </w:rPr>
              <w:lastRenderedPageBreak/>
              <w:t>mēneša laikā no Valsts ieņēmumu dienesta lēmuma par nodokļa aprēķinu paziņošanas dienas.</w:t>
            </w:r>
          </w:p>
          <w:p w14:paraId="1D519A35" w14:textId="551BF91E" w:rsidR="00356FA1" w:rsidRDefault="00356FA1" w:rsidP="00E87DF8">
            <w:pPr>
              <w:tabs>
                <w:tab w:val="left" w:pos="250"/>
              </w:tabs>
              <w:spacing w:after="0" w:line="240" w:lineRule="auto"/>
              <w:ind w:firstLine="392"/>
              <w:jc w:val="both"/>
              <w:rPr>
                <w:rFonts w:ascii="Times New Roman" w:hAnsi="Times New Roman" w:cs="Times New Roman"/>
                <w:sz w:val="24"/>
                <w:szCs w:val="24"/>
              </w:rPr>
            </w:pPr>
          </w:p>
          <w:p w14:paraId="2D30D874" w14:textId="32233CBC" w:rsidR="00356FA1" w:rsidRPr="00FB4E9E" w:rsidRDefault="00356FA1" w:rsidP="00E87DF8">
            <w:pPr>
              <w:tabs>
                <w:tab w:val="left" w:pos="250"/>
              </w:tabs>
              <w:spacing w:after="0" w:line="240" w:lineRule="auto"/>
              <w:ind w:firstLine="392"/>
              <w:jc w:val="both"/>
              <w:rPr>
                <w:rFonts w:ascii="Times New Roman" w:hAnsi="Times New Roman" w:cs="Times New Roman"/>
                <w:sz w:val="24"/>
                <w:szCs w:val="24"/>
              </w:rPr>
            </w:pPr>
            <w:r>
              <w:rPr>
                <w:rFonts w:ascii="Times New Roman" w:hAnsi="Times New Roman" w:cs="Times New Roman"/>
                <w:sz w:val="24"/>
                <w:szCs w:val="24"/>
              </w:rPr>
              <w:t xml:space="preserve">13) </w:t>
            </w:r>
            <w:r w:rsidR="00AC7F0F">
              <w:rPr>
                <w:rFonts w:ascii="Times New Roman" w:hAnsi="Times New Roman" w:cs="Times New Roman"/>
                <w:sz w:val="24"/>
                <w:szCs w:val="24"/>
              </w:rPr>
              <w:t>Nepieciešams likuma 23.panta trīspadsmitajā daļā izslēgt atsauci uz šā panta trešo daļu, jo</w:t>
            </w:r>
            <w:r w:rsidR="00AC7F0F" w:rsidRPr="00AC7F0F">
              <w:rPr>
                <w:rFonts w:ascii="Arial" w:hAnsi="Arial" w:cs="Arial"/>
              </w:rPr>
              <w:t xml:space="preserve"> </w:t>
            </w:r>
            <w:r w:rsidR="00AC7F0F">
              <w:rPr>
                <w:rFonts w:ascii="Arial" w:hAnsi="Arial" w:cs="Arial"/>
              </w:rPr>
              <w:t>r</w:t>
            </w:r>
            <w:r w:rsidR="00AC7F0F" w:rsidRPr="00AC7F0F">
              <w:rPr>
                <w:rFonts w:ascii="Times New Roman" w:hAnsi="Times New Roman" w:cs="Times New Roman"/>
                <w:sz w:val="24"/>
                <w:szCs w:val="24"/>
              </w:rPr>
              <w:t>eģistrēts nosūtītājs aprēķināto nodokli par akcīzes precēm, kuras piesaka muitas procedūrai — laišana brīvā apgrozībā — un kurām piemēro atlikto nodokļa maksāšanu saskaņā ar šā likuma 25.panta nosacījumiem, samaksā valsts budžetā saskaņā ar šā likuma 25.panta trešās daļas nosacījumiem</w:t>
            </w:r>
            <w:r w:rsidR="00AC7F0F">
              <w:rPr>
                <w:rFonts w:ascii="Times New Roman" w:hAnsi="Times New Roman" w:cs="Times New Roman"/>
                <w:sz w:val="24"/>
                <w:szCs w:val="24"/>
              </w:rPr>
              <w:t>.</w:t>
            </w:r>
          </w:p>
          <w:p w14:paraId="659FE63E" w14:textId="77777777" w:rsidR="009D603F" w:rsidRDefault="009D603F" w:rsidP="00D6069A">
            <w:pPr>
              <w:tabs>
                <w:tab w:val="left" w:pos="250"/>
              </w:tabs>
              <w:spacing w:after="0" w:line="240" w:lineRule="auto"/>
              <w:ind w:firstLine="392"/>
              <w:jc w:val="both"/>
              <w:rPr>
                <w:rFonts w:ascii="Times New Roman" w:hAnsi="Times New Roman" w:cs="Times New Roman"/>
                <w:sz w:val="24"/>
                <w:szCs w:val="24"/>
              </w:rPr>
            </w:pPr>
          </w:p>
          <w:p w14:paraId="73208BE7" w14:textId="60E89E0D" w:rsidR="004A0613" w:rsidRPr="00FB4E9E" w:rsidRDefault="008B2E38" w:rsidP="00D6069A">
            <w:pPr>
              <w:tabs>
                <w:tab w:val="left" w:pos="250"/>
              </w:tabs>
              <w:spacing w:after="0" w:line="240" w:lineRule="auto"/>
              <w:ind w:firstLine="392"/>
              <w:jc w:val="both"/>
              <w:rPr>
                <w:rFonts w:ascii="Times New Roman" w:hAnsi="Times New Roman" w:cs="Times New Roman"/>
                <w:sz w:val="24"/>
                <w:szCs w:val="24"/>
              </w:rPr>
            </w:pPr>
            <w:r>
              <w:rPr>
                <w:rFonts w:ascii="Times New Roman" w:hAnsi="Times New Roman" w:cs="Times New Roman"/>
                <w:sz w:val="24"/>
                <w:szCs w:val="24"/>
              </w:rPr>
              <w:t>1</w:t>
            </w:r>
            <w:r w:rsidR="00AC7F0F">
              <w:rPr>
                <w:rFonts w:ascii="Times New Roman" w:hAnsi="Times New Roman" w:cs="Times New Roman"/>
                <w:sz w:val="24"/>
                <w:szCs w:val="24"/>
              </w:rPr>
              <w:t>4</w:t>
            </w:r>
            <w:r w:rsidR="009D603F">
              <w:rPr>
                <w:rFonts w:ascii="Times New Roman" w:hAnsi="Times New Roman" w:cs="Times New Roman"/>
                <w:sz w:val="24"/>
                <w:szCs w:val="24"/>
              </w:rPr>
              <w:t xml:space="preserve">) </w:t>
            </w:r>
            <w:r w:rsidR="004A0613" w:rsidRPr="00FB4E9E">
              <w:rPr>
                <w:rFonts w:ascii="Times New Roman" w:hAnsi="Times New Roman" w:cs="Times New Roman"/>
                <w:sz w:val="24"/>
                <w:szCs w:val="24"/>
              </w:rPr>
              <w:t>Likuma 23.panta četrpadsmitā daļa paredz, ka, ja akcīzes nodokļa maksātājs par akcīzes precēm, kuras marķē ar akcīzes nodokļa markām, nesamaksā akcīzes nodokli saskaņā ar šā panta trīspadsmitās daļas nosacījumiem 180 dienu laikā no akcīzes nodokļa marku saņemšanas dienas, uzskatāms, ka akcīzes preces ir laistas brīvā apgrozībā vai nodotas patēriņam Latvijas Republikā un nodokli par attiecīgajām akcīzes precēm atbilstoši saņemtajām akcīzes nodokļa markām maksā akcīzes nodokļa maksātājs, kurš akcīzes nodokļa markas ir saņēmis. Importētājs un īslaicīgi reģistrēts saņēmējs, kas saņēmis akcīzes nodokļa markas, akcīzes nodokli samaksā ne vēlāk kā piecu darbdienu laikā pēc iepriekš minēto n</w:t>
            </w:r>
            <w:r w:rsidR="0011613E" w:rsidRPr="00FB4E9E">
              <w:rPr>
                <w:rFonts w:ascii="Times New Roman" w:hAnsi="Times New Roman" w:cs="Times New Roman"/>
                <w:sz w:val="24"/>
                <w:szCs w:val="24"/>
              </w:rPr>
              <w:t>osacījumu iestāšanās dienas. Akcīzes n</w:t>
            </w:r>
            <w:r w:rsidR="004A0613" w:rsidRPr="00FB4E9E">
              <w:rPr>
                <w:rFonts w:ascii="Times New Roman" w:hAnsi="Times New Roman" w:cs="Times New Roman"/>
                <w:sz w:val="24"/>
                <w:szCs w:val="24"/>
              </w:rPr>
              <w:t xml:space="preserve">odokli nemaksā par tām akcīzes precēm, par kurām </w:t>
            </w:r>
            <w:r w:rsidR="00C16100" w:rsidRPr="00FB4E9E">
              <w:rPr>
                <w:rFonts w:ascii="Times New Roman" w:hAnsi="Times New Roman" w:cs="Times New Roman"/>
                <w:sz w:val="24"/>
                <w:szCs w:val="24"/>
              </w:rPr>
              <w:t xml:space="preserve">akcīzes </w:t>
            </w:r>
            <w:r w:rsidR="004A0613" w:rsidRPr="00FB4E9E">
              <w:rPr>
                <w:rFonts w:ascii="Times New Roman" w:hAnsi="Times New Roman" w:cs="Times New Roman"/>
                <w:sz w:val="24"/>
                <w:szCs w:val="24"/>
              </w:rPr>
              <w:t>nodokļa maksātājs atdod atpakaļ akcīzes nodokļa markas saskaņā ar šā likuma 27.pantu.</w:t>
            </w:r>
          </w:p>
          <w:p w14:paraId="42A4078B" w14:textId="77777777" w:rsidR="004A0613" w:rsidRPr="00FB4E9E" w:rsidRDefault="004A0613" w:rsidP="00D6069A">
            <w:pPr>
              <w:tabs>
                <w:tab w:val="left" w:pos="250"/>
              </w:tabs>
              <w:spacing w:after="0" w:line="240" w:lineRule="auto"/>
              <w:ind w:firstLine="392"/>
              <w:jc w:val="both"/>
              <w:rPr>
                <w:rFonts w:ascii="Times New Roman" w:hAnsi="Times New Roman" w:cs="Times New Roman"/>
                <w:sz w:val="24"/>
                <w:szCs w:val="24"/>
              </w:rPr>
            </w:pPr>
            <w:r w:rsidRPr="00FB4E9E">
              <w:rPr>
                <w:rFonts w:ascii="Times New Roman" w:hAnsi="Times New Roman" w:cs="Times New Roman"/>
                <w:sz w:val="24"/>
                <w:szCs w:val="24"/>
              </w:rPr>
              <w:t>Tādējādi par izņemtajām akcīzes nodokļa markām ir jāsamaksā akcīzes nodoklis 180 dienu laikā, jo akcīzes preces tiek uzskatītas par laistām brīvā apgrozībā vai nodotas patēriņam Latvijas Republikā. Tas nozīmē, ka komersantiem pie mainīgiem tirgus apstākļiem ir jāiesaldē uzņēmuma apgrozāmie līdzekļi, lai varētu apmaksāt paņemtās, bet ne vienmēr izmantotās akcīzes nodokļa markas.</w:t>
            </w:r>
          </w:p>
          <w:p w14:paraId="29C22542" w14:textId="77777777" w:rsidR="004A0613" w:rsidRPr="00FB4E9E" w:rsidRDefault="004A0613" w:rsidP="00D6069A">
            <w:pPr>
              <w:tabs>
                <w:tab w:val="left" w:pos="250"/>
              </w:tabs>
              <w:spacing w:after="0" w:line="240" w:lineRule="auto"/>
              <w:ind w:firstLine="392"/>
              <w:jc w:val="both"/>
              <w:rPr>
                <w:rFonts w:ascii="Times New Roman" w:hAnsi="Times New Roman" w:cs="Times New Roman"/>
                <w:sz w:val="24"/>
                <w:szCs w:val="24"/>
              </w:rPr>
            </w:pPr>
            <w:r w:rsidRPr="00FB4E9E">
              <w:rPr>
                <w:rFonts w:ascii="Times New Roman" w:hAnsi="Times New Roman" w:cs="Times New Roman"/>
                <w:sz w:val="24"/>
                <w:szCs w:val="24"/>
              </w:rPr>
              <w:t>Latvijas Alkohola nozares asociācija (turpmāk – LANA) ierosināja pagarināt šo akcīzes nodokļa marku samaksas termiņu uz 360 dienām vai atcelt vispār un veikt akcīzes nodokļa samaksu vispārējā kārtībā.</w:t>
            </w:r>
          </w:p>
          <w:p w14:paraId="181C0C93" w14:textId="2E59601F" w:rsidR="004A0613" w:rsidRDefault="004A0613" w:rsidP="00D6069A">
            <w:pPr>
              <w:tabs>
                <w:tab w:val="left" w:pos="250"/>
              </w:tabs>
              <w:spacing w:after="0" w:line="240" w:lineRule="auto"/>
              <w:ind w:firstLine="392"/>
              <w:jc w:val="both"/>
              <w:rPr>
                <w:rFonts w:ascii="Times New Roman" w:hAnsi="Times New Roman" w:cs="Times New Roman"/>
                <w:sz w:val="24"/>
                <w:szCs w:val="24"/>
              </w:rPr>
            </w:pPr>
            <w:r w:rsidRPr="00FB4E9E">
              <w:rPr>
                <w:rFonts w:ascii="Times New Roman" w:hAnsi="Times New Roman" w:cs="Times New Roman"/>
                <w:sz w:val="24"/>
                <w:szCs w:val="24"/>
              </w:rPr>
              <w:t>Izvērtējot minēto priekšlikumu, tajā skaitā iespējamos riskus, tika secināts, ka priekšlikums ir atbalstāms, attiecīgi veicot nepieciešamos grozījumus likumā. Līdz ar to, atceļot prasību 180 dienu laikā veikt akcīzes nodokļa samaksu par saņemtajām akcīzes nodokļa markām, turpmāk par ar akcīzes nodokli marķējamajām akcīzes precēm akcīzes nodoklis būs jāmaksā pēc faktiski marķēto akcīzes preču vienību skaita, kas nodotas patēriņam vai laistas brīvā apgrozībā.</w:t>
            </w:r>
            <w:r w:rsidR="00356FA1">
              <w:rPr>
                <w:rFonts w:ascii="Times New Roman" w:hAnsi="Times New Roman" w:cs="Times New Roman"/>
                <w:sz w:val="24"/>
                <w:szCs w:val="24"/>
              </w:rPr>
              <w:t xml:space="preserve"> </w:t>
            </w:r>
          </w:p>
          <w:p w14:paraId="3D4A6A6A" w14:textId="2A667828" w:rsidR="00C82DEE" w:rsidRDefault="00C82DEE" w:rsidP="00D6069A">
            <w:pPr>
              <w:tabs>
                <w:tab w:val="left" w:pos="250"/>
              </w:tabs>
              <w:spacing w:after="0" w:line="240" w:lineRule="auto"/>
              <w:ind w:firstLine="392"/>
              <w:jc w:val="both"/>
              <w:rPr>
                <w:rFonts w:ascii="Times New Roman" w:hAnsi="Times New Roman" w:cs="Times New Roman"/>
                <w:sz w:val="24"/>
                <w:szCs w:val="24"/>
              </w:rPr>
            </w:pPr>
          </w:p>
          <w:p w14:paraId="4BA5DCAE" w14:textId="43488F57" w:rsidR="00FE2F02" w:rsidRPr="00FB4E9E" w:rsidRDefault="008C34A3" w:rsidP="00FE2F02">
            <w:pPr>
              <w:tabs>
                <w:tab w:val="left" w:pos="250"/>
              </w:tabs>
              <w:spacing w:after="0" w:line="240" w:lineRule="auto"/>
              <w:ind w:firstLine="392"/>
              <w:jc w:val="both"/>
              <w:rPr>
                <w:rFonts w:ascii="Times New Roman" w:hAnsi="Times New Roman" w:cs="Times New Roman"/>
                <w:sz w:val="24"/>
                <w:szCs w:val="24"/>
              </w:rPr>
            </w:pPr>
            <w:r>
              <w:rPr>
                <w:rFonts w:ascii="Times New Roman" w:hAnsi="Times New Roman" w:cs="Times New Roman"/>
                <w:sz w:val="24"/>
                <w:szCs w:val="24"/>
              </w:rPr>
              <w:lastRenderedPageBreak/>
              <w:t>1</w:t>
            </w:r>
            <w:r w:rsidR="00AC7F0F">
              <w:rPr>
                <w:rFonts w:ascii="Times New Roman" w:hAnsi="Times New Roman" w:cs="Times New Roman"/>
                <w:sz w:val="24"/>
                <w:szCs w:val="24"/>
              </w:rPr>
              <w:t>5</w:t>
            </w:r>
            <w:r>
              <w:rPr>
                <w:rFonts w:ascii="Times New Roman" w:hAnsi="Times New Roman" w:cs="Times New Roman"/>
                <w:sz w:val="24"/>
                <w:szCs w:val="24"/>
              </w:rPr>
              <w:t>)</w:t>
            </w:r>
            <w:r w:rsidR="00FE2F02">
              <w:rPr>
                <w:rFonts w:ascii="Times New Roman" w:hAnsi="Times New Roman" w:cs="Times New Roman"/>
                <w:sz w:val="24"/>
                <w:szCs w:val="24"/>
              </w:rPr>
              <w:t xml:space="preserve"> </w:t>
            </w:r>
            <w:r w:rsidR="00FE2F02" w:rsidRPr="00FB4E9E">
              <w:rPr>
                <w:rFonts w:ascii="Times New Roman" w:hAnsi="Times New Roman" w:cs="Times New Roman"/>
                <w:sz w:val="24"/>
                <w:szCs w:val="24"/>
              </w:rPr>
              <w:t>Šobrīd likuma 23.panta septiņpadsmitā daļa paredz, ka persona, kurai izsniegtā speciālā atļauja (licence) apstiprināta noliktavas turētāja darbībai ir zaudējusi spēku vai anulēta, 15 dienu laikā pēc taksācijas perioda beigām, kurā attiecīgā speciālā atļauja (licence) ir zaudējusi spēku vai atbilstoši normatīvajiem aktiem par akcīzes preču apriti ir stājies spēkā lēmums par attiecīgās speciālās atļaujas (licences) anulēšanu, par attiecīgajiem akcīzes preču atlikumiem samaksā nodokli valsts budžetā vai izmanto nodrošinājumu un atbilstoši normatīvajiem aktiem par akcīzes preču apriti saņemtajai atļaujai minētos akcīzes preču atlikumus pārvieto, realizē, izved vai iznīcina. Tādējādi šajā gadījumā runa ir par bijušo apstiprinātu noliktavas turētāju. Apstiprinātam noliktavas turētājam un reģistrētam saņēmējam akcīzes nodokļa taksācijas periods ir viens kalendāra mēnesis.</w:t>
            </w:r>
          </w:p>
          <w:p w14:paraId="350FEF9B" w14:textId="77777777" w:rsidR="00FE2F02" w:rsidRPr="00FB4E9E" w:rsidRDefault="00FE2F02" w:rsidP="00FE2F02">
            <w:pPr>
              <w:tabs>
                <w:tab w:val="left" w:pos="250"/>
              </w:tabs>
              <w:spacing w:after="0" w:line="240" w:lineRule="auto"/>
              <w:ind w:firstLine="392"/>
              <w:jc w:val="both"/>
              <w:rPr>
                <w:rFonts w:ascii="Times New Roman" w:hAnsi="Times New Roman" w:cs="Times New Roman"/>
                <w:sz w:val="24"/>
                <w:szCs w:val="24"/>
              </w:rPr>
            </w:pPr>
            <w:r w:rsidRPr="00FB4E9E">
              <w:rPr>
                <w:rFonts w:ascii="Times New Roman" w:hAnsi="Times New Roman" w:cs="Times New Roman"/>
                <w:sz w:val="24"/>
                <w:szCs w:val="24"/>
              </w:rPr>
              <w:t>Lai mazinātu administratīvo slogu nodokļu maksātājiem, ar 2021.gada 1.janvāri ir paredzēts vairākus nodokļu maksājumus, tajā skaitā arī akcīzes nodokļa nomaksu veikt noteiktajā termiņā vienotajā nodokļu kontā.</w:t>
            </w:r>
          </w:p>
          <w:p w14:paraId="3F67D278" w14:textId="77777777" w:rsidR="00FE2F02" w:rsidRPr="00FB4E9E" w:rsidRDefault="00FE2F02" w:rsidP="00FE2F02">
            <w:pPr>
              <w:tabs>
                <w:tab w:val="left" w:pos="250"/>
              </w:tabs>
              <w:spacing w:after="0" w:line="240" w:lineRule="auto"/>
              <w:jc w:val="both"/>
              <w:rPr>
                <w:rFonts w:ascii="Times New Roman" w:hAnsi="Times New Roman" w:cs="Times New Roman"/>
                <w:sz w:val="24"/>
                <w:szCs w:val="24"/>
              </w:rPr>
            </w:pPr>
            <w:r w:rsidRPr="00FB4E9E">
              <w:rPr>
                <w:rFonts w:ascii="Times New Roman" w:hAnsi="Times New Roman" w:cs="Times New Roman"/>
                <w:sz w:val="24"/>
                <w:szCs w:val="24"/>
              </w:rPr>
              <w:t xml:space="preserve">Ar Saeimā 2019.gada 23.maijā pieņemtajiem grozījumiem likumā ar 2021.gada 1.janvāri apstiprinātam noliktavas turētājam akcīzes nodoklis būs jāsamaksā ne vēlāk kā līdz nākamā mēneša 23.datumam pēc attiecīgā taksācijas perioda beigām. </w:t>
            </w:r>
          </w:p>
          <w:p w14:paraId="0D02122D" w14:textId="77777777" w:rsidR="00FE2F02" w:rsidRPr="00FB4E9E" w:rsidRDefault="00FE2F02" w:rsidP="00FE2F02">
            <w:pPr>
              <w:tabs>
                <w:tab w:val="left" w:pos="250"/>
              </w:tabs>
              <w:spacing w:after="0" w:line="240" w:lineRule="auto"/>
              <w:ind w:firstLine="400"/>
              <w:jc w:val="both"/>
              <w:rPr>
                <w:rFonts w:ascii="Times New Roman" w:hAnsi="Times New Roman" w:cs="Times New Roman"/>
                <w:sz w:val="24"/>
                <w:szCs w:val="24"/>
                <w:highlight w:val="yellow"/>
              </w:rPr>
            </w:pPr>
            <w:r w:rsidRPr="00FB4E9E">
              <w:rPr>
                <w:rFonts w:ascii="Times New Roman" w:hAnsi="Times New Roman" w:cs="Times New Roman"/>
                <w:sz w:val="24"/>
                <w:szCs w:val="24"/>
              </w:rPr>
              <w:t xml:space="preserve">Tā kā likuma 23.panta septiņpadsmitajā daļa attiecas uz bijušo apstiprinātu noliktavas turētāju, ir nepieciešams šajā daļā noteikt termiņu ne vēlāk kā līdz nākamā mēneša 23.datumam pēc attiecīgā taksācijas perioda beigām.  </w:t>
            </w:r>
          </w:p>
          <w:p w14:paraId="5D9A06AD" w14:textId="2B77799B" w:rsidR="008C34A3" w:rsidRDefault="008C34A3" w:rsidP="00D6069A">
            <w:pPr>
              <w:tabs>
                <w:tab w:val="left" w:pos="250"/>
              </w:tabs>
              <w:spacing w:after="0" w:line="240" w:lineRule="auto"/>
              <w:ind w:firstLine="392"/>
              <w:jc w:val="both"/>
              <w:rPr>
                <w:rFonts w:ascii="Times New Roman" w:hAnsi="Times New Roman" w:cs="Times New Roman"/>
                <w:sz w:val="24"/>
                <w:szCs w:val="24"/>
              </w:rPr>
            </w:pPr>
          </w:p>
          <w:p w14:paraId="5B5F4D07" w14:textId="60D3EAB0" w:rsidR="00D91F0D" w:rsidRPr="00FB4E9E" w:rsidRDefault="00FE2F02" w:rsidP="00D91F0D">
            <w:pPr>
              <w:tabs>
                <w:tab w:val="left" w:pos="250"/>
              </w:tabs>
              <w:spacing w:after="0" w:line="240" w:lineRule="auto"/>
              <w:ind w:firstLine="392"/>
              <w:jc w:val="both"/>
              <w:rPr>
                <w:rFonts w:ascii="Times New Roman" w:hAnsi="Times New Roman" w:cs="Times New Roman"/>
                <w:sz w:val="24"/>
                <w:szCs w:val="24"/>
              </w:rPr>
            </w:pPr>
            <w:r>
              <w:rPr>
                <w:rFonts w:ascii="Times New Roman" w:hAnsi="Times New Roman" w:cs="Times New Roman"/>
                <w:sz w:val="24"/>
                <w:szCs w:val="24"/>
              </w:rPr>
              <w:t>1</w:t>
            </w:r>
            <w:r w:rsidR="00AC7F0F">
              <w:rPr>
                <w:rFonts w:ascii="Times New Roman" w:hAnsi="Times New Roman" w:cs="Times New Roman"/>
                <w:sz w:val="24"/>
                <w:szCs w:val="24"/>
              </w:rPr>
              <w:t>6</w:t>
            </w:r>
            <w:r>
              <w:rPr>
                <w:rFonts w:ascii="Times New Roman" w:hAnsi="Times New Roman" w:cs="Times New Roman"/>
                <w:sz w:val="24"/>
                <w:szCs w:val="24"/>
              </w:rPr>
              <w:t>)</w:t>
            </w:r>
            <w:r w:rsidR="00D91F0D">
              <w:rPr>
                <w:rFonts w:ascii="Times New Roman" w:hAnsi="Times New Roman" w:cs="Times New Roman"/>
                <w:sz w:val="24"/>
                <w:szCs w:val="24"/>
              </w:rPr>
              <w:t xml:space="preserve"> </w:t>
            </w:r>
            <w:r w:rsidR="00D46AFB">
              <w:rPr>
                <w:rFonts w:ascii="Times New Roman" w:hAnsi="Times New Roman" w:cs="Times New Roman"/>
                <w:sz w:val="24"/>
                <w:szCs w:val="24"/>
              </w:rPr>
              <w:t>D</w:t>
            </w:r>
            <w:r w:rsidR="009449BF" w:rsidRPr="00FB4E9E">
              <w:rPr>
                <w:rFonts w:ascii="Times New Roman" w:hAnsi="Times New Roman" w:cs="Times New Roman"/>
                <w:sz w:val="24"/>
                <w:szCs w:val="24"/>
              </w:rPr>
              <w:t xml:space="preserve">aļai akcīzes preču pārvietošanai, piemērojot atlikto akcīzes nodokļa maksāšanu, nepiemēro likuma 25.panta devītajā daļā minēto elektronisko administratīvo dokumentu datorizētās sistēmas ietvaros (EMCS), piemēram, neharmonizētām akcīzes precēm un dabasgāzei. Nereti apstiprināti noliktavas turētāji, kuri izved šādas akcīzes preces uz citu dalībvalsti, kā izvešanu pierādošu dokumentu iesniedz atvērtu pārvadājuma dokumentu, kurā norādīts saņēmējs citā dalībvalstī, taču tas neapliecina, ka akcīzes preču saņēmējs citā dalībvalstī ir arī tās saņēmis. Tādējādi Valsts ieņēmumu dienesta rīcībā nav informācijas par šādu akcīzes preču saņemšanu citā dalībvalstī, jo šobrīd likums nosaka pierādīt izvešanu, bet ne saņemšanu. Pastāv risks, ka šo situāciju uzņēmēji var izmantot ļaunprātīgi, piemēram, atvērt pārvadājuma dokumentu, kurā norādīts saņēmējs citā dalībvalstī, taču fiziski attiecīgās akcīzes preces izvest no akcīzes preču noliktavas Latvijas Republikā un piegādāt patēriņam Latvijas Republikā, tādā veidā izvairoties no atbilstošas akcīzes nodokļa nomaksas. Līdz ar to, lai būtu pierādījums </w:t>
            </w:r>
            <w:r w:rsidR="009449BF" w:rsidRPr="00FB4E9E">
              <w:rPr>
                <w:rFonts w:ascii="Times New Roman" w:hAnsi="Times New Roman" w:cs="Times New Roman"/>
                <w:sz w:val="24"/>
                <w:szCs w:val="24"/>
              </w:rPr>
              <w:lastRenderedPageBreak/>
              <w:t>tam, ka akcīzes preču pārvietošana, piemērojot atlikto akcīzes nodokļa maksāšanu, uz citu dalībvalsti ir noslēgusies un ir pamat</w:t>
            </w:r>
            <w:r w:rsidR="009329C2">
              <w:rPr>
                <w:rFonts w:ascii="Times New Roman" w:hAnsi="Times New Roman" w:cs="Times New Roman"/>
                <w:sz w:val="24"/>
                <w:szCs w:val="24"/>
              </w:rPr>
              <w:t>s</w:t>
            </w:r>
            <w:r w:rsidR="009449BF" w:rsidRPr="00FB4E9E">
              <w:rPr>
                <w:rFonts w:ascii="Times New Roman" w:hAnsi="Times New Roman" w:cs="Times New Roman"/>
                <w:sz w:val="24"/>
                <w:szCs w:val="24"/>
              </w:rPr>
              <w:t xml:space="preserve"> nemaksāt akcīzes nodokli par no Latvijas Republikas izvestajām akcīzes precēm nepieciešams precizēt 25.panta  divpadsmitās, piecpadsmitās un astoņpadsmitās daļas 2.punktu, papildinot to ar nosacījumu</w:t>
            </w:r>
            <w:r w:rsidR="00D91F0D" w:rsidRPr="00FB4E9E">
              <w:rPr>
                <w:rFonts w:ascii="Times New Roman" w:hAnsi="Times New Roman" w:cs="Times New Roman"/>
                <w:sz w:val="24"/>
                <w:szCs w:val="24"/>
              </w:rPr>
              <w:t>, ka akcīzes preces ir saņemtas citā dalībvalstī.</w:t>
            </w:r>
          </w:p>
          <w:p w14:paraId="21810B66" w14:textId="77DF6964" w:rsidR="00FE2F02" w:rsidRDefault="00FE2F02" w:rsidP="00D6069A">
            <w:pPr>
              <w:tabs>
                <w:tab w:val="left" w:pos="250"/>
              </w:tabs>
              <w:spacing w:after="0" w:line="240" w:lineRule="auto"/>
              <w:ind w:firstLine="392"/>
              <w:jc w:val="both"/>
              <w:rPr>
                <w:rFonts w:ascii="Times New Roman" w:hAnsi="Times New Roman" w:cs="Times New Roman"/>
                <w:sz w:val="24"/>
                <w:szCs w:val="24"/>
              </w:rPr>
            </w:pPr>
          </w:p>
          <w:p w14:paraId="39C193F0" w14:textId="56E7E15B" w:rsidR="00886F70" w:rsidRPr="00FB4E9E" w:rsidRDefault="001C730B" w:rsidP="00D6069A">
            <w:pPr>
              <w:tabs>
                <w:tab w:val="left" w:pos="250"/>
              </w:tabs>
              <w:spacing w:after="0" w:line="240" w:lineRule="auto"/>
              <w:ind w:firstLine="392"/>
              <w:jc w:val="both"/>
              <w:rPr>
                <w:rFonts w:ascii="Times New Roman" w:eastAsia="Times New Roman" w:hAnsi="Times New Roman" w:cs="Times New Roman"/>
                <w:sz w:val="24"/>
                <w:szCs w:val="24"/>
                <w:lang w:eastAsia="lv-LV"/>
              </w:rPr>
            </w:pPr>
            <w:r>
              <w:rPr>
                <w:rFonts w:ascii="Times New Roman" w:hAnsi="Times New Roman" w:cs="Times New Roman"/>
                <w:sz w:val="24"/>
                <w:szCs w:val="24"/>
              </w:rPr>
              <w:t>1</w:t>
            </w:r>
            <w:r w:rsidR="00AC7F0F">
              <w:rPr>
                <w:rFonts w:ascii="Times New Roman" w:hAnsi="Times New Roman" w:cs="Times New Roman"/>
                <w:sz w:val="24"/>
                <w:szCs w:val="24"/>
              </w:rPr>
              <w:t>7</w:t>
            </w:r>
            <w:r w:rsidR="00403706" w:rsidRPr="00FB4E9E">
              <w:rPr>
                <w:rFonts w:ascii="Times New Roman" w:hAnsi="Times New Roman" w:cs="Times New Roman"/>
                <w:sz w:val="24"/>
                <w:szCs w:val="24"/>
              </w:rPr>
              <w:t>)</w:t>
            </w:r>
            <w:r w:rsidR="00197D47" w:rsidRPr="00FB4E9E">
              <w:rPr>
                <w:rFonts w:ascii="Times New Roman" w:hAnsi="Times New Roman" w:cs="Times New Roman"/>
                <w:sz w:val="24"/>
                <w:szCs w:val="24"/>
              </w:rPr>
              <w:t xml:space="preserve"> </w:t>
            </w:r>
            <w:r w:rsidR="00403706" w:rsidRPr="00FB4E9E">
              <w:rPr>
                <w:rFonts w:ascii="Times New Roman" w:eastAsia="Times New Roman" w:hAnsi="Times New Roman" w:cs="Times New Roman"/>
                <w:sz w:val="24"/>
                <w:szCs w:val="24"/>
                <w:lang w:eastAsia="lv-LV"/>
              </w:rPr>
              <w:t xml:space="preserve"> </w:t>
            </w:r>
            <w:r w:rsidR="00886F70" w:rsidRPr="00FB4E9E">
              <w:rPr>
                <w:rFonts w:ascii="Times New Roman" w:eastAsia="Times New Roman" w:hAnsi="Times New Roman" w:cs="Times New Roman"/>
                <w:sz w:val="24"/>
                <w:szCs w:val="24"/>
                <w:lang w:eastAsia="lv-LV"/>
              </w:rPr>
              <w:t>Šobrīd saskaņā ar likuma 27.pantu</w:t>
            </w:r>
            <w:r w:rsidR="00BE7468" w:rsidRPr="00FB4E9E">
              <w:rPr>
                <w:rFonts w:ascii="Times New Roman" w:eastAsia="Times New Roman" w:hAnsi="Times New Roman" w:cs="Times New Roman"/>
                <w:sz w:val="24"/>
                <w:szCs w:val="24"/>
                <w:lang w:eastAsia="lv-LV"/>
              </w:rPr>
              <w:t xml:space="preserve"> akcīzes nodoklis nav jāmaksā vai arī, ja akcīzes nodoklis ir jau samaksāts, to pārskaita nodokļu parādu segšanai, turpmākajiem akcīzes nodokļa maksājumiem vai citu nodokļu maksājumiem vai samaksāto akcīzes nodokli atmaksā, ja attiecīgās akcīzes nodokļa markas ir atdotas Valsts ieņēmumu dienestam.</w:t>
            </w:r>
          </w:p>
          <w:p w14:paraId="52554104" w14:textId="77777777" w:rsidR="00197D47" w:rsidRPr="00FB4E9E" w:rsidRDefault="00403706" w:rsidP="00D6069A">
            <w:pPr>
              <w:tabs>
                <w:tab w:val="left" w:pos="250"/>
              </w:tabs>
              <w:spacing w:after="0" w:line="240" w:lineRule="auto"/>
              <w:ind w:firstLine="392"/>
              <w:jc w:val="both"/>
              <w:rPr>
                <w:rFonts w:ascii="Times New Roman" w:hAnsi="Times New Roman" w:cs="Times New Roman"/>
                <w:sz w:val="24"/>
                <w:szCs w:val="24"/>
              </w:rPr>
            </w:pPr>
            <w:r w:rsidRPr="00FB4E9E">
              <w:rPr>
                <w:rFonts w:ascii="Times New Roman" w:hAnsi="Times New Roman" w:cs="Times New Roman"/>
                <w:sz w:val="24"/>
                <w:szCs w:val="24"/>
              </w:rPr>
              <w:t>Tabakas izstrādājumu ražotāju nacionālā asociācija (turpmāk - TIRNA)</w:t>
            </w:r>
            <w:r w:rsidR="00302640" w:rsidRPr="00FB4E9E">
              <w:rPr>
                <w:rFonts w:ascii="Times New Roman" w:hAnsi="Times New Roman" w:cs="Times New Roman"/>
                <w:sz w:val="24"/>
                <w:szCs w:val="24"/>
              </w:rPr>
              <w:t xml:space="preserve"> </w:t>
            </w:r>
            <w:r w:rsidR="00197D47" w:rsidRPr="00FB4E9E">
              <w:rPr>
                <w:rFonts w:ascii="Times New Roman" w:hAnsi="Times New Roman" w:cs="Times New Roman"/>
                <w:sz w:val="24"/>
                <w:szCs w:val="24"/>
              </w:rPr>
              <w:t xml:space="preserve">ir izteikusi </w:t>
            </w:r>
            <w:r w:rsidR="00302640" w:rsidRPr="00FB4E9E">
              <w:rPr>
                <w:rFonts w:ascii="Times New Roman" w:hAnsi="Times New Roman" w:cs="Times New Roman"/>
                <w:sz w:val="24"/>
                <w:szCs w:val="24"/>
              </w:rPr>
              <w:t>priekšlikum</w:t>
            </w:r>
            <w:r w:rsidR="00197D47" w:rsidRPr="00FB4E9E">
              <w:rPr>
                <w:rFonts w:ascii="Times New Roman" w:hAnsi="Times New Roman" w:cs="Times New Roman"/>
                <w:sz w:val="24"/>
                <w:szCs w:val="24"/>
              </w:rPr>
              <w:t>u</w:t>
            </w:r>
            <w:r w:rsidRPr="00FB4E9E">
              <w:rPr>
                <w:rFonts w:ascii="Times New Roman" w:hAnsi="Times New Roman" w:cs="Times New Roman"/>
                <w:sz w:val="24"/>
                <w:szCs w:val="24"/>
              </w:rPr>
              <w:t xml:space="preserve"> veikt grozījumus likumā, lai varētu iznīcināt tabakas izstrādājumus, nenoņemot akcīzes nodokļa markas</w:t>
            </w:r>
            <w:r w:rsidR="0099691B" w:rsidRPr="00FB4E9E">
              <w:rPr>
                <w:rFonts w:ascii="Times New Roman" w:hAnsi="Times New Roman" w:cs="Times New Roman"/>
                <w:sz w:val="24"/>
                <w:szCs w:val="24"/>
              </w:rPr>
              <w:t xml:space="preserve"> no tiem</w:t>
            </w:r>
            <w:r w:rsidR="00197D47" w:rsidRPr="00FB4E9E">
              <w:rPr>
                <w:rFonts w:ascii="Times New Roman" w:hAnsi="Times New Roman" w:cs="Times New Roman"/>
                <w:sz w:val="24"/>
                <w:szCs w:val="24"/>
              </w:rPr>
              <w:t>.</w:t>
            </w:r>
          </w:p>
          <w:p w14:paraId="2BAC26B3" w14:textId="77777777" w:rsidR="00197D47" w:rsidRPr="00FB4E9E" w:rsidRDefault="00197D47" w:rsidP="00D6069A">
            <w:pPr>
              <w:tabs>
                <w:tab w:val="left" w:pos="250"/>
              </w:tabs>
              <w:spacing w:after="0" w:line="240" w:lineRule="auto"/>
              <w:ind w:firstLine="392"/>
              <w:jc w:val="both"/>
              <w:rPr>
                <w:rFonts w:ascii="Times New Roman" w:hAnsi="Times New Roman" w:cs="Times New Roman"/>
                <w:sz w:val="24"/>
                <w:szCs w:val="24"/>
              </w:rPr>
            </w:pPr>
            <w:r w:rsidRPr="00FB4E9E">
              <w:rPr>
                <w:rFonts w:ascii="Times New Roman" w:hAnsi="Times New Roman" w:cs="Times New Roman"/>
                <w:sz w:val="24"/>
                <w:szCs w:val="24"/>
              </w:rPr>
              <w:t xml:space="preserve">Izvērtējot minēto ierosinājumu, tika secināts, ka to varētu attiecināt arī </w:t>
            </w:r>
            <w:r w:rsidR="0098147E" w:rsidRPr="00FB4E9E">
              <w:rPr>
                <w:rFonts w:ascii="Times New Roman" w:hAnsi="Times New Roman" w:cs="Times New Roman"/>
                <w:sz w:val="24"/>
                <w:szCs w:val="24"/>
              </w:rPr>
              <w:t xml:space="preserve">uz </w:t>
            </w:r>
            <w:r w:rsidRPr="00FB4E9E">
              <w:rPr>
                <w:rFonts w:ascii="Times New Roman" w:hAnsi="Times New Roman" w:cs="Times New Roman"/>
                <w:sz w:val="24"/>
                <w:szCs w:val="24"/>
              </w:rPr>
              <w:t xml:space="preserve">alkoholiskajiem dzērieniem. </w:t>
            </w:r>
          </w:p>
          <w:p w14:paraId="06555841" w14:textId="77777777" w:rsidR="00197D47" w:rsidRPr="00FB4E9E" w:rsidRDefault="00197D47" w:rsidP="00D6069A">
            <w:pPr>
              <w:tabs>
                <w:tab w:val="left" w:pos="250"/>
              </w:tabs>
              <w:spacing w:after="0" w:line="240" w:lineRule="auto"/>
              <w:ind w:firstLine="392"/>
              <w:jc w:val="both"/>
              <w:rPr>
                <w:rFonts w:ascii="Times New Roman" w:hAnsi="Times New Roman" w:cs="Times New Roman"/>
                <w:sz w:val="24"/>
                <w:szCs w:val="24"/>
              </w:rPr>
            </w:pPr>
            <w:r w:rsidRPr="00FB4E9E">
              <w:rPr>
                <w:rFonts w:ascii="Times New Roman" w:hAnsi="Times New Roman" w:cs="Times New Roman"/>
                <w:sz w:val="24"/>
                <w:szCs w:val="24"/>
              </w:rPr>
              <w:t xml:space="preserve">Lai varētu akcīzes nodokļa markas iznīcināt kopā ar akcīzes precēm (tabakas izstrādājumiem vai alkoholiskajiem dzērieniem) un šajā gadījumā </w:t>
            </w:r>
            <w:r w:rsidR="00F53A9D" w:rsidRPr="00FB4E9E">
              <w:rPr>
                <w:rFonts w:ascii="Times New Roman" w:hAnsi="Times New Roman" w:cs="Times New Roman"/>
                <w:sz w:val="24"/>
                <w:szCs w:val="24"/>
              </w:rPr>
              <w:t xml:space="preserve">saglabāt tiesības </w:t>
            </w:r>
            <w:r w:rsidRPr="00FB4E9E">
              <w:rPr>
                <w:rFonts w:ascii="Times New Roman" w:hAnsi="Times New Roman" w:cs="Times New Roman"/>
                <w:sz w:val="24"/>
                <w:szCs w:val="24"/>
              </w:rPr>
              <w:t>saņemt atpakaļ samaksāto akcīzes nodokli, ir nepieciešams veikt atbilstošus grozījumus likumā.</w:t>
            </w:r>
            <w:r w:rsidR="00F53A9D" w:rsidRPr="00FB4E9E">
              <w:rPr>
                <w:rFonts w:ascii="Times New Roman" w:hAnsi="Times New Roman" w:cs="Times New Roman"/>
                <w:sz w:val="24"/>
                <w:szCs w:val="24"/>
              </w:rPr>
              <w:t xml:space="preserve"> Viens no nosacījumiem, ja iznīcina akcīzes nodokļa markas, nenoņemot tās no akcīzes pre</w:t>
            </w:r>
            <w:r w:rsidR="0099691B" w:rsidRPr="00FB4E9E">
              <w:rPr>
                <w:rFonts w:ascii="Times New Roman" w:hAnsi="Times New Roman" w:cs="Times New Roman"/>
                <w:sz w:val="24"/>
                <w:szCs w:val="24"/>
              </w:rPr>
              <w:t>ču iepakojumiem</w:t>
            </w:r>
            <w:r w:rsidR="00F53A9D" w:rsidRPr="00FB4E9E">
              <w:rPr>
                <w:rFonts w:ascii="Times New Roman" w:hAnsi="Times New Roman" w:cs="Times New Roman"/>
                <w:sz w:val="24"/>
                <w:szCs w:val="24"/>
              </w:rPr>
              <w:t>, t.i., kopā ar akcīzes precēm, ir, ka šāda akcīzes nodokļa marku un preču iznīcināšana notiek Valsts ieņēmumu dienesta amatpersonas klātbūtnē.</w:t>
            </w:r>
          </w:p>
          <w:p w14:paraId="13276412" w14:textId="77777777" w:rsidR="00403706" w:rsidRPr="00FB4E9E" w:rsidRDefault="00403706" w:rsidP="00D6069A">
            <w:pPr>
              <w:tabs>
                <w:tab w:val="left" w:pos="250"/>
              </w:tabs>
              <w:spacing w:after="0" w:line="240" w:lineRule="auto"/>
              <w:ind w:firstLine="392"/>
              <w:jc w:val="both"/>
              <w:rPr>
                <w:rFonts w:ascii="Times New Roman" w:hAnsi="Times New Roman" w:cs="Times New Roman"/>
                <w:sz w:val="24"/>
                <w:szCs w:val="24"/>
              </w:rPr>
            </w:pPr>
            <w:r w:rsidRPr="00FB4E9E">
              <w:rPr>
                <w:rFonts w:ascii="Times New Roman" w:hAnsi="Times New Roman" w:cs="Times New Roman"/>
                <w:sz w:val="24"/>
                <w:szCs w:val="24"/>
              </w:rPr>
              <w:t>Šobrīd likuma</w:t>
            </w:r>
            <w:r w:rsidR="00F53A9D" w:rsidRPr="00FB4E9E">
              <w:rPr>
                <w:rFonts w:ascii="Times New Roman" w:hAnsi="Times New Roman" w:cs="Times New Roman"/>
                <w:sz w:val="24"/>
                <w:szCs w:val="24"/>
              </w:rPr>
              <w:t xml:space="preserve"> </w:t>
            </w:r>
            <w:r w:rsidRPr="00FB4E9E">
              <w:rPr>
                <w:rFonts w:ascii="Times New Roman" w:hAnsi="Times New Roman" w:cs="Times New Roman"/>
                <w:sz w:val="24"/>
                <w:szCs w:val="24"/>
              </w:rPr>
              <w:t>27.panta 7.</w:t>
            </w:r>
            <w:r w:rsidRPr="00FB4E9E">
              <w:rPr>
                <w:rFonts w:ascii="Times New Roman" w:hAnsi="Times New Roman" w:cs="Times New Roman"/>
                <w:sz w:val="24"/>
                <w:szCs w:val="24"/>
                <w:vertAlign w:val="superscript"/>
              </w:rPr>
              <w:t>1 </w:t>
            </w:r>
            <w:r w:rsidRPr="00FB4E9E">
              <w:rPr>
                <w:rFonts w:ascii="Times New Roman" w:hAnsi="Times New Roman" w:cs="Times New Roman"/>
                <w:sz w:val="24"/>
                <w:szCs w:val="24"/>
              </w:rPr>
              <w:t>daļa paredz no akcīzes precēm noņemtās akcīzes nodokļa markas atdot Valsts ieņēmumu dienestam triju gadu laikā pēc to saņemšanas.</w:t>
            </w:r>
            <w:r w:rsidR="00F53A9D" w:rsidRPr="00FB4E9E">
              <w:rPr>
                <w:rFonts w:ascii="Times New Roman" w:hAnsi="Times New Roman" w:cs="Times New Roman"/>
                <w:sz w:val="24"/>
                <w:szCs w:val="24"/>
              </w:rPr>
              <w:t xml:space="preserve"> </w:t>
            </w:r>
            <w:r w:rsidRPr="00FB4E9E">
              <w:rPr>
                <w:rFonts w:ascii="Times New Roman" w:hAnsi="Times New Roman" w:cs="Times New Roman"/>
                <w:sz w:val="24"/>
                <w:szCs w:val="24"/>
              </w:rPr>
              <w:t xml:space="preserve">Likumā noteiktais termiņa ierobežojums akcīzes nodokļa marku atdošanai Valsts ieņēmumu dienestam saistīts ar </w:t>
            </w:r>
            <w:r w:rsidR="00F53A9D" w:rsidRPr="00FB4E9E">
              <w:rPr>
                <w:rFonts w:ascii="Times New Roman" w:hAnsi="Times New Roman" w:cs="Times New Roman"/>
                <w:sz w:val="24"/>
                <w:szCs w:val="24"/>
              </w:rPr>
              <w:t xml:space="preserve">akcīzes </w:t>
            </w:r>
            <w:r w:rsidRPr="00FB4E9E">
              <w:rPr>
                <w:rFonts w:ascii="Times New Roman" w:hAnsi="Times New Roman" w:cs="Times New Roman"/>
                <w:sz w:val="24"/>
                <w:szCs w:val="24"/>
              </w:rPr>
              <w:t>nodokļa maksātāja tiesībām saņemt no valsts budžeta samaksāto akcīzes nodokli par akcīzes nodokļa markām. Līdzīgs termiņa ierobežojums par tiesībām saņemt no valsts budžeta samaksāto akcīzes nodokli par akcīzes nodokļa markām ir jāparedz arī, ja akcīzes preces tiks iznīcinātas ar akcīzes nodokļa markām.</w:t>
            </w:r>
          </w:p>
          <w:p w14:paraId="6936D1B1" w14:textId="77777777" w:rsidR="00403706" w:rsidRPr="00FB4E9E" w:rsidRDefault="00403706" w:rsidP="00D6069A">
            <w:pPr>
              <w:tabs>
                <w:tab w:val="left" w:pos="250"/>
              </w:tabs>
              <w:spacing w:after="0" w:line="240" w:lineRule="auto"/>
              <w:ind w:firstLine="392"/>
              <w:jc w:val="both"/>
              <w:rPr>
                <w:rFonts w:ascii="Times New Roman" w:hAnsi="Times New Roman" w:cs="Times New Roman"/>
                <w:sz w:val="24"/>
                <w:szCs w:val="24"/>
              </w:rPr>
            </w:pPr>
            <w:r w:rsidRPr="00FB4E9E">
              <w:rPr>
                <w:rFonts w:ascii="Times New Roman" w:hAnsi="Times New Roman" w:cs="Times New Roman"/>
                <w:sz w:val="24"/>
                <w:szCs w:val="24"/>
              </w:rPr>
              <w:t>Šobrīd likuma 27.panta astotā daļa nosaka nodokļa maksātājam pienākumu, atdodot akcīzes nodokļa markas Valsts ieņēmumu dienestam, segt akcīzes nodokļa marku iegādes izdevumus.</w:t>
            </w:r>
            <w:r w:rsidR="00F53A9D" w:rsidRPr="00FB4E9E">
              <w:rPr>
                <w:rFonts w:ascii="Times New Roman" w:hAnsi="Times New Roman" w:cs="Times New Roman"/>
                <w:sz w:val="24"/>
                <w:szCs w:val="24"/>
              </w:rPr>
              <w:t xml:space="preserve"> </w:t>
            </w:r>
            <w:r w:rsidRPr="00FB4E9E">
              <w:rPr>
                <w:rFonts w:ascii="Times New Roman" w:hAnsi="Times New Roman" w:cs="Times New Roman"/>
                <w:sz w:val="24"/>
                <w:szCs w:val="24"/>
              </w:rPr>
              <w:t xml:space="preserve">Tādējādi likumā ir nepieciešams noteikt pienākumu nodokļa maksātājam segt akcīzes </w:t>
            </w:r>
            <w:r w:rsidRPr="00FB4E9E">
              <w:rPr>
                <w:rFonts w:ascii="Times New Roman" w:hAnsi="Times New Roman" w:cs="Times New Roman"/>
                <w:sz w:val="24"/>
                <w:szCs w:val="24"/>
              </w:rPr>
              <w:lastRenderedPageBreak/>
              <w:t>nodokļa marku iegādes izdevumus arī gadījumā, ja akcīzes preces tiks iznīcinātas ar akcīzes nodokļa markām.</w:t>
            </w:r>
          </w:p>
          <w:p w14:paraId="77175441" w14:textId="23F73E0F" w:rsidR="00403706" w:rsidRDefault="00F53A9D" w:rsidP="00D6069A">
            <w:pPr>
              <w:tabs>
                <w:tab w:val="left" w:pos="250"/>
              </w:tabs>
              <w:spacing w:after="0" w:line="240" w:lineRule="auto"/>
              <w:ind w:firstLine="392"/>
              <w:jc w:val="both"/>
              <w:rPr>
                <w:rFonts w:ascii="Times New Roman" w:hAnsi="Times New Roman" w:cs="Times New Roman"/>
                <w:sz w:val="24"/>
                <w:szCs w:val="24"/>
              </w:rPr>
            </w:pPr>
            <w:r w:rsidRPr="00FB4E9E">
              <w:rPr>
                <w:rFonts w:ascii="Times New Roman" w:hAnsi="Times New Roman" w:cs="Times New Roman"/>
                <w:sz w:val="24"/>
                <w:szCs w:val="24"/>
              </w:rPr>
              <w:t xml:space="preserve">Atbilstoši </w:t>
            </w:r>
            <w:r w:rsidR="00403706" w:rsidRPr="00FB4E9E">
              <w:rPr>
                <w:rFonts w:ascii="Times New Roman" w:hAnsi="Times New Roman" w:cs="Times New Roman"/>
                <w:sz w:val="24"/>
                <w:szCs w:val="24"/>
              </w:rPr>
              <w:t>likuma 27.panta vienpadsmitaj</w:t>
            </w:r>
            <w:r w:rsidR="006B19D2" w:rsidRPr="00FB4E9E">
              <w:rPr>
                <w:rFonts w:ascii="Times New Roman" w:hAnsi="Times New Roman" w:cs="Times New Roman"/>
                <w:sz w:val="24"/>
                <w:szCs w:val="24"/>
              </w:rPr>
              <w:t>ai</w:t>
            </w:r>
            <w:r w:rsidR="00403706" w:rsidRPr="00FB4E9E">
              <w:rPr>
                <w:rFonts w:ascii="Times New Roman" w:hAnsi="Times New Roman" w:cs="Times New Roman"/>
                <w:sz w:val="24"/>
                <w:szCs w:val="24"/>
              </w:rPr>
              <w:t xml:space="preserve"> daļ</w:t>
            </w:r>
            <w:r w:rsidRPr="00FB4E9E">
              <w:rPr>
                <w:rFonts w:ascii="Times New Roman" w:hAnsi="Times New Roman" w:cs="Times New Roman"/>
                <w:sz w:val="24"/>
                <w:szCs w:val="24"/>
              </w:rPr>
              <w:t xml:space="preserve">ai šobrīd </w:t>
            </w:r>
            <w:r w:rsidR="00403706" w:rsidRPr="00FB4E9E">
              <w:rPr>
                <w:rFonts w:ascii="Times New Roman" w:hAnsi="Times New Roman" w:cs="Times New Roman"/>
                <w:sz w:val="24"/>
                <w:szCs w:val="24"/>
              </w:rPr>
              <w:t xml:space="preserve">ir noteikts, ja </w:t>
            </w:r>
            <w:r w:rsidRPr="00FB4E9E">
              <w:rPr>
                <w:rFonts w:ascii="Times New Roman" w:hAnsi="Times New Roman" w:cs="Times New Roman"/>
                <w:sz w:val="24"/>
                <w:szCs w:val="24"/>
              </w:rPr>
              <w:t xml:space="preserve">akcīzes </w:t>
            </w:r>
            <w:r w:rsidR="00403706" w:rsidRPr="00FB4E9E">
              <w:rPr>
                <w:rFonts w:ascii="Times New Roman" w:hAnsi="Times New Roman" w:cs="Times New Roman"/>
                <w:sz w:val="24"/>
                <w:szCs w:val="24"/>
              </w:rPr>
              <w:t xml:space="preserve">nodokļa maksātājs atdod Valsts ieņēmumu dienestā saņemtās, bet neizmantotās, nederīgās vai bojātās akcīzes nodokļa markas, </w:t>
            </w:r>
            <w:r w:rsidRPr="00FB4E9E">
              <w:rPr>
                <w:rFonts w:ascii="Times New Roman" w:hAnsi="Times New Roman" w:cs="Times New Roman"/>
                <w:sz w:val="24"/>
                <w:szCs w:val="24"/>
              </w:rPr>
              <w:t xml:space="preserve">akcīzes </w:t>
            </w:r>
            <w:r w:rsidR="00403706" w:rsidRPr="00FB4E9E">
              <w:rPr>
                <w:rFonts w:ascii="Times New Roman" w:hAnsi="Times New Roman" w:cs="Times New Roman"/>
                <w:sz w:val="24"/>
                <w:szCs w:val="24"/>
              </w:rPr>
              <w:t xml:space="preserve">nodoklis attiecīgajam </w:t>
            </w:r>
            <w:r w:rsidRPr="00FB4E9E">
              <w:rPr>
                <w:rFonts w:ascii="Times New Roman" w:hAnsi="Times New Roman" w:cs="Times New Roman"/>
                <w:sz w:val="24"/>
                <w:szCs w:val="24"/>
              </w:rPr>
              <w:t xml:space="preserve">akcīzes </w:t>
            </w:r>
            <w:r w:rsidR="00403706" w:rsidRPr="00FB4E9E">
              <w:rPr>
                <w:rFonts w:ascii="Times New Roman" w:hAnsi="Times New Roman" w:cs="Times New Roman"/>
                <w:sz w:val="24"/>
                <w:szCs w:val="24"/>
              </w:rPr>
              <w:t>n</w:t>
            </w:r>
            <w:r w:rsidRPr="00FB4E9E">
              <w:rPr>
                <w:rFonts w:ascii="Times New Roman" w:hAnsi="Times New Roman" w:cs="Times New Roman"/>
                <w:sz w:val="24"/>
                <w:szCs w:val="24"/>
              </w:rPr>
              <w:t>odokļa maksātājam nav jāmaksā. Akcīzes n</w:t>
            </w:r>
            <w:r w:rsidR="00403706" w:rsidRPr="00FB4E9E">
              <w:rPr>
                <w:rFonts w:ascii="Times New Roman" w:hAnsi="Times New Roman" w:cs="Times New Roman"/>
                <w:sz w:val="24"/>
                <w:szCs w:val="24"/>
              </w:rPr>
              <w:t xml:space="preserve">odoklis nav jāmaksā arī tādā gadījumā, ja </w:t>
            </w:r>
            <w:r w:rsidRPr="00FB4E9E">
              <w:rPr>
                <w:rFonts w:ascii="Times New Roman" w:hAnsi="Times New Roman" w:cs="Times New Roman"/>
                <w:sz w:val="24"/>
                <w:szCs w:val="24"/>
              </w:rPr>
              <w:t xml:space="preserve">akcīzes </w:t>
            </w:r>
            <w:r w:rsidR="00403706" w:rsidRPr="00FB4E9E">
              <w:rPr>
                <w:rFonts w:ascii="Times New Roman" w:hAnsi="Times New Roman" w:cs="Times New Roman"/>
                <w:sz w:val="24"/>
                <w:szCs w:val="24"/>
              </w:rPr>
              <w:t xml:space="preserve">nodokļa maksātājs iesniedz Valsts ieņēmumu dienestam citas dalībvalsts nodokļu administrācijas izsniegtu dokumentu vai dokumentu par akcīzes nodokļa marku iznīcināšanu, kuru ir apstiprinājusi citas dalībvalsts nodokļu administrācija un kurš apliecina, ka </w:t>
            </w:r>
            <w:r w:rsidRPr="00FB4E9E">
              <w:rPr>
                <w:rFonts w:ascii="Times New Roman" w:hAnsi="Times New Roman" w:cs="Times New Roman"/>
                <w:sz w:val="24"/>
                <w:szCs w:val="24"/>
              </w:rPr>
              <w:t xml:space="preserve">akcīzes </w:t>
            </w:r>
            <w:r w:rsidR="00403706" w:rsidRPr="00FB4E9E">
              <w:rPr>
                <w:rFonts w:ascii="Times New Roman" w:hAnsi="Times New Roman" w:cs="Times New Roman"/>
                <w:sz w:val="24"/>
                <w:szCs w:val="24"/>
              </w:rPr>
              <w:t>nodokļa markas ir iznīcinātas citā dalībvalstī.</w:t>
            </w:r>
            <w:r w:rsidR="00862AED" w:rsidRPr="00FB4E9E">
              <w:rPr>
                <w:rFonts w:ascii="Times New Roman" w:hAnsi="Times New Roman" w:cs="Times New Roman"/>
                <w:sz w:val="24"/>
                <w:szCs w:val="24"/>
              </w:rPr>
              <w:t xml:space="preserve"> Līdz ar to minētā norma ir atbilstoši jāprecizē, paredzot, ka akcīzes nodoklis nav jāmaksā arī tajā gadījumā, ja akcīzes nodokļa markas iznīcina kopā ar akcīzes precēm.</w:t>
            </w:r>
          </w:p>
          <w:p w14:paraId="25B9190A" w14:textId="18DFD999" w:rsidR="00BC6FF4" w:rsidRDefault="00BC6FF4" w:rsidP="00BC6FF4">
            <w:pPr>
              <w:tabs>
                <w:tab w:val="left" w:pos="250"/>
              </w:tabs>
              <w:spacing w:after="0" w:line="240" w:lineRule="auto"/>
              <w:ind w:firstLine="392"/>
              <w:jc w:val="both"/>
              <w:rPr>
                <w:rFonts w:ascii="Times New Roman" w:hAnsi="Times New Roman" w:cs="Times New Roman"/>
                <w:sz w:val="24"/>
                <w:szCs w:val="24"/>
              </w:rPr>
            </w:pPr>
            <w:r>
              <w:rPr>
                <w:rFonts w:ascii="Times New Roman" w:hAnsi="Times New Roman" w:cs="Times New Roman"/>
                <w:sz w:val="24"/>
                <w:szCs w:val="24"/>
              </w:rPr>
              <w:t>Likuma 2</w:t>
            </w:r>
            <w:r w:rsidR="001437E8">
              <w:rPr>
                <w:rFonts w:ascii="Times New Roman" w:hAnsi="Times New Roman" w:cs="Times New Roman"/>
                <w:sz w:val="24"/>
                <w:szCs w:val="24"/>
              </w:rPr>
              <w:t>7</w:t>
            </w:r>
            <w:r>
              <w:rPr>
                <w:rFonts w:ascii="Times New Roman" w:hAnsi="Times New Roman" w:cs="Times New Roman"/>
                <w:sz w:val="24"/>
                <w:szCs w:val="24"/>
              </w:rPr>
              <w:t>.panta divpadsmitajā un 12.</w:t>
            </w:r>
            <w:r>
              <w:rPr>
                <w:rFonts w:ascii="Times New Roman" w:hAnsi="Times New Roman" w:cs="Times New Roman"/>
                <w:sz w:val="24"/>
                <w:szCs w:val="24"/>
                <w:vertAlign w:val="superscript"/>
              </w:rPr>
              <w:t xml:space="preserve">1 </w:t>
            </w:r>
            <w:r>
              <w:rPr>
                <w:rFonts w:ascii="Times New Roman" w:hAnsi="Times New Roman" w:cs="Times New Roman"/>
                <w:sz w:val="24"/>
                <w:szCs w:val="24"/>
              </w:rPr>
              <w:t xml:space="preserve">daļā noteikts, ka pēc </w:t>
            </w:r>
            <w:r w:rsidR="001437E8">
              <w:rPr>
                <w:rFonts w:ascii="Times New Roman" w:hAnsi="Times New Roman" w:cs="Times New Roman"/>
                <w:sz w:val="24"/>
                <w:szCs w:val="24"/>
              </w:rPr>
              <w:t xml:space="preserve">akcīzes </w:t>
            </w:r>
            <w:r>
              <w:rPr>
                <w:rFonts w:ascii="Times New Roman" w:hAnsi="Times New Roman" w:cs="Times New Roman"/>
                <w:sz w:val="24"/>
                <w:szCs w:val="24"/>
              </w:rPr>
              <w:t xml:space="preserve">nodokļa maksātāja iesnieguma par atdotajām akcīzes nodokļa markām samaksāto nodokli atmaksā 30 dienu laikā pēc </w:t>
            </w:r>
            <w:r w:rsidR="001437E8">
              <w:rPr>
                <w:rFonts w:ascii="Times New Roman" w:hAnsi="Times New Roman" w:cs="Times New Roman"/>
                <w:sz w:val="24"/>
                <w:szCs w:val="24"/>
              </w:rPr>
              <w:t xml:space="preserve">akcīzes nodokļa </w:t>
            </w:r>
            <w:r>
              <w:rPr>
                <w:rFonts w:ascii="Times New Roman" w:hAnsi="Times New Roman" w:cs="Times New Roman"/>
                <w:sz w:val="24"/>
                <w:szCs w:val="24"/>
              </w:rPr>
              <w:t>marku iegādes un iznīcināšanas izdevumu segšanas.</w:t>
            </w:r>
          </w:p>
          <w:p w14:paraId="49026B2D" w14:textId="34745A1D" w:rsidR="00BC6FF4" w:rsidRDefault="00BC6FF4" w:rsidP="00BC6FF4">
            <w:pPr>
              <w:tabs>
                <w:tab w:val="left" w:pos="250"/>
              </w:tabs>
              <w:spacing w:after="0" w:line="240" w:lineRule="auto"/>
              <w:ind w:firstLine="392"/>
              <w:jc w:val="both"/>
              <w:rPr>
                <w:rFonts w:ascii="Times New Roman" w:hAnsi="Times New Roman" w:cs="Times New Roman"/>
                <w:sz w:val="24"/>
                <w:szCs w:val="24"/>
              </w:rPr>
            </w:pPr>
            <w:r>
              <w:rPr>
                <w:rFonts w:ascii="Times New Roman" w:hAnsi="Times New Roman" w:cs="Times New Roman"/>
                <w:sz w:val="24"/>
                <w:szCs w:val="24"/>
              </w:rPr>
              <w:t xml:space="preserve">Iesniegumu par </w:t>
            </w:r>
            <w:r w:rsidR="001437E8">
              <w:rPr>
                <w:rFonts w:ascii="Times New Roman" w:hAnsi="Times New Roman" w:cs="Times New Roman"/>
                <w:sz w:val="24"/>
                <w:szCs w:val="24"/>
              </w:rPr>
              <w:t xml:space="preserve">akcīzes </w:t>
            </w:r>
            <w:r>
              <w:rPr>
                <w:rFonts w:ascii="Times New Roman" w:hAnsi="Times New Roman" w:cs="Times New Roman"/>
                <w:sz w:val="24"/>
                <w:szCs w:val="24"/>
              </w:rPr>
              <w:t xml:space="preserve">nodokļa atmaksu nodokļa maksātājs iesniedz vienlaicīgi ar atdotajām akcīzes nodokļa markām. Lai varētu atmaksāt </w:t>
            </w:r>
            <w:r w:rsidR="001437E8">
              <w:rPr>
                <w:rFonts w:ascii="Times New Roman" w:hAnsi="Times New Roman" w:cs="Times New Roman"/>
                <w:sz w:val="24"/>
                <w:szCs w:val="24"/>
              </w:rPr>
              <w:t xml:space="preserve">akcīzes </w:t>
            </w:r>
            <w:r>
              <w:rPr>
                <w:rFonts w:ascii="Times New Roman" w:hAnsi="Times New Roman" w:cs="Times New Roman"/>
                <w:sz w:val="24"/>
                <w:szCs w:val="24"/>
              </w:rPr>
              <w:t xml:space="preserve">nodokli, Valsts ieņēmumu dienestam ir jāidentificē atdotās </w:t>
            </w:r>
            <w:r w:rsidR="001437E8">
              <w:rPr>
                <w:rFonts w:ascii="Times New Roman" w:hAnsi="Times New Roman" w:cs="Times New Roman"/>
                <w:sz w:val="24"/>
                <w:szCs w:val="24"/>
              </w:rPr>
              <w:t xml:space="preserve">akcīzes </w:t>
            </w:r>
            <w:r>
              <w:rPr>
                <w:rFonts w:ascii="Times New Roman" w:hAnsi="Times New Roman" w:cs="Times New Roman"/>
                <w:sz w:val="24"/>
                <w:szCs w:val="24"/>
              </w:rPr>
              <w:t>nodokļa markas. Ministru kabineta 2015.gada 12.maija noteikumu Nr.220 “</w:t>
            </w:r>
            <w:r w:rsidRPr="00F85569">
              <w:rPr>
                <w:rFonts w:ascii="Times New Roman" w:hAnsi="Times New Roman" w:cs="Times New Roman"/>
                <w:sz w:val="24"/>
                <w:szCs w:val="24"/>
              </w:rPr>
              <w:t>Kārtība, kādā alkoholiskos dzērienus un tabakas izstrādājumus marķē ar akcīzes nodokļa markām</w:t>
            </w:r>
            <w:r>
              <w:rPr>
                <w:rFonts w:ascii="Times New Roman" w:hAnsi="Times New Roman" w:cs="Times New Roman"/>
                <w:sz w:val="24"/>
                <w:szCs w:val="24"/>
              </w:rPr>
              <w:t xml:space="preserve">” 27.punkts nosaka, ka </w:t>
            </w:r>
            <w:r w:rsidRPr="00F85569">
              <w:rPr>
                <w:rFonts w:ascii="Times New Roman" w:hAnsi="Times New Roman" w:cs="Times New Roman"/>
                <w:sz w:val="24"/>
                <w:szCs w:val="24"/>
              </w:rPr>
              <w:t>Valsts ieņēmumu dienests akcīzes nodokļa marku identificēšanu veic mēneša laikā pēc akcīzes nodokļa marku saņemšanas.</w:t>
            </w:r>
          </w:p>
          <w:p w14:paraId="7CD66F51" w14:textId="0B407E10" w:rsidR="00BC6FF4" w:rsidRDefault="00BC6FF4" w:rsidP="00BC6FF4">
            <w:pPr>
              <w:tabs>
                <w:tab w:val="left" w:pos="250"/>
              </w:tabs>
              <w:spacing w:after="0" w:line="240" w:lineRule="auto"/>
              <w:ind w:firstLine="392"/>
              <w:jc w:val="both"/>
              <w:rPr>
                <w:rFonts w:ascii="Times New Roman" w:hAnsi="Times New Roman" w:cs="Times New Roman"/>
                <w:sz w:val="24"/>
                <w:szCs w:val="24"/>
              </w:rPr>
            </w:pPr>
            <w:r>
              <w:rPr>
                <w:rFonts w:ascii="Times New Roman" w:hAnsi="Times New Roman" w:cs="Times New Roman"/>
                <w:sz w:val="24"/>
                <w:szCs w:val="24"/>
              </w:rPr>
              <w:t xml:space="preserve">Pēc tam nodokļu maksātājam tiek nosūtīts rēķins par </w:t>
            </w:r>
            <w:r w:rsidR="001437E8">
              <w:rPr>
                <w:rFonts w:ascii="Times New Roman" w:hAnsi="Times New Roman" w:cs="Times New Roman"/>
                <w:sz w:val="24"/>
                <w:szCs w:val="24"/>
              </w:rPr>
              <w:t xml:space="preserve">akcīzes nodokļu </w:t>
            </w:r>
            <w:r>
              <w:rPr>
                <w:rFonts w:ascii="Times New Roman" w:hAnsi="Times New Roman" w:cs="Times New Roman"/>
                <w:sz w:val="24"/>
                <w:szCs w:val="24"/>
              </w:rPr>
              <w:t>marku iegādes un iznīcināšanas izdevumu segšanu. Attiecīgi, atbilstoši pa</w:t>
            </w:r>
            <w:r w:rsidR="00CA1EAB">
              <w:rPr>
                <w:rFonts w:ascii="Times New Roman" w:hAnsi="Times New Roman" w:cs="Times New Roman"/>
                <w:sz w:val="24"/>
                <w:szCs w:val="24"/>
              </w:rPr>
              <w:t>š</w:t>
            </w:r>
            <w:r>
              <w:rPr>
                <w:rFonts w:ascii="Times New Roman" w:hAnsi="Times New Roman" w:cs="Times New Roman"/>
                <w:sz w:val="24"/>
                <w:szCs w:val="24"/>
              </w:rPr>
              <w:t xml:space="preserve">reizējai likuma redakcijai, </w:t>
            </w:r>
            <w:r w:rsidR="001437E8">
              <w:rPr>
                <w:rFonts w:ascii="Times New Roman" w:hAnsi="Times New Roman" w:cs="Times New Roman"/>
                <w:sz w:val="24"/>
                <w:szCs w:val="24"/>
              </w:rPr>
              <w:t xml:space="preserve">akcīzes </w:t>
            </w:r>
            <w:r>
              <w:rPr>
                <w:rFonts w:ascii="Times New Roman" w:hAnsi="Times New Roman" w:cs="Times New Roman"/>
                <w:sz w:val="24"/>
                <w:szCs w:val="24"/>
              </w:rPr>
              <w:t>nodokli atmaksā pēc marku iegādes un iznīcināšanas izdevumu segšanas. Tātad, V</w:t>
            </w:r>
            <w:r w:rsidR="00F204BD">
              <w:rPr>
                <w:rFonts w:ascii="Times New Roman" w:hAnsi="Times New Roman" w:cs="Times New Roman"/>
                <w:sz w:val="24"/>
                <w:szCs w:val="24"/>
              </w:rPr>
              <w:t>alsts ieņēmumu dienestam</w:t>
            </w:r>
            <w:r>
              <w:rPr>
                <w:rFonts w:ascii="Times New Roman" w:hAnsi="Times New Roman" w:cs="Times New Roman"/>
                <w:sz w:val="24"/>
                <w:szCs w:val="24"/>
              </w:rPr>
              <w:t xml:space="preserve"> ir jāgaida, kad tiks segti minētie izdevumi un </w:t>
            </w:r>
            <w:r w:rsidR="00F204BD">
              <w:rPr>
                <w:rFonts w:ascii="Times New Roman" w:hAnsi="Times New Roman" w:cs="Times New Roman"/>
                <w:sz w:val="24"/>
                <w:szCs w:val="24"/>
              </w:rPr>
              <w:t xml:space="preserve">Valsts ieņēmumu dienestam </w:t>
            </w:r>
            <w:r>
              <w:rPr>
                <w:rFonts w:ascii="Times New Roman" w:hAnsi="Times New Roman" w:cs="Times New Roman"/>
                <w:sz w:val="24"/>
                <w:szCs w:val="24"/>
              </w:rPr>
              <w:t>nav tiesību pabeigt administratīvo procesu ar atteikumu atmaksāt nodokli, ja marku iegādes un iznīcināšanas izdevumi netiek ilgstoši segti.</w:t>
            </w:r>
          </w:p>
          <w:p w14:paraId="5F147F5E" w14:textId="12852C5A" w:rsidR="00BC6FF4" w:rsidRPr="00FB4E9E" w:rsidRDefault="00BC6FF4" w:rsidP="00D6069A">
            <w:pPr>
              <w:tabs>
                <w:tab w:val="left" w:pos="250"/>
              </w:tabs>
              <w:spacing w:after="0" w:line="240" w:lineRule="auto"/>
              <w:ind w:firstLine="392"/>
              <w:jc w:val="both"/>
              <w:rPr>
                <w:rFonts w:ascii="Times New Roman" w:hAnsi="Times New Roman" w:cs="Times New Roman"/>
                <w:sz w:val="24"/>
                <w:szCs w:val="24"/>
              </w:rPr>
            </w:pPr>
            <w:r>
              <w:rPr>
                <w:rFonts w:ascii="Times New Roman" w:hAnsi="Times New Roman" w:cs="Times New Roman"/>
                <w:sz w:val="24"/>
                <w:szCs w:val="24"/>
              </w:rPr>
              <w:t>Lai padarītu skaidru un vienkāršu akcīzes nodokļa par atdotajām nodokļa markām atmaksas kārtību, likumā ir skaidri jāpasaka, ka</w:t>
            </w:r>
            <w:r w:rsidR="001437E8">
              <w:rPr>
                <w:rFonts w:ascii="Times New Roman" w:hAnsi="Times New Roman" w:cs="Times New Roman"/>
                <w:sz w:val="24"/>
                <w:szCs w:val="24"/>
              </w:rPr>
              <w:t xml:space="preserve"> akcīzes </w:t>
            </w:r>
            <w:r>
              <w:rPr>
                <w:rFonts w:ascii="Times New Roman" w:hAnsi="Times New Roman" w:cs="Times New Roman"/>
                <w:sz w:val="24"/>
                <w:szCs w:val="24"/>
              </w:rPr>
              <w:t xml:space="preserve">nodokli atmaksā 30 dienu laikā pēc </w:t>
            </w:r>
            <w:r w:rsidR="001437E8">
              <w:rPr>
                <w:rFonts w:ascii="Times New Roman" w:hAnsi="Times New Roman" w:cs="Times New Roman"/>
                <w:sz w:val="24"/>
                <w:szCs w:val="24"/>
              </w:rPr>
              <w:t xml:space="preserve">akcīzes </w:t>
            </w:r>
            <w:r>
              <w:rPr>
                <w:rFonts w:ascii="Times New Roman" w:hAnsi="Times New Roman" w:cs="Times New Roman"/>
                <w:sz w:val="24"/>
                <w:szCs w:val="24"/>
              </w:rPr>
              <w:t xml:space="preserve">nodokļa marku identificēšanas, kā arī, ka </w:t>
            </w:r>
            <w:r w:rsidR="001437E8">
              <w:rPr>
                <w:rFonts w:ascii="Times New Roman" w:hAnsi="Times New Roman" w:cs="Times New Roman"/>
                <w:sz w:val="24"/>
                <w:szCs w:val="24"/>
              </w:rPr>
              <w:t xml:space="preserve">akcīzes </w:t>
            </w:r>
            <w:r>
              <w:rPr>
                <w:rFonts w:ascii="Times New Roman" w:hAnsi="Times New Roman" w:cs="Times New Roman"/>
                <w:sz w:val="24"/>
                <w:szCs w:val="24"/>
              </w:rPr>
              <w:t xml:space="preserve">nodokli neatmaksā, ja </w:t>
            </w:r>
            <w:r w:rsidR="001437E8">
              <w:rPr>
                <w:rFonts w:ascii="Times New Roman" w:hAnsi="Times New Roman" w:cs="Times New Roman"/>
                <w:sz w:val="24"/>
                <w:szCs w:val="24"/>
              </w:rPr>
              <w:t xml:space="preserve">akcīzes </w:t>
            </w:r>
            <w:r>
              <w:rPr>
                <w:rFonts w:ascii="Times New Roman" w:hAnsi="Times New Roman" w:cs="Times New Roman"/>
                <w:sz w:val="24"/>
                <w:szCs w:val="24"/>
              </w:rPr>
              <w:t xml:space="preserve">nodokļa maksātājs nesedz marku iegādes un iznīcināšanas izdevumus. Tādējādi, ja 30 dienu laikā pēc marku identificēšanas </w:t>
            </w:r>
            <w:r w:rsidR="001437E8">
              <w:rPr>
                <w:rFonts w:ascii="Times New Roman" w:hAnsi="Times New Roman" w:cs="Times New Roman"/>
                <w:sz w:val="24"/>
                <w:szCs w:val="24"/>
              </w:rPr>
              <w:t xml:space="preserve">akcīzes </w:t>
            </w:r>
            <w:r>
              <w:rPr>
                <w:rFonts w:ascii="Times New Roman" w:hAnsi="Times New Roman" w:cs="Times New Roman"/>
                <w:sz w:val="24"/>
                <w:szCs w:val="24"/>
              </w:rPr>
              <w:t xml:space="preserve">nodokļa maksātājs nebūs sedzis </w:t>
            </w:r>
            <w:r w:rsidR="001437E8">
              <w:rPr>
                <w:rFonts w:ascii="Times New Roman" w:hAnsi="Times New Roman" w:cs="Times New Roman"/>
                <w:sz w:val="24"/>
                <w:szCs w:val="24"/>
              </w:rPr>
              <w:t xml:space="preserve">akcīzes nodokļa </w:t>
            </w:r>
            <w:r>
              <w:rPr>
                <w:rFonts w:ascii="Times New Roman" w:hAnsi="Times New Roman" w:cs="Times New Roman"/>
                <w:sz w:val="24"/>
                <w:szCs w:val="24"/>
              </w:rPr>
              <w:lastRenderedPageBreak/>
              <w:t xml:space="preserve">marku iegādes izdevumus, </w:t>
            </w:r>
            <w:r w:rsidR="00E7303A">
              <w:rPr>
                <w:rFonts w:ascii="Times New Roman" w:hAnsi="Times New Roman" w:cs="Times New Roman"/>
                <w:sz w:val="24"/>
                <w:szCs w:val="24"/>
              </w:rPr>
              <w:t xml:space="preserve">akcīzes </w:t>
            </w:r>
            <w:r>
              <w:rPr>
                <w:rFonts w:ascii="Times New Roman" w:hAnsi="Times New Roman" w:cs="Times New Roman"/>
                <w:sz w:val="24"/>
                <w:szCs w:val="24"/>
              </w:rPr>
              <w:t>nodokļa atmaksa tiks atteikta.</w:t>
            </w:r>
          </w:p>
          <w:p w14:paraId="7C15C543" w14:textId="57DD4D52" w:rsidR="001D551C" w:rsidRPr="00FB4E9E" w:rsidRDefault="00862AED" w:rsidP="00D6069A">
            <w:pPr>
              <w:tabs>
                <w:tab w:val="left" w:pos="250"/>
              </w:tabs>
              <w:spacing w:after="0" w:line="240" w:lineRule="auto"/>
              <w:ind w:firstLine="392"/>
              <w:jc w:val="both"/>
              <w:rPr>
                <w:rFonts w:ascii="Times New Roman" w:hAnsi="Times New Roman" w:cs="Times New Roman"/>
                <w:sz w:val="24"/>
                <w:szCs w:val="24"/>
              </w:rPr>
            </w:pPr>
            <w:r w:rsidRPr="00FB4E9E">
              <w:rPr>
                <w:rFonts w:ascii="Times New Roman" w:hAnsi="Times New Roman" w:cs="Times New Roman"/>
                <w:sz w:val="24"/>
                <w:szCs w:val="24"/>
              </w:rPr>
              <w:t xml:space="preserve">Attiecīgi ir jāprecizē </w:t>
            </w:r>
            <w:r w:rsidR="00EE16BD" w:rsidRPr="00FB4E9E">
              <w:rPr>
                <w:rFonts w:ascii="Times New Roman" w:hAnsi="Times New Roman" w:cs="Times New Roman"/>
                <w:sz w:val="24"/>
                <w:szCs w:val="24"/>
              </w:rPr>
              <w:t xml:space="preserve">arī </w:t>
            </w:r>
            <w:r w:rsidR="00403706" w:rsidRPr="00FB4E9E">
              <w:rPr>
                <w:rFonts w:ascii="Times New Roman" w:hAnsi="Times New Roman" w:cs="Times New Roman"/>
                <w:sz w:val="24"/>
                <w:szCs w:val="24"/>
              </w:rPr>
              <w:t>likuma 27.panta divpadsmit</w:t>
            </w:r>
            <w:r w:rsidRPr="00FB4E9E">
              <w:rPr>
                <w:rFonts w:ascii="Times New Roman" w:hAnsi="Times New Roman" w:cs="Times New Roman"/>
                <w:sz w:val="24"/>
                <w:szCs w:val="24"/>
              </w:rPr>
              <w:t>ā un 12.</w:t>
            </w:r>
            <w:r w:rsidRPr="00FB4E9E">
              <w:rPr>
                <w:rFonts w:ascii="Times New Roman" w:hAnsi="Times New Roman" w:cs="Times New Roman"/>
                <w:sz w:val="24"/>
                <w:szCs w:val="24"/>
                <w:vertAlign w:val="superscript"/>
              </w:rPr>
              <w:t>1  </w:t>
            </w:r>
            <w:r w:rsidR="00403706" w:rsidRPr="00FB4E9E">
              <w:rPr>
                <w:rFonts w:ascii="Times New Roman" w:hAnsi="Times New Roman" w:cs="Times New Roman"/>
                <w:sz w:val="24"/>
                <w:szCs w:val="24"/>
              </w:rPr>
              <w:t>daļ</w:t>
            </w:r>
            <w:r w:rsidRPr="00FB4E9E">
              <w:rPr>
                <w:rFonts w:ascii="Times New Roman" w:hAnsi="Times New Roman" w:cs="Times New Roman"/>
                <w:sz w:val="24"/>
                <w:szCs w:val="24"/>
              </w:rPr>
              <w:t>a.</w:t>
            </w:r>
            <w:r w:rsidR="00A065EE" w:rsidRPr="00FB4E9E">
              <w:rPr>
                <w:rFonts w:ascii="Times New Roman" w:hAnsi="Times New Roman" w:cs="Times New Roman"/>
                <w:sz w:val="24"/>
                <w:szCs w:val="24"/>
              </w:rPr>
              <w:t xml:space="preserve"> </w:t>
            </w:r>
          </w:p>
          <w:p w14:paraId="4989E987" w14:textId="77777777" w:rsidR="00355364" w:rsidRPr="00FB4E9E" w:rsidRDefault="00355364" w:rsidP="0061555A">
            <w:pPr>
              <w:tabs>
                <w:tab w:val="left" w:pos="250"/>
              </w:tabs>
              <w:spacing w:after="0" w:line="240" w:lineRule="auto"/>
              <w:ind w:firstLine="392"/>
              <w:jc w:val="both"/>
              <w:rPr>
                <w:rFonts w:ascii="Times New Roman" w:hAnsi="Times New Roman" w:cs="Times New Roman"/>
                <w:sz w:val="24"/>
                <w:szCs w:val="24"/>
              </w:rPr>
            </w:pPr>
          </w:p>
        </w:tc>
      </w:tr>
      <w:tr w:rsidR="0038587F" w:rsidRPr="005851C0" w14:paraId="662F5F2D" w14:textId="77777777" w:rsidTr="002A4683">
        <w:tc>
          <w:tcPr>
            <w:tcW w:w="341" w:type="pct"/>
            <w:tcBorders>
              <w:top w:val="outset" w:sz="6" w:space="0" w:color="414142"/>
              <w:left w:val="outset" w:sz="6" w:space="0" w:color="414142"/>
              <w:bottom w:val="outset" w:sz="6" w:space="0" w:color="414142"/>
              <w:right w:val="outset" w:sz="6" w:space="0" w:color="414142"/>
            </w:tcBorders>
            <w:hideMark/>
          </w:tcPr>
          <w:p w14:paraId="42E29702" w14:textId="77777777" w:rsidR="0038587F" w:rsidRPr="005851C0" w:rsidRDefault="0038587F" w:rsidP="0038587F">
            <w:pPr>
              <w:spacing w:before="100" w:beforeAutospacing="1" w:after="100" w:afterAutospacing="1" w:line="360" w:lineRule="auto"/>
              <w:ind w:firstLine="300"/>
              <w:jc w:val="center"/>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lastRenderedPageBreak/>
              <w:t>3.</w:t>
            </w:r>
          </w:p>
        </w:tc>
        <w:tc>
          <w:tcPr>
            <w:tcW w:w="1587" w:type="pct"/>
            <w:tcBorders>
              <w:top w:val="outset" w:sz="6" w:space="0" w:color="414142"/>
              <w:left w:val="outset" w:sz="6" w:space="0" w:color="414142"/>
              <w:bottom w:val="outset" w:sz="6" w:space="0" w:color="414142"/>
              <w:right w:val="outset" w:sz="6" w:space="0" w:color="414142"/>
            </w:tcBorders>
            <w:hideMark/>
          </w:tcPr>
          <w:p w14:paraId="09C806BD" w14:textId="77777777" w:rsidR="0038587F" w:rsidRPr="005851C0" w:rsidRDefault="0038587F" w:rsidP="0038587F">
            <w:pPr>
              <w:spacing w:after="0" w:line="240" w:lineRule="auto"/>
              <w:jc w:val="both"/>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Projekta izstrādē iesaistītās institūcijas un publiskas personas kapitālsabiedrības</w:t>
            </w:r>
          </w:p>
        </w:tc>
        <w:tc>
          <w:tcPr>
            <w:tcW w:w="3073" w:type="pct"/>
            <w:tcBorders>
              <w:top w:val="outset" w:sz="6" w:space="0" w:color="414142"/>
              <w:left w:val="outset" w:sz="6" w:space="0" w:color="414142"/>
              <w:bottom w:val="outset" w:sz="6" w:space="0" w:color="414142"/>
              <w:right w:val="outset" w:sz="6" w:space="0" w:color="414142"/>
            </w:tcBorders>
            <w:hideMark/>
          </w:tcPr>
          <w:p w14:paraId="59B7406C" w14:textId="77777777" w:rsidR="0038587F" w:rsidRPr="005851C0" w:rsidRDefault="005C5F58" w:rsidP="0095326C">
            <w:pPr>
              <w:pStyle w:val="CommentText"/>
              <w:jc w:val="both"/>
              <w:rPr>
                <w:sz w:val="24"/>
                <w:szCs w:val="24"/>
              </w:rPr>
            </w:pPr>
            <w:r w:rsidRPr="005851C0">
              <w:rPr>
                <w:sz w:val="24"/>
                <w:szCs w:val="24"/>
              </w:rPr>
              <w:t>Finanšu ministrija</w:t>
            </w:r>
            <w:r w:rsidR="0095326C" w:rsidRPr="005851C0">
              <w:rPr>
                <w:sz w:val="24"/>
                <w:szCs w:val="24"/>
              </w:rPr>
              <w:t xml:space="preserve"> </w:t>
            </w:r>
            <w:r w:rsidR="00314D44" w:rsidRPr="005851C0">
              <w:rPr>
                <w:sz w:val="24"/>
                <w:szCs w:val="24"/>
              </w:rPr>
              <w:t xml:space="preserve">un </w:t>
            </w:r>
            <w:r w:rsidR="00DB24C6" w:rsidRPr="005851C0">
              <w:rPr>
                <w:sz w:val="24"/>
                <w:szCs w:val="24"/>
              </w:rPr>
              <w:t>Valsts ieņēmumu dienests</w:t>
            </w:r>
            <w:r w:rsidR="0066605C" w:rsidRPr="005851C0">
              <w:rPr>
                <w:sz w:val="24"/>
                <w:szCs w:val="24"/>
              </w:rPr>
              <w:t>.</w:t>
            </w:r>
          </w:p>
        </w:tc>
      </w:tr>
      <w:tr w:rsidR="00341B12" w:rsidRPr="005851C0" w14:paraId="2A8DCA24" w14:textId="77777777" w:rsidTr="002A4683">
        <w:tc>
          <w:tcPr>
            <w:tcW w:w="341" w:type="pct"/>
            <w:tcBorders>
              <w:top w:val="outset" w:sz="6" w:space="0" w:color="414142"/>
              <w:left w:val="outset" w:sz="6" w:space="0" w:color="414142"/>
              <w:bottom w:val="outset" w:sz="6" w:space="0" w:color="414142"/>
              <w:right w:val="outset" w:sz="6" w:space="0" w:color="414142"/>
            </w:tcBorders>
            <w:hideMark/>
          </w:tcPr>
          <w:p w14:paraId="4263296C" w14:textId="77777777" w:rsidR="0038587F" w:rsidRPr="005851C0" w:rsidRDefault="0038587F" w:rsidP="0038587F">
            <w:pPr>
              <w:spacing w:before="100" w:beforeAutospacing="1" w:after="100" w:afterAutospacing="1" w:line="360" w:lineRule="auto"/>
              <w:ind w:firstLine="300"/>
              <w:jc w:val="center"/>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4.</w:t>
            </w:r>
          </w:p>
        </w:tc>
        <w:tc>
          <w:tcPr>
            <w:tcW w:w="1587" w:type="pct"/>
            <w:tcBorders>
              <w:top w:val="outset" w:sz="6" w:space="0" w:color="414142"/>
              <w:left w:val="outset" w:sz="6" w:space="0" w:color="414142"/>
              <w:bottom w:val="outset" w:sz="6" w:space="0" w:color="414142"/>
              <w:right w:val="outset" w:sz="6" w:space="0" w:color="414142"/>
            </w:tcBorders>
            <w:hideMark/>
          </w:tcPr>
          <w:p w14:paraId="7138F989" w14:textId="77777777" w:rsidR="0038587F" w:rsidRPr="005851C0" w:rsidRDefault="0038587F" w:rsidP="0038587F">
            <w:pPr>
              <w:spacing w:after="0" w:line="240" w:lineRule="auto"/>
              <w:jc w:val="both"/>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Cita informācija</w:t>
            </w:r>
          </w:p>
        </w:tc>
        <w:tc>
          <w:tcPr>
            <w:tcW w:w="3073" w:type="pct"/>
            <w:tcBorders>
              <w:top w:val="outset" w:sz="6" w:space="0" w:color="414142"/>
              <w:left w:val="outset" w:sz="6" w:space="0" w:color="414142"/>
              <w:bottom w:val="outset" w:sz="6" w:space="0" w:color="414142"/>
              <w:right w:val="outset" w:sz="6" w:space="0" w:color="414142"/>
            </w:tcBorders>
            <w:hideMark/>
          </w:tcPr>
          <w:p w14:paraId="31C9ECCA" w14:textId="77777777" w:rsidR="0038587F" w:rsidRPr="005851C0" w:rsidRDefault="00CE5C10" w:rsidP="00947ACC">
            <w:pPr>
              <w:pStyle w:val="CommentText"/>
              <w:ind w:firstLine="13"/>
              <w:jc w:val="both"/>
              <w:rPr>
                <w:sz w:val="24"/>
                <w:szCs w:val="24"/>
              </w:rPr>
            </w:pPr>
            <w:r w:rsidRPr="005851C0">
              <w:rPr>
                <w:sz w:val="24"/>
                <w:szCs w:val="24"/>
              </w:rPr>
              <w:t>Nav.</w:t>
            </w:r>
          </w:p>
        </w:tc>
      </w:tr>
    </w:tbl>
    <w:p w14:paraId="1C9088DE" w14:textId="77777777" w:rsidR="00543AA6" w:rsidRPr="005851C0" w:rsidRDefault="00543AA6" w:rsidP="00543AA6">
      <w:pPr>
        <w:spacing w:after="0" w:line="240" w:lineRule="auto"/>
        <w:rPr>
          <w:rFonts w:ascii="Times New Roman" w:eastAsia="Times New Roman" w:hAnsi="Times New Roman" w:cs="Times New Roman"/>
          <w:sz w:val="24"/>
          <w:szCs w:val="24"/>
          <w:lang w:eastAsia="lv-LV"/>
        </w:rPr>
      </w:pPr>
    </w:p>
    <w:tbl>
      <w:tblPr>
        <w:tblW w:w="504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626"/>
        <w:gridCol w:w="3055"/>
        <w:gridCol w:w="5493"/>
      </w:tblGrid>
      <w:tr w:rsidR="00543AA6" w:rsidRPr="005851C0" w14:paraId="6A3A9D7B" w14:textId="77777777" w:rsidTr="00F909CA">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6FDF728E" w14:textId="77777777" w:rsidR="00543AA6" w:rsidRPr="005851C0" w:rsidRDefault="00543AA6" w:rsidP="00993C84">
            <w:pPr>
              <w:spacing w:before="100" w:beforeAutospacing="1" w:after="100" w:afterAutospacing="1" w:line="360" w:lineRule="auto"/>
              <w:ind w:firstLine="300"/>
              <w:jc w:val="center"/>
              <w:rPr>
                <w:rFonts w:ascii="Times New Roman" w:eastAsia="Times New Roman" w:hAnsi="Times New Roman" w:cs="Times New Roman"/>
                <w:b/>
                <w:bCs/>
                <w:sz w:val="24"/>
                <w:szCs w:val="24"/>
                <w:lang w:eastAsia="lv-LV"/>
              </w:rPr>
            </w:pPr>
            <w:r w:rsidRPr="005851C0">
              <w:rPr>
                <w:rFonts w:ascii="Times New Roman" w:eastAsia="Times New Roman" w:hAnsi="Times New Roman" w:cs="Times New Roman"/>
                <w:b/>
                <w:bCs/>
                <w:sz w:val="24"/>
                <w:szCs w:val="24"/>
                <w:lang w:eastAsia="lv-LV"/>
              </w:rPr>
              <w:t>II. Tiesību akta projekta ietekme uz sabiedrību, tautsaimniecības attīstību un administratīvo slogu</w:t>
            </w:r>
          </w:p>
        </w:tc>
      </w:tr>
      <w:tr w:rsidR="00117DB1" w:rsidRPr="005851C0" w14:paraId="4D50F13D" w14:textId="77777777" w:rsidTr="000A2CD9">
        <w:tc>
          <w:tcPr>
            <w:tcW w:w="341" w:type="pct"/>
            <w:tcBorders>
              <w:top w:val="outset" w:sz="6" w:space="0" w:color="414142"/>
              <w:left w:val="outset" w:sz="6" w:space="0" w:color="414142"/>
              <w:bottom w:val="outset" w:sz="6" w:space="0" w:color="414142"/>
              <w:right w:val="single" w:sz="4" w:space="0" w:color="auto"/>
            </w:tcBorders>
            <w:hideMark/>
          </w:tcPr>
          <w:p w14:paraId="65B8671A" w14:textId="77777777" w:rsidR="00117DB1" w:rsidRPr="005851C0" w:rsidRDefault="00117DB1" w:rsidP="00117DB1">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5851C0">
              <w:rPr>
                <w:rFonts w:ascii="Times New Roman" w:eastAsia="Times New Roman" w:hAnsi="Times New Roman" w:cs="Times New Roman"/>
                <w:color w:val="414142"/>
                <w:sz w:val="24"/>
                <w:szCs w:val="24"/>
                <w:lang w:eastAsia="lv-LV"/>
              </w:rPr>
              <w:t>1.</w:t>
            </w:r>
          </w:p>
        </w:tc>
        <w:tc>
          <w:tcPr>
            <w:tcW w:w="1665" w:type="pct"/>
            <w:tcBorders>
              <w:top w:val="single" w:sz="4" w:space="0" w:color="auto"/>
              <w:left w:val="single" w:sz="4" w:space="0" w:color="auto"/>
              <w:bottom w:val="single" w:sz="4" w:space="0" w:color="auto"/>
              <w:right w:val="single" w:sz="4" w:space="0" w:color="auto"/>
            </w:tcBorders>
            <w:hideMark/>
          </w:tcPr>
          <w:p w14:paraId="6E582E1A" w14:textId="77777777" w:rsidR="00117DB1" w:rsidRPr="005851C0" w:rsidRDefault="00117DB1" w:rsidP="00117DB1">
            <w:pPr>
              <w:spacing w:after="0" w:line="240" w:lineRule="auto"/>
              <w:jc w:val="both"/>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 xml:space="preserve">Sabiedrības </w:t>
            </w:r>
            <w:proofErr w:type="spellStart"/>
            <w:r w:rsidRPr="005851C0">
              <w:rPr>
                <w:rFonts w:ascii="Times New Roman" w:eastAsia="Times New Roman" w:hAnsi="Times New Roman" w:cs="Times New Roman"/>
                <w:sz w:val="24"/>
                <w:szCs w:val="24"/>
                <w:lang w:eastAsia="lv-LV"/>
              </w:rPr>
              <w:t>mērķgrupas</w:t>
            </w:r>
            <w:proofErr w:type="spellEnd"/>
            <w:r w:rsidRPr="005851C0">
              <w:rPr>
                <w:rFonts w:ascii="Times New Roman" w:eastAsia="Times New Roman" w:hAnsi="Times New Roman" w:cs="Times New Roman"/>
                <w:sz w:val="24"/>
                <w:szCs w:val="24"/>
                <w:lang w:eastAsia="lv-LV"/>
              </w:rPr>
              <w:t>, kuras tiesiskais regulējums ietekmē vai varētu ietekmēt</w:t>
            </w:r>
          </w:p>
        </w:tc>
        <w:tc>
          <w:tcPr>
            <w:tcW w:w="2994" w:type="pct"/>
            <w:tcBorders>
              <w:top w:val="outset" w:sz="6" w:space="0" w:color="414142"/>
              <w:left w:val="single" w:sz="4" w:space="0" w:color="auto"/>
              <w:bottom w:val="outset" w:sz="6" w:space="0" w:color="414142"/>
              <w:right w:val="outset" w:sz="6" w:space="0" w:color="414142"/>
            </w:tcBorders>
            <w:hideMark/>
          </w:tcPr>
          <w:p w14:paraId="47ED9D98" w14:textId="77777777" w:rsidR="00A63699" w:rsidRPr="005851C0" w:rsidRDefault="0034258F" w:rsidP="00A63699">
            <w:pPr>
              <w:spacing w:after="0" w:line="240" w:lineRule="auto"/>
              <w:ind w:right="113" w:firstLine="396"/>
              <w:jc w:val="both"/>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Likumprojekta pieņem</w:t>
            </w:r>
            <w:r w:rsidR="0095326C" w:rsidRPr="005851C0">
              <w:rPr>
                <w:rFonts w:ascii="Times New Roman" w:eastAsia="Times New Roman" w:hAnsi="Times New Roman" w:cs="Times New Roman"/>
                <w:sz w:val="24"/>
                <w:szCs w:val="24"/>
                <w:lang w:eastAsia="lv-LV"/>
              </w:rPr>
              <w:t xml:space="preserve">šana attiecas uz personām, </w:t>
            </w:r>
            <w:r w:rsidR="00693C24" w:rsidRPr="005851C0">
              <w:rPr>
                <w:rFonts w:ascii="Times New Roman" w:eastAsia="Times New Roman" w:hAnsi="Times New Roman" w:cs="Times New Roman"/>
                <w:sz w:val="24"/>
                <w:szCs w:val="24"/>
                <w:lang w:eastAsia="lv-LV"/>
              </w:rPr>
              <w:t>kas veic darbības</w:t>
            </w:r>
            <w:r w:rsidR="007F39B5" w:rsidRPr="005851C0">
              <w:rPr>
                <w:rFonts w:ascii="Times New Roman" w:eastAsia="Times New Roman" w:hAnsi="Times New Roman" w:cs="Times New Roman"/>
                <w:sz w:val="24"/>
                <w:szCs w:val="24"/>
                <w:lang w:eastAsia="lv-LV"/>
              </w:rPr>
              <w:t xml:space="preserve"> ar elektroniskajās cigaretēs izmantojamajiem šķidrumiem,</w:t>
            </w:r>
            <w:r w:rsidR="00EC729D" w:rsidRPr="005851C0">
              <w:rPr>
                <w:rFonts w:ascii="Times New Roman" w:eastAsia="Times New Roman" w:hAnsi="Times New Roman" w:cs="Times New Roman"/>
                <w:sz w:val="24"/>
                <w:szCs w:val="24"/>
                <w:lang w:eastAsia="lv-LV"/>
              </w:rPr>
              <w:t xml:space="preserve"> bezalkoholiskajiem dzērieniem, kafiju, </w:t>
            </w:r>
            <w:r w:rsidR="00693C24" w:rsidRPr="005851C0">
              <w:rPr>
                <w:rFonts w:ascii="Times New Roman" w:eastAsia="Times New Roman" w:hAnsi="Times New Roman" w:cs="Times New Roman"/>
                <w:sz w:val="24"/>
                <w:szCs w:val="24"/>
                <w:lang w:eastAsia="lv-LV"/>
              </w:rPr>
              <w:t>ar akcīzes nodokli marķējamām akcīzes precēm</w:t>
            </w:r>
            <w:r w:rsidR="007538B5" w:rsidRPr="005851C0">
              <w:rPr>
                <w:rFonts w:ascii="Times New Roman" w:eastAsia="Times New Roman" w:hAnsi="Times New Roman" w:cs="Times New Roman"/>
                <w:sz w:val="24"/>
                <w:szCs w:val="24"/>
                <w:lang w:eastAsia="lv-LV"/>
              </w:rPr>
              <w:t>, ražo alu p</w:t>
            </w:r>
            <w:r w:rsidR="00235E3F" w:rsidRPr="005851C0">
              <w:rPr>
                <w:rFonts w:ascii="Times New Roman" w:eastAsia="Times New Roman" w:hAnsi="Times New Roman" w:cs="Times New Roman"/>
                <w:sz w:val="24"/>
                <w:szCs w:val="24"/>
                <w:lang w:eastAsia="lv-LV"/>
              </w:rPr>
              <w:t>atstāvīgā mazajā alus darītavā, veic darbības ar dab</w:t>
            </w:r>
            <w:r w:rsidR="00577277" w:rsidRPr="005851C0">
              <w:rPr>
                <w:rFonts w:ascii="Times New Roman" w:eastAsia="Times New Roman" w:hAnsi="Times New Roman" w:cs="Times New Roman"/>
                <w:sz w:val="24"/>
                <w:szCs w:val="24"/>
                <w:lang w:eastAsia="lv-LV"/>
              </w:rPr>
              <w:t>a</w:t>
            </w:r>
            <w:r w:rsidR="00E96C39" w:rsidRPr="005851C0">
              <w:rPr>
                <w:rFonts w:ascii="Times New Roman" w:eastAsia="Times New Roman" w:hAnsi="Times New Roman" w:cs="Times New Roman"/>
                <w:sz w:val="24"/>
                <w:szCs w:val="24"/>
                <w:lang w:eastAsia="lv-LV"/>
              </w:rPr>
              <w:t>sgāzi un</w:t>
            </w:r>
            <w:r w:rsidR="00235E3F" w:rsidRPr="005851C0">
              <w:rPr>
                <w:rFonts w:ascii="Times New Roman" w:eastAsia="Times New Roman" w:hAnsi="Times New Roman" w:cs="Times New Roman"/>
                <w:sz w:val="24"/>
                <w:szCs w:val="24"/>
                <w:lang w:eastAsia="lv-LV"/>
              </w:rPr>
              <w:t xml:space="preserve"> </w:t>
            </w:r>
            <w:r w:rsidR="00E96C39" w:rsidRPr="005851C0">
              <w:rPr>
                <w:rFonts w:ascii="Times New Roman" w:eastAsia="Times New Roman" w:hAnsi="Times New Roman" w:cs="Times New Roman"/>
                <w:sz w:val="24"/>
                <w:szCs w:val="24"/>
                <w:lang w:eastAsia="lv-LV"/>
              </w:rPr>
              <w:t>eļļas atkritumiem</w:t>
            </w:r>
            <w:r w:rsidR="007F39B5" w:rsidRPr="005851C0">
              <w:rPr>
                <w:rFonts w:ascii="Times New Roman" w:eastAsia="Times New Roman" w:hAnsi="Times New Roman" w:cs="Times New Roman"/>
                <w:sz w:val="24"/>
                <w:szCs w:val="24"/>
                <w:lang w:eastAsia="lv-LV"/>
              </w:rPr>
              <w:t>.</w:t>
            </w:r>
          </w:p>
          <w:p w14:paraId="01C3BDB1" w14:textId="77777777" w:rsidR="00117DB1" w:rsidRPr="005851C0" w:rsidRDefault="00A63699" w:rsidP="00A63699">
            <w:pPr>
              <w:spacing w:after="0" w:line="240" w:lineRule="auto"/>
              <w:ind w:right="113" w:firstLine="396"/>
              <w:jc w:val="both"/>
              <w:rPr>
                <w:rFonts w:ascii="Times New Roman" w:hAnsi="Times New Roman" w:cs="Times New Roman"/>
                <w:sz w:val="24"/>
                <w:szCs w:val="24"/>
              </w:rPr>
            </w:pPr>
            <w:r w:rsidRPr="005851C0">
              <w:rPr>
                <w:rFonts w:ascii="Times New Roman" w:hAnsi="Times New Roman" w:cs="Times New Roman"/>
                <w:sz w:val="24"/>
                <w:szCs w:val="24"/>
              </w:rPr>
              <w:t xml:space="preserve"> </w:t>
            </w:r>
          </w:p>
        </w:tc>
      </w:tr>
      <w:tr w:rsidR="00543AA6" w:rsidRPr="005851C0" w14:paraId="139A9051" w14:textId="77777777" w:rsidTr="00F909CA">
        <w:tc>
          <w:tcPr>
            <w:tcW w:w="341" w:type="pct"/>
            <w:tcBorders>
              <w:top w:val="outset" w:sz="6" w:space="0" w:color="414142"/>
              <w:left w:val="outset" w:sz="6" w:space="0" w:color="414142"/>
              <w:bottom w:val="outset" w:sz="6" w:space="0" w:color="414142"/>
              <w:right w:val="outset" w:sz="6" w:space="0" w:color="414142"/>
            </w:tcBorders>
            <w:hideMark/>
          </w:tcPr>
          <w:p w14:paraId="35438502" w14:textId="77777777" w:rsidR="00543AA6" w:rsidRPr="005851C0" w:rsidRDefault="00543AA6" w:rsidP="00993C84">
            <w:pPr>
              <w:spacing w:before="100" w:beforeAutospacing="1" w:after="100" w:afterAutospacing="1" w:line="360" w:lineRule="auto"/>
              <w:ind w:firstLine="300"/>
              <w:jc w:val="center"/>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2.</w:t>
            </w:r>
          </w:p>
        </w:tc>
        <w:tc>
          <w:tcPr>
            <w:tcW w:w="1665" w:type="pct"/>
            <w:tcBorders>
              <w:top w:val="outset" w:sz="6" w:space="0" w:color="414142"/>
              <w:left w:val="outset" w:sz="6" w:space="0" w:color="414142"/>
              <w:bottom w:val="outset" w:sz="6" w:space="0" w:color="414142"/>
              <w:right w:val="outset" w:sz="6" w:space="0" w:color="414142"/>
            </w:tcBorders>
            <w:hideMark/>
          </w:tcPr>
          <w:p w14:paraId="7A527205" w14:textId="77777777" w:rsidR="009B0004" w:rsidRPr="005851C0" w:rsidRDefault="00543AA6" w:rsidP="00993C84">
            <w:pPr>
              <w:spacing w:after="0" w:line="240" w:lineRule="auto"/>
              <w:jc w:val="both"/>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Tiesiskā regulējuma ietekme uz tautsaimniecību un administratīvo slogu</w:t>
            </w:r>
          </w:p>
          <w:p w14:paraId="47ED10EB" w14:textId="77777777" w:rsidR="009B0004" w:rsidRPr="005851C0" w:rsidRDefault="009B0004" w:rsidP="009B0004">
            <w:pPr>
              <w:rPr>
                <w:rFonts w:ascii="Times New Roman" w:eastAsia="Times New Roman" w:hAnsi="Times New Roman" w:cs="Times New Roman"/>
                <w:sz w:val="24"/>
                <w:szCs w:val="24"/>
                <w:lang w:eastAsia="lv-LV"/>
              </w:rPr>
            </w:pPr>
          </w:p>
          <w:p w14:paraId="6CAEDECF" w14:textId="77777777" w:rsidR="00543AA6" w:rsidRPr="005851C0" w:rsidRDefault="00543AA6" w:rsidP="009B0004">
            <w:pPr>
              <w:ind w:firstLine="720"/>
              <w:rPr>
                <w:rFonts w:ascii="Times New Roman" w:eastAsia="Times New Roman" w:hAnsi="Times New Roman" w:cs="Times New Roman"/>
                <w:sz w:val="24"/>
                <w:szCs w:val="24"/>
                <w:lang w:eastAsia="lv-LV"/>
              </w:rPr>
            </w:pPr>
          </w:p>
        </w:tc>
        <w:tc>
          <w:tcPr>
            <w:tcW w:w="2994" w:type="pct"/>
            <w:tcBorders>
              <w:top w:val="outset" w:sz="6" w:space="0" w:color="414142"/>
              <w:left w:val="outset" w:sz="6" w:space="0" w:color="414142"/>
              <w:bottom w:val="outset" w:sz="6" w:space="0" w:color="414142"/>
              <w:right w:val="outset" w:sz="6" w:space="0" w:color="414142"/>
            </w:tcBorders>
            <w:hideMark/>
          </w:tcPr>
          <w:p w14:paraId="0BA6AA6E" w14:textId="77777777" w:rsidR="00D10CB0" w:rsidRPr="005851C0" w:rsidRDefault="00D10CB0" w:rsidP="00D10CB0">
            <w:pPr>
              <w:spacing w:after="0" w:line="240" w:lineRule="auto"/>
              <w:ind w:firstLine="392"/>
              <w:jc w:val="both"/>
              <w:rPr>
                <w:rFonts w:ascii="Times New Roman" w:hAnsi="Times New Roman" w:cs="Times New Roman"/>
                <w:sz w:val="24"/>
                <w:szCs w:val="24"/>
              </w:rPr>
            </w:pPr>
            <w:r w:rsidRPr="005851C0">
              <w:rPr>
                <w:rFonts w:ascii="Times New Roman" w:hAnsi="Times New Roman" w:cs="Times New Roman"/>
                <w:sz w:val="24"/>
                <w:szCs w:val="24"/>
              </w:rPr>
              <w:t>Likumprojekts paredz akcīzes nodokļa atbrīvojuma piemērošanu elektroniskajās cigaretēs izmantojamiem šķidrumiem līdzīgi kā kafijai un bezalkoholiskajiem dzērieniem.  Līdz ar to tiks nodrošināta vienāda pieeja akcīzes nodokļa atbrīvojuma piemērošanā neharmonizētajām akcīzes precēm.</w:t>
            </w:r>
          </w:p>
          <w:p w14:paraId="13E501ED" w14:textId="051BBEAD" w:rsidR="00535905" w:rsidRPr="005851C0" w:rsidRDefault="00535905" w:rsidP="00D10CB0">
            <w:pPr>
              <w:spacing w:after="0" w:line="240" w:lineRule="auto"/>
              <w:ind w:firstLine="392"/>
              <w:jc w:val="both"/>
              <w:rPr>
                <w:rFonts w:ascii="Times New Roman" w:hAnsi="Times New Roman" w:cs="Times New Roman"/>
                <w:sz w:val="24"/>
                <w:szCs w:val="24"/>
              </w:rPr>
            </w:pPr>
            <w:r w:rsidRPr="005851C0">
              <w:rPr>
                <w:rFonts w:ascii="Times New Roman" w:hAnsi="Times New Roman" w:cs="Times New Roman"/>
                <w:sz w:val="24"/>
                <w:szCs w:val="24"/>
              </w:rPr>
              <w:t xml:space="preserve">Likumprojekts paredz </w:t>
            </w:r>
            <w:r w:rsidR="001B5971">
              <w:rPr>
                <w:rFonts w:ascii="Times New Roman" w:hAnsi="Times New Roman" w:cs="Times New Roman"/>
                <w:sz w:val="24"/>
                <w:szCs w:val="24"/>
              </w:rPr>
              <w:t xml:space="preserve">mazināt </w:t>
            </w:r>
            <w:r w:rsidR="001B5971" w:rsidRPr="001B5971">
              <w:rPr>
                <w:rFonts w:ascii="Times New Roman" w:hAnsi="Times New Roman" w:cs="Times New Roman"/>
                <w:sz w:val="24"/>
                <w:szCs w:val="24"/>
              </w:rPr>
              <w:t xml:space="preserve">administratīvo un finansiālo slogu </w:t>
            </w:r>
            <w:r w:rsidR="001B5971">
              <w:rPr>
                <w:rFonts w:ascii="Times New Roman" w:hAnsi="Times New Roman" w:cs="Times New Roman"/>
                <w:sz w:val="24"/>
                <w:szCs w:val="24"/>
              </w:rPr>
              <w:t xml:space="preserve">uzņēmumiem </w:t>
            </w:r>
            <w:r w:rsidR="00D10CB0" w:rsidRPr="005851C0">
              <w:rPr>
                <w:rFonts w:ascii="Times New Roman" w:hAnsi="Times New Roman" w:cs="Times New Roman"/>
                <w:sz w:val="24"/>
                <w:szCs w:val="24"/>
              </w:rPr>
              <w:t>darbībām ar akcīzes nodokļa markām marķējamām akcīzes precēm</w:t>
            </w:r>
            <w:r w:rsidRPr="005851C0">
              <w:rPr>
                <w:rFonts w:ascii="Times New Roman" w:hAnsi="Times New Roman" w:cs="Times New Roman"/>
                <w:sz w:val="24"/>
                <w:szCs w:val="24"/>
              </w:rPr>
              <w:t>:</w:t>
            </w:r>
          </w:p>
          <w:p w14:paraId="53878AE8" w14:textId="77777777" w:rsidR="00685BBD" w:rsidRPr="005851C0" w:rsidRDefault="00535905" w:rsidP="00685BBD">
            <w:pPr>
              <w:spacing w:after="0" w:line="240" w:lineRule="auto"/>
              <w:ind w:firstLine="392"/>
              <w:jc w:val="both"/>
              <w:rPr>
                <w:rFonts w:ascii="Times New Roman" w:hAnsi="Times New Roman" w:cs="Times New Roman"/>
                <w:sz w:val="24"/>
                <w:szCs w:val="24"/>
              </w:rPr>
            </w:pPr>
            <w:r w:rsidRPr="005851C0">
              <w:rPr>
                <w:rFonts w:ascii="Times New Roman" w:hAnsi="Times New Roman" w:cs="Times New Roman"/>
                <w:sz w:val="24"/>
                <w:szCs w:val="24"/>
              </w:rPr>
              <w:t xml:space="preserve">- </w:t>
            </w:r>
            <w:r w:rsidR="00685BBD" w:rsidRPr="005851C0">
              <w:rPr>
                <w:rFonts w:ascii="Times New Roman" w:hAnsi="Times New Roman" w:cs="Times New Roman"/>
                <w:sz w:val="24"/>
                <w:szCs w:val="24"/>
              </w:rPr>
              <w:t>atcelt akcīzes nodokļa samaksas termiņu 180 dienas par saņemtajām akcīzes nodokļa markām, tādējādi maksājot akcīzes nodokli pēc faktiski marķēto preču vienību skaita, kas nodotas patēriņam vai laistas brīvā apgrozībā;</w:t>
            </w:r>
          </w:p>
          <w:p w14:paraId="11E8CDC3" w14:textId="77777777" w:rsidR="00685BBD" w:rsidRPr="005851C0" w:rsidRDefault="00685BBD" w:rsidP="00685BBD">
            <w:pPr>
              <w:spacing w:after="0" w:line="240" w:lineRule="auto"/>
              <w:ind w:firstLine="392"/>
              <w:jc w:val="both"/>
              <w:rPr>
                <w:rFonts w:ascii="Times New Roman" w:hAnsi="Times New Roman" w:cs="Times New Roman"/>
                <w:sz w:val="24"/>
                <w:szCs w:val="24"/>
              </w:rPr>
            </w:pPr>
            <w:r w:rsidRPr="005851C0">
              <w:rPr>
                <w:rFonts w:ascii="Times New Roman" w:hAnsi="Times New Roman" w:cs="Times New Roman"/>
                <w:sz w:val="24"/>
                <w:szCs w:val="24"/>
              </w:rPr>
              <w:t>- paredz iespēju iznīcināt akcīzes nodokļa markas, nenoņemot tās no akcīzes preču iepakojuma</w:t>
            </w:r>
            <w:r w:rsidR="00E65F2A" w:rsidRPr="005851C0">
              <w:rPr>
                <w:rFonts w:ascii="Times New Roman" w:hAnsi="Times New Roman" w:cs="Times New Roman"/>
                <w:sz w:val="24"/>
                <w:szCs w:val="24"/>
              </w:rPr>
              <w:t>, un šajā gadījumā saņemt atpakaļ samaksāto akcīzes nodokli.</w:t>
            </w:r>
          </w:p>
          <w:p w14:paraId="2B2A5F66" w14:textId="77777777" w:rsidR="000B00F2" w:rsidRPr="005851C0" w:rsidRDefault="00D30BA4" w:rsidP="001F7DAE">
            <w:pPr>
              <w:spacing w:line="240" w:lineRule="auto"/>
              <w:ind w:firstLine="392"/>
              <w:jc w:val="both"/>
              <w:rPr>
                <w:rFonts w:ascii="Times New Roman" w:hAnsi="Times New Roman" w:cs="Times New Roman"/>
                <w:sz w:val="24"/>
                <w:szCs w:val="24"/>
              </w:rPr>
            </w:pPr>
            <w:r w:rsidRPr="005851C0">
              <w:rPr>
                <w:rFonts w:ascii="Times New Roman" w:hAnsi="Times New Roman" w:cs="Times New Roman"/>
                <w:sz w:val="24"/>
                <w:szCs w:val="24"/>
              </w:rPr>
              <w:t>Tādējādi tiks ietaupīti uzņēmumu līdzekļi</w:t>
            </w:r>
            <w:r w:rsidR="0014715C" w:rsidRPr="005851C0">
              <w:rPr>
                <w:rFonts w:ascii="Times New Roman" w:hAnsi="Times New Roman" w:cs="Times New Roman"/>
                <w:sz w:val="24"/>
                <w:szCs w:val="24"/>
              </w:rPr>
              <w:t xml:space="preserve"> un laiks</w:t>
            </w:r>
            <w:r w:rsidRPr="005851C0">
              <w:rPr>
                <w:rFonts w:ascii="Times New Roman" w:hAnsi="Times New Roman" w:cs="Times New Roman"/>
                <w:sz w:val="24"/>
                <w:szCs w:val="24"/>
              </w:rPr>
              <w:t>.</w:t>
            </w:r>
          </w:p>
        </w:tc>
      </w:tr>
      <w:tr w:rsidR="00543AA6" w:rsidRPr="005851C0" w14:paraId="0C829763" w14:textId="77777777" w:rsidTr="00F909CA">
        <w:tc>
          <w:tcPr>
            <w:tcW w:w="341" w:type="pct"/>
            <w:tcBorders>
              <w:top w:val="outset" w:sz="6" w:space="0" w:color="414142"/>
              <w:left w:val="outset" w:sz="6" w:space="0" w:color="414142"/>
              <w:bottom w:val="outset" w:sz="6" w:space="0" w:color="414142"/>
              <w:right w:val="outset" w:sz="6" w:space="0" w:color="414142"/>
            </w:tcBorders>
            <w:hideMark/>
          </w:tcPr>
          <w:p w14:paraId="2B9F391C" w14:textId="77777777" w:rsidR="00543AA6" w:rsidRPr="005851C0" w:rsidRDefault="00543AA6" w:rsidP="00993C84">
            <w:pPr>
              <w:spacing w:before="100" w:beforeAutospacing="1" w:after="100" w:afterAutospacing="1" w:line="360" w:lineRule="auto"/>
              <w:ind w:firstLine="300"/>
              <w:jc w:val="center"/>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3.</w:t>
            </w:r>
          </w:p>
        </w:tc>
        <w:tc>
          <w:tcPr>
            <w:tcW w:w="1665" w:type="pct"/>
            <w:tcBorders>
              <w:top w:val="outset" w:sz="6" w:space="0" w:color="414142"/>
              <w:left w:val="outset" w:sz="6" w:space="0" w:color="414142"/>
              <w:bottom w:val="outset" w:sz="6" w:space="0" w:color="414142"/>
              <w:right w:val="outset" w:sz="6" w:space="0" w:color="414142"/>
            </w:tcBorders>
            <w:hideMark/>
          </w:tcPr>
          <w:p w14:paraId="165EBE2B" w14:textId="77777777" w:rsidR="00543AA6" w:rsidRPr="005851C0" w:rsidRDefault="00543AA6" w:rsidP="00993C84">
            <w:pPr>
              <w:spacing w:after="0" w:line="240" w:lineRule="auto"/>
              <w:jc w:val="both"/>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Administratīvo izmaksu monetārs novērtējums</w:t>
            </w:r>
          </w:p>
        </w:tc>
        <w:tc>
          <w:tcPr>
            <w:tcW w:w="2994" w:type="pct"/>
            <w:tcBorders>
              <w:top w:val="outset" w:sz="6" w:space="0" w:color="414142"/>
              <w:left w:val="outset" w:sz="6" w:space="0" w:color="414142"/>
              <w:bottom w:val="outset" w:sz="6" w:space="0" w:color="414142"/>
              <w:right w:val="outset" w:sz="6" w:space="0" w:color="414142"/>
            </w:tcBorders>
            <w:hideMark/>
          </w:tcPr>
          <w:p w14:paraId="4BB226AD" w14:textId="77777777" w:rsidR="00543AA6" w:rsidRPr="005851C0" w:rsidRDefault="008057B9" w:rsidP="008057B9">
            <w:pPr>
              <w:spacing w:after="0" w:line="240" w:lineRule="auto"/>
              <w:ind w:right="119"/>
              <w:jc w:val="both"/>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Projekts šo jomu neskar.</w:t>
            </w:r>
          </w:p>
        </w:tc>
      </w:tr>
      <w:tr w:rsidR="00543AA6" w:rsidRPr="005851C0" w14:paraId="3D60CBAB" w14:textId="77777777" w:rsidTr="00F909CA">
        <w:tc>
          <w:tcPr>
            <w:tcW w:w="341" w:type="pct"/>
            <w:tcBorders>
              <w:top w:val="outset" w:sz="6" w:space="0" w:color="414142"/>
              <w:left w:val="outset" w:sz="6" w:space="0" w:color="414142"/>
              <w:bottom w:val="outset" w:sz="6" w:space="0" w:color="414142"/>
              <w:right w:val="outset" w:sz="6" w:space="0" w:color="414142"/>
            </w:tcBorders>
            <w:hideMark/>
          </w:tcPr>
          <w:p w14:paraId="08F670F5" w14:textId="77777777" w:rsidR="00543AA6" w:rsidRPr="005851C0" w:rsidRDefault="00543AA6" w:rsidP="00993C84">
            <w:pPr>
              <w:spacing w:before="100" w:beforeAutospacing="1" w:after="100" w:afterAutospacing="1" w:line="360" w:lineRule="auto"/>
              <w:ind w:firstLine="300"/>
              <w:jc w:val="center"/>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4.</w:t>
            </w:r>
          </w:p>
        </w:tc>
        <w:tc>
          <w:tcPr>
            <w:tcW w:w="1665" w:type="pct"/>
            <w:tcBorders>
              <w:top w:val="outset" w:sz="6" w:space="0" w:color="414142"/>
              <w:left w:val="outset" w:sz="6" w:space="0" w:color="414142"/>
              <w:bottom w:val="outset" w:sz="6" w:space="0" w:color="414142"/>
              <w:right w:val="outset" w:sz="6" w:space="0" w:color="414142"/>
            </w:tcBorders>
            <w:hideMark/>
          </w:tcPr>
          <w:p w14:paraId="71581F1F" w14:textId="77777777" w:rsidR="00543AA6" w:rsidRPr="005851C0" w:rsidRDefault="00543AA6" w:rsidP="00993C84">
            <w:pPr>
              <w:spacing w:after="0" w:line="240" w:lineRule="auto"/>
              <w:jc w:val="both"/>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Atbilstības izmaksu monetārs novērtējums</w:t>
            </w:r>
          </w:p>
        </w:tc>
        <w:tc>
          <w:tcPr>
            <w:tcW w:w="2994" w:type="pct"/>
            <w:tcBorders>
              <w:top w:val="outset" w:sz="6" w:space="0" w:color="414142"/>
              <w:left w:val="outset" w:sz="6" w:space="0" w:color="414142"/>
              <w:bottom w:val="outset" w:sz="6" w:space="0" w:color="414142"/>
              <w:right w:val="outset" w:sz="6" w:space="0" w:color="414142"/>
            </w:tcBorders>
            <w:hideMark/>
          </w:tcPr>
          <w:p w14:paraId="5CAEEA56" w14:textId="77777777" w:rsidR="00543AA6" w:rsidRPr="005851C0" w:rsidRDefault="0069728C" w:rsidP="00993C84">
            <w:pPr>
              <w:spacing w:after="0" w:line="240" w:lineRule="auto"/>
              <w:jc w:val="both"/>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Projekts šo jomu neskar.</w:t>
            </w:r>
          </w:p>
        </w:tc>
      </w:tr>
      <w:tr w:rsidR="00543AA6" w:rsidRPr="005851C0" w14:paraId="01412FFE" w14:textId="77777777" w:rsidTr="00F909CA">
        <w:tc>
          <w:tcPr>
            <w:tcW w:w="341" w:type="pct"/>
            <w:tcBorders>
              <w:top w:val="outset" w:sz="6" w:space="0" w:color="414142"/>
              <w:left w:val="outset" w:sz="6" w:space="0" w:color="414142"/>
              <w:bottom w:val="outset" w:sz="6" w:space="0" w:color="414142"/>
              <w:right w:val="outset" w:sz="6" w:space="0" w:color="414142"/>
            </w:tcBorders>
            <w:hideMark/>
          </w:tcPr>
          <w:p w14:paraId="45724493" w14:textId="77777777" w:rsidR="00543AA6" w:rsidRPr="005851C0" w:rsidRDefault="00543AA6" w:rsidP="00993C84">
            <w:pPr>
              <w:spacing w:before="100" w:beforeAutospacing="1" w:after="100" w:afterAutospacing="1" w:line="360" w:lineRule="auto"/>
              <w:ind w:firstLine="300"/>
              <w:jc w:val="center"/>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5.</w:t>
            </w:r>
          </w:p>
        </w:tc>
        <w:tc>
          <w:tcPr>
            <w:tcW w:w="1665" w:type="pct"/>
            <w:tcBorders>
              <w:top w:val="outset" w:sz="6" w:space="0" w:color="414142"/>
              <w:left w:val="outset" w:sz="6" w:space="0" w:color="414142"/>
              <w:bottom w:val="outset" w:sz="6" w:space="0" w:color="414142"/>
              <w:right w:val="outset" w:sz="6" w:space="0" w:color="414142"/>
            </w:tcBorders>
            <w:hideMark/>
          </w:tcPr>
          <w:p w14:paraId="4BBD92FE" w14:textId="77777777" w:rsidR="00543AA6" w:rsidRPr="005851C0" w:rsidRDefault="00543AA6" w:rsidP="00993C84">
            <w:pPr>
              <w:spacing w:after="0" w:line="240" w:lineRule="auto"/>
              <w:jc w:val="both"/>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Cita informācija</w:t>
            </w:r>
          </w:p>
        </w:tc>
        <w:tc>
          <w:tcPr>
            <w:tcW w:w="2994" w:type="pct"/>
            <w:tcBorders>
              <w:top w:val="outset" w:sz="6" w:space="0" w:color="414142"/>
              <w:left w:val="outset" w:sz="6" w:space="0" w:color="414142"/>
              <w:bottom w:val="outset" w:sz="6" w:space="0" w:color="414142"/>
              <w:right w:val="outset" w:sz="6" w:space="0" w:color="414142"/>
            </w:tcBorders>
            <w:hideMark/>
          </w:tcPr>
          <w:p w14:paraId="42BD0113" w14:textId="77777777" w:rsidR="00CC4728" w:rsidRPr="005851C0" w:rsidRDefault="00CC4728" w:rsidP="00CC4728">
            <w:pPr>
              <w:spacing w:after="0" w:line="240" w:lineRule="auto"/>
              <w:ind w:firstLine="392"/>
              <w:jc w:val="both"/>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 xml:space="preserve"> Pēc </w:t>
            </w:r>
            <w:r w:rsidR="0054716F" w:rsidRPr="005851C0">
              <w:rPr>
                <w:rFonts w:ascii="Times New Roman" w:eastAsia="Times New Roman" w:hAnsi="Times New Roman" w:cs="Times New Roman"/>
                <w:sz w:val="24"/>
                <w:szCs w:val="24"/>
                <w:lang w:eastAsia="lv-LV"/>
              </w:rPr>
              <w:t xml:space="preserve">TIRNA </w:t>
            </w:r>
            <w:r w:rsidRPr="005851C0">
              <w:rPr>
                <w:rFonts w:ascii="Times New Roman" w:eastAsia="Times New Roman" w:hAnsi="Times New Roman" w:cs="Times New Roman"/>
                <w:sz w:val="24"/>
                <w:szCs w:val="24"/>
                <w:lang w:eastAsia="lv-LV"/>
              </w:rPr>
              <w:t>sniegtās informācijas akcīzes nodokļa marku noņemšana no cigarešu paciņā</w:t>
            </w:r>
            <w:r w:rsidR="000C25BF">
              <w:rPr>
                <w:rFonts w:ascii="Times New Roman" w:eastAsia="Times New Roman" w:hAnsi="Times New Roman" w:cs="Times New Roman"/>
                <w:sz w:val="24"/>
                <w:szCs w:val="24"/>
                <w:lang w:eastAsia="lv-LV"/>
              </w:rPr>
              <w:t>m pirms iznīcināšanas maksā ~ 0,</w:t>
            </w:r>
            <w:r w:rsidRPr="005851C0">
              <w:rPr>
                <w:rFonts w:ascii="Times New Roman" w:eastAsia="Times New Roman" w:hAnsi="Times New Roman" w:cs="Times New Roman"/>
                <w:sz w:val="24"/>
                <w:szCs w:val="24"/>
                <w:lang w:eastAsia="lv-LV"/>
              </w:rPr>
              <w:t xml:space="preserve">14 EUR par paciņu, attiecīgi ~ </w:t>
            </w:r>
            <w:r w:rsidRPr="005851C0">
              <w:rPr>
                <w:rFonts w:ascii="Times New Roman" w:eastAsia="Times New Roman" w:hAnsi="Times New Roman" w:cs="Times New Roman"/>
                <w:sz w:val="24"/>
                <w:szCs w:val="24"/>
                <w:lang w:eastAsia="lv-LV"/>
              </w:rPr>
              <w:lastRenderedPageBreak/>
              <w:t xml:space="preserve">142 EUR par 1000 markām (noņemot vairāk kā 100 000 marku). Jo mazāks marku skaits, jo attiecīgi lielākas izmaksas par katras markas noņemšanu. </w:t>
            </w:r>
          </w:p>
          <w:p w14:paraId="67DF17D5" w14:textId="77777777" w:rsidR="00CC4728" w:rsidRPr="005851C0" w:rsidRDefault="00CC4728" w:rsidP="00CC4728">
            <w:pPr>
              <w:spacing w:after="0" w:line="240" w:lineRule="auto"/>
              <w:ind w:firstLine="392"/>
              <w:jc w:val="both"/>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Izmaksas saistībā ar akcīzes nodokļa samaksas termiņu 180 dienas rodas divos veidos:</w:t>
            </w:r>
          </w:p>
          <w:p w14:paraId="74A22FBA" w14:textId="77777777" w:rsidR="00CC4728" w:rsidRPr="005851C0" w:rsidRDefault="00CC4728" w:rsidP="00CC4728">
            <w:pPr>
              <w:spacing w:after="0" w:line="240" w:lineRule="auto"/>
              <w:ind w:firstLine="392"/>
              <w:jc w:val="both"/>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 xml:space="preserve"> 1) ja akcīzes nodokļa markas atrodas rūpnīcā un preces vēl nav marķētas, pienākot 180 dienu termiņam šīs akcīzes nodokļa markas tiek iznīcinātas.  Izmaksas 2</w:t>
            </w:r>
            <w:r w:rsidR="000C25BF">
              <w:rPr>
                <w:rFonts w:ascii="Times New Roman" w:eastAsia="Times New Roman" w:hAnsi="Times New Roman" w:cs="Times New Roman"/>
                <w:sz w:val="24"/>
                <w:szCs w:val="24"/>
                <w:lang w:eastAsia="lv-LV"/>
              </w:rPr>
              <w:t>,</w:t>
            </w:r>
            <w:r w:rsidRPr="005851C0">
              <w:rPr>
                <w:rFonts w:ascii="Times New Roman" w:eastAsia="Times New Roman" w:hAnsi="Times New Roman" w:cs="Times New Roman"/>
                <w:sz w:val="24"/>
                <w:szCs w:val="24"/>
                <w:lang w:eastAsia="lv-LV"/>
              </w:rPr>
              <w:t>30 EUR par 1000 markām (cigaretēm);</w:t>
            </w:r>
          </w:p>
          <w:p w14:paraId="0D0DDB40" w14:textId="77777777" w:rsidR="00CC4728" w:rsidRPr="005851C0" w:rsidRDefault="00CC4728" w:rsidP="00CC4728">
            <w:pPr>
              <w:spacing w:after="0" w:line="240" w:lineRule="auto"/>
              <w:ind w:firstLine="392"/>
              <w:jc w:val="both"/>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 xml:space="preserve"> 2) ja preces jau ir marķētas ar akcīzes nodokļa markām, taču pienākot 180 dienu termiņam,  preces vēl nevar nodot patēriņam, tiek maksāts akcīzes nodoklis. Šajā gadījumā veidojas būtiski “iesaldētie” līdzekļi, kas  šobrīd ir vairāku miljonu EUR apmērā.</w:t>
            </w:r>
          </w:p>
          <w:p w14:paraId="67A0D048" w14:textId="77777777" w:rsidR="0054716F" w:rsidRPr="005851C0" w:rsidRDefault="00CC4728" w:rsidP="0054716F">
            <w:pPr>
              <w:spacing w:after="0" w:line="240" w:lineRule="auto"/>
              <w:ind w:firstLine="392"/>
              <w:jc w:val="both"/>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Izmaksas cigaretēm un cigarellām būtiski neatšķiras</w:t>
            </w:r>
            <w:r w:rsidR="006A48B8" w:rsidRPr="005851C0">
              <w:rPr>
                <w:rFonts w:ascii="Times New Roman" w:eastAsia="Times New Roman" w:hAnsi="Times New Roman" w:cs="Times New Roman"/>
                <w:sz w:val="24"/>
                <w:szCs w:val="24"/>
                <w:lang w:eastAsia="lv-LV"/>
              </w:rPr>
              <w:t>.</w:t>
            </w:r>
          </w:p>
          <w:p w14:paraId="1F63568A" w14:textId="77777777" w:rsidR="007B6AF8" w:rsidRPr="005851C0" w:rsidRDefault="0054716F" w:rsidP="0054716F">
            <w:pPr>
              <w:spacing w:after="0" w:line="240" w:lineRule="auto"/>
              <w:ind w:firstLine="392"/>
              <w:jc w:val="both"/>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Pēc LANA sniegtās inform</w:t>
            </w:r>
            <w:r w:rsidR="007B6AF8" w:rsidRPr="005851C0">
              <w:rPr>
                <w:rFonts w:ascii="Times New Roman" w:eastAsia="Times New Roman" w:hAnsi="Times New Roman" w:cs="Times New Roman"/>
                <w:sz w:val="24"/>
                <w:szCs w:val="24"/>
                <w:lang w:eastAsia="lv-LV"/>
              </w:rPr>
              <w:t>ācijas, ja:</w:t>
            </w:r>
          </w:p>
          <w:p w14:paraId="40FBB3B1" w14:textId="650E0092" w:rsidR="0054716F" w:rsidRPr="005851C0" w:rsidRDefault="007B6AF8" w:rsidP="0054716F">
            <w:pPr>
              <w:spacing w:after="0" w:line="240" w:lineRule="auto"/>
              <w:ind w:firstLine="392"/>
              <w:jc w:val="both"/>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1) tiks atcelts akcīzes nodokļa samaksas termiņš 180 dienas par saņemtajām akcīzes nodokļa markām</w:t>
            </w:r>
            <w:r w:rsidR="00020350" w:rsidRPr="005851C0">
              <w:rPr>
                <w:rFonts w:ascii="Times New Roman" w:eastAsia="Times New Roman" w:hAnsi="Times New Roman" w:cs="Times New Roman"/>
                <w:sz w:val="24"/>
                <w:szCs w:val="24"/>
                <w:lang w:eastAsia="lv-LV"/>
              </w:rPr>
              <w:t xml:space="preserve"> par alkoholiskajiem dzērieniem</w:t>
            </w:r>
            <w:r w:rsidRPr="005851C0">
              <w:rPr>
                <w:rFonts w:ascii="Times New Roman" w:eastAsia="Times New Roman" w:hAnsi="Times New Roman" w:cs="Times New Roman"/>
                <w:sz w:val="24"/>
                <w:szCs w:val="24"/>
                <w:lang w:eastAsia="lv-LV"/>
              </w:rPr>
              <w:t xml:space="preserve">, uzņēmumiem samazināsies izmaksas no 0 līdz </w:t>
            </w:r>
            <w:r w:rsidR="00020350" w:rsidRPr="005851C0">
              <w:rPr>
                <w:rFonts w:ascii="Times New Roman" w:eastAsia="Times New Roman" w:hAnsi="Times New Roman" w:cs="Times New Roman"/>
                <w:sz w:val="24"/>
                <w:szCs w:val="24"/>
                <w:lang w:eastAsia="lv-LV"/>
              </w:rPr>
              <w:t>92</w:t>
            </w:r>
            <w:r w:rsidR="005C1BBD" w:rsidRPr="005851C0">
              <w:rPr>
                <w:rFonts w:ascii="Times New Roman" w:eastAsia="Times New Roman" w:hAnsi="Times New Roman" w:cs="Times New Roman"/>
                <w:sz w:val="24"/>
                <w:szCs w:val="24"/>
                <w:lang w:eastAsia="lv-LV"/>
              </w:rPr>
              <w:t> </w:t>
            </w:r>
            <w:r w:rsidRPr="005851C0">
              <w:rPr>
                <w:rFonts w:ascii="Times New Roman" w:eastAsia="Times New Roman" w:hAnsi="Times New Roman" w:cs="Times New Roman"/>
                <w:sz w:val="24"/>
                <w:szCs w:val="24"/>
                <w:lang w:eastAsia="lv-LV"/>
              </w:rPr>
              <w:t>tūkst</w:t>
            </w:r>
            <w:r w:rsidR="005C1BBD" w:rsidRPr="005851C0">
              <w:rPr>
                <w:rFonts w:ascii="Times New Roman" w:eastAsia="Times New Roman" w:hAnsi="Times New Roman" w:cs="Times New Roman"/>
                <w:sz w:val="24"/>
                <w:szCs w:val="24"/>
                <w:lang w:eastAsia="lv-LV"/>
              </w:rPr>
              <w:t>. </w:t>
            </w:r>
            <w:r w:rsidRPr="005851C0">
              <w:rPr>
                <w:rFonts w:ascii="Times New Roman" w:eastAsia="Times New Roman" w:hAnsi="Times New Roman" w:cs="Times New Roman"/>
                <w:sz w:val="24"/>
                <w:szCs w:val="24"/>
                <w:lang w:eastAsia="lv-LV"/>
              </w:rPr>
              <w:t>EUR gadā atkarībā no uzņēmumu lieluma un alkoholisko dzērienu apgrozījuma, par kur</w:t>
            </w:r>
            <w:r w:rsidR="002C51FA">
              <w:rPr>
                <w:rFonts w:ascii="Times New Roman" w:eastAsia="Times New Roman" w:hAnsi="Times New Roman" w:cs="Times New Roman"/>
                <w:sz w:val="24"/>
                <w:szCs w:val="24"/>
                <w:lang w:eastAsia="lv-LV"/>
              </w:rPr>
              <w:t>ie</w:t>
            </w:r>
            <w:r w:rsidRPr="005851C0">
              <w:rPr>
                <w:rFonts w:ascii="Times New Roman" w:eastAsia="Times New Roman" w:hAnsi="Times New Roman" w:cs="Times New Roman"/>
                <w:sz w:val="24"/>
                <w:szCs w:val="24"/>
                <w:lang w:eastAsia="lv-LV"/>
              </w:rPr>
              <w:t xml:space="preserve">m tika pasūtītas </w:t>
            </w:r>
            <w:r w:rsidR="00020350" w:rsidRPr="005851C0">
              <w:rPr>
                <w:rFonts w:ascii="Times New Roman" w:eastAsia="Times New Roman" w:hAnsi="Times New Roman" w:cs="Times New Roman"/>
                <w:sz w:val="24"/>
                <w:szCs w:val="24"/>
                <w:lang w:eastAsia="lv-LV"/>
              </w:rPr>
              <w:t xml:space="preserve">un saņemtas </w:t>
            </w:r>
            <w:r w:rsidRPr="005851C0">
              <w:rPr>
                <w:rFonts w:ascii="Times New Roman" w:eastAsia="Times New Roman" w:hAnsi="Times New Roman" w:cs="Times New Roman"/>
                <w:sz w:val="24"/>
                <w:szCs w:val="24"/>
                <w:lang w:eastAsia="lv-LV"/>
              </w:rPr>
              <w:t>akcīzes nodokļa markas</w:t>
            </w:r>
            <w:r w:rsidR="005C1BBD" w:rsidRPr="005851C0">
              <w:rPr>
                <w:rFonts w:ascii="Times New Roman" w:eastAsia="Times New Roman" w:hAnsi="Times New Roman" w:cs="Times New Roman"/>
                <w:sz w:val="24"/>
                <w:szCs w:val="24"/>
                <w:lang w:eastAsia="lv-LV"/>
              </w:rPr>
              <w:t>. Ja akcīzes nodokļa markas ir saņemtas, bet vēl nav uzlīmētas</w:t>
            </w:r>
            <w:r w:rsidR="00020350" w:rsidRPr="005851C0">
              <w:rPr>
                <w:rFonts w:ascii="Times New Roman" w:eastAsia="Times New Roman" w:hAnsi="Times New Roman" w:cs="Times New Roman"/>
                <w:sz w:val="24"/>
                <w:szCs w:val="24"/>
                <w:lang w:eastAsia="lv-LV"/>
              </w:rPr>
              <w:t xml:space="preserve"> uz alkoholiskajiem dzērieniem</w:t>
            </w:r>
            <w:r w:rsidR="005C1BBD" w:rsidRPr="005851C0">
              <w:rPr>
                <w:rFonts w:ascii="Times New Roman" w:eastAsia="Times New Roman" w:hAnsi="Times New Roman" w:cs="Times New Roman"/>
                <w:sz w:val="24"/>
                <w:szCs w:val="24"/>
                <w:lang w:eastAsia="lv-LV"/>
              </w:rPr>
              <w:t>, tad atgriešanas izmaksas varētu būt 4,60</w:t>
            </w:r>
            <w:r w:rsidR="00020350" w:rsidRPr="005851C0">
              <w:rPr>
                <w:rFonts w:ascii="Times New Roman" w:eastAsia="Times New Roman" w:hAnsi="Times New Roman" w:cs="Times New Roman"/>
                <w:sz w:val="24"/>
                <w:szCs w:val="24"/>
                <w:lang w:eastAsia="lv-LV"/>
              </w:rPr>
              <w:t> </w:t>
            </w:r>
            <w:r w:rsidR="005C1BBD" w:rsidRPr="005851C0">
              <w:rPr>
                <w:rFonts w:ascii="Times New Roman" w:eastAsia="Times New Roman" w:hAnsi="Times New Roman" w:cs="Times New Roman"/>
                <w:sz w:val="24"/>
                <w:szCs w:val="24"/>
                <w:lang w:eastAsia="lv-LV"/>
              </w:rPr>
              <w:t xml:space="preserve">EUR par 1000 </w:t>
            </w:r>
            <w:r w:rsidR="0001107B" w:rsidRPr="005851C0">
              <w:rPr>
                <w:rFonts w:ascii="Times New Roman" w:eastAsia="Times New Roman" w:hAnsi="Times New Roman" w:cs="Times New Roman"/>
                <w:sz w:val="24"/>
                <w:szCs w:val="24"/>
                <w:lang w:eastAsia="lv-LV"/>
              </w:rPr>
              <w:t xml:space="preserve">akcīzes nodokļa </w:t>
            </w:r>
            <w:r w:rsidR="005C1BBD" w:rsidRPr="005851C0">
              <w:rPr>
                <w:rFonts w:ascii="Times New Roman" w:eastAsia="Times New Roman" w:hAnsi="Times New Roman" w:cs="Times New Roman"/>
                <w:sz w:val="24"/>
                <w:szCs w:val="24"/>
                <w:lang w:eastAsia="lv-LV"/>
              </w:rPr>
              <w:t xml:space="preserve">markām. </w:t>
            </w:r>
            <w:r w:rsidR="00020350" w:rsidRPr="005851C0">
              <w:rPr>
                <w:rFonts w:ascii="Times New Roman" w:eastAsia="Times New Roman" w:hAnsi="Times New Roman" w:cs="Times New Roman"/>
                <w:sz w:val="24"/>
                <w:szCs w:val="24"/>
                <w:lang w:eastAsia="lv-LV"/>
              </w:rPr>
              <w:t>Izmaksu ietekme nav tiem u</w:t>
            </w:r>
            <w:r w:rsidR="005C1BBD" w:rsidRPr="005851C0">
              <w:rPr>
                <w:rFonts w:ascii="Times New Roman" w:eastAsia="Times New Roman" w:hAnsi="Times New Roman" w:cs="Times New Roman"/>
                <w:sz w:val="24"/>
                <w:szCs w:val="24"/>
                <w:lang w:eastAsia="lv-LV"/>
              </w:rPr>
              <w:t>zņēmumiem, kas akcīzes preču noliktavā neglabā ar akcīzes nodokļa markām samarķētus alkoholiskos dzērienus</w:t>
            </w:r>
            <w:r w:rsidR="00020350" w:rsidRPr="005851C0">
              <w:rPr>
                <w:rFonts w:ascii="Times New Roman" w:eastAsia="Times New Roman" w:hAnsi="Times New Roman" w:cs="Times New Roman"/>
                <w:sz w:val="24"/>
                <w:szCs w:val="24"/>
                <w:lang w:eastAsia="lv-LV"/>
              </w:rPr>
              <w:t xml:space="preserve"> 180 dienas un ilgāk no akcīzes nodokļa marku saņemšanas dienas</w:t>
            </w:r>
            <w:r w:rsidRPr="005851C0">
              <w:rPr>
                <w:rFonts w:ascii="Times New Roman" w:eastAsia="Times New Roman" w:hAnsi="Times New Roman" w:cs="Times New Roman"/>
                <w:sz w:val="24"/>
                <w:szCs w:val="24"/>
                <w:lang w:eastAsia="lv-LV"/>
              </w:rPr>
              <w:t>;</w:t>
            </w:r>
          </w:p>
          <w:p w14:paraId="132952B0" w14:textId="77777777" w:rsidR="007B6AF8" w:rsidRPr="005851C0" w:rsidRDefault="007B6AF8" w:rsidP="0054716F">
            <w:pPr>
              <w:spacing w:after="0" w:line="240" w:lineRule="auto"/>
              <w:ind w:firstLine="392"/>
              <w:jc w:val="both"/>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2)</w:t>
            </w:r>
            <w:r w:rsidR="00CA4F6B" w:rsidRPr="005851C0">
              <w:rPr>
                <w:rFonts w:ascii="Times New Roman" w:eastAsia="Times New Roman" w:hAnsi="Times New Roman" w:cs="Times New Roman"/>
                <w:sz w:val="24"/>
                <w:szCs w:val="24"/>
                <w:lang w:eastAsia="lv-LV"/>
              </w:rPr>
              <w:t xml:space="preserve"> tiks </w:t>
            </w:r>
            <w:r w:rsidR="00CA4F6B" w:rsidRPr="005851C0">
              <w:rPr>
                <w:rFonts w:ascii="Times New Roman" w:hAnsi="Times New Roman" w:cs="Times New Roman"/>
                <w:sz w:val="24"/>
                <w:szCs w:val="24"/>
              </w:rPr>
              <w:t xml:space="preserve">paredzēta iespēja iznīcināt akcīzes nodokļa markas, nenoņemot tās no alkoholisko dzērienu iepakojuma, </w:t>
            </w:r>
            <w:r w:rsidR="0001107B" w:rsidRPr="005851C0">
              <w:rPr>
                <w:rFonts w:ascii="Times New Roman" w:hAnsi="Times New Roman" w:cs="Times New Roman"/>
                <w:sz w:val="24"/>
                <w:szCs w:val="24"/>
              </w:rPr>
              <w:t>izmaksas</w:t>
            </w:r>
            <w:r w:rsidR="00216FF2">
              <w:rPr>
                <w:rFonts w:ascii="Times New Roman" w:hAnsi="Times New Roman" w:cs="Times New Roman"/>
                <w:sz w:val="24"/>
                <w:szCs w:val="24"/>
              </w:rPr>
              <w:t xml:space="preserve"> </w:t>
            </w:r>
            <w:r w:rsidR="000C25BF">
              <w:rPr>
                <w:rFonts w:ascii="Times New Roman" w:hAnsi="Times New Roman" w:cs="Times New Roman"/>
                <w:sz w:val="24"/>
                <w:szCs w:val="24"/>
              </w:rPr>
              <w:t xml:space="preserve">varētu samazināties </w:t>
            </w:r>
            <w:r w:rsidR="0001107B" w:rsidRPr="005851C0">
              <w:rPr>
                <w:rFonts w:ascii="Times New Roman" w:hAnsi="Times New Roman" w:cs="Times New Roman"/>
                <w:sz w:val="24"/>
                <w:szCs w:val="24"/>
              </w:rPr>
              <w:t xml:space="preserve">aptuveni </w:t>
            </w:r>
            <w:r w:rsidR="00216FF2">
              <w:rPr>
                <w:rFonts w:ascii="Times New Roman" w:hAnsi="Times New Roman" w:cs="Times New Roman"/>
                <w:sz w:val="24"/>
                <w:szCs w:val="24"/>
              </w:rPr>
              <w:t xml:space="preserve">par </w:t>
            </w:r>
            <w:r w:rsidR="0001107B" w:rsidRPr="005851C0">
              <w:rPr>
                <w:rFonts w:ascii="Times New Roman" w:hAnsi="Times New Roman" w:cs="Times New Roman"/>
                <w:sz w:val="24"/>
                <w:szCs w:val="24"/>
              </w:rPr>
              <w:t>50 EUR par 1000 akcīzes nodokļa markām.</w:t>
            </w:r>
            <w:r w:rsidRPr="005851C0">
              <w:rPr>
                <w:rFonts w:ascii="Times New Roman" w:eastAsia="Times New Roman" w:hAnsi="Times New Roman" w:cs="Times New Roman"/>
                <w:sz w:val="24"/>
                <w:szCs w:val="24"/>
                <w:lang w:eastAsia="lv-LV"/>
              </w:rPr>
              <w:t xml:space="preserve"> </w:t>
            </w:r>
          </w:p>
          <w:p w14:paraId="3355E50F" w14:textId="77777777" w:rsidR="0054716F" w:rsidRPr="005851C0" w:rsidRDefault="0054716F" w:rsidP="00CC4728">
            <w:pPr>
              <w:spacing w:after="0" w:line="240" w:lineRule="auto"/>
              <w:ind w:firstLine="392"/>
              <w:jc w:val="both"/>
              <w:rPr>
                <w:rFonts w:ascii="Times New Roman" w:eastAsia="Times New Roman" w:hAnsi="Times New Roman" w:cs="Times New Roman"/>
                <w:sz w:val="24"/>
                <w:szCs w:val="24"/>
                <w:lang w:eastAsia="lv-LV"/>
              </w:rPr>
            </w:pPr>
          </w:p>
        </w:tc>
      </w:tr>
    </w:tbl>
    <w:p w14:paraId="3CDAD7F3" w14:textId="77777777" w:rsidR="00543AA6" w:rsidRPr="005851C0" w:rsidRDefault="00543AA6" w:rsidP="00543AA6">
      <w:pPr>
        <w:spacing w:after="0" w:line="240" w:lineRule="auto"/>
        <w:rPr>
          <w:rFonts w:ascii="Times New Roman" w:eastAsia="Times New Roman" w:hAnsi="Times New Roman" w:cs="Times New Roman"/>
          <w:sz w:val="24"/>
          <w:szCs w:val="24"/>
          <w:lang w:eastAsia="lv-LV"/>
        </w:rPr>
      </w:pPr>
    </w:p>
    <w:p w14:paraId="329B535B" w14:textId="77777777" w:rsidR="00100490" w:rsidRPr="005851C0" w:rsidRDefault="00100490" w:rsidP="00543AA6">
      <w:pPr>
        <w:spacing w:after="0" w:line="240" w:lineRule="auto"/>
        <w:rPr>
          <w:rFonts w:ascii="Times New Roman" w:eastAsia="Times New Roman" w:hAnsi="Times New Roman" w:cs="Times New Roman"/>
          <w:sz w:val="24"/>
          <w:szCs w:val="24"/>
          <w:lang w:eastAsia="lv-LV"/>
        </w:rPr>
      </w:pPr>
    </w:p>
    <w:tbl>
      <w:tblPr>
        <w:tblStyle w:val="TableGrid"/>
        <w:tblW w:w="5143" w:type="pct"/>
        <w:tblLayout w:type="fixed"/>
        <w:tblCellMar>
          <w:left w:w="57" w:type="dxa"/>
          <w:right w:w="57" w:type="dxa"/>
        </w:tblCellMar>
        <w:tblLook w:val="04A0" w:firstRow="1" w:lastRow="0" w:firstColumn="1" w:lastColumn="0" w:noHBand="0" w:noVBand="1"/>
      </w:tblPr>
      <w:tblGrid>
        <w:gridCol w:w="1699"/>
        <w:gridCol w:w="1273"/>
        <w:gridCol w:w="851"/>
        <w:gridCol w:w="1275"/>
        <w:gridCol w:w="993"/>
        <w:gridCol w:w="1275"/>
        <w:gridCol w:w="993"/>
        <w:gridCol w:w="1008"/>
      </w:tblGrid>
      <w:tr w:rsidR="00F05D71" w:rsidRPr="005851C0" w14:paraId="34F63CCF" w14:textId="77777777" w:rsidTr="00ED0B96">
        <w:trPr>
          <w:trHeight w:val="267"/>
        </w:trPr>
        <w:tc>
          <w:tcPr>
            <w:tcW w:w="9367" w:type="dxa"/>
            <w:gridSpan w:val="8"/>
            <w:hideMark/>
          </w:tcPr>
          <w:p w14:paraId="0BD99358" w14:textId="77777777" w:rsidR="00F05D71" w:rsidRPr="005851C0" w:rsidRDefault="00F05D71" w:rsidP="00ED0B96">
            <w:pPr>
              <w:rPr>
                <w:rFonts w:eastAsia="Times New Roman" w:cs="Times New Roman"/>
                <w:b/>
                <w:bCs/>
                <w:iCs/>
                <w:sz w:val="24"/>
                <w:szCs w:val="24"/>
                <w:lang w:eastAsia="lv-LV"/>
              </w:rPr>
            </w:pPr>
            <w:r w:rsidRPr="005851C0">
              <w:rPr>
                <w:rFonts w:eastAsia="Times New Roman" w:cs="Times New Roman"/>
                <w:b/>
                <w:bCs/>
                <w:iCs/>
                <w:sz w:val="24"/>
                <w:szCs w:val="24"/>
                <w:lang w:eastAsia="lv-LV"/>
              </w:rPr>
              <w:t>III. Tiesību akta projekta ietekme uz valsts budžetu un pašvaldību budžetiem</w:t>
            </w:r>
          </w:p>
        </w:tc>
      </w:tr>
      <w:tr w:rsidR="00F05D71" w:rsidRPr="005851C0" w14:paraId="7641D69C" w14:textId="77777777" w:rsidTr="00ED0B96">
        <w:trPr>
          <w:trHeight w:val="252"/>
        </w:trPr>
        <w:tc>
          <w:tcPr>
            <w:tcW w:w="1699" w:type="dxa"/>
            <w:vMerge w:val="restart"/>
          </w:tcPr>
          <w:p w14:paraId="6587A09F" w14:textId="77777777" w:rsidR="00F05D71" w:rsidRPr="005851C0" w:rsidRDefault="00F05D71" w:rsidP="00ED0B96">
            <w:pPr>
              <w:rPr>
                <w:rFonts w:eastAsia="Times New Roman" w:cs="Times New Roman"/>
                <w:bCs/>
                <w:iCs/>
                <w:sz w:val="24"/>
                <w:szCs w:val="24"/>
                <w:lang w:eastAsia="lv-LV"/>
              </w:rPr>
            </w:pPr>
            <w:r w:rsidRPr="005851C0">
              <w:rPr>
                <w:rFonts w:eastAsia="Times New Roman" w:cs="Times New Roman"/>
                <w:bCs/>
                <w:iCs/>
                <w:sz w:val="24"/>
                <w:szCs w:val="24"/>
                <w:lang w:eastAsia="lv-LV"/>
              </w:rPr>
              <w:t>Rādītāji</w:t>
            </w:r>
          </w:p>
        </w:tc>
        <w:tc>
          <w:tcPr>
            <w:tcW w:w="2124" w:type="dxa"/>
            <w:gridSpan w:val="2"/>
            <w:vMerge w:val="restart"/>
            <w:hideMark/>
          </w:tcPr>
          <w:p w14:paraId="1F29E249" w14:textId="77777777" w:rsidR="00F05D71" w:rsidRPr="005851C0" w:rsidRDefault="00F05D71" w:rsidP="00364D16">
            <w:pPr>
              <w:jc w:val="center"/>
              <w:rPr>
                <w:rFonts w:eastAsia="Times New Roman" w:cs="Times New Roman"/>
                <w:b/>
                <w:bCs/>
                <w:iCs/>
                <w:sz w:val="24"/>
                <w:szCs w:val="24"/>
                <w:lang w:eastAsia="lv-LV"/>
              </w:rPr>
            </w:pPr>
            <w:r w:rsidRPr="005851C0">
              <w:rPr>
                <w:rFonts w:eastAsia="Times New Roman" w:cs="Times New Roman"/>
                <w:b/>
                <w:bCs/>
                <w:iCs/>
                <w:sz w:val="24"/>
                <w:szCs w:val="24"/>
                <w:lang w:eastAsia="lv-LV"/>
              </w:rPr>
              <w:t>20</w:t>
            </w:r>
            <w:r w:rsidR="00364D16" w:rsidRPr="005851C0">
              <w:rPr>
                <w:rFonts w:eastAsia="Times New Roman" w:cs="Times New Roman"/>
                <w:b/>
                <w:bCs/>
                <w:iCs/>
                <w:sz w:val="24"/>
                <w:szCs w:val="24"/>
                <w:lang w:eastAsia="lv-LV"/>
              </w:rPr>
              <w:t>20</w:t>
            </w:r>
          </w:p>
        </w:tc>
        <w:tc>
          <w:tcPr>
            <w:tcW w:w="5544" w:type="dxa"/>
            <w:gridSpan w:val="5"/>
            <w:hideMark/>
          </w:tcPr>
          <w:p w14:paraId="24DABAED" w14:textId="77777777" w:rsidR="00F05D71" w:rsidRPr="005851C0" w:rsidRDefault="00F05D71" w:rsidP="00ED0B96">
            <w:pPr>
              <w:rPr>
                <w:rFonts w:eastAsia="Times New Roman" w:cs="Times New Roman"/>
                <w:iCs/>
                <w:sz w:val="24"/>
                <w:szCs w:val="24"/>
                <w:lang w:eastAsia="lv-LV"/>
              </w:rPr>
            </w:pPr>
            <w:r w:rsidRPr="005851C0">
              <w:rPr>
                <w:rFonts w:eastAsia="Times New Roman" w:cs="Times New Roman"/>
                <w:iCs/>
                <w:sz w:val="24"/>
                <w:szCs w:val="24"/>
                <w:lang w:eastAsia="lv-LV"/>
              </w:rPr>
              <w:t>Turpmākie trīs gadi (</w:t>
            </w:r>
            <w:proofErr w:type="spellStart"/>
            <w:r w:rsidRPr="005851C0">
              <w:rPr>
                <w:rFonts w:eastAsia="Times New Roman" w:cs="Times New Roman"/>
                <w:i/>
                <w:iCs/>
                <w:sz w:val="24"/>
                <w:szCs w:val="24"/>
                <w:lang w:eastAsia="lv-LV"/>
              </w:rPr>
              <w:t>euro</w:t>
            </w:r>
            <w:proofErr w:type="spellEnd"/>
            <w:r w:rsidRPr="005851C0">
              <w:rPr>
                <w:rFonts w:eastAsia="Times New Roman" w:cs="Times New Roman"/>
                <w:iCs/>
                <w:sz w:val="24"/>
                <w:szCs w:val="24"/>
                <w:lang w:eastAsia="lv-LV"/>
              </w:rPr>
              <w:t>)</w:t>
            </w:r>
          </w:p>
        </w:tc>
      </w:tr>
      <w:tr w:rsidR="00F05D71" w:rsidRPr="005851C0" w14:paraId="0E0D9643" w14:textId="77777777" w:rsidTr="00ED0B96">
        <w:trPr>
          <w:trHeight w:val="282"/>
        </w:trPr>
        <w:tc>
          <w:tcPr>
            <w:tcW w:w="1699" w:type="dxa"/>
            <w:vMerge/>
            <w:hideMark/>
          </w:tcPr>
          <w:p w14:paraId="56D30792" w14:textId="77777777" w:rsidR="00F05D71" w:rsidRPr="005851C0" w:rsidRDefault="00F05D71" w:rsidP="00ED0B96">
            <w:pPr>
              <w:rPr>
                <w:rFonts w:eastAsia="Times New Roman" w:cs="Times New Roman"/>
                <w:bCs/>
                <w:iCs/>
                <w:sz w:val="24"/>
                <w:szCs w:val="24"/>
                <w:lang w:eastAsia="lv-LV"/>
              </w:rPr>
            </w:pPr>
          </w:p>
        </w:tc>
        <w:tc>
          <w:tcPr>
            <w:tcW w:w="2124" w:type="dxa"/>
            <w:gridSpan w:val="2"/>
            <w:vMerge/>
            <w:hideMark/>
          </w:tcPr>
          <w:p w14:paraId="78D65144" w14:textId="77777777" w:rsidR="00F05D71" w:rsidRPr="005851C0" w:rsidRDefault="00F05D71" w:rsidP="00ED0B96">
            <w:pPr>
              <w:rPr>
                <w:rFonts w:eastAsia="Times New Roman" w:cs="Times New Roman"/>
                <w:bCs/>
                <w:iCs/>
                <w:sz w:val="24"/>
                <w:szCs w:val="24"/>
                <w:lang w:eastAsia="lv-LV"/>
              </w:rPr>
            </w:pPr>
          </w:p>
        </w:tc>
        <w:tc>
          <w:tcPr>
            <w:tcW w:w="2268" w:type="dxa"/>
            <w:gridSpan w:val="2"/>
            <w:hideMark/>
          </w:tcPr>
          <w:p w14:paraId="50F886C0" w14:textId="77777777" w:rsidR="00F05D71" w:rsidRPr="005851C0" w:rsidRDefault="00F05D71" w:rsidP="00364D16">
            <w:pPr>
              <w:jc w:val="center"/>
              <w:rPr>
                <w:rFonts w:eastAsia="Times New Roman" w:cs="Times New Roman"/>
                <w:b/>
                <w:bCs/>
                <w:iCs/>
                <w:sz w:val="24"/>
                <w:szCs w:val="24"/>
                <w:lang w:eastAsia="lv-LV"/>
              </w:rPr>
            </w:pPr>
            <w:r w:rsidRPr="005851C0">
              <w:rPr>
                <w:rFonts w:eastAsia="Times New Roman" w:cs="Times New Roman"/>
                <w:b/>
                <w:bCs/>
                <w:iCs/>
                <w:sz w:val="24"/>
                <w:szCs w:val="24"/>
                <w:lang w:eastAsia="lv-LV"/>
              </w:rPr>
              <w:t>20</w:t>
            </w:r>
            <w:r w:rsidR="00364D16" w:rsidRPr="005851C0">
              <w:rPr>
                <w:rFonts w:eastAsia="Times New Roman" w:cs="Times New Roman"/>
                <w:b/>
                <w:bCs/>
                <w:iCs/>
                <w:sz w:val="24"/>
                <w:szCs w:val="24"/>
                <w:lang w:eastAsia="lv-LV"/>
              </w:rPr>
              <w:t>21</w:t>
            </w:r>
          </w:p>
        </w:tc>
        <w:tc>
          <w:tcPr>
            <w:tcW w:w="2268" w:type="dxa"/>
            <w:gridSpan w:val="2"/>
            <w:hideMark/>
          </w:tcPr>
          <w:p w14:paraId="69566710" w14:textId="77777777" w:rsidR="00F05D71" w:rsidRPr="005851C0" w:rsidRDefault="00F05D71" w:rsidP="00364D16">
            <w:pPr>
              <w:jc w:val="center"/>
              <w:rPr>
                <w:rFonts w:eastAsia="Times New Roman" w:cs="Times New Roman"/>
                <w:b/>
                <w:bCs/>
                <w:iCs/>
                <w:sz w:val="24"/>
                <w:szCs w:val="24"/>
                <w:lang w:eastAsia="lv-LV"/>
              </w:rPr>
            </w:pPr>
            <w:r w:rsidRPr="005851C0">
              <w:rPr>
                <w:rFonts w:eastAsia="Times New Roman" w:cs="Times New Roman"/>
                <w:b/>
                <w:bCs/>
                <w:iCs/>
                <w:sz w:val="24"/>
                <w:szCs w:val="24"/>
                <w:lang w:eastAsia="lv-LV"/>
              </w:rPr>
              <w:t>202</w:t>
            </w:r>
            <w:r w:rsidR="00364D16" w:rsidRPr="005851C0">
              <w:rPr>
                <w:rFonts w:eastAsia="Times New Roman" w:cs="Times New Roman"/>
                <w:b/>
                <w:bCs/>
                <w:iCs/>
                <w:sz w:val="24"/>
                <w:szCs w:val="24"/>
                <w:lang w:eastAsia="lv-LV"/>
              </w:rPr>
              <w:t>2</w:t>
            </w:r>
          </w:p>
        </w:tc>
        <w:tc>
          <w:tcPr>
            <w:tcW w:w="1008" w:type="dxa"/>
            <w:hideMark/>
          </w:tcPr>
          <w:p w14:paraId="32BCBF8F" w14:textId="77777777" w:rsidR="00F05D71" w:rsidRPr="005851C0" w:rsidRDefault="00F05D71" w:rsidP="00364D16">
            <w:pPr>
              <w:jc w:val="center"/>
              <w:rPr>
                <w:rFonts w:eastAsia="Times New Roman" w:cs="Times New Roman"/>
                <w:b/>
                <w:bCs/>
                <w:iCs/>
                <w:sz w:val="24"/>
                <w:szCs w:val="24"/>
                <w:lang w:eastAsia="lv-LV"/>
              </w:rPr>
            </w:pPr>
            <w:r w:rsidRPr="005851C0">
              <w:rPr>
                <w:rFonts w:eastAsia="Times New Roman" w:cs="Times New Roman"/>
                <w:b/>
                <w:bCs/>
                <w:iCs/>
                <w:sz w:val="24"/>
                <w:szCs w:val="24"/>
                <w:lang w:eastAsia="lv-LV"/>
              </w:rPr>
              <w:t>202</w:t>
            </w:r>
            <w:r w:rsidR="00364D16" w:rsidRPr="005851C0">
              <w:rPr>
                <w:rFonts w:eastAsia="Times New Roman" w:cs="Times New Roman"/>
                <w:b/>
                <w:bCs/>
                <w:iCs/>
                <w:sz w:val="24"/>
                <w:szCs w:val="24"/>
                <w:lang w:eastAsia="lv-LV"/>
              </w:rPr>
              <w:t>3</w:t>
            </w:r>
          </w:p>
        </w:tc>
      </w:tr>
      <w:tr w:rsidR="00F05D71" w:rsidRPr="005851C0" w14:paraId="3ABD14EA" w14:textId="77777777" w:rsidTr="00ED0B96">
        <w:trPr>
          <w:trHeight w:val="2363"/>
        </w:trPr>
        <w:tc>
          <w:tcPr>
            <w:tcW w:w="1699" w:type="dxa"/>
            <w:vMerge/>
            <w:hideMark/>
          </w:tcPr>
          <w:p w14:paraId="3A4A3C7E" w14:textId="77777777" w:rsidR="00F05D71" w:rsidRPr="005851C0" w:rsidRDefault="00F05D71" w:rsidP="00ED0B96">
            <w:pPr>
              <w:rPr>
                <w:rFonts w:eastAsia="Times New Roman" w:cs="Times New Roman"/>
                <w:b/>
                <w:bCs/>
                <w:iCs/>
                <w:sz w:val="24"/>
                <w:szCs w:val="24"/>
                <w:lang w:eastAsia="lv-LV"/>
              </w:rPr>
            </w:pPr>
          </w:p>
        </w:tc>
        <w:tc>
          <w:tcPr>
            <w:tcW w:w="1273" w:type="dxa"/>
            <w:hideMark/>
          </w:tcPr>
          <w:p w14:paraId="4CFF716F" w14:textId="77777777" w:rsidR="00F05D71" w:rsidRPr="005851C0" w:rsidRDefault="00F05D71" w:rsidP="00ED0B96">
            <w:pPr>
              <w:rPr>
                <w:rFonts w:eastAsia="Times New Roman" w:cs="Times New Roman"/>
                <w:iCs/>
                <w:sz w:val="20"/>
                <w:szCs w:val="24"/>
                <w:lang w:eastAsia="lv-LV"/>
              </w:rPr>
            </w:pPr>
            <w:r w:rsidRPr="005851C0">
              <w:rPr>
                <w:rFonts w:eastAsia="Times New Roman" w:cs="Times New Roman"/>
                <w:iCs/>
                <w:sz w:val="20"/>
                <w:szCs w:val="24"/>
                <w:lang w:eastAsia="lv-LV"/>
              </w:rPr>
              <w:t>saskaņā ar valsts budžetu kārtējam gadam</w:t>
            </w:r>
          </w:p>
        </w:tc>
        <w:tc>
          <w:tcPr>
            <w:tcW w:w="851" w:type="dxa"/>
            <w:hideMark/>
          </w:tcPr>
          <w:p w14:paraId="7EAF89FC" w14:textId="77777777" w:rsidR="00F05D71" w:rsidRPr="005851C0" w:rsidRDefault="00F05D71" w:rsidP="00ED0B96">
            <w:pPr>
              <w:rPr>
                <w:rFonts w:eastAsia="Times New Roman" w:cs="Times New Roman"/>
                <w:iCs/>
                <w:sz w:val="20"/>
                <w:szCs w:val="24"/>
                <w:lang w:eastAsia="lv-LV"/>
              </w:rPr>
            </w:pPr>
            <w:r w:rsidRPr="005851C0">
              <w:rPr>
                <w:rFonts w:eastAsia="Times New Roman" w:cs="Times New Roman"/>
                <w:iCs/>
                <w:sz w:val="20"/>
                <w:szCs w:val="24"/>
                <w:lang w:eastAsia="lv-LV"/>
              </w:rPr>
              <w:t>Izmaiņas kārtējā gadā, salīdzinot ar valsts budžetu kārtējam gadam</w:t>
            </w:r>
          </w:p>
        </w:tc>
        <w:tc>
          <w:tcPr>
            <w:tcW w:w="1275" w:type="dxa"/>
            <w:hideMark/>
          </w:tcPr>
          <w:p w14:paraId="2F4D8082" w14:textId="77777777" w:rsidR="00F05D71" w:rsidRPr="005851C0" w:rsidRDefault="00F05D71" w:rsidP="00ED0B96">
            <w:pPr>
              <w:rPr>
                <w:rFonts w:eastAsia="Times New Roman" w:cs="Times New Roman"/>
                <w:iCs/>
                <w:sz w:val="20"/>
                <w:szCs w:val="24"/>
                <w:lang w:eastAsia="lv-LV"/>
              </w:rPr>
            </w:pPr>
            <w:r w:rsidRPr="005851C0">
              <w:rPr>
                <w:rFonts w:eastAsia="Times New Roman" w:cs="Times New Roman"/>
                <w:iCs/>
                <w:sz w:val="20"/>
                <w:szCs w:val="24"/>
                <w:lang w:eastAsia="lv-LV"/>
              </w:rPr>
              <w:t>saskaņā ar vidēja termiņa budžeta ietvaru</w:t>
            </w:r>
          </w:p>
        </w:tc>
        <w:tc>
          <w:tcPr>
            <w:tcW w:w="993" w:type="dxa"/>
            <w:hideMark/>
          </w:tcPr>
          <w:p w14:paraId="4B47CDB9" w14:textId="534A194F" w:rsidR="00F05D71" w:rsidRPr="005851C0" w:rsidRDefault="00F05D71" w:rsidP="00D032CD">
            <w:pPr>
              <w:rPr>
                <w:rFonts w:eastAsia="Times New Roman" w:cs="Times New Roman"/>
                <w:iCs/>
                <w:sz w:val="20"/>
                <w:szCs w:val="24"/>
                <w:lang w:eastAsia="lv-LV"/>
              </w:rPr>
            </w:pPr>
            <w:r w:rsidRPr="005851C0">
              <w:rPr>
                <w:rFonts w:eastAsia="Times New Roman" w:cs="Times New Roman"/>
                <w:iCs/>
                <w:sz w:val="20"/>
                <w:szCs w:val="24"/>
                <w:lang w:eastAsia="lv-LV"/>
              </w:rPr>
              <w:t>izmaiņas, salīdzinot ar vidēja termiņa budžeta ietvaru 20</w:t>
            </w:r>
            <w:r w:rsidR="00D032CD">
              <w:rPr>
                <w:rFonts w:eastAsia="Times New Roman" w:cs="Times New Roman"/>
                <w:iCs/>
                <w:sz w:val="20"/>
                <w:szCs w:val="24"/>
                <w:lang w:eastAsia="lv-LV"/>
              </w:rPr>
              <w:t>21</w:t>
            </w:r>
            <w:r w:rsidRPr="005851C0">
              <w:rPr>
                <w:rFonts w:eastAsia="Times New Roman" w:cs="Times New Roman"/>
                <w:iCs/>
                <w:sz w:val="20"/>
                <w:szCs w:val="24"/>
                <w:lang w:eastAsia="lv-LV"/>
              </w:rPr>
              <w:t>.g.</w:t>
            </w:r>
          </w:p>
        </w:tc>
        <w:tc>
          <w:tcPr>
            <w:tcW w:w="1275" w:type="dxa"/>
            <w:hideMark/>
          </w:tcPr>
          <w:p w14:paraId="1CAC0B86" w14:textId="77777777" w:rsidR="00F05D71" w:rsidRPr="005851C0" w:rsidRDefault="00F05D71" w:rsidP="00ED0B96">
            <w:pPr>
              <w:rPr>
                <w:rFonts w:eastAsia="Times New Roman" w:cs="Times New Roman"/>
                <w:iCs/>
                <w:sz w:val="20"/>
                <w:szCs w:val="24"/>
                <w:lang w:eastAsia="lv-LV"/>
              </w:rPr>
            </w:pPr>
            <w:r w:rsidRPr="005851C0">
              <w:rPr>
                <w:rFonts w:eastAsia="Times New Roman" w:cs="Times New Roman"/>
                <w:iCs/>
                <w:sz w:val="20"/>
                <w:szCs w:val="24"/>
                <w:lang w:eastAsia="lv-LV"/>
              </w:rPr>
              <w:t>saskaņā ar vidēja termiņa budžeta ietvaru</w:t>
            </w:r>
          </w:p>
        </w:tc>
        <w:tc>
          <w:tcPr>
            <w:tcW w:w="993" w:type="dxa"/>
            <w:hideMark/>
          </w:tcPr>
          <w:p w14:paraId="0F42DAF1" w14:textId="77777777" w:rsidR="00F05D71" w:rsidRPr="005851C0" w:rsidRDefault="00F05D71" w:rsidP="00ED0B96">
            <w:pPr>
              <w:rPr>
                <w:rFonts w:eastAsia="Times New Roman" w:cs="Times New Roman"/>
                <w:iCs/>
                <w:sz w:val="20"/>
                <w:szCs w:val="24"/>
                <w:lang w:eastAsia="lv-LV"/>
              </w:rPr>
            </w:pPr>
            <w:r w:rsidRPr="005851C0">
              <w:rPr>
                <w:rFonts w:eastAsia="Times New Roman" w:cs="Times New Roman"/>
                <w:iCs/>
                <w:sz w:val="20"/>
                <w:szCs w:val="24"/>
                <w:lang w:eastAsia="lv-LV"/>
              </w:rPr>
              <w:t xml:space="preserve">izmaiņas, salīdzinot ar vidēja termiņa budžeta ietvaru </w:t>
            </w:r>
          </w:p>
          <w:p w14:paraId="12D5F910" w14:textId="5CB9DD70" w:rsidR="00F05D71" w:rsidRPr="005851C0" w:rsidRDefault="00F05D71" w:rsidP="00D032CD">
            <w:pPr>
              <w:rPr>
                <w:rFonts w:eastAsia="Times New Roman" w:cs="Times New Roman"/>
                <w:iCs/>
                <w:sz w:val="20"/>
                <w:szCs w:val="24"/>
                <w:lang w:eastAsia="lv-LV"/>
              </w:rPr>
            </w:pPr>
            <w:r w:rsidRPr="005851C0">
              <w:rPr>
                <w:rFonts w:eastAsia="Times New Roman" w:cs="Times New Roman"/>
                <w:iCs/>
                <w:sz w:val="20"/>
                <w:szCs w:val="24"/>
                <w:lang w:eastAsia="lv-LV"/>
              </w:rPr>
              <w:t>202</w:t>
            </w:r>
            <w:r w:rsidR="00D032CD">
              <w:rPr>
                <w:rFonts w:eastAsia="Times New Roman" w:cs="Times New Roman"/>
                <w:iCs/>
                <w:sz w:val="20"/>
                <w:szCs w:val="24"/>
                <w:lang w:eastAsia="lv-LV"/>
              </w:rPr>
              <w:t>2</w:t>
            </w:r>
            <w:r w:rsidRPr="005851C0">
              <w:rPr>
                <w:rFonts w:eastAsia="Times New Roman" w:cs="Times New Roman"/>
                <w:iCs/>
                <w:sz w:val="20"/>
                <w:szCs w:val="24"/>
                <w:lang w:eastAsia="lv-LV"/>
              </w:rPr>
              <w:t>.g.</w:t>
            </w:r>
          </w:p>
        </w:tc>
        <w:tc>
          <w:tcPr>
            <w:tcW w:w="1008" w:type="dxa"/>
            <w:hideMark/>
          </w:tcPr>
          <w:p w14:paraId="35C0A66B" w14:textId="6171078C" w:rsidR="00F05D71" w:rsidRPr="005851C0" w:rsidRDefault="00F05D71" w:rsidP="00D032CD">
            <w:pPr>
              <w:rPr>
                <w:rFonts w:eastAsia="Times New Roman" w:cs="Times New Roman"/>
                <w:iCs/>
                <w:sz w:val="20"/>
                <w:szCs w:val="24"/>
                <w:lang w:eastAsia="lv-LV"/>
              </w:rPr>
            </w:pPr>
            <w:r w:rsidRPr="005851C0">
              <w:rPr>
                <w:rFonts w:eastAsia="Times New Roman" w:cs="Times New Roman"/>
                <w:iCs/>
                <w:sz w:val="20"/>
                <w:szCs w:val="24"/>
                <w:lang w:eastAsia="lv-LV"/>
              </w:rPr>
              <w:t xml:space="preserve">izmaiņas, salīdzinot ar vidēja termiņa budžeta ietvaru </w:t>
            </w:r>
            <w:r w:rsidRPr="005851C0">
              <w:rPr>
                <w:rFonts w:eastAsia="Times New Roman" w:cs="Times New Roman"/>
                <w:iCs/>
                <w:sz w:val="20"/>
                <w:szCs w:val="24"/>
                <w:lang w:eastAsia="lv-LV"/>
              </w:rPr>
              <w:br/>
              <w:t>202</w:t>
            </w:r>
            <w:r w:rsidR="00D032CD">
              <w:rPr>
                <w:rFonts w:eastAsia="Times New Roman" w:cs="Times New Roman"/>
                <w:iCs/>
                <w:sz w:val="20"/>
                <w:szCs w:val="24"/>
                <w:lang w:eastAsia="lv-LV"/>
              </w:rPr>
              <w:t>2</w:t>
            </w:r>
            <w:r w:rsidRPr="005851C0">
              <w:rPr>
                <w:rFonts w:eastAsia="Times New Roman" w:cs="Times New Roman"/>
                <w:iCs/>
                <w:sz w:val="20"/>
                <w:szCs w:val="24"/>
                <w:lang w:eastAsia="lv-LV"/>
              </w:rPr>
              <w:t>.g.</w:t>
            </w:r>
          </w:p>
        </w:tc>
      </w:tr>
      <w:tr w:rsidR="00F05D71" w:rsidRPr="005851C0" w14:paraId="32D61572" w14:textId="77777777" w:rsidTr="00ED0B96">
        <w:trPr>
          <w:trHeight w:val="252"/>
        </w:trPr>
        <w:tc>
          <w:tcPr>
            <w:tcW w:w="1699" w:type="dxa"/>
            <w:hideMark/>
          </w:tcPr>
          <w:p w14:paraId="02D817C6" w14:textId="77777777" w:rsidR="00F05D71" w:rsidRPr="005851C0" w:rsidRDefault="00F05D71" w:rsidP="000D169E">
            <w:pPr>
              <w:jc w:val="center"/>
              <w:rPr>
                <w:rFonts w:eastAsia="Times New Roman" w:cs="Times New Roman"/>
                <w:iCs/>
                <w:sz w:val="20"/>
                <w:szCs w:val="24"/>
                <w:lang w:eastAsia="lv-LV"/>
              </w:rPr>
            </w:pPr>
            <w:r w:rsidRPr="005851C0">
              <w:rPr>
                <w:rFonts w:eastAsia="Times New Roman" w:cs="Times New Roman"/>
                <w:iCs/>
                <w:sz w:val="20"/>
                <w:szCs w:val="24"/>
                <w:lang w:eastAsia="lv-LV"/>
              </w:rPr>
              <w:t>1</w:t>
            </w:r>
          </w:p>
        </w:tc>
        <w:tc>
          <w:tcPr>
            <w:tcW w:w="1273" w:type="dxa"/>
            <w:hideMark/>
          </w:tcPr>
          <w:p w14:paraId="3714B456" w14:textId="77777777" w:rsidR="00F05D71" w:rsidRPr="005851C0" w:rsidRDefault="00F05D71" w:rsidP="000D169E">
            <w:pPr>
              <w:jc w:val="center"/>
              <w:rPr>
                <w:rFonts w:eastAsia="Times New Roman" w:cs="Times New Roman"/>
                <w:iCs/>
                <w:sz w:val="20"/>
                <w:szCs w:val="24"/>
                <w:lang w:eastAsia="lv-LV"/>
              </w:rPr>
            </w:pPr>
            <w:r w:rsidRPr="005851C0">
              <w:rPr>
                <w:rFonts w:eastAsia="Times New Roman" w:cs="Times New Roman"/>
                <w:iCs/>
                <w:sz w:val="20"/>
                <w:szCs w:val="24"/>
                <w:lang w:eastAsia="lv-LV"/>
              </w:rPr>
              <w:t>2</w:t>
            </w:r>
          </w:p>
        </w:tc>
        <w:tc>
          <w:tcPr>
            <w:tcW w:w="851" w:type="dxa"/>
            <w:hideMark/>
          </w:tcPr>
          <w:p w14:paraId="305723EF" w14:textId="77777777" w:rsidR="00F05D71" w:rsidRPr="005851C0" w:rsidRDefault="00F05D71" w:rsidP="000D169E">
            <w:pPr>
              <w:jc w:val="center"/>
              <w:rPr>
                <w:rFonts w:eastAsia="Times New Roman" w:cs="Times New Roman"/>
                <w:iCs/>
                <w:sz w:val="20"/>
                <w:szCs w:val="24"/>
                <w:lang w:eastAsia="lv-LV"/>
              </w:rPr>
            </w:pPr>
            <w:r w:rsidRPr="005851C0">
              <w:rPr>
                <w:rFonts w:eastAsia="Times New Roman" w:cs="Times New Roman"/>
                <w:iCs/>
                <w:sz w:val="20"/>
                <w:szCs w:val="24"/>
                <w:lang w:eastAsia="lv-LV"/>
              </w:rPr>
              <w:t>3</w:t>
            </w:r>
          </w:p>
        </w:tc>
        <w:tc>
          <w:tcPr>
            <w:tcW w:w="1275" w:type="dxa"/>
            <w:hideMark/>
          </w:tcPr>
          <w:p w14:paraId="1A0A4664" w14:textId="77777777" w:rsidR="00F05D71" w:rsidRPr="005851C0" w:rsidRDefault="00F05D71" w:rsidP="000D169E">
            <w:pPr>
              <w:jc w:val="center"/>
              <w:rPr>
                <w:rFonts w:eastAsia="Times New Roman" w:cs="Times New Roman"/>
                <w:iCs/>
                <w:sz w:val="20"/>
                <w:szCs w:val="24"/>
                <w:lang w:eastAsia="lv-LV"/>
              </w:rPr>
            </w:pPr>
            <w:r w:rsidRPr="005851C0">
              <w:rPr>
                <w:rFonts w:eastAsia="Times New Roman" w:cs="Times New Roman"/>
                <w:iCs/>
                <w:sz w:val="20"/>
                <w:szCs w:val="24"/>
                <w:lang w:eastAsia="lv-LV"/>
              </w:rPr>
              <w:t>4</w:t>
            </w:r>
          </w:p>
        </w:tc>
        <w:tc>
          <w:tcPr>
            <w:tcW w:w="993" w:type="dxa"/>
            <w:hideMark/>
          </w:tcPr>
          <w:p w14:paraId="173B3782" w14:textId="77777777" w:rsidR="00F05D71" w:rsidRPr="005851C0" w:rsidRDefault="00F05D71" w:rsidP="000D169E">
            <w:pPr>
              <w:jc w:val="center"/>
              <w:rPr>
                <w:rFonts w:eastAsia="Times New Roman" w:cs="Times New Roman"/>
                <w:iCs/>
                <w:sz w:val="20"/>
                <w:szCs w:val="24"/>
                <w:lang w:eastAsia="lv-LV"/>
              </w:rPr>
            </w:pPr>
            <w:r w:rsidRPr="005851C0">
              <w:rPr>
                <w:rFonts w:eastAsia="Times New Roman" w:cs="Times New Roman"/>
                <w:iCs/>
                <w:sz w:val="20"/>
                <w:szCs w:val="24"/>
                <w:lang w:eastAsia="lv-LV"/>
              </w:rPr>
              <w:t>5</w:t>
            </w:r>
          </w:p>
        </w:tc>
        <w:tc>
          <w:tcPr>
            <w:tcW w:w="1275" w:type="dxa"/>
            <w:hideMark/>
          </w:tcPr>
          <w:p w14:paraId="55CD2D26" w14:textId="77777777" w:rsidR="00F05D71" w:rsidRPr="005851C0" w:rsidRDefault="00F05D71" w:rsidP="000D169E">
            <w:pPr>
              <w:jc w:val="center"/>
              <w:rPr>
                <w:rFonts w:eastAsia="Times New Roman" w:cs="Times New Roman"/>
                <w:iCs/>
                <w:sz w:val="20"/>
                <w:szCs w:val="24"/>
                <w:lang w:eastAsia="lv-LV"/>
              </w:rPr>
            </w:pPr>
            <w:r w:rsidRPr="005851C0">
              <w:rPr>
                <w:rFonts w:eastAsia="Times New Roman" w:cs="Times New Roman"/>
                <w:iCs/>
                <w:sz w:val="20"/>
                <w:szCs w:val="24"/>
                <w:lang w:eastAsia="lv-LV"/>
              </w:rPr>
              <w:t>6</w:t>
            </w:r>
          </w:p>
        </w:tc>
        <w:tc>
          <w:tcPr>
            <w:tcW w:w="993" w:type="dxa"/>
            <w:hideMark/>
          </w:tcPr>
          <w:p w14:paraId="3B49EA1D" w14:textId="77777777" w:rsidR="00F05D71" w:rsidRPr="005851C0" w:rsidRDefault="00F05D71" w:rsidP="000D169E">
            <w:pPr>
              <w:jc w:val="center"/>
              <w:rPr>
                <w:rFonts w:eastAsia="Times New Roman" w:cs="Times New Roman"/>
                <w:iCs/>
                <w:sz w:val="20"/>
                <w:szCs w:val="24"/>
                <w:lang w:eastAsia="lv-LV"/>
              </w:rPr>
            </w:pPr>
            <w:r w:rsidRPr="005851C0">
              <w:rPr>
                <w:rFonts w:eastAsia="Times New Roman" w:cs="Times New Roman"/>
                <w:iCs/>
                <w:sz w:val="20"/>
                <w:szCs w:val="24"/>
                <w:lang w:eastAsia="lv-LV"/>
              </w:rPr>
              <w:t>7</w:t>
            </w:r>
          </w:p>
        </w:tc>
        <w:tc>
          <w:tcPr>
            <w:tcW w:w="1008" w:type="dxa"/>
            <w:hideMark/>
          </w:tcPr>
          <w:p w14:paraId="1DA7362D" w14:textId="77777777" w:rsidR="00F05D71" w:rsidRPr="005851C0" w:rsidRDefault="00F05D71" w:rsidP="000D169E">
            <w:pPr>
              <w:jc w:val="center"/>
              <w:rPr>
                <w:rFonts w:eastAsia="Times New Roman" w:cs="Times New Roman"/>
                <w:iCs/>
                <w:sz w:val="20"/>
                <w:szCs w:val="24"/>
                <w:lang w:eastAsia="lv-LV"/>
              </w:rPr>
            </w:pPr>
            <w:r w:rsidRPr="005851C0">
              <w:rPr>
                <w:rFonts w:eastAsia="Times New Roman" w:cs="Times New Roman"/>
                <w:iCs/>
                <w:sz w:val="20"/>
                <w:szCs w:val="24"/>
                <w:lang w:eastAsia="lv-LV"/>
              </w:rPr>
              <w:t>8</w:t>
            </w:r>
          </w:p>
        </w:tc>
      </w:tr>
      <w:tr w:rsidR="00F05D71" w:rsidRPr="005851C0" w14:paraId="3003CCF8" w14:textId="77777777" w:rsidTr="00F05D71">
        <w:trPr>
          <w:trHeight w:val="520"/>
        </w:trPr>
        <w:tc>
          <w:tcPr>
            <w:tcW w:w="1699" w:type="dxa"/>
            <w:hideMark/>
          </w:tcPr>
          <w:p w14:paraId="5A0179A0" w14:textId="77777777" w:rsidR="00F05D71" w:rsidRPr="005851C0" w:rsidRDefault="00F05D71" w:rsidP="00ED0B96">
            <w:pPr>
              <w:rPr>
                <w:rFonts w:eastAsia="Times New Roman" w:cs="Times New Roman"/>
                <w:iCs/>
                <w:sz w:val="24"/>
                <w:szCs w:val="24"/>
                <w:lang w:eastAsia="lv-LV"/>
              </w:rPr>
            </w:pPr>
            <w:r w:rsidRPr="005851C0">
              <w:rPr>
                <w:rFonts w:eastAsia="Times New Roman" w:cs="Times New Roman"/>
                <w:iCs/>
                <w:sz w:val="24"/>
                <w:szCs w:val="24"/>
                <w:lang w:eastAsia="lv-LV"/>
              </w:rPr>
              <w:lastRenderedPageBreak/>
              <w:t>1. Budžeta ieņēmumi</w:t>
            </w:r>
          </w:p>
        </w:tc>
        <w:tc>
          <w:tcPr>
            <w:tcW w:w="1273" w:type="dxa"/>
          </w:tcPr>
          <w:p w14:paraId="05A3C658" w14:textId="77777777" w:rsidR="00F05D71" w:rsidRPr="005851C0" w:rsidRDefault="00F05D71" w:rsidP="00ED0B96">
            <w:pPr>
              <w:jc w:val="center"/>
              <w:rPr>
                <w:rFonts w:eastAsia="Times New Roman" w:cs="Times New Roman"/>
                <w:iCs/>
                <w:sz w:val="20"/>
                <w:szCs w:val="24"/>
                <w:lang w:eastAsia="lv-LV"/>
              </w:rPr>
            </w:pPr>
            <w:r w:rsidRPr="005851C0">
              <w:rPr>
                <w:rFonts w:eastAsia="Times New Roman" w:cs="Times New Roman"/>
                <w:iCs/>
                <w:sz w:val="20"/>
                <w:szCs w:val="24"/>
                <w:lang w:eastAsia="lv-LV"/>
              </w:rPr>
              <w:t>0</w:t>
            </w:r>
          </w:p>
        </w:tc>
        <w:tc>
          <w:tcPr>
            <w:tcW w:w="851" w:type="dxa"/>
          </w:tcPr>
          <w:p w14:paraId="76FCE1ED" w14:textId="77777777" w:rsidR="00F05D71" w:rsidRPr="005851C0" w:rsidRDefault="00F05D71" w:rsidP="00ED0B96">
            <w:pPr>
              <w:jc w:val="center"/>
              <w:rPr>
                <w:rFonts w:eastAsia="Times New Roman" w:cs="Times New Roman"/>
                <w:iCs/>
                <w:sz w:val="20"/>
                <w:szCs w:val="24"/>
                <w:lang w:eastAsia="lv-LV"/>
              </w:rPr>
            </w:pPr>
            <w:r w:rsidRPr="005851C0">
              <w:rPr>
                <w:rFonts w:eastAsia="Times New Roman" w:cs="Times New Roman"/>
                <w:iCs/>
                <w:sz w:val="20"/>
                <w:szCs w:val="24"/>
                <w:lang w:eastAsia="lv-LV"/>
              </w:rPr>
              <w:t>0</w:t>
            </w:r>
          </w:p>
        </w:tc>
        <w:tc>
          <w:tcPr>
            <w:tcW w:w="1275" w:type="dxa"/>
          </w:tcPr>
          <w:p w14:paraId="5E7437A2" w14:textId="77777777" w:rsidR="00F05D71" w:rsidRPr="005851C0" w:rsidRDefault="00F05D71" w:rsidP="00ED0B96">
            <w:pPr>
              <w:jc w:val="center"/>
              <w:rPr>
                <w:rFonts w:eastAsia="Times New Roman" w:cs="Times New Roman"/>
                <w:iCs/>
                <w:sz w:val="20"/>
                <w:szCs w:val="24"/>
                <w:lang w:eastAsia="lv-LV"/>
              </w:rPr>
            </w:pPr>
            <w:r w:rsidRPr="005851C0">
              <w:rPr>
                <w:rFonts w:eastAsia="Times New Roman" w:cs="Times New Roman"/>
                <w:iCs/>
                <w:sz w:val="20"/>
                <w:szCs w:val="24"/>
                <w:lang w:eastAsia="lv-LV"/>
              </w:rPr>
              <w:t>0</w:t>
            </w:r>
          </w:p>
        </w:tc>
        <w:tc>
          <w:tcPr>
            <w:tcW w:w="993" w:type="dxa"/>
          </w:tcPr>
          <w:p w14:paraId="2B87297B" w14:textId="77777777" w:rsidR="00F05D71" w:rsidRPr="005851C0" w:rsidRDefault="00F05D71" w:rsidP="00ED0B96">
            <w:pPr>
              <w:jc w:val="center"/>
              <w:rPr>
                <w:rFonts w:eastAsia="Times New Roman" w:cs="Times New Roman"/>
                <w:iCs/>
                <w:sz w:val="20"/>
                <w:szCs w:val="24"/>
                <w:lang w:eastAsia="lv-LV"/>
              </w:rPr>
            </w:pPr>
            <w:r w:rsidRPr="005851C0">
              <w:rPr>
                <w:rFonts w:eastAsia="Times New Roman" w:cs="Times New Roman"/>
                <w:iCs/>
                <w:sz w:val="20"/>
                <w:szCs w:val="24"/>
                <w:lang w:eastAsia="lv-LV"/>
              </w:rPr>
              <w:t>0</w:t>
            </w:r>
          </w:p>
        </w:tc>
        <w:tc>
          <w:tcPr>
            <w:tcW w:w="1275" w:type="dxa"/>
          </w:tcPr>
          <w:p w14:paraId="7B4F0F2C" w14:textId="77777777" w:rsidR="00F05D71" w:rsidRPr="005851C0" w:rsidRDefault="00F05D71" w:rsidP="00ED0B96">
            <w:pPr>
              <w:jc w:val="center"/>
              <w:rPr>
                <w:rFonts w:eastAsia="Times New Roman" w:cs="Times New Roman"/>
                <w:iCs/>
                <w:sz w:val="20"/>
                <w:szCs w:val="24"/>
                <w:lang w:eastAsia="lv-LV"/>
              </w:rPr>
            </w:pPr>
            <w:r w:rsidRPr="005851C0">
              <w:rPr>
                <w:rFonts w:eastAsia="Times New Roman" w:cs="Times New Roman"/>
                <w:iCs/>
                <w:sz w:val="20"/>
                <w:szCs w:val="24"/>
                <w:lang w:eastAsia="lv-LV"/>
              </w:rPr>
              <w:t>0</w:t>
            </w:r>
          </w:p>
        </w:tc>
        <w:tc>
          <w:tcPr>
            <w:tcW w:w="993" w:type="dxa"/>
          </w:tcPr>
          <w:p w14:paraId="230613BB" w14:textId="77777777" w:rsidR="00F05D71" w:rsidRPr="005851C0" w:rsidRDefault="00F05D71" w:rsidP="00ED0B96">
            <w:pPr>
              <w:jc w:val="center"/>
              <w:rPr>
                <w:rFonts w:eastAsia="Times New Roman" w:cs="Times New Roman"/>
                <w:iCs/>
                <w:sz w:val="20"/>
                <w:szCs w:val="24"/>
                <w:lang w:eastAsia="lv-LV"/>
              </w:rPr>
            </w:pPr>
            <w:r w:rsidRPr="005851C0">
              <w:rPr>
                <w:rFonts w:eastAsia="Times New Roman" w:cs="Times New Roman"/>
                <w:iCs/>
                <w:sz w:val="20"/>
                <w:szCs w:val="24"/>
                <w:lang w:eastAsia="lv-LV"/>
              </w:rPr>
              <w:t>0</w:t>
            </w:r>
          </w:p>
        </w:tc>
        <w:tc>
          <w:tcPr>
            <w:tcW w:w="1008" w:type="dxa"/>
          </w:tcPr>
          <w:p w14:paraId="3B2FB371" w14:textId="77777777" w:rsidR="00F05D71" w:rsidRPr="005851C0" w:rsidRDefault="00F05D71" w:rsidP="00F05D71">
            <w:pPr>
              <w:jc w:val="center"/>
              <w:rPr>
                <w:rFonts w:eastAsia="Times New Roman" w:cs="Times New Roman"/>
                <w:iCs/>
                <w:sz w:val="20"/>
                <w:szCs w:val="24"/>
                <w:lang w:eastAsia="lv-LV"/>
              </w:rPr>
            </w:pPr>
            <w:r w:rsidRPr="005851C0">
              <w:rPr>
                <w:rFonts w:eastAsia="Times New Roman" w:cs="Times New Roman"/>
                <w:iCs/>
                <w:sz w:val="20"/>
                <w:szCs w:val="24"/>
                <w:lang w:eastAsia="lv-LV"/>
              </w:rPr>
              <w:t>0</w:t>
            </w:r>
          </w:p>
        </w:tc>
      </w:tr>
      <w:tr w:rsidR="002B5F64" w:rsidRPr="005851C0" w14:paraId="0ABA1077" w14:textId="77777777" w:rsidTr="00F05D71">
        <w:trPr>
          <w:trHeight w:val="1828"/>
        </w:trPr>
        <w:tc>
          <w:tcPr>
            <w:tcW w:w="1699" w:type="dxa"/>
            <w:hideMark/>
          </w:tcPr>
          <w:p w14:paraId="1CDB148C" w14:textId="77777777" w:rsidR="002B5F64" w:rsidRPr="005851C0" w:rsidRDefault="002B5F64" w:rsidP="002B5F64">
            <w:pPr>
              <w:rPr>
                <w:rFonts w:eastAsia="Times New Roman" w:cs="Times New Roman"/>
                <w:iCs/>
                <w:sz w:val="24"/>
                <w:szCs w:val="24"/>
                <w:lang w:eastAsia="lv-LV"/>
              </w:rPr>
            </w:pPr>
            <w:r w:rsidRPr="005851C0">
              <w:rPr>
                <w:rFonts w:eastAsia="Times New Roman" w:cs="Times New Roman"/>
                <w:iCs/>
                <w:sz w:val="24"/>
                <w:szCs w:val="24"/>
                <w:lang w:eastAsia="lv-LV"/>
              </w:rPr>
              <w:t>1.1. valsts pamatbudžets, tai skaitā ieņēmumi no maksas pakalpojumiem un citi pašu ieņēmumi, t.sk.,</w:t>
            </w:r>
          </w:p>
        </w:tc>
        <w:tc>
          <w:tcPr>
            <w:tcW w:w="1273" w:type="dxa"/>
          </w:tcPr>
          <w:p w14:paraId="1BAFF928" w14:textId="40289844" w:rsidR="002B5F64" w:rsidRPr="005851C0" w:rsidRDefault="002B5F64" w:rsidP="002B5F64">
            <w:pPr>
              <w:jc w:val="center"/>
              <w:rPr>
                <w:rFonts w:eastAsia="Times New Roman" w:cs="Times New Roman"/>
                <w:iCs/>
                <w:sz w:val="20"/>
                <w:szCs w:val="24"/>
                <w:lang w:eastAsia="lv-LV"/>
              </w:rPr>
            </w:pPr>
            <w:r w:rsidRPr="005851C0">
              <w:rPr>
                <w:rFonts w:eastAsia="Times New Roman" w:cs="Times New Roman"/>
                <w:iCs/>
                <w:sz w:val="20"/>
                <w:szCs w:val="24"/>
                <w:lang w:eastAsia="lv-LV"/>
              </w:rPr>
              <w:t>0</w:t>
            </w:r>
          </w:p>
        </w:tc>
        <w:tc>
          <w:tcPr>
            <w:tcW w:w="851" w:type="dxa"/>
          </w:tcPr>
          <w:p w14:paraId="48F63325" w14:textId="706637D4" w:rsidR="002B5F64" w:rsidRPr="005851C0" w:rsidRDefault="002B5F64" w:rsidP="002B5F64">
            <w:pPr>
              <w:jc w:val="center"/>
              <w:rPr>
                <w:rFonts w:eastAsia="Times New Roman" w:cs="Times New Roman"/>
                <w:iCs/>
                <w:sz w:val="20"/>
                <w:szCs w:val="24"/>
                <w:lang w:eastAsia="lv-LV"/>
              </w:rPr>
            </w:pPr>
            <w:r w:rsidRPr="005851C0">
              <w:rPr>
                <w:rFonts w:eastAsia="Times New Roman" w:cs="Times New Roman"/>
                <w:iCs/>
                <w:sz w:val="20"/>
                <w:szCs w:val="24"/>
                <w:lang w:eastAsia="lv-LV"/>
              </w:rPr>
              <w:t>0</w:t>
            </w:r>
          </w:p>
        </w:tc>
        <w:tc>
          <w:tcPr>
            <w:tcW w:w="1275" w:type="dxa"/>
          </w:tcPr>
          <w:p w14:paraId="2814F473" w14:textId="1C78A10D" w:rsidR="002B5F64" w:rsidRPr="005851C0" w:rsidRDefault="002B5F64" w:rsidP="002B5F64">
            <w:pPr>
              <w:jc w:val="center"/>
              <w:rPr>
                <w:rFonts w:eastAsia="Times New Roman" w:cs="Times New Roman"/>
                <w:iCs/>
                <w:sz w:val="20"/>
                <w:szCs w:val="24"/>
                <w:lang w:eastAsia="lv-LV"/>
              </w:rPr>
            </w:pPr>
            <w:r w:rsidRPr="005851C0">
              <w:rPr>
                <w:rFonts w:eastAsia="Times New Roman" w:cs="Times New Roman"/>
                <w:iCs/>
                <w:sz w:val="20"/>
                <w:szCs w:val="24"/>
                <w:lang w:eastAsia="lv-LV"/>
              </w:rPr>
              <w:t>0</w:t>
            </w:r>
          </w:p>
        </w:tc>
        <w:tc>
          <w:tcPr>
            <w:tcW w:w="993" w:type="dxa"/>
          </w:tcPr>
          <w:p w14:paraId="46F2A9BB" w14:textId="5AC72BE4" w:rsidR="002B5F64" w:rsidRPr="005851C0" w:rsidRDefault="002B5F64" w:rsidP="002B5F64">
            <w:pPr>
              <w:jc w:val="center"/>
              <w:rPr>
                <w:rFonts w:eastAsia="Times New Roman" w:cs="Times New Roman"/>
                <w:iCs/>
                <w:sz w:val="20"/>
                <w:szCs w:val="24"/>
                <w:lang w:eastAsia="lv-LV"/>
              </w:rPr>
            </w:pPr>
            <w:r w:rsidRPr="005851C0">
              <w:rPr>
                <w:rFonts w:eastAsia="Times New Roman" w:cs="Times New Roman"/>
                <w:iCs/>
                <w:sz w:val="20"/>
                <w:szCs w:val="24"/>
                <w:lang w:eastAsia="lv-LV"/>
              </w:rPr>
              <w:t>0</w:t>
            </w:r>
          </w:p>
        </w:tc>
        <w:tc>
          <w:tcPr>
            <w:tcW w:w="1275" w:type="dxa"/>
          </w:tcPr>
          <w:p w14:paraId="66664F7C" w14:textId="25EB9E33" w:rsidR="002B5F64" w:rsidRPr="005851C0" w:rsidRDefault="002B5F64" w:rsidP="002B5F64">
            <w:pPr>
              <w:jc w:val="center"/>
              <w:rPr>
                <w:rFonts w:eastAsia="Times New Roman" w:cs="Times New Roman"/>
                <w:iCs/>
                <w:sz w:val="20"/>
                <w:szCs w:val="24"/>
                <w:lang w:eastAsia="lv-LV"/>
              </w:rPr>
            </w:pPr>
            <w:r w:rsidRPr="005851C0">
              <w:rPr>
                <w:rFonts w:eastAsia="Times New Roman" w:cs="Times New Roman"/>
                <w:iCs/>
                <w:sz w:val="20"/>
                <w:szCs w:val="24"/>
                <w:lang w:eastAsia="lv-LV"/>
              </w:rPr>
              <w:t>0</w:t>
            </w:r>
          </w:p>
        </w:tc>
        <w:tc>
          <w:tcPr>
            <w:tcW w:w="993" w:type="dxa"/>
          </w:tcPr>
          <w:p w14:paraId="7E043F1B" w14:textId="5B20D23B" w:rsidR="002B5F64" w:rsidRPr="005851C0" w:rsidRDefault="002B5F64" w:rsidP="002B5F64">
            <w:pPr>
              <w:jc w:val="center"/>
              <w:rPr>
                <w:rFonts w:eastAsia="Times New Roman" w:cs="Times New Roman"/>
                <w:iCs/>
                <w:sz w:val="20"/>
                <w:szCs w:val="24"/>
                <w:highlight w:val="yellow"/>
                <w:lang w:eastAsia="lv-LV"/>
              </w:rPr>
            </w:pPr>
            <w:r w:rsidRPr="005851C0">
              <w:rPr>
                <w:rFonts w:eastAsia="Times New Roman" w:cs="Times New Roman"/>
                <w:iCs/>
                <w:sz w:val="20"/>
                <w:szCs w:val="24"/>
                <w:lang w:eastAsia="lv-LV"/>
              </w:rPr>
              <w:t>0</w:t>
            </w:r>
          </w:p>
        </w:tc>
        <w:tc>
          <w:tcPr>
            <w:tcW w:w="1008" w:type="dxa"/>
          </w:tcPr>
          <w:p w14:paraId="03F5E0B4" w14:textId="152E1B1F" w:rsidR="002B5F64" w:rsidRPr="005851C0" w:rsidRDefault="002B5F64" w:rsidP="002B5F64">
            <w:pPr>
              <w:jc w:val="center"/>
              <w:rPr>
                <w:rFonts w:eastAsia="Times New Roman" w:cs="Times New Roman"/>
                <w:iCs/>
                <w:sz w:val="20"/>
                <w:szCs w:val="24"/>
                <w:highlight w:val="yellow"/>
                <w:lang w:eastAsia="lv-LV"/>
              </w:rPr>
            </w:pPr>
            <w:r w:rsidRPr="005851C0">
              <w:rPr>
                <w:rFonts w:eastAsia="Times New Roman" w:cs="Times New Roman"/>
                <w:iCs/>
                <w:sz w:val="20"/>
                <w:szCs w:val="24"/>
                <w:lang w:eastAsia="lv-LV"/>
              </w:rPr>
              <w:t>0</w:t>
            </w:r>
          </w:p>
        </w:tc>
      </w:tr>
      <w:tr w:rsidR="002B5F64" w:rsidRPr="005851C0" w14:paraId="3DDAC3E5" w14:textId="77777777" w:rsidTr="00ED0B96">
        <w:trPr>
          <w:trHeight w:val="1828"/>
        </w:trPr>
        <w:tc>
          <w:tcPr>
            <w:tcW w:w="1699" w:type="dxa"/>
          </w:tcPr>
          <w:p w14:paraId="1F166C1D" w14:textId="77777777" w:rsidR="002B5F64" w:rsidRPr="005851C0" w:rsidRDefault="002B5F64" w:rsidP="002B5F64">
            <w:pPr>
              <w:rPr>
                <w:rFonts w:eastAsia="Times New Roman" w:cs="Times New Roman"/>
                <w:iCs/>
                <w:sz w:val="24"/>
                <w:szCs w:val="24"/>
                <w:lang w:eastAsia="lv-LV"/>
              </w:rPr>
            </w:pPr>
            <w:r w:rsidRPr="005851C0">
              <w:rPr>
                <w:rFonts w:eastAsia="Times New Roman" w:cs="Times New Roman"/>
                <w:iCs/>
                <w:sz w:val="24"/>
                <w:szCs w:val="24"/>
                <w:lang w:eastAsia="lv-LV"/>
              </w:rPr>
              <w:t>no akcīzes nodokļa</w:t>
            </w:r>
          </w:p>
        </w:tc>
        <w:tc>
          <w:tcPr>
            <w:tcW w:w="1273" w:type="dxa"/>
          </w:tcPr>
          <w:p w14:paraId="3A3E67EE" w14:textId="19F072C4" w:rsidR="002B5F64" w:rsidRPr="005851C0" w:rsidRDefault="002B5F64" w:rsidP="002B5F64">
            <w:pPr>
              <w:jc w:val="center"/>
              <w:rPr>
                <w:rFonts w:eastAsia="Times New Roman" w:cs="Times New Roman"/>
                <w:iCs/>
                <w:sz w:val="20"/>
                <w:szCs w:val="24"/>
                <w:lang w:eastAsia="lv-LV"/>
              </w:rPr>
            </w:pPr>
            <w:r w:rsidRPr="005851C0">
              <w:rPr>
                <w:rFonts w:eastAsia="Times New Roman" w:cs="Times New Roman"/>
                <w:iCs/>
                <w:sz w:val="20"/>
                <w:szCs w:val="24"/>
                <w:lang w:eastAsia="lv-LV"/>
              </w:rPr>
              <w:t>0</w:t>
            </w:r>
          </w:p>
        </w:tc>
        <w:tc>
          <w:tcPr>
            <w:tcW w:w="851" w:type="dxa"/>
          </w:tcPr>
          <w:p w14:paraId="0725F5AC" w14:textId="2A9E5366" w:rsidR="002B5F64" w:rsidRPr="005851C0" w:rsidRDefault="002B5F64" w:rsidP="002B5F64">
            <w:pPr>
              <w:jc w:val="center"/>
              <w:rPr>
                <w:rFonts w:eastAsia="Times New Roman" w:cs="Times New Roman"/>
                <w:iCs/>
                <w:sz w:val="20"/>
                <w:szCs w:val="24"/>
                <w:lang w:eastAsia="lv-LV"/>
              </w:rPr>
            </w:pPr>
            <w:r w:rsidRPr="005851C0">
              <w:rPr>
                <w:rFonts w:eastAsia="Times New Roman" w:cs="Times New Roman"/>
                <w:iCs/>
                <w:sz w:val="20"/>
                <w:szCs w:val="24"/>
                <w:lang w:eastAsia="lv-LV"/>
              </w:rPr>
              <w:t>0</w:t>
            </w:r>
          </w:p>
        </w:tc>
        <w:tc>
          <w:tcPr>
            <w:tcW w:w="1275" w:type="dxa"/>
          </w:tcPr>
          <w:p w14:paraId="564E83A7" w14:textId="6524093A" w:rsidR="002B5F64" w:rsidRPr="005851C0" w:rsidRDefault="002B5F64" w:rsidP="002B5F64">
            <w:pPr>
              <w:jc w:val="center"/>
              <w:rPr>
                <w:rFonts w:cs="Times New Roman"/>
                <w:sz w:val="20"/>
                <w:szCs w:val="24"/>
              </w:rPr>
            </w:pPr>
            <w:r w:rsidRPr="005851C0">
              <w:rPr>
                <w:rFonts w:eastAsia="Times New Roman" w:cs="Times New Roman"/>
                <w:iCs/>
                <w:sz w:val="20"/>
                <w:szCs w:val="24"/>
                <w:lang w:eastAsia="lv-LV"/>
              </w:rPr>
              <w:t>0</w:t>
            </w:r>
          </w:p>
        </w:tc>
        <w:tc>
          <w:tcPr>
            <w:tcW w:w="993" w:type="dxa"/>
          </w:tcPr>
          <w:p w14:paraId="1D1D720A" w14:textId="6379C0C2" w:rsidR="002B5F64" w:rsidRPr="005851C0" w:rsidRDefault="002B5F64" w:rsidP="002B5F64">
            <w:pPr>
              <w:jc w:val="center"/>
              <w:rPr>
                <w:rFonts w:eastAsia="Times New Roman" w:cs="Times New Roman"/>
                <w:iCs/>
                <w:sz w:val="20"/>
                <w:szCs w:val="24"/>
                <w:lang w:eastAsia="lv-LV"/>
              </w:rPr>
            </w:pPr>
            <w:r w:rsidRPr="005851C0">
              <w:rPr>
                <w:rFonts w:eastAsia="Times New Roman" w:cs="Times New Roman"/>
                <w:iCs/>
                <w:sz w:val="20"/>
                <w:szCs w:val="24"/>
                <w:lang w:eastAsia="lv-LV"/>
              </w:rPr>
              <w:t>0</w:t>
            </w:r>
          </w:p>
        </w:tc>
        <w:tc>
          <w:tcPr>
            <w:tcW w:w="1275" w:type="dxa"/>
          </w:tcPr>
          <w:p w14:paraId="0DACB158" w14:textId="71851C25" w:rsidR="002B5F64" w:rsidRPr="005851C0" w:rsidRDefault="002B5F64" w:rsidP="002B5F64">
            <w:pPr>
              <w:jc w:val="center"/>
              <w:rPr>
                <w:rFonts w:cs="Times New Roman"/>
                <w:sz w:val="20"/>
                <w:szCs w:val="24"/>
              </w:rPr>
            </w:pPr>
            <w:r w:rsidRPr="005851C0">
              <w:rPr>
                <w:rFonts w:eastAsia="Times New Roman" w:cs="Times New Roman"/>
                <w:iCs/>
                <w:sz w:val="20"/>
                <w:szCs w:val="24"/>
                <w:lang w:eastAsia="lv-LV"/>
              </w:rPr>
              <w:t>0</w:t>
            </w:r>
          </w:p>
        </w:tc>
        <w:tc>
          <w:tcPr>
            <w:tcW w:w="993" w:type="dxa"/>
          </w:tcPr>
          <w:p w14:paraId="351C29ED" w14:textId="7A51A21A" w:rsidR="002B5F64" w:rsidRPr="005851C0" w:rsidRDefault="002B5F64" w:rsidP="002B5F64">
            <w:pPr>
              <w:jc w:val="center"/>
              <w:rPr>
                <w:rFonts w:eastAsia="Times New Roman" w:cs="Times New Roman"/>
                <w:iCs/>
                <w:sz w:val="20"/>
                <w:szCs w:val="24"/>
                <w:lang w:eastAsia="lv-LV"/>
              </w:rPr>
            </w:pPr>
            <w:r w:rsidRPr="005851C0">
              <w:rPr>
                <w:rFonts w:eastAsia="Times New Roman" w:cs="Times New Roman"/>
                <w:iCs/>
                <w:sz w:val="20"/>
                <w:szCs w:val="24"/>
                <w:lang w:eastAsia="lv-LV"/>
              </w:rPr>
              <w:t>0</w:t>
            </w:r>
          </w:p>
        </w:tc>
        <w:tc>
          <w:tcPr>
            <w:tcW w:w="1008" w:type="dxa"/>
          </w:tcPr>
          <w:p w14:paraId="14814257" w14:textId="1EA5B8E1" w:rsidR="002B5F64" w:rsidRPr="005851C0" w:rsidRDefault="002B5F64" w:rsidP="002B5F64">
            <w:pPr>
              <w:jc w:val="center"/>
              <w:rPr>
                <w:rFonts w:eastAsia="Times New Roman" w:cs="Times New Roman"/>
                <w:iCs/>
                <w:sz w:val="20"/>
                <w:szCs w:val="24"/>
                <w:lang w:eastAsia="lv-LV"/>
              </w:rPr>
            </w:pPr>
            <w:r w:rsidRPr="005851C0">
              <w:rPr>
                <w:rFonts w:eastAsia="Times New Roman" w:cs="Times New Roman"/>
                <w:iCs/>
                <w:sz w:val="20"/>
                <w:szCs w:val="24"/>
                <w:lang w:eastAsia="lv-LV"/>
              </w:rPr>
              <w:t>0</w:t>
            </w:r>
          </w:p>
        </w:tc>
      </w:tr>
      <w:tr w:rsidR="002B5F64" w:rsidRPr="005851C0" w14:paraId="0C511679" w14:textId="77777777" w:rsidTr="00ED0B96">
        <w:trPr>
          <w:trHeight w:val="1828"/>
        </w:trPr>
        <w:tc>
          <w:tcPr>
            <w:tcW w:w="1699" w:type="dxa"/>
          </w:tcPr>
          <w:p w14:paraId="0C99FC31" w14:textId="77777777" w:rsidR="002B5F64" w:rsidRPr="005851C0" w:rsidRDefault="002B5F64" w:rsidP="002B5F64">
            <w:pPr>
              <w:rPr>
                <w:rFonts w:eastAsia="Times New Roman" w:cs="Times New Roman"/>
                <w:iCs/>
                <w:sz w:val="24"/>
                <w:szCs w:val="24"/>
                <w:lang w:eastAsia="lv-LV"/>
              </w:rPr>
            </w:pPr>
            <w:r w:rsidRPr="005851C0">
              <w:rPr>
                <w:rFonts w:eastAsia="Times New Roman" w:cs="Times New Roman"/>
                <w:iCs/>
                <w:sz w:val="24"/>
                <w:szCs w:val="24"/>
                <w:lang w:eastAsia="lv-LV"/>
              </w:rPr>
              <w:t>no pievienotās vērtības nodokļa</w:t>
            </w:r>
          </w:p>
        </w:tc>
        <w:tc>
          <w:tcPr>
            <w:tcW w:w="1273" w:type="dxa"/>
          </w:tcPr>
          <w:p w14:paraId="0A6C88AB" w14:textId="56B2551F" w:rsidR="002B5F64" w:rsidRPr="005851C0" w:rsidRDefault="002B5F64" w:rsidP="002B5F64">
            <w:pPr>
              <w:jc w:val="center"/>
              <w:rPr>
                <w:rFonts w:eastAsia="Times New Roman" w:cs="Times New Roman"/>
                <w:iCs/>
                <w:sz w:val="20"/>
                <w:szCs w:val="24"/>
                <w:lang w:eastAsia="lv-LV"/>
              </w:rPr>
            </w:pPr>
            <w:r w:rsidRPr="005851C0">
              <w:rPr>
                <w:rFonts w:eastAsia="Times New Roman" w:cs="Times New Roman"/>
                <w:iCs/>
                <w:sz w:val="20"/>
                <w:szCs w:val="24"/>
                <w:lang w:eastAsia="lv-LV"/>
              </w:rPr>
              <w:t>0</w:t>
            </w:r>
          </w:p>
        </w:tc>
        <w:tc>
          <w:tcPr>
            <w:tcW w:w="851" w:type="dxa"/>
          </w:tcPr>
          <w:p w14:paraId="00C3C9B0" w14:textId="127867BF" w:rsidR="002B5F64" w:rsidRPr="005851C0" w:rsidRDefault="002B5F64" w:rsidP="002B5F64">
            <w:pPr>
              <w:jc w:val="center"/>
              <w:rPr>
                <w:rFonts w:eastAsia="Times New Roman" w:cs="Times New Roman"/>
                <w:iCs/>
                <w:sz w:val="20"/>
                <w:szCs w:val="24"/>
                <w:lang w:eastAsia="lv-LV"/>
              </w:rPr>
            </w:pPr>
            <w:r w:rsidRPr="005851C0">
              <w:rPr>
                <w:rFonts w:eastAsia="Times New Roman" w:cs="Times New Roman"/>
                <w:iCs/>
                <w:sz w:val="20"/>
                <w:szCs w:val="24"/>
                <w:lang w:eastAsia="lv-LV"/>
              </w:rPr>
              <w:t>0</w:t>
            </w:r>
          </w:p>
        </w:tc>
        <w:tc>
          <w:tcPr>
            <w:tcW w:w="1275" w:type="dxa"/>
          </w:tcPr>
          <w:p w14:paraId="721D15F0" w14:textId="3030C9ED" w:rsidR="002B5F64" w:rsidRPr="005851C0" w:rsidRDefault="002B5F64" w:rsidP="002B5F64">
            <w:pPr>
              <w:jc w:val="center"/>
              <w:rPr>
                <w:rFonts w:cs="Times New Roman"/>
                <w:sz w:val="20"/>
                <w:szCs w:val="24"/>
              </w:rPr>
            </w:pPr>
            <w:r w:rsidRPr="005851C0">
              <w:rPr>
                <w:rFonts w:eastAsia="Times New Roman" w:cs="Times New Roman"/>
                <w:iCs/>
                <w:sz w:val="20"/>
                <w:szCs w:val="24"/>
                <w:lang w:eastAsia="lv-LV"/>
              </w:rPr>
              <w:t>0</w:t>
            </w:r>
          </w:p>
        </w:tc>
        <w:tc>
          <w:tcPr>
            <w:tcW w:w="993" w:type="dxa"/>
          </w:tcPr>
          <w:p w14:paraId="60DF9072" w14:textId="5ABF6422" w:rsidR="002B5F64" w:rsidRPr="005851C0" w:rsidRDefault="002B5F64" w:rsidP="002B5F64">
            <w:pPr>
              <w:jc w:val="center"/>
              <w:rPr>
                <w:rFonts w:eastAsia="Times New Roman" w:cs="Times New Roman"/>
                <w:iCs/>
                <w:sz w:val="20"/>
                <w:szCs w:val="24"/>
                <w:lang w:eastAsia="lv-LV"/>
              </w:rPr>
            </w:pPr>
            <w:r w:rsidRPr="005851C0">
              <w:rPr>
                <w:rFonts w:eastAsia="Times New Roman" w:cs="Times New Roman"/>
                <w:iCs/>
                <w:sz w:val="20"/>
                <w:szCs w:val="24"/>
                <w:lang w:eastAsia="lv-LV"/>
              </w:rPr>
              <w:t>0</w:t>
            </w:r>
          </w:p>
        </w:tc>
        <w:tc>
          <w:tcPr>
            <w:tcW w:w="1275" w:type="dxa"/>
          </w:tcPr>
          <w:p w14:paraId="7BB55F52" w14:textId="7B7160C9" w:rsidR="002B5F64" w:rsidRPr="005851C0" w:rsidRDefault="002B5F64" w:rsidP="002B5F64">
            <w:pPr>
              <w:jc w:val="center"/>
              <w:rPr>
                <w:rFonts w:cs="Times New Roman"/>
                <w:sz w:val="20"/>
                <w:szCs w:val="24"/>
              </w:rPr>
            </w:pPr>
            <w:r w:rsidRPr="005851C0">
              <w:rPr>
                <w:rFonts w:eastAsia="Times New Roman" w:cs="Times New Roman"/>
                <w:iCs/>
                <w:sz w:val="20"/>
                <w:szCs w:val="24"/>
                <w:lang w:eastAsia="lv-LV"/>
              </w:rPr>
              <w:t>0</w:t>
            </w:r>
          </w:p>
        </w:tc>
        <w:tc>
          <w:tcPr>
            <w:tcW w:w="993" w:type="dxa"/>
          </w:tcPr>
          <w:p w14:paraId="7816BAEE" w14:textId="479B0990" w:rsidR="002B5F64" w:rsidRPr="005851C0" w:rsidRDefault="002B5F64" w:rsidP="002B5F64">
            <w:pPr>
              <w:jc w:val="center"/>
              <w:rPr>
                <w:rFonts w:eastAsia="Times New Roman" w:cs="Times New Roman"/>
                <w:iCs/>
                <w:sz w:val="20"/>
                <w:szCs w:val="24"/>
                <w:lang w:eastAsia="lv-LV"/>
              </w:rPr>
            </w:pPr>
            <w:r w:rsidRPr="005851C0">
              <w:rPr>
                <w:rFonts w:eastAsia="Times New Roman" w:cs="Times New Roman"/>
                <w:iCs/>
                <w:sz w:val="20"/>
                <w:szCs w:val="24"/>
                <w:lang w:eastAsia="lv-LV"/>
              </w:rPr>
              <w:t>0</w:t>
            </w:r>
          </w:p>
        </w:tc>
        <w:tc>
          <w:tcPr>
            <w:tcW w:w="1008" w:type="dxa"/>
          </w:tcPr>
          <w:p w14:paraId="1B0E3D44" w14:textId="21CAAD9C" w:rsidR="002B5F64" w:rsidRPr="005851C0" w:rsidRDefault="002B5F64" w:rsidP="002B5F64">
            <w:pPr>
              <w:jc w:val="center"/>
              <w:rPr>
                <w:rFonts w:eastAsia="Times New Roman" w:cs="Times New Roman"/>
                <w:iCs/>
                <w:sz w:val="20"/>
                <w:szCs w:val="24"/>
                <w:lang w:eastAsia="lv-LV"/>
              </w:rPr>
            </w:pPr>
            <w:r w:rsidRPr="005851C0">
              <w:rPr>
                <w:rFonts w:eastAsia="Times New Roman" w:cs="Times New Roman"/>
                <w:iCs/>
                <w:sz w:val="20"/>
                <w:szCs w:val="24"/>
                <w:lang w:eastAsia="lv-LV"/>
              </w:rPr>
              <w:t>0</w:t>
            </w:r>
          </w:p>
        </w:tc>
      </w:tr>
      <w:tr w:rsidR="002B5F64" w:rsidRPr="005851C0" w14:paraId="4FBC88FA" w14:textId="77777777" w:rsidTr="00F05D71">
        <w:trPr>
          <w:trHeight w:val="520"/>
        </w:trPr>
        <w:tc>
          <w:tcPr>
            <w:tcW w:w="1699" w:type="dxa"/>
            <w:hideMark/>
          </w:tcPr>
          <w:p w14:paraId="1DD7DF59" w14:textId="77777777" w:rsidR="002B5F64" w:rsidRPr="005851C0" w:rsidRDefault="002B5F64" w:rsidP="002B5F64">
            <w:pPr>
              <w:rPr>
                <w:rFonts w:eastAsia="Times New Roman" w:cs="Times New Roman"/>
                <w:iCs/>
                <w:sz w:val="24"/>
                <w:szCs w:val="24"/>
                <w:lang w:eastAsia="lv-LV"/>
              </w:rPr>
            </w:pPr>
            <w:r w:rsidRPr="005851C0">
              <w:rPr>
                <w:rFonts w:eastAsia="Times New Roman" w:cs="Times New Roman"/>
                <w:iCs/>
                <w:sz w:val="24"/>
                <w:szCs w:val="24"/>
                <w:lang w:eastAsia="lv-LV"/>
              </w:rPr>
              <w:t>1.2. valsts speciālais budžets</w:t>
            </w:r>
          </w:p>
        </w:tc>
        <w:tc>
          <w:tcPr>
            <w:tcW w:w="1273" w:type="dxa"/>
          </w:tcPr>
          <w:p w14:paraId="7DA0266E" w14:textId="3FE25A37" w:rsidR="002B5F64" w:rsidRPr="005851C0" w:rsidRDefault="002B5F64" w:rsidP="002B5F64">
            <w:pPr>
              <w:jc w:val="center"/>
              <w:rPr>
                <w:rFonts w:eastAsia="Times New Roman" w:cs="Times New Roman"/>
                <w:iCs/>
                <w:sz w:val="20"/>
                <w:szCs w:val="24"/>
                <w:lang w:eastAsia="lv-LV"/>
              </w:rPr>
            </w:pPr>
            <w:r w:rsidRPr="005851C0">
              <w:rPr>
                <w:rFonts w:eastAsia="Times New Roman" w:cs="Times New Roman"/>
                <w:iCs/>
                <w:sz w:val="20"/>
                <w:szCs w:val="24"/>
                <w:lang w:eastAsia="lv-LV"/>
              </w:rPr>
              <w:t>0</w:t>
            </w:r>
          </w:p>
        </w:tc>
        <w:tc>
          <w:tcPr>
            <w:tcW w:w="851" w:type="dxa"/>
          </w:tcPr>
          <w:p w14:paraId="03EF46A5" w14:textId="69ABC6D2" w:rsidR="002B5F64" w:rsidRPr="005851C0" w:rsidRDefault="002B5F64" w:rsidP="002B5F64">
            <w:pPr>
              <w:jc w:val="center"/>
              <w:rPr>
                <w:rFonts w:eastAsia="Times New Roman" w:cs="Times New Roman"/>
                <w:iCs/>
                <w:sz w:val="20"/>
                <w:szCs w:val="24"/>
                <w:lang w:eastAsia="lv-LV"/>
              </w:rPr>
            </w:pPr>
            <w:r w:rsidRPr="005851C0">
              <w:rPr>
                <w:rFonts w:eastAsia="Times New Roman" w:cs="Times New Roman"/>
                <w:iCs/>
                <w:sz w:val="20"/>
                <w:szCs w:val="24"/>
                <w:lang w:eastAsia="lv-LV"/>
              </w:rPr>
              <w:t>0</w:t>
            </w:r>
          </w:p>
        </w:tc>
        <w:tc>
          <w:tcPr>
            <w:tcW w:w="1275" w:type="dxa"/>
          </w:tcPr>
          <w:p w14:paraId="0D75E503" w14:textId="7DF75421" w:rsidR="002B5F64" w:rsidRPr="005851C0" w:rsidRDefault="002B5F64" w:rsidP="002B5F64">
            <w:pPr>
              <w:jc w:val="center"/>
              <w:rPr>
                <w:rFonts w:eastAsia="Times New Roman" w:cs="Times New Roman"/>
                <w:iCs/>
                <w:sz w:val="20"/>
                <w:szCs w:val="24"/>
                <w:lang w:eastAsia="lv-LV"/>
              </w:rPr>
            </w:pPr>
            <w:r w:rsidRPr="005851C0">
              <w:rPr>
                <w:rFonts w:eastAsia="Times New Roman" w:cs="Times New Roman"/>
                <w:iCs/>
                <w:sz w:val="20"/>
                <w:szCs w:val="24"/>
                <w:lang w:eastAsia="lv-LV"/>
              </w:rPr>
              <w:t>0</w:t>
            </w:r>
          </w:p>
        </w:tc>
        <w:tc>
          <w:tcPr>
            <w:tcW w:w="993" w:type="dxa"/>
          </w:tcPr>
          <w:p w14:paraId="7EDF58FC" w14:textId="14638122" w:rsidR="002B5F64" w:rsidRPr="005851C0" w:rsidRDefault="002B5F64" w:rsidP="002B5F64">
            <w:pPr>
              <w:jc w:val="center"/>
              <w:rPr>
                <w:rFonts w:eastAsia="Times New Roman" w:cs="Times New Roman"/>
                <w:iCs/>
                <w:sz w:val="20"/>
                <w:szCs w:val="24"/>
                <w:lang w:eastAsia="lv-LV"/>
              </w:rPr>
            </w:pPr>
            <w:r w:rsidRPr="005851C0">
              <w:rPr>
                <w:rFonts w:eastAsia="Times New Roman" w:cs="Times New Roman"/>
                <w:iCs/>
                <w:sz w:val="20"/>
                <w:szCs w:val="24"/>
                <w:lang w:eastAsia="lv-LV"/>
              </w:rPr>
              <w:t>0</w:t>
            </w:r>
          </w:p>
        </w:tc>
        <w:tc>
          <w:tcPr>
            <w:tcW w:w="1275" w:type="dxa"/>
          </w:tcPr>
          <w:p w14:paraId="5965C4E4" w14:textId="485DB4AA" w:rsidR="002B5F64" w:rsidRPr="005851C0" w:rsidRDefault="002B5F64" w:rsidP="002B5F64">
            <w:pPr>
              <w:jc w:val="center"/>
              <w:rPr>
                <w:rFonts w:eastAsia="Times New Roman" w:cs="Times New Roman"/>
                <w:iCs/>
                <w:sz w:val="20"/>
                <w:szCs w:val="24"/>
                <w:lang w:eastAsia="lv-LV"/>
              </w:rPr>
            </w:pPr>
            <w:r w:rsidRPr="005851C0">
              <w:rPr>
                <w:rFonts w:eastAsia="Times New Roman" w:cs="Times New Roman"/>
                <w:iCs/>
                <w:sz w:val="20"/>
                <w:szCs w:val="24"/>
                <w:lang w:eastAsia="lv-LV"/>
              </w:rPr>
              <w:t>0</w:t>
            </w:r>
          </w:p>
        </w:tc>
        <w:tc>
          <w:tcPr>
            <w:tcW w:w="993" w:type="dxa"/>
          </w:tcPr>
          <w:p w14:paraId="303F36B8" w14:textId="4DE8CA41" w:rsidR="002B5F64" w:rsidRPr="005851C0" w:rsidRDefault="002B5F64" w:rsidP="002B5F64">
            <w:pPr>
              <w:jc w:val="center"/>
              <w:rPr>
                <w:rFonts w:eastAsia="Times New Roman" w:cs="Times New Roman"/>
                <w:iCs/>
                <w:sz w:val="20"/>
                <w:szCs w:val="24"/>
                <w:lang w:eastAsia="lv-LV"/>
              </w:rPr>
            </w:pPr>
            <w:r w:rsidRPr="005851C0">
              <w:rPr>
                <w:rFonts w:eastAsia="Times New Roman" w:cs="Times New Roman"/>
                <w:iCs/>
                <w:sz w:val="20"/>
                <w:szCs w:val="24"/>
                <w:lang w:eastAsia="lv-LV"/>
              </w:rPr>
              <w:t>0</w:t>
            </w:r>
          </w:p>
        </w:tc>
        <w:tc>
          <w:tcPr>
            <w:tcW w:w="1008" w:type="dxa"/>
          </w:tcPr>
          <w:p w14:paraId="04230D29" w14:textId="76A3FA0C" w:rsidR="002B5F64" w:rsidRPr="005851C0" w:rsidRDefault="002B5F64" w:rsidP="002B5F64">
            <w:pPr>
              <w:jc w:val="center"/>
              <w:rPr>
                <w:rFonts w:eastAsia="Times New Roman" w:cs="Times New Roman"/>
                <w:iCs/>
                <w:sz w:val="20"/>
                <w:szCs w:val="24"/>
                <w:lang w:eastAsia="lv-LV"/>
              </w:rPr>
            </w:pPr>
            <w:r w:rsidRPr="005851C0">
              <w:rPr>
                <w:rFonts w:eastAsia="Times New Roman" w:cs="Times New Roman"/>
                <w:iCs/>
                <w:sz w:val="20"/>
                <w:szCs w:val="24"/>
                <w:lang w:eastAsia="lv-LV"/>
              </w:rPr>
              <w:t>0</w:t>
            </w:r>
          </w:p>
        </w:tc>
      </w:tr>
      <w:tr w:rsidR="002B5F64" w:rsidRPr="005851C0" w14:paraId="5745E339" w14:textId="77777777" w:rsidTr="00F05D71">
        <w:trPr>
          <w:trHeight w:val="520"/>
        </w:trPr>
        <w:tc>
          <w:tcPr>
            <w:tcW w:w="1699" w:type="dxa"/>
            <w:hideMark/>
          </w:tcPr>
          <w:p w14:paraId="0EDFC9AC" w14:textId="77777777" w:rsidR="002B5F64" w:rsidRPr="005851C0" w:rsidRDefault="002B5F64" w:rsidP="002B5F64">
            <w:pPr>
              <w:rPr>
                <w:rFonts w:eastAsia="Times New Roman" w:cs="Times New Roman"/>
                <w:iCs/>
                <w:sz w:val="24"/>
                <w:szCs w:val="24"/>
                <w:lang w:eastAsia="lv-LV"/>
              </w:rPr>
            </w:pPr>
            <w:r w:rsidRPr="005851C0">
              <w:rPr>
                <w:rFonts w:eastAsia="Times New Roman" w:cs="Times New Roman"/>
                <w:iCs/>
                <w:sz w:val="24"/>
                <w:szCs w:val="24"/>
                <w:lang w:eastAsia="lv-LV"/>
              </w:rPr>
              <w:t>1.3. pašvaldību budžets, t.sk.,</w:t>
            </w:r>
          </w:p>
        </w:tc>
        <w:tc>
          <w:tcPr>
            <w:tcW w:w="1273" w:type="dxa"/>
          </w:tcPr>
          <w:p w14:paraId="3A487FB6" w14:textId="63C351F8" w:rsidR="002B5F64" w:rsidRPr="005851C0" w:rsidRDefault="002B5F64" w:rsidP="002B5F64">
            <w:pPr>
              <w:jc w:val="center"/>
              <w:rPr>
                <w:rFonts w:eastAsia="Times New Roman" w:cs="Times New Roman"/>
                <w:iCs/>
                <w:sz w:val="20"/>
                <w:szCs w:val="24"/>
                <w:lang w:eastAsia="lv-LV"/>
              </w:rPr>
            </w:pPr>
            <w:r w:rsidRPr="005851C0">
              <w:rPr>
                <w:rFonts w:eastAsia="Times New Roman" w:cs="Times New Roman"/>
                <w:iCs/>
                <w:sz w:val="20"/>
                <w:szCs w:val="24"/>
                <w:lang w:eastAsia="lv-LV"/>
              </w:rPr>
              <w:t>0</w:t>
            </w:r>
          </w:p>
        </w:tc>
        <w:tc>
          <w:tcPr>
            <w:tcW w:w="851" w:type="dxa"/>
          </w:tcPr>
          <w:p w14:paraId="0A5833C0" w14:textId="572C920D" w:rsidR="002B5F64" w:rsidRPr="005851C0" w:rsidRDefault="002B5F64" w:rsidP="002B5F64">
            <w:pPr>
              <w:jc w:val="center"/>
              <w:rPr>
                <w:rFonts w:eastAsia="Times New Roman" w:cs="Times New Roman"/>
                <w:iCs/>
                <w:sz w:val="20"/>
                <w:szCs w:val="24"/>
                <w:lang w:eastAsia="lv-LV"/>
              </w:rPr>
            </w:pPr>
            <w:r w:rsidRPr="005851C0">
              <w:rPr>
                <w:rFonts w:eastAsia="Times New Roman" w:cs="Times New Roman"/>
                <w:iCs/>
                <w:sz w:val="20"/>
                <w:szCs w:val="24"/>
                <w:lang w:eastAsia="lv-LV"/>
              </w:rPr>
              <w:t>0</w:t>
            </w:r>
          </w:p>
        </w:tc>
        <w:tc>
          <w:tcPr>
            <w:tcW w:w="1275" w:type="dxa"/>
          </w:tcPr>
          <w:p w14:paraId="74C5FCED" w14:textId="63EBD955" w:rsidR="002B5F64" w:rsidRPr="005851C0" w:rsidRDefault="002B5F64" w:rsidP="002B5F64">
            <w:pPr>
              <w:jc w:val="center"/>
              <w:rPr>
                <w:rFonts w:eastAsia="Times New Roman" w:cs="Times New Roman"/>
                <w:iCs/>
                <w:sz w:val="20"/>
                <w:szCs w:val="24"/>
                <w:lang w:eastAsia="lv-LV"/>
              </w:rPr>
            </w:pPr>
            <w:r w:rsidRPr="005851C0">
              <w:rPr>
                <w:rFonts w:eastAsia="Times New Roman" w:cs="Times New Roman"/>
                <w:iCs/>
                <w:sz w:val="20"/>
                <w:szCs w:val="24"/>
                <w:lang w:eastAsia="lv-LV"/>
              </w:rPr>
              <w:t>0</w:t>
            </w:r>
          </w:p>
        </w:tc>
        <w:tc>
          <w:tcPr>
            <w:tcW w:w="993" w:type="dxa"/>
          </w:tcPr>
          <w:p w14:paraId="6A85086E" w14:textId="69FD7F32" w:rsidR="002B5F64" w:rsidRPr="005851C0" w:rsidRDefault="002B5F64" w:rsidP="002B5F64">
            <w:pPr>
              <w:jc w:val="center"/>
              <w:rPr>
                <w:rFonts w:eastAsia="Times New Roman" w:cs="Times New Roman"/>
                <w:iCs/>
                <w:sz w:val="20"/>
                <w:szCs w:val="24"/>
                <w:lang w:eastAsia="lv-LV"/>
              </w:rPr>
            </w:pPr>
            <w:r w:rsidRPr="005851C0">
              <w:rPr>
                <w:rFonts w:eastAsia="Times New Roman" w:cs="Times New Roman"/>
                <w:iCs/>
                <w:sz w:val="20"/>
                <w:szCs w:val="24"/>
                <w:lang w:eastAsia="lv-LV"/>
              </w:rPr>
              <w:t>0</w:t>
            </w:r>
          </w:p>
        </w:tc>
        <w:tc>
          <w:tcPr>
            <w:tcW w:w="1275" w:type="dxa"/>
          </w:tcPr>
          <w:p w14:paraId="0CA15961" w14:textId="3D05A1E4" w:rsidR="002B5F64" w:rsidRPr="005851C0" w:rsidRDefault="002B5F64" w:rsidP="002B5F64">
            <w:pPr>
              <w:jc w:val="center"/>
              <w:rPr>
                <w:rFonts w:eastAsia="Times New Roman" w:cs="Times New Roman"/>
                <w:iCs/>
                <w:sz w:val="20"/>
                <w:szCs w:val="24"/>
                <w:lang w:eastAsia="lv-LV"/>
              </w:rPr>
            </w:pPr>
            <w:r w:rsidRPr="005851C0">
              <w:rPr>
                <w:rFonts w:eastAsia="Times New Roman" w:cs="Times New Roman"/>
                <w:iCs/>
                <w:sz w:val="20"/>
                <w:szCs w:val="24"/>
                <w:lang w:eastAsia="lv-LV"/>
              </w:rPr>
              <w:t>0</w:t>
            </w:r>
          </w:p>
        </w:tc>
        <w:tc>
          <w:tcPr>
            <w:tcW w:w="993" w:type="dxa"/>
          </w:tcPr>
          <w:p w14:paraId="24EE838E" w14:textId="1C2083EB" w:rsidR="002B5F64" w:rsidRPr="005851C0" w:rsidRDefault="002B5F64" w:rsidP="002B5F64">
            <w:pPr>
              <w:jc w:val="center"/>
              <w:rPr>
                <w:rFonts w:eastAsia="Times New Roman" w:cs="Times New Roman"/>
                <w:iCs/>
                <w:sz w:val="20"/>
                <w:szCs w:val="24"/>
                <w:lang w:eastAsia="lv-LV"/>
              </w:rPr>
            </w:pPr>
            <w:r w:rsidRPr="005851C0">
              <w:rPr>
                <w:rFonts w:eastAsia="Times New Roman" w:cs="Times New Roman"/>
                <w:iCs/>
                <w:sz w:val="20"/>
                <w:szCs w:val="24"/>
                <w:lang w:eastAsia="lv-LV"/>
              </w:rPr>
              <w:t>0</w:t>
            </w:r>
          </w:p>
        </w:tc>
        <w:tc>
          <w:tcPr>
            <w:tcW w:w="1008" w:type="dxa"/>
          </w:tcPr>
          <w:p w14:paraId="6D39A398" w14:textId="26718AEA" w:rsidR="002B5F64" w:rsidRPr="005851C0" w:rsidRDefault="002B5F64" w:rsidP="002B5F64">
            <w:pPr>
              <w:jc w:val="center"/>
              <w:rPr>
                <w:rFonts w:eastAsia="Times New Roman" w:cs="Times New Roman"/>
                <w:iCs/>
                <w:sz w:val="20"/>
                <w:szCs w:val="24"/>
                <w:lang w:eastAsia="lv-LV"/>
              </w:rPr>
            </w:pPr>
            <w:r w:rsidRPr="005851C0">
              <w:rPr>
                <w:rFonts w:eastAsia="Times New Roman" w:cs="Times New Roman"/>
                <w:iCs/>
                <w:sz w:val="20"/>
                <w:szCs w:val="24"/>
                <w:lang w:eastAsia="lv-LV"/>
              </w:rPr>
              <w:t>0</w:t>
            </w:r>
          </w:p>
        </w:tc>
      </w:tr>
      <w:tr w:rsidR="00F05D71" w:rsidRPr="005851C0" w14:paraId="4D54BED6" w14:textId="77777777" w:rsidTr="00F05D71">
        <w:trPr>
          <w:trHeight w:val="520"/>
        </w:trPr>
        <w:tc>
          <w:tcPr>
            <w:tcW w:w="1699" w:type="dxa"/>
            <w:hideMark/>
          </w:tcPr>
          <w:p w14:paraId="2F2AD5DA" w14:textId="77777777" w:rsidR="00F05D71" w:rsidRPr="005851C0" w:rsidRDefault="00F05D71" w:rsidP="00ED0B96">
            <w:pPr>
              <w:rPr>
                <w:rFonts w:eastAsia="Times New Roman" w:cs="Times New Roman"/>
                <w:iCs/>
                <w:sz w:val="24"/>
                <w:szCs w:val="24"/>
                <w:lang w:eastAsia="lv-LV"/>
              </w:rPr>
            </w:pPr>
            <w:r w:rsidRPr="005851C0">
              <w:rPr>
                <w:rFonts w:eastAsia="Times New Roman" w:cs="Times New Roman"/>
                <w:iCs/>
                <w:sz w:val="24"/>
                <w:szCs w:val="24"/>
                <w:lang w:eastAsia="lv-LV"/>
              </w:rPr>
              <w:t>2. Budžeta izdevumi</w:t>
            </w:r>
          </w:p>
        </w:tc>
        <w:tc>
          <w:tcPr>
            <w:tcW w:w="1273" w:type="dxa"/>
          </w:tcPr>
          <w:p w14:paraId="195AE55D" w14:textId="77777777" w:rsidR="00F05D71" w:rsidRPr="005851C0" w:rsidRDefault="00F05D71" w:rsidP="00ED0B96">
            <w:pPr>
              <w:jc w:val="center"/>
              <w:rPr>
                <w:rFonts w:eastAsia="Times New Roman" w:cs="Times New Roman"/>
                <w:iCs/>
                <w:sz w:val="20"/>
                <w:szCs w:val="24"/>
                <w:lang w:eastAsia="lv-LV"/>
              </w:rPr>
            </w:pPr>
            <w:r w:rsidRPr="005851C0">
              <w:rPr>
                <w:rFonts w:eastAsia="Times New Roman" w:cs="Times New Roman"/>
                <w:iCs/>
                <w:sz w:val="20"/>
                <w:szCs w:val="24"/>
                <w:lang w:eastAsia="lv-LV"/>
              </w:rPr>
              <w:t>0</w:t>
            </w:r>
          </w:p>
        </w:tc>
        <w:tc>
          <w:tcPr>
            <w:tcW w:w="851" w:type="dxa"/>
          </w:tcPr>
          <w:p w14:paraId="4F1DDA1B" w14:textId="7A397D37" w:rsidR="00F05D71" w:rsidRPr="005851C0" w:rsidRDefault="00A94CC3" w:rsidP="00ED0B96">
            <w:pPr>
              <w:jc w:val="center"/>
              <w:rPr>
                <w:rFonts w:eastAsia="Times New Roman" w:cs="Times New Roman"/>
                <w:iCs/>
                <w:sz w:val="20"/>
                <w:szCs w:val="24"/>
                <w:lang w:eastAsia="lv-LV"/>
              </w:rPr>
            </w:pPr>
            <w:r>
              <w:rPr>
                <w:rFonts w:eastAsia="Times New Roman" w:cs="Times New Roman"/>
                <w:iCs/>
                <w:sz w:val="20"/>
                <w:szCs w:val="24"/>
                <w:lang w:eastAsia="lv-LV"/>
              </w:rPr>
              <w:t>73 332</w:t>
            </w:r>
          </w:p>
        </w:tc>
        <w:tc>
          <w:tcPr>
            <w:tcW w:w="1275" w:type="dxa"/>
          </w:tcPr>
          <w:p w14:paraId="474515ED" w14:textId="77777777" w:rsidR="00F05D71" w:rsidRPr="005851C0" w:rsidRDefault="00F05D71" w:rsidP="00ED0B96">
            <w:pPr>
              <w:jc w:val="center"/>
              <w:rPr>
                <w:rFonts w:eastAsia="Times New Roman" w:cs="Times New Roman"/>
                <w:iCs/>
                <w:sz w:val="20"/>
                <w:szCs w:val="24"/>
                <w:lang w:eastAsia="lv-LV"/>
              </w:rPr>
            </w:pPr>
            <w:r w:rsidRPr="005851C0">
              <w:rPr>
                <w:rFonts w:eastAsia="Times New Roman" w:cs="Times New Roman"/>
                <w:iCs/>
                <w:sz w:val="20"/>
                <w:szCs w:val="24"/>
                <w:lang w:eastAsia="lv-LV"/>
              </w:rPr>
              <w:t>0</w:t>
            </w:r>
          </w:p>
        </w:tc>
        <w:tc>
          <w:tcPr>
            <w:tcW w:w="993" w:type="dxa"/>
          </w:tcPr>
          <w:p w14:paraId="4066EFF4" w14:textId="77777777" w:rsidR="00F05D71" w:rsidRPr="005851C0" w:rsidRDefault="00F05D71" w:rsidP="00ED0B96">
            <w:pPr>
              <w:jc w:val="center"/>
              <w:rPr>
                <w:rFonts w:eastAsia="Times New Roman" w:cs="Times New Roman"/>
                <w:iCs/>
                <w:sz w:val="20"/>
                <w:szCs w:val="24"/>
                <w:lang w:eastAsia="lv-LV"/>
              </w:rPr>
            </w:pPr>
            <w:r w:rsidRPr="005851C0">
              <w:rPr>
                <w:rFonts w:eastAsia="Times New Roman" w:cs="Times New Roman"/>
                <w:iCs/>
                <w:sz w:val="20"/>
                <w:szCs w:val="24"/>
                <w:lang w:eastAsia="lv-LV"/>
              </w:rPr>
              <w:t>0</w:t>
            </w:r>
          </w:p>
        </w:tc>
        <w:tc>
          <w:tcPr>
            <w:tcW w:w="1275" w:type="dxa"/>
          </w:tcPr>
          <w:p w14:paraId="481028B9" w14:textId="77777777" w:rsidR="00F05D71" w:rsidRPr="005851C0" w:rsidRDefault="00F05D71" w:rsidP="00ED0B96">
            <w:pPr>
              <w:jc w:val="center"/>
              <w:rPr>
                <w:rFonts w:eastAsia="Times New Roman" w:cs="Times New Roman"/>
                <w:iCs/>
                <w:sz w:val="20"/>
                <w:szCs w:val="24"/>
                <w:lang w:eastAsia="lv-LV"/>
              </w:rPr>
            </w:pPr>
            <w:r w:rsidRPr="005851C0">
              <w:rPr>
                <w:rFonts w:eastAsia="Times New Roman" w:cs="Times New Roman"/>
                <w:iCs/>
                <w:sz w:val="20"/>
                <w:szCs w:val="24"/>
                <w:lang w:eastAsia="lv-LV"/>
              </w:rPr>
              <w:t>0</w:t>
            </w:r>
          </w:p>
        </w:tc>
        <w:tc>
          <w:tcPr>
            <w:tcW w:w="993" w:type="dxa"/>
          </w:tcPr>
          <w:p w14:paraId="2EF72D2E" w14:textId="77777777" w:rsidR="00F05D71" w:rsidRPr="005851C0" w:rsidRDefault="00F05D71" w:rsidP="00ED0B96">
            <w:pPr>
              <w:jc w:val="center"/>
              <w:rPr>
                <w:rFonts w:eastAsia="Times New Roman" w:cs="Times New Roman"/>
                <w:iCs/>
                <w:sz w:val="20"/>
                <w:szCs w:val="24"/>
                <w:lang w:eastAsia="lv-LV"/>
              </w:rPr>
            </w:pPr>
            <w:r w:rsidRPr="005851C0">
              <w:rPr>
                <w:rFonts w:eastAsia="Times New Roman" w:cs="Times New Roman"/>
                <w:iCs/>
                <w:sz w:val="20"/>
                <w:szCs w:val="24"/>
                <w:lang w:eastAsia="lv-LV"/>
              </w:rPr>
              <w:t>0</w:t>
            </w:r>
          </w:p>
        </w:tc>
        <w:tc>
          <w:tcPr>
            <w:tcW w:w="1008" w:type="dxa"/>
          </w:tcPr>
          <w:p w14:paraId="5B8D0DBC" w14:textId="77777777" w:rsidR="00F05D71" w:rsidRPr="005851C0" w:rsidRDefault="00F05D71" w:rsidP="00ED0B96">
            <w:pPr>
              <w:jc w:val="center"/>
              <w:rPr>
                <w:rFonts w:eastAsia="Times New Roman" w:cs="Times New Roman"/>
                <w:iCs/>
                <w:sz w:val="20"/>
                <w:szCs w:val="24"/>
                <w:lang w:eastAsia="lv-LV"/>
              </w:rPr>
            </w:pPr>
            <w:r w:rsidRPr="005851C0">
              <w:rPr>
                <w:rFonts w:eastAsia="Times New Roman" w:cs="Times New Roman"/>
                <w:iCs/>
                <w:sz w:val="20"/>
                <w:szCs w:val="24"/>
                <w:lang w:eastAsia="lv-LV"/>
              </w:rPr>
              <w:t>0</w:t>
            </w:r>
          </w:p>
        </w:tc>
      </w:tr>
      <w:tr w:rsidR="002B5F64" w:rsidRPr="005851C0" w14:paraId="14E6DF46" w14:textId="77777777" w:rsidTr="00F05D71">
        <w:trPr>
          <w:trHeight w:val="520"/>
        </w:trPr>
        <w:tc>
          <w:tcPr>
            <w:tcW w:w="1699" w:type="dxa"/>
            <w:hideMark/>
          </w:tcPr>
          <w:p w14:paraId="4729F3E7" w14:textId="77777777" w:rsidR="002B5F64" w:rsidRPr="005851C0" w:rsidRDefault="002B5F64" w:rsidP="002B5F64">
            <w:pPr>
              <w:rPr>
                <w:rFonts w:eastAsia="Times New Roman" w:cs="Times New Roman"/>
                <w:iCs/>
                <w:sz w:val="24"/>
                <w:szCs w:val="24"/>
                <w:lang w:eastAsia="lv-LV"/>
              </w:rPr>
            </w:pPr>
            <w:r w:rsidRPr="005851C0">
              <w:rPr>
                <w:rFonts w:eastAsia="Times New Roman" w:cs="Times New Roman"/>
                <w:iCs/>
                <w:sz w:val="24"/>
                <w:szCs w:val="24"/>
                <w:lang w:eastAsia="lv-LV"/>
              </w:rPr>
              <w:t>2.1. valsts pamatbudžets</w:t>
            </w:r>
          </w:p>
        </w:tc>
        <w:tc>
          <w:tcPr>
            <w:tcW w:w="1273" w:type="dxa"/>
          </w:tcPr>
          <w:p w14:paraId="2F7ECECB" w14:textId="24B987F4" w:rsidR="002B5F64" w:rsidRPr="005851C0" w:rsidRDefault="002B5F64" w:rsidP="002B5F64">
            <w:pPr>
              <w:jc w:val="center"/>
              <w:rPr>
                <w:rFonts w:eastAsia="Times New Roman" w:cs="Times New Roman"/>
                <w:iCs/>
                <w:sz w:val="20"/>
                <w:szCs w:val="24"/>
                <w:lang w:eastAsia="lv-LV"/>
              </w:rPr>
            </w:pPr>
            <w:r w:rsidRPr="005851C0">
              <w:rPr>
                <w:rFonts w:eastAsia="Times New Roman" w:cs="Times New Roman"/>
                <w:iCs/>
                <w:sz w:val="20"/>
                <w:szCs w:val="24"/>
                <w:lang w:eastAsia="lv-LV"/>
              </w:rPr>
              <w:t>0</w:t>
            </w:r>
          </w:p>
        </w:tc>
        <w:tc>
          <w:tcPr>
            <w:tcW w:w="851" w:type="dxa"/>
          </w:tcPr>
          <w:p w14:paraId="2ED00E79" w14:textId="70DDD74D" w:rsidR="002B5F64" w:rsidRPr="005851C0" w:rsidRDefault="00A94CC3" w:rsidP="002B5F64">
            <w:pPr>
              <w:jc w:val="center"/>
              <w:rPr>
                <w:rFonts w:eastAsia="Times New Roman" w:cs="Times New Roman"/>
                <w:iCs/>
                <w:sz w:val="20"/>
                <w:szCs w:val="24"/>
                <w:lang w:eastAsia="lv-LV"/>
              </w:rPr>
            </w:pPr>
            <w:r>
              <w:rPr>
                <w:rFonts w:eastAsia="Times New Roman" w:cs="Times New Roman"/>
                <w:iCs/>
                <w:sz w:val="20"/>
                <w:szCs w:val="24"/>
                <w:lang w:eastAsia="lv-LV"/>
              </w:rPr>
              <w:t>73 332</w:t>
            </w:r>
          </w:p>
        </w:tc>
        <w:tc>
          <w:tcPr>
            <w:tcW w:w="1275" w:type="dxa"/>
          </w:tcPr>
          <w:p w14:paraId="7EC811CB" w14:textId="5514472C" w:rsidR="002B5F64" w:rsidRPr="005851C0" w:rsidRDefault="002B5F64" w:rsidP="002B5F64">
            <w:pPr>
              <w:jc w:val="center"/>
              <w:rPr>
                <w:rFonts w:eastAsia="Times New Roman" w:cs="Times New Roman"/>
                <w:iCs/>
                <w:sz w:val="20"/>
                <w:szCs w:val="24"/>
                <w:lang w:eastAsia="lv-LV"/>
              </w:rPr>
            </w:pPr>
            <w:r w:rsidRPr="005851C0">
              <w:rPr>
                <w:rFonts w:eastAsia="Times New Roman" w:cs="Times New Roman"/>
                <w:iCs/>
                <w:sz w:val="20"/>
                <w:szCs w:val="24"/>
                <w:lang w:eastAsia="lv-LV"/>
              </w:rPr>
              <w:t>0</w:t>
            </w:r>
          </w:p>
        </w:tc>
        <w:tc>
          <w:tcPr>
            <w:tcW w:w="993" w:type="dxa"/>
          </w:tcPr>
          <w:p w14:paraId="5C5F90C8" w14:textId="05FB5567" w:rsidR="002B5F64" w:rsidRPr="005851C0" w:rsidRDefault="002B5F64" w:rsidP="002B5F64">
            <w:pPr>
              <w:jc w:val="center"/>
              <w:rPr>
                <w:rFonts w:eastAsia="Times New Roman" w:cs="Times New Roman"/>
                <w:iCs/>
                <w:sz w:val="20"/>
                <w:szCs w:val="24"/>
                <w:lang w:eastAsia="lv-LV"/>
              </w:rPr>
            </w:pPr>
            <w:r w:rsidRPr="005851C0">
              <w:rPr>
                <w:rFonts w:eastAsia="Times New Roman" w:cs="Times New Roman"/>
                <w:iCs/>
                <w:sz w:val="20"/>
                <w:szCs w:val="24"/>
                <w:lang w:eastAsia="lv-LV"/>
              </w:rPr>
              <w:t>0</w:t>
            </w:r>
          </w:p>
        </w:tc>
        <w:tc>
          <w:tcPr>
            <w:tcW w:w="1275" w:type="dxa"/>
          </w:tcPr>
          <w:p w14:paraId="59422232" w14:textId="160811E8" w:rsidR="002B5F64" w:rsidRPr="005851C0" w:rsidRDefault="002B5F64" w:rsidP="002B5F64">
            <w:pPr>
              <w:jc w:val="center"/>
              <w:rPr>
                <w:rFonts w:eastAsia="Times New Roman" w:cs="Times New Roman"/>
                <w:iCs/>
                <w:sz w:val="20"/>
                <w:szCs w:val="24"/>
                <w:lang w:eastAsia="lv-LV"/>
              </w:rPr>
            </w:pPr>
            <w:r w:rsidRPr="005851C0">
              <w:rPr>
                <w:rFonts w:eastAsia="Times New Roman" w:cs="Times New Roman"/>
                <w:iCs/>
                <w:sz w:val="20"/>
                <w:szCs w:val="24"/>
                <w:lang w:eastAsia="lv-LV"/>
              </w:rPr>
              <w:t>0</w:t>
            </w:r>
          </w:p>
        </w:tc>
        <w:tc>
          <w:tcPr>
            <w:tcW w:w="993" w:type="dxa"/>
          </w:tcPr>
          <w:p w14:paraId="5926B453" w14:textId="4EA3C1AE" w:rsidR="002B5F64" w:rsidRPr="005851C0" w:rsidRDefault="002B5F64" w:rsidP="002B5F64">
            <w:pPr>
              <w:jc w:val="center"/>
              <w:rPr>
                <w:rFonts w:eastAsia="Times New Roman" w:cs="Times New Roman"/>
                <w:iCs/>
                <w:sz w:val="20"/>
                <w:szCs w:val="24"/>
                <w:lang w:eastAsia="lv-LV"/>
              </w:rPr>
            </w:pPr>
            <w:r w:rsidRPr="005851C0">
              <w:rPr>
                <w:rFonts w:eastAsia="Times New Roman" w:cs="Times New Roman"/>
                <w:iCs/>
                <w:sz w:val="20"/>
                <w:szCs w:val="24"/>
                <w:lang w:eastAsia="lv-LV"/>
              </w:rPr>
              <w:t>0</w:t>
            </w:r>
          </w:p>
        </w:tc>
        <w:tc>
          <w:tcPr>
            <w:tcW w:w="1008" w:type="dxa"/>
          </w:tcPr>
          <w:p w14:paraId="3CE0BE07" w14:textId="7B4A063A" w:rsidR="002B5F64" w:rsidRPr="005851C0" w:rsidRDefault="002B5F64" w:rsidP="002B5F64">
            <w:pPr>
              <w:jc w:val="center"/>
              <w:rPr>
                <w:rFonts w:eastAsia="Times New Roman" w:cs="Times New Roman"/>
                <w:iCs/>
                <w:sz w:val="20"/>
                <w:szCs w:val="24"/>
                <w:lang w:eastAsia="lv-LV"/>
              </w:rPr>
            </w:pPr>
            <w:r w:rsidRPr="005851C0">
              <w:rPr>
                <w:rFonts w:eastAsia="Times New Roman" w:cs="Times New Roman"/>
                <w:iCs/>
                <w:sz w:val="20"/>
                <w:szCs w:val="24"/>
                <w:lang w:eastAsia="lv-LV"/>
              </w:rPr>
              <w:t>0</w:t>
            </w:r>
          </w:p>
        </w:tc>
      </w:tr>
      <w:tr w:rsidR="002B5F64" w:rsidRPr="005851C0" w14:paraId="3924F9EB" w14:textId="77777777" w:rsidTr="00F05D71">
        <w:trPr>
          <w:trHeight w:val="520"/>
        </w:trPr>
        <w:tc>
          <w:tcPr>
            <w:tcW w:w="1699" w:type="dxa"/>
            <w:hideMark/>
          </w:tcPr>
          <w:p w14:paraId="781033E7" w14:textId="77777777" w:rsidR="002B5F64" w:rsidRPr="005851C0" w:rsidRDefault="002B5F64" w:rsidP="002B5F64">
            <w:pPr>
              <w:rPr>
                <w:rFonts w:eastAsia="Times New Roman" w:cs="Times New Roman"/>
                <w:iCs/>
                <w:sz w:val="24"/>
                <w:szCs w:val="24"/>
                <w:lang w:eastAsia="lv-LV"/>
              </w:rPr>
            </w:pPr>
            <w:r w:rsidRPr="005851C0">
              <w:rPr>
                <w:rFonts w:eastAsia="Times New Roman" w:cs="Times New Roman"/>
                <w:iCs/>
                <w:sz w:val="24"/>
                <w:szCs w:val="24"/>
                <w:lang w:eastAsia="lv-LV"/>
              </w:rPr>
              <w:t>2.2. valsts speciālais budžets</w:t>
            </w:r>
          </w:p>
        </w:tc>
        <w:tc>
          <w:tcPr>
            <w:tcW w:w="1273" w:type="dxa"/>
          </w:tcPr>
          <w:p w14:paraId="20A41CF5" w14:textId="6A8965B7" w:rsidR="002B5F64" w:rsidRPr="005851C0" w:rsidRDefault="002B5F64" w:rsidP="002B5F64">
            <w:pPr>
              <w:jc w:val="center"/>
              <w:rPr>
                <w:rFonts w:eastAsia="Times New Roman" w:cs="Times New Roman"/>
                <w:iCs/>
                <w:sz w:val="20"/>
                <w:szCs w:val="24"/>
                <w:lang w:eastAsia="lv-LV"/>
              </w:rPr>
            </w:pPr>
            <w:r w:rsidRPr="005851C0">
              <w:rPr>
                <w:rFonts w:eastAsia="Times New Roman" w:cs="Times New Roman"/>
                <w:iCs/>
                <w:sz w:val="20"/>
                <w:szCs w:val="24"/>
                <w:lang w:eastAsia="lv-LV"/>
              </w:rPr>
              <w:t>0</w:t>
            </w:r>
          </w:p>
        </w:tc>
        <w:tc>
          <w:tcPr>
            <w:tcW w:w="851" w:type="dxa"/>
          </w:tcPr>
          <w:p w14:paraId="52F7962E" w14:textId="341004A8" w:rsidR="002B5F64" w:rsidRPr="005851C0" w:rsidRDefault="002B5F64" w:rsidP="002B5F64">
            <w:pPr>
              <w:jc w:val="center"/>
              <w:rPr>
                <w:rFonts w:eastAsia="Times New Roman" w:cs="Times New Roman"/>
                <w:iCs/>
                <w:sz w:val="20"/>
                <w:szCs w:val="24"/>
                <w:lang w:eastAsia="lv-LV"/>
              </w:rPr>
            </w:pPr>
            <w:r w:rsidRPr="005851C0">
              <w:rPr>
                <w:rFonts w:eastAsia="Times New Roman" w:cs="Times New Roman"/>
                <w:iCs/>
                <w:sz w:val="20"/>
                <w:szCs w:val="24"/>
                <w:lang w:eastAsia="lv-LV"/>
              </w:rPr>
              <w:t>0</w:t>
            </w:r>
          </w:p>
        </w:tc>
        <w:tc>
          <w:tcPr>
            <w:tcW w:w="1275" w:type="dxa"/>
          </w:tcPr>
          <w:p w14:paraId="7F493EDF" w14:textId="658F7F70" w:rsidR="002B5F64" w:rsidRPr="005851C0" w:rsidRDefault="002B5F64" w:rsidP="002B5F64">
            <w:pPr>
              <w:jc w:val="center"/>
              <w:rPr>
                <w:rFonts w:eastAsia="Times New Roman" w:cs="Times New Roman"/>
                <w:iCs/>
                <w:sz w:val="20"/>
                <w:szCs w:val="24"/>
                <w:lang w:eastAsia="lv-LV"/>
              </w:rPr>
            </w:pPr>
            <w:r w:rsidRPr="005851C0">
              <w:rPr>
                <w:rFonts w:eastAsia="Times New Roman" w:cs="Times New Roman"/>
                <w:iCs/>
                <w:sz w:val="20"/>
                <w:szCs w:val="24"/>
                <w:lang w:eastAsia="lv-LV"/>
              </w:rPr>
              <w:t>0</w:t>
            </w:r>
          </w:p>
        </w:tc>
        <w:tc>
          <w:tcPr>
            <w:tcW w:w="993" w:type="dxa"/>
          </w:tcPr>
          <w:p w14:paraId="37FDDAE3" w14:textId="4D18E6CB" w:rsidR="002B5F64" w:rsidRPr="005851C0" w:rsidRDefault="002B5F64" w:rsidP="002B5F64">
            <w:pPr>
              <w:jc w:val="center"/>
              <w:rPr>
                <w:rFonts w:eastAsia="Times New Roman" w:cs="Times New Roman"/>
                <w:iCs/>
                <w:sz w:val="20"/>
                <w:szCs w:val="24"/>
                <w:lang w:eastAsia="lv-LV"/>
              </w:rPr>
            </w:pPr>
            <w:r w:rsidRPr="005851C0">
              <w:rPr>
                <w:rFonts w:eastAsia="Times New Roman" w:cs="Times New Roman"/>
                <w:iCs/>
                <w:sz w:val="20"/>
                <w:szCs w:val="24"/>
                <w:lang w:eastAsia="lv-LV"/>
              </w:rPr>
              <w:t>0</w:t>
            </w:r>
          </w:p>
        </w:tc>
        <w:tc>
          <w:tcPr>
            <w:tcW w:w="1275" w:type="dxa"/>
          </w:tcPr>
          <w:p w14:paraId="20C30345" w14:textId="4F5AE44B" w:rsidR="002B5F64" w:rsidRPr="005851C0" w:rsidRDefault="002B5F64" w:rsidP="002B5F64">
            <w:pPr>
              <w:jc w:val="center"/>
              <w:rPr>
                <w:rFonts w:eastAsia="Times New Roman" w:cs="Times New Roman"/>
                <w:iCs/>
                <w:sz w:val="20"/>
                <w:szCs w:val="24"/>
                <w:lang w:eastAsia="lv-LV"/>
              </w:rPr>
            </w:pPr>
            <w:r w:rsidRPr="005851C0">
              <w:rPr>
                <w:rFonts w:eastAsia="Times New Roman" w:cs="Times New Roman"/>
                <w:iCs/>
                <w:sz w:val="20"/>
                <w:szCs w:val="24"/>
                <w:lang w:eastAsia="lv-LV"/>
              </w:rPr>
              <w:t>0</w:t>
            </w:r>
          </w:p>
        </w:tc>
        <w:tc>
          <w:tcPr>
            <w:tcW w:w="993" w:type="dxa"/>
          </w:tcPr>
          <w:p w14:paraId="74612882" w14:textId="6CF4F652" w:rsidR="002B5F64" w:rsidRPr="005851C0" w:rsidRDefault="002B5F64" w:rsidP="002B5F64">
            <w:pPr>
              <w:jc w:val="center"/>
              <w:rPr>
                <w:rFonts w:eastAsia="Times New Roman" w:cs="Times New Roman"/>
                <w:iCs/>
                <w:sz w:val="20"/>
                <w:szCs w:val="24"/>
                <w:lang w:eastAsia="lv-LV"/>
              </w:rPr>
            </w:pPr>
            <w:r w:rsidRPr="005851C0">
              <w:rPr>
                <w:rFonts w:eastAsia="Times New Roman" w:cs="Times New Roman"/>
                <w:iCs/>
                <w:sz w:val="20"/>
                <w:szCs w:val="24"/>
                <w:lang w:eastAsia="lv-LV"/>
              </w:rPr>
              <w:t>0</w:t>
            </w:r>
          </w:p>
        </w:tc>
        <w:tc>
          <w:tcPr>
            <w:tcW w:w="1008" w:type="dxa"/>
          </w:tcPr>
          <w:p w14:paraId="4E5BF724" w14:textId="0C9AA945" w:rsidR="002B5F64" w:rsidRPr="005851C0" w:rsidRDefault="002B5F64" w:rsidP="002B5F64">
            <w:pPr>
              <w:jc w:val="center"/>
              <w:rPr>
                <w:rFonts w:eastAsia="Times New Roman" w:cs="Times New Roman"/>
                <w:iCs/>
                <w:sz w:val="20"/>
                <w:szCs w:val="24"/>
                <w:lang w:eastAsia="lv-LV"/>
              </w:rPr>
            </w:pPr>
            <w:r w:rsidRPr="005851C0">
              <w:rPr>
                <w:rFonts w:eastAsia="Times New Roman" w:cs="Times New Roman"/>
                <w:iCs/>
                <w:sz w:val="20"/>
                <w:szCs w:val="24"/>
                <w:lang w:eastAsia="lv-LV"/>
              </w:rPr>
              <w:t>0</w:t>
            </w:r>
          </w:p>
        </w:tc>
      </w:tr>
      <w:tr w:rsidR="002B5F64" w:rsidRPr="005851C0" w14:paraId="782F4E4F" w14:textId="77777777" w:rsidTr="00F05D71">
        <w:trPr>
          <w:trHeight w:val="520"/>
        </w:trPr>
        <w:tc>
          <w:tcPr>
            <w:tcW w:w="1699" w:type="dxa"/>
            <w:hideMark/>
          </w:tcPr>
          <w:p w14:paraId="5A947E0B" w14:textId="77777777" w:rsidR="002B5F64" w:rsidRPr="005851C0" w:rsidRDefault="002B5F64" w:rsidP="002B5F64">
            <w:pPr>
              <w:rPr>
                <w:rFonts w:eastAsia="Times New Roman" w:cs="Times New Roman"/>
                <w:iCs/>
                <w:sz w:val="24"/>
                <w:szCs w:val="24"/>
                <w:lang w:eastAsia="lv-LV"/>
              </w:rPr>
            </w:pPr>
            <w:r w:rsidRPr="005851C0">
              <w:rPr>
                <w:rFonts w:eastAsia="Times New Roman" w:cs="Times New Roman"/>
                <w:iCs/>
                <w:sz w:val="24"/>
                <w:szCs w:val="24"/>
                <w:lang w:eastAsia="lv-LV"/>
              </w:rPr>
              <w:t>2.3. pašvaldību budžets</w:t>
            </w:r>
          </w:p>
        </w:tc>
        <w:tc>
          <w:tcPr>
            <w:tcW w:w="1273" w:type="dxa"/>
          </w:tcPr>
          <w:p w14:paraId="0DB44564" w14:textId="37378267" w:rsidR="002B5F64" w:rsidRPr="005851C0" w:rsidRDefault="002B5F64" w:rsidP="002B5F64">
            <w:pPr>
              <w:jc w:val="center"/>
              <w:rPr>
                <w:rFonts w:eastAsia="Times New Roman" w:cs="Times New Roman"/>
                <w:iCs/>
                <w:sz w:val="20"/>
                <w:szCs w:val="24"/>
                <w:lang w:eastAsia="lv-LV"/>
              </w:rPr>
            </w:pPr>
            <w:r w:rsidRPr="005851C0">
              <w:rPr>
                <w:rFonts w:eastAsia="Times New Roman" w:cs="Times New Roman"/>
                <w:iCs/>
                <w:sz w:val="20"/>
                <w:szCs w:val="24"/>
                <w:lang w:eastAsia="lv-LV"/>
              </w:rPr>
              <w:t>0</w:t>
            </w:r>
          </w:p>
        </w:tc>
        <w:tc>
          <w:tcPr>
            <w:tcW w:w="851" w:type="dxa"/>
          </w:tcPr>
          <w:p w14:paraId="57D6B530" w14:textId="67927BC3" w:rsidR="002B5F64" w:rsidRPr="005851C0" w:rsidRDefault="002B5F64" w:rsidP="002B5F64">
            <w:pPr>
              <w:jc w:val="center"/>
              <w:rPr>
                <w:rFonts w:eastAsia="Times New Roman" w:cs="Times New Roman"/>
                <w:iCs/>
                <w:sz w:val="20"/>
                <w:szCs w:val="24"/>
                <w:lang w:eastAsia="lv-LV"/>
              </w:rPr>
            </w:pPr>
            <w:r w:rsidRPr="005851C0">
              <w:rPr>
                <w:rFonts w:eastAsia="Times New Roman" w:cs="Times New Roman"/>
                <w:iCs/>
                <w:sz w:val="20"/>
                <w:szCs w:val="24"/>
                <w:lang w:eastAsia="lv-LV"/>
              </w:rPr>
              <w:t>0</w:t>
            </w:r>
          </w:p>
        </w:tc>
        <w:tc>
          <w:tcPr>
            <w:tcW w:w="1275" w:type="dxa"/>
          </w:tcPr>
          <w:p w14:paraId="62F1E48D" w14:textId="79A2D994" w:rsidR="002B5F64" w:rsidRPr="005851C0" w:rsidRDefault="002B5F64" w:rsidP="002B5F64">
            <w:pPr>
              <w:jc w:val="center"/>
              <w:rPr>
                <w:rFonts w:eastAsia="Times New Roman" w:cs="Times New Roman"/>
                <w:iCs/>
                <w:sz w:val="20"/>
                <w:szCs w:val="24"/>
                <w:lang w:eastAsia="lv-LV"/>
              </w:rPr>
            </w:pPr>
            <w:r w:rsidRPr="005851C0">
              <w:rPr>
                <w:rFonts w:eastAsia="Times New Roman" w:cs="Times New Roman"/>
                <w:iCs/>
                <w:sz w:val="20"/>
                <w:szCs w:val="24"/>
                <w:lang w:eastAsia="lv-LV"/>
              </w:rPr>
              <w:t>0</w:t>
            </w:r>
          </w:p>
        </w:tc>
        <w:tc>
          <w:tcPr>
            <w:tcW w:w="993" w:type="dxa"/>
          </w:tcPr>
          <w:p w14:paraId="74D9E78F" w14:textId="7781F8A0" w:rsidR="002B5F64" w:rsidRPr="005851C0" w:rsidRDefault="002B5F64" w:rsidP="002B5F64">
            <w:pPr>
              <w:jc w:val="center"/>
              <w:rPr>
                <w:rFonts w:eastAsia="Times New Roman" w:cs="Times New Roman"/>
                <w:iCs/>
                <w:sz w:val="20"/>
                <w:szCs w:val="24"/>
                <w:lang w:eastAsia="lv-LV"/>
              </w:rPr>
            </w:pPr>
            <w:r w:rsidRPr="005851C0">
              <w:rPr>
                <w:rFonts w:eastAsia="Times New Roman" w:cs="Times New Roman"/>
                <w:iCs/>
                <w:sz w:val="20"/>
                <w:szCs w:val="24"/>
                <w:lang w:eastAsia="lv-LV"/>
              </w:rPr>
              <w:t>0</w:t>
            </w:r>
          </w:p>
        </w:tc>
        <w:tc>
          <w:tcPr>
            <w:tcW w:w="1275" w:type="dxa"/>
          </w:tcPr>
          <w:p w14:paraId="66956031" w14:textId="502C07B0" w:rsidR="002B5F64" w:rsidRPr="005851C0" w:rsidRDefault="002B5F64" w:rsidP="002B5F64">
            <w:pPr>
              <w:jc w:val="center"/>
              <w:rPr>
                <w:rFonts w:eastAsia="Times New Roman" w:cs="Times New Roman"/>
                <w:iCs/>
                <w:sz w:val="20"/>
                <w:szCs w:val="24"/>
                <w:lang w:eastAsia="lv-LV"/>
              </w:rPr>
            </w:pPr>
            <w:r w:rsidRPr="005851C0">
              <w:rPr>
                <w:rFonts w:eastAsia="Times New Roman" w:cs="Times New Roman"/>
                <w:iCs/>
                <w:sz w:val="20"/>
                <w:szCs w:val="24"/>
                <w:lang w:eastAsia="lv-LV"/>
              </w:rPr>
              <w:t>0</w:t>
            </w:r>
          </w:p>
        </w:tc>
        <w:tc>
          <w:tcPr>
            <w:tcW w:w="993" w:type="dxa"/>
          </w:tcPr>
          <w:p w14:paraId="0B9832C3" w14:textId="442FC4A0" w:rsidR="002B5F64" w:rsidRPr="005851C0" w:rsidRDefault="002B5F64" w:rsidP="002B5F64">
            <w:pPr>
              <w:jc w:val="center"/>
              <w:rPr>
                <w:rFonts w:eastAsia="Times New Roman" w:cs="Times New Roman"/>
                <w:iCs/>
                <w:sz w:val="20"/>
                <w:szCs w:val="24"/>
                <w:lang w:eastAsia="lv-LV"/>
              </w:rPr>
            </w:pPr>
            <w:r w:rsidRPr="005851C0">
              <w:rPr>
                <w:rFonts w:eastAsia="Times New Roman" w:cs="Times New Roman"/>
                <w:iCs/>
                <w:sz w:val="20"/>
                <w:szCs w:val="24"/>
                <w:lang w:eastAsia="lv-LV"/>
              </w:rPr>
              <w:t>0</w:t>
            </w:r>
          </w:p>
        </w:tc>
        <w:tc>
          <w:tcPr>
            <w:tcW w:w="1008" w:type="dxa"/>
          </w:tcPr>
          <w:p w14:paraId="68E01916" w14:textId="77971838" w:rsidR="002B5F64" w:rsidRPr="005851C0" w:rsidRDefault="002B5F64" w:rsidP="002B5F64">
            <w:pPr>
              <w:jc w:val="center"/>
              <w:rPr>
                <w:rFonts w:eastAsia="Times New Roman" w:cs="Times New Roman"/>
                <w:iCs/>
                <w:sz w:val="20"/>
                <w:szCs w:val="24"/>
                <w:lang w:eastAsia="lv-LV"/>
              </w:rPr>
            </w:pPr>
            <w:r w:rsidRPr="005851C0">
              <w:rPr>
                <w:rFonts w:eastAsia="Times New Roman" w:cs="Times New Roman"/>
                <w:iCs/>
                <w:sz w:val="20"/>
                <w:szCs w:val="24"/>
                <w:lang w:eastAsia="lv-LV"/>
              </w:rPr>
              <w:t>0</w:t>
            </w:r>
          </w:p>
        </w:tc>
      </w:tr>
      <w:tr w:rsidR="00F05D71" w:rsidRPr="005851C0" w14:paraId="6BA4F605" w14:textId="77777777" w:rsidTr="00F05D71">
        <w:trPr>
          <w:trHeight w:val="520"/>
        </w:trPr>
        <w:tc>
          <w:tcPr>
            <w:tcW w:w="1699" w:type="dxa"/>
            <w:hideMark/>
          </w:tcPr>
          <w:p w14:paraId="49DC2D6D" w14:textId="77777777" w:rsidR="00F05D71" w:rsidRPr="005851C0" w:rsidRDefault="00F05D71" w:rsidP="00ED0B96">
            <w:pPr>
              <w:rPr>
                <w:rFonts w:eastAsia="Times New Roman" w:cs="Times New Roman"/>
                <w:iCs/>
                <w:sz w:val="24"/>
                <w:szCs w:val="24"/>
                <w:lang w:eastAsia="lv-LV"/>
              </w:rPr>
            </w:pPr>
            <w:r w:rsidRPr="005851C0">
              <w:rPr>
                <w:rFonts w:eastAsia="Times New Roman" w:cs="Times New Roman"/>
                <w:iCs/>
                <w:sz w:val="24"/>
                <w:szCs w:val="24"/>
                <w:lang w:eastAsia="lv-LV"/>
              </w:rPr>
              <w:t>3. Finansiālā ietekme</w:t>
            </w:r>
          </w:p>
        </w:tc>
        <w:tc>
          <w:tcPr>
            <w:tcW w:w="1273" w:type="dxa"/>
          </w:tcPr>
          <w:p w14:paraId="1EC78AD6" w14:textId="77777777" w:rsidR="00F05D71" w:rsidRPr="005851C0" w:rsidRDefault="00F05D71" w:rsidP="00ED0B96">
            <w:pPr>
              <w:jc w:val="center"/>
              <w:rPr>
                <w:rFonts w:eastAsia="Times New Roman" w:cs="Times New Roman"/>
                <w:iCs/>
                <w:sz w:val="20"/>
                <w:szCs w:val="24"/>
                <w:lang w:eastAsia="lv-LV"/>
              </w:rPr>
            </w:pPr>
            <w:r w:rsidRPr="005851C0">
              <w:rPr>
                <w:rFonts w:eastAsia="Times New Roman" w:cs="Times New Roman"/>
                <w:iCs/>
                <w:sz w:val="20"/>
                <w:szCs w:val="24"/>
                <w:lang w:eastAsia="lv-LV"/>
              </w:rPr>
              <w:t>0</w:t>
            </w:r>
          </w:p>
        </w:tc>
        <w:tc>
          <w:tcPr>
            <w:tcW w:w="851" w:type="dxa"/>
          </w:tcPr>
          <w:p w14:paraId="6825FE38" w14:textId="0A85A3AA" w:rsidR="00F05D71" w:rsidRPr="005851C0" w:rsidRDefault="00A94CC3" w:rsidP="00ED0B96">
            <w:pPr>
              <w:jc w:val="center"/>
              <w:rPr>
                <w:rFonts w:eastAsia="Times New Roman" w:cs="Times New Roman"/>
                <w:iCs/>
                <w:sz w:val="20"/>
                <w:szCs w:val="24"/>
                <w:lang w:eastAsia="lv-LV"/>
              </w:rPr>
            </w:pPr>
            <w:r>
              <w:rPr>
                <w:rFonts w:eastAsia="Times New Roman" w:cs="Times New Roman"/>
                <w:iCs/>
                <w:sz w:val="20"/>
                <w:szCs w:val="24"/>
                <w:lang w:eastAsia="lv-LV"/>
              </w:rPr>
              <w:t>-73 332</w:t>
            </w:r>
          </w:p>
        </w:tc>
        <w:tc>
          <w:tcPr>
            <w:tcW w:w="1275" w:type="dxa"/>
          </w:tcPr>
          <w:p w14:paraId="14969951" w14:textId="77777777" w:rsidR="00F05D71" w:rsidRPr="005851C0" w:rsidRDefault="00F05D71" w:rsidP="00ED0B96">
            <w:pPr>
              <w:jc w:val="center"/>
              <w:rPr>
                <w:rFonts w:eastAsia="Times New Roman" w:cs="Times New Roman"/>
                <w:iCs/>
                <w:sz w:val="20"/>
                <w:szCs w:val="24"/>
                <w:lang w:eastAsia="lv-LV"/>
              </w:rPr>
            </w:pPr>
            <w:r w:rsidRPr="005851C0">
              <w:rPr>
                <w:rFonts w:eastAsia="Times New Roman" w:cs="Times New Roman"/>
                <w:iCs/>
                <w:sz w:val="20"/>
                <w:szCs w:val="24"/>
                <w:lang w:eastAsia="lv-LV"/>
              </w:rPr>
              <w:t>0</w:t>
            </w:r>
          </w:p>
        </w:tc>
        <w:tc>
          <w:tcPr>
            <w:tcW w:w="993" w:type="dxa"/>
          </w:tcPr>
          <w:p w14:paraId="70846C46" w14:textId="77777777" w:rsidR="00F05D71" w:rsidRPr="005851C0" w:rsidRDefault="00F05D71" w:rsidP="00ED0B96">
            <w:pPr>
              <w:jc w:val="center"/>
              <w:rPr>
                <w:rFonts w:eastAsia="Times New Roman" w:cs="Times New Roman"/>
                <w:iCs/>
                <w:sz w:val="20"/>
                <w:szCs w:val="24"/>
                <w:lang w:eastAsia="lv-LV"/>
              </w:rPr>
            </w:pPr>
            <w:r w:rsidRPr="005851C0">
              <w:rPr>
                <w:rFonts w:eastAsia="Times New Roman" w:cs="Times New Roman"/>
                <w:iCs/>
                <w:sz w:val="20"/>
                <w:szCs w:val="24"/>
                <w:lang w:eastAsia="lv-LV"/>
              </w:rPr>
              <w:t>0</w:t>
            </w:r>
          </w:p>
        </w:tc>
        <w:tc>
          <w:tcPr>
            <w:tcW w:w="1275" w:type="dxa"/>
          </w:tcPr>
          <w:p w14:paraId="233AADF2" w14:textId="77777777" w:rsidR="00F05D71" w:rsidRPr="005851C0" w:rsidRDefault="00F05D71" w:rsidP="00ED0B96">
            <w:pPr>
              <w:jc w:val="center"/>
              <w:rPr>
                <w:rFonts w:eastAsia="Times New Roman" w:cs="Times New Roman"/>
                <w:iCs/>
                <w:sz w:val="20"/>
                <w:szCs w:val="24"/>
                <w:lang w:eastAsia="lv-LV"/>
              </w:rPr>
            </w:pPr>
            <w:r w:rsidRPr="005851C0">
              <w:rPr>
                <w:rFonts w:eastAsia="Times New Roman" w:cs="Times New Roman"/>
                <w:iCs/>
                <w:sz w:val="20"/>
                <w:szCs w:val="24"/>
                <w:lang w:eastAsia="lv-LV"/>
              </w:rPr>
              <w:t>0</w:t>
            </w:r>
          </w:p>
        </w:tc>
        <w:tc>
          <w:tcPr>
            <w:tcW w:w="993" w:type="dxa"/>
          </w:tcPr>
          <w:p w14:paraId="1D2FE1C7" w14:textId="77777777" w:rsidR="00F05D71" w:rsidRPr="005851C0" w:rsidRDefault="00F05D71" w:rsidP="00ED0B96">
            <w:pPr>
              <w:jc w:val="center"/>
              <w:rPr>
                <w:rFonts w:eastAsia="Times New Roman" w:cs="Times New Roman"/>
                <w:iCs/>
                <w:sz w:val="20"/>
                <w:szCs w:val="24"/>
                <w:lang w:eastAsia="lv-LV"/>
              </w:rPr>
            </w:pPr>
            <w:r w:rsidRPr="005851C0">
              <w:rPr>
                <w:rFonts w:eastAsia="Times New Roman" w:cs="Times New Roman"/>
                <w:iCs/>
                <w:sz w:val="20"/>
                <w:szCs w:val="24"/>
                <w:lang w:eastAsia="lv-LV"/>
              </w:rPr>
              <w:t>0</w:t>
            </w:r>
          </w:p>
        </w:tc>
        <w:tc>
          <w:tcPr>
            <w:tcW w:w="1008" w:type="dxa"/>
          </w:tcPr>
          <w:p w14:paraId="50F53FFF" w14:textId="77777777" w:rsidR="00F05D71" w:rsidRPr="005851C0" w:rsidRDefault="00F05D71" w:rsidP="00F05D71">
            <w:pPr>
              <w:jc w:val="center"/>
              <w:rPr>
                <w:rFonts w:eastAsia="Times New Roman" w:cs="Times New Roman"/>
                <w:iCs/>
                <w:sz w:val="20"/>
                <w:szCs w:val="24"/>
                <w:lang w:eastAsia="lv-LV"/>
              </w:rPr>
            </w:pPr>
            <w:r w:rsidRPr="005851C0">
              <w:rPr>
                <w:rFonts w:eastAsia="Times New Roman" w:cs="Times New Roman"/>
                <w:iCs/>
                <w:sz w:val="20"/>
                <w:szCs w:val="24"/>
                <w:lang w:eastAsia="lv-LV"/>
              </w:rPr>
              <w:t>0</w:t>
            </w:r>
          </w:p>
        </w:tc>
      </w:tr>
      <w:tr w:rsidR="002B5F64" w:rsidRPr="005851C0" w14:paraId="2D28CF69" w14:textId="77777777" w:rsidTr="00F05D71">
        <w:trPr>
          <w:trHeight w:val="520"/>
        </w:trPr>
        <w:tc>
          <w:tcPr>
            <w:tcW w:w="1699" w:type="dxa"/>
            <w:hideMark/>
          </w:tcPr>
          <w:p w14:paraId="327F1C99" w14:textId="77777777" w:rsidR="002B5F64" w:rsidRPr="005851C0" w:rsidRDefault="002B5F64" w:rsidP="002B5F64">
            <w:pPr>
              <w:rPr>
                <w:rFonts w:eastAsia="Times New Roman" w:cs="Times New Roman"/>
                <w:iCs/>
                <w:sz w:val="24"/>
                <w:szCs w:val="24"/>
                <w:lang w:eastAsia="lv-LV"/>
              </w:rPr>
            </w:pPr>
            <w:r w:rsidRPr="005851C0">
              <w:rPr>
                <w:rFonts w:eastAsia="Times New Roman" w:cs="Times New Roman"/>
                <w:iCs/>
                <w:sz w:val="24"/>
                <w:szCs w:val="24"/>
                <w:lang w:eastAsia="lv-LV"/>
              </w:rPr>
              <w:t>3.1. valsts pamatbudžets</w:t>
            </w:r>
          </w:p>
        </w:tc>
        <w:tc>
          <w:tcPr>
            <w:tcW w:w="1273" w:type="dxa"/>
          </w:tcPr>
          <w:p w14:paraId="5178D9F2" w14:textId="4E77BACB" w:rsidR="002B5F64" w:rsidRPr="005851C0" w:rsidRDefault="002B5F64" w:rsidP="002B5F64">
            <w:pPr>
              <w:jc w:val="center"/>
              <w:rPr>
                <w:rFonts w:eastAsia="Times New Roman" w:cs="Times New Roman"/>
                <w:iCs/>
                <w:sz w:val="20"/>
                <w:szCs w:val="24"/>
                <w:lang w:eastAsia="lv-LV"/>
              </w:rPr>
            </w:pPr>
            <w:r w:rsidRPr="005851C0">
              <w:rPr>
                <w:rFonts w:eastAsia="Times New Roman" w:cs="Times New Roman"/>
                <w:iCs/>
                <w:sz w:val="20"/>
                <w:szCs w:val="24"/>
                <w:lang w:eastAsia="lv-LV"/>
              </w:rPr>
              <w:t>0</w:t>
            </w:r>
          </w:p>
        </w:tc>
        <w:tc>
          <w:tcPr>
            <w:tcW w:w="851" w:type="dxa"/>
          </w:tcPr>
          <w:p w14:paraId="244DF3E1" w14:textId="04EFE0CA" w:rsidR="002B5F64" w:rsidRPr="005851C0" w:rsidRDefault="00A94CC3" w:rsidP="002B5F64">
            <w:pPr>
              <w:jc w:val="center"/>
              <w:rPr>
                <w:rFonts w:eastAsia="Times New Roman" w:cs="Times New Roman"/>
                <w:iCs/>
                <w:sz w:val="20"/>
                <w:szCs w:val="24"/>
                <w:lang w:eastAsia="lv-LV"/>
              </w:rPr>
            </w:pPr>
            <w:r>
              <w:rPr>
                <w:rFonts w:eastAsia="Times New Roman" w:cs="Times New Roman"/>
                <w:iCs/>
                <w:sz w:val="20"/>
                <w:szCs w:val="24"/>
                <w:lang w:eastAsia="lv-LV"/>
              </w:rPr>
              <w:t>-73 332</w:t>
            </w:r>
          </w:p>
        </w:tc>
        <w:tc>
          <w:tcPr>
            <w:tcW w:w="1275" w:type="dxa"/>
          </w:tcPr>
          <w:p w14:paraId="5D91C5D8" w14:textId="2FD63FDA" w:rsidR="002B5F64" w:rsidRPr="005851C0" w:rsidRDefault="002B5F64" w:rsidP="002B5F64">
            <w:pPr>
              <w:jc w:val="center"/>
              <w:rPr>
                <w:rFonts w:eastAsia="Times New Roman" w:cs="Times New Roman"/>
                <w:iCs/>
                <w:sz w:val="20"/>
                <w:szCs w:val="24"/>
                <w:lang w:eastAsia="lv-LV"/>
              </w:rPr>
            </w:pPr>
            <w:r w:rsidRPr="005851C0">
              <w:rPr>
                <w:rFonts w:eastAsia="Times New Roman" w:cs="Times New Roman"/>
                <w:iCs/>
                <w:sz w:val="20"/>
                <w:szCs w:val="24"/>
                <w:lang w:eastAsia="lv-LV"/>
              </w:rPr>
              <w:t>0</w:t>
            </w:r>
          </w:p>
        </w:tc>
        <w:tc>
          <w:tcPr>
            <w:tcW w:w="993" w:type="dxa"/>
          </w:tcPr>
          <w:p w14:paraId="3C5FD7C5" w14:textId="495C4E69" w:rsidR="002B5F64" w:rsidRPr="005851C0" w:rsidRDefault="002B5F64" w:rsidP="002B5F64">
            <w:pPr>
              <w:jc w:val="center"/>
              <w:rPr>
                <w:rFonts w:eastAsia="Times New Roman" w:cs="Times New Roman"/>
                <w:iCs/>
                <w:sz w:val="20"/>
                <w:szCs w:val="24"/>
                <w:lang w:eastAsia="lv-LV"/>
              </w:rPr>
            </w:pPr>
            <w:r w:rsidRPr="005851C0">
              <w:rPr>
                <w:rFonts w:eastAsia="Times New Roman" w:cs="Times New Roman"/>
                <w:iCs/>
                <w:sz w:val="20"/>
                <w:szCs w:val="24"/>
                <w:lang w:eastAsia="lv-LV"/>
              </w:rPr>
              <w:t>0</w:t>
            </w:r>
          </w:p>
        </w:tc>
        <w:tc>
          <w:tcPr>
            <w:tcW w:w="1275" w:type="dxa"/>
          </w:tcPr>
          <w:p w14:paraId="43E57469" w14:textId="7538DF2B" w:rsidR="002B5F64" w:rsidRPr="005851C0" w:rsidRDefault="002B5F64" w:rsidP="002B5F64">
            <w:pPr>
              <w:jc w:val="center"/>
              <w:rPr>
                <w:rFonts w:eastAsia="Times New Roman" w:cs="Times New Roman"/>
                <w:iCs/>
                <w:sz w:val="20"/>
                <w:szCs w:val="24"/>
                <w:lang w:eastAsia="lv-LV"/>
              </w:rPr>
            </w:pPr>
            <w:r w:rsidRPr="005851C0">
              <w:rPr>
                <w:rFonts w:eastAsia="Times New Roman" w:cs="Times New Roman"/>
                <w:iCs/>
                <w:sz w:val="20"/>
                <w:szCs w:val="24"/>
                <w:lang w:eastAsia="lv-LV"/>
              </w:rPr>
              <w:t>0</w:t>
            </w:r>
          </w:p>
        </w:tc>
        <w:tc>
          <w:tcPr>
            <w:tcW w:w="993" w:type="dxa"/>
          </w:tcPr>
          <w:p w14:paraId="54AFC3CC" w14:textId="21D66A56" w:rsidR="002B5F64" w:rsidRPr="005851C0" w:rsidRDefault="002B5F64" w:rsidP="002B5F64">
            <w:pPr>
              <w:jc w:val="center"/>
              <w:rPr>
                <w:rFonts w:eastAsia="Times New Roman" w:cs="Times New Roman"/>
                <w:iCs/>
                <w:sz w:val="20"/>
                <w:szCs w:val="24"/>
                <w:lang w:eastAsia="lv-LV"/>
              </w:rPr>
            </w:pPr>
            <w:r w:rsidRPr="005851C0">
              <w:rPr>
                <w:rFonts w:eastAsia="Times New Roman" w:cs="Times New Roman"/>
                <w:iCs/>
                <w:sz w:val="20"/>
                <w:szCs w:val="24"/>
                <w:lang w:eastAsia="lv-LV"/>
              </w:rPr>
              <w:t>0</w:t>
            </w:r>
          </w:p>
        </w:tc>
        <w:tc>
          <w:tcPr>
            <w:tcW w:w="1008" w:type="dxa"/>
          </w:tcPr>
          <w:p w14:paraId="75F75946" w14:textId="39BA2681" w:rsidR="002B5F64" w:rsidRPr="005851C0" w:rsidRDefault="002B5F64" w:rsidP="002B5F64">
            <w:pPr>
              <w:jc w:val="center"/>
              <w:rPr>
                <w:rFonts w:eastAsia="Times New Roman" w:cs="Times New Roman"/>
                <w:iCs/>
                <w:sz w:val="20"/>
                <w:szCs w:val="24"/>
                <w:lang w:eastAsia="lv-LV"/>
              </w:rPr>
            </w:pPr>
            <w:r w:rsidRPr="005851C0">
              <w:rPr>
                <w:rFonts w:eastAsia="Times New Roman" w:cs="Times New Roman"/>
                <w:iCs/>
                <w:sz w:val="20"/>
                <w:szCs w:val="24"/>
                <w:lang w:eastAsia="lv-LV"/>
              </w:rPr>
              <w:t>0</w:t>
            </w:r>
          </w:p>
        </w:tc>
      </w:tr>
      <w:tr w:rsidR="002B5F64" w:rsidRPr="005851C0" w14:paraId="0AA80557" w14:textId="77777777" w:rsidTr="00F05D71">
        <w:trPr>
          <w:trHeight w:val="505"/>
        </w:trPr>
        <w:tc>
          <w:tcPr>
            <w:tcW w:w="1699" w:type="dxa"/>
            <w:hideMark/>
          </w:tcPr>
          <w:p w14:paraId="11A9C816" w14:textId="77777777" w:rsidR="002B5F64" w:rsidRPr="005851C0" w:rsidRDefault="002B5F64" w:rsidP="002B5F64">
            <w:pPr>
              <w:rPr>
                <w:rFonts w:eastAsia="Times New Roman" w:cs="Times New Roman"/>
                <w:iCs/>
                <w:sz w:val="24"/>
                <w:szCs w:val="24"/>
                <w:lang w:eastAsia="lv-LV"/>
              </w:rPr>
            </w:pPr>
            <w:r w:rsidRPr="005851C0">
              <w:rPr>
                <w:rFonts w:eastAsia="Times New Roman" w:cs="Times New Roman"/>
                <w:iCs/>
                <w:sz w:val="24"/>
                <w:szCs w:val="24"/>
                <w:lang w:eastAsia="lv-LV"/>
              </w:rPr>
              <w:t>3.2. speciālais budžets</w:t>
            </w:r>
          </w:p>
        </w:tc>
        <w:tc>
          <w:tcPr>
            <w:tcW w:w="1273" w:type="dxa"/>
          </w:tcPr>
          <w:p w14:paraId="396DBEC5" w14:textId="75B5B3CE" w:rsidR="002B5F64" w:rsidRPr="005851C0" w:rsidRDefault="002B5F64" w:rsidP="002B5F64">
            <w:pPr>
              <w:jc w:val="center"/>
              <w:rPr>
                <w:rFonts w:eastAsia="Times New Roman" w:cs="Times New Roman"/>
                <w:iCs/>
                <w:sz w:val="20"/>
                <w:szCs w:val="24"/>
                <w:lang w:eastAsia="lv-LV"/>
              </w:rPr>
            </w:pPr>
            <w:r w:rsidRPr="005851C0">
              <w:rPr>
                <w:rFonts w:eastAsia="Times New Roman" w:cs="Times New Roman"/>
                <w:iCs/>
                <w:sz w:val="20"/>
                <w:szCs w:val="24"/>
                <w:lang w:eastAsia="lv-LV"/>
              </w:rPr>
              <w:t>0</w:t>
            </w:r>
          </w:p>
        </w:tc>
        <w:tc>
          <w:tcPr>
            <w:tcW w:w="851" w:type="dxa"/>
          </w:tcPr>
          <w:p w14:paraId="423C700C" w14:textId="56BFE7FC" w:rsidR="002B5F64" w:rsidRPr="005851C0" w:rsidRDefault="002B5F64" w:rsidP="002B5F64">
            <w:pPr>
              <w:jc w:val="center"/>
              <w:rPr>
                <w:rFonts w:eastAsia="Times New Roman" w:cs="Times New Roman"/>
                <w:iCs/>
                <w:sz w:val="20"/>
                <w:szCs w:val="24"/>
                <w:lang w:eastAsia="lv-LV"/>
              </w:rPr>
            </w:pPr>
            <w:r w:rsidRPr="005851C0">
              <w:rPr>
                <w:rFonts w:eastAsia="Times New Roman" w:cs="Times New Roman"/>
                <w:iCs/>
                <w:sz w:val="20"/>
                <w:szCs w:val="24"/>
                <w:lang w:eastAsia="lv-LV"/>
              </w:rPr>
              <w:t>0</w:t>
            </w:r>
          </w:p>
        </w:tc>
        <w:tc>
          <w:tcPr>
            <w:tcW w:w="1275" w:type="dxa"/>
          </w:tcPr>
          <w:p w14:paraId="23A34617" w14:textId="1B339C05" w:rsidR="002B5F64" w:rsidRPr="005851C0" w:rsidRDefault="002B5F64" w:rsidP="002B5F64">
            <w:pPr>
              <w:jc w:val="center"/>
              <w:rPr>
                <w:rFonts w:eastAsia="Times New Roman" w:cs="Times New Roman"/>
                <w:iCs/>
                <w:sz w:val="20"/>
                <w:szCs w:val="24"/>
                <w:lang w:eastAsia="lv-LV"/>
              </w:rPr>
            </w:pPr>
            <w:r w:rsidRPr="005851C0">
              <w:rPr>
                <w:rFonts w:eastAsia="Times New Roman" w:cs="Times New Roman"/>
                <w:iCs/>
                <w:sz w:val="20"/>
                <w:szCs w:val="24"/>
                <w:lang w:eastAsia="lv-LV"/>
              </w:rPr>
              <w:t>0</w:t>
            </w:r>
          </w:p>
        </w:tc>
        <w:tc>
          <w:tcPr>
            <w:tcW w:w="993" w:type="dxa"/>
          </w:tcPr>
          <w:p w14:paraId="49C4B001" w14:textId="25F52DC1" w:rsidR="002B5F64" w:rsidRPr="005851C0" w:rsidRDefault="002B5F64" w:rsidP="002B5F64">
            <w:pPr>
              <w:jc w:val="center"/>
              <w:rPr>
                <w:rFonts w:eastAsia="Times New Roman" w:cs="Times New Roman"/>
                <w:iCs/>
                <w:sz w:val="20"/>
                <w:szCs w:val="24"/>
                <w:lang w:eastAsia="lv-LV"/>
              </w:rPr>
            </w:pPr>
            <w:r w:rsidRPr="005851C0">
              <w:rPr>
                <w:rFonts w:eastAsia="Times New Roman" w:cs="Times New Roman"/>
                <w:iCs/>
                <w:sz w:val="20"/>
                <w:szCs w:val="24"/>
                <w:lang w:eastAsia="lv-LV"/>
              </w:rPr>
              <w:t>0</w:t>
            </w:r>
          </w:p>
        </w:tc>
        <w:tc>
          <w:tcPr>
            <w:tcW w:w="1275" w:type="dxa"/>
          </w:tcPr>
          <w:p w14:paraId="19A0F36D" w14:textId="49E918F5" w:rsidR="002B5F64" w:rsidRPr="005851C0" w:rsidRDefault="002B5F64" w:rsidP="002B5F64">
            <w:pPr>
              <w:jc w:val="center"/>
              <w:rPr>
                <w:rFonts w:eastAsia="Times New Roman" w:cs="Times New Roman"/>
                <w:iCs/>
                <w:sz w:val="20"/>
                <w:szCs w:val="24"/>
                <w:lang w:eastAsia="lv-LV"/>
              </w:rPr>
            </w:pPr>
            <w:r w:rsidRPr="005851C0">
              <w:rPr>
                <w:rFonts w:eastAsia="Times New Roman" w:cs="Times New Roman"/>
                <w:iCs/>
                <w:sz w:val="20"/>
                <w:szCs w:val="24"/>
                <w:lang w:eastAsia="lv-LV"/>
              </w:rPr>
              <w:t>0</w:t>
            </w:r>
          </w:p>
        </w:tc>
        <w:tc>
          <w:tcPr>
            <w:tcW w:w="993" w:type="dxa"/>
          </w:tcPr>
          <w:p w14:paraId="4EA76700" w14:textId="0E6F52A9" w:rsidR="002B5F64" w:rsidRPr="005851C0" w:rsidRDefault="002B5F64" w:rsidP="002B5F64">
            <w:pPr>
              <w:jc w:val="center"/>
              <w:rPr>
                <w:rFonts w:eastAsia="Times New Roman" w:cs="Times New Roman"/>
                <w:iCs/>
                <w:sz w:val="20"/>
                <w:szCs w:val="24"/>
                <w:lang w:eastAsia="lv-LV"/>
              </w:rPr>
            </w:pPr>
            <w:r w:rsidRPr="005851C0">
              <w:rPr>
                <w:rFonts w:eastAsia="Times New Roman" w:cs="Times New Roman"/>
                <w:iCs/>
                <w:sz w:val="20"/>
                <w:szCs w:val="24"/>
                <w:lang w:eastAsia="lv-LV"/>
              </w:rPr>
              <w:t>0</w:t>
            </w:r>
          </w:p>
        </w:tc>
        <w:tc>
          <w:tcPr>
            <w:tcW w:w="1008" w:type="dxa"/>
          </w:tcPr>
          <w:p w14:paraId="07275301" w14:textId="5FC2E733" w:rsidR="002B5F64" w:rsidRPr="005851C0" w:rsidRDefault="002B5F64" w:rsidP="002B5F64">
            <w:pPr>
              <w:jc w:val="center"/>
              <w:rPr>
                <w:rFonts w:eastAsia="Times New Roman" w:cs="Times New Roman"/>
                <w:iCs/>
                <w:sz w:val="20"/>
                <w:szCs w:val="24"/>
                <w:lang w:eastAsia="lv-LV"/>
              </w:rPr>
            </w:pPr>
            <w:r w:rsidRPr="005851C0">
              <w:rPr>
                <w:rFonts w:eastAsia="Times New Roman" w:cs="Times New Roman"/>
                <w:iCs/>
                <w:sz w:val="20"/>
                <w:szCs w:val="24"/>
                <w:lang w:eastAsia="lv-LV"/>
              </w:rPr>
              <w:t>0</w:t>
            </w:r>
          </w:p>
        </w:tc>
      </w:tr>
      <w:tr w:rsidR="002B5F64" w:rsidRPr="005851C0" w14:paraId="0EBC1257" w14:textId="77777777" w:rsidTr="00F05D71">
        <w:trPr>
          <w:trHeight w:val="520"/>
        </w:trPr>
        <w:tc>
          <w:tcPr>
            <w:tcW w:w="1699" w:type="dxa"/>
            <w:hideMark/>
          </w:tcPr>
          <w:p w14:paraId="6AE18204" w14:textId="77777777" w:rsidR="002B5F64" w:rsidRPr="005851C0" w:rsidRDefault="002B5F64" w:rsidP="002B5F64">
            <w:pPr>
              <w:rPr>
                <w:rFonts w:eastAsia="Times New Roman" w:cs="Times New Roman"/>
                <w:iCs/>
                <w:sz w:val="24"/>
                <w:szCs w:val="24"/>
                <w:lang w:eastAsia="lv-LV"/>
              </w:rPr>
            </w:pPr>
            <w:r w:rsidRPr="005851C0">
              <w:rPr>
                <w:rFonts w:eastAsia="Times New Roman" w:cs="Times New Roman"/>
                <w:iCs/>
                <w:sz w:val="24"/>
                <w:szCs w:val="24"/>
                <w:lang w:eastAsia="lv-LV"/>
              </w:rPr>
              <w:t>3.3. pašvaldību budžets</w:t>
            </w:r>
          </w:p>
        </w:tc>
        <w:tc>
          <w:tcPr>
            <w:tcW w:w="1273" w:type="dxa"/>
          </w:tcPr>
          <w:p w14:paraId="6845C21F" w14:textId="6E8104AE" w:rsidR="002B5F64" w:rsidRPr="005851C0" w:rsidRDefault="002B5F64" w:rsidP="002B5F64">
            <w:pPr>
              <w:jc w:val="center"/>
              <w:rPr>
                <w:rFonts w:eastAsia="Times New Roman" w:cs="Times New Roman"/>
                <w:iCs/>
                <w:sz w:val="20"/>
                <w:szCs w:val="24"/>
                <w:lang w:eastAsia="lv-LV"/>
              </w:rPr>
            </w:pPr>
            <w:r w:rsidRPr="005851C0">
              <w:rPr>
                <w:rFonts w:eastAsia="Times New Roman" w:cs="Times New Roman"/>
                <w:iCs/>
                <w:sz w:val="20"/>
                <w:szCs w:val="24"/>
                <w:lang w:eastAsia="lv-LV"/>
              </w:rPr>
              <w:t>0</w:t>
            </w:r>
          </w:p>
        </w:tc>
        <w:tc>
          <w:tcPr>
            <w:tcW w:w="851" w:type="dxa"/>
          </w:tcPr>
          <w:p w14:paraId="5735040A" w14:textId="669D8803" w:rsidR="002B5F64" w:rsidRPr="005851C0" w:rsidRDefault="002B5F64" w:rsidP="002B5F64">
            <w:pPr>
              <w:jc w:val="center"/>
              <w:rPr>
                <w:rFonts w:eastAsia="Times New Roman" w:cs="Times New Roman"/>
                <w:iCs/>
                <w:sz w:val="20"/>
                <w:szCs w:val="24"/>
                <w:lang w:eastAsia="lv-LV"/>
              </w:rPr>
            </w:pPr>
            <w:r w:rsidRPr="005851C0">
              <w:rPr>
                <w:rFonts w:eastAsia="Times New Roman" w:cs="Times New Roman"/>
                <w:iCs/>
                <w:sz w:val="20"/>
                <w:szCs w:val="24"/>
                <w:lang w:eastAsia="lv-LV"/>
              </w:rPr>
              <w:t>0</w:t>
            </w:r>
          </w:p>
        </w:tc>
        <w:tc>
          <w:tcPr>
            <w:tcW w:w="1275" w:type="dxa"/>
          </w:tcPr>
          <w:p w14:paraId="27E8D93D" w14:textId="4477BE38" w:rsidR="002B5F64" w:rsidRPr="005851C0" w:rsidRDefault="002B5F64" w:rsidP="002B5F64">
            <w:pPr>
              <w:jc w:val="center"/>
              <w:rPr>
                <w:rFonts w:eastAsia="Times New Roman" w:cs="Times New Roman"/>
                <w:iCs/>
                <w:sz w:val="20"/>
                <w:szCs w:val="24"/>
                <w:lang w:eastAsia="lv-LV"/>
              </w:rPr>
            </w:pPr>
            <w:r w:rsidRPr="005851C0">
              <w:rPr>
                <w:rFonts w:eastAsia="Times New Roman" w:cs="Times New Roman"/>
                <w:iCs/>
                <w:sz w:val="20"/>
                <w:szCs w:val="24"/>
                <w:lang w:eastAsia="lv-LV"/>
              </w:rPr>
              <w:t>0</w:t>
            </w:r>
          </w:p>
        </w:tc>
        <w:tc>
          <w:tcPr>
            <w:tcW w:w="993" w:type="dxa"/>
          </w:tcPr>
          <w:p w14:paraId="2AE2B854" w14:textId="40C95019" w:rsidR="002B5F64" w:rsidRPr="005851C0" w:rsidRDefault="002B5F64" w:rsidP="002B5F64">
            <w:pPr>
              <w:jc w:val="center"/>
              <w:rPr>
                <w:rFonts w:eastAsia="Times New Roman" w:cs="Times New Roman"/>
                <w:iCs/>
                <w:sz w:val="20"/>
                <w:szCs w:val="24"/>
                <w:lang w:eastAsia="lv-LV"/>
              </w:rPr>
            </w:pPr>
            <w:r w:rsidRPr="005851C0">
              <w:rPr>
                <w:rFonts w:eastAsia="Times New Roman" w:cs="Times New Roman"/>
                <w:iCs/>
                <w:sz w:val="20"/>
                <w:szCs w:val="24"/>
                <w:lang w:eastAsia="lv-LV"/>
              </w:rPr>
              <w:t>0</w:t>
            </w:r>
          </w:p>
        </w:tc>
        <w:tc>
          <w:tcPr>
            <w:tcW w:w="1275" w:type="dxa"/>
          </w:tcPr>
          <w:p w14:paraId="56C626B6" w14:textId="06129C30" w:rsidR="002B5F64" w:rsidRPr="005851C0" w:rsidRDefault="002B5F64" w:rsidP="002B5F64">
            <w:pPr>
              <w:jc w:val="center"/>
              <w:rPr>
                <w:rFonts w:eastAsia="Times New Roman" w:cs="Times New Roman"/>
                <w:iCs/>
                <w:sz w:val="20"/>
                <w:szCs w:val="24"/>
                <w:lang w:eastAsia="lv-LV"/>
              </w:rPr>
            </w:pPr>
            <w:r w:rsidRPr="005851C0">
              <w:rPr>
                <w:rFonts w:eastAsia="Times New Roman" w:cs="Times New Roman"/>
                <w:iCs/>
                <w:sz w:val="20"/>
                <w:szCs w:val="24"/>
                <w:lang w:eastAsia="lv-LV"/>
              </w:rPr>
              <w:t>0</w:t>
            </w:r>
          </w:p>
        </w:tc>
        <w:tc>
          <w:tcPr>
            <w:tcW w:w="993" w:type="dxa"/>
          </w:tcPr>
          <w:p w14:paraId="0AC7F6CD" w14:textId="12FE8D65" w:rsidR="002B5F64" w:rsidRPr="005851C0" w:rsidRDefault="002B5F64" w:rsidP="002B5F64">
            <w:pPr>
              <w:jc w:val="center"/>
              <w:rPr>
                <w:rFonts w:eastAsia="Times New Roman" w:cs="Times New Roman"/>
                <w:iCs/>
                <w:sz w:val="20"/>
                <w:szCs w:val="24"/>
                <w:lang w:eastAsia="lv-LV"/>
              </w:rPr>
            </w:pPr>
            <w:r w:rsidRPr="005851C0">
              <w:rPr>
                <w:rFonts w:eastAsia="Times New Roman" w:cs="Times New Roman"/>
                <w:iCs/>
                <w:sz w:val="20"/>
                <w:szCs w:val="24"/>
                <w:lang w:eastAsia="lv-LV"/>
              </w:rPr>
              <w:t>0</w:t>
            </w:r>
          </w:p>
        </w:tc>
        <w:tc>
          <w:tcPr>
            <w:tcW w:w="1008" w:type="dxa"/>
          </w:tcPr>
          <w:p w14:paraId="3453D26B" w14:textId="4A8318C2" w:rsidR="002B5F64" w:rsidRPr="005851C0" w:rsidRDefault="002B5F64" w:rsidP="002B5F64">
            <w:pPr>
              <w:jc w:val="center"/>
              <w:rPr>
                <w:rFonts w:eastAsia="Times New Roman" w:cs="Times New Roman"/>
                <w:iCs/>
                <w:sz w:val="20"/>
                <w:szCs w:val="24"/>
                <w:lang w:eastAsia="lv-LV"/>
              </w:rPr>
            </w:pPr>
            <w:r w:rsidRPr="005851C0">
              <w:rPr>
                <w:rFonts w:eastAsia="Times New Roman" w:cs="Times New Roman"/>
                <w:iCs/>
                <w:sz w:val="20"/>
                <w:szCs w:val="24"/>
                <w:lang w:eastAsia="lv-LV"/>
              </w:rPr>
              <w:t>0</w:t>
            </w:r>
          </w:p>
        </w:tc>
      </w:tr>
      <w:tr w:rsidR="00F05D71" w:rsidRPr="005851C0" w14:paraId="4D45E991" w14:textId="77777777" w:rsidTr="00F05D71">
        <w:trPr>
          <w:trHeight w:val="520"/>
        </w:trPr>
        <w:tc>
          <w:tcPr>
            <w:tcW w:w="1699" w:type="dxa"/>
            <w:hideMark/>
          </w:tcPr>
          <w:p w14:paraId="6018414F" w14:textId="77777777" w:rsidR="00F05D71" w:rsidRPr="005851C0" w:rsidRDefault="00F05D71" w:rsidP="00ED0B96">
            <w:pPr>
              <w:rPr>
                <w:rFonts w:eastAsia="Times New Roman" w:cs="Times New Roman"/>
                <w:iCs/>
                <w:sz w:val="24"/>
                <w:szCs w:val="24"/>
                <w:lang w:eastAsia="lv-LV"/>
              </w:rPr>
            </w:pPr>
            <w:r w:rsidRPr="005851C0">
              <w:rPr>
                <w:rFonts w:eastAsia="Times New Roman" w:cs="Times New Roman"/>
                <w:iCs/>
                <w:sz w:val="24"/>
                <w:szCs w:val="24"/>
                <w:lang w:eastAsia="lv-LV"/>
              </w:rPr>
              <w:t xml:space="preserve">4. Finanšu līdzekļi papildu izdevumu finansēšanai </w:t>
            </w:r>
            <w:r w:rsidRPr="005851C0">
              <w:rPr>
                <w:rFonts w:eastAsia="Times New Roman" w:cs="Times New Roman"/>
                <w:iCs/>
                <w:sz w:val="24"/>
                <w:szCs w:val="24"/>
                <w:lang w:eastAsia="lv-LV"/>
              </w:rPr>
              <w:lastRenderedPageBreak/>
              <w:t>(kompensējošu izdevumu samazinājumu norāda ar "+" zīmi)</w:t>
            </w:r>
          </w:p>
        </w:tc>
        <w:tc>
          <w:tcPr>
            <w:tcW w:w="1273" w:type="dxa"/>
          </w:tcPr>
          <w:p w14:paraId="1D8E6C43" w14:textId="43E46DD3" w:rsidR="00F05D71" w:rsidRPr="005851C0" w:rsidRDefault="00A94CC3" w:rsidP="00ED0B96">
            <w:pPr>
              <w:jc w:val="center"/>
              <w:rPr>
                <w:rFonts w:eastAsia="Times New Roman" w:cs="Times New Roman"/>
                <w:iCs/>
                <w:sz w:val="20"/>
                <w:szCs w:val="24"/>
                <w:lang w:eastAsia="lv-LV"/>
              </w:rPr>
            </w:pPr>
            <w:r>
              <w:rPr>
                <w:rFonts w:eastAsia="Times New Roman" w:cs="Times New Roman"/>
                <w:iCs/>
                <w:sz w:val="20"/>
                <w:szCs w:val="24"/>
                <w:lang w:eastAsia="lv-LV"/>
              </w:rPr>
              <w:lastRenderedPageBreak/>
              <w:t>X</w:t>
            </w:r>
          </w:p>
        </w:tc>
        <w:tc>
          <w:tcPr>
            <w:tcW w:w="851" w:type="dxa"/>
          </w:tcPr>
          <w:p w14:paraId="7BDC03C7" w14:textId="2D5612EB" w:rsidR="00F05D71" w:rsidRPr="005851C0" w:rsidRDefault="00A94CC3" w:rsidP="00ED0B96">
            <w:pPr>
              <w:jc w:val="center"/>
              <w:rPr>
                <w:rFonts w:eastAsia="Times New Roman" w:cs="Times New Roman"/>
                <w:iCs/>
                <w:sz w:val="20"/>
                <w:szCs w:val="24"/>
                <w:lang w:eastAsia="lv-LV"/>
              </w:rPr>
            </w:pPr>
            <w:r>
              <w:rPr>
                <w:rFonts w:eastAsia="Times New Roman" w:cs="Times New Roman"/>
                <w:iCs/>
                <w:sz w:val="20"/>
                <w:szCs w:val="24"/>
                <w:lang w:eastAsia="lv-LV"/>
              </w:rPr>
              <w:t>+73 332</w:t>
            </w:r>
          </w:p>
        </w:tc>
        <w:tc>
          <w:tcPr>
            <w:tcW w:w="1275" w:type="dxa"/>
          </w:tcPr>
          <w:p w14:paraId="4289E766" w14:textId="5A207DFD" w:rsidR="00F05D71" w:rsidRPr="005851C0" w:rsidRDefault="00A94CC3" w:rsidP="00ED0B96">
            <w:pPr>
              <w:jc w:val="center"/>
              <w:rPr>
                <w:rFonts w:eastAsia="Times New Roman" w:cs="Times New Roman"/>
                <w:iCs/>
                <w:sz w:val="20"/>
                <w:szCs w:val="24"/>
                <w:lang w:eastAsia="lv-LV"/>
              </w:rPr>
            </w:pPr>
            <w:r>
              <w:rPr>
                <w:rFonts w:eastAsia="Times New Roman" w:cs="Times New Roman"/>
                <w:iCs/>
                <w:sz w:val="20"/>
                <w:szCs w:val="24"/>
                <w:lang w:eastAsia="lv-LV"/>
              </w:rPr>
              <w:t>X</w:t>
            </w:r>
          </w:p>
        </w:tc>
        <w:tc>
          <w:tcPr>
            <w:tcW w:w="993" w:type="dxa"/>
          </w:tcPr>
          <w:p w14:paraId="3F7F0281" w14:textId="77777777" w:rsidR="00F05D71" w:rsidRPr="005851C0" w:rsidRDefault="00F05D71" w:rsidP="00ED0B96">
            <w:pPr>
              <w:jc w:val="center"/>
              <w:rPr>
                <w:rFonts w:eastAsia="Times New Roman" w:cs="Times New Roman"/>
                <w:iCs/>
                <w:sz w:val="20"/>
                <w:szCs w:val="24"/>
                <w:lang w:eastAsia="lv-LV"/>
              </w:rPr>
            </w:pPr>
            <w:r w:rsidRPr="005851C0">
              <w:rPr>
                <w:rFonts w:eastAsia="Times New Roman" w:cs="Times New Roman"/>
                <w:iCs/>
                <w:sz w:val="20"/>
                <w:szCs w:val="24"/>
                <w:lang w:eastAsia="lv-LV"/>
              </w:rPr>
              <w:t>0</w:t>
            </w:r>
          </w:p>
        </w:tc>
        <w:tc>
          <w:tcPr>
            <w:tcW w:w="1275" w:type="dxa"/>
          </w:tcPr>
          <w:p w14:paraId="068FEF86" w14:textId="2B8E2ABA" w:rsidR="00F05D71" w:rsidRPr="005851C0" w:rsidRDefault="00A94CC3" w:rsidP="00ED0B96">
            <w:pPr>
              <w:jc w:val="center"/>
              <w:rPr>
                <w:rFonts w:eastAsia="Times New Roman" w:cs="Times New Roman"/>
                <w:iCs/>
                <w:sz w:val="20"/>
                <w:szCs w:val="24"/>
                <w:lang w:eastAsia="lv-LV"/>
              </w:rPr>
            </w:pPr>
            <w:r>
              <w:rPr>
                <w:rFonts w:eastAsia="Times New Roman" w:cs="Times New Roman"/>
                <w:iCs/>
                <w:sz w:val="20"/>
                <w:szCs w:val="24"/>
                <w:lang w:eastAsia="lv-LV"/>
              </w:rPr>
              <w:t>X</w:t>
            </w:r>
          </w:p>
        </w:tc>
        <w:tc>
          <w:tcPr>
            <w:tcW w:w="993" w:type="dxa"/>
          </w:tcPr>
          <w:p w14:paraId="5AE4A74B" w14:textId="77777777" w:rsidR="00F05D71" w:rsidRPr="005851C0" w:rsidRDefault="00F05D71" w:rsidP="00ED0B96">
            <w:pPr>
              <w:jc w:val="center"/>
              <w:rPr>
                <w:rFonts w:eastAsia="Times New Roman" w:cs="Times New Roman"/>
                <w:iCs/>
                <w:sz w:val="20"/>
                <w:szCs w:val="24"/>
                <w:lang w:eastAsia="lv-LV"/>
              </w:rPr>
            </w:pPr>
            <w:r w:rsidRPr="005851C0">
              <w:rPr>
                <w:rFonts w:eastAsia="Times New Roman" w:cs="Times New Roman"/>
                <w:iCs/>
                <w:sz w:val="20"/>
                <w:szCs w:val="24"/>
                <w:lang w:eastAsia="lv-LV"/>
              </w:rPr>
              <w:t>0</w:t>
            </w:r>
          </w:p>
        </w:tc>
        <w:tc>
          <w:tcPr>
            <w:tcW w:w="1008" w:type="dxa"/>
          </w:tcPr>
          <w:p w14:paraId="10F2CA41" w14:textId="77777777" w:rsidR="00F05D71" w:rsidRPr="005851C0" w:rsidRDefault="00F05D71" w:rsidP="00ED0B96">
            <w:pPr>
              <w:jc w:val="center"/>
              <w:rPr>
                <w:rFonts w:eastAsia="Times New Roman" w:cs="Times New Roman"/>
                <w:iCs/>
                <w:sz w:val="20"/>
                <w:szCs w:val="24"/>
                <w:lang w:eastAsia="lv-LV"/>
              </w:rPr>
            </w:pPr>
            <w:r w:rsidRPr="005851C0">
              <w:rPr>
                <w:rFonts w:eastAsia="Times New Roman" w:cs="Times New Roman"/>
                <w:iCs/>
                <w:sz w:val="20"/>
                <w:szCs w:val="24"/>
                <w:lang w:eastAsia="lv-LV"/>
              </w:rPr>
              <w:t>0</w:t>
            </w:r>
          </w:p>
        </w:tc>
      </w:tr>
      <w:tr w:rsidR="00A94CC3" w:rsidRPr="005851C0" w14:paraId="665CAD9A" w14:textId="77777777" w:rsidTr="00ED0B96">
        <w:trPr>
          <w:trHeight w:val="520"/>
        </w:trPr>
        <w:tc>
          <w:tcPr>
            <w:tcW w:w="1699" w:type="dxa"/>
            <w:hideMark/>
          </w:tcPr>
          <w:p w14:paraId="0E1E443C" w14:textId="77777777" w:rsidR="00A94CC3" w:rsidRPr="005851C0" w:rsidRDefault="00A94CC3" w:rsidP="00ED0B96">
            <w:pPr>
              <w:rPr>
                <w:rFonts w:eastAsia="Times New Roman" w:cs="Times New Roman"/>
                <w:iCs/>
                <w:sz w:val="24"/>
                <w:szCs w:val="24"/>
                <w:lang w:eastAsia="lv-LV"/>
              </w:rPr>
            </w:pPr>
            <w:r w:rsidRPr="005851C0">
              <w:rPr>
                <w:rFonts w:eastAsia="Times New Roman" w:cs="Times New Roman"/>
                <w:iCs/>
                <w:sz w:val="24"/>
                <w:szCs w:val="24"/>
                <w:lang w:eastAsia="lv-LV"/>
              </w:rPr>
              <w:t>5. Precizēta finansiālā ietekme</w:t>
            </w:r>
          </w:p>
        </w:tc>
        <w:tc>
          <w:tcPr>
            <w:tcW w:w="1273" w:type="dxa"/>
            <w:vMerge w:val="restart"/>
          </w:tcPr>
          <w:p w14:paraId="3A2C5C22" w14:textId="0809F6EB" w:rsidR="00A94CC3" w:rsidRPr="005851C0" w:rsidRDefault="00A94CC3" w:rsidP="00A94CC3">
            <w:pPr>
              <w:jc w:val="center"/>
              <w:rPr>
                <w:rFonts w:eastAsia="Times New Roman" w:cs="Times New Roman"/>
                <w:iCs/>
                <w:sz w:val="20"/>
                <w:szCs w:val="24"/>
                <w:lang w:eastAsia="lv-LV"/>
              </w:rPr>
            </w:pPr>
            <w:r>
              <w:rPr>
                <w:rFonts w:eastAsia="Times New Roman" w:cs="Times New Roman"/>
                <w:iCs/>
                <w:sz w:val="20"/>
                <w:szCs w:val="24"/>
                <w:lang w:eastAsia="lv-LV"/>
              </w:rPr>
              <w:t>X</w:t>
            </w:r>
          </w:p>
        </w:tc>
        <w:tc>
          <w:tcPr>
            <w:tcW w:w="851" w:type="dxa"/>
          </w:tcPr>
          <w:p w14:paraId="52D74FE1" w14:textId="77777777" w:rsidR="00A94CC3" w:rsidRPr="005851C0" w:rsidRDefault="00A94CC3" w:rsidP="00ED0B96">
            <w:pPr>
              <w:jc w:val="center"/>
              <w:rPr>
                <w:rFonts w:eastAsia="Times New Roman" w:cs="Times New Roman"/>
                <w:iCs/>
                <w:sz w:val="20"/>
                <w:szCs w:val="24"/>
                <w:lang w:eastAsia="lv-LV"/>
              </w:rPr>
            </w:pPr>
            <w:r w:rsidRPr="005851C0">
              <w:rPr>
                <w:rFonts w:eastAsia="Times New Roman" w:cs="Times New Roman"/>
                <w:iCs/>
                <w:sz w:val="20"/>
                <w:szCs w:val="24"/>
                <w:lang w:eastAsia="lv-LV"/>
              </w:rPr>
              <w:t>0</w:t>
            </w:r>
          </w:p>
        </w:tc>
        <w:tc>
          <w:tcPr>
            <w:tcW w:w="1275" w:type="dxa"/>
            <w:vMerge w:val="restart"/>
          </w:tcPr>
          <w:p w14:paraId="2920482D" w14:textId="01524494" w:rsidR="00A94CC3" w:rsidRPr="005851C0" w:rsidRDefault="00A94CC3" w:rsidP="00ED0B96">
            <w:pPr>
              <w:jc w:val="center"/>
              <w:rPr>
                <w:rFonts w:eastAsia="Times New Roman" w:cs="Times New Roman"/>
                <w:iCs/>
                <w:sz w:val="20"/>
                <w:szCs w:val="24"/>
                <w:lang w:eastAsia="lv-LV"/>
              </w:rPr>
            </w:pPr>
            <w:r>
              <w:rPr>
                <w:rFonts w:eastAsia="Times New Roman" w:cs="Times New Roman"/>
                <w:iCs/>
                <w:sz w:val="20"/>
                <w:szCs w:val="24"/>
                <w:lang w:eastAsia="lv-LV"/>
              </w:rPr>
              <w:t>X</w:t>
            </w:r>
          </w:p>
        </w:tc>
        <w:tc>
          <w:tcPr>
            <w:tcW w:w="993" w:type="dxa"/>
          </w:tcPr>
          <w:p w14:paraId="567DAD3B" w14:textId="77777777" w:rsidR="00A94CC3" w:rsidRPr="005851C0" w:rsidRDefault="00A94CC3" w:rsidP="00ED0B96">
            <w:pPr>
              <w:jc w:val="center"/>
              <w:rPr>
                <w:rFonts w:eastAsia="Times New Roman" w:cs="Times New Roman"/>
                <w:iCs/>
                <w:sz w:val="20"/>
                <w:szCs w:val="24"/>
                <w:lang w:eastAsia="lv-LV"/>
              </w:rPr>
            </w:pPr>
            <w:r w:rsidRPr="005851C0">
              <w:rPr>
                <w:rFonts w:eastAsia="Times New Roman" w:cs="Times New Roman"/>
                <w:iCs/>
                <w:sz w:val="20"/>
                <w:szCs w:val="24"/>
                <w:lang w:eastAsia="lv-LV"/>
              </w:rPr>
              <w:t>0</w:t>
            </w:r>
          </w:p>
        </w:tc>
        <w:tc>
          <w:tcPr>
            <w:tcW w:w="1275" w:type="dxa"/>
            <w:vMerge w:val="restart"/>
          </w:tcPr>
          <w:p w14:paraId="2E6B83D5" w14:textId="4C1DA5E0" w:rsidR="00A94CC3" w:rsidRPr="005851C0" w:rsidRDefault="00A94CC3" w:rsidP="00ED0B96">
            <w:pPr>
              <w:jc w:val="center"/>
              <w:rPr>
                <w:rFonts w:eastAsia="Times New Roman" w:cs="Times New Roman"/>
                <w:iCs/>
                <w:sz w:val="20"/>
                <w:szCs w:val="24"/>
                <w:lang w:eastAsia="lv-LV"/>
              </w:rPr>
            </w:pPr>
            <w:r>
              <w:rPr>
                <w:rFonts w:eastAsia="Times New Roman" w:cs="Times New Roman"/>
                <w:iCs/>
                <w:sz w:val="20"/>
                <w:szCs w:val="24"/>
                <w:lang w:eastAsia="lv-LV"/>
              </w:rPr>
              <w:t>X</w:t>
            </w:r>
          </w:p>
        </w:tc>
        <w:tc>
          <w:tcPr>
            <w:tcW w:w="993" w:type="dxa"/>
          </w:tcPr>
          <w:p w14:paraId="6DAD3C39" w14:textId="77777777" w:rsidR="00A94CC3" w:rsidRPr="005851C0" w:rsidRDefault="00A94CC3" w:rsidP="00ED0B96">
            <w:pPr>
              <w:jc w:val="center"/>
              <w:rPr>
                <w:rFonts w:eastAsia="Times New Roman" w:cs="Times New Roman"/>
                <w:iCs/>
                <w:sz w:val="20"/>
                <w:szCs w:val="24"/>
                <w:lang w:eastAsia="lv-LV"/>
              </w:rPr>
            </w:pPr>
            <w:r w:rsidRPr="005851C0">
              <w:rPr>
                <w:rFonts w:eastAsia="Times New Roman" w:cs="Times New Roman"/>
                <w:iCs/>
                <w:sz w:val="20"/>
                <w:szCs w:val="24"/>
                <w:lang w:eastAsia="lv-LV"/>
              </w:rPr>
              <w:t>0</w:t>
            </w:r>
          </w:p>
        </w:tc>
        <w:tc>
          <w:tcPr>
            <w:tcW w:w="1008" w:type="dxa"/>
          </w:tcPr>
          <w:p w14:paraId="29EC393D" w14:textId="77777777" w:rsidR="00A94CC3" w:rsidRPr="005851C0" w:rsidRDefault="00A94CC3" w:rsidP="00ED0B96">
            <w:pPr>
              <w:jc w:val="center"/>
              <w:rPr>
                <w:rFonts w:eastAsia="Times New Roman" w:cs="Times New Roman"/>
                <w:iCs/>
                <w:sz w:val="20"/>
                <w:szCs w:val="24"/>
                <w:lang w:eastAsia="lv-LV"/>
              </w:rPr>
            </w:pPr>
            <w:r w:rsidRPr="005851C0">
              <w:rPr>
                <w:rFonts w:eastAsia="Times New Roman" w:cs="Times New Roman"/>
                <w:iCs/>
                <w:sz w:val="20"/>
                <w:szCs w:val="24"/>
                <w:lang w:eastAsia="lv-LV"/>
              </w:rPr>
              <w:t>0</w:t>
            </w:r>
          </w:p>
        </w:tc>
      </w:tr>
      <w:tr w:rsidR="00A94CC3" w:rsidRPr="005851C0" w14:paraId="2A9FAF4E" w14:textId="77777777" w:rsidTr="00ED0B96">
        <w:trPr>
          <w:trHeight w:val="520"/>
        </w:trPr>
        <w:tc>
          <w:tcPr>
            <w:tcW w:w="1699" w:type="dxa"/>
            <w:hideMark/>
          </w:tcPr>
          <w:p w14:paraId="0C7CE1FD" w14:textId="77777777" w:rsidR="00A94CC3" w:rsidRPr="005851C0" w:rsidRDefault="00A94CC3" w:rsidP="00A94CC3">
            <w:pPr>
              <w:rPr>
                <w:rFonts w:eastAsia="Times New Roman" w:cs="Times New Roman"/>
                <w:iCs/>
                <w:sz w:val="24"/>
                <w:szCs w:val="24"/>
                <w:lang w:eastAsia="lv-LV"/>
              </w:rPr>
            </w:pPr>
            <w:r w:rsidRPr="005851C0">
              <w:rPr>
                <w:rFonts w:eastAsia="Times New Roman" w:cs="Times New Roman"/>
                <w:iCs/>
                <w:sz w:val="24"/>
                <w:szCs w:val="24"/>
                <w:lang w:eastAsia="lv-LV"/>
              </w:rPr>
              <w:t>5.1. valsts pamatbudžets</w:t>
            </w:r>
          </w:p>
        </w:tc>
        <w:tc>
          <w:tcPr>
            <w:tcW w:w="1273" w:type="dxa"/>
            <w:vMerge/>
          </w:tcPr>
          <w:p w14:paraId="2DF64FBF" w14:textId="7C5CF4DE" w:rsidR="00A94CC3" w:rsidRPr="005851C0" w:rsidRDefault="00A94CC3" w:rsidP="00A94CC3">
            <w:pPr>
              <w:jc w:val="center"/>
              <w:rPr>
                <w:rFonts w:eastAsia="Times New Roman" w:cs="Times New Roman"/>
                <w:iCs/>
                <w:sz w:val="20"/>
                <w:szCs w:val="24"/>
                <w:lang w:eastAsia="lv-LV"/>
              </w:rPr>
            </w:pPr>
          </w:p>
        </w:tc>
        <w:tc>
          <w:tcPr>
            <w:tcW w:w="851" w:type="dxa"/>
          </w:tcPr>
          <w:p w14:paraId="5D5E2C00" w14:textId="5717526F" w:rsidR="00A94CC3" w:rsidRPr="005851C0" w:rsidRDefault="00A94CC3" w:rsidP="00A94CC3">
            <w:pPr>
              <w:jc w:val="center"/>
              <w:rPr>
                <w:rFonts w:eastAsia="Times New Roman" w:cs="Times New Roman"/>
                <w:iCs/>
                <w:sz w:val="20"/>
                <w:szCs w:val="24"/>
                <w:lang w:eastAsia="lv-LV"/>
              </w:rPr>
            </w:pPr>
            <w:r w:rsidRPr="005851C0">
              <w:rPr>
                <w:rFonts w:eastAsia="Times New Roman" w:cs="Times New Roman"/>
                <w:iCs/>
                <w:sz w:val="20"/>
                <w:szCs w:val="24"/>
                <w:lang w:eastAsia="lv-LV"/>
              </w:rPr>
              <w:t>0</w:t>
            </w:r>
          </w:p>
        </w:tc>
        <w:tc>
          <w:tcPr>
            <w:tcW w:w="1275" w:type="dxa"/>
            <w:vMerge/>
          </w:tcPr>
          <w:p w14:paraId="00CADF22" w14:textId="29178553" w:rsidR="00A94CC3" w:rsidRPr="005851C0" w:rsidRDefault="00A94CC3" w:rsidP="00A94CC3">
            <w:pPr>
              <w:jc w:val="center"/>
              <w:rPr>
                <w:rFonts w:eastAsia="Times New Roman" w:cs="Times New Roman"/>
                <w:iCs/>
                <w:sz w:val="20"/>
                <w:szCs w:val="24"/>
                <w:lang w:eastAsia="lv-LV"/>
              </w:rPr>
            </w:pPr>
          </w:p>
        </w:tc>
        <w:tc>
          <w:tcPr>
            <w:tcW w:w="993" w:type="dxa"/>
          </w:tcPr>
          <w:p w14:paraId="01DEDABF" w14:textId="1D4C7C73" w:rsidR="00A94CC3" w:rsidRPr="005851C0" w:rsidRDefault="00A94CC3" w:rsidP="00A94CC3">
            <w:pPr>
              <w:jc w:val="center"/>
              <w:rPr>
                <w:rFonts w:eastAsia="Times New Roman" w:cs="Times New Roman"/>
                <w:iCs/>
                <w:sz w:val="20"/>
                <w:szCs w:val="24"/>
                <w:lang w:eastAsia="lv-LV"/>
              </w:rPr>
            </w:pPr>
            <w:r w:rsidRPr="005851C0">
              <w:rPr>
                <w:rFonts w:eastAsia="Times New Roman" w:cs="Times New Roman"/>
                <w:iCs/>
                <w:sz w:val="20"/>
                <w:szCs w:val="24"/>
                <w:lang w:eastAsia="lv-LV"/>
              </w:rPr>
              <w:t>0</w:t>
            </w:r>
          </w:p>
        </w:tc>
        <w:tc>
          <w:tcPr>
            <w:tcW w:w="1275" w:type="dxa"/>
            <w:vMerge/>
          </w:tcPr>
          <w:p w14:paraId="5D7A7820" w14:textId="4620353F" w:rsidR="00A94CC3" w:rsidRPr="005851C0" w:rsidRDefault="00A94CC3" w:rsidP="00A94CC3">
            <w:pPr>
              <w:jc w:val="center"/>
              <w:rPr>
                <w:rFonts w:eastAsia="Times New Roman" w:cs="Times New Roman"/>
                <w:iCs/>
                <w:sz w:val="20"/>
                <w:szCs w:val="24"/>
                <w:lang w:eastAsia="lv-LV"/>
              </w:rPr>
            </w:pPr>
          </w:p>
        </w:tc>
        <w:tc>
          <w:tcPr>
            <w:tcW w:w="993" w:type="dxa"/>
          </w:tcPr>
          <w:p w14:paraId="3E5F4571" w14:textId="62CA8121" w:rsidR="00A94CC3" w:rsidRPr="005851C0" w:rsidRDefault="00A94CC3" w:rsidP="00A94CC3">
            <w:pPr>
              <w:jc w:val="center"/>
              <w:rPr>
                <w:rFonts w:eastAsia="Times New Roman" w:cs="Times New Roman"/>
                <w:iCs/>
                <w:sz w:val="20"/>
                <w:szCs w:val="24"/>
                <w:lang w:eastAsia="lv-LV"/>
              </w:rPr>
            </w:pPr>
            <w:r w:rsidRPr="005851C0">
              <w:rPr>
                <w:rFonts w:eastAsia="Times New Roman" w:cs="Times New Roman"/>
                <w:iCs/>
                <w:sz w:val="20"/>
                <w:szCs w:val="24"/>
                <w:lang w:eastAsia="lv-LV"/>
              </w:rPr>
              <w:t>0</w:t>
            </w:r>
          </w:p>
        </w:tc>
        <w:tc>
          <w:tcPr>
            <w:tcW w:w="1008" w:type="dxa"/>
          </w:tcPr>
          <w:p w14:paraId="67F7DB29" w14:textId="0DC8B651" w:rsidR="00A94CC3" w:rsidRPr="005851C0" w:rsidRDefault="00A94CC3" w:rsidP="00A94CC3">
            <w:pPr>
              <w:jc w:val="center"/>
              <w:rPr>
                <w:rFonts w:eastAsia="Times New Roman" w:cs="Times New Roman"/>
                <w:iCs/>
                <w:sz w:val="20"/>
                <w:szCs w:val="24"/>
                <w:lang w:eastAsia="lv-LV"/>
              </w:rPr>
            </w:pPr>
            <w:r w:rsidRPr="005851C0">
              <w:rPr>
                <w:rFonts w:eastAsia="Times New Roman" w:cs="Times New Roman"/>
                <w:iCs/>
                <w:sz w:val="20"/>
                <w:szCs w:val="24"/>
                <w:lang w:eastAsia="lv-LV"/>
              </w:rPr>
              <w:t>0</w:t>
            </w:r>
          </w:p>
        </w:tc>
      </w:tr>
      <w:tr w:rsidR="00A94CC3" w:rsidRPr="005851C0" w14:paraId="41809EF0" w14:textId="77777777" w:rsidTr="00ED0B96">
        <w:trPr>
          <w:trHeight w:val="520"/>
        </w:trPr>
        <w:tc>
          <w:tcPr>
            <w:tcW w:w="1699" w:type="dxa"/>
            <w:hideMark/>
          </w:tcPr>
          <w:p w14:paraId="4B14FD08" w14:textId="77777777" w:rsidR="00A94CC3" w:rsidRPr="005851C0" w:rsidRDefault="00A94CC3" w:rsidP="00A94CC3">
            <w:pPr>
              <w:rPr>
                <w:rFonts w:eastAsia="Times New Roman" w:cs="Times New Roman"/>
                <w:iCs/>
                <w:sz w:val="24"/>
                <w:szCs w:val="24"/>
                <w:lang w:eastAsia="lv-LV"/>
              </w:rPr>
            </w:pPr>
            <w:r w:rsidRPr="005851C0">
              <w:rPr>
                <w:rFonts w:eastAsia="Times New Roman" w:cs="Times New Roman"/>
                <w:iCs/>
                <w:sz w:val="24"/>
                <w:szCs w:val="24"/>
                <w:lang w:eastAsia="lv-LV"/>
              </w:rPr>
              <w:t>5.2. speciālais budžets</w:t>
            </w:r>
          </w:p>
        </w:tc>
        <w:tc>
          <w:tcPr>
            <w:tcW w:w="1273" w:type="dxa"/>
            <w:vMerge/>
          </w:tcPr>
          <w:p w14:paraId="7F3BF07F" w14:textId="101F98B4" w:rsidR="00A94CC3" w:rsidRPr="005851C0" w:rsidRDefault="00A94CC3" w:rsidP="00A94CC3">
            <w:pPr>
              <w:jc w:val="center"/>
              <w:rPr>
                <w:rFonts w:eastAsia="Times New Roman" w:cs="Times New Roman"/>
                <w:iCs/>
                <w:sz w:val="20"/>
                <w:szCs w:val="24"/>
                <w:lang w:eastAsia="lv-LV"/>
              </w:rPr>
            </w:pPr>
          </w:p>
        </w:tc>
        <w:tc>
          <w:tcPr>
            <w:tcW w:w="851" w:type="dxa"/>
          </w:tcPr>
          <w:p w14:paraId="39863B1D" w14:textId="6ACC4C7D" w:rsidR="00A94CC3" w:rsidRPr="005851C0" w:rsidRDefault="00A94CC3" w:rsidP="00A94CC3">
            <w:pPr>
              <w:jc w:val="center"/>
              <w:rPr>
                <w:rFonts w:eastAsia="Times New Roman" w:cs="Times New Roman"/>
                <w:iCs/>
                <w:sz w:val="20"/>
                <w:szCs w:val="24"/>
                <w:lang w:eastAsia="lv-LV"/>
              </w:rPr>
            </w:pPr>
            <w:r w:rsidRPr="005851C0">
              <w:rPr>
                <w:rFonts w:eastAsia="Times New Roman" w:cs="Times New Roman"/>
                <w:iCs/>
                <w:sz w:val="20"/>
                <w:szCs w:val="24"/>
                <w:lang w:eastAsia="lv-LV"/>
              </w:rPr>
              <w:t>0</w:t>
            </w:r>
          </w:p>
        </w:tc>
        <w:tc>
          <w:tcPr>
            <w:tcW w:w="1275" w:type="dxa"/>
            <w:vMerge/>
          </w:tcPr>
          <w:p w14:paraId="6D968E7D" w14:textId="06627708" w:rsidR="00A94CC3" w:rsidRPr="005851C0" w:rsidRDefault="00A94CC3" w:rsidP="00A94CC3">
            <w:pPr>
              <w:jc w:val="center"/>
              <w:rPr>
                <w:rFonts w:eastAsia="Times New Roman" w:cs="Times New Roman"/>
                <w:iCs/>
                <w:sz w:val="20"/>
                <w:szCs w:val="24"/>
                <w:lang w:eastAsia="lv-LV"/>
              </w:rPr>
            </w:pPr>
          </w:p>
        </w:tc>
        <w:tc>
          <w:tcPr>
            <w:tcW w:w="993" w:type="dxa"/>
          </w:tcPr>
          <w:p w14:paraId="43E55223" w14:textId="0BC90C9E" w:rsidR="00A94CC3" w:rsidRPr="005851C0" w:rsidRDefault="00A94CC3" w:rsidP="00A94CC3">
            <w:pPr>
              <w:jc w:val="center"/>
              <w:rPr>
                <w:rFonts w:eastAsia="Times New Roman" w:cs="Times New Roman"/>
                <w:iCs/>
                <w:sz w:val="20"/>
                <w:szCs w:val="24"/>
                <w:lang w:eastAsia="lv-LV"/>
              </w:rPr>
            </w:pPr>
            <w:r w:rsidRPr="005851C0">
              <w:rPr>
                <w:rFonts w:eastAsia="Times New Roman" w:cs="Times New Roman"/>
                <w:iCs/>
                <w:sz w:val="20"/>
                <w:szCs w:val="24"/>
                <w:lang w:eastAsia="lv-LV"/>
              </w:rPr>
              <w:t>0</w:t>
            </w:r>
          </w:p>
        </w:tc>
        <w:tc>
          <w:tcPr>
            <w:tcW w:w="1275" w:type="dxa"/>
            <w:vMerge/>
          </w:tcPr>
          <w:p w14:paraId="4F8CE4F3" w14:textId="5CA78834" w:rsidR="00A94CC3" w:rsidRPr="005851C0" w:rsidRDefault="00A94CC3" w:rsidP="00A94CC3">
            <w:pPr>
              <w:jc w:val="center"/>
              <w:rPr>
                <w:rFonts w:eastAsia="Times New Roman" w:cs="Times New Roman"/>
                <w:iCs/>
                <w:sz w:val="20"/>
                <w:szCs w:val="24"/>
                <w:lang w:eastAsia="lv-LV"/>
              </w:rPr>
            </w:pPr>
          </w:p>
        </w:tc>
        <w:tc>
          <w:tcPr>
            <w:tcW w:w="993" w:type="dxa"/>
          </w:tcPr>
          <w:p w14:paraId="6B382F1E" w14:textId="7F2DDC9F" w:rsidR="00A94CC3" w:rsidRPr="005851C0" w:rsidRDefault="00A94CC3" w:rsidP="00A94CC3">
            <w:pPr>
              <w:jc w:val="center"/>
              <w:rPr>
                <w:rFonts w:eastAsia="Times New Roman" w:cs="Times New Roman"/>
                <w:iCs/>
                <w:sz w:val="20"/>
                <w:szCs w:val="24"/>
                <w:lang w:eastAsia="lv-LV"/>
              </w:rPr>
            </w:pPr>
            <w:r w:rsidRPr="005851C0">
              <w:rPr>
                <w:rFonts w:eastAsia="Times New Roman" w:cs="Times New Roman"/>
                <w:iCs/>
                <w:sz w:val="20"/>
                <w:szCs w:val="24"/>
                <w:lang w:eastAsia="lv-LV"/>
              </w:rPr>
              <w:t>0</w:t>
            </w:r>
          </w:p>
        </w:tc>
        <w:tc>
          <w:tcPr>
            <w:tcW w:w="1008" w:type="dxa"/>
          </w:tcPr>
          <w:p w14:paraId="657480DE" w14:textId="1D75CA3B" w:rsidR="00A94CC3" w:rsidRPr="005851C0" w:rsidRDefault="00A94CC3" w:rsidP="00A94CC3">
            <w:pPr>
              <w:jc w:val="center"/>
              <w:rPr>
                <w:rFonts w:eastAsia="Times New Roman" w:cs="Times New Roman"/>
                <w:iCs/>
                <w:sz w:val="20"/>
                <w:szCs w:val="24"/>
                <w:lang w:eastAsia="lv-LV"/>
              </w:rPr>
            </w:pPr>
            <w:r w:rsidRPr="005851C0">
              <w:rPr>
                <w:rFonts w:eastAsia="Times New Roman" w:cs="Times New Roman"/>
                <w:iCs/>
                <w:sz w:val="20"/>
                <w:szCs w:val="24"/>
                <w:lang w:eastAsia="lv-LV"/>
              </w:rPr>
              <w:t>0</w:t>
            </w:r>
          </w:p>
        </w:tc>
      </w:tr>
      <w:tr w:rsidR="00A94CC3" w:rsidRPr="005851C0" w14:paraId="24C6BDB4" w14:textId="77777777" w:rsidTr="00ED0B96">
        <w:trPr>
          <w:trHeight w:val="520"/>
        </w:trPr>
        <w:tc>
          <w:tcPr>
            <w:tcW w:w="1699" w:type="dxa"/>
            <w:hideMark/>
          </w:tcPr>
          <w:p w14:paraId="7E5E324D" w14:textId="77777777" w:rsidR="00A94CC3" w:rsidRPr="005851C0" w:rsidRDefault="00A94CC3" w:rsidP="00A94CC3">
            <w:pPr>
              <w:rPr>
                <w:rFonts w:eastAsia="Times New Roman" w:cs="Times New Roman"/>
                <w:iCs/>
                <w:sz w:val="24"/>
                <w:szCs w:val="24"/>
                <w:lang w:eastAsia="lv-LV"/>
              </w:rPr>
            </w:pPr>
            <w:r w:rsidRPr="005851C0">
              <w:rPr>
                <w:rFonts w:eastAsia="Times New Roman" w:cs="Times New Roman"/>
                <w:iCs/>
                <w:sz w:val="24"/>
                <w:szCs w:val="24"/>
                <w:lang w:eastAsia="lv-LV"/>
              </w:rPr>
              <w:t>5.3. pašvaldību budžets</w:t>
            </w:r>
          </w:p>
        </w:tc>
        <w:tc>
          <w:tcPr>
            <w:tcW w:w="1273" w:type="dxa"/>
            <w:vMerge/>
          </w:tcPr>
          <w:p w14:paraId="7EBCC15C" w14:textId="085E88A6" w:rsidR="00A94CC3" w:rsidRPr="005851C0" w:rsidRDefault="00A94CC3" w:rsidP="00A94CC3">
            <w:pPr>
              <w:jc w:val="center"/>
              <w:rPr>
                <w:rFonts w:eastAsia="Times New Roman" w:cs="Times New Roman"/>
                <w:iCs/>
                <w:sz w:val="20"/>
                <w:szCs w:val="24"/>
                <w:lang w:eastAsia="lv-LV"/>
              </w:rPr>
            </w:pPr>
          </w:p>
        </w:tc>
        <w:tc>
          <w:tcPr>
            <w:tcW w:w="851" w:type="dxa"/>
          </w:tcPr>
          <w:p w14:paraId="2A52DD56" w14:textId="2DF5F47C" w:rsidR="00A94CC3" w:rsidRPr="005851C0" w:rsidRDefault="00A94CC3" w:rsidP="00A94CC3">
            <w:pPr>
              <w:jc w:val="center"/>
              <w:rPr>
                <w:rFonts w:eastAsia="Times New Roman" w:cs="Times New Roman"/>
                <w:iCs/>
                <w:sz w:val="20"/>
                <w:szCs w:val="24"/>
                <w:lang w:eastAsia="lv-LV"/>
              </w:rPr>
            </w:pPr>
            <w:r w:rsidRPr="005851C0">
              <w:rPr>
                <w:rFonts w:eastAsia="Times New Roman" w:cs="Times New Roman"/>
                <w:iCs/>
                <w:sz w:val="20"/>
                <w:szCs w:val="24"/>
                <w:lang w:eastAsia="lv-LV"/>
              </w:rPr>
              <w:t>0</w:t>
            </w:r>
          </w:p>
        </w:tc>
        <w:tc>
          <w:tcPr>
            <w:tcW w:w="1275" w:type="dxa"/>
            <w:vMerge/>
          </w:tcPr>
          <w:p w14:paraId="4801E9E8" w14:textId="0A7D1206" w:rsidR="00A94CC3" w:rsidRPr="005851C0" w:rsidRDefault="00A94CC3" w:rsidP="00A94CC3">
            <w:pPr>
              <w:jc w:val="center"/>
              <w:rPr>
                <w:rFonts w:eastAsia="Times New Roman" w:cs="Times New Roman"/>
                <w:iCs/>
                <w:sz w:val="20"/>
                <w:szCs w:val="24"/>
                <w:lang w:eastAsia="lv-LV"/>
              </w:rPr>
            </w:pPr>
          </w:p>
        </w:tc>
        <w:tc>
          <w:tcPr>
            <w:tcW w:w="993" w:type="dxa"/>
          </w:tcPr>
          <w:p w14:paraId="0C7755EE" w14:textId="56316B84" w:rsidR="00A94CC3" w:rsidRPr="005851C0" w:rsidRDefault="00A94CC3" w:rsidP="00A94CC3">
            <w:pPr>
              <w:jc w:val="center"/>
              <w:rPr>
                <w:rFonts w:eastAsia="Times New Roman" w:cs="Times New Roman"/>
                <w:iCs/>
                <w:sz w:val="20"/>
                <w:szCs w:val="24"/>
                <w:lang w:eastAsia="lv-LV"/>
              </w:rPr>
            </w:pPr>
            <w:r w:rsidRPr="005851C0">
              <w:rPr>
                <w:rFonts w:eastAsia="Times New Roman" w:cs="Times New Roman"/>
                <w:iCs/>
                <w:sz w:val="20"/>
                <w:szCs w:val="24"/>
                <w:lang w:eastAsia="lv-LV"/>
              </w:rPr>
              <w:t>0</w:t>
            </w:r>
          </w:p>
        </w:tc>
        <w:tc>
          <w:tcPr>
            <w:tcW w:w="1275" w:type="dxa"/>
            <w:vMerge/>
          </w:tcPr>
          <w:p w14:paraId="59284D79" w14:textId="22212D53" w:rsidR="00A94CC3" w:rsidRPr="005851C0" w:rsidRDefault="00A94CC3" w:rsidP="00A94CC3">
            <w:pPr>
              <w:jc w:val="center"/>
              <w:rPr>
                <w:rFonts w:eastAsia="Times New Roman" w:cs="Times New Roman"/>
                <w:iCs/>
                <w:sz w:val="20"/>
                <w:szCs w:val="24"/>
                <w:lang w:eastAsia="lv-LV"/>
              </w:rPr>
            </w:pPr>
          </w:p>
        </w:tc>
        <w:tc>
          <w:tcPr>
            <w:tcW w:w="993" w:type="dxa"/>
          </w:tcPr>
          <w:p w14:paraId="7A30F5C4" w14:textId="4E416031" w:rsidR="00A94CC3" w:rsidRPr="005851C0" w:rsidRDefault="00A94CC3" w:rsidP="00A94CC3">
            <w:pPr>
              <w:jc w:val="center"/>
              <w:rPr>
                <w:rFonts w:eastAsia="Times New Roman" w:cs="Times New Roman"/>
                <w:iCs/>
                <w:sz w:val="20"/>
                <w:szCs w:val="24"/>
                <w:lang w:eastAsia="lv-LV"/>
              </w:rPr>
            </w:pPr>
            <w:r w:rsidRPr="005851C0">
              <w:rPr>
                <w:rFonts w:eastAsia="Times New Roman" w:cs="Times New Roman"/>
                <w:iCs/>
                <w:sz w:val="20"/>
                <w:szCs w:val="24"/>
                <w:lang w:eastAsia="lv-LV"/>
              </w:rPr>
              <w:t>0</w:t>
            </w:r>
          </w:p>
        </w:tc>
        <w:tc>
          <w:tcPr>
            <w:tcW w:w="1008" w:type="dxa"/>
          </w:tcPr>
          <w:p w14:paraId="4351661A" w14:textId="3D14068D" w:rsidR="00A94CC3" w:rsidRPr="005851C0" w:rsidRDefault="00A94CC3" w:rsidP="00A94CC3">
            <w:pPr>
              <w:jc w:val="center"/>
              <w:rPr>
                <w:rFonts w:eastAsia="Times New Roman" w:cs="Times New Roman"/>
                <w:iCs/>
                <w:sz w:val="20"/>
                <w:szCs w:val="24"/>
                <w:lang w:eastAsia="lv-LV"/>
              </w:rPr>
            </w:pPr>
            <w:r w:rsidRPr="005851C0">
              <w:rPr>
                <w:rFonts w:eastAsia="Times New Roman" w:cs="Times New Roman"/>
                <w:iCs/>
                <w:sz w:val="20"/>
                <w:szCs w:val="24"/>
                <w:lang w:eastAsia="lv-LV"/>
              </w:rPr>
              <w:t>0</w:t>
            </w:r>
          </w:p>
        </w:tc>
      </w:tr>
      <w:tr w:rsidR="00A94CC3" w:rsidRPr="005851C0" w14:paraId="57DBC97F" w14:textId="77777777" w:rsidTr="00612B54">
        <w:trPr>
          <w:trHeight w:val="2720"/>
        </w:trPr>
        <w:tc>
          <w:tcPr>
            <w:tcW w:w="1699" w:type="dxa"/>
            <w:hideMark/>
          </w:tcPr>
          <w:p w14:paraId="77685617" w14:textId="77777777" w:rsidR="00A94CC3" w:rsidRPr="005851C0" w:rsidRDefault="00A94CC3" w:rsidP="00ED0B96">
            <w:pPr>
              <w:rPr>
                <w:rFonts w:eastAsia="Times New Roman" w:cs="Times New Roman"/>
                <w:iCs/>
                <w:sz w:val="24"/>
                <w:szCs w:val="24"/>
                <w:lang w:eastAsia="lv-LV"/>
              </w:rPr>
            </w:pPr>
            <w:r w:rsidRPr="005851C0">
              <w:rPr>
                <w:rFonts w:eastAsia="Times New Roman" w:cs="Times New Roman"/>
                <w:iCs/>
                <w:sz w:val="24"/>
                <w:szCs w:val="24"/>
                <w:lang w:eastAsia="lv-LV"/>
              </w:rPr>
              <w:t>6. Detalizēts ieņēmumu un izdevumu aprēķins (ja nepieciešams, detalizētu ieņēmumu un izdevumu aprēķinu var pievienot anotācijas pielikumā)</w:t>
            </w:r>
          </w:p>
        </w:tc>
        <w:tc>
          <w:tcPr>
            <w:tcW w:w="7668" w:type="dxa"/>
            <w:gridSpan w:val="7"/>
            <w:vMerge w:val="restart"/>
          </w:tcPr>
          <w:p w14:paraId="0534DBAA" w14:textId="77777777" w:rsidR="00A94CC3" w:rsidRPr="005851C0" w:rsidRDefault="00A94CC3" w:rsidP="00F05D71">
            <w:pPr>
              <w:jc w:val="both"/>
              <w:rPr>
                <w:rFonts w:eastAsia="Times New Roman" w:cs="Times New Roman"/>
                <w:iCs/>
                <w:sz w:val="24"/>
                <w:szCs w:val="24"/>
                <w:lang w:eastAsia="lv-LV"/>
              </w:rPr>
            </w:pPr>
          </w:p>
        </w:tc>
      </w:tr>
      <w:tr w:rsidR="00A94CC3" w:rsidRPr="005851C0" w14:paraId="76BC1E10" w14:textId="77777777" w:rsidTr="00612B54">
        <w:trPr>
          <w:trHeight w:val="817"/>
        </w:trPr>
        <w:tc>
          <w:tcPr>
            <w:tcW w:w="1699" w:type="dxa"/>
            <w:hideMark/>
          </w:tcPr>
          <w:p w14:paraId="25CDE494" w14:textId="77777777" w:rsidR="00A94CC3" w:rsidRPr="005851C0" w:rsidRDefault="00A94CC3" w:rsidP="00ED0B96">
            <w:pPr>
              <w:rPr>
                <w:rFonts w:eastAsia="Times New Roman" w:cs="Times New Roman"/>
                <w:iCs/>
                <w:sz w:val="24"/>
                <w:szCs w:val="24"/>
                <w:lang w:eastAsia="lv-LV"/>
              </w:rPr>
            </w:pPr>
            <w:r w:rsidRPr="005851C0">
              <w:rPr>
                <w:rFonts w:eastAsia="Times New Roman" w:cs="Times New Roman"/>
                <w:iCs/>
                <w:sz w:val="24"/>
                <w:szCs w:val="24"/>
                <w:lang w:eastAsia="lv-LV"/>
              </w:rPr>
              <w:t>6.1. detalizēts ieņēmumu aprēķins</w:t>
            </w:r>
          </w:p>
        </w:tc>
        <w:tc>
          <w:tcPr>
            <w:tcW w:w="7668" w:type="dxa"/>
            <w:gridSpan w:val="7"/>
            <w:vMerge/>
          </w:tcPr>
          <w:p w14:paraId="2325A874" w14:textId="77777777" w:rsidR="00A94CC3" w:rsidRPr="005851C0" w:rsidRDefault="00A94CC3" w:rsidP="00ED0B96">
            <w:pPr>
              <w:rPr>
                <w:rFonts w:eastAsia="Times New Roman" w:cs="Times New Roman"/>
                <w:iCs/>
                <w:sz w:val="24"/>
                <w:szCs w:val="24"/>
                <w:lang w:eastAsia="lv-LV"/>
              </w:rPr>
            </w:pPr>
          </w:p>
        </w:tc>
      </w:tr>
      <w:tr w:rsidR="00A94CC3" w:rsidRPr="005851C0" w14:paraId="5AFF65AD" w14:textId="77777777" w:rsidTr="00612B54">
        <w:trPr>
          <w:trHeight w:val="550"/>
        </w:trPr>
        <w:tc>
          <w:tcPr>
            <w:tcW w:w="1699" w:type="dxa"/>
            <w:hideMark/>
          </w:tcPr>
          <w:p w14:paraId="29DA474C" w14:textId="77777777" w:rsidR="00A94CC3" w:rsidRPr="005851C0" w:rsidRDefault="00A94CC3" w:rsidP="00ED0B96">
            <w:pPr>
              <w:rPr>
                <w:rFonts w:eastAsia="Times New Roman" w:cs="Times New Roman"/>
                <w:iCs/>
                <w:sz w:val="24"/>
                <w:szCs w:val="24"/>
                <w:lang w:eastAsia="lv-LV"/>
              </w:rPr>
            </w:pPr>
            <w:r w:rsidRPr="005851C0">
              <w:rPr>
                <w:rFonts w:eastAsia="Times New Roman" w:cs="Times New Roman"/>
                <w:iCs/>
                <w:sz w:val="24"/>
                <w:szCs w:val="24"/>
                <w:lang w:eastAsia="lv-LV"/>
              </w:rPr>
              <w:t>6.2. detalizēts izdevumu aprēķins</w:t>
            </w:r>
          </w:p>
        </w:tc>
        <w:tc>
          <w:tcPr>
            <w:tcW w:w="7668" w:type="dxa"/>
            <w:gridSpan w:val="7"/>
            <w:vMerge/>
          </w:tcPr>
          <w:p w14:paraId="53721794" w14:textId="77777777" w:rsidR="00A94CC3" w:rsidRPr="005851C0" w:rsidRDefault="00A94CC3" w:rsidP="00ED0B96">
            <w:pPr>
              <w:rPr>
                <w:rFonts w:eastAsia="Times New Roman" w:cs="Times New Roman"/>
                <w:iCs/>
                <w:sz w:val="24"/>
                <w:szCs w:val="24"/>
                <w:lang w:eastAsia="lv-LV"/>
              </w:rPr>
            </w:pPr>
          </w:p>
        </w:tc>
      </w:tr>
      <w:tr w:rsidR="00F05D71" w:rsidRPr="005851C0" w14:paraId="332D18F1" w14:textId="77777777" w:rsidTr="00ED0B96">
        <w:trPr>
          <w:trHeight w:val="535"/>
        </w:trPr>
        <w:tc>
          <w:tcPr>
            <w:tcW w:w="1699" w:type="dxa"/>
            <w:hideMark/>
          </w:tcPr>
          <w:p w14:paraId="12EC80AE" w14:textId="77777777" w:rsidR="00F05D71" w:rsidRPr="005851C0" w:rsidRDefault="00F05D71" w:rsidP="00ED0B96">
            <w:pPr>
              <w:rPr>
                <w:rFonts w:eastAsia="Times New Roman" w:cs="Times New Roman"/>
                <w:iCs/>
                <w:sz w:val="24"/>
                <w:szCs w:val="24"/>
                <w:lang w:eastAsia="lv-LV"/>
              </w:rPr>
            </w:pPr>
            <w:r w:rsidRPr="005851C0">
              <w:rPr>
                <w:rFonts w:eastAsia="Times New Roman" w:cs="Times New Roman"/>
                <w:iCs/>
                <w:sz w:val="24"/>
                <w:szCs w:val="24"/>
                <w:lang w:eastAsia="lv-LV"/>
              </w:rPr>
              <w:t>7. Amata vietu skaita izmaiņas</w:t>
            </w:r>
          </w:p>
        </w:tc>
        <w:tc>
          <w:tcPr>
            <w:tcW w:w="7668" w:type="dxa"/>
            <w:gridSpan w:val="7"/>
          </w:tcPr>
          <w:p w14:paraId="16115D18" w14:textId="77777777" w:rsidR="00F05D71" w:rsidRPr="005851C0" w:rsidRDefault="00F05D71" w:rsidP="00ED0B96">
            <w:pPr>
              <w:jc w:val="both"/>
              <w:rPr>
                <w:rFonts w:eastAsia="Times New Roman" w:cs="Times New Roman"/>
                <w:iCs/>
                <w:sz w:val="24"/>
                <w:szCs w:val="24"/>
                <w:lang w:eastAsia="lv-LV"/>
              </w:rPr>
            </w:pPr>
            <w:r w:rsidRPr="005851C0">
              <w:rPr>
                <w:rFonts w:eastAsia="Times New Roman" w:cs="Times New Roman"/>
                <w:iCs/>
                <w:sz w:val="24"/>
                <w:szCs w:val="24"/>
                <w:lang w:eastAsia="lv-LV"/>
              </w:rPr>
              <w:t>Nav.</w:t>
            </w:r>
          </w:p>
        </w:tc>
      </w:tr>
      <w:tr w:rsidR="00F05D71" w:rsidRPr="005851C0" w14:paraId="375B587D" w14:textId="77777777" w:rsidTr="00ED0B96">
        <w:trPr>
          <w:trHeight w:val="267"/>
        </w:trPr>
        <w:tc>
          <w:tcPr>
            <w:tcW w:w="1699" w:type="dxa"/>
            <w:hideMark/>
          </w:tcPr>
          <w:p w14:paraId="6422AA5E" w14:textId="77777777" w:rsidR="00F05D71" w:rsidRPr="005851C0" w:rsidRDefault="00F05D71" w:rsidP="00ED0B96">
            <w:pPr>
              <w:rPr>
                <w:rFonts w:eastAsia="Times New Roman" w:cs="Times New Roman"/>
                <w:iCs/>
                <w:sz w:val="24"/>
                <w:szCs w:val="24"/>
                <w:lang w:eastAsia="lv-LV"/>
              </w:rPr>
            </w:pPr>
            <w:r w:rsidRPr="005851C0">
              <w:rPr>
                <w:rFonts w:eastAsia="Times New Roman" w:cs="Times New Roman"/>
                <w:iCs/>
                <w:sz w:val="24"/>
                <w:szCs w:val="24"/>
                <w:lang w:eastAsia="lv-LV"/>
              </w:rPr>
              <w:t>8. Cita informācija</w:t>
            </w:r>
          </w:p>
        </w:tc>
        <w:tc>
          <w:tcPr>
            <w:tcW w:w="7668" w:type="dxa"/>
            <w:gridSpan w:val="7"/>
          </w:tcPr>
          <w:p w14:paraId="20EEC9AB" w14:textId="77777777" w:rsidR="00144B0B" w:rsidRPr="005851C0" w:rsidRDefault="00F40518" w:rsidP="00C04AC2">
            <w:pPr>
              <w:jc w:val="both"/>
              <w:rPr>
                <w:rFonts w:cs="Times New Roman"/>
                <w:sz w:val="24"/>
              </w:rPr>
            </w:pPr>
            <w:r w:rsidRPr="005851C0">
              <w:rPr>
                <w:rFonts w:cs="Times New Roman"/>
                <w:sz w:val="24"/>
              </w:rPr>
              <w:t xml:space="preserve">1. </w:t>
            </w:r>
            <w:r w:rsidR="00F05D71" w:rsidRPr="005851C0">
              <w:rPr>
                <w:rFonts w:cs="Times New Roman"/>
                <w:sz w:val="24"/>
              </w:rPr>
              <w:t xml:space="preserve">Atbilstoši Valsts ieņēmumu dienesta sniegtajai informācijai </w:t>
            </w:r>
            <w:r w:rsidR="00C04AC2" w:rsidRPr="005851C0">
              <w:rPr>
                <w:rFonts w:cs="Times New Roman"/>
                <w:sz w:val="24"/>
              </w:rPr>
              <w:t>par atdotajām akcīzes nodokļa markām:</w:t>
            </w:r>
            <w:r w:rsidR="00144B0B" w:rsidRPr="005851C0">
              <w:rPr>
                <w:rFonts w:cs="Times New Roman"/>
                <w:sz w:val="24"/>
              </w:rPr>
              <w:t xml:space="preserve"> </w:t>
            </w:r>
          </w:p>
          <w:p w14:paraId="03BB5FB8" w14:textId="77777777" w:rsidR="00C04AC2" w:rsidRPr="005851C0" w:rsidRDefault="00144B0B" w:rsidP="00144B0B">
            <w:pPr>
              <w:pStyle w:val="ListParagraph"/>
              <w:numPr>
                <w:ilvl w:val="0"/>
                <w:numId w:val="19"/>
              </w:numPr>
              <w:jc w:val="both"/>
            </w:pPr>
            <w:r w:rsidRPr="005851C0">
              <w:t>alkoholiskie dzērieni:</w:t>
            </w:r>
          </w:p>
          <w:p w14:paraId="4653CAF8" w14:textId="77777777" w:rsidR="00F05D71" w:rsidRPr="005851C0" w:rsidRDefault="00C04AC2" w:rsidP="00FB70E3">
            <w:pPr>
              <w:pStyle w:val="ListParagraph"/>
              <w:numPr>
                <w:ilvl w:val="0"/>
                <w:numId w:val="18"/>
              </w:numPr>
              <w:ind w:left="0" w:firstLine="360"/>
              <w:jc w:val="both"/>
            </w:pPr>
            <w:r w:rsidRPr="005851C0">
              <w:t xml:space="preserve">2019.gadā </w:t>
            </w:r>
            <w:r w:rsidR="001508C5" w:rsidRPr="005851C0">
              <w:t xml:space="preserve">18 akcīzes nodokļa maksātāji atdeva </w:t>
            </w:r>
            <w:r w:rsidRPr="005851C0">
              <w:t xml:space="preserve"> 65</w:t>
            </w:r>
            <w:r w:rsidR="00FB70E3" w:rsidRPr="005851C0">
              <w:t> </w:t>
            </w:r>
            <w:r w:rsidRPr="005851C0">
              <w:t xml:space="preserve">912 akcīzes nodokļa markas, par kurām </w:t>
            </w:r>
            <w:r w:rsidR="00FB70E3" w:rsidRPr="005851C0">
              <w:t xml:space="preserve">aprēķinātais akcīzes nodoklis </w:t>
            </w:r>
            <w:r w:rsidRPr="005851C0">
              <w:t>tika atmaksāts vai novirzīts nodokļu parādu segšanai 141</w:t>
            </w:r>
            <w:r w:rsidR="00FB70E3" w:rsidRPr="005851C0">
              <w:t> </w:t>
            </w:r>
            <w:r w:rsidRPr="005851C0">
              <w:t>419 EUR</w:t>
            </w:r>
            <w:r w:rsidR="00FB70E3" w:rsidRPr="005851C0">
              <w:t xml:space="preserve"> apmērā</w:t>
            </w:r>
            <w:r w:rsidRPr="005851C0">
              <w:t>. Visvairāk markas tika atgrieztas par pārējiem alkoholiskajiem dzērieniem, kas veido</w:t>
            </w:r>
            <w:r w:rsidR="00FB70E3" w:rsidRPr="005851C0">
              <w:t>ja</w:t>
            </w:r>
            <w:r w:rsidRPr="005851C0">
              <w:t xml:space="preserve"> 67,7% no kopējā atdot</w:t>
            </w:r>
            <w:r w:rsidR="00FB70E3" w:rsidRPr="005851C0">
              <w:t>o</w:t>
            </w:r>
            <w:r w:rsidRPr="005851C0">
              <w:t xml:space="preserve"> alkoholisko dzērienu akcīzes nodokļa marku skaita un aprēķinātais akcīzes nodokļa apmērs par tām veidoja 87,6% no kopējā</w:t>
            </w:r>
            <w:r w:rsidR="00FB70E3" w:rsidRPr="005851C0">
              <w:t xml:space="preserve"> aprēķinātā akcīzes nodokļa par atdotajām alkoholisko dzērienu akcīzes nodokļa markām. Otro lielāko grupu veidoja vīni – tika atdotas 12,9% no kopējā atdoto alkoholisko dzērienu akcīzes nodokļa marku skaita un aprēķinātais akcīzes nodokļa apmērs par tām veidoja 5,8% no kopējā aprēķinātā akcīzes nodokļa par atdotajām alkoholisko dzērienu akcīzes nodokļa markām</w:t>
            </w:r>
            <w:r w:rsidR="000C6DD7" w:rsidRPr="005851C0">
              <w:t>.</w:t>
            </w:r>
            <w:r w:rsidR="00A319FE" w:rsidRPr="005851C0">
              <w:t xml:space="preserve"> Vislielākais aprēķinātais akcīzes nodoklis v</w:t>
            </w:r>
            <w:r w:rsidR="000C6DD7" w:rsidRPr="005851C0">
              <w:t xml:space="preserve">idēji par vienu </w:t>
            </w:r>
            <w:r w:rsidR="00094485" w:rsidRPr="005851C0">
              <w:t xml:space="preserve">atdoto </w:t>
            </w:r>
            <w:r w:rsidR="000C6DD7" w:rsidRPr="005851C0">
              <w:t xml:space="preserve">akcīzes nodokļa marku bija par pārējiem alkoholiskajiem dzērieniem – 2,77 </w:t>
            </w:r>
            <w:r w:rsidR="00A319FE" w:rsidRPr="005851C0">
              <w:t xml:space="preserve">EUR, savukārt </w:t>
            </w:r>
            <w:r w:rsidR="00A319FE" w:rsidRPr="005851C0">
              <w:lastRenderedPageBreak/>
              <w:t xml:space="preserve">vismazākais </w:t>
            </w:r>
            <w:r w:rsidR="0095260D" w:rsidRPr="005851C0">
              <w:t xml:space="preserve">bija </w:t>
            </w:r>
            <w:r w:rsidR="00A319FE" w:rsidRPr="005851C0">
              <w:t xml:space="preserve">par starpproduktiem ar absolūtā spirta saturu līdz </w:t>
            </w:r>
            <w:r w:rsidR="0095260D" w:rsidRPr="005851C0">
              <w:t xml:space="preserve">15 </w:t>
            </w:r>
            <w:proofErr w:type="spellStart"/>
            <w:r w:rsidR="0095260D" w:rsidRPr="005851C0">
              <w:t>tilp</w:t>
            </w:r>
            <w:proofErr w:type="spellEnd"/>
            <w:r w:rsidR="0095260D" w:rsidRPr="005851C0">
              <w:t>.% (ieskaitot) – 0,55 EUR</w:t>
            </w:r>
            <w:r w:rsidR="00FB70E3" w:rsidRPr="005851C0">
              <w:t>;</w:t>
            </w:r>
          </w:p>
          <w:p w14:paraId="179E5D9E" w14:textId="77777777" w:rsidR="0095260D" w:rsidRPr="005851C0" w:rsidRDefault="00FB70E3" w:rsidP="0095260D">
            <w:pPr>
              <w:pStyle w:val="ListParagraph"/>
              <w:numPr>
                <w:ilvl w:val="0"/>
                <w:numId w:val="18"/>
              </w:numPr>
              <w:ind w:left="0" w:firstLine="360"/>
              <w:jc w:val="both"/>
            </w:pPr>
            <w:r w:rsidRPr="005851C0">
              <w:t xml:space="preserve">2018.gadā </w:t>
            </w:r>
            <w:r w:rsidR="00853E40" w:rsidRPr="005851C0">
              <w:t>1</w:t>
            </w:r>
            <w:r w:rsidR="001508C5" w:rsidRPr="005851C0">
              <w:t xml:space="preserve">6 akcīzes </w:t>
            </w:r>
            <w:r w:rsidR="00853E40" w:rsidRPr="005851C0">
              <w:t>nodok</w:t>
            </w:r>
            <w:r w:rsidR="001508C5" w:rsidRPr="005851C0">
              <w:t>ļa</w:t>
            </w:r>
            <w:r w:rsidR="00853E40" w:rsidRPr="005851C0">
              <w:t xml:space="preserve"> maksātāji atdeva </w:t>
            </w:r>
            <w:r w:rsidRPr="005851C0">
              <w:t xml:space="preserve">31 332 akcīzes nodokļa markas, par kurām aprēķinātais akcīzes nodoklis tika atmaksāts vai novirzīts nodokļu parādu segšanai </w:t>
            </w:r>
            <w:r w:rsidR="00076359" w:rsidRPr="005851C0">
              <w:t>48 667</w:t>
            </w:r>
            <w:r w:rsidRPr="005851C0">
              <w:t xml:space="preserve"> EUR apmērā.</w:t>
            </w:r>
            <w:r w:rsidR="00076359" w:rsidRPr="005851C0">
              <w:rPr>
                <w:rFonts w:eastAsiaTheme="minorHAnsi"/>
                <w:sz w:val="22"/>
                <w:szCs w:val="22"/>
                <w:lang w:eastAsia="en-US"/>
              </w:rPr>
              <w:t xml:space="preserve"> </w:t>
            </w:r>
            <w:r w:rsidR="00076359" w:rsidRPr="005851C0">
              <w:t>Visvairāk markas tika atgrieztas par raudzētajiem dzērieniem ar absolūtā spirta saturu virs 6 </w:t>
            </w:r>
            <w:proofErr w:type="spellStart"/>
            <w:r w:rsidR="00076359" w:rsidRPr="005851C0">
              <w:t>tilp</w:t>
            </w:r>
            <w:proofErr w:type="spellEnd"/>
            <w:r w:rsidR="00076359" w:rsidRPr="005851C0">
              <w:t>. %, kas veidoja 46,8%</w:t>
            </w:r>
            <w:r w:rsidR="00076359" w:rsidRPr="005851C0">
              <w:rPr>
                <w:rFonts w:eastAsiaTheme="minorHAnsi"/>
                <w:sz w:val="22"/>
                <w:szCs w:val="22"/>
                <w:lang w:eastAsia="en-US"/>
              </w:rPr>
              <w:t xml:space="preserve"> </w:t>
            </w:r>
            <w:r w:rsidR="00076359" w:rsidRPr="005851C0">
              <w:t>no kopējā atdoto alkoholisko dzērienu akcīzes nodokļa marku skaita, taču</w:t>
            </w:r>
            <w:r w:rsidR="00076359" w:rsidRPr="005851C0">
              <w:rPr>
                <w:rFonts w:eastAsiaTheme="minorHAnsi"/>
                <w:sz w:val="22"/>
                <w:szCs w:val="22"/>
                <w:lang w:eastAsia="en-US"/>
              </w:rPr>
              <w:t xml:space="preserve"> </w:t>
            </w:r>
            <w:r w:rsidR="00076359" w:rsidRPr="005851C0">
              <w:t>aprēķinātais akcīzes nodokļa apmērs par tām veidoja 20,3% no kopējā aprēķinātā akcīzes nodokļa par atdotajām alkoholisko dzērienu akcīzes nodokļa markām, kas bija</w:t>
            </w:r>
            <w:r w:rsidR="0095260D" w:rsidRPr="005851C0">
              <w:t xml:space="preserve"> otrais </w:t>
            </w:r>
            <w:r w:rsidR="00076359" w:rsidRPr="005851C0">
              <w:t xml:space="preserve">lielākais rādītājs. </w:t>
            </w:r>
            <w:r w:rsidR="009B1022" w:rsidRPr="005851C0">
              <w:t>Otro lielāko grupu atdoto</w:t>
            </w:r>
            <w:r w:rsidR="00144B0B" w:rsidRPr="005851C0">
              <w:t xml:space="preserve"> akcīzes nodokļa marku skaita ziņā veidoja pārējie alkoholiskie dzērieni – 33,3% no kopējā atdoto alkoholisko dzērienu akcīzes nodokļa marku skaita, taču aprēķinātais akcīzes nodokļa apmērs par tām bija vislielākais – 72,1% no kopējā aprēķinātā akcīzes nodokļa par atdotajām alkoholisko dzērienu akcīzes nodokļa markām</w:t>
            </w:r>
            <w:r w:rsidR="0095260D" w:rsidRPr="005851C0">
              <w:t xml:space="preserve">. Vislielākais aprēķinātais akcīzes nodoklis vidēji par vienu </w:t>
            </w:r>
            <w:r w:rsidR="00094485" w:rsidRPr="005851C0">
              <w:t xml:space="preserve">atdoto </w:t>
            </w:r>
            <w:r w:rsidR="0095260D" w:rsidRPr="005851C0">
              <w:t>akcīzes nodokļa marku bija par pārējiem alkoholiskajiem dzērieniem – 3,37 EUR, savukārt vismazākais bija par raudzētajiem dzērieniem ar absolūtā spirta saturu līdz 6 </w:t>
            </w:r>
            <w:proofErr w:type="spellStart"/>
            <w:r w:rsidR="0095260D" w:rsidRPr="005851C0">
              <w:t>tilp</w:t>
            </w:r>
            <w:proofErr w:type="spellEnd"/>
            <w:r w:rsidR="0095260D" w:rsidRPr="005851C0">
              <w:t>.% (ieskaitot) – 0,</w:t>
            </w:r>
            <w:r w:rsidR="00094485" w:rsidRPr="005851C0">
              <w:t>32</w:t>
            </w:r>
            <w:r w:rsidR="0095260D" w:rsidRPr="005851C0">
              <w:t xml:space="preserve"> EUR;</w:t>
            </w:r>
          </w:p>
          <w:p w14:paraId="317A41DA" w14:textId="77777777" w:rsidR="00094485" w:rsidRPr="005851C0" w:rsidRDefault="00144B0B" w:rsidP="00094485">
            <w:pPr>
              <w:pStyle w:val="ListParagraph"/>
              <w:numPr>
                <w:ilvl w:val="0"/>
                <w:numId w:val="18"/>
              </w:numPr>
              <w:ind w:left="0" w:firstLine="360"/>
              <w:jc w:val="both"/>
            </w:pPr>
            <w:r w:rsidRPr="005851C0">
              <w:t xml:space="preserve">2017.gadā </w:t>
            </w:r>
            <w:r w:rsidR="001508C5" w:rsidRPr="005851C0">
              <w:t>22 akcīzes nodokļa maksātāji atdeva</w:t>
            </w:r>
            <w:r w:rsidRPr="005851C0">
              <w:t xml:space="preserve"> 471 924 akcīzes nodokļa markas</w:t>
            </w:r>
            <w:r w:rsidR="00ED0B96" w:rsidRPr="005851C0">
              <w:t xml:space="preserve">, par kurām aprēķinātais akcīzes nodoklis tika atmaksāts vai novirzīts nodokļu parādu segšanai 199 838 EUR apmērā. Visvairāk markas tika atgrieztas par starpproduktiem ar absolūtā spirta saturu līdz 15 </w:t>
            </w:r>
            <w:proofErr w:type="spellStart"/>
            <w:r w:rsidR="00ED0B96" w:rsidRPr="005851C0">
              <w:t>tilp</w:t>
            </w:r>
            <w:proofErr w:type="spellEnd"/>
            <w:r w:rsidR="00ED0B96" w:rsidRPr="005851C0">
              <w:t>.% (ieskaitot), kas veidoja 46,7% no kopējā atdoto alkoholisko dzērienu akcīzes nodokļa marku skaita, taču aprēķinātais akcīzes nodokļa apmērs par tām bija trešais lielākais jeb  23,7% no kopējā aprēķinātā akcīzes nodokļa par atdotajām alkoholisko dzērienu akcīzes nodokļa markām</w:t>
            </w:r>
            <w:r w:rsidR="009B1022" w:rsidRPr="005851C0">
              <w:t>.</w:t>
            </w:r>
            <w:r w:rsidR="009B1022" w:rsidRPr="005851C0">
              <w:rPr>
                <w:rFonts w:eastAsiaTheme="minorHAnsi"/>
                <w:sz w:val="22"/>
                <w:szCs w:val="22"/>
                <w:lang w:eastAsia="en-US"/>
              </w:rPr>
              <w:t xml:space="preserve"> </w:t>
            </w:r>
            <w:r w:rsidR="009B1022" w:rsidRPr="005851C0">
              <w:t>Otro lielāko grupu atdoto akcīzes nodokļa marku skaita ziņā veidoja raudzētie dzērieni ar absolūtā spirta saturu līdz 6 </w:t>
            </w:r>
            <w:proofErr w:type="spellStart"/>
            <w:r w:rsidR="009B1022" w:rsidRPr="005851C0">
              <w:t>tilp</w:t>
            </w:r>
            <w:proofErr w:type="spellEnd"/>
            <w:r w:rsidR="009B1022" w:rsidRPr="005851C0">
              <w:t>.% - 33,2%</w:t>
            </w:r>
            <w:r w:rsidR="009B1022" w:rsidRPr="005851C0">
              <w:rPr>
                <w:rFonts w:eastAsiaTheme="minorHAnsi"/>
                <w:sz w:val="22"/>
                <w:szCs w:val="22"/>
                <w:lang w:eastAsia="en-US"/>
              </w:rPr>
              <w:t xml:space="preserve"> </w:t>
            </w:r>
            <w:r w:rsidR="009B1022" w:rsidRPr="005851C0">
              <w:t>no kopējā atdoto alkoholisko dzērienu akcīzes nodokļa marku skaita, taču aprēķinātais akcīzes nodokļa apmērs par tām bija otrais lielākais jeb 27,5% no kopējā aprēķinātā akcīzes nodokļa par atdotajām alkoholisko dzērienu akcīzes nodokļa markām.</w:t>
            </w:r>
            <w:r w:rsidR="00C32092" w:rsidRPr="005851C0">
              <w:t xml:space="preserve"> </w:t>
            </w:r>
            <w:r w:rsidR="009B1022" w:rsidRPr="005851C0">
              <w:t>Trešo lielāko grupu atdoto akcīzes nodokļa marku skaita ziņā veidoja pārējie alkoholiskie dzērieni – 17,1% no kopējā atdoto alkoholisko dzērienu akcīzes nodokļa marku skaita, taču aprēķinātais akcīzes nodokļa apmērs par tām bija vislielākais – 43,9% no kopējā aprēķinātā akcīzes nodokļa par atdotajām alkoholisko dzērienu akcīzes nodokļa markām.</w:t>
            </w:r>
            <w:r w:rsidR="00094485" w:rsidRPr="005851C0">
              <w:t xml:space="preserve"> Vislielākais aprēķinātais akcīzes nodoklis vidēji par vienu atdoto akcīzes nodokļa marku bija par pārējiem alkoholiskajiem dzērieniem un vīnu – attiecīgi 1,09 EUR un 1,08 EUR, savukārt vismazākais bija par starpproduktiem ar absolūtā spirta saturu līdz 15 </w:t>
            </w:r>
            <w:proofErr w:type="spellStart"/>
            <w:r w:rsidR="00094485" w:rsidRPr="005851C0">
              <w:t>tilp</w:t>
            </w:r>
            <w:proofErr w:type="spellEnd"/>
            <w:r w:rsidR="00094485" w:rsidRPr="005851C0">
              <w:t>.% (ieskaitot) – 0,21 EUR.</w:t>
            </w:r>
          </w:p>
          <w:p w14:paraId="3A3D1EAA" w14:textId="77777777" w:rsidR="00ED0B96" w:rsidRPr="005851C0" w:rsidRDefault="00104708" w:rsidP="00ED0B96">
            <w:pPr>
              <w:pStyle w:val="ListParagraph"/>
              <w:ind w:left="87" w:firstLine="273"/>
              <w:jc w:val="both"/>
            </w:pPr>
            <w:r w:rsidRPr="005851C0">
              <w:t>Aprēķināto akcīzes nodokli vidēji par vienu atdoto akcīzes nodokļa marku ietekmē alkoholiskā dzēriena veids, akcīzes nodokļa likme un alkoholiskā dzēriena iepakojuma lielums (tilpums), jo akcīzes nodokļa marku piestiprina pie alkoholiskā dzēriena iepakojuma.</w:t>
            </w:r>
          </w:p>
          <w:p w14:paraId="55CE2AC3" w14:textId="77777777" w:rsidR="00144B0B" w:rsidRPr="005851C0" w:rsidRDefault="00144B0B" w:rsidP="00144B0B">
            <w:pPr>
              <w:pStyle w:val="ListParagraph"/>
              <w:numPr>
                <w:ilvl w:val="0"/>
                <w:numId w:val="19"/>
              </w:numPr>
              <w:jc w:val="both"/>
            </w:pPr>
            <w:r w:rsidRPr="005851C0">
              <w:t>tabakas izstrādājumi:</w:t>
            </w:r>
          </w:p>
          <w:p w14:paraId="614B4DDC" w14:textId="77777777" w:rsidR="001E7C36" w:rsidRPr="005851C0" w:rsidRDefault="009E3DCC" w:rsidP="009E3DCC">
            <w:pPr>
              <w:pStyle w:val="ListParagraph"/>
              <w:numPr>
                <w:ilvl w:val="0"/>
                <w:numId w:val="18"/>
              </w:numPr>
              <w:ind w:left="87" w:firstLine="273"/>
              <w:jc w:val="both"/>
            </w:pPr>
            <w:r w:rsidRPr="005851C0">
              <w:t xml:space="preserve">2019.gadā 4 akcīzes nodokļa maksātāji atdeva 20 982 akcīzes nodokļa markas, par kurām aprēķinātais akcīzes nodoklis tika atmaksāts vai novirzīts nodokļu parādu segšanai 60 765 EUR apmērā. </w:t>
            </w:r>
            <w:r w:rsidR="00980F7E" w:rsidRPr="005851C0">
              <w:t xml:space="preserve">Aptuveni 1/3 jeb 33,8% no atdotajām tabakas izstrādājumu akcīzes nodokļa markām bija citā Eiropas Savienības dalībvalstī iznīcinātās akcīzes nodokļa markas. </w:t>
            </w:r>
            <w:r w:rsidRPr="005851C0">
              <w:t>Visvairāk markas tika atdotas par cigaretēm –</w:t>
            </w:r>
            <w:r w:rsidR="009422B8" w:rsidRPr="005851C0">
              <w:t xml:space="preserve"> 96% no kopējā atdoto tabakas izstrādājumu  </w:t>
            </w:r>
            <w:r w:rsidR="009422B8" w:rsidRPr="005851C0">
              <w:lastRenderedPageBreak/>
              <w:t>akcīzes nodokļa marku skaita un arī aprēķinātais akcīzes nodokļa apmērs bija vislielākais -</w:t>
            </w:r>
            <w:r w:rsidR="00980F7E" w:rsidRPr="005851C0">
              <w:t xml:space="preserve"> </w:t>
            </w:r>
            <w:r w:rsidR="009422B8" w:rsidRPr="005851C0">
              <w:t>97,1% no kopējā aprēķinātā akcīzes nodokļa par atdotajām tabakas izstrādājumu akcīzes nodokļa markām.</w:t>
            </w:r>
            <w:r w:rsidR="00980F7E" w:rsidRPr="005851C0">
              <w:rPr>
                <w:rFonts w:eastAsiaTheme="minorHAnsi"/>
                <w:sz w:val="22"/>
                <w:szCs w:val="22"/>
                <w:lang w:eastAsia="en-US"/>
              </w:rPr>
              <w:t xml:space="preserve"> A</w:t>
            </w:r>
            <w:r w:rsidR="00980F7E" w:rsidRPr="005851C0">
              <w:t>prēķinātais akcīzes nodoklis vidēji par vienu atdoto akcīzes nodokļa marku par cigaretēm bija 2,93 EUR, savukārt smalki sagriezto smēķējamo tabaku cigarešu uztīšanai bija 2,15 EUR</w:t>
            </w:r>
            <w:r w:rsidR="001E7C36" w:rsidRPr="005851C0">
              <w:t>;</w:t>
            </w:r>
          </w:p>
          <w:p w14:paraId="20F6D4A7" w14:textId="77777777" w:rsidR="00C1231A" w:rsidRPr="005851C0" w:rsidRDefault="001E7C36" w:rsidP="009E3DCC">
            <w:pPr>
              <w:pStyle w:val="ListParagraph"/>
              <w:numPr>
                <w:ilvl w:val="0"/>
                <w:numId w:val="18"/>
              </w:numPr>
              <w:ind w:left="87" w:firstLine="273"/>
              <w:jc w:val="both"/>
            </w:pPr>
            <w:r w:rsidRPr="005851C0">
              <w:t xml:space="preserve">2018.gadā 6 akcīzes nodokļa maksātāji atdeva 283 232 akcīzes nodokļa markas, par kurām aprēķinātais akcīzes nodoklis tika atmaksāts vai novirzīts nodokļu parādu segšanai </w:t>
            </w:r>
            <w:r w:rsidR="00C1231A" w:rsidRPr="005851C0">
              <w:t>569 251</w:t>
            </w:r>
            <w:r w:rsidRPr="005851C0">
              <w:t xml:space="preserve"> EUR apmērā. Aptuveni </w:t>
            </w:r>
            <w:r w:rsidR="00C1231A" w:rsidRPr="005851C0">
              <w:t>8,5</w:t>
            </w:r>
            <w:r w:rsidRPr="005851C0">
              <w:t>% no atdotajām tabakas izstrādājumu akcīzes nodokļa markām bija citā Eiropas Savienības dalībvalstī iznīcinātās akcīzes nodokļa markas. Visvairāk markas tika atdotas par cigaretēm – 96</w:t>
            </w:r>
            <w:r w:rsidR="00C1231A" w:rsidRPr="005851C0">
              <w:t>,5</w:t>
            </w:r>
            <w:r w:rsidRPr="005851C0">
              <w:t xml:space="preserve">% no kopējā atdoto tabakas izstrādājumu  akcīzes nodokļa marku skaita un arī aprēķinātais akcīzes nodokļa apmērs bija vislielākais </w:t>
            </w:r>
            <w:r w:rsidR="00C1231A" w:rsidRPr="005851C0">
              <w:t>–</w:t>
            </w:r>
            <w:r w:rsidRPr="005851C0">
              <w:t xml:space="preserve"> </w:t>
            </w:r>
            <w:r w:rsidR="00C1231A" w:rsidRPr="005851C0">
              <w:t>95,8</w:t>
            </w:r>
            <w:r w:rsidRPr="005851C0">
              <w:t xml:space="preserve">% no kopējā aprēķinātā akcīzes nodokļa par atdotajām tabakas izstrādājumu akcīzes nodokļa markām. Aprēķinātais akcīzes nodoklis vidēji par vienu atdoto akcīzes nodokļa marku par cigaretēm bija </w:t>
            </w:r>
            <w:r w:rsidR="00C1231A" w:rsidRPr="005851C0">
              <w:t>1,99</w:t>
            </w:r>
            <w:r w:rsidRPr="005851C0">
              <w:t xml:space="preserve"> EUR, savukārt </w:t>
            </w:r>
            <w:r w:rsidR="00C1231A" w:rsidRPr="005851C0">
              <w:t xml:space="preserve">par citu </w:t>
            </w:r>
            <w:r w:rsidRPr="005851C0">
              <w:t>smēķējamo tabaku bija 2,</w:t>
            </w:r>
            <w:r w:rsidR="00C1231A" w:rsidRPr="005851C0">
              <w:t>89</w:t>
            </w:r>
            <w:r w:rsidRPr="005851C0">
              <w:t> EUR</w:t>
            </w:r>
            <w:r w:rsidR="00C1231A" w:rsidRPr="005851C0">
              <w:t>;</w:t>
            </w:r>
          </w:p>
          <w:p w14:paraId="3848DB71" w14:textId="77777777" w:rsidR="00861102" w:rsidRPr="005851C0" w:rsidRDefault="00C1231A" w:rsidP="009E3DCC">
            <w:pPr>
              <w:pStyle w:val="ListParagraph"/>
              <w:numPr>
                <w:ilvl w:val="0"/>
                <w:numId w:val="18"/>
              </w:numPr>
              <w:ind w:left="87" w:firstLine="273"/>
              <w:jc w:val="both"/>
            </w:pPr>
            <w:r w:rsidRPr="005851C0">
              <w:t>2017.gadā 5 akcīzes nodokļa maksātāji atdeva 304 154 akcīzes nodokļa markas, par kurām aprēķinātais akcīzes nodoklis tika atmaksāts vai novirzīts nodokļu parādu segšanai 564 8</w:t>
            </w:r>
            <w:r w:rsidR="00A64B71" w:rsidRPr="005851C0">
              <w:t>90</w:t>
            </w:r>
            <w:r w:rsidRPr="005851C0">
              <w:t xml:space="preserve"> EUR apmērā. Aptuveni </w:t>
            </w:r>
            <w:r w:rsidR="00FD3D65" w:rsidRPr="005851C0">
              <w:t>3,2</w:t>
            </w:r>
            <w:r w:rsidRPr="005851C0">
              <w:t xml:space="preserve">% no atdotajām tabakas izstrādājumu akcīzes nodokļa markām bija citā Eiropas Savienības dalībvalstī iznīcinātās akcīzes nodokļa markas. Visvairāk markas tika atdotas par cigaretēm – </w:t>
            </w:r>
            <w:r w:rsidR="00FD3D65" w:rsidRPr="005851C0">
              <w:t>97,8</w:t>
            </w:r>
            <w:r w:rsidRPr="005851C0">
              <w:t xml:space="preserve">% no kopējā atdoto tabakas izstrādājumu  akcīzes nodokļa marku skaita un arī aprēķinātais akcīzes nodokļa apmērs bija vislielākais </w:t>
            </w:r>
            <w:r w:rsidR="00FD3D65" w:rsidRPr="005851C0">
              <w:t>–</w:t>
            </w:r>
            <w:r w:rsidRPr="005851C0">
              <w:t xml:space="preserve"> 9</w:t>
            </w:r>
            <w:r w:rsidR="00FD3D65" w:rsidRPr="005851C0">
              <w:t>8,8</w:t>
            </w:r>
            <w:r w:rsidRPr="005851C0">
              <w:t xml:space="preserve">% no kopējā aprēķinātā akcīzes nodokļa par atdotajām tabakas izstrādājumu akcīzes nodokļa markām. Aprēķinātais akcīzes nodoklis vidēji par vienu atdoto akcīzes nodokļa marku par cigaretēm bija </w:t>
            </w:r>
            <w:r w:rsidR="00FD3D65" w:rsidRPr="005851C0">
              <w:t>1,88</w:t>
            </w:r>
            <w:r w:rsidRPr="005851C0">
              <w:t xml:space="preserve"> EUR, savukārt </w:t>
            </w:r>
            <w:r w:rsidR="00FD3D65" w:rsidRPr="005851C0">
              <w:t>par citu</w:t>
            </w:r>
            <w:r w:rsidRPr="005851C0">
              <w:t xml:space="preserve"> smēķējamo tabaku bija </w:t>
            </w:r>
            <w:r w:rsidR="00FD3D65" w:rsidRPr="005851C0">
              <w:t>8,61</w:t>
            </w:r>
            <w:r w:rsidRPr="005851C0">
              <w:t> EUR</w:t>
            </w:r>
            <w:r w:rsidR="00980F7E" w:rsidRPr="005851C0">
              <w:t>.</w:t>
            </w:r>
          </w:p>
          <w:p w14:paraId="5E17508C" w14:textId="77777777" w:rsidR="00861102" w:rsidRPr="005851C0" w:rsidRDefault="00861102" w:rsidP="00861102">
            <w:pPr>
              <w:jc w:val="both"/>
              <w:rPr>
                <w:rFonts w:cs="Times New Roman"/>
                <w:sz w:val="24"/>
                <w:szCs w:val="24"/>
              </w:rPr>
            </w:pPr>
          </w:p>
          <w:p w14:paraId="3F79E42D" w14:textId="77777777" w:rsidR="00861102" w:rsidRPr="005851C0" w:rsidRDefault="00861102" w:rsidP="00861102">
            <w:pPr>
              <w:jc w:val="both"/>
              <w:rPr>
                <w:rFonts w:cs="Times New Roman"/>
                <w:sz w:val="24"/>
                <w:szCs w:val="24"/>
              </w:rPr>
            </w:pPr>
            <w:r w:rsidRPr="005851C0">
              <w:rPr>
                <w:rFonts w:cs="Times New Roman"/>
                <w:sz w:val="24"/>
                <w:szCs w:val="24"/>
              </w:rPr>
              <w:t>Paredzot iespēju iznīcināt akcīzes nodokļa markas, nenoņemot tās no akcīzes preču iepakojuma, un šajā gadījumā saņemt atpakaļ samaksāto akcīzes nodokli, varētu palielināties aprēķinātais akcīzes nodokļa apmērs, kas tiks atmaksāts vai novirzīts nodokļu parādu segšanai.</w:t>
            </w:r>
          </w:p>
          <w:p w14:paraId="4233599B" w14:textId="77777777" w:rsidR="003F5558" w:rsidRPr="005851C0" w:rsidRDefault="003F5558" w:rsidP="00861102">
            <w:pPr>
              <w:jc w:val="both"/>
              <w:rPr>
                <w:rFonts w:cs="Times New Roman"/>
                <w:sz w:val="24"/>
                <w:szCs w:val="24"/>
              </w:rPr>
            </w:pPr>
          </w:p>
          <w:p w14:paraId="47015F2F" w14:textId="208F5FBF" w:rsidR="003F5558" w:rsidRPr="005851C0" w:rsidRDefault="00F40518" w:rsidP="003F5558">
            <w:pPr>
              <w:jc w:val="both"/>
              <w:rPr>
                <w:rFonts w:cs="Times New Roman"/>
                <w:sz w:val="24"/>
                <w:szCs w:val="24"/>
              </w:rPr>
            </w:pPr>
            <w:r w:rsidRPr="005851C0">
              <w:rPr>
                <w:rFonts w:cs="Times New Roman"/>
                <w:sz w:val="24"/>
                <w:szCs w:val="24"/>
              </w:rPr>
              <w:t>2. Saistībā ar likumprojektā ietvertajām normām n</w:t>
            </w:r>
            <w:r w:rsidR="003F5558" w:rsidRPr="005851C0">
              <w:rPr>
                <w:rFonts w:cs="Times New Roman"/>
                <w:sz w:val="24"/>
                <w:szCs w:val="24"/>
              </w:rPr>
              <w:t>epieciešamo izmaiņu veikšanai V</w:t>
            </w:r>
            <w:r w:rsidRPr="005851C0">
              <w:rPr>
                <w:rFonts w:cs="Times New Roman"/>
                <w:sz w:val="24"/>
                <w:szCs w:val="24"/>
              </w:rPr>
              <w:t>alsts ieņēmumu dienesta</w:t>
            </w:r>
            <w:r w:rsidR="003F5558" w:rsidRPr="005851C0">
              <w:rPr>
                <w:rFonts w:cs="Times New Roman"/>
                <w:sz w:val="24"/>
                <w:szCs w:val="24"/>
              </w:rPr>
              <w:t xml:space="preserve"> informācijas sistēmā 2020.gadā ir nepieciešams finansējums 73 332 EUR apmērā, tai skaitā:</w:t>
            </w:r>
          </w:p>
          <w:p w14:paraId="1AAD59AE" w14:textId="77777777" w:rsidR="003F5558" w:rsidRPr="005851C0" w:rsidRDefault="003F5558" w:rsidP="003F5558">
            <w:pPr>
              <w:numPr>
                <w:ilvl w:val="0"/>
                <w:numId w:val="20"/>
              </w:numPr>
              <w:jc w:val="both"/>
              <w:rPr>
                <w:rFonts w:cs="Times New Roman"/>
                <w:sz w:val="24"/>
                <w:szCs w:val="24"/>
              </w:rPr>
            </w:pPr>
            <w:r w:rsidRPr="005851C0">
              <w:rPr>
                <w:rFonts w:cs="Times New Roman"/>
                <w:sz w:val="24"/>
                <w:szCs w:val="24"/>
              </w:rPr>
              <w:t>Nodokļu informācijas sistēmā (NIS) – 21 326 EUR;</w:t>
            </w:r>
          </w:p>
          <w:p w14:paraId="07562641" w14:textId="77777777" w:rsidR="0019365E" w:rsidRPr="005851C0" w:rsidRDefault="003F5558" w:rsidP="003F5558">
            <w:pPr>
              <w:numPr>
                <w:ilvl w:val="0"/>
                <w:numId w:val="20"/>
              </w:numPr>
              <w:jc w:val="both"/>
              <w:rPr>
                <w:rFonts w:cs="Times New Roman"/>
                <w:sz w:val="24"/>
                <w:szCs w:val="24"/>
              </w:rPr>
            </w:pPr>
            <w:r w:rsidRPr="005851C0">
              <w:rPr>
                <w:rFonts w:cs="Times New Roman"/>
                <w:sz w:val="24"/>
                <w:szCs w:val="24"/>
              </w:rPr>
              <w:t>Elektroniskās deklarēšanas sistēmā (EDS) – 38 406 EUR;</w:t>
            </w:r>
          </w:p>
          <w:p w14:paraId="0F064E61" w14:textId="77777777" w:rsidR="003F5558" w:rsidRPr="005851C0" w:rsidRDefault="003F5558" w:rsidP="003F5558">
            <w:pPr>
              <w:numPr>
                <w:ilvl w:val="0"/>
                <w:numId w:val="20"/>
              </w:numPr>
              <w:jc w:val="both"/>
              <w:rPr>
                <w:rFonts w:cs="Times New Roman"/>
                <w:sz w:val="24"/>
                <w:szCs w:val="24"/>
              </w:rPr>
            </w:pPr>
            <w:r w:rsidRPr="005851C0">
              <w:rPr>
                <w:rFonts w:cs="Times New Roman"/>
                <w:sz w:val="24"/>
                <w:szCs w:val="24"/>
              </w:rPr>
              <w:t>Datu noliktavas sistēmā (DNS) – 13 600 EUR.</w:t>
            </w:r>
          </w:p>
          <w:p w14:paraId="7FF98CA4" w14:textId="3758EF0A" w:rsidR="003F5558" w:rsidRPr="005851C0" w:rsidRDefault="003F5558" w:rsidP="00861102">
            <w:pPr>
              <w:jc w:val="both"/>
              <w:rPr>
                <w:rFonts w:cs="Times New Roman"/>
                <w:sz w:val="24"/>
                <w:szCs w:val="24"/>
              </w:rPr>
            </w:pPr>
            <w:r w:rsidRPr="005851C0">
              <w:rPr>
                <w:rFonts w:cs="Times New Roman"/>
                <w:sz w:val="24"/>
                <w:szCs w:val="24"/>
              </w:rPr>
              <w:t xml:space="preserve"> </w:t>
            </w:r>
            <w:r w:rsidR="0098504B" w:rsidRPr="005851C0">
              <w:rPr>
                <w:rFonts w:cs="Times New Roman"/>
                <w:sz w:val="24"/>
                <w:szCs w:val="24"/>
              </w:rPr>
              <w:t xml:space="preserve">2020.gadā nepieciešamo izmaiņu veikšanai Valsts ieņēmumu dienesta informācijas sistēmās nepieciešamais finansējums 73 332 EUR apmērā tiks nodrošināts Finanšu ministrijas budžeta </w:t>
            </w:r>
            <w:r w:rsidR="00A94CC3" w:rsidRPr="005851C0">
              <w:rPr>
                <w:rFonts w:cs="Times New Roman"/>
                <w:sz w:val="24"/>
                <w:szCs w:val="24"/>
              </w:rPr>
              <w:t>programm</w:t>
            </w:r>
            <w:r w:rsidR="00A94CC3">
              <w:rPr>
                <w:rFonts w:cs="Times New Roman"/>
                <w:sz w:val="24"/>
                <w:szCs w:val="24"/>
              </w:rPr>
              <w:t>ā</w:t>
            </w:r>
            <w:r w:rsidR="00A94CC3" w:rsidRPr="005851C0">
              <w:rPr>
                <w:rFonts w:cs="Times New Roman"/>
                <w:sz w:val="24"/>
                <w:szCs w:val="24"/>
              </w:rPr>
              <w:t xml:space="preserve"> </w:t>
            </w:r>
            <w:r w:rsidR="0098504B" w:rsidRPr="005851C0">
              <w:rPr>
                <w:rFonts w:cs="Times New Roman"/>
                <w:sz w:val="24"/>
                <w:szCs w:val="24"/>
              </w:rPr>
              <w:t>33.00.00 “Valsts ieņēmumu un muitas politikas nodrošināšana” piešķirtā finansējuma ietvaros.</w:t>
            </w:r>
          </w:p>
          <w:p w14:paraId="239572A1" w14:textId="77777777" w:rsidR="003F5558" w:rsidRPr="005851C0" w:rsidRDefault="003F5558" w:rsidP="00861102">
            <w:pPr>
              <w:jc w:val="both"/>
              <w:rPr>
                <w:rFonts w:cs="Times New Roman"/>
              </w:rPr>
            </w:pPr>
          </w:p>
        </w:tc>
      </w:tr>
    </w:tbl>
    <w:p w14:paraId="465E909F" w14:textId="77777777" w:rsidR="00F05D71" w:rsidRPr="005851C0" w:rsidRDefault="00F05D71" w:rsidP="00543AA6">
      <w:pPr>
        <w:spacing w:after="0" w:line="240" w:lineRule="auto"/>
        <w:rPr>
          <w:rFonts w:ascii="Times New Roman" w:eastAsia="Times New Roman" w:hAnsi="Times New Roman" w:cs="Times New Roman"/>
          <w:sz w:val="24"/>
          <w:szCs w:val="24"/>
          <w:lang w:eastAsia="lv-LV"/>
        </w:rPr>
      </w:pPr>
    </w:p>
    <w:p w14:paraId="34DEFC1A" w14:textId="77777777" w:rsidR="00F05D71" w:rsidRPr="005851C0" w:rsidRDefault="00F05D71" w:rsidP="00543AA6">
      <w:pPr>
        <w:spacing w:after="0" w:line="240" w:lineRule="auto"/>
        <w:rPr>
          <w:rFonts w:ascii="Times New Roman" w:eastAsia="Times New Roman" w:hAnsi="Times New Roman" w:cs="Times New Roman"/>
          <w:sz w:val="24"/>
          <w:szCs w:val="24"/>
          <w:lang w:eastAsia="lv-LV"/>
        </w:rPr>
      </w:pPr>
    </w:p>
    <w:tbl>
      <w:tblPr>
        <w:tblW w:w="5062" w:type="pct"/>
        <w:tblInd w:w="-1"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18"/>
        <w:gridCol w:w="3404"/>
        <w:gridCol w:w="5392"/>
      </w:tblGrid>
      <w:tr w:rsidR="00543AA6" w:rsidRPr="005851C0" w14:paraId="148A16FA" w14:textId="77777777" w:rsidTr="00100490">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697A5134" w14:textId="77777777" w:rsidR="00543AA6" w:rsidRPr="005851C0" w:rsidRDefault="00543AA6" w:rsidP="00993C84">
            <w:pPr>
              <w:spacing w:before="100" w:beforeAutospacing="1" w:after="100" w:afterAutospacing="1" w:line="360" w:lineRule="auto"/>
              <w:ind w:firstLine="300"/>
              <w:jc w:val="center"/>
              <w:rPr>
                <w:rFonts w:ascii="Times New Roman" w:eastAsia="Times New Roman" w:hAnsi="Times New Roman" w:cs="Times New Roman"/>
                <w:b/>
                <w:bCs/>
                <w:color w:val="414142"/>
                <w:sz w:val="24"/>
                <w:szCs w:val="24"/>
                <w:lang w:eastAsia="lv-LV"/>
              </w:rPr>
            </w:pPr>
            <w:r w:rsidRPr="005851C0">
              <w:rPr>
                <w:rFonts w:ascii="Times New Roman" w:eastAsia="Times New Roman" w:hAnsi="Times New Roman" w:cs="Times New Roman"/>
                <w:b/>
                <w:bCs/>
                <w:sz w:val="24"/>
                <w:szCs w:val="24"/>
                <w:lang w:eastAsia="lv-LV"/>
              </w:rPr>
              <w:t>IV. Tiesību akta projekta ietekme uz spēkā esošo tiesību normu sistēmu</w:t>
            </w:r>
          </w:p>
        </w:tc>
      </w:tr>
      <w:tr w:rsidR="00100490" w:rsidRPr="005851C0" w14:paraId="5ED9AF49" w14:textId="77777777" w:rsidTr="001004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227" w:type="pct"/>
          </w:tcPr>
          <w:p w14:paraId="10A03B8E" w14:textId="77777777" w:rsidR="00100490" w:rsidRPr="005851C0" w:rsidRDefault="00100490" w:rsidP="0069728C">
            <w:pPr>
              <w:pStyle w:val="naiskr"/>
            </w:pPr>
            <w:r w:rsidRPr="005851C0">
              <w:t>1.</w:t>
            </w:r>
          </w:p>
        </w:tc>
        <w:tc>
          <w:tcPr>
            <w:tcW w:w="1847" w:type="pct"/>
          </w:tcPr>
          <w:p w14:paraId="6E197C0B" w14:textId="77777777" w:rsidR="00100490" w:rsidRPr="005851C0" w:rsidRDefault="00100490" w:rsidP="0069728C">
            <w:pPr>
              <w:pStyle w:val="naiskr"/>
            </w:pPr>
            <w:r w:rsidRPr="005851C0">
              <w:rPr>
                <w:iCs/>
              </w:rPr>
              <w:t>Saistītie tiesību aktu projekti</w:t>
            </w:r>
          </w:p>
        </w:tc>
        <w:tc>
          <w:tcPr>
            <w:tcW w:w="2926" w:type="pct"/>
          </w:tcPr>
          <w:p w14:paraId="62B89A72" w14:textId="77777777" w:rsidR="00832B4C" w:rsidRPr="005851C0" w:rsidRDefault="00277C7E" w:rsidP="00AF2A53">
            <w:pPr>
              <w:pStyle w:val="ListParagraph"/>
              <w:ind w:left="0" w:firstLine="360"/>
              <w:jc w:val="both"/>
            </w:pPr>
            <w:r w:rsidRPr="005851C0">
              <w:t>Saistībā ar likump</w:t>
            </w:r>
            <w:r w:rsidR="002B3881" w:rsidRPr="005851C0">
              <w:t xml:space="preserve">rojekta virzību ir nepieciešams </w:t>
            </w:r>
            <w:r w:rsidRPr="005851C0">
              <w:t>s</w:t>
            </w:r>
            <w:r w:rsidR="00D77A92" w:rsidRPr="005851C0">
              <w:t>agatavot</w:t>
            </w:r>
            <w:r w:rsidR="00F4064C" w:rsidRPr="005851C0">
              <w:t xml:space="preserve"> grozījumus</w:t>
            </w:r>
            <w:r w:rsidR="00832B4C" w:rsidRPr="005851C0">
              <w:t>:</w:t>
            </w:r>
          </w:p>
          <w:p w14:paraId="5F09E958" w14:textId="02C62AC7" w:rsidR="00ED1B83" w:rsidRPr="005851C0" w:rsidRDefault="00ED1B83" w:rsidP="00CB63B5">
            <w:pPr>
              <w:pStyle w:val="ListParagraph"/>
              <w:numPr>
                <w:ilvl w:val="0"/>
                <w:numId w:val="14"/>
              </w:numPr>
              <w:ind w:left="0" w:firstLine="360"/>
              <w:jc w:val="both"/>
            </w:pPr>
            <w:r w:rsidRPr="005851C0">
              <w:lastRenderedPageBreak/>
              <w:t>Ministru kabineta 2015.gada 12.maija noteikumos Nr.220 “Kārtība, kādā alkoholiskos dzērienus un tabakas izstrādājumus marķē ar akcīzes nodokļa markām”, ņemot vērā, ka</w:t>
            </w:r>
            <w:r w:rsidR="00986F6B" w:rsidRPr="005851C0">
              <w:t xml:space="preserve"> tiek atcelta prasība 180 dienu laikā veikt akcīzes nodokļa samaksu par saņemtajām akcīzes nodokļa markām. Par Ministru kabineta noteikum</w:t>
            </w:r>
            <w:r w:rsidR="00273AF3">
              <w:t>u projekta izstrādi ir atbildīga Finanšu ministrija (</w:t>
            </w:r>
            <w:r w:rsidR="00986F6B" w:rsidRPr="005851C0">
              <w:t>Valsts ieņēmumu dienests</w:t>
            </w:r>
            <w:r w:rsidR="00273AF3">
              <w:t>)</w:t>
            </w:r>
            <w:r w:rsidR="00986F6B" w:rsidRPr="005851C0">
              <w:t>.</w:t>
            </w:r>
          </w:p>
          <w:p w14:paraId="1A49BE52" w14:textId="773C3387" w:rsidR="00986F6B" w:rsidRPr="005851C0" w:rsidRDefault="00ED1B83" w:rsidP="00CB63B5">
            <w:pPr>
              <w:pStyle w:val="ListParagraph"/>
              <w:numPr>
                <w:ilvl w:val="0"/>
                <w:numId w:val="14"/>
              </w:numPr>
              <w:ind w:left="0" w:firstLine="360"/>
              <w:jc w:val="both"/>
            </w:pPr>
            <w:r w:rsidRPr="005851C0">
              <w:t>Ministru kabineta 2010.gada 30.marta noteikumos Nr.300 “Noteikumi par akcīzes nodokļa deklarācijas veidlapām un to aizpildīšanas kārtību”</w:t>
            </w:r>
            <w:r w:rsidR="00065733" w:rsidRPr="005851C0">
              <w:t>,</w:t>
            </w:r>
            <w:r w:rsidR="00986F6B" w:rsidRPr="005851C0">
              <w:t xml:space="preserve"> ņemot vērā, ka tiek atcelta prasība 180 dienu laikā veikt akcīzes nodokļa samaksu par saņemtajām akcīzes nodokļa markām</w:t>
            </w:r>
            <w:r w:rsidR="00FE522F" w:rsidRPr="005851C0">
              <w:t xml:space="preserve">. </w:t>
            </w:r>
            <w:r w:rsidR="00986F6B" w:rsidRPr="005851C0">
              <w:t>Par Ministru kabineta noteikumu projekta izstrādi ir atbildīg</w:t>
            </w:r>
            <w:r w:rsidR="00273AF3">
              <w:t>a Finanšu ministrija (</w:t>
            </w:r>
            <w:r w:rsidR="00986F6B" w:rsidRPr="005851C0">
              <w:t>Valsts ieņēmumu dienests</w:t>
            </w:r>
            <w:r w:rsidR="00273AF3">
              <w:t>)</w:t>
            </w:r>
            <w:r w:rsidR="00986F6B" w:rsidRPr="005851C0">
              <w:t>.</w:t>
            </w:r>
          </w:p>
          <w:p w14:paraId="1A17121A" w14:textId="77777777" w:rsidR="0020253B" w:rsidRPr="005851C0" w:rsidRDefault="0020253B" w:rsidP="00882B0D">
            <w:pPr>
              <w:pStyle w:val="ListParagraph"/>
              <w:numPr>
                <w:ilvl w:val="0"/>
                <w:numId w:val="14"/>
              </w:numPr>
              <w:ind w:left="0" w:firstLine="360"/>
              <w:jc w:val="both"/>
            </w:pPr>
            <w:r w:rsidRPr="005851C0">
              <w:t>Ministru kabineta 2010.gada 30.marta noteikum</w:t>
            </w:r>
            <w:r w:rsidR="00882B0D" w:rsidRPr="005851C0">
              <w:t>os</w:t>
            </w:r>
            <w:r w:rsidRPr="005851C0">
              <w:t xml:space="preserve"> Nr.310</w:t>
            </w:r>
            <w:r w:rsidR="00882B0D" w:rsidRPr="005851C0">
              <w:t xml:space="preserve"> “</w:t>
            </w:r>
            <w:r w:rsidRPr="005851C0">
              <w:t>Kārtība, kādā par akcīzes precēm samaksāto akcīzes nodokli pārskaita nodokļu parādu segšanai, turpmākajiem akcīzes nodokļa maksājumiem vai citu nodokļu maksājumiem vai atmaksā, un kārtība, kādā veic alkoholisko dzērienu vai tabakas izstrādājumu iznīcināšanu vai pārstrādi</w:t>
            </w:r>
            <w:r w:rsidR="00882B0D" w:rsidRPr="005851C0">
              <w:t>”</w:t>
            </w:r>
            <w:r w:rsidR="003012DA" w:rsidRPr="005851C0">
              <w:t xml:space="preserve"> saistībā ar akcīzes nodokļa markām marķējamo akcīzes preču iznīcināšanu</w:t>
            </w:r>
            <w:r w:rsidR="00882B0D" w:rsidRPr="005851C0">
              <w:t>. Par Ministru kabineta noteikumu projekta izstrādi ir atbildīga Finanšu ministrija;</w:t>
            </w:r>
          </w:p>
          <w:p w14:paraId="021E3FC6" w14:textId="77777777" w:rsidR="006F1DE0" w:rsidRPr="005851C0" w:rsidRDefault="00832B4C" w:rsidP="006F1DE0">
            <w:pPr>
              <w:pStyle w:val="ListParagraph"/>
              <w:numPr>
                <w:ilvl w:val="0"/>
                <w:numId w:val="14"/>
              </w:numPr>
              <w:ind w:left="0" w:firstLine="360"/>
              <w:jc w:val="both"/>
            </w:pPr>
            <w:r w:rsidRPr="005851C0">
              <w:t>Ministru kabineta 2017.gada 4.aprīļa noteikumos Nr.199 “Noteikumi par dabasgāzes apriti un akcīzes nodokļa piemērošanas kārtību”</w:t>
            </w:r>
            <w:r w:rsidR="00CB63B5" w:rsidRPr="005851C0">
              <w:t xml:space="preserve"> attiecībā uz dabasgāzi, kura tiek izmantota vienotā dabasgāzes pārvades un uzglabāšanas sistēmā un dabasgāzes sadales sistēmā dabasgāzes pārvades, uzglabāšanas vai sadales sistēmas tehnoloģisko vajadzību nodrošināšanai.</w:t>
            </w:r>
            <w:r w:rsidR="00B34189" w:rsidRPr="005851C0">
              <w:t xml:space="preserve"> </w:t>
            </w:r>
            <w:r w:rsidRPr="005851C0">
              <w:t>Par Ministru kabineta noteikumu projekta izstrādi ir atbildīga Finanšu ministrija;</w:t>
            </w:r>
          </w:p>
          <w:p w14:paraId="5D81379D" w14:textId="77777777" w:rsidR="00F4064C" w:rsidRPr="005851C0" w:rsidRDefault="00AD6699" w:rsidP="006F1DE0">
            <w:pPr>
              <w:pStyle w:val="ListParagraph"/>
              <w:numPr>
                <w:ilvl w:val="0"/>
                <w:numId w:val="14"/>
              </w:numPr>
              <w:ind w:left="0" w:firstLine="360"/>
              <w:jc w:val="both"/>
            </w:pPr>
            <w:r w:rsidRPr="005851C0">
              <w:rPr>
                <w:bCs/>
              </w:rPr>
              <w:t xml:space="preserve">Ministru kabineta </w:t>
            </w:r>
            <w:r w:rsidRPr="005851C0">
              <w:t xml:space="preserve">2007.gada 31.jūlija </w:t>
            </w:r>
            <w:r w:rsidRPr="005851C0">
              <w:rPr>
                <w:bCs/>
              </w:rPr>
              <w:t>noteikumos Nr.525</w:t>
            </w:r>
            <w:r w:rsidRPr="005851C0">
              <w:t xml:space="preserve"> </w:t>
            </w:r>
            <w:r w:rsidRPr="005851C0">
              <w:rPr>
                <w:bCs/>
              </w:rPr>
              <w:t>“Kārtība, kādā atsevišķiem naftas produktiem piemēro samazinātu akcīzes nodokļa likmi vai atbrīvojumu no akcīzes nodokļa”, izslēdzot no t</w:t>
            </w:r>
            <w:r w:rsidR="00334F3E" w:rsidRPr="005851C0">
              <w:rPr>
                <w:bCs/>
              </w:rPr>
              <w:t>iem</w:t>
            </w:r>
            <w:r w:rsidRPr="005851C0">
              <w:rPr>
                <w:bCs/>
              </w:rPr>
              <w:t xml:space="preserve"> normas par eļļas atkritumiem. Par Ministru kabineta noteikumu projekta izstrādi ir atbildīga Finanšu ministrija</w:t>
            </w:r>
            <w:r w:rsidR="00F37EAA" w:rsidRPr="005851C0">
              <w:rPr>
                <w:bCs/>
              </w:rPr>
              <w:t>;</w:t>
            </w:r>
          </w:p>
          <w:p w14:paraId="550C292A" w14:textId="3A1CDA1E" w:rsidR="00325CD3" w:rsidRDefault="00325CD3" w:rsidP="00F4064C">
            <w:pPr>
              <w:pStyle w:val="ListParagraph"/>
              <w:numPr>
                <w:ilvl w:val="0"/>
                <w:numId w:val="14"/>
              </w:numPr>
              <w:ind w:left="0" w:firstLine="360"/>
              <w:jc w:val="both"/>
            </w:pPr>
            <w:r w:rsidRPr="00325CD3">
              <w:t>Ministru kabineta 20</w:t>
            </w:r>
            <w:r>
              <w:t>09</w:t>
            </w:r>
            <w:r w:rsidRPr="00325CD3">
              <w:t xml:space="preserve">.gada </w:t>
            </w:r>
            <w:r>
              <w:t>3.marta</w:t>
            </w:r>
            <w:r w:rsidRPr="00325CD3">
              <w:t xml:space="preserve"> noteikumos Nr.</w:t>
            </w:r>
            <w:r>
              <w:t>211</w:t>
            </w:r>
            <w:r w:rsidRPr="00325CD3">
              <w:t xml:space="preserve"> “</w:t>
            </w:r>
            <w:r>
              <w:t>Spirta denaturēšanas un denaturētā spirta aprites kārtība</w:t>
            </w:r>
            <w:r w:rsidRPr="00325CD3">
              <w:t>”,</w:t>
            </w:r>
            <w:r w:rsidRPr="00325CD3">
              <w:rPr>
                <w:rFonts w:asciiTheme="minorHAnsi" w:eastAsiaTheme="minorHAnsi" w:hAnsiTheme="minorHAnsi" w:cstheme="minorBidi"/>
                <w:sz w:val="22"/>
                <w:szCs w:val="22"/>
                <w:lang w:eastAsia="en-US"/>
              </w:rPr>
              <w:t xml:space="preserve"> </w:t>
            </w:r>
            <w:r w:rsidRPr="00325CD3">
              <w:t xml:space="preserve">precizējot normas par </w:t>
            </w:r>
            <w:r w:rsidR="00BE7A59">
              <w:t xml:space="preserve">denaturētā </w:t>
            </w:r>
            <w:r>
              <w:t xml:space="preserve">spirta </w:t>
            </w:r>
            <w:r w:rsidR="00BE7A59">
              <w:t>pārvietošanu</w:t>
            </w:r>
            <w:r w:rsidRPr="00325CD3">
              <w:rPr>
                <w:bCs/>
              </w:rPr>
              <w:t>. Par Ministru kabineta noteikumu projektu ir atbildīga Finanšu ministrija</w:t>
            </w:r>
            <w:r w:rsidR="00664020">
              <w:rPr>
                <w:bCs/>
              </w:rPr>
              <w:t>;</w:t>
            </w:r>
          </w:p>
          <w:p w14:paraId="413F7414" w14:textId="577CC623" w:rsidR="00F37EAA" w:rsidRPr="005851C0" w:rsidRDefault="00F4064C" w:rsidP="00F4064C">
            <w:pPr>
              <w:pStyle w:val="ListParagraph"/>
              <w:numPr>
                <w:ilvl w:val="0"/>
                <w:numId w:val="14"/>
              </w:numPr>
              <w:ind w:left="0" w:firstLine="360"/>
              <w:jc w:val="both"/>
            </w:pPr>
            <w:r w:rsidRPr="005851C0">
              <w:t xml:space="preserve">Ministru kabineta 2011.gada 30.augusta noteikumos Nr.684 “Kārtība, kādā atsevišķiem alkoholiskajiem dzērieniem piemēro akcīzes nodokļa </w:t>
            </w:r>
            <w:r w:rsidRPr="005851C0">
              <w:lastRenderedPageBreak/>
              <w:t xml:space="preserve">atbrīvojumu”, precizējot normas par </w:t>
            </w:r>
            <w:r w:rsidR="00325CD3">
              <w:t>alkoholisko dzērienu</w:t>
            </w:r>
            <w:r w:rsidRPr="005851C0">
              <w:t xml:space="preserve"> izn</w:t>
            </w:r>
            <w:r w:rsidR="0009407C">
              <w:t>ī</w:t>
            </w:r>
            <w:r w:rsidRPr="005851C0">
              <w:t>cināšanu</w:t>
            </w:r>
            <w:r w:rsidR="00AD6699" w:rsidRPr="005851C0">
              <w:rPr>
                <w:bCs/>
              </w:rPr>
              <w:t>.</w:t>
            </w:r>
            <w:r w:rsidR="00F37EAA" w:rsidRPr="005851C0">
              <w:rPr>
                <w:bCs/>
              </w:rPr>
              <w:t xml:space="preserve"> Par Ministru kabineta noteikumu projektu ir atbildīga Finanšu ministrija;</w:t>
            </w:r>
          </w:p>
          <w:p w14:paraId="3A54FF47" w14:textId="48E4EB1F" w:rsidR="00C12D14" w:rsidRDefault="00F4064C" w:rsidP="00C12D14">
            <w:pPr>
              <w:pStyle w:val="ListParagraph"/>
              <w:numPr>
                <w:ilvl w:val="0"/>
                <w:numId w:val="14"/>
              </w:numPr>
              <w:ind w:left="0" w:firstLine="360"/>
              <w:jc w:val="both"/>
            </w:pPr>
            <w:r w:rsidRPr="005851C0">
              <w:t>Ministru kabineta 2004.gada 25.marta noteikumos Nr.173 “Kārtība, kādā no akcīzes nodokļa atbrīvo atsevišķus tabakas izstrādājumus”</w:t>
            </w:r>
            <w:r w:rsidR="00F37EAA" w:rsidRPr="005851C0">
              <w:t>,</w:t>
            </w:r>
            <w:r w:rsidR="00F37EAA" w:rsidRPr="005851C0">
              <w:rPr>
                <w:rFonts w:eastAsiaTheme="minorHAnsi"/>
                <w:lang w:eastAsia="en-US"/>
              </w:rPr>
              <w:t xml:space="preserve"> </w:t>
            </w:r>
            <w:r w:rsidR="00F37EAA" w:rsidRPr="005851C0">
              <w:t xml:space="preserve">precizējot normas par akcīzes preču </w:t>
            </w:r>
            <w:r w:rsidR="00F37EAA" w:rsidRPr="00B12E07">
              <w:t>izn</w:t>
            </w:r>
            <w:r w:rsidR="007A4EB0" w:rsidRPr="00B12E07">
              <w:t>ī</w:t>
            </w:r>
            <w:r w:rsidR="00F37EAA" w:rsidRPr="00B12E07">
              <w:t>cināšanu</w:t>
            </w:r>
            <w:r w:rsidR="001A4507" w:rsidRPr="00B12E07">
              <w:t>, kā arī papildināt ar likuma 17.panta 1.</w:t>
            </w:r>
            <w:r w:rsidR="001A4507" w:rsidRPr="00B12E07">
              <w:rPr>
                <w:vertAlign w:val="superscript"/>
              </w:rPr>
              <w:t>1</w:t>
            </w:r>
            <w:r w:rsidR="001A4507" w:rsidRPr="00B12E07">
              <w:t xml:space="preserve"> daļā doto deleģējumu Ministru kabinetam</w:t>
            </w:r>
            <w:r w:rsidR="00F37EAA" w:rsidRPr="00B12E07">
              <w:rPr>
                <w:bCs/>
              </w:rPr>
              <w:t>. Par Ministru kabineta noteikumu projektu ir atbildīga Finanšu ministrija</w:t>
            </w:r>
            <w:r w:rsidRPr="00B12E07">
              <w:t>.</w:t>
            </w:r>
          </w:p>
          <w:p w14:paraId="111CF2B6" w14:textId="68F0999F" w:rsidR="00C21079" w:rsidRPr="00B12E07" w:rsidRDefault="00C21079" w:rsidP="00C21079">
            <w:pPr>
              <w:pStyle w:val="ListParagraph"/>
              <w:ind w:left="105" w:firstLine="255"/>
              <w:jc w:val="both"/>
            </w:pPr>
            <w:r>
              <w:t>Grozījumi minētajos Ministru kabineta noteikumos paredzēts veikt līdz š</w:t>
            </w:r>
            <w:r w:rsidR="00827981">
              <w:t>ā</w:t>
            </w:r>
            <w:r>
              <w:t xml:space="preserve"> likuma spēkā stāšanās dienai. </w:t>
            </w:r>
          </w:p>
          <w:p w14:paraId="69D222BA" w14:textId="77777777" w:rsidR="00C12D14" w:rsidRPr="00B12E07" w:rsidRDefault="00C12D14" w:rsidP="00C12D14">
            <w:pPr>
              <w:pStyle w:val="ListParagraph"/>
              <w:ind w:left="115" w:firstLine="245"/>
              <w:jc w:val="both"/>
            </w:pPr>
            <w:r w:rsidRPr="00B12E07">
              <w:t>Papildus tam ir nepieciešams izstrādāt šādus Ministru kabineta noteikumus:</w:t>
            </w:r>
          </w:p>
          <w:p w14:paraId="3D8B34E7" w14:textId="77777777" w:rsidR="00C12D14" w:rsidRPr="00B12E07" w:rsidRDefault="00C12D14" w:rsidP="00C12D14">
            <w:pPr>
              <w:spacing w:after="0" w:line="240" w:lineRule="auto"/>
              <w:ind w:firstLine="397"/>
              <w:jc w:val="both"/>
              <w:rPr>
                <w:rFonts w:ascii="Times New Roman" w:hAnsi="Times New Roman" w:cs="Times New Roman"/>
                <w:sz w:val="24"/>
                <w:szCs w:val="24"/>
              </w:rPr>
            </w:pPr>
            <w:r w:rsidRPr="00B12E07">
              <w:rPr>
                <w:rFonts w:ascii="Times New Roman" w:hAnsi="Times New Roman" w:cs="Times New Roman"/>
                <w:sz w:val="24"/>
                <w:szCs w:val="24"/>
              </w:rPr>
              <w:t>1) kārtība, kādā piemēro akcīzes nodokļa atbrīvojumu bezalkoholiskajiem dzērieniem un kafijai;</w:t>
            </w:r>
          </w:p>
          <w:p w14:paraId="20795B03" w14:textId="77777777" w:rsidR="00F4064C" w:rsidRPr="00B12E07" w:rsidRDefault="00C12D14" w:rsidP="00FA44E2">
            <w:pPr>
              <w:spacing w:after="0" w:line="240" w:lineRule="auto"/>
              <w:ind w:firstLine="397"/>
              <w:jc w:val="both"/>
              <w:rPr>
                <w:rFonts w:ascii="Times New Roman" w:hAnsi="Times New Roman" w:cs="Times New Roman"/>
                <w:sz w:val="24"/>
                <w:szCs w:val="24"/>
              </w:rPr>
            </w:pPr>
            <w:r w:rsidRPr="00B12E07">
              <w:rPr>
                <w:rFonts w:ascii="Times New Roman" w:hAnsi="Times New Roman" w:cs="Times New Roman"/>
                <w:sz w:val="24"/>
                <w:szCs w:val="24"/>
              </w:rPr>
              <w:t>2) kārtība, kādā piemēro akcīzes nodokļa atbrīvojumu elektroniskajās cigaretēs izmantojamam šķidrumam.</w:t>
            </w:r>
          </w:p>
          <w:p w14:paraId="6AA53470" w14:textId="04ED413C" w:rsidR="00FA44E2" w:rsidRPr="005851C0" w:rsidRDefault="00E55639" w:rsidP="00E55639">
            <w:pPr>
              <w:spacing w:after="0" w:line="240" w:lineRule="auto"/>
              <w:ind w:firstLine="397"/>
              <w:jc w:val="both"/>
              <w:rPr>
                <w:rFonts w:ascii="Times New Roman" w:hAnsi="Times New Roman" w:cs="Times New Roman"/>
                <w:sz w:val="24"/>
                <w:szCs w:val="24"/>
              </w:rPr>
            </w:pPr>
            <w:r w:rsidRPr="00B12E07">
              <w:rPr>
                <w:rFonts w:ascii="Times New Roman" w:hAnsi="Times New Roman" w:cs="Times New Roman"/>
                <w:sz w:val="24"/>
                <w:szCs w:val="24"/>
              </w:rPr>
              <w:t>Minētie Ministru kabineta noteikumi stājas spēkā 2021.gada 1.aprīlī.</w:t>
            </w:r>
          </w:p>
        </w:tc>
      </w:tr>
      <w:tr w:rsidR="00100490" w:rsidRPr="005851C0" w14:paraId="707799AA" w14:textId="77777777" w:rsidTr="001004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227" w:type="pct"/>
          </w:tcPr>
          <w:p w14:paraId="6026745C" w14:textId="77777777" w:rsidR="00100490" w:rsidRPr="005851C0" w:rsidRDefault="00100490" w:rsidP="0069728C">
            <w:pPr>
              <w:snapToGrid w:val="0"/>
              <w:rPr>
                <w:rFonts w:ascii="Times New Roman" w:hAnsi="Times New Roman" w:cs="Times New Roman"/>
                <w:color w:val="000000"/>
                <w:sz w:val="24"/>
                <w:szCs w:val="24"/>
              </w:rPr>
            </w:pPr>
            <w:r w:rsidRPr="005851C0">
              <w:rPr>
                <w:rFonts w:ascii="Times New Roman" w:hAnsi="Times New Roman" w:cs="Times New Roman"/>
                <w:color w:val="000000"/>
                <w:sz w:val="24"/>
                <w:szCs w:val="24"/>
              </w:rPr>
              <w:lastRenderedPageBreak/>
              <w:t>2.</w:t>
            </w:r>
          </w:p>
        </w:tc>
        <w:tc>
          <w:tcPr>
            <w:tcW w:w="1847" w:type="pct"/>
          </w:tcPr>
          <w:p w14:paraId="3E4ADC64" w14:textId="77777777" w:rsidR="00100490" w:rsidRPr="005851C0" w:rsidRDefault="00100490" w:rsidP="0069728C">
            <w:pPr>
              <w:snapToGrid w:val="0"/>
              <w:rPr>
                <w:rFonts w:ascii="Times New Roman" w:hAnsi="Times New Roman" w:cs="Times New Roman"/>
                <w:color w:val="000000"/>
                <w:sz w:val="24"/>
                <w:szCs w:val="24"/>
              </w:rPr>
            </w:pPr>
            <w:r w:rsidRPr="005851C0">
              <w:rPr>
                <w:rFonts w:ascii="Times New Roman" w:eastAsia="Times New Roman" w:hAnsi="Times New Roman" w:cs="Times New Roman"/>
                <w:iCs/>
                <w:sz w:val="24"/>
                <w:szCs w:val="24"/>
                <w:lang w:eastAsia="lv-LV"/>
              </w:rPr>
              <w:t>Atbildīgā institūcija</w:t>
            </w:r>
          </w:p>
        </w:tc>
        <w:tc>
          <w:tcPr>
            <w:tcW w:w="2926" w:type="pct"/>
          </w:tcPr>
          <w:p w14:paraId="58F5C28A" w14:textId="77777777" w:rsidR="00C12D14" w:rsidRPr="005851C0" w:rsidRDefault="00C12D14" w:rsidP="00872785">
            <w:pPr>
              <w:snapToGrid w:val="0"/>
              <w:spacing w:after="0" w:line="240" w:lineRule="auto"/>
              <w:rPr>
                <w:rFonts w:ascii="Times New Roman" w:hAnsi="Times New Roman" w:cs="Times New Roman"/>
                <w:color w:val="000000"/>
                <w:sz w:val="24"/>
                <w:szCs w:val="24"/>
              </w:rPr>
            </w:pPr>
            <w:r w:rsidRPr="005851C0">
              <w:rPr>
                <w:rFonts w:ascii="Times New Roman" w:hAnsi="Times New Roman" w:cs="Times New Roman"/>
                <w:color w:val="000000"/>
                <w:sz w:val="24"/>
                <w:szCs w:val="24"/>
              </w:rPr>
              <w:t>Grozījumu veikšanu normatīvajos aktos  nodrošina:</w:t>
            </w:r>
          </w:p>
          <w:p w14:paraId="67351CA5" w14:textId="2DEC7456" w:rsidR="00EA6E7C" w:rsidRPr="005851C0" w:rsidRDefault="00053836" w:rsidP="00872785">
            <w:pPr>
              <w:snapToGrid w:val="0"/>
              <w:spacing w:after="0" w:line="240" w:lineRule="auto"/>
              <w:rPr>
                <w:rFonts w:ascii="Times New Roman" w:hAnsi="Times New Roman" w:cs="Times New Roman"/>
                <w:color w:val="000000"/>
                <w:sz w:val="24"/>
                <w:szCs w:val="24"/>
              </w:rPr>
            </w:pPr>
            <w:r w:rsidRPr="005851C0">
              <w:rPr>
                <w:rFonts w:ascii="Times New Roman" w:hAnsi="Times New Roman" w:cs="Times New Roman"/>
                <w:color w:val="000000"/>
                <w:sz w:val="24"/>
                <w:szCs w:val="24"/>
              </w:rPr>
              <w:t xml:space="preserve">1) </w:t>
            </w:r>
            <w:r w:rsidR="006862F2">
              <w:rPr>
                <w:rFonts w:ascii="Times New Roman" w:hAnsi="Times New Roman" w:cs="Times New Roman"/>
                <w:color w:val="000000"/>
                <w:sz w:val="24"/>
                <w:szCs w:val="24"/>
              </w:rPr>
              <w:t>Finanšu ministrija (</w:t>
            </w:r>
            <w:r w:rsidR="00EA6E7C" w:rsidRPr="005851C0">
              <w:rPr>
                <w:rFonts w:ascii="Times New Roman" w:hAnsi="Times New Roman" w:cs="Times New Roman"/>
                <w:color w:val="000000"/>
                <w:sz w:val="24"/>
                <w:szCs w:val="24"/>
              </w:rPr>
              <w:t>Valsts ieņēmumu dienests</w:t>
            </w:r>
            <w:r w:rsidR="006862F2">
              <w:rPr>
                <w:rFonts w:ascii="Times New Roman" w:hAnsi="Times New Roman" w:cs="Times New Roman"/>
                <w:color w:val="000000"/>
                <w:sz w:val="24"/>
                <w:szCs w:val="24"/>
              </w:rPr>
              <w:t>)</w:t>
            </w:r>
            <w:r w:rsidRPr="005851C0">
              <w:rPr>
                <w:rFonts w:ascii="Times New Roman" w:hAnsi="Times New Roman" w:cs="Times New Roman"/>
                <w:color w:val="000000"/>
                <w:sz w:val="24"/>
                <w:szCs w:val="24"/>
              </w:rPr>
              <w:t>;</w:t>
            </w:r>
          </w:p>
          <w:p w14:paraId="7B98D116" w14:textId="2644637A" w:rsidR="00053836" w:rsidRPr="005851C0" w:rsidRDefault="00053836" w:rsidP="00872785">
            <w:pPr>
              <w:snapToGrid w:val="0"/>
              <w:spacing w:after="0" w:line="240" w:lineRule="auto"/>
              <w:rPr>
                <w:rFonts w:ascii="Times New Roman" w:hAnsi="Times New Roman" w:cs="Times New Roman"/>
                <w:color w:val="000000"/>
                <w:sz w:val="24"/>
                <w:szCs w:val="24"/>
              </w:rPr>
            </w:pPr>
            <w:r w:rsidRPr="005851C0">
              <w:rPr>
                <w:rFonts w:ascii="Times New Roman" w:hAnsi="Times New Roman" w:cs="Times New Roman"/>
                <w:color w:val="000000"/>
                <w:sz w:val="24"/>
                <w:szCs w:val="24"/>
              </w:rPr>
              <w:t xml:space="preserve">2) </w:t>
            </w:r>
            <w:r w:rsidR="006862F2">
              <w:rPr>
                <w:rFonts w:ascii="Times New Roman" w:hAnsi="Times New Roman" w:cs="Times New Roman"/>
                <w:color w:val="000000"/>
                <w:sz w:val="24"/>
                <w:szCs w:val="24"/>
              </w:rPr>
              <w:t>Finanšu ministrija (</w:t>
            </w:r>
            <w:r w:rsidRPr="005851C0">
              <w:rPr>
                <w:rFonts w:ascii="Times New Roman" w:hAnsi="Times New Roman" w:cs="Times New Roman"/>
                <w:color w:val="000000"/>
                <w:sz w:val="24"/>
                <w:szCs w:val="24"/>
              </w:rPr>
              <w:t>Valsts ieņēmumu dienests</w:t>
            </w:r>
            <w:r w:rsidR="006862F2">
              <w:rPr>
                <w:rFonts w:ascii="Times New Roman" w:hAnsi="Times New Roman" w:cs="Times New Roman"/>
                <w:color w:val="000000"/>
                <w:sz w:val="24"/>
                <w:szCs w:val="24"/>
              </w:rPr>
              <w:t>)</w:t>
            </w:r>
            <w:r w:rsidRPr="005851C0">
              <w:rPr>
                <w:rFonts w:ascii="Times New Roman" w:hAnsi="Times New Roman" w:cs="Times New Roman"/>
                <w:color w:val="000000"/>
                <w:sz w:val="24"/>
                <w:szCs w:val="24"/>
              </w:rPr>
              <w:t>;</w:t>
            </w:r>
          </w:p>
          <w:p w14:paraId="309A2F75" w14:textId="77777777" w:rsidR="00053836" w:rsidRPr="005851C0" w:rsidRDefault="00053836" w:rsidP="00872785">
            <w:pPr>
              <w:snapToGrid w:val="0"/>
              <w:spacing w:after="0" w:line="240" w:lineRule="auto"/>
              <w:rPr>
                <w:rFonts w:ascii="Times New Roman" w:hAnsi="Times New Roman" w:cs="Times New Roman"/>
                <w:color w:val="000000"/>
                <w:sz w:val="24"/>
                <w:szCs w:val="24"/>
              </w:rPr>
            </w:pPr>
            <w:r w:rsidRPr="005851C0">
              <w:rPr>
                <w:rFonts w:ascii="Times New Roman" w:hAnsi="Times New Roman" w:cs="Times New Roman"/>
                <w:color w:val="000000"/>
                <w:sz w:val="24"/>
                <w:szCs w:val="24"/>
              </w:rPr>
              <w:t>3) Finanšu ministrija;</w:t>
            </w:r>
          </w:p>
          <w:p w14:paraId="261B55BA" w14:textId="77777777" w:rsidR="005374F9" w:rsidRPr="005851C0" w:rsidRDefault="00053836" w:rsidP="00872785">
            <w:pPr>
              <w:snapToGrid w:val="0"/>
              <w:spacing w:after="0" w:line="240" w:lineRule="auto"/>
              <w:rPr>
                <w:rFonts w:ascii="Times New Roman" w:hAnsi="Times New Roman" w:cs="Times New Roman"/>
                <w:color w:val="000000"/>
                <w:sz w:val="24"/>
                <w:szCs w:val="24"/>
              </w:rPr>
            </w:pPr>
            <w:r w:rsidRPr="005851C0">
              <w:rPr>
                <w:rFonts w:ascii="Times New Roman" w:hAnsi="Times New Roman" w:cs="Times New Roman"/>
                <w:color w:val="000000"/>
                <w:sz w:val="24"/>
                <w:szCs w:val="24"/>
              </w:rPr>
              <w:t xml:space="preserve">4) Finanšu </w:t>
            </w:r>
            <w:r w:rsidR="005374F9" w:rsidRPr="005851C0">
              <w:rPr>
                <w:rFonts w:ascii="Times New Roman" w:hAnsi="Times New Roman" w:cs="Times New Roman"/>
                <w:color w:val="000000"/>
                <w:sz w:val="24"/>
                <w:szCs w:val="24"/>
              </w:rPr>
              <w:t>ministrija;</w:t>
            </w:r>
          </w:p>
          <w:p w14:paraId="01B47938" w14:textId="77777777" w:rsidR="00F37EAA" w:rsidRPr="005851C0" w:rsidRDefault="005374F9" w:rsidP="00872785">
            <w:pPr>
              <w:snapToGrid w:val="0"/>
              <w:spacing w:after="0" w:line="240" w:lineRule="auto"/>
              <w:rPr>
                <w:rFonts w:ascii="Times New Roman" w:hAnsi="Times New Roman" w:cs="Times New Roman"/>
                <w:color w:val="000000"/>
                <w:sz w:val="24"/>
                <w:szCs w:val="24"/>
              </w:rPr>
            </w:pPr>
            <w:r w:rsidRPr="005851C0">
              <w:rPr>
                <w:rFonts w:ascii="Times New Roman" w:hAnsi="Times New Roman" w:cs="Times New Roman"/>
                <w:color w:val="000000"/>
                <w:sz w:val="24"/>
                <w:szCs w:val="24"/>
              </w:rPr>
              <w:t>5) F</w:t>
            </w:r>
            <w:r w:rsidR="00EB7EA5" w:rsidRPr="005851C0">
              <w:rPr>
                <w:rFonts w:ascii="Times New Roman" w:hAnsi="Times New Roman" w:cs="Times New Roman"/>
                <w:color w:val="000000"/>
                <w:sz w:val="24"/>
                <w:szCs w:val="24"/>
              </w:rPr>
              <w:t>inanšu ministrija</w:t>
            </w:r>
            <w:r w:rsidR="00F37EAA" w:rsidRPr="005851C0">
              <w:rPr>
                <w:rFonts w:ascii="Times New Roman" w:hAnsi="Times New Roman" w:cs="Times New Roman"/>
                <w:color w:val="000000"/>
                <w:sz w:val="24"/>
                <w:szCs w:val="24"/>
              </w:rPr>
              <w:t>;</w:t>
            </w:r>
          </w:p>
          <w:p w14:paraId="039B191D" w14:textId="77777777" w:rsidR="00F37EAA" w:rsidRPr="005851C0" w:rsidRDefault="00F37EAA" w:rsidP="00872785">
            <w:pPr>
              <w:snapToGrid w:val="0"/>
              <w:spacing w:after="0" w:line="240" w:lineRule="auto"/>
              <w:rPr>
                <w:rFonts w:ascii="Times New Roman" w:hAnsi="Times New Roman" w:cs="Times New Roman"/>
                <w:color w:val="000000"/>
                <w:sz w:val="24"/>
                <w:szCs w:val="24"/>
              </w:rPr>
            </w:pPr>
            <w:r w:rsidRPr="005851C0">
              <w:rPr>
                <w:rFonts w:ascii="Times New Roman" w:hAnsi="Times New Roman" w:cs="Times New Roman"/>
                <w:color w:val="000000"/>
                <w:sz w:val="24"/>
                <w:szCs w:val="24"/>
              </w:rPr>
              <w:t>6) Finanšu ministrija;</w:t>
            </w:r>
          </w:p>
          <w:p w14:paraId="2E13B00B" w14:textId="77777777" w:rsidR="00664020" w:rsidRDefault="00F37EAA" w:rsidP="00872785">
            <w:pPr>
              <w:snapToGrid w:val="0"/>
              <w:spacing w:after="0" w:line="240" w:lineRule="auto"/>
              <w:rPr>
                <w:rFonts w:ascii="Times New Roman" w:hAnsi="Times New Roman" w:cs="Times New Roman"/>
                <w:color w:val="000000"/>
                <w:sz w:val="24"/>
                <w:szCs w:val="24"/>
              </w:rPr>
            </w:pPr>
            <w:r w:rsidRPr="005851C0">
              <w:rPr>
                <w:rFonts w:ascii="Times New Roman" w:hAnsi="Times New Roman" w:cs="Times New Roman"/>
                <w:color w:val="000000"/>
                <w:sz w:val="24"/>
                <w:szCs w:val="24"/>
              </w:rPr>
              <w:t>7) Finanšu ministrija</w:t>
            </w:r>
            <w:r w:rsidR="00664020">
              <w:rPr>
                <w:rFonts w:ascii="Times New Roman" w:hAnsi="Times New Roman" w:cs="Times New Roman"/>
                <w:color w:val="000000"/>
                <w:sz w:val="24"/>
                <w:szCs w:val="24"/>
              </w:rPr>
              <w:t>;</w:t>
            </w:r>
          </w:p>
          <w:p w14:paraId="701F10C0" w14:textId="53395750" w:rsidR="00F37EAA" w:rsidRPr="005851C0" w:rsidRDefault="00664020" w:rsidP="00872785">
            <w:pPr>
              <w:snapToGri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8) Finanšu ministrija</w:t>
            </w:r>
            <w:r w:rsidR="00F37EAA" w:rsidRPr="005851C0">
              <w:rPr>
                <w:rFonts w:ascii="Times New Roman" w:hAnsi="Times New Roman" w:cs="Times New Roman"/>
                <w:color w:val="000000"/>
                <w:sz w:val="24"/>
                <w:szCs w:val="24"/>
              </w:rPr>
              <w:t>.</w:t>
            </w:r>
          </w:p>
          <w:p w14:paraId="72D294D1" w14:textId="77777777" w:rsidR="00C12D14" w:rsidRPr="005851C0" w:rsidRDefault="00697DBD" w:rsidP="00872785">
            <w:pPr>
              <w:snapToGrid w:val="0"/>
              <w:spacing w:after="0" w:line="240" w:lineRule="auto"/>
              <w:rPr>
                <w:rFonts w:ascii="Times New Roman" w:hAnsi="Times New Roman" w:cs="Times New Roman"/>
                <w:color w:val="000000"/>
                <w:sz w:val="24"/>
                <w:szCs w:val="24"/>
              </w:rPr>
            </w:pPr>
            <w:r w:rsidRPr="005851C0">
              <w:rPr>
                <w:rFonts w:ascii="Times New Roman" w:hAnsi="Times New Roman" w:cs="Times New Roman"/>
                <w:color w:val="000000"/>
                <w:sz w:val="24"/>
                <w:szCs w:val="24"/>
              </w:rPr>
              <w:t xml:space="preserve">Jaunu </w:t>
            </w:r>
            <w:r w:rsidR="00C12D14" w:rsidRPr="005851C0">
              <w:rPr>
                <w:rFonts w:ascii="Times New Roman" w:hAnsi="Times New Roman" w:cs="Times New Roman"/>
                <w:color w:val="000000"/>
                <w:sz w:val="24"/>
                <w:szCs w:val="24"/>
              </w:rPr>
              <w:t>Ministru kabineta noteikumu projektu izstrādi nodrošina:</w:t>
            </w:r>
          </w:p>
          <w:p w14:paraId="13A40965" w14:textId="05933824" w:rsidR="00C12D14" w:rsidRPr="005851C0" w:rsidRDefault="00C12D14" w:rsidP="00872785">
            <w:pPr>
              <w:snapToGrid w:val="0"/>
              <w:spacing w:after="0" w:line="240" w:lineRule="auto"/>
              <w:rPr>
                <w:rFonts w:ascii="Times New Roman" w:hAnsi="Times New Roman" w:cs="Times New Roman"/>
                <w:color w:val="000000"/>
                <w:sz w:val="24"/>
                <w:szCs w:val="24"/>
              </w:rPr>
            </w:pPr>
            <w:r w:rsidRPr="005851C0">
              <w:rPr>
                <w:rFonts w:ascii="Times New Roman" w:hAnsi="Times New Roman" w:cs="Times New Roman"/>
                <w:color w:val="000000"/>
                <w:sz w:val="24"/>
                <w:szCs w:val="24"/>
              </w:rPr>
              <w:t xml:space="preserve">1) </w:t>
            </w:r>
            <w:r w:rsidR="006862F2">
              <w:rPr>
                <w:rFonts w:ascii="Times New Roman" w:hAnsi="Times New Roman" w:cs="Times New Roman"/>
                <w:color w:val="000000"/>
                <w:sz w:val="24"/>
                <w:szCs w:val="24"/>
              </w:rPr>
              <w:t>Finanšu ministrija (</w:t>
            </w:r>
            <w:r w:rsidRPr="005851C0">
              <w:rPr>
                <w:rFonts w:ascii="Times New Roman" w:hAnsi="Times New Roman" w:cs="Times New Roman"/>
                <w:color w:val="000000"/>
                <w:sz w:val="24"/>
                <w:szCs w:val="24"/>
              </w:rPr>
              <w:t>Valsts ieņēmumu dienests</w:t>
            </w:r>
            <w:r w:rsidR="006862F2">
              <w:rPr>
                <w:rFonts w:ascii="Times New Roman" w:hAnsi="Times New Roman" w:cs="Times New Roman"/>
                <w:color w:val="000000"/>
                <w:sz w:val="24"/>
                <w:szCs w:val="24"/>
              </w:rPr>
              <w:t>)</w:t>
            </w:r>
            <w:r w:rsidRPr="005851C0">
              <w:rPr>
                <w:rFonts w:ascii="Times New Roman" w:hAnsi="Times New Roman" w:cs="Times New Roman"/>
                <w:color w:val="000000"/>
                <w:sz w:val="24"/>
                <w:szCs w:val="24"/>
              </w:rPr>
              <w:t>;</w:t>
            </w:r>
          </w:p>
          <w:p w14:paraId="170917B9" w14:textId="7CB7BA46" w:rsidR="00C12D14" w:rsidRPr="005851C0" w:rsidRDefault="00C12D14" w:rsidP="00872785">
            <w:pPr>
              <w:snapToGrid w:val="0"/>
              <w:spacing w:after="0" w:line="240" w:lineRule="auto"/>
              <w:rPr>
                <w:rFonts w:ascii="Times New Roman" w:hAnsi="Times New Roman" w:cs="Times New Roman"/>
                <w:color w:val="000000"/>
                <w:sz w:val="24"/>
                <w:szCs w:val="24"/>
              </w:rPr>
            </w:pPr>
            <w:r w:rsidRPr="005851C0">
              <w:rPr>
                <w:rFonts w:ascii="Times New Roman" w:hAnsi="Times New Roman" w:cs="Times New Roman"/>
                <w:color w:val="000000"/>
                <w:sz w:val="24"/>
                <w:szCs w:val="24"/>
              </w:rPr>
              <w:t xml:space="preserve">2) </w:t>
            </w:r>
            <w:r w:rsidR="006862F2">
              <w:rPr>
                <w:rFonts w:ascii="Times New Roman" w:hAnsi="Times New Roman" w:cs="Times New Roman"/>
                <w:color w:val="000000"/>
                <w:sz w:val="24"/>
                <w:szCs w:val="24"/>
              </w:rPr>
              <w:t>Finanšu ministrija (</w:t>
            </w:r>
            <w:r w:rsidRPr="005851C0">
              <w:rPr>
                <w:rFonts w:ascii="Times New Roman" w:hAnsi="Times New Roman" w:cs="Times New Roman"/>
                <w:color w:val="000000"/>
                <w:sz w:val="24"/>
                <w:szCs w:val="24"/>
              </w:rPr>
              <w:t>Valsts ieņēmumu dienests</w:t>
            </w:r>
            <w:r w:rsidR="006862F2">
              <w:rPr>
                <w:rFonts w:ascii="Times New Roman" w:hAnsi="Times New Roman" w:cs="Times New Roman"/>
                <w:color w:val="000000"/>
                <w:sz w:val="24"/>
                <w:szCs w:val="24"/>
              </w:rPr>
              <w:t>)</w:t>
            </w:r>
            <w:r w:rsidRPr="005851C0">
              <w:rPr>
                <w:rFonts w:ascii="Times New Roman" w:hAnsi="Times New Roman" w:cs="Times New Roman"/>
                <w:color w:val="000000"/>
                <w:sz w:val="24"/>
                <w:szCs w:val="24"/>
              </w:rPr>
              <w:t>.</w:t>
            </w:r>
          </w:p>
          <w:p w14:paraId="52DFD83E" w14:textId="77777777" w:rsidR="00C12D14" w:rsidRPr="005851C0" w:rsidRDefault="00C12D14" w:rsidP="00872785">
            <w:pPr>
              <w:snapToGrid w:val="0"/>
              <w:spacing w:after="0" w:line="240" w:lineRule="auto"/>
              <w:rPr>
                <w:rFonts w:ascii="Times New Roman" w:hAnsi="Times New Roman" w:cs="Times New Roman"/>
                <w:color w:val="000000"/>
                <w:sz w:val="24"/>
                <w:szCs w:val="24"/>
              </w:rPr>
            </w:pPr>
          </w:p>
        </w:tc>
      </w:tr>
      <w:tr w:rsidR="00100490" w:rsidRPr="005851C0" w14:paraId="71F2EC1E" w14:textId="77777777" w:rsidTr="001004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227" w:type="pct"/>
          </w:tcPr>
          <w:p w14:paraId="374EF21D" w14:textId="77777777" w:rsidR="00100490" w:rsidRPr="005851C0" w:rsidRDefault="00100490" w:rsidP="0069728C">
            <w:pPr>
              <w:snapToGrid w:val="0"/>
              <w:rPr>
                <w:rFonts w:ascii="Times New Roman" w:hAnsi="Times New Roman" w:cs="Times New Roman"/>
                <w:color w:val="000000"/>
                <w:sz w:val="24"/>
                <w:szCs w:val="24"/>
              </w:rPr>
            </w:pPr>
            <w:r w:rsidRPr="005851C0">
              <w:rPr>
                <w:rFonts w:ascii="Times New Roman" w:hAnsi="Times New Roman" w:cs="Times New Roman"/>
                <w:color w:val="000000"/>
                <w:sz w:val="24"/>
                <w:szCs w:val="24"/>
              </w:rPr>
              <w:t>3.</w:t>
            </w:r>
          </w:p>
        </w:tc>
        <w:tc>
          <w:tcPr>
            <w:tcW w:w="1847" w:type="pct"/>
          </w:tcPr>
          <w:p w14:paraId="6AAB16FA" w14:textId="77777777" w:rsidR="00100490" w:rsidRPr="005851C0" w:rsidRDefault="00100490" w:rsidP="0069728C">
            <w:pPr>
              <w:snapToGrid w:val="0"/>
              <w:rPr>
                <w:rFonts w:ascii="Times New Roman" w:hAnsi="Times New Roman" w:cs="Times New Roman"/>
                <w:color w:val="000000"/>
                <w:sz w:val="24"/>
                <w:szCs w:val="24"/>
              </w:rPr>
            </w:pPr>
            <w:r w:rsidRPr="005851C0">
              <w:rPr>
                <w:rFonts w:ascii="Times New Roman" w:hAnsi="Times New Roman" w:cs="Times New Roman"/>
                <w:sz w:val="24"/>
                <w:szCs w:val="24"/>
              </w:rPr>
              <w:t>Cita informācija</w:t>
            </w:r>
          </w:p>
        </w:tc>
        <w:tc>
          <w:tcPr>
            <w:tcW w:w="2926" w:type="pct"/>
          </w:tcPr>
          <w:p w14:paraId="409D69DC" w14:textId="77777777" w:rsidR="00100490" w:rsidRPr="005851C0" w:rsidRDefault="00100490" w:rsidP="0069728C">
            <w:pPr>
              <w:ind w:right="112"/>
              <w:jc w:val="both"/>
              <w:rPr>
                <w:rFonts w:ascii="Times New Roman" w:hAnsi="Times New Roman" w:cs="Times New Roman"/>
                <w:sz w:val="24"/>
                <w:szCs w:val="24"/>
              </w:rPr>
            </w:pPr>
            <w:r w:rsidRPr="005851C0">
              <w:rPr>
                <w:rFonts w:ascii="Times New Roman" w:hAnsi="Times New Roman" w:cs="Times New Roman"/>
                <w:sz w:val="24"/>
                <w:szCs w:val="24"/>
              </w:rPr>
              <w:t>Nav</w:t>
            </w:r>
            <w:r w:rsidR="0071341A" w:rsidRPr="005851C0">
              <w:rPr>
                <w:rFonts w:ascii="Times New Roman" w:hAnsi="Times New Roman" w:cs="Times New Roman"/>
                <w:sz w:val="24"/>
                <w:szCs w:val="24"/>
              </w:rPr>
              <w:t>.</w:t>
            </w:r>
          </w:p>
        </w:tc>
      </w:tr>
    </w:tbl>
    <w:p w14:paraId="0F593AE1" w14:textId="77777777" w:rsidR="00100490" w:rsidRPr="005851C0" w:rsidRDefault="00100490" w:rsidP="00543AA6">
      <w:pPr>
        <w:spacing w:after="0" w:line="240" w:lineRule="auto"/>
        <w:rPr>
          <w:rFonts w:ascii="Times New Roman" w:eastAsia="Times New Roman" w:hAnsi="Times New Roman" w:cs="Times New Roman"/>
          <w:sz w:val="24"/>
          <w:szCs w:val="24"/>
          <w:lang w:eastAsia="lv-LV"/>
        </w:rPr>
      </w:pPr>
    </w:p>
    <w:tbl>
      <w:tblPr>
        <w:tblW w:w="5040" w:type="pct"/>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30" w:type="dxa"/>
          <w:left w:w="30" w:type="dxa"/>
          <w:bottom w:w="30" w:type="dxa"/>
          <w:right w:w="30" w:type="dxa"/>
        </w:tblCellMar>
        <w:tblLook w:val="0000" w:firstRow="0" w:lastRow="0" w:firstColumn="0" w:lastColumn="0" w:noHBand="0" w:noVBand="0"/>
      </w:tblPr>
      <w:tblGrid>
        <w:gridCol w:w="9180"/>
      </w:tblGrid>
      <w:tr w:rsidR="00784D9C" w:rsidRPr="005851C0" w14:paraId="1318E89E" w14:textId="77777777" w:rsidTr="00453DC2">
        <w:tc>
          <w:tcPr>
            <w:tcW w:w="5000" w:type="pct"/>
          </w:tcPr>
          <w:p w14:paraId="6D348681" w14:textId="77777777" w:rsidR="00784D9C" w:rsidRPr="005851C0" w:rsidRDefault="00784D9C" w:rsidP="00CA1F3D">
            <w:pPr>
              <w:spacing w:after="0" w:line="240" w:lineRule="auto"/>
              <w:jc w:val="center"/>
              <w:rPr>
                <w:rFonts w:ascii="Times New Roman" w:eastAsia="Times New Roman" w:hAnsi="Times New Roman" w:cs="Times New Roman"/>
                <w:b/>
                <w:sz w:val="24"/>
                <w:szCs w:val="24"/>
                <w:lang w:eastAsia="lv-LV"/>
              </w:rPr>
            </w:pPr>
            <w:r w:rsidRPr="005851C0">
              <w:rPr>
                <w:rFonts w:ascii="Times New Roman" w:eastAsia="Times New Roman" w:hAnsi="Times New Roman" w:cs="Times New Roman"/>
                <w:b/>
                <w:sz w:val="24"/>
                <w:szCs w:val="24"/>
                <w:lang w:eastAsia="lv-LV"/>
              </w:rPr>
              <w:t>V. Tiesību akta projekta atbilstība Latvijas Republikas starptautiskajām saistībām</w:t>
            </w:r>
          </w:p>
        </w:tc>
      </w:tr>
      <w:tr w:rsidR="00447A3D" w:rsidRPr="005851C0" w14:paraId="5B583E8F" w14:textId="77777777" w:rsidTr="00447A3D">
        <w:tc>
          <w:tcPr>
            <w:tcW w:w="5000" w:type="pct"/>
          </w:tcPr>
          <w:p w14:paraId="3DA0C2A6" w14:textId="77777777" w:rsidR="00447A3D" w:rsidRPr="005851C0" w:rsidRDefault="00447A3D" w:rsidP="00EA6E7C">
            <w:pPr>
              <w:spacing w:after="0" w:line="240" w:lineRule="auto"/>
              <w:jc w:val="both"/>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Projekts šo jomu neskar.</w:t>
            </w:r>
          </w:p>
        </w:tc>
      </w:tr>
    </w:tbl>
    <w:p w14:paraId="6364CF23" w14:textId="77777777" w:rsidR="00543AA6" w:rsidRPr="005851C0" w:rsidRDefault="00543AA6" w:rsidP="00543AA6">
      <w:pPr>
        <w:spacing w:after="0" w:line="240" w:lineRule="auto"/>
        <w:rPr>
          <w:rFonts w:ascii="Times New Roman" w:eastAsia="Times New Roman" w:hAnsi="Times New Roman" w:cs="Times New Roman"/>
          <w:sz w:val="24"/>
          <w:szCs w:val="24"/>
          <w:lang w:eastAsia="lv-LV"/>
        </w:rPr>
      </w:pPr>
    </w:p>
    <w:tbl>
      <w:tblPr>
        <w:tblW w:w="5059"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42"/>
        <w:gridCol w:w="2147"/>
        <w:gridCol w:w="6525"/>
      </w:tblGrid>
      <w:tr w:rsidR="009612B1" w:rsidRPr="005851C0" w14:paraId="0891B483" w14:textId="77777777" w:rsidTr="00C76826">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2D6B4DBA" w14:textId="77777777" w:rsidR="009612B1" w:rsidRPr="005851C0" w:rsidRDefault="009612B1" w:rsidP="00C76826">
            <w:pPr>
              <w:spacing w:after="0" w:line="360" w:lineRule="auto"/>
              <w:ind w:firstLine="300"/>
              <w:jc w:val="center"/>
              <w:rPr>
                <w:rFonts w:ascii="Times New Roman" w:eastAsia="Times New Roman" w:hAnsi="Times New Roman" w:cs="Times New Roman"/>
                <w:b/>
                <w:bCs/>
                <w:sz w:val="24"/>
                <w:szCs w:val="24"/>
                <w:lang w:eastAsia="lv-LV"/>
              </w:rPr>
            </w:pPr>
            <w:r w:rsidRPr="005851C0">
              <w:rPr>
                <w:rFonts w:ascii="Times New Roman" w:eastAsia="Times New Roman" w:hAnsi="Times New Roman" w:cs="Times New Roman"/>
                <w:b/>
                <w:bCs/>
                <w:sz w:val="24"/>
                <w:szCs w:val="24"/>
                <w:lang w:eastAsia="lv-LV"/>
              </w:rPr>
              <w:t>VI. Sabiedrības līdzdalība un komunikācijas aktivitātes</w:t>
            </w:r>
          </w:p>
        </w:tc>
      </w:tr>
      <w:tr w:rsidR="009612B1" w:rsidRPr="005851C0" w14:paraId="35D4C8D3" w14:textId="77777777" w:rsidTr="006C5CA7">
        <w:trPr>
          <w:trHeight w:val="1165"/>
        </w:trPr>
        <w:tc>
          <w:tcPr>
            <w:tcW w:w="294" w:type="pct"/>
            <w:tcBorders>
              <w:top w:val="single" w:sz="4" w:space="0" w:color="auto"/>
              <w:left w:val="outset" w:sz="6" w:space="0" w:color="414142"/>
              <w:bottom w:val="outset" w:sz="6" w:space="0" w:color="414142"/>
              <w:right w:val="outset" w:sz="6" w:space="0" w:color="414142"/>
            </w:tcBorders>
            <w:hideMark/>
          </w:tcPr>
          <w:p w14:paraId="58C6B432" w14:textId="77777777" w:rsidR="009612B1" w:rsidRPr="005851C0" w:rsidRDefault="009612B1" w:rsidP="00C76826">
            <w:pPr>
              <w:spacing w:before="100" w:beforeAutospacing="1" w:after="100" w:afterAutospacing="1" w:line="360" w:lineRule="auto"/>
              <w:ind w:firstLine="300"/>
              <w:jc w:val="both"/>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1.</w:t>
            </w:r>
          </w:p>
        </w:tc>
        <w:tc>
          <w:tcPr>
            <w:tcW w:w="1165" w:type="pct"/>
            <w:tcBorders>
              <w:top w:val="single" w:sz="4" w:space="0" w:color="auto"/>
              <w:left w:val="outset" w:sz="6" w:space="0" w:color="414142"/>
              <w:bottom w:val="outset" w:sz="6" w:space="0" w:color="414142"/>
              <w:right w:val="outset" w:sz="6" w:space="0" w:color="414142"/>
            </w:tcBorders>
            <w:hideMark/>
          </w:tcPr>
          <w:p w14:paraId="59FBBB41" w14:textId="77777777" w:rsidR="009612B1" w:rsidRPr="005851C0" w:rsidRDefault="009612B1" w:rsidP="00C76826">
            <w:pPr>
              <w:spacing w:after="0" w:line="240" w:lineRule="auto"/>
              <w:jc w:val="both"/>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Plānotās sabiedrības līdzdalības un komunikācijas aktivitātes saistībā ar projektu</w:t>
            </w:r>
          </w:p>
        </w:tc>
        <w:tc>
          <w:tcPr>
            <w:tcW w:w="3541" w:type="pct"/>
            <w:tcBorders>
              <w:top w:val="single" w:sz="4" w:space="0" w:color="auto"/>
              <w:left w:val="outset" w:sz="6" w:space="0" w:color="414142"/>
              <w:bottom w:val="outset" w:sz="6" w:space="0" w:color="414142"/>
              <w:right w:val="outset" w:sz="6" w:space="0" w:color="414142"/>
            </w:tcBorders>
            <w:hideMark/>
          </w:tcPr>
          <w:p w14:paraId="294B8555" w14:textId="77777777" w:rsidR="00447A3D" w:rsidRPr="009C22F6" w:rsidRDefault="00447A3D" w:rsidP="00447A3D">
            <w:pPr>
              <w:tabs>
                <w:tab w:val="left" w:pos="3997"/>
              </w:tabs>
              <w:spacing w:after="0" w:line="240" w:lineRule="auto"/>
              <w:ind w:right="111"/>
              <w:jc w:val="both"/>
              <w:rPr>
                <w:rFonts w:ascii="Times New Roman" w:eastAsia="Times New Roman" w:hAnsi="Times New Roman" w:cs="Times New Roman"/>
                <w:sz w:val="24"/>
                <w:szCs w:val="24"/>
                <w:lang w:eastAsia="lv-LV"/>
              </w:rPr>
            </w:pPr>
            <w:r w:rsidRPr="009C22F6">
              <w:rPr>
                <w:rFonts w:ascii="Times New Roman" w:hAnsi="Times New Roman" w:cs="Times New Roman"/>
                <w:iCs/>
                <w:spacing w:val="-2"/>
                <w:sz w:val="24"/>
                <w:szCs w:val="24"/>
              </w:rPr>
              <w:t xml:space="preserve">Likumprojekta izstrādes laikā notika konsultācijas ar </w:t>
            </w:r>
            <w:r w:rsidR="00CD2F8A" w:rsidRPr="009C22F6">
              <w:rPr>
                <w:rFonts w:ascii="Times New Roman" w:hAnsi="Times New Roman" w:cs="Times New Roman"/>
                <w:iCs/>
                <w:spacing w:val="-2"/>
                <w:sz w:val="24"/>
                <w:szCs w:val="24"/>
              </w:rPr>
              <w:t>TIRNA</w:t>
            </w:r>
            <w:r w:rsidRPr="009C22F6">
              <w:rPr>
                <w:rFonts w:ascii="Times New Roman" w:hAnsi="Times New Roman" w:cs="Times New Roman"/>
                <w:iCs/>
                <w:spacing w:val="-2"/>
                <w:sz w:val="24"/>
                <w:szCs w:val="24"/>
              </w:rPr>
              <w:t>, L</w:t>
            </w:r>
            <w:r w:rsidR="00CD2F8A" w:rsidRPr="009C22F6">
              <w:rPr>
                <w:rFonts w:ascii="Times New Roman" w:hAnsi="Times New Roman" w:cs="Times New Roman"/>
                <w:iCs/>
                <w:spacing w:val="-2"/>
                <w:sz w:val="24"/>
                <w:szCs w:val="24"/>
              </w:rPr>
              <w:t>ANA</w:t>
            </w:r>
            <w:r w:rsidR="00F61D30" w:rsidRPr="009C22F6">
              <w:rPr>
                <w:rFonts w:ascii="Times New Roman" w:hAnsi="Times New Roman" w:cs="Times New Roman"/>
                <w:iCs/>
                <w:spacing w:val="-2"/>
                <w:sz w:val="24"/>
                <w:szCs w:val="24"/>
              </w:rPr>
              <w:t xml:space="preserve"> un</w:t>
            </w:r>
            <w:r w:rsidRPr="009C22F6">
              <w:rPr>
                <w:rFonts w:ascii="Times New Roman" w:hAnsi="Times New Roman" w:cs="Times New Roman"/>
                <w:iCs/>
                <w:spacing w:val="-2"/>
                <w:sz w:val="24"/>
                <w:szCs w:val="24"/>
              </w:rPr>
              <w:t xml:space="preserve"> Bez</w:t>
            </w:r>
            <w:r w:rsidR="00A20E19" w:rsidRPr="009C22F6">
              <w:rPr>
                <w:rFonts w:ascii="Times New Roman" w:hAnsi="Times New Roman" w:cs="Times New Roman"/>
                <w:iCs/>
                <w:spacing w:val="-2"/>
                <w:sz w:val="24"/>
                <w:szCs w:val="24"/>
              </w:rPr>
              <w:t>dūmu</w:t>
            </w:r>
            <w:r w:rsidRPr="009C22F6">
              <w:rPr>
                <w:rFonts w:ascii="Times New Roman" w:hAnsi="Times New Roman" w:cs="Times New Roman"/>
                <w:iCs/>
                <w:spacing w:val="-2"/>
                <w:sz w:val="24"/>
                <w:szCs w:val="24"/>
              </w:rPr>
              <w:t xml:space="preserve"> nozares asociāciju</w:t>
            </w:r>
            <w:r w:rsidR="00A20E19" w:rsidRPr="009C22F6">
              <w:rPr>
                <w:rFonts w:ascii="Times New Roman" w:hAnsi="Times New Roman" w:cs="Times New Roman"/>
                <w:iCs/>
                <w:spacing w:val="-2"/>
                <w:sz w:val="24"/>
                <w:szCs w:val="24"/>
              </w:rPr>
              <w:t xml:space="preserve"> (turpmāk – BNA)</w:t>
            </w:r>
            <w:r w:rsidRPr="009C22F6">
              <w:rPr>
                <w:rFonts w:ascii="Times New Roman" w:hAnsi="Times New Roman" w:cs="Times New Roman"/>
                <w:iCs/>
                <w:spacing w:val="-2"/>
                <w:sz w:val="24"/>
                <w:szCs w:val="24"/>
              </w:rPr>
              <w:t>.</w:t>
            </w:r>
          </w:p>
          <w:p w14:paraId="5146C3C0" w14:textId="77777777" w:rsidR="009612B1" w:rsidRPr="009C22F6" w:rsidRDefault="009612B1" w:rsidP="00C76826">
            <w:pPr>
              <w:tabs>
                <w:tab w:val="left" w:pos="3997"/>
              </w:tabs>
              <w:spacing w:after="0" w:line="240" w:lineRule="auto"/>
              <w:ind w:right="111"/>
              <w:jc w:val="both"/>
              <w:rPr>
                <w:rFonts w:ascii="Times New Roman" w:hAnsi="Times New Roman" w:cs="Times New Roman"/>
                <w:i/>
                <w:iCs/>
                <w:spacing w:val="-2"/>
                <w:sz w:val="24"/>
                <w:szCs w:val="24"/>
              </w:rPr>
            </w:pPr>
            <w:r w:rsidRPr="009C22F6">
              <w:rPr>
                <w:rFonts w:ascii="Times New Roman" w:eastAsia="Times New Roman" w:hAnsi="Times New Roman" w:cs="Times New Roman"/>
                <w:sz w:val="24"/>
                <w:szCs w:val="24"/>
                <w:lang w:eastAsia="lv-LV"/>
              </w:rPr>
              <w:t xml:space="preserve">Informācija par likumprojekta izstrādi ir publicēta Finanšu ministrijas tīmekļvietnē sadaļā </w:t>
            </w:r>
            <w:r w:rsidRPr="009C22F6">
              <w:rPr>
                <w:rFonts w:ascii="Times New Roman" w:hAnsi="Times New Roman" w:cs="Times New Roman"/>
                <w:iCs/>
                <w:sz w:val="24"/>
                <w:szCs w:val="24"/>
              </w:rPr>
              <w:t>“Sabiedrības līdzdalība” – “Tiesību aktu projekti” – “Nodokļu politika”. L</w:t>
            </w:r>
            <w:r w:rsidRPr="009C22F6">
              <w:rPr>
                <w:rFonts w:ascii="Times New Roman" w:hAnsi="Times New Roman" w:cs="Times New Roman"/>
                <w:iCs/>
                <w:spacing w:val="-2"/>
                <w:sz w:val="24"/>
                <w:szCs w:val="24"/>
              </w:rPr>
              <w:t xml:space="preserve">īdz ar to sabiedrības pārstāvji </w:t>
            </w:r>
            <w:r w:rsidRPr="009C22F6">
              <w:rPr>
                <w:rFonts w:ascii="Times New Roman" w:hAnsi="Times New Roman" w:cs="Times New Roman"/>
                <w:iCs/>
                <w:spacing w:val="-2"/>
                <w:sz w:val="24"/>
                <w:szCs w:val="24"/>
              </w:rPr>
              <w:lastRenderedPageBreak/>
              <w:t xml:space="preserve">var līdzdarboties likumprojekta izstrādē, </w:t>
            </w:r>
            <w:proofErr w:type="spellStart"/>
            <w:r w:rsidRPr="009C22F6">
              <w:rPr>
                <w:rFonts w:ascii="Times New Roman" w:hAnsi="Times New Roman" w:cs="Times New Roman"/>
                <w:iCs/>
                <w:spacing w:val="-2"/>
                <w:sz w:val="24"/>
                <w:szCs w:val="24"/>
              </w:rPr>
              <w:t>rakstveidā</w:t>
            </w:r>
            <w:proofErr w:type="spellEnd"/>
            <w:r w:rsidRPr="009C22F6">
              <w:rPr>
                <w:rFonts w:ascii="Times New Roman" w:hAnsi="Times New Roman" w:cs="Times New Roman"/>
                <w:iCs/>
                <w:spacing w:val="-2"/>
                <w:sz w:val="24"/>
                <w:szCs w:val="24"/>
              </w:rPr>
              <w:t xml:space="preserve"> sniedzot viedokļus par projektu</w:t>
            </w:r>
            <w:r w:rsidRPr="009C22F6">
              <w:rPr>
                <w:rFonts w:ascii="Times New Roman" w:hAnsi="Times New Roman" w:cs="Times New Roman"/>
                <w:i/>
                <w:iCs/>
                <w:spacing w:val="-2"/>
                <w:sz w:val="24"/>
                <w:szCs w:val="24"/>
              </w:rPr>
              <w:t>.</w:t>
            </w:r>
          </w:p>
          <w:p w14:paraId="22D08D98" w14:textId="199C0B49" w:rsidR="009612B1" w:rsidRPr="009C22F6" w:rsidRDefault="00044B86" w:rsidP="00447A3D">
            <w:pPr>
              <w:tabs>
                <w:tab w:val="left" w:pos="3997"/>
              </w:tabs>
              <w:spacing w:after="0" w:line="240" w:lineRule="auto"/>
              <w:ind w:right="111"/>
              <w:jc w:val="both"/>
              <w:rPr>
                <w:rFonts w:ascii="Times New Roman" w:eastAsia="Times New Roman" w:hAnsi="Times New Roman" w:cs="Times New Roman"/>
                <w:sz w:val="24"/>
                <w:szCs w:val="24"/>
                <w:lang w:eastAsia="lv-LV"/>
              </w:rPr>
            </w:pPr>
            <w:r w:rsidRPr="00044B86">
              <w:rPr>
                <w:rFonts w:ascii="Times New Roman" w:eastAsia="Times New Roman" w:hAnsi="Times New Roman" w:cs="Times New Roman"/>
                <w:sz w:val="24"/>
                <w:szCs w:val="24"/>
                <w:lang w:eastAsia="lv-LV"/>
              </w:rPr>
              <w:t>Tāpat sabiedrības pārstāvji varēs sniegt viedokļus par projektu pēc tā izsludināšanas Valsts sekretāru sanāksmē.</w:t>
            </w:r>
          </w:p>
        </w:tc>
      </w:tr>
      <w:tr w:rsidR="009612B1" w:rsidRPr="005851C0" w14:paraId="50376AB2" w14:textId="77777777" w:rsidTr="006C5CA7">
        <w:tc>
          <w:tcPr>
            <w:tcW w:w="294" w:type="pct"/>
            <w:tcBorders>
              <w:top w:val="outset" w:sz="6" w:space="0" w:color="414142"/>
              <w:left w:val="outset" w:sz="6" w:space="0" w:color="414142"/>
              <w:bottom w:val="outset" w:sz="6" w:space="0" w:color="414142"/>
              <w:right w:val="outset" w:sz="6" w:space="0" w:color="414142"/>
            </w:tcBorders>
            <w:hideMark/>
          </w:tcPr>
          <w:p w14:paraId="3F2920DE" w14:textId="77777777" w:rsidR="009612B1" w:rsidRPr="005851C0" w:rsidRDefault="009612B1" w:rsidP="00C76826">
            <w:pPr>
              <w:spacing w:before="100" w:beforeAutospacing="1" w:after="100" w:afterAutospacing="1" w:line="360" w:lineRule="auto"/>
              <w:ind w:firstLine="300"/>
              <w:jc w:val="both"/>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lastRenderedPageBreak/>
              <w:t>2.</w:t>
            </w:r>
          </w:p>
        </w:tc>
        <w:tc>
          <w:tcPr>
            <w:tcW w:w="1165" w:type="pct"/>
            <w:tcBorders>
              <w:top w:val="outset" w:sz="6" w:space="0" w:color="414142"/>
              <w:left w:val="outset" w:sz="6" w:space="0" w:color="414142"/>
              <w:bottom w:val="outset" w:sz="6" w:space="0" w:color="414142"/>
              <w:right w:val="outset" w:sz="6" w:space="0" w:color="414142"/>
            </w:tcBorders>
            <w:hideMark/>
          </w:tcPr>
          <w:p w14:paraId="27DEB2CD" w14:textId="77777777" w:rsidR="009612B1" w:rsidRPr="005851C0" w:rsidRDefault="009612B1" w:rsidP="00C76826">
            <w:pPr>
              <w:spacing w:after="0" w:line="240" w:lineRule="auto"/>
              <w:jc w:val="both"/>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Sabiedrības līdzdalība projekta izstrādē</w:t>
            </w:r>
          </w:p>
        </w:tc>
        <w:tc>
          <w:tcPr>
            <w:tcW w:w="3541" w:type="pct"/>
            <w:tcBorders>
              <w:top w:val="outset" w:sz="6" w:space="0" w:color="414142"/>
              <w:left w:val="outset" w:sz="6" w:space="0" w:color="414142"/>
              <w:bottom w:val="outset" w:sz="6" w:space="0" w:color="414142"/>
              <w:right w:val="outset" w:sz="6" w:space="0" w:color="414142"/>
            </w:tcBorders>
            <w:hideMark/>
          </w:tcPr>
          <w:p w14:paraId="2CCD24B2" w14:textId="77777777" w:rsidR="00523AF0" w:rsidRPr="00523AF0" w:rsidRDefault="00523AF0" w:rsidP="00044B86">
            <w:pPr>
              <w:pStyle w:val="NormalWeb"/>
              <w:jc w:val="both"/>
              <w:rPr>
                <w:iCs/>
                <w:spacing w:val="-2"/>
              </w:rPr>
            </w:pPr>
            <w:r w:rsidRPr="00523AF0">
              <w:rPr>
                <w:iCs/>
                <w:spacing w:val="-2"/>
              </w:rPr>
              <w:t xml:space="preserve">Sabiedrības pārstāvji var arī līdzdarboties likumprojekta izstrādē, </w:t>
            </w:r>
            <w:proofErr w:type="spellStart"/>
            <w:r w:rsidRPr="00523AF0">
              <w:rPr>
                <w:iCs/>
                <w:spacing w:val="-2"/>
              </w:rPr>
              <w:t>rakstveidā</w:t>
            </w:r>
            <w:proofErr w:type="spellEnd"/>
            <w:r w:rsidRPr="00523AF0">
              <w:rPr>
                <w:iCs/>
                <w:spacing w:val="-2"/>
              </w:rPr>
              <w:t xml:space="preserve"> sniedzot viedokļus par likumprojektu, kas 2020.gada 5.maijā publicēts Finanšu ministrijas tīmekļvietnē sadaļā “Sabiedrības līdzdalība” – “Tiesību aktu projekti” – “Nodokļu politika”, adrese: https://www.fm.gov.lv/lv/sabiedribas_lidzdaliba/</w:t>
            </w:r>
          </w:p>
          <w:p w14:paraId="55058ED0" w14:textId="77777777" w:rsidR="00523AF0" w:rsidRPr="00523AF0" w:rsidRDefault="00523AF0" w:rsidP="00044B86">
            <w:pPr>
              <w:pStyle w:val="NormalWeb"/>
              <w:jc w:val="both"/>
              <w:rPr>
                <w:iCs/>
                <w:spacing w:val="-2"/>
              </w:rPr>
            </w:pPr>
            <w:proofErr w:type="spellStart"/>
            <w:r w:rsidRPr="00523AF0">
              <w:rPr>
                <w:iCs/>
                <w:spacing w:val="-2"/>
              </w:rPr>
              <w:t>tiesibu_aktu_projekti</w:t>
            </w:r>
            <w:proofErr w:type="spellEnd"/>
            <w:r w:rsidRPr="00523AF0">
              <w:rPr>
                <w:iCs/>
                <w:spacing w:val="-2"/>
              </w:rPr>
              <w:t>/nodoklu_politika#project647</w:t>
            </w:r>
          </w:p>
          <w:p w14:paraId="1DA7FA3B" w14:textId="0D5C7CDC" w:rsidR="009612B1" w:rsidRPr="00523AF0" w:rsidRDefault="00523AF0" w:rsidP="00044B86">
            <w:pPr>
              <w:tabs>
                <w:tab w:val="left" w:pos="3997"/>
              </w:tabs>
              <w:spacing w:after="0" w:line="240" w:lineRule="auto"/>
              <w:ind w:right="111"/>
              <w:rPr>
                <w:rFonts w:ascii="Times New Roman" w:eastAsia="Times New Roman" w:hAnsi="Times New Roman" w:cs="Times New Roman"/>
                <w:sz w:val="24"/>
                <w:szCs w:val="24"/>
                <w:lang w:eastAsia="lv-LV"/>
              </w:rPr>
            </w:pPr>
            <w:r w:rsidRPr="00523AF0">
              <w:rPr>
                <w:rFonts w:ascii="Times New Roman" w:hAnsi="Times New Roman" w:cs="Times New Roman"/>
                <w:iCs/>
                <w:spacing w:val="-2"/>
                <w:sz w:val="24"/>
                <w:szCs w:val="24"/>
              </w:rPr>
              <w:t xml:space="preserve">un Ministru kabineta tīmekļvietnē sadaļā “Valsts kanceleja” – “Sabiedrības līdzdalība”, adrese: </w:t>
            </w:r>
            <w:hyperlink r:id="rId11" w:history="1">
              <w:r w:rsidRPr="00523AF0">
                <w:rPr>
                  <w:rStyle w:val="Hyperlink"/>
                  <w:rFonts w:ascii="Times New Roman" w:hAnsi="Times New Roman" w:cs="Times New Roman"/>
                  <w:iCs/>
                  <w:spacing w:val="-2"/>
                  <w:sz w:val="24"/>
                  <w:szCs w:val="24"/>
                </w:rPr>
                <w:t>https://mk.gov.lv/content/ministru-kabineta-diskusiju-dokumenti</w:t>
              </w:r>
            </w:hyperlink>
            <w:r w:rsidRPr="00523AF0">
              <w:rPr>
                <w:iCs/>
                <w:spacing w:val="-2"/>
                <w:u w:val="single"/>
              </w:rPr>
              <w:t>.</w:t>
            </w:r>
          </w:p>
        </w:tc>
      </w:tr>
      <w:tr w:rsidR="009612B1" w:rsidRPr="005851C0" w14:paraId="112693B1" w14:textId="77777777" w:rsidTr="006C5CA7">
        <w:tc>
          <w:tcPr>
            <w:tcW w:w="294" w:type="pct"/>
            <w:tcBorders>
              <w:top w:val="outset" w:sz="6" w:space="0" w:color="414142"/>
              <w:left w:val="outset" w:sz="6" w:space="0" w:color="414142"/>
              <w:bottom w:val="outset" w:sz="6" w:space="0" w:color="414142"/>
              <w:right w:val="outset" w:sz="6" w:space="0" w:color="414142"/>
            </w:tcBorders>
            <w:hideMark/>
          </w:tcPr>
          <w:p w14:paraId="79051084" w14:textId="77777777" w:rsidR="009612B1" w:rsidRPr="005851C0" w:rsidRDefault="009612B1" w:rsidP="00C76826">
            <w:pPr>
              <w:spacing w:before="100" w:beforeAutospacing="1" w:after="100" w:afterAutospacing="1" w:line="360" w:lineRule="auto"/>
              <w:ind w:firstLine="300"/>
              <w:jc w:val="both"/>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3.</w:t>
            </w:r>
          </w:p>
        </w:tc>
        <w:tc>
          <w:tcPr>
            <w:tcW w:w="1165" w:type="pct"/>
            <w:tcBorders>
              <w:top w:val="outset" w:sz="6" w:space="0" w:color="414142"/>
              <w:left w:val="outset" w:sz="6" w:space="0" w:color="414142"/>
              <w:bottom w:val="outset" w:sz="6" w:space="0" w:color="414142"/>
              <w:right w:val="outset" w:sz="6" w:space="0" w:color="414142"/>
            </w:tcBorders>
            <w:hideMark/>
          </w:tcPr>
          <w:p w14:paraId="5257A0B2" w14:textId="77777777" w:rsidR="009612B1" w:rsidRPr="005851C0" w:rsidRDefault="009612B1" w:rsidP="00C76826">
            <w:pPr>
              <w:spacing w:after="0" w:line="240" w:lineRule="auto"/>
              <w:jc w:val="both"/>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Sabiedrības līdzdalības rezultāti</w:t>
            </w:r>
          </w:p>
        </w:tc>
        <w:tc>
          <w:tcPr>
            <w:tcW w:w="3541" w:type="pct"/>
            <w:tcBorders>
              <w:top w:val="outset" w:sz="6" w:space="0" w:color="414142"/>
              <w:left w:val="outset" w:sz="6" w:space="0" w:color="414142"/>
              <w:bottom w:val="outset" w:sz="6" w:space="0" w:color="414142"/>
              <w:right w:val="outset" w:sz="6" w:space="0" w:color="414142"/>
            </w:tcBorders>
          </w:tcPr>
          <w:p w14:paraId="13BBF329" w14:textId="1FF61837" w:rsidR="00523AF0" w:rsidRPr="00523AF0" w:rsidRDefault="00523AF0" w:rsidP="00523AF0">
            <w:pPr>
              <w:spacing w:after="0" w:line="240" w:lineRule="auto"/>
              <w:jc w:val="both"/>
              <w:rPr>
                <w:rFonts w:ascii="Times New Roman" w:eastAsia="Times New Roman" w:hAnsi="Times New Roman" w:cs="Times New Roman"/>
                <w:iCs/>
                <w:sz w:val="24"/>
                <w:szCs w:val="24"/>
                <w:lang w:eastAsia="lv-LV"/>
              </w:rPr>
            </w:pPr>
            <w:r w:rsidRPr="00523AF0">
              <w:rPr>
                <w:rFonts w:ascii="Times New Roman" w:hAnsi="Times New Roman" w:cs="Times New Roman"/>
                <w:iCs/>
                <w:spacing w:val="-2"/>
                <w:sz w:val="24"/>
                <w:szCs w:val="24"/>
              </w:rPr>
              <w:t xml:space="preserve"> </w:t>
            </w:r>
            <w:r w:rsidRPr="00523AF0">
              <w:rPr>
                <w:rFonts w:ascii="Times New Roman" w:eastAsia="Times New Roman" w:hAnsi="Times New Roman" w:cs="Times New Roman"/>
                <w:iCs/>
                <w:sz w:val="24"/>
                <w:szCs w:val="24"/>
              </w:rPr>
              <w:t>TIRNA un LANA sniedza informāciju par iespējamo ietekmi uz uzņēmējdarbības vidi darbībām ar akcīzes nodokļa markām marķējamām akcīzes precēm ar likumprojektu paredzot:</w:t>
            </w:r>
            <w:r w:rsidRPr="00523AF0">
              <w:rPr>
                <w:rFonts w:ascii="Times New Roman" w:eastAsia="Times New Roman" w:hAnsi="Times New Roman" w:cs="Times New Roman"/>
                <w:iCs/>
                <w:sz w:val="24"/>
                <w:szCs w:val="24"/>
                <w:lang w:eastAsia="lv-LV"/>
              </w:rPr>
              <w:t>- atcelt akcīzes nodokļa samaksas termiņu 180 dienas par saņemtajām akcīzes nodokļa markām, tādējādi maksājot akcīzes nodokli pēc faktiski marķēto preču vienību skaita, kas nodotas patēriņam vai laistas brīvā apgrozībā;</w:t>
            </w:r>
          </w:p>
          <w:p w14:paraId="2C6C2391" w14:textId="77777777" w:rsidR="00523AF0" w:rsidRPr="00523AF0" w:rsidRDefault="00523AF0" w:rsidP="00523AF0">
            <w:pPr>
              <w:spacing w:after="0" w:line="240" w:lineRule="auto"/>
              <w:jc w:val="both"/>
              <w:rPr>
                <w:rFonts w:ascii="Times New Roman" w:eastAsia="Times New Roman" w:hAnsi="Times New Roman" w:cs="Times New Roman"/>
                <w:iCs/>
                <w:sz w:val="24"/>
                <w:szCs w:val="24"/>
                <w:lang w:eastAsia="lv-LV"/>
              </w:rPr>
            </w:pPr>
            <w:r w:rsidRPr="00523AF0">
              <w:rPr>
                <w:rFonts w:ascii="Times New Roman" w:eastAsia="Times New Roman" w:hAnsi="Times New Roman" w:cs="Times New Roman"/>
                <w:iCs/>
                <w:sz w:val="24"/>
                <w:szCs w:val="24"/>
                <w:lang w:eastAsia="lv-LV"/>
              </w:rPr>
              <w:t>- paredz iespēju iznīcināt akcīzes nodokļa markas, nenoņemot tās no akcīzes preču iepakojuma, un šajā gadījumā saņemt atpakaļ samaksāto akcīzes nodokli.</w:t>
            </w:r>
          </w:p>
          <w:p w14:paraId="06BCB98A" w14:textId="139B34AC" w:rsidR="009612B1" w:rsidRPr="00523AF0" w:rsidRDefault="00523AF0" w:rsidP="006118DA">
            <w:pPr>
              <w:spacing w:after="0" w:line="240" w:lineRule="auto"/>
              <w:jc w:val="both"/>
              <w:rPr>
                <w:rFonts w:ascii="Times New Roman" w:eastAsia="Times New Roman" w:hAnsi="Times New Roman" w:cs="Times New Roman"/>
                <w:sz w:val="24"/>
                <w:szCs w:val="24"/>
                <w:lang w:eastAsia="lv-LV"/>
              </w:rPr>
            </w:pPr>
            <w:r w:rsidRPr="00523AF0">
              <w:rPr>
                <w:rFonts w:ascii="Times New Roman" w:eastAsia="Times New Roman" w:hAnsi="Times New Roman" w:cs="Times New Roman"/>
                <w:iCs/>
                <w:sz w:val="24"/>
                <w:szCs w:val="24"/>
                <w:lang w:eastAsia="lv-LV"/>
              </w:rPr>
              <w:t>BNA</w:t>
            </w:r>
            <w:r w:rsidR="006118DA">
              <w:rPr>
                <w:rFonts w:ascii="Times New Roman" w:eastAsia="Times New Roman" w:hAnsi="Times New Roman" w:cs="Times New Roman"/>
                <w:iCs/>
                <w:sz w:val="24"/>
                <w:szCs w:val="24"/>
                <w:lang w:eastAsia="lv-LV"/>
              </w:rPr>
              <w:t xml:space="preserve"> sniedza informāciju, ka tai nav iebildumu par sagatavoto likumprojektu.</w:t>
            </w:r>
          </w:p>
        </w:tc>
      </w:tr>
      <w:tr w:rsidR="009612B1" w:rsidRPr="005851C0" w14:paraId="666D38AA" w14:textId="77777777" w:rsidTr="006C5CA7">
        <w:tc>
          <w:tcPr>
            <w:tcW w:w="294" w:type="pct"/>
            <w:tcBorders>
              <w:top w:val="outset" w:sz="6" w:space="0" w:color="414142"/>
              <w:left w:val="outset" w:sz="6" w:space="0" w:color="414142"/>
              <w:bottom w:val="outset" w:sz="6" w:space="0" w:color="414142"/>
              <w:right w:val="outset" w:sz="6" w:space="0" w:color="414142"/>
            </w:tcBorders>
            <w:hideMark/>
          </w:tcPr>
          <w:p w14:paraId="0FFC9564" w14:textId="77777777" w:rsidR="009612B1" w:rsidRPr="005851C0" w:rsidRDefault="009612B1" w:rsidP="00C76826">
            <w:pPr>
              <w:spacing w:before="100" w:beforeAutospacing="1" w:after="100" w:afterAutospacing="1" w:line="360" w:lineRule="auto"/>
              <w:ind w:firstLine="300"/>
              <w:jc w:val="both"/>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4.</w:t>
            </w:r>
          </w:p>
        </w:tc>
        <w:tc>
          <w:tcPr>
            <w:tcW w:w="1165" w:type="pct"/>
            <w:tcBorders>
              <w:top w:val="outset" w:sz="6" w:space="0" w:color="414142"/>
              <w:left w:val="outset" w:sz="6" w:space="0" w:color="414142"/>
              <w:bottom w:val="outset" w:sz="6" w:space="0" w:color="414142"/>
              <w:right w:val="outset" w:sz="6" w:space="0" w:color="414142"/>
            </w:tcBorders>
            <w:hideMark/>
          </w:tcPr>
          <w:p w14:paraId="67FBD79F" w14:textId="77777777" w:rsidR="009612B1" w:rsidRPr="005851C0" w:rsidRDefault="009612B1" w:rsidP="00C76826">
            <w:pPr>
              <w:spacing w:after="0" w:line="240" w:lineRule="auto"/>
              <w:jc w:val="both"/>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Cita informācija</w:t>
            </w:r>
          </w:p>
        </w:tc>
        <w:tc>
          <w:tcPr>
            <w:tcW w:w="3541" w:type="pct"/>
            <w:tcBorders>
              <w:top w:val="outset" w:sz="6" w:space="0" w:color="414142"/>
              <w:left w:val="outset" w:sz="6" w:space="0" w:color="414142"/>
              <w:bottom w:val="outset" w:sz="6" w:space="0" w:color="414142"/>
              <w:right w:val="outset" w:sz="6" w:space="0" w:color="414142"/>
            </w:tcBorders>
            <w:hideMark/>
          </w:tcPr>
          <w:p w14:paraId="438BD4BD" w14:textId="77777777" w:rsidR="009612B1" w:rsidRPr="005851C0" w:rsidRDefault="009612B1" w:rsidP="00C76826">
            <w:pPr>
              <w:jc w:val="both"/>
              <w:rPr>
                <w:rFonts w:ascii="Times New Roman" w:hAnsi="Times New Roman" w:cs="Times New Roman"/>
                <w:sz w:val="24"/>
                <w:szCs w:val="24"/>
              </w:rPr>
            </w:pPr>
            <w:r w:rsidRPr="005851C0">
              <w:rPr>
                <w:rFonts w:ascii="Times New Roman" w:hAnsi="Times New Roman" w:cs="Times New Roman"/>
                <w:sz w:val="24"/>
                <w:szCs w:val="24"/>
              </w:rPr>
              <w:t xml:space="preserve">Nav. </w:t>
            </w:r>
          </w:p>
        </w:tc>
      </w:tr>
    </w:tbl>
    <w:p w14:paraId="0723C214" w14:textId="77777777" w:rsidR="009612B1" w:rsidRPr="005851C0" w:rsidRDefault="009612B1" w:rsidP="00543AA6">
      <w:pPr>
        <w:spacing w:after="0" w:line="240" w:lineRule="auto"/>
        <w:rPr>
          <w:rFonts w:ascii="Times New Roman" w:eastAsia="Times New Roman" w:hAnsi="Times New Roman" w:cs="Times New Roman"/>
          <w:sz w:val="24"/>
          <w:szCs w:val="24"/>
          <w:lang w:eastAsia="lv-LV"/>
        </w:rPr>
      </w:pPr>
    </w:p>
    <w:tbl>
      <w:tblPr>
        <w:tblW w:w="5058"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85"/>
        <w:gridCol w:w="3035"/>
        <w:gridCol w:w="5587"/>
      </w:tblGrid>
      <w:tr w:rsidR="00993C84" w:rsidRPr="005851C0" w14:paraId="05315435" w14:textId="77777777" w:rsidTr="005E1055">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01D93776" w14:textId="77777777" w:rsidR="00543AA6" w:rsidRPr="005851C0" w:rsidRDefault="00543AA6" w:rsidP="00993C84">
            <w:pPr>
              <w:spacing w:before="100" w:beforeAutospacing="1" w:after="100" w:afterAutospacing="1" w:line="360" w:lineRule="auto"/>
              <w:ind w:firstLine="300"/>
              <w:jc w:val="center"/>
              <w:rPr>
                <w:rFonts w:ascii="Times New Roman" w:eastAsia="Times New Roman" w:hAnsi="Times New Roman" w:cs="Times New Roman"/>
                <w:b/>
                <w:bCs/>
                <w:sz w:val="24"/>
                <w:szCs w:val="24"/>
                <w:lang w:eastAsia="lv-LV"/>
              </w:rPr>
            </w:pPr>
            <w:r w:rsidRPr="005851C0">
              <w:rPr>
                <w:rFonts w:ascii="Times New Roman" w:eastAsia="Times New Roman" w:hAnsi="Times New Roman" w:cs="Times New Roman"/>
                <w:b/>
                <w:bCs/>
                <w:sz w:val="24"/>
                <w:szCs w:val="24"/>
                <w:lang w:eastAsia="lv-LV"/>
              </w:rPr>
              <w:t>VII. Tiesību akta projekta izpildes nodrošināšana un tās ietekme uz institūcijām</w:t>
            </w:r>
          </w:p>
        </w:tc>
      </w:tr>
      <w:tr w:rsidR="00993C84" w:rsidRPr="005851C0" w14:paraId="593063C5" w14:textId="77777777" w:rsidTr="005E1055">
        <w:tc>
          <w:tcPr>
            <w:tcW w:w="318" w:type="pct"/>
            <w:tcBorders>
              <w:top w:val="outset" w:sz="6" w:space="0" w:color="414142"/>
              <w:left w:val="outset" w:sz="6" w:space="0" w:color="414142"/>
              <w:bottom w:val="outset" w:sz="6" w:space="0" w:color="414142"/>
              <w:right w:val="outset" w:sz="6" w:space="0" w:color="414142"/>
            </w:tcBorders>
            <w:hideMark/>
          </w:tcPr>
          <w:p w14:paraId="50781A6C" w14:textId="77777777" w:rsidR="00543AA6" w:rsidRPr="005851C0" w:rsidRDefault="00543AA6" w:rsidP="00993C84">
            <w:pPr>
              <w:spacing w:before="100" w:beforeAutospacing="1" w:after="100" w:afterAutospacing="1" w:line="360" w:lineRule="auto"/>
              <w:ind w:firstLine="300"/>
              <w:jc w:val="center"/>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1.</w:t>
            </w:r>
          </w:p>
        </w:tc>
        <w:tc>
          <w:tcPr>
            <w:tcW w:w="1648" w:type="pct"/>
            <w:tcBorders>
              <w:top w:val="outset" w:sz="6" w:space="0" w:color="414142"/>
              <w:left w:val="outset" w:sz="6" w:space="0" w:color="414142"/>
              <w:bottom w:val="outset" w:sz="6" w:space="0" w:color="414142"/>
              <w:right w:val="outset" w:sz="6" w:space="0" w:color="414142"/>
            </w:tcBorders>
            <w:hideMark/>
          </w:tcPr>
          <w:p w14:paraId="2A9A6F4D" w14:textId="77777777" w:rsidR="00543AA6" w:rsidRPr="005851C0" w:rsidRDefault="00543AA6" w:rsidP="00993C84">
            <w:pPr>
              <w:spacing w:after="0" w:line="240" w:lineRule="auto"/>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Projekta izpildē iesaistītās institūcijas</w:t>
            </w:r>
          </w:p>
        </w:tc>
        <w:tc>
          <w:tcPr>
            <w:tcW w:w="3034" w:type="pct"/>
            <w:tcBorders>
              <w:top w:val="outset" w:sz="6" w:space="0" w:color="414142"/>
              <w:left w:val="outset" w:sz="6" w:space="0" w:color="414142"/>
              <w:bottom w:val="outset" w:sz="6" w:space="0" w:color="414142"/>
              <w:right w:val="outset" w:sz="6" w:space="0" w:color="414142"/>
            </w:tcBorders>
            <w:hideMark/>
          </w:tcPr>
          <w:p w14:paraId="01ACB1DF" w14:textId="77777777" w:rsidR="00543AA6" w:rsidRPr="005851C0" w:rsidRDefault="00D77A92" w:rsidP="003D0556">
            <w:pPr>
              <w:spacing w:after="0" w:line="240" w:lineRule="auto"/>
              <w:rPr>
                <w:rFonts w:ascii="Times New Roman" w:hAnsi="Times New Roman" w:cs="Times New Roman"/>
                <w:sz w:val="24"/>
                <w:szCs w:val="24"/>
              </w:rPr>
            </w:pPr>
            <w:r w:rsidRPr="005851C0">
              <w:rPr>
                <w:rFonts w:ascii="Times New Roman" w:eastAsia="Times New Roman" w:hAnsi="Times New Roman" w:cs="Times New Roman"/>
                <w:sz w:val="24"/>
                <w:szCs w:val="24"/>
                <w:lang w:eastAsia="lv-LV"/>
              </w:rPr>
              <w:t>Valsts ieņēmumu dien</w:t>
            </w:r>
            <w:r w:rsidR="003D0556" w:rsidRPr="005851C0">
              <w:rPr>
                <w:rFonts w:ascii="Times New Roman" w:eastAsia="Times New Roman" w:hAnsi="Times New Roman" w:cs="Times New Roman"/>
                <w:sz w:val="24"/>
                <w:szCs w:val="24"/>
                <w:lang w:eastAsia="lv-LV"/>
              </w:rPr>
              <w:t>e</w:t>
            </w:r>
            <w:r w:rsidRPr="005851C0">
              <w:rPr>
                <w:rFonts w:ascii="Times New Roman" w:eastAsia="Times New Roman" w:hAnsi="Times New Roman" w:cs="Times New Roman"/>
                <w:sz w:val="24"/>
                <w:szCs w:val="24"/>
                <w:lang w:eastAsia="lv-LV"/>
              </w:rPr>
              <w:t>sts.</w:t>
            </w:r>
          </w:p>
        </w:tc>
      </w:tr>
      <w:tr w:rsidR="00993C84" w:rsidRPr="005851C0" w14:paraId="65F5B02C" w14:textId="77777777" w:rsidTr="005E1055">
        <w:tc>
          <w:tcPr>
            <w:tcW w:w="318" w:type="pct"/>
            <w:tcBorders>
              <w:top w:val="outset" w:sz="6" w:space="0" w:color="414142"/>
              <w:left w:val="outset" w:sz="6" w:space="0" w:color="414142"/>
              <w:bottom w:val="outset" w:sz="6" w:space="0" w:color="414142"/>
              <w:right w:val="outset" w:sz="6" w:space="0" w:color="414142"/>
            </w:tcBorders>
            <w:hideMark/>
          </w:tcPr>
          <w:p w14:paraId="30705968" w14:textId="77777777" w:rsidR="00543AA6" w:rsidRPr="005851C0" w:rsidRDefault="00543AA6" w:rsidP="00993C84">
            <w:pPr>
              <w:spacing w:before="100" w:beforeAutospacing="1" w:after="100" w:afterAutospacing="1" w:line="360" w:lineRule="auto"/>
              <w:ind w:firstLine="300"/>
              <w:jc w:val="center"/>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2.</w:t>
            </w:r>
          </w:p>
        </w:tc>
        <w:tc>
          <w:tcPr>
            <w:tcW w:w="1648" w:type="pct"/>
            <w:tcBorders>
              <w:top w:val="outset" w:sz="6" w:space="0" w:color="414142"/>
              <w:left w:val="outset" w:sz="6" w:space="0" w:color="414142"/>
              <w:bottom w:val="outset" w:sz="6" w:space="0" w:color="414142"/>
              <w:right w:val="outset" w:sz="6" w:space="0" w:color="414142"/>
            </w:tcBorders>
            <w:hideMark/>
          </w:tcPr>
          <w:p w14:paraId="6122B748" w14:textId="77777777" w:rsidR="00543AA6" w:rsidRPr="005851C0" w:rsidRDefault="00543AA6" w:rsidP="00993C84">
            <w:pPr>
              <w:spacing w:after="0" w:line="240" w:lineRule="auto"/>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Projekta izpildes ietekme uz pārvaldes funkcijām un institucionālo struktūru.</w:t>
            </w:r>
            <w:r w:rsidRPr="005851C0">
              <w:rPr>
                <w:rFonts w:ascii="Times New Roman" w:eastAsia="Times New Roman" w:hAnsi="Times New Roman" w:cs="Times New Roman"/>
                <w:sz w:val="24"/>
                <w:szCs w:val="24"/>
                <w:lang w:eastAsia="lv-LV"/>
              </w:rPr>
              <w:br/>
              <w:t>Jaunu institūciju izveide, esošu institūciju likvidācija vai reorganizācija, to ietekme uz institūcijas cilvēkresursiem</w:t>
            </w:r>
          </w:p>
        </w:tc>
        <w:tc>
          <w:tcPr>
            <w:tcW w:w="3034" w:type="pct"/>
            <w:tcBorders>
              <w:top w:val="outset" w:sz="6" w:space="0" w:color="414142"/>
              <w:left w:val="outset" w:sz="6" w:space="0" w:color="414142"/>
              <w:bottom w:val="outset" w:sz="6" w:space="0" w:color="414142"/>
              <w:right w:val="outset" w:sz="6" w:space="0" w:color="414142"/>
            </w:tcBorders>
            <w:hideMark/>
          </w:tcPr>
          <w:p w14:paraId="0BDE3075" w14:textId="6BCBB0C7" w:rsidR="00543AA6" w:rsidRPr="005851C0" w:rsidRDefault="00523AF0" w:rsidP="00044B86">
            <w:pPr>
              <w:spacing w:after="0" w:line="240" w:lineRule="auto"/>
              <w:jc w:val="both"/>
              <w:rPr>
                <w:rFonts w:ascii="Times New Roman" w:eastAsia="Times New Roman" w:hAnsi="Times New Roman" w:cs="Times New Roman"/>
                <w:sz w:val="24"/>
                <w:szCs w:val="24"/>
                <w:lang w:eastAsia="lv-LV"/>
              </w:rPr>
            </w:pPr>
            <w:r w:rsidRPr="00523AF0">
              <w:rPr>
                <w:rFonts w:ascii="Times New Roman" w:eastAsia="Times New Roman" w:hAnsi="Times New Roman" w:cs="Times New Roman"/>
                <w:sz w:val="24"/>
                <w:szCs w:val="24"/>
                <w:lang w:eastAsia="lv-LV"/>
              </w:rPr>
              <w:t>Projekta izpilde neietekmēs pārvaldes funkcijas un institucionālo struktūru. Jaunu institūciju izveide, esošo institūciju likvidācija vai reorganizācija nav nepieciešama. Projekts tiks īstenots esoši cilvēkresursu ietvaros</w:t>
            </w:r>
            <w:r>
              <w:rPr>
                <w:rFonts w:ascii="Times New Roman" w:eastAsia="Times New Roman" w:hAnsi="Times New Roman" w:cs="Times New Roman"/>
                <w:sz w:val="24"/>
                <w:szCs w:val="24"/>
                <w:lang w:eastAsia="lv-LV"/>
              </w:rPr>
              <w:t>.</w:t>
            </w:r>
          </w:p>
        </w:tc>
      </w:tr>
      <w:tr w:rsidR="00993C84" w:rsidRPr="005851C0" w14:paraId="2E26D048" w14:textId="77777777" w:rsidTr="005E1055">
        <w:tc>
          <w:tcPr>
            <w:tcW w:w="318" w:type="pct"/>
            <w:tcBorders>
              <w:top w:val="outset" w:sz="6" w:space="0" w:color="414142"/>
              <w:left w:val="outset" w:sz="6" w:space="0" w:color="414142"/>
              <w:bottom w:val="outset" w:sz="6" w:space="0" w:color="414142"/>
              <w:right w:val="outset" w:sz="6" w:space="0" w:color="414142"/>
            </w:tcBorders>
            <w:hideMark/>
          </w:tcPr>
          <w:p w14:paraId="1D74869E" w14:textId="77777777" w:rsidR="00543AA6" w:rsidRPr="005851C0" w:rsidRDefault="00543AA6" w:rsidP="00993C84">
            <w:pPr>
              <w:spacing w:before="100" w:beforeAutospacing="1" w:after="100" w:afterAutospacing="1" w:line="360" w:lineRule="auto"/>
              <w:ind w:firstLine="300"/>
              <w:jc w:val="center"/>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3.</w:t>
            </w:r>
          </w:p>
        </w:tc>
        <w:tc>
          <w:tcPr>
            <w:tcW w:w="1648" w:type="pct"/>
            <w:tcBorders>
              <w:top w:val="outset" w:sz="6" w:space="0" w:color="414142"/>
              <w:left w:val="outset" w:sz="6" w:space="0" w:color="414142"/>
              <w:bottom w:val="outset" w:sz="6" w:space="0" w:color="414142"/>
              <w:right w:val="outset" w:sz="6" w:space="0" w:color="414142"/>
            </w:tcBorders>
            <w:hideMark/>
          </w:tcPr>
          <w:p w14:paraId="1A5D0DD4" w14:textId="77777777" w:rsidR="00543AA6" w:rsidRPr="005851C0" w:rsidRDefault="00543AA6" w:rsidP="00993C84">
            <w:pPr>
              <w:spacing w:after="0" w:line="240" w:lineRule="auto"/>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Cita informācija</w:t>
            </w:r>
          </w:p>
        </w:tc>
        <w:tc>
          <w:tcPr>
            <w:tcW w:w="3034" w:type="pct"/>
            <w:tcBorders>
              <w:top w:val="outset" w:sz="6" w:space="0" w:color="414142"/>
              <w:left w:val="outset" w:sz="6" w:space="0" w:color="414142"/>
              <w:bottom w:val="outset" w:sz="6" w:space="0" w:color="414142"/>
              <w:right w:val="outset" w:sz="6" w:space="0" w:color="414142"/>
            </w:tcBorders>
            <w:hideMark/>
          </w:tcPr>
          <w:p w14:paraId="7EE83ADB" w14:textId="77777777" w:rsidR="00543AA6" w:rsidRPr="005851C0" w:rsidRDefault="00993C84" w:rsidP="00993C84">
            <w:pPr>
              <w:spacing w:after="0" w:line="240" w:lineRule="auto"/>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Nav</w:t>
            </w:r>
            <w:r w:rsidR="001E55A0" w:rsidRPr="005851C0">
              <w:rPr>
                <w:rFonts w:ascii="Times New Roman" w:eastAsia="Times New Roman" w:hAnsi="Times New Roman" w:cs="Times New Roman"/>
                <w:sz w:val="24"/>
                <w:szCs w:val="24"/>
                <w:lang w:eastAsia="lv-LV"/>
              </w:rPr>
              <w:t>.</w:t>
            </w:r>
          </w:p>
        </w:tc>
      </w:tr>
    </w:tbl>
    <w:p w14:paraId="22112337" w14:textId="77777777" w:rsidR="000B5181" w:rsidRPr="005851C0" w:rsidRDefault="000B5181" w:rsidP="001E55A0">
      <w:pPr>
        <w:spacing w:after="0" w:line="240" w:lineRule="auto"/>
        <w:rPr>
          <w:rFonts w:ascii="Times New Roman" w:eastAsia="Times New Roman" w:hAnsi="Times New Roman" w:cs="Times New Roman"/>
          <w:bCs/>
          <w:iCs/>
          <w:kern w:val="1"/>
          <w:sz w:val="24"/>
          <w:szCs w:val="24"/>
          <w:lang w:eastAsia="ar-SA"/>
        </w:rPr>
      </w:pPr>
    </w:p>
    <w:p w14:paraId="0680AC48" w14:textId="77777777" w:rsidR="000B5181" w:rsidRPr="005851C0" w:rsidRDefault="000B5181" w:rsidP="001E55A0">
      <w:pPr>
        <w:spacing w:after="0" w:line="240" w:lineRule="auto"/>
        <w:rPr>
          <w:rFonts w:ascii="Times New Roman" w:eastAsia="Times New Roman" w:hAnsi="Times New Roman" w:cs="Times New Roman"/>
          <w:bCs/>
          <w:iCs/>
          <w:kern w:val="1"/>
          <w:sz w:val="24"/>
          <w:szCs w:val="24"/>
          <w:lang w:eastAsia="ar-SA"/>
        </w:rPr>
      </w:pPr>
    </w:p>
    <w:p w14:paraId="115DFB95" w14:textId="77777777" w:rsidR="00CC7A83" w:rsidRPr="005851C0" w:rsidRDefault="00CC7A83" w:rsidP="001E55A0">
      <w:pPr>
        <w:spacing w:after="0" w:line="240" w:lineRule="auto"/>
        <w:rPr>
          <w:rFonts w:ascii="Times New Roman" w:eastAsia="Times New Roman" w:hAnsi="Times New Roman" w:cs="Times New Roman"/>
          <w:bCs/>
          <w:iCs/>
          <w:kern w:val="1"/>
          <w:sz w:val="24"/>
          <w:szCs w:val="24"/>
          <w:lang w:eastAsia="ar-SA"/>
        </w:rPr>
      </w:pPr>
    </w:p>
    <w:p w14:paraId="5D894A29" w14:textId="77777777" w:rsidR="000B55A9" w:rsidRPr="005851C0" w:rsidRDefault="001E55A0" w:rsidP="001E55A0">
      <w:pPr>
        <w:spacing w:after="0" w:line="240" w:lineRule="auto"/>
        <w:rPr>
          <w:rFonts w:ascii="Times New Roman" w:eastAsia="Times New Roman" w:hAnsi="Times New Roman" w:cs="Times New Roman"/>
          <w:bCs/>
          <w:iCs/>
          <w:kern w:val="1"/>
          <w:sz w:val="26"/>
          <w:szCs w:val="26"/>
          <w:lang w:eastAsia="ar-SA"/>
        </w:rPr>
      </w:pPr>
      <w:r w:rsidRPr="005851C0">
        <w:rPr>
          <w:rFonts w:ascii="Times New Roman" w:eastAsia="Times New Roman" w:hAnsi="Times New Roman" w:cs="Times New Roman"/>
          <w:bCs/>
          <w:iCs/>
          <w:kern w:val="1"/>
          <w:sz w:val="26"/>
          <w:szCs w:val="26"/>
          <w:lang w:eastAsia="ar-SA"/>
        </w:rPr>
        <w:t>Finanšu ministr</w:t>
      </w:r>
      <w:r w:rsidR="00CC7A83" w:rsidRPr="005851C0">
        <w:rPr>
          <w:rFonts w:ascii="Times New Roman" w:eastAsia="Times New Roman" w:hAnsi="Times New Roman" w:cs="Times New Roman"/>
          <w:bCs/>
          <w:iCs/>
          <w:kern w:val="1"/>
          <w:sz w:val="26"/>
          <w:szCs w:val="26"/>
          <w:lang w:eastAsia="ar-SA"/>
        </w:rPr>
        <w:t>s</w:t>
      </w:r>
      <w:r w:rsidRPr="005851C0">
        <w:rPr>
          <w:rFonts w:ascii="Times New Roman" w:eastAsia="Times New Roman" w:hAnsi="Times New Roman" w:cs="Times New Roman"/>
          <w:bCs/>
          <w:iCs/>
          <w:kern w:val="1"/>
          <w:sz w:val="26"/>
          <w:szCs w:val="26"/>
          <w:lang w:eastAsia="ar-SA"/>
        </w:rPr>
        <w:tab/>
        <w:t xml:space="preserve">                                                                     </w:t>
      </w:r>
      <w:r w:rsidR="00CC7A83" w:rsidRPr="005851C0">
        <w:rPr>
          <w:rFonts w:ascii="Times New Roman" w:eastAsia="Times New Roman" w:hAnsi="Times New Roman" w:cs="Times New Roman"/>
          <w:bCs/>
          <w:iCs/>
          <w:kern w:val="1"/>
          <w:sz w:val="26"/>
          <w:szCs w:val="26"/>
          <w:lang w:eastAsia="ar-SA"/>
        </w:rPr>
        <w:tab/>
      </w:r>
      <w:r w:rsidRPr="005851C0">
        <w:rPr>
          <w:rFonts w:ascii="Times New Roman" w:eastAsia="Times New Roman" w:hAnsi="Times New Roman" w:cs="Times New Roman"/>
          <w:bCs/>
          <w:iCs/>
          <w:kern w:val="1"/>
          <w:sz w:val="26"/>
          <w:szCs w:val="26"/>
          <w:lang w:eastAsia="ar-SA"/>
        </w:rPr>
        <w:t xml:space="preserve"> </w:t>
      </w:r>
      <w:r w:rsidR="00CC7A83" w:rsidRPr="005851C0">
        <w:rPr>
          <w:rFonts w:ascii="Times New Roman" w:eastAsia="Times New Roman" w:hAnsi="Times New Roman" w:cs="Times New Roman"/>
          <w:bCs/>
          <w:iCs/>
          <w:kern w:val="1"/>
          <w:sz w:val="26"/>
          <w:szCs w:val="26"/>
          <w:lang w:eastAsia="ar-SA"/>
        </w:rPr>
        <w:t>J</w:t>
      </w:r>
      <w:r w:rsidRPr="005851C0">
        <w:rPr>
          <w:rFonts w:ascii="Times New Roman" w:eastAsia="Times New Roman" w:hAnsi="Times New Roman" w:cs="Times New Roman"/>
          <w:bCs/>
          <w:iCs/>
          <w:kern w:val="1"/>
          <w:sz w:val="26"/>
          <w:szCs w:val="26"/>
          <w:lang w:eastAsia="ar-SA"/>
        </w:rPr>
        <w:t>. Rei</w:t>
      </w:r>
      <w:r w:rsidR="00CC7A83" w:rsidRPr="005851C0">
        <w:rPr>
          <w:rFonts w:ascii="Times New Roman" w:eastAsia="Times New Roman" w:hAnsi="Times New Roman" w:cs="Times New Roman"/>
          <w:bCs/>
          <w:iCs/>
          <w:kern w:val="1"/>
          <w:sz w:val="26"/>
          <w:szCs w:val="26"/>
          <w:lang w:eastAsia="ar-SA"/>
        </w:rPr>
        <w:t>rs</w:t>
      </w:r>
    </w:p>
    <w:p w14:paraId="76EEE839" w14:textId="77777777" w:rsidR="000B55A9" w:rsidRPr="005851C0" w:rsidRDefault="000B55A9" w:rsidP="001E55A0">
      <w:pPr>
        <w:spacing w:after="0" w:line="240" w:lineRule="auto"/>
        <w:rPr>
          <w:rFonts w:ascii="Times New Roman" w:eastAsia="Times New Roman" w:hAnsi="Times New Roman" w:cs="Times New Roman"/>
          <w:bCs/>
          <w:iCs/>
          <w:kern w:val="1"/>
          <w:sz w:val="24"/>
          <w:szCs w:val="24"/>
          <w:lang w:eastAsia="ar-SA"/>
        </w:rPr>
      </w:pPr>
    </w:p>
    <w:p w14:paraId="464FD109" w14:textId="77777777" w:rsidR="001657A2" w:rsidRPr="005851C0" w:rsidRDefault="001657A2" w:rsidP="001E55A0">
      <w:pPr>
        <w:spacing w:after="0" w:line="240" w:lineRule="auto"/>
        <w:rPr>
          <w:rFonts w:ascii="Times New Roman" w:eastAsia="Times New Roman" w:hAnsi="Times New Roman" w:cs="Times New Roman"/>
          <w:bCs/>
          <w:iCs/>
          <w:kern w:val="1"/>
          <w:sz w:val="20"/>
          <w:szCs w:val="24"/>
          <w:lang w:eastAsia="ar-SA"/>
        </w:rPr>
      </w:pPr>
    </w:p>
    <w:p w14:paraId="2FE495D8" w14:textId="77777777" w:rsidR="001E55A0" w:rsidRPr="005851C0" w:rsidRDefault="001A44AF" w:rsidP="001E55A0">
      <w:pPr>
        <w:spacing w:after="0" w:line="240" w:lineRule="auto"/>
        <w:rPr>
          <w:rFonts w:ascii="Times New Roman" w:eastAsia="Times New Roman" w:hAnsi="Times New Roman" w:cs="Times New Roman"/>
          <w:bCs/>
          <w:iCs/>
          <w:kern w:val="1"/>
          <w:sz w:val="20"/>
          <w:szCs w:val="24"/>
          <w:lang w:eastAsia="ar-SA"/>
        </w:rPr>
      </w:pPr>
      <w:r w:rsidRPr="005851C0">
        <w:rPr>
          <w:rFonts w:ascii="Times New Roman" w:eastAsia="Times New Roman" w:hAnsi="Times New Roman" w:cs="Times New Roman"/>
          <w:bCs/>
          <w:iCs/>
          <w:kern w:val="1"/>
          <w:sz w:val="20"/>
          <w:szCs w:val="24"/>
          <w:lang w:eastAsia="ar-SA"/>
        </w:rPr>
        <w:t>Pužule</w:t>
      </w:r>
      <w:r w:rsidR="006E1B67" w:rsidRPr="005851C0">
        <w:rPr>
          <w:rFonts w:ascii="Times New Roman" w:eastAsia="Times New Roman" w:hAnsi="Times New Roman" w:cs="Times New Roman"/>
          <w:bCs/>
          <w:iCs/>
          <w:kern w:val="1"/>
          <w:sz w:val="20"/>
          <w:szCs w:val="24"/>
          <w:lang w:eastAsia="ar-SA"/>
        </w:rPr>
        <w:t>, 670</w:t>
      </w:r>
      <w:r w:rsidRPr="005851C0">
        <w:rPr>
          <w:rFonts w:ascii="Times New Roman" w:eastAsia="Times New Roman" w:hAnsi="Times New Roman" w:cs="Times New Roman"/>
          <w:bCs/>
          <w:iCs/>
          <w:kern w:val="1"/>
          <w:sz w:val="20"/>
          <w:szCs w:val="24"/>
          <w:lang w:eastAsia="ar-SA"/>
        </w:rPr>
        <w:t>95521</w:t>
      </w:r>
    </w:p>
    <w:p w14:paraId="6F554C91" w14:textId="77777777" w:rsidR="001E55A0" w:rsidRPr="005851C0" w:rsidRDefault="005171C0" w:rsidP="001E55A0">
      <w:pPr>
        <w:spacing w:after="0" w:line="240" w:lineRule="auto"/>
        <w:rPr>
          <w:rFonts w:ascii="Times New Roman" w:hAnsi="Times New Roman" w:cs="Times New Roman"/>
          <w:sz w:val="20"/>
          <w:szCs w:val="24"/>
        </w:rPr>
      </w:pPr>
      <w:hyperlink r:id="rId12" w:history="1">
        <w:r w:rsidR="001A44AF" w:rsidRPr="005851C0">
          <w:rPr>
            <w:rStyle w:val="Hyperlink"/>
            <w:rFonts w:ascii="Times New Roman" w:eastAsia="Times New Roman" w:hAnsi="Times New Roman" w:cs="Times New Roman"/>
            <w:bCs/>
            <w:iCs/>
            <w:kern w:val="1"/>
            <w:sz w:val="20"/>
            <w:szCs w:val="24"/>
            <w:lang w:eastAsia="ar-SA"/>
          </w:rPr>
          <w:t>Gunta.Puzule@fm.gov.lv</w:t>
        </w:r>
      </w:hyperlink>
      <w:r w:rsidR="001E55A0" w:rsidRPr="005851C0">
        <w:rPr>
          <w:rFonts w:ascii="Times New Roman" w:eastAsia="Times New Roman" w:hAnsi="Times New Roman" w:cs="Times New Roman"/>
          <w:bCs/>
          <w:iCs/>
          <w:kern w:val="1"/>
          <w:sz w:val="20"/>
          <w:szCs w:val="24"/>
          <w:lang w:eastAsia="ar-SA"/>
        </w:rPr>
        <w:t xml:space="preserve"> </w:t>
      </w:r>
    </w:p>
    <w:sectPr w:rsidR="001E55A0" w:rsidRPr="005851C0" w:rsidSect="00FF6FDC">
      <w:headerReference w:type="default" r:id="rId13"/>
      <w:footerReference w:type="default" r:id="rId14"/>
      <w:footerReference w:type="first" r:id="rId15"/>
      <w:pgSz w:w="11906" w:h="16838"/>
      <w:pgMar w:top="1440" w:right="992"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C1E8D6" w14:textId="77777777" w:rsidR="005171C0" w:rsidRDefault="005171C0" w:rsidP="0038587F">
      <w:pPr>
        <w:spacing w:after="0" w:line="240" w:lineRule="auto"/>
      </w:pPr>
      <w:r>
        <w:separator/>
      </w:r>
    </w:p>
  </w:endnote>
  <w:endnote w:type="continuationSeparator" w:id="0">
    <w:p w14:paraId="4F89200E" w14:textId="77777777" w:rsidR="005171C0" w:rsidRDefault="005171C0" w:rsidP="00385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2E1A6" w14:textId="0A31BCA1" w:rsidR="00081E6E" w:rsidRPr="001E55A0" w:rsidRDefault="00081E6E" w:rsidP="001E55A0">
    <w:pPr>
      <w:pStyle w:val="Footer"/>
      <w:rPr>
        <w:rFonts w:ascii="Times New Roman" w:hAnsi="Times New Roman" w:cs="Times New Roman"/>
      </w:rPr>
    </w:pPr>
    <w:r w:rsidRPr="001E55A0">
      <w:rPr>
        <w:rFonts w:ascii="Times New Roman" w:hAnsi="Times New Roman" w:cs="Times New Roman"/>
        <w:sz w:val="20"/>
        <w:szCs w:val="20"/>
      </w:rPr>
      <w:fldChar w:fldCharType="begin"/>
    </w:r>
    <w:r w:rsidRPr="001E55A0">
      <w:rPr>
        <w:rFonts w:ascii="Times New Roman" w:hAnsi="Times New Roman" w:cs="Times New Roman"/>
        <w:sz w:val="20"/>
        <w:szCs w:val="20"/>
      </w:rPr>
      <w:instrText xml:space="preserve"> FILENAME   \* MERGEFORMAT </w:instrText>
    </w:r>
    <w:r w:rsidRPr="001E55A0">
      <w:rPr>
        <w:rFonts w:ascii="Times New Roman" w:hAnsi="Times New Roman" w:cs="Times New Roman"/>
        <w:sz w:val="20"/>
        <w:szCs w:val="20"/>
      </w:rPr>
      <w:fldChar w:fldCharType="separate"/>
    </w:r>
    <w:r w:rsidR="006118DA">
      <w:rPr>
        <w:rFonts w:ascii="Times New Roman" w:hAnsi="Times New Roman" w:cs="Times New Roman"/>
        <w:noProof/>
        <w:sz w:val="20"/>
        <w:szCs w:val="20"/>
      </w:rPr>
      <w:t>FMAnot_180620_AN_dazadi.docx</w:t>
    </w:r>
    <w:r w:rsidRPr="001E55A0">
      <w:rPr>
        <w:rFonts w:ascii="Times New Roman" w:hAnsi="Times New Roman" w:cs="Times New Roman"/>
        <w:sz w:val="20"/>
        <w:szCs w:val="20"/>
      </w:rPr>
      <w:fldChar w:fldCharType="end"/>
    </w:r>
    <w:r w:rsidRPr="001E55A0">
      <w:rPr>
        <w:rFonts w:ascii="Times New Roman" w:hAnsi="Times New Roman" w:cs="Times New Roman"/>
        <w:sz w:val="20"/>
        <w:szCs w:val="20"/>
      </w:rPr>
      <w:t xml:space="preserve">; </w:t>
    </w:r>
  </w:p>
  <w:p w14:paraId="728763CF" w14:textId="77777777" w:rsidR="00081E6E" w:rsidRPr="001E55A0" w:rsidRDefault="00081E6E" w:rsidP="001E55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BB222" w14:textId="6DF35EEC" w:rsidR="00081E6E" w:rsidRPr="001E55A0" w:rsidRDefault="00081E6E" w:rsidP="00A37C16">
    <w:pPr>
      <w:pStyle w:val="Footer"/>
      <w:rPr>
        <w:rFonts w:ascii="Times New Roman" w:hAnsi="Times New Roman" w:cs="Times New Roman"/>
      </w:rPr>
    </w:pPr>
    <w:r w:rsidRPr="001E55A0">
      <w:rPr>
        <w:rFonts w:ascii="Times New Roman" w:hAnsi="Times New Roman" w:cs="Times New Roman"/>
        <w:sz w:val="20"/>
        <w:szCs w:val="20"/>
      </w:rPr>
      <w:fldChar w:fldCharType="begin"/>
    </w:r>
    <w:r w:rsidRPr="001E55A0">
      <w:rPr>
        <w:rFonts w:ascii="Times New Roman" w:hAnsi="Times New Roman" w:cs="Times New Roman"/>
        <w:sz w:val="20"/>
        <w:szCs w:val="20"/>
      </w:rPr>
      <w:instrText xml:space="preserve"> FILENAME   \* MERGEFORMAT </w:instrText>
    </w:r>
    <w:r w:rsidRPr="001E55A0">
      <w:rPr>
        <w:rFonts w:ascii="Times New Roman" w:hAnsi="Times New Roman" w:cs="Times New Roman"/>
        <w:sz w:val="20"/>
        <w:szCs w:val="20"/>
      </w:rPr>
      <w:fldChar w:fldCharType="separate"/>
    </w:r>
    <w:r w:rsidR="006118DA">
      <w:rPr>
        <w:rFonts w:ascii="Times New Roman" w:hAnsi="Times New Roman" w:cs="Times New Roman"/>
        <w:noProof/>
        <w:sz w:val="20"/>
        <w:szCs w:val="20"/>
      </w:rPr>
      <w:t>FMAnot_180620_AN_dazadi.docx</w:t>
    </w:r>
    <w:r w:rsidRPr="001E55A0">
      <w:rPr>
        <w:rFonts w:ascii="Times New Roman" w:hAnsi="Times New Roman" w:cs="Times New Roman"/>
        <w:sz w:val="20"/>
        <w:szCs w:val="20"/>
      </w:rPr>
      <w:fldChar w:fldCharType="end"/>
    </w:r>
    <w:r w:rsidRPr="001E55A0">
      <w:rPr>
        <w:rFonts w:ascii="Times New Roman" w:hAnsi="Times New Roman" w:cs="Times New Roman"/>
        <w:sz w:val="20"/>
        <w:szCs w:val="20"/>
      </w:rPr>
      <w:t xml:space="preserve">; </w:t>
    </w:r>
  </w:p>
  <w:p w14:paraId="047DA303" w14:textId="77777777" w:rsidR="00081E6E" w:rsidRPr="001E55A0" w:rsidRDefault="00081E6E" w:rsidP="00A37C16">
    <w:pPr>
      <w:pStyle w:val="Footer"/>
    </w:pPr>
  </w:p>
  <w:p w14:paraId="62E369B4" w14:textId="77777777" w:rsidR="00081E6E" w:rsidRDefault="00081E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6C04CF" w14:textId="77777777" w:rsidR="005171C0" w:rsidRDefault="005171C0" w:rsidP="0038587F">
      <w:pPr>
        <w:spacing w:after="0" w:line="240" w:lineRule="auto"/>
      </w:pPr>
      <w:r>
        <w:separator/>
      </w:r>
    </w:p>
  </w:footnote>
  <w:footnote w:type="continuationSeparator" w:id="0">
    <w:p w14:paraId="62382234" w14:textId="77777777" w:rsidR="005171C0" w:rsidRDefault="005171C0" w:rsidP="0038587F">
      <w:pPr>
        <w:spacing w:after="0" w:line="240" w:lineRule="auto"/>
      </w:pPr>
      <w:r>
        <w:continuationSeparator/>
      </w:r>
    </w:p>
  </w:footnote>
  <w:footnote w:id="1">
    <w:p w14:paraId="24AB68B0" w14:textId="77777777" w:rsidR="00A374DC" w:rsidRPr="00110997" w:rsidRDefault="00A374DC" w:rsidP="00A374DC">
      <w:pPr>
        <w:pStyle w:val="FootnoteText"/>
      </w:pPr>
      <w:r>
        <w:rPr>
          <w:rStyle w:val="FootnoteReference"/>
        </w:rPr>
        <w:footnoteRef/>
      </w:r>
      <w:r>
        <w:t xml:space="preserve"> </w:t>
      </w:r>
      <w:r w:rsidRPr="00B84D3F">
        <w:t>Administratīvā procesa likuma 67.panta pirmā daļ</w:t>
      </w:r>
      <w:r>
        <w:t>a</w:t>
      </w:r>
    </w:p>
  </w:footnote>
  <w:footnote w:id="2">
    <w:p w14:paraId="5EDBF3B0" w14:textId="77777777" w:rsidR="00A374DC" w:rsidRPr="00110997" w:rsidRDefault="00A374DC" w:rsidP="00A374DC">
      <w:pPr>
        <w:pStyle w:val="FootnoteText"/>
      </w:pPr>
      <w:r>
        <w:rPr>
          <w:rStyle w:val="FootnoteReference"/>
        </w:rPr>
        <w:footnoteRef/>
      </w:r>
      <w:r>
        <w:t xml:space="preserve"> </w:t>
      </w:r>
      <w:r w:rsidRPr="00765B36">
        <w:t xml:space="preserve">Administratīvā procesa likuma 69.panta pirmās daļas </w:t>
      </w:r>
      <w:r>
        <w:t>2</w:t>
      </w:r>
      <w:r w:rsidRPr="00765B36">
        <w:t>.punkt</w:t>
      </w:r>
      <w:r>
        <w: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548746177"/>
      <w:docPartObj>
        <w:docPartGallery w:val="Page Numbers (Top of Page)"/>
        <w:docPartUnique/>
      </w:docPartObj>
    </w:sdtPr>
    <w:sdtEndPr>
      <w:rPr>
        <w:noProof/>
        <w:sz w:val="24"/>
      </w:rPr>
    </w:sdtEndPr>
    <w:sdtContent>
      <w:p w14:paraId="231629B4" w14:textId="657D9040" w:rsidR="00081E6E" w:rsidRPr="00872D60" w:rsidRDefault="00081E6E">
        <w:pPr>
          <w:pStyle w:val="Header"/>
          <w:jc w:val="center"/>
          <w:rPr>
            <w:rFonts w:ascii="Times New Roman" w:hAnsi="Times New Roman" w:cs="Times New Roman"/>
            <w:sz w:val="24"/>
          </w:rPr>
        </w:pPr>
        <w:r w:rsidRPr="00872D60">
          <w:rPr>
            <w:rFonts w:ascii="Times New Roman" w:hAnsi="Times New Roman" w:cs="Times New Roman"/>
            <w:sz w:val="24"/>
          </w:rPr>
          <w:fldChar w:fldCharType="begin"/>
        </w:r>
        <w:r w:rsidRPr="00872D60">
          <w:rPr>
            <w:rFonts w:ascii="Times New Roman" w:hAnsi="Times New Roman" w:cs="Times New Roman"/>
            <w:sz w:val="24"/>
          </w:rPr>
          <w:instrText xml:space="preserve"> PAGE   \* MERGEFORMAT </w:instrText>
        </w:r>
        <w:r w:rsidRPr="00872D60">
          <w:rPr>
            <w:rFonts w:ascii="Times New Roman" w:hAnsi="Times New Roman" w:cs="Times New Roman"/>
            <w:sz w:val="24"/>
          </w:rPr>
          <w:fldChar w:fldCharType="separate"/>
        </w:r>
        <w:r w:rsidR="007F002E">
          <w:rPr>
            <w:rFonts w:ascii="Times New Roman" w:hAnsi="Times New Roman" w:cs="Times New Roman"/>
            <w:noProof/>
            <w:sz w:val="24"/>
          </w:rPr>
          <w:t>20</w:t>
        </w:r>
        <w:r w:rsidRPr="00872D60">
          <w:rPr>
            <w:rFonts w:ascii="Times New Roman" w:hAnsi="Times New Roman" w:cs="Times New Roman"/>
            <w:noProof/>
            <w:sz w:val="24"/>
          </w:rPr>
          <w:fldChar w:fldCharType="end"/>
        </w:r>
      </w:p>
    </w:sdtContent>
  </w:sdt>
  <w:p w14:paraId="244AAF04" w14:textId="77777777" w:rsidR="00081E6E" w:rsidRDefault="00081E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D40B86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0A630D"/>
    <w:multiLevelType w:val="hybridMultilevel"/>
    <w:tmpl w:val="745A3606"/>
    <w:lvl w:ilvl="0" w:tplc="04260011">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4B952D4"/>
    <w:multiLevelType w:val="hybridMultilevel"/>
    <w:tmpl w:val="7FFECFC6"/>
    <w:lvl w:ilvl="0" w:tplc="2F52B67E">
      <w:numFmt w:val="bullet"/>
      <w:lvlText w:val="-"/>
      <w:lvlJc w:val="left"/>
      <w:pPr>
        <w:ind w:left="643" w:hanging="360"/>
      </w:pPr>
      <w:rPr>
        <w:rFonts w:ascii="Times New Roman" w:eastAsiaTheme="minorHAnsi" w:hAnsi="Times New Roman" w:cs="Times New Roman" w:hint="default"/>
      </w:rPr>
    </w:lvl>
    <w:lvl w:ilvl="1" w:tplc="04260003" w:tentative="1">
      <w:start w:val="1"/>
      <w:numFmt w:val="bullet"/>
      <w:lvlText w:val="o"/>
      <w:lvlJc w:val="left"/>
      <w:pPr>
        <w:ind w:left="1363" w:hanging="360"/>
      </w:pPr>
      <w:rPr>
        <w:rFonts w:ascii="Courier New" w:hAnsi="Courier New" w:cs="Courier New" w:hint="default"/>
      </w:rPr>
    </w:lvl>
    <w:lvl w:ilvl="2" w:tplc="04260005" w:tentative="1">
      <w:start w:val="1"/>
      <w:numFmt w:val="bullet"/>
      <w:lvlText w:val=""/>
      <w:lvlJc w:val="left"/>
      <w:pPr>
        <w:ind w:left="2083" w:hanging="360"/>
      </w:pPr>
      <w:rPr>
        <w:rFonts w:ascii="Wingdings" w:hAnsi="Wingdings" w:hint="default"/>
      </w:rPr>
    </w:lvl>
    <w:lvl w:ilvl="3" w:tplc="04260001" w:tentative="1">
      <w:start w:val="1"/>
      <w:numFmt w:val="bullet"/>
      <w:lvlText w:val=""/>
      <w:lvlJc w:val="left"/>
      <w:pPr>
        <w:ind w:left="2803" w:hanging="360"/>
      </w:pPr>
      <w:rPr>
        <w:rFonts w:ascii="Symbol" w:hAnsi="Symbol" w:hint="default"/>
      </w:rPr>
    </w:lvl>
    <w:lvl w:ilvl="4" w:tplc="04260003" w:tentative="1">
      <w:start w:val="1"/>
      <w:numFmt w:val="bullet"/>
      <w:lvlText w:val="o"/>
      <w:lvlJc w:val="left"/>
      <w:pPr>
        <w:ind w:left="3523" w:hanging="360"/>
      </w:pPr>
      <w:rPr>
        <w:rFonts w:ascii="Courier New" w:hAnsi="Courier New" w:cs="Courier New" w:hint="default"/>
      </w:rPr>
    </w:lvl>
    <w:lvl w:ilvl="5" w:tplc="04260005" w:tentative="1">
      <w:start w:val="1"/>
      <w:numFmt w:val="bullet"/>
      <w:lvlText w:val=""/>
      <w:lvlJc w:val="left"/>
      <w:pPr>
        <w:ind w:left="4243" w:hanging="360"/>
      </w:pPr>
      <w:rPr>
        <w:rFonts w:ascii="Wingdings" w:hAnsi="Wingdings" w:hint="default"/>
      </w:rPr>
    </w:lvl>
    <w:lvl w:ilvl="6" w:tplc="04260001" w:tentative="1">
      <w:start w:val="1"/>
      <w:numFmt w:val="bullet"/>
      <w:lvlText w:val=""/>
      <w:lvlJc w:val="left"/>
      <w:pPr>
        <w:ind w:left="4963" w:hanging="360"/>
      </w:pPr>
      <w:rPr>
        <w:rFonts w:ascii="Symbol" w:hAnsi="Symbol" w:hint="default"/>
      </w:rPr>
    </w:lvl>
    <w:lvl w:ilvl="7" w:tplc="04260003" w:tentative="1">
      <w:start w:val="1"/>
      <w:numFmt w:val="bullet"/>
      <w:lvlText w:val="o"/>
      <w:lvlJc w:val="left"/>
      <w:pPr>
        <w:ind w:left="5683" w:hanging="360"/>
      </w:pPr>
      <w:rPr>
        <w:rFonts w:ascii="Courier New" w:hAnsi="Courier New" w:cs="Courier New" w:hint="default"/>
      </w:rPr>
    </w:lvl>
    <w:lvl w:ilvl="8" w:tplc="04260005" w:tentative="1">
      <w:start w:val="1"/>
      <w:numFmt w:val="bullet"/>
      <w:lvlText w:val=""/>
      <w:lvlJc w:val="left"/>
      <w:pPr>
        <w:ind w:left="6403" w:hanging="360"/>
      </w:pPr>
      <w:rPr>
        <w:rFonts w:ascii="Wingdings" w:hAnsi="Wingdings" w:hint="default"/>
      </w:rPr>
    </w:lvl>
  </w:abstractNum>
  <w:abstractNum w:abstractNumId="3" w15:restartNumberingAfterBreak="0">
    <w:nsid w:val="182208A3"/>
    <w:multiLevelType w:val="hybridMultilevel"/>
    <w:tmpl w:val="B8900BC0"/>
    <w:lvl w:ilvl="0" w:tplc="0FE66AFC">
      <w:start w:val="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E4A3E39"/>
    <w:multiLevelType w:val="hybridMultilevel"/>
    <w:tmpl w:val="70EEF77E"/>
    <w:lvl w:ilvl="0" w:tplc="04260011">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24395A62"/>
    <w:multiLevelType w:val="hybridMultilevel"/>
    <w:tmpl w:val="2A0ED07A"/>
    <w:lvl w:ilvl="0" w:tplc="96BA09B0">
      <w:start w:val="1"/>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839540E"/>
    <w:multiLevelType w:val="hybridMultilevel"/>
    <w:tmpl w:val="342853D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BFC2841"/>
    <w:multiLevelType w:val="hybridMultilevel"/>
    <w:tmpl w:val="F5E2A02E"/>
    <w:lvl w:ilvl="0" w:tplc="E4B4502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CB256A8"/>
    <w:multiLevelType w:val="hybridMultilevel"/>
    <w:tmpl w:val="4D6814F6"/>
    <w:lvl w:ilvl="0" w:tplc="E4B4502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D9D2DFA"/>
    <w:multiLevelType w:val="hybridMultilevel"/>
    <w:tmpl w:val="A3F0AF7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1E84F36"/>
    <w:multiLevelType w:val="hybridMultilevel"/>
    <w:tmpl w:val="5588D1EC"/>
    <w:lvl w:ilvl="0" w:tplc="0A64F30A">
      <w:start w:val="1"/>
      <w:numFmt w:val="decimal"/>
      <w:lvlText w:val="%1)"/>
      <w:lvlJc w:val="left"/>
      <w:pPr>
        <w:ind w:left="378" w:hanging="360"/>
      </w:pPr>
      <w:rPr>
        <w:rFonts w:hint="default"/>
      </w:rPr>
    </w:lvl>
    <w:lvl w:ilvl="1" w:tplc="04260019" w:tentative="1">
      <w:start w:val="1"/>
      <w:numFmt w:val="lowerLetter"/>
      <w:lvlText w:val="%2."/>
      <w:lvlJc w:val="left"/>
      <w:pPr>
        <w:ind w:left="1098" w:hanging="360"/>
      </w:pPr>
    </w:lvl>
    <w:lvl w:ilvl="2" w:tplc="0426001B" w:tentative="1">
      <w:start w:val="1"/>
      <w:numFmt w:val="lowerRoman"/>
      <w:lvlText w:val="%3."/>
      <w:lvlJc w:val="right"/>
      <w:pPr>
        <w:ind w:left="1818" w:hanging="180"/>
      </w:pPr>
    </w:lvl>
    <w:lvl w:ilvl="3" w:tplc="0426000F" w:tentative="1">
      <w:start w:val="1"/>
      <w:numFmt w:val="decimal"/>
      <w:lvlText w:val="%4."/>
      <w:lvlJc w:val="left"/>
      <w:pPr>
        <w:ind w:left="2538" w:hanging="360"/>
      </w:pPr>
    </w:lvl>
    <w:lvl w:ilvl="4" w:tplc="04260019" w:tentative="1">
      <w:start w:val="1"/>
      <w:numFmt w:val="lowerLetter"/>
      <w:lvlText w:val="%5."/>
      <w:lvlJc w:val="left"/>
      <w:pPr>
        <w:ind w:left="3258" w:hanging="360"/>
      </w:pPr>
    </w:lvl>
    <w:lvl w:ilvl="5" w:tplc="0426001B" w:tentative="1">
      <w:start w:val="1"/>
      <w:numFmt w:val="lowerRoman"/>
      <w:lvlText w:val="%6."/>
      <w:lvlJc w:val="right"/>
      <w:pPr>
        <w:ind w:left="3978" w:hanging="180"/>
      </w:pPr>
    </w:lvl>
    <w:lvl w:ilvl="6" w:tplc="0426000F" w:tentative="1">
      <w:start w:val="1"/>
      <w:numFmt w:val="decimal"/>
      <w:lvlText w:val="%7."/>
      <w:lvlJc w:val="left"/>
      <w:pPr>
        <w:ind w:left="4698" w:hanging="360"/>
      </w:pPr>
    </w:lvl>
    <w:lvl w:ilvl="7" w:tplc="04260019" w:tentative="1">
      <w:start w:val="1"/>
      <w:numFmt w:val="lowerLetter"/>
      <w:lvlText w:val="%8."/>
      <w:lvlJc w:val="left"/>
      <w:pPr>
        <w:ind w:left="5418" w:hanging="360"/>
      </w:pPr>
    </w:lvl>
    <w:lvl w:ilvl="8" w:tplc="0426001B" w:tentative="1">
      <w:start w:val="1"/>
      <w:numFmt w:val="lowerRoman"/>
      <w:lvlText w:val="%9."/>
      <w:lvlJc w:val="right"/>
      <w:pPr>
        <w:ind w:left="6138" w:hanging="180"/>
      </w:pPr>
    </w:lvl>
  </w:abstractNum>
  <w:abstractNum w:abstractNumId="11" w15:restartNumberingAfterBreak="0">
    <w:nsid w:val="33B27641"/>
    <w:multiLevelType w:val="hybridMultilevel"/>
    <w:tmpl w:val="A3F0AF7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9BB7072"/>
    <w:multiLevelType w:val="hybridMultilevel"/>
    <w:tmpl w:val="888ABE6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A370A97"/>
    <w:multiLevelType w:val="hybridMultilevel"/>
    <w:tmpl w:val="EACA02F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2296306"/>
    <w:multiLevelType w:val="hybridMultilevel"/>
    <w:tmpl w:val="7BC0EF8C"/>
    <w:lvl w:ilvl="0" w:tplc="CBECD202">
      <w:start w:val="1"/>
      <w:numFmt w:val="decimal"/>
      <w:lvlText w:val="%1."/>
      <w:lvlJc w:val="left"/>
      <w:pPr>
        <w:ind w:left="1080" w:hanging="360"/>
      </w:pPr>
      <w:rPr>
        <w:rFonts w:ascii="Times New Roman" w:eastAsia="Times New Roman" w:hAnsi="Times New Roman" w:cs="Times New Roman"/>
      </w:rPr>
    </w:lvl>
    <w:lvl w:ilvl="1" w:tplc="40E2A0F0" w:tentative="1">
      <w:start w:val="1"/>
      <w:numFmt w:val="lowerLetter"/>
      <w:lvlText w:val="%2."/>
      <w:lvlJc w:val="left"/>
      <w:pPr>
        <w:ind w:left="1800" w:hanging="360"/>
      </w:pPr>
    </w:lvl>
    <w:lvl w:ilvl="2" w:tplc="C81ED98E" w:tentative="1">
      <w:start w:val="1"/>
      <w:numFmt w:val="lowerRoman"/>
      <w:lvlText w:val="%3."/>
      <w:lvlJc w:val="right"/>
      <w:pPr>
        <w:ind w:left="2520" w:hanging="180"/>
      </w:pPr>
    </w:lvl>
    <w:lvl w:ilvl="3" w:tplc="DFA67182" w:tentative="1">
      <w:start w:val="1"/>
      <w:numFmt w:val="decimal"/>
      <w:lvlText w:val="%4."/>
      <w:lvlJc w:val="left"/>
      <w:pPr>
        <w:ind w:left="3240" w:hanging="360"/>
      </w:pPr>
    </w:lvl>
    <w:lvl w:ilvl="4" w:tplc="279E1D7E" w:tentative="1">
      <w:start w:val="1"/>
      <w:numFmt w:val="lowerLetter"/>
      <w:lvlText w:val="%5."/>
      <w:lvlJc w:val="left"/>
      <w:pPr>
        <w:ind w:left="3960" w:hanging="360"/>
      </w:pPr>
    </w:lvl>
    <w:lvl w:ilvl="5" w:tplc="CA0A9488" w:tentative="1">
      <w:start w:val="1"/>
      <w:numFmt w:val="lowerRoman"/>
      <w:lvlText w:val="%6."/>
      <w:lvlJc w:val="right"/>
      <w:pPr>
        <w:ind w:left="4680" w:hanging="180"/>
      </w:pPr>
    </w:lvl>
    <w:lvl w:ilvl="6" w:tplc="97D08FAC" w:tentative="1">
      <w:start w:val="1"/>
      <w:numFmt w:val="decimal"/>
      <w:lvlText w:val="%7."/>
      <w:lvlJc w:val="left"/>
      <w:pPr>
        <w:ind w:left="5400" w:hanging="360"/>
      </w:pPr>
    </w:lvl>
    <w:lvl w:ilvl="7" w:tplc="2C04D938" w:tentative="1">
      <w:start w:val="1"/>
      <w:numFmt w:val="lowerLetter"/>
      <w:lvlText w:val="%8."/>
      <w:lvlJc w:val="left"/>
      <w:pPr>
        <w:ind w:left="6120" w:hanging="360"/>
      </w:pPr>
    </w:lvl>
    <w:lvl w:ilvl="8" w:tplc="E11A584C" w:tentative="1">
      <w:start w:val="1"/>
      <w:numFmt w:val="lowerRoman"/>
      <w:lvlText w:val="%9."/>
      <w:lvlJc w:val="right"/>
      <w:pPr>
        <w:ind w:left="6840" w:hanging="180"/>
      </w:pPr>
    </w:lvl>
  </w:abstractNum>
  <w:abstractNum w:abstractNumId="15" w15:restartNumberingAfterBreak="0">
    <w:nsid w:val="48313B01"/>
    <w:multiLevelType w:val="hybridMultilevel"/>
    <w:tmpl w:val="009A7AB2"/>
    <w:lvl w:ilvl="0" w:tplc="6A826DF0">
      <w:start w:val="1"/>
      <w:numFmt w:val="decimal"/>
      <w:lvlText w:val="%1)"/>
      <w:lvlJc w:val="left"/>
      <w:pPr>
        <w:ind w:left="746" w:hanging="360"/>
      </w:pPr>
      <w:rPr>
        <w:rFonts w:hint="default"/>
      </w:rPr>
    </w:lvl>
    <w:lvl w:ilvl="1" w:tplc="04260019" w:tentative="1">
      <w:start w:val="1"/>
      <w:numFmt w:val="lowerLetter"/>
      <w:lvlText w:val="%2."/>
      <w:lvlJc w:val="left"/>
      <w:pPr>
        <w:ind w:left="1466" w:hanging="360"/>
      </w:pPr>
    </w:lvl>
    <w:lvl w:ilvl="2" w:tplc="0426001B" w:tentative="1">
      <w:start w:val="1"/>
      <w:numFmt w:val="lowerRoman"/>
      <w:lvlText w:val="%3."/>
      <w:lvlJc w:val="right"/>
      <w:pPr>
        <w:ind w:left="2186" w:hanging="180"/>
      </w:pPr>
    </w:lvl>
    <w:lvl w:ilvl="3" w:tplc="0426000F" w:tentative="1">
      <w:start w:val="1"/>
      <w:numFmt w:val="decimal"/>
      <w:lvlText w:val="%4."/>
      <w:lvlJc w:val="left"/>
      <w:pPr>
        <w:ind w:left="2906" w:hanging="360"/>
      </w:pPr>
    </w:lvl>
    <w:lvl w:ilvl="4" w:tplc="04260019" w:tentative="1">
      <w:start w:val="1"/>
      <w:numFmt w:val="lowerLetter"/>
      <w:lvlText w:val="%5."/>
      <w:lvlJc w:val="left"/>
      <w:pPr>
        <w:ind w:left="3626" w:hanging="360"/>
      </w:pPr>
    </w:lvl>
    <w:lvl w:ilvl="5" w:tplc="0426001B" w:tentative="1">
      <w:start w:val="1"/>
      <w:numFmt w:val="lowerRoman"/>
      <w:lvlText w:val="%6."/>
      <w:lvlJc w:val="right"/>
      <w:pPr>
        <w:ind w:left="4346" w:hanging="180"/>
      </w:pPr>
    </w:lvl>
    <w:lvl w:ilvl="6" w:tplc="0426000F" w:tentative="1">
      <w:start w:val="1"/>
      <w:numFmt w:val="decimal"/>
      <w:lvlText w:val="%7."/>
      <w:lvlJc w:val="left"/>
      <w:pPr>
        <w:ind w:left="5066" w:hanging="360"/>
      </w:pPr>
    </w:lvl>
    <w:lvl w:ilvl="7" w:tplc="04260019" w:tentative="1">
      <w:start w:val="1"/>
      <w:numFmt w:val="lowerLetter"/>
      <w:lvlText w:val="%8."/>
      <w:lvlJc w:val="left"/>
      <w:pPr>
        <w:ind w:left="5786" w:hanging="360"/>
      </w:pPr>
    </w:lvl>
    <w:lvl w:ilvl="8" w:tplc="0426001B" w:tentative="1">
      <w:start w:val="1"/>
      <w:numFmt w:val="lowerRoman"/>
      <w:lvlText w:val="%9."/>
      <w:lvlJc w:val="right"/>
      <w:pPr>
        <w:ind w:left="6506" w:hanging="180"/>
      </w:pPr>
    </w:lvl>
  </w:abstractNum>
  <w:abstractNum w:abstractNumId="16" w15:restartNumberingAfterBreak="0">
    <w:nsid w:val="50592F31"/>
    <w:multiLevelType w:val="hybridMultilevel"/>
    <w:tmpl w:val="D85CEF4E"/>
    <w:lvl w:ilvl="0" w:tplc="D34CAA10">
      <w:start w:val="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440680D"/>
    <w:multiLevelType w:val="hybridMultilevel"/>
    <w:tmpl w:val="25D83E24"/>
    <w:lvl w:ilvl="0" w:tplc="40CE9066">
      <w:start w:val="1"/>
      <w:numFmt w:val="decimal"/>
      <w:lvlText w:val="%1)"/>
      <w:lvlJc w:val="left"/>
      <w:pPr>
        <w:ind w:left="746" w:hanging="360"/>
      </w:pPr>
      <w:rPr>
        <w:rFonts w:ascii="Times New Roman" w:hAnsi="Times New Roman" w:cs="Times New Roman" w:hint="default"/>
        <w:sz w:val="24"/>
      </w:rPr>
    </w:lvl>
    <w:lvl w:ilvl="1" w:tplc="04260019" w:tentative="1">
      <w:start w:val="1"/>
      <w:numFmt w:val="lowerLetter"/>
      <w:lvlText w:val="%2."/>
      <w:lvlJc w:val="left"/>
      <w:pPr>
        <w:ind w:left="1466" w:hanging="360"/>
      </w:pPr>
    </w:lvl>
    <w:lvl w:ilvl="2" w:tplc="0426001B" w:tentative="1">
      <w:start w:val="1"/>
      <w:numFmt w:val="lowerRoman"/>
      <w:lvlText w:val="%3."/>
      <w:lvlJc w:val="right"/>
      <w:pPr>
        <w:ind w:left="2186" w:hanging="180"/>
      </w:pPr>
    </w:lvl>
    <w:lvl w:ilvl="3" w:tplc="0426000F" w:tentative="1">
      <w:start w:val="1"/>
      <w:numFmt w:val="decimal"/>
      <w:lvlText w:val="%4."/>
      <w:lvlJc w:val="left"/>
      <w:pPr>
        <w:ind w:left="2906" w:hanging="360"/>
      </w:pPr>
    </w:lvl>
    <w:lvl w:ilvl="4" w:tplc="04260019" w:tentative="1">
      <w:start w:val="1"/>
      <w:numFmt w:val="lowerLetter"/>
      <w:lvlText w:val="%5."/>
      <w:lvlJc w:val="left"/>
      <w:pPr>
        <w:ind w:left="3626" w:hanging="360"/>
      </w:pPr>
    </w:lvl>
    <w:lvl w:ilvl="5" w:tplc="0426001B" w:tentative="1">
      <w:start w:val="1"/>
      <w:numFmt w:val="lowerRoman"/>
      <w:lvlText w:val="%6."/>
      <w:lvlJc w:val="right"/>
      <w:pPr>
        <w:ind w:left="4346" w:hanging="180"/>
      </w:pPr>
    </w:lvl>
    <w:lvl w:ilvl="6" w:tplc="0426000F" w:tentative="1">
      <w:start w:val="1"/>
      <w:numFmt w:val="decimal"/>
      <w:lvlText w:val="%7."/>
      <w:lvlJc w:val="left"/>
      <w:pPr>
        <w:ind w:left="5066" w:hanging="360"/>
      </w:pPr>
    </w:lvl>
    <w:lvl w:ilvl="7" w:tplc="04260019" w:tentative="1">
      <w:start w:val="1"/>
      <w:numFmt w:val="lowerLetter"/>
      <w:lvlText w:val="%8."/>
      <w:lvlJc w:val="left"/>
      <w:pPr>
        <w:ind w:left="5786" w:hanging="360"/>
      </w:pPr>
    </w:lvl>
    <w:lvl w:ilvl="8" w:tplc="0426001B" w:tentative="1">
      <w:start w:val="1"/>
      <w:numFmt w:val="lowerRoman"/>
      <w:lvlText w:val="%9."/>
      <w:lvlJc w:val="right"/>
      <w:pPr>
        <w:ind w:left="6506" w:hanging="180"/>
      </w:pPr>
    </w:lvl>
  </w:abstractNum>
  <w:abstractNum w:abstractNumId="18" w15:restartNumberingAfterBreak="0">
    <w:nsid w:val="6D1C1443"/>
    <w:multiLevelType w:val="hybridMultilevel"/>
    <w:tmpl w:val="F2C4EE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1174BF1"/>
    <w:multiLevelType w:val="hybridMultilevel"/>
    <w:tmpl w:val="84BECC4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1"/>
  </w:num>
  <w:num w:numId="3">
    <w:abstractNumId w:val="14"/>
  </w:num>
  <w:num w:numId="4">
    <w:abstractNumId w:val="4"/>
  </w:num>
  <w:num w:numId="5">
    <w:abstractNumId w:val="18"/>
  </w:num>
  <w:num w:numId="6">
    <w:abstractNumId w:val="6"/>
  </w:num>
  <w:num w:numId="7">
    <w:abstractNumId w:val="19"/>
  </w:num>
  <w:num w:numId="8">
    <w:abstractNumId w:val="16"/>
  </w:num>
  <w:num w:numId="9">
    <w:abstractNumId w:val="5"/>
  </w:num>
  <w:num w:numId="10">
    <w:abstractNumId w:val="7"/>
  </w:num>
  <w:num w:numId="11">
    <w:abstractNumId w:val="8"/>
  </w:num>
  <w:num w:numId="12">
    <w:abstractNumId w:val="10"/>
  </w:num>
  <w:num w:numId="13">
    <w:abstractNumId w:val="15"/>
  </w:num>
  <w:num w:numId="14">
    <w:abstractNumId w:val="9"/>
  </w:num>
  <w:num w:numId="15">
    <w:abstractNumId w:val="17"/>
  </w:num>
  <w:num w:numId="16">
    <w:abstractNumId w:val="11"/>
  </w:num>
  <w:num w:numId="17">
    <w:abstractNumId w:val="0"/>
  </w:num>
  <w:num w:numId="18">
    <w:abstractNumId w:val="3"/>
  </w:num>
  <w:num w:numId="19">
    <w:abstractNumId w:val="12"/>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AA6"/>
    <w:rsid w:val="0000191A"/>
    <w:rsid w:val="00001B2F"/>
    <w:rsid w:val="00007226"/>
    <w:rsid w:val="00010538"/>
    <w:rsid w:val="0001107B"/>
    <w:rsid w:val="00013FD0"/>
    <w:rsid w:val="000140C9"/>
    <w:rsid w:val="0001650F"/>
    <w:rsid w:val="00020350"/>
    <w:rsid w:val="00020D8F"/>
    <w:rsid w:val="000237E7"/>
    <w:rsid w:val="00023D4A"/>
    <w:rsid w:val="00024BA6"/>
    <w:rsid w:val="00024EEC"/>
    <w:rsid w:val="0002779D"/>
    <w:rsid w:val="000320E8"/>
    <w:rsid w:val="00036B05"/>
    <w:rsid w:val="00036D69"/>
    <w:rsid w:val="0004450E"/>
    <w:rsid w:val="00044B86"/>
    <w:rsid w:val="00044FD1"/>
    <w:rsid w:val="000477A9"/>
    <w:rsid w:val="000500E7"/>
    <w:rsid w:val="0005206D"/>
    <w:rsid w:val="0005297D"/>
    <w:rsid w:val="00053836"/>
    <w:rsid w:val="0005435B"/>
    <w:rsid w:val="000545F8"/>
    <w:rsid w:val="00063BB2"/>
    <w:rsid w:val="00065315"/>
    <w:rsid w:val="00065733"/>
    <w:rsid w:val="000670D5"/>
    <w:rsid w:val="00067195"/>
    <w:rsid w:val="00070A7B"/>
    <w:rsid w:val="00076359"/>
    <w:rsid w:val="00081E6E"/>
    <w:rsid w:val="0008771D"/>
    <w:rsid w:val="0009400F"/>
    <w:rsid w:val="0009407C"/>
    <w:rsid w:val="00094485"/>
    <w:rsid w:val="00095DCA"/>
    <w:rsid w:val="000A0CFF"/>
    <w:rsid w:val="000A1114"/>
    <w:rsid w:val="000A2CD9"/>
    <w:rsid w:val="000A5CCD"/>
    <w:rsid w:val="000A63AE"/>
    <w:rsid w:val="000A6589"/>
    <w:rsid w:val="000B00F2"/>
    <w:rsid w:val="000B05F9"/>
    <w:rsid w:val="000B5181"/>
    <w:rsid w:val="000B55A9"/>
    <w:rsid w:val="000C25BF"/>
    <w:rsid w:val="000C26F8"/>
    <w:rsid w:val="000C6DD7"/>
    <w:rsid w:val="000D169E"/>
    <w:rsid w:val="000D799C"/>
    <w:rsid w:val="000E14FF"/>
    <w:rsid w:val="000E6BA1"/>
    <w:rsid w:val="000E7588"/>
    <w:rsid w:val="000F3B4C"/>
    <w:rsid w:val="000F5A65"/>
    <w:rsid w:val="000F5DC4"/>
    <w:rsid w:val="00100490"/>
    <w:rsid w:val="00104708"/>
    <w:rsid w:val="001063E4"/>
    <w:rsid w:val="001070A9"/>
    <w:rsid w:val="00113978"/>
    <w:rsid w:val="00114E06"/>
    <w:rsid w:val="0011613E"/>
    <w:rsid w:val="00116B22"/>
    <w:rsid w:val="00116BE4"/>
    <w:rsid w:val="00117DB1"/>
    <w:rsid w:val="001228E8"/>
    <w:rsid w:val="00127BE3"/>
    <w:rsid w:val="001312E0"/>
    <w:rsid w:val="00136FBC"/>
    <w:rsid w:val="00140E16"/>
    <w:rsid w:val="00140E59"/>
    <w:rsid w:val="0014280D"/>
    <w:rsid w:val="00142958"/>
    <w:rsid w:val="001437E8"/>
    <w:rsid w:val="00144431"/>
    <w:rsid w:val="00144B0B"/>
    <w:rsid w:val="0014533F"/>
    <w:rsid w:val="0014715C"/>
    <w:rsid w:val="001508C5"/>
    <w:rsid w:val="001512D9"/>
    <w:rsid w:val="001601C5"/>
    <w:rsid w:val="00161F62"/>
    <w:rsid w:val="00164D11"/>
    <w:rsid w:val="001657A2"/>
    <w:rsid w:val="001701B6"/>
    <w:rsid w:val="00171408"/>
    <w:rsid w:val="001720AB"/>
    <w:rsid w:val="00174314"/>
    <w:rsid w:val="00176609"/>
    <w:rsid w:val="00180147"/>
    <w:rsid w:val="0019365E"/>
    <w:rsid w:val="00197738"/>
    <w:rsid w:val="00197D47"/>
    <w:rsid w:val="001A21A8"/>
    <w:rsid w:val="001A24D7"/>
    <w:rsid w:val="001A27A2"/>
    <w:rsid w:val="001A3612"/>
    <w:rsid w:val="001A4420"/>
    <w:rsid w:val="001A44AF"/>
    <w:rsid w:val="001A4507"/>
    <w:rsid w:val="001B065B"/>
    <w:rsid w:val="001B4F32"/>
    <w:rsid w:val="001B5409"/>
    <w:rsid w:val="001B5971"/>
    <w:rsid w:val="001B779F"/>
    <w:rsid w:val="001C730B"/>
    <w:rsid w:val="001D0219"/>
    <w:rsid w:val="001D3F91"/>
    <w:rsid w:val="001D551C"/>
    <w:rsid w:val="001D7A0F"/>
    <w:rsid w:val="001E1E5E"/>
    <w:rsid w:val="001E21C5"/>
    <w:rsid w:val="001E55A0"/>
    <w:rsid w:val="001E63A4"/>
    <w:rsid w:val="001E6E39"/>
    <w:rsid w:val="001E7C36"/>
    <w:rsid w:val="001F0684"/>
    <w:rsid w:val="001F1AD8"/>
    <w:rsid w:val="001F7DAE"/>
    <w:rsid w:val="0020253B"/>
    <w:rsid w:val="00203D54"/>
    <w:rsid w:val="00211310"/>
    <w:rsid w:val="00211D2D"/>
    <w:rsid w:val="00215D2F"/>
    <w:rsid w:val="00216FF2"/>
    <w:rsid w:val="00225A7E"/>
    <w:rsid w:val="00225B81"/>
    <w:rsid w:val="00225C49"/>
    <w:rsid w:val="002261E9"/>
    <w:rsid w:val="00227773"/>
    <w:rsid w:val="00233623"/>
    <w:rsid w:val="00235E3F"/>
    <w:rsid w:val="00237C32"/>
    <w:rsid w:val="002402A8"/>
    <w:rsid w:val="00242A6B"/>
    <w:rsid w:val="0025652A"/>
    <w:rsid w:val="00256F65"/>
    <w:rsid w:val="002613F1"/>
    <w:rsid w:val="00263878"/>
    <w:rsid w:val="00270E1D"/>
    <w:rsid w:val="00273AF3"/>
    <w:rsid w:val="002761FC"/>
    <w:rsid w:val="00277C7E"/>
    <w:rsid w:val="002838CB"/>
    <w:rsid w:val="00284ABA"/>
    <w:rsid w:val="0028725D"/>
    <w:rsid w:val="002905A5"/>
    <w:rsid w:val="002953DF"/>
    <w:rsid w:val="00295B1A"/>
    <w:rsid w:val="002A2C2B"/>
    <w:rsid w:val="002A4683"/>
    <w:rsid w:val="002A6EE9"/>
    <w:rsid w:val="002B0D50"/>
    <w:rsid w:val="002B2979"/>
    <w:rsid w:val="002B32AC"/>
    <w:rsid w:val="002B3881"/>
    <w:rsid w:val="002B5F64"/>
    <w:rsid w:val="002B7F58"/>
    <w:rsid w:val="002C3789"/>
    <w:rsid w:val="002C3EC3"/>
    <w:rsid w:val="002C4DFB"/>
    <w:rsid w:val="002C51FA"/>
    <w:rsid w:val="002C565C"/>
    <w:rsid w:val="002D20CA"/>
    <w:rsid w:val="002D4012"/>
    <w:rsid w:val="002D7BDE"/>
    <w:rsid w:val="002E1E5A"/>
    <w:rsid w:val="002E7FA9"/>
    <w:rsid w:val="002F63D8"/>
    <w:rsid w:val="002F6596"/>
    <w:rsid w:val="002F66ED"/>
    <w:rsid w:val="002F71AE"/>
    <w:rsid w:val="003008DF"/>
    <w:rsid w:val="003012DA"/>
    <w:rsid w:val="00302376"/>
    <w:rsid w:val="00302640"/>
    <w:rsid w:val="00303060"/>
    <w:rsid w:val="003041AE"/>
    <w:rsid w:val="00304B5F"/>
    <w:rsid w:val="00305748"/>
    <w:rsid w:val="00313141"/>
    <w:rsid w:val="00314D44"/>
    <w:rsid w:val="0032034C"/>
    <w:rsid w:val="00322370"/>
    <w:rsid w:val="00324CC7"/>
    <w:rsid w:val="00325CD3"/>
    <w:rsid w:val="00334F3E"/>
    <w:rsid w:val="003375C0"/>
    <w:rsid w:val="00341B12"/>
    <w:rsid w:val="00341EEB"/>
    <w:rsid w:val="0034258F"/>
    <w:rsid w:val="00342915"/>
    <w:rsid w:val="00344A88"/>
    <w:rsid w:val="00347C04"/>
    <w:rsid w:val="003520F2"/>
    <w:rsid w:val="00352677"/>
    <w:rsid w:val="00352EC9"/>
    <w:rsid w:val="00355364"/>
    <w:rsid w:val="00356FA1"/>
    <w:rsid w:val="0036308E"/>
    <w:rsid w:val="00363135"/>
    <w:rsid w:val="00363FF7"/>
    <w:rsid w:val="00364D16"/>
    <w:rsid w:val="00371E07"/>
    <w:rsid w:val="0037737F"/>
    <w:rsid w:val="00382F1D"/>
    <w:rsid w:val="0038587F"/>
    <w:rsid w:val="00390AD2"/>
    <w:rsid w:val="00392318"/>
    <w:rsid w:val="00393CF5"/>
    <w:rsid w:val="00393FB2"/>
    <w:rsid w:val="00396C03"/>
    <w:rsid w:val="003A0E22"/>
    <w:rsid w:val="003A1B20"/>
    <w:rsid w:val="003A4187"/>
    <w:rsid w:val="003A427B"/>
    <w:rsid w:val="003A4AFD"/>
    <w:rsid w:val="003A6BA5"/>
    <w:rsid w:val="003B0056"/>
    <w:rsid w:val="003B297C"/>
    <w:rsid w:val="003B2CFB"/>
    <w:rsid w:val="003C0429"/>
    <w:rsid w:val="003C05D3"/>
    <w:rsid w:val="003C08D4"/>
    <w:rsid w:val="003C0BED"/>
    <w:rsid w:val="003C3D2D"/>
    <w:rsid w:val="003C590A"/>
    <w:rsid w:val="003D0556"/>
    <w:rsid w:val="003D1658"/>
    <w:rsid w:val="003D3672"/>
    <w:rsid w:val="003D4DC8"/>
    <w:rsid w:val="003D6685"/>
    <w:rsid w:val="003D73CB"/>
    <w:rsid w:val="003E45C9"/>
    <w:rsid w:val="003E6607"/>
    <w:rsid w:val="003F2F71"/>
    <w:rsid w:val="003F351D"/>
    <w:rsid w:val="003F5558"/>
    <w:rsid w:val="003F6220"/>
    <w:rsid w:val="00400E7B"/>
    <w:rsid w:val="00401CF8"/>
    <w:rsid w:val="00403706"/>
    <w:rsid w:val="004047B5"/>
    <w:rsid w:val="0040747B"/>
    <w:rsid w:val="0041039E"/>
    <w:rsid w:val="00423C3E"/>
    <w:rsid w:val="00431A76"/>
    <w:rsid w:val="00432766"/>
    <w:rsid w:val="0044009E"/>
    <w:rsid w:val="00445F17"/>
    <w:rsid w:val="00446E4E"/>
    <w:rsid w:val="004475CF"/>
    <w:rsid w:val="00447A3D"/>
    <w:rsid w:val="00451550"/>
    <w:rsid w:val="00453DC2"/>
    <w:rsid w:val="004562EC"/>
    <w:rsid w:val="004563DC"/>
    <w:rsid w:val="00464FEF"/>
    <w:rsid w:val="0046687B"/>
    <w:rsid w:val="0046788D"/>
    <w:rsid w:val="00471232"/>
    <w:rsid w:val="004716B8"/>
    <w:rsid w:val="00472CD3"/>
    <w:rsid w:val="004742A7"/>
    <w:rsid w:val="00482BB4"/>
    <w:rsid w:val="004A0613"/>
    <w:rsid w:val="004A2A10"/>
    <w:rsid w:val="004A32D0"/>
    <w:rsid w:val="004A6A56"/>
    <w:rsid w:val="004A7516"/>
    <w:rsid w:val="004B0C47"/>
    <w:rsid w:val="004B242B"/>
    <w:rsid w:val="004B5C56"/>
    <w:rsid w:val="004C2541"/>
    <w:rsid w:val="004C7E1B"/>
    <w:rsid w:val="004D074C"/>
    <w:rsid w:val="004D21D1"/>
    <w:rsid w:val="004E5B07"/>
    <w:rsid w:val="004F0FA9"/>
    <w:rsid w:val="004F291F"/>
    <w:rsid w:val="004F5EB0"/>
    <w:rsid w:val="004F73C6"/>
    <w:rsid w:val="00501550"/>
    <w:rsid w:val="005057B3"/>
    <w:rsid w:val="00507B4A"/>
    <w:rsid w:val="00510BBC"/>
    <w:rsid w:val="005116C7"/>
    <w:rsid w:val="00513672"/>
    <w:rsid w:val="005163EE"/>
    <w:rsid w:val="005171C0"/>
    <w:rsid w:val="00517530"/>
    <w:rsid w:val="0052104E"/>
    <w:rsid w:val="00523AF0"/>
    <w:rsid w:val="00524C9B"/>
    <w:rsid w:val="00525CC7"/>
    <w:rsid w:val="00527862"/>
    <w:rsid w:val="00530067"/>
    <w:rsid w:val="005300BA"/>
    <w:rsid w:val="00530628"/>
    <w:rsid w:val="00530BBD"/>
    <w:rsid w:val="00535905"/>
    <w:rsid w:val="00537006"/>
    <w:rsid w:val="005374F9"/>
    <w:rsid w:val="00537BC4"/>
    <w:rsid w:val="00543AA6"/>
    <w:rsid w:val="00544B62"/>
    <w:rsid w:val="0054716F"/>
    <w:rsid w:val="00551397"/>
    <w:rsid w:val="00557C67"/>
    <w:rsid w:val="00561F10"/>
    <w:rsid w:val="00562090"/>
    <w:rsid w:val="00563C06"/>
    <w:rsid w:val="00567C60"/>
    <w:rsid w:val="0057055B"/>
    <w:rsid w:val="00573CC8"/>
    <w:rsid w:val="00574F93"/>
    <w:rsid w:val="00577277"/>
    <w:rsid w:val="0058402A"/>
    <w:rsid w:val="005851C0"/>
    <w:rsid w:val="00586D65"/>
    <w:rsid w:val="0058711A"/>
    <w:rsid w:val="005912C7"/>
    <w:rsid w:val="0059192E"/>
    <w:rsid w:val="00592977"/>
    <w:rsid w:val="005937D6"/>
    <w:rsid w:val="005975FA"/>
    <w:rsid w:val="005A0779"/>
    <w:rsid w:val="005A54AC"/>
    <w:rsid w:val="005B2776"/>
    <w:rsid w:val="005B593F"/>
    <w:rsid w:val="005B7FC7"/>
    <w:rsid w:val="005C150F"/>
    <w:rsid w:val="005C1BBD"/>
    <w:rsid w:val="005C5F58"/>
    <w:rsid w:val="005C63CF"/>
    <w:rsid w:val="005D0A7D"/>
    <w:rsid w:val="005D2B4D"/>
    <w:rsid w:val="005D3204"/>
    <w:rsid w:val="005D5E28"/>
    <w:rsid w:val="005E1055"/>
    <w:rsid w:val="005E379F"/>
    <w:rsid w:val="005E39B7"/>
    <w:rsid w:val="005E4584"/>
    <w:rsid w:val="005F0E61"/>
    <w:rsid w:val="005F5B3E"/>
    <w:rsid w:val="00610887"/>
    <w:rsid w:val="006118DA"/>
    <w:rsid w:val="006138E5"/>
    <w:rsid w:val="00613DA9"/>
    <w:rsid w:val="0061555A"/>
    <w:rsid w:val="00616C4C"/>
    <w:rsid w:val="00621683"/>
    <w:rsid w:val="00623952"/>
    <w:rsid w:val="006242C5"/>
    <w:rsid w:val="00624CE4"/>
    <w:rsid w:val="00632934"/>
    <w:rsid w:val="006370FB"/>
    <w:rsid w:val="006412C3"/>
    <w:rsid w:val="00643667"/>
    <w:rsid w:val="00643E69"/>
    <w:rsid w:val="00644A2F"/>
    <w:rsid w:val="0064583A"/>
    <w:rsid w:val="00650868"/>
    <w:rsid w:val="006518A7"/>
    <w:rsid w:val="00652573"/>
    <w:rsid w:val="00657D2C"/>
    <w:rsid w:val="00660F15"/>
    <w:rsid w:val="0066209E"/>
    <w:rsid w:val="00663309"/>
    <w:rsid w:val="00664020"/>
    <w:rsid w:val="0066605C"/>
    <w:rsid w:val="006668C5"/>
    <w:rsid w:val="00672615"/>
    <w:rsid w:val="006735BC"/>
    <w:rsid w:val="00674981"/>
    <w:rsid w:val="00674F38"/>
    <w:rsid w:val="00682A88"/>
    <w:rsid w:val="00682D52"/>
    <w:rsid w:val="0068450B"/>
    <w:rsid w:val="0068595F"/>
    <w:rsid w:val="00685BBD"/>
    <w:rsid w:val="006862F2"/>
    <w:rsid w:val="00686D17"/>
    <w:rsid w:val="00693C24"/>
    <w:rsid w:val="0069728C"/>
    <w:rsid w:val="00697DBD"/>
    <w:rsid w:val="006A4199"/>
    <w:rsid w:val="006A48B8"/>
    <w:rsid w:val="006B19D2"/>
    <w:rsid w:val="006B5174"/>
    <w:rsid w:val="006B76B2"/>
    <w:rsid w:val="006C183F"/>
    <w:rsid w:val="006C2424"/>
    <w:rsid w:val="006C30F5"/>
    <w:rsid w:val="006C35F6"/>
    <w:rsid w:val="006C5CA7"/>
    <w:rsid w:val="006D167B"/>
    <w:rsid w:val="006D2DCB"/>
    <w:rsid w:val="006D452D"/>
    <w:rsid w:val="006E1B67"/>
    <w:rsid w:val="006E2A7B"/>
    <w:rsid w:val="006F1DE0"/>
    <w:rsid w:val="006F4799"/>
    <w:rsid w:val="006F4A5C"/>
    <w:rsid w:val="006F6B68"/>
    <w:rsid w:val="0070135C"/>
    <w:rsid w:val="007014BA"/>
    <w:rsid w:val="00702141"/>
    <w:rsid w:val="00702F0C"/>
    <w:rsid w:val="007053D9"/>
    <w:rsid w:val="007078A7"/>
    <w:rsid w:val="00710D5F"/>
    <w:rsid w:val="00711E95"/>
    <w:rsid w:val="0071341A"/>
    <w:rsid w:val="00717D3B"/>
    <w:rsid w:val="007240FB"/>
    <w:rsid w:val="007274B5"/>
    <w:rsid w:val="00727F0F"/>
    <w:rsid w:val="00730C40"/>
    <w:rsid w:val="00732F5D"/>
    <w:rsid w:val="00736FE7"/>
    <w:rsid w:val="007538B5"/>
    <w:rsid w:val="00755236"/>
    <w:rsid w:val="00756B5D"/>
    <w:rsid w:val="007604A0"/>
    <w:rsid w:val="0076511A"/>
    <w:rsid w:val="007664D9"/>
    <w:rsid w:val="00772005"/>
    <w:rsid w:val="007754B7"/>
    <w:rsid w:val="00784D9C"/>
    <w:rsid w:val="00786D90"/>
    <w:rsid w:val="007928E4"/>
    <w:rsid w:val="00793734"/>
    <w:rsid w:val="00794898"/>
    <w:rsid w:val="00794EBA"/>
    <w:rsid w:val="00795910"/>
    <w:rsid w:val="007A01E4"/>
    <w:rsid w:val="007A37F1"/>
    <w:rsid w:val="007A3D20"/>
    <w:rsid w:val="007A3D50"/>
    <w:rsid w:val="007A4EB0"/>
    <w:rsid w:val="007A753D"/>
    <w:rsid w:val="007A7D0B"/>
    <w:rsid w:val="007B2595"/>
    <w:rsid w:val="007B2D66"/>
    <w:rsid w:val="007B530F"/>
    <w:rsid w:val="007B56A4"/>
    <w:rsid w:val="007B6AF8"/>
    <w:rsid w:val="007B7F60"/>
    <w:rsid w:val="007C0CD1"/>
    <w:rsid w:val="007D4327"/>
    <w:rsid w:val="007D5956"/>
    <w:rsid w:val="007F002E"/>
    <w:rsid w:val="007F1107"/>
    <w:rsid w:val="007F3757"/>
    <w:rsid w:val="007F39B5"/>
    <w:rsid w:val="007F3DD4"/>
    <w:rsid w:val="007F595B"/>
    <w:rsid w:val="008057B9"/>
    <w:rsid w:val="00805BBF"/>
    <w:rsid w:val="00807B3D"/>
    <w:rsid w:val="00817716"/>
    <w:rsid w:val="00821295"/>
    <w:rsid w:val="008214E5"/>
    <w:rsid w:val="00827981"/>
    <w:rsid w:val="00827E4A"/>
    <w:rsid w:val="00832B4C"/>
    <w:rsid w:val="0083388E"/>
    <w:rsid w:val="00833A87"/>
    <w:rsid w:val="0084733D"/>
    <w:rsid w:val="008515AE"/>
    <w:rsid w:val="008537FB"/>
    <w:rsid w:val="00853E40"/>
    <w:rsid w:val="00855843"/>
    <w:rsid w:val="008602C7"/>
    <w:rsid w:val="00861102"/>
    <w:rsid w:val="00862955"/>
    <w:rsid w:val="00862AED"/>
    <w:rsid w:val="00872785"/>
    <w:rsid w:val="00872D60"/>
    <w:rsid w:val="00877666"/>
    <w:rsid w:val="00877F9F"/>
    <w:rsid w:val="00882B0D"/>
    <w:rsid w:val="00882D6E"/>
    <w:rsid w:val="008860AD"/>
    <w:rsid w:val="00886F70"/>
    <w:rsid w:val="00895C75"/>
    <w:rsid w:val="008A209D"/>
    <w:rsid w:val="008A262A"/>
    <w:rsid w:val="008A4371"/>
    <w:rsid w:val="008A4716"/>
    <w:rsid w:val="008A5134"/>
    <w:rsid w:val="008A7DA1"/>
    <w:rsid w:val="008B0A2E"/>
    <w:rsid w:val="008B2E38"/>
    <w:rsid w:val="008B4598"/>
    <w:rsid w:val="008B50F9"/>
    <w:rsid w:val="008C34A3"/>
    <w:rsid w:val="008C6BFF"/>
    <w:rsid w:val="008C78F7"/>
    <w:rsid w:val="008C7D75"/>
    <w:rsid w:val="008D1AC7"/>
    <w:rsid w:val="008D3543"/>
    <w:rsid w:val="008E1547"/>
    <w:rsid w:val="008E2326"/>
    <w:rsid w:val="008F0C47"/>
    <w:rsid w:val="008F29BC"/>
    <w:rsid w:val="008F4435"/>
    <w:rsid w:val="00900CB6"/>
    <w:rsid w:val="0090451F"/>
    <w:rsid w:val="00907D19"/>
    <w:rsid w:val="00912785"/>
    <w:rsid w:val="00914567"/>
    <w:rsid w:val="0091656F"/>
    <w:rsid w:val="00920135"/>
    <w:rsid w:val="0092765F"/>
    <w:rsid w:val="009303D1"/>
    <w:rsid w:val="009329C2"/>
    <w:rsid w:val="00933254"/>
    <w:rsid w:val="009356A8"/>
    <w:rsid w:val="009365AD"/>
    <w:rsid w:val="009422B8"/>
    <w:rsid w:val="0094289C"/>
    <w:rsid w:val="009438C8"/>
    <w:rsid w:val="0094435A"/>
    <w:rsid w:val="009449BF"/>
    <w:rsid w:val="00947ACC"/>
    <w:rsid w:val="0095260D"/>
    <w:rsid w:val="0095326C"/>
    <w:rsid w:val="0095375E"/>
    <w:rsid w:val="00953904"/>
    <w:rsid w:val="00955055"/>
    <w:rsid w:val="009612B1"/>
    <w:rsid w:val="00963194"/>
    <w:rsid w:val="00972692"/>
    <w:rsid w:val="009804C0"/>
    <w:rsid w:val="00980F7E"/>
    <w:rsid w:val="0098147E"/>
    <w:rsid w:val="0098223B"/>
    <w:rsid w:val="009849F4"/>
    <w:rsid w:val="0098504B"/>
    <w:rsid w:val="00985D6F"/>
    <w:rsid w:val="00986F6B"/>
    <w:rsid w:val="00987E75"/>
    <w:rsid w:val="00993452"/>
    <w:rsid w:val="00993C84"/>
    <w:rsid w:val="0099691B"/>
    <w:rsid w:val="009A370F"/>
    <w:rsid w:val="009A61AA"/>
    <w:rsid w:val="009A6D23"/>
    <w:rsid w:val="009B0004"/>
    <w:rsid w:val="009B1022"/>
    <w:rsid w:val="009B46F1"/>
    <w:rsid w:val="009C0391"/>
    <w:rsid w:val="009C217E"/>
    <w:rsid w:val="009C22F6"/>
    <w:rsid w:val="009C32C5"/>
    <w:rsid w:val="009C3887"/>
    <w:rsid w:val="009C5E94"/>
    <w:rsid w:val="009D39D6"/>
    <w:rsid w:val="009D603F"/>
    <w:rsid w:val="009D7C66"/>
    <w:rsid w:val="009D7EC1"/>
    <w:rsid w:val="009E047A"/>
    <w:rsid w:val="009E3DCC"/>
    <w:rsid w:val="009F2884"/>
    <w:rsid w:val="009F7F07"/>
    <w:rsid w:val="00A065EE"/>
    <w:rsid w:val="00A1147B"/>
    <w:rsid w:val="00A1411D"/>
    <w:rsid w:val="00A15EBA"/>
    <w:rsid w:val="00A20E19"/>
    <w:rsid w:val="00A22CAB"/>
    <w:rsid w:val="00A2560B"/>
    <w:rsid w:val="00A2637F"/>
    <w:rsid w:val="00A26883"/>
    <w:rsid w:val="00A27364"/>
    <w:rsid w:val="00A27B82"/>
    <w:rsid w:val="00A30658"/>
    <w:rsid w:val="00A319FE"/>
    <w:rsid w:val="00A31DD8"/>
    <w:rsid w:val="00A321BE"/>
    <w:rsid w:val="00A32CAE"/>
    <w:rsid w:val="00A33AA4"/>
    <w:rsid w:val="00A35300"/>
    <w:rsid w:val="00A374DC"/>
    <w:rsid w:val="00A37C16"/>
    <w:rsid w:val="00A425AD"/>
    <w:rsid w:val="00A42BAF"/>
    <w:rsid w:val="00A43ED4"/>
    <w:rsid w:val="00A44CE2"/>
    <w:rsid w:val="00A5015E"/>
    <w:rsid w:val="00A50548"/>
    <w:rsid w:val="00A51E97"/>
    <w:rsid w:val="00A549AF"/>
    <w:rsid w:val="00A61313"/>
    <w:rsid w:val="00A618BC"/>
    <w:rsid w:val="00A63699"/>
    <w:rsid w:val="00A64B71"/>
    <w:rsid w:val="00A67D53"/>
    <w:rsid w:val="00A72B9C"/>
    <w:rsid w:val="00A74B3B"/>
    <w:rsid w:val="00A811E8"/>
    <w:rsid w:val="00A81909"/>
    <w:rsid w:val="00A85636"/>
    <w:rsid w:val="00A85CD8"/>
    <w:rsid w:val="00A860BD"/>
    <w:rsid w:val="00A90B1A"/>
    <w:rsid w:val="00A94CC3"/>
    <w:rsid w:val="00A96C17"/>
    <w:rsid w:val="00A97BB2"/>
    <w:rsid w:val="00AA5105"/>
    <w:rsid w:val="00AB34A8"/>
    <w:rsid w:val="00AB4BB9"/>
    <w:rsid w:val="00AB5399"/>
    <w:rsid w:val="00AC1E02"/>
    <w:rsid w:val="00AC3E90"/>
    <w:rsid w:val="00AC43F0"/>
    <w:rsid w:val="00AC5DDC"/>
    <w:rsid w:val="00AC7F0F"/>
    <w:rsid w:val="00AD6699"/>
    <w:rsid w:val="00AE0DE0"/>
    <w:rsid w:val="00AE33FC"/>
    <w:rsid w:val="00AE7CD3"/>
    <w:rsid w:val="00AF2A53"/>
    <w:rsid w:val="00AF3C4E"/>
    <w:rsid w:val="00AF751C"/>
    <w:rsid w:val="00B01F22"/>
    <w:rsid w:val="00B0349E"/>
    <w:rsid w:val="00B07731"/>
    <w:rsid w:val="00B106B0"/>
    <w:rsid w:val="00B12E07"/>
    <w:rsid w:val="00B22306"/>
    <w:rsid w:val="00B22B16"/>
    <w:rsid w:val="00B25D7D"/>
    <w:rsid w:val="00B31534"/>
    <w:rsid w:val="00B34189"/>
    <w:rsid w:val="00B341E2"/>
    <w:rsid w:val="00B365AA"/>
    <w:rsid w:val="00B379F2"/>
    <w:rsid w:val="00B44D83"/>
    <w:rsid w:val="00B45963"/>
    <w:rsid w:val="00B46288"/>
    <w:rsid w:val="00B51CBF"/>
    <w:rsid w:val="00B54C11"/>
    <w:rsid w:val="00B574D6"/>
    <w:rsid w:val="00B6231A"/>
    <w:rsid w:val="00B657A3"/>
    <w:rsid w:val="00B73E99"/>
    <w:rsid w:val="00B81C92"/>
    <w:rsid w:val="00B8559B"/>
    <w:rsid w:val="00B90037"/>
    <w:rsid w:val="00B9547A"/>
    <w:rsid w:val="00B95748"/>
    <w:rsid w:val="00B95BD4"/>
    <w:rsid w:val="00BA0E62"/>
    <w:rsid w:val="00BA72D4"/>
    <w:rsid w:val="00BA75C2"/>
    <w:rsid w:val="00BB079D"/>
    <w:rsid w:val="00BB39A3"/>
    <w:rsid w:val="00BC3DE8"/>
    <w:rsid w:val="00BC6FF4"/>
    <w:rsid w:val="00BD5725"/>
    <w:rsid w:val="00BE0F5E"/>
    <w:rsid w:val="00BE1F4B"/>
    <w:rsid w:val="00BE2E6F"/>
    <w:rsid w:val="00BE4F58"/>
    <w:rsid w:val="00BE7468"/>
    <w:rsid w:val="00BE7924"/>
    <w:rsid w:val="00BE7A59"/>
    <w:rsid w:val="00BE7C32"/>
    <w:rsid w:val="00BF1A7E"/>
    <w:rsid w:val="00BF55EB"/>
    <w:rsid w:val="00C04AC2"/>
    <w:rsid w:val="00C1231A"/>
    <w:rsid w:val="00C12D14"/>
    <w:rsid w:val="00C13E2D"/>
    <w:rsid w:val="00C14EEE"/>
    <w:rsid w:val="00C16100"/>
    <w:rsid w:val="00C16EB4"/>
    <w:rsid w:val="00C1772F"/>
    <w:rsid w:val="00C21079"/>
    <w:rsid w:val="00C235A4"/>
    <w:rsid w:val="00C23854"/>
    <w:rsid w:val="00C268CF"/>
    <w:rsid w:val="00C30D53"/>
    <w:rsid w:val="00C32092"/>
    <w:rsid w:val="00C34A12"/>
    <w:rsid w:val="00C40AD6"/>
    <w:rsid w:val="00C442D7"/>
    <w:rsid w:val="00C4797A"/>
    <w:rsid w:val="00C51A1B"/>
    <w:rsid w:val="00C547BC"/>
    <w:rsid w:val="00C54B44"/>
    <w:rsid w:val="00C55983"/>
    <w:rsid w:val="00C60067"/>
    <w:rsid w:val="00C63A62"/>
    <w:rsid w:val="00C72135"/>
    <w:rsid w:val="00C72854"/>
    <w:rsid w:val="00C74362"/>
    <w:rsid w:val="00C76826"/>
    <w:rsid w:val="00C8033B"/>
    <w:rsid w:val="00C82DEE"/>
    <w:rsid w:val="00C835B4"/>
    <w:rsid w:val="00CA04F2"/>
    <w:rsid w:val="00CA1825"/>
    <w:rsid w:val="00CA1EAB"/>
    <w:rsid w:val="00CA1F3D"/>
    <w:rsid w:val="00CA3545"/>
    <w:rsid w:val="00CA4F6B"/>
    <w:rsid w:val="00CA5D27"/>
    <w:rsid w:val="00CA7897"/>
    <w:rsid w:val="00CB23AC"/>
    <w:rsid w:val="00CB5CB9"/>
    <w:rsid w:val="00CB63B5"/>
    <w:rsid w:val="00CC00FF"/>
    <w:rsid w:val="00CC28CF"/>
    <w:rsid w:val="00CC4728"/>
    <w:rsid w:val="00CC5843"/>
    <w:rsid w:val="00CC7A83"/>
    <w:rsid w:val="00CD2F8A"/>
    <w:rsid w:val="00CE5C10"/>
    <w:rsid w:val="00CE7434"/>
    <w:rsid w:val="00CF0378"/>
    <w:rsid w:val="00CF228E"/>
    <w:rsid w:val="00CF25EF"/>
    <w:rsid w:val="00D02A5B"/>
    <w:rsid w:val="00D032CD"/>
    <w:rsid w:val="00D10CB0"/>
    <w:rsid w:val="00D1146A"/>
    <w:rsid w:val="00D124BE"/>
    <w:rsid w:val="00D126C9"/>
    <w:rsid w:val="00D16290"/>
    <w:rsid w:val="00D17B64"/>
    <w:rsid w:val="00D22106"/>
    <w:rsid w:val="00D22A85"/>
    <w:rsid w:val="00D22D4A"/>
    <w:rsid w:val="00D30BA4"/>
    <w:rsid w:val="00D31B8B"/>
    <w:rsid w:val="00D32D93"/>
    <w:rsid w:val="00D3310E"/>
    <w:rsid w:val="00D334F3"/>
    <w:rsid w:val="00D35A7B"/>
    <w:rsid w:val="00D3611F"/>
    <w:rsid w:val="00D4403B"/>
    <w:rsid w:val="00D46AFB"/>
    <w:rsid w:val="00D5099E"/>
    <w:rsid w:val="00D50DE5"/>
    <w:rsid w:val="00D5130B"/>
    <w:rsid w:val="00D51CC0"/>
    <w:rsid w:val="00D535BF"/>
    <w:rsid w:val="00D6012D"/>
    <w:rsid w:val="00D6069A"/>
    <w:rsid w:val="00D60F50"/>
    <w:rsid w:val="00D61F55"/>
    <w:rsid w:val="00D6319B"/>
    <w:rsid w:val="00D65FED"/>
    <w:rsid w:val="00D66185"/>
    <w:rsid w:val="00D77A92"/>
    <w:rsid w:val="00D83520"/>
    <w:rsid w:val="00D873EB"/>
    <w:rsid w:val="00D91F0D"/>
    <w:rsid w:val="00D92D55"/>
    <w:rsid w:val="00D94734"/>
    <w:rsid w:val="00D95397"/>
    <w:rsid w:val="00D970EC"/>
    <w:rsid w:val="00D974A2"/>
    <w:rsid w:val="00DA10DF"/>
    <w:rsid w:val="00DA1F3A"/>
    <w:rsid w:val="00DA5B92"/>
    <w:rsid w:val="00DA6EAE"/>
    <w:rsid w:val="00DA7BF3"/>
    <w:rsid w:val="00DB24C6"/>
    <w:rsid w:val="00DB5811"/>
    <w:rsid w:val="00DC2B43"/>
    <w:rsid w:val="00DC386E"/>
    <w:rsid w:val="00DC4802"/>
    <w:rsid w:val="00DC532C"/>
    <w:rsid w:val="00DC7C13"/>
    <w:rsid w:val="00DD2A2E"/>
    <w:rsid w:val="00DD2EF6"/>
    <w:rsid w:val="00DE39BD"/>
    <w:rsid w:val="00DF3CAE"/>
    <w:rsid w:val="00DF52B2"/>
    <w:rsid w:val="00DF69DF"/>
    <w:rsid w:val="00DF6C43"/>
    <w:rsid w:val="00DF7313"/>
    <w:rsid w:val="00E01A7B"/>
    <w:rsid w:val="00E031B1"/>
    <w:rsid w:val="00E045C6"/>
    <w:rsid w:val="00E1456F"/>
    <w:rsid w:val="00E14E5A"/>
    <w:rsid w:val="00E15BA2"/>
    <w:rsid w:val="00E24B3B"/>
    <w:rsid w:val="00E32350"/>
    <w:rsid w:val="00E3235B"/>
    <w:rsid w:val="00E331F9"/>
    <w:rsid w:val="00E350C9"/>
    <w:rsid w:val="00E41115"/>
    <w:rsid w:val="00E415DE"/>
    <w:rsid w:val="00E417C8"/>
    <w:rsid w:val="00E41EB9"/>
    <w:rsid w:val="00E55639"/>
    <w:rsid w:val="00E55A00"/>
    <w:rsid w:val="00E65F2A"/>
    <w:rsid w:val="00E660F2"/>
    <w:rsid w:val="00E702D3"/>
    <w:rsid w:val="00E729F4"/>
    <w:rsid w:val="00E72CAE"/>
    <w:rsid w:val="00E7303A"/>
    <w:rsid w:val="00E837B1"/>
    <w:rsid w:val="00E85FE6"/>
    <w:rsid w:val="00E87DF8"/>
    <w:rsid w:val="00E9207F"/>
    <w:rsid w:val="00E9214C"/>
    <w:rsid w:val="00E92FBE"/>
    <w:rsid w:val="00E93E06"/>
    <w:rsid w:val="00E94F42"/>
    <w:rsid w:val="00E96C39"/>
    <w:rsid w:val="00EA39F0"/>
    <w:rsid w:val="00EA4DD9"/>
    <w:rsid w:val="00EA6E7C"/>
    <w:rsid w:val="00EB07F0"/>
    <w:rsid w:val="00EB4472"/>
    <w:rsid w:val="00EB5073"/>
    <w:rsid w:val="00EB7EA5"/>
    <w:rsid w:val="00EC3364"/>
    <w:rsid w:val="00EC4880"/>
    <w:rsid w:val="00EC729D"/>
    <w:rsid w:val="00ED0B96"/>
    <w:rsid w:val="00ED1B83"/>
    <w:rsid w:val="00ED1DAB"/>
    <w:rsid w:val="00ED38F0"/>
    <w:rsid w:val="00ED4118"/>
    <w:rsid w:val="00EE16BD"/>
    <w:rsid w:val="00EF37CC"/>
    <w:rsid w:val="00EF4764"/>
    <w:rsid w:val="00EF4861"/>
    <w:rsid w:val="00EF50B5"/>
    <w:rsid w:val="00EF76CC"/>
    <w:rsid w:val="00F000C8"/>
    <w:rsid w:val="00F024A9"/>
    <w:rsid w:val="00F04C98"/>
    <w:rsid w:val="00F054C8"/>
    <w:rsid w:val="00F05D71"/>
    <w:rsid w:val="00F075EC"/>
    <w:rsid w:val="00F11AFB"/>
    <w:rsid w:val="00F15F25"/>
    <w:rsid w:val="00F15FAE"/>
    <w:rsid w:val="00F16584"/>
    <w:rsid w:val="00F204BD"/>
    <w:rsid w:val="00F2265E"/>
    <w:rsid w:val="00F23724"/>
    <w:rsid w:val="00F24D9B"/>
    <w:rsid w:val="00F263C9"/>
    <w:rsid w:val="00F32E4D"/>
    <w:rsid w:val="00F35440"/>
    <w:rsid w:val="00F37EAA"/>
    <w:rsid w:val="00F40518"/>
    <w:rsid w:val="00F4064C"/>
    <w:rsid w:val="00F53A9D"/>
    <w:rsid w:val="00F53AA3"/>
    <w:rsid w:val="00F545BC"/>
    <w:rsid w:val="00F57B0E"/>
    <w:rsid w:val="00F60F73"/>
    <w:rsid w:val="00F61D30"/>
    <w:rsid w:val="00F63D4F"/>
    <w:rsid w:val="00F76F11"/>
    <w:rsid w:val="00F771A3"/>
    <w:rsid w:val="00F83D6D"/>
    <w:rsid w:val="00F84802"/>
    <w:rsid w:val="00F85569"/>
    <w:rsid w:val="00F909CA"/>
    <w:rsid w:val="00F927CD"/>
    <w:rsid w:val="00F92A52"/>
    <w:rsid w:val="00F94094"/>
    <w:rsid w:val="00F95B2C"/>
    <w:rsid w:val="00F96D99"/>
    <w:rsid w:val="00F97077"/>
    <w:rsid w:val="00FA38DF"/>
    <w:rsid w:val="00FA44E2"/>
    <w:rsid w:val="00FA71F1"/>
    <w:rsid w:val="00FA72BF"/>
    <w:rsid w:val="00FB0DB2"/>
    <w:rsid w:val="00FB2FBA"/>
    <w:rsid w:val="00FB308F"/>
    <w:rsid w:val="00FB3157"/>
    <w:rsid w:val="00FB334F"/>
    <w:rsid w:val="00FB4E9E"/>
    <w:rsid w:val="00FB5BCB"/>
    <w:rsid w:val="00FB70E3"/>
    <w:rsid w:val="00FC1EEA"/>
    <w:rsid w:val="00FC3377"/>
    <w:rsid w:val="00FD30AA"/>
    <w:rsid w:val="00FD3D65"/>
    <w:rsid w:val="00FD5AAC"/>
    <w:rsid w:val="00FD65DD"/>
    <w:rsid w:val="00FD68D0"/>
    <w:rsid w:val="00FD7606"/>
    <w:rsid w:val="00FE1361"/>
    <w:rsid w:val="00FE2F02"/>
    <w:rsid w:val="00FE40C2"/>
    <w:rsid w:val="00FE522F"/>
    <w:rsid w:val="00FE5CBC"/>
    <w:rsid w:val="00FE5EE4"/>
    <w:rsid w:val="00FE790B"/>
    <w:rsid w:val="00FF6F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DD3630"/>
  <w15:chartTrackingRefBased/>
  <w15:docId w15:val="{8E007936-0493-48AD-8012-68AEDADA9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A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38587F"/>
    <w:pPr>
      <w:spacing w:after="0" w:line="240" w:lineRule="auto"/>
    </w:pPr>
    <w:rPr>
      <w:rFonts w:ascii="Times New Roman" w:eastAsia="Times New Roman" w:hAnsi="Times New Roman" w:cs="Times New Roman"/>
      <w:sz w:val="20"/>
      <w:szCs w:val="20"/>
      <w:lang w:eastAsia="lv-LV"/>
    </w:rPr>
  </w:style>
  <w:style w:type="character" w:customStyle="1" w:styleId="CommentTextChar">
    <w:name w:val="Comment Text Char"/>
    <w:basedOn w:val="DefaultParagraphFont"/>
    <w:link w:val="CommentText"/>
    <w:uiPriority w:val="99"/>
    <w:semiHidden/>
    <w:rsid w:val="0038587F"/>
    <w:rPr>
      <w:rFonts w:ascii="Times New Roman" w:eastAsia="Times New Roman" w:hAnsi="Times New Roman" w:cs="Times New Roman"/>
      <w:sz w:val="20"/>
      <w:szCs w:val="20"/>
      <w:lang w:eastAsia="lv-LV"/>
    </w:rPr>
  </w:style>
  <w:style w:type="paragraph" w:styleId="FootnoteText">
    <w:name w:val="footnote text"/>
    <w:basedOn w:val="Normal"/>
    <w:link w:val="FootnoteTextChar"/>
    <w:semiHidden/>
    <w:rsid w:val="0038587F"/>
    <w:pPr>
      <w:spacing w:after="0" w:line="240" w:lineRule="auto"/>
    </w:pPr>
    <w:rPr>
      <w:rFonts w:ascii="Times New Roman" w:eastAsia="Times New Roman" w:hAnsi="Times New Roman" w:cs="Times New Roman"/>
      <w:sz w:val="20"/>
      <w:szCs w:val="20"/>
      <w:lang w:eastAsia="lv-LV"/>
    </w:rPr>
  </w:style>
  <w:style w:type="character" w:customStyle="1" w:styleId="FootnoteTextChar">
    <w:name w:val="Footnote Text Char"/>
    <w:basedOn w:val="DefaultParagraphFont"/>
    <w:link w:val="FootnoteText"/>
    <w:semiHidden/>
    <w:rsid w:val="0038587F"/>
    <w:rPr>
      <w:rFonts w:ascii="Times New Roman" w:eastAsia="Times New Roman" w:hAnsi="Times New Roman" w:cs="Times New Roman"/>
      <w:sz w:val="20"/>
      <w:szCs w:val="20"/>
      <w:lang w:eastAsia="lv-LV"/>
    </w:rPr>
  </w:style>
  <w:style w:type="character" w:styleId="FootnoteReference">
    <w:name w:val="footnote reference"/>
    <w:uiPriority w:val="99"/>
    <w:semiHidden/>
    <w:rsid w:val="0038587F"/>
    <w:rPr>
      <w:vertAlign w:val="superscript"/>
    </w:rPr>
  </w:style>
  <w:style w:type="paragraph" w:styleId="ListParagraph">
    <w:name w:val="List Paragraph"/>
    <w:basedOn w:val="Normal"/>
    <w:uiPriority w:val="34"/>
    <w:qFormat/>
    <w:rsid w:val="0038587F"/>
    <w:pPr>
      <w:spacing w:after="0" w:line="240" w:lineRule="auto"/>
      <w:ind w:left="720"/>
      <w:contextualSpacing/>
    </w:pPr>
    <w:rPr>
      <w:rFonts w:ascii="Times New Roman" w:eastAsia="Times New Roman" w:hAnsi="Times New Roman" w:cs="Times New Roman"/>
      <w:sz w:val="24"/>
      <w:szCs w:val="24"/>
      <w:lang w:eastAsia="lv-LV"/>
    </w:rPr>
  </w:style>
  <w:style w:type="character" w:styleId="Hyperlink">
    <w:name w:val="Hyperlink"/>
    <w:basedOn w:val="DefaultParagraphFont"/>
    <w:unhideWhenUsed/>
    <w:rsid w:val="006B5174"/>
    <w:rPr>
      <w:color w:val="0000FF"/>
      <w:u w:val="single"/>
    </w:rPr>
  </w:style>
  <w:style w:type="paragraph" w:styleId="BalloonText">
    <w:name w:val="Balloon Text"/>
    <w:basedOn w:val="Normal"/>
    <w:link w:val="BalloonTextChar"/>
    <w:uiPriority w:val="99"/>
    <w:semiHidden/>
    <w:unhideWhenUsed/>
    <w:rsid w:val="008E15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547"/>
    <w:rPr>
      <w:rFonts w:ascii="Segoe UI" w:hAnsi="Segoe UI" w:cs="Segoe UI"/>
      <w:sz w:val="18"/>
      <w:szCs w:val="18"/>
    </w:rPr>
  </w:style>
  <w:style w:type="character" w:styleId="CommentReference">
    <w:name w:val="annotation reference"/>
    <w:basedOn w:val="DefaultParagraphFont"/>
    <w:uiPriority w:val="99"/>
    <w:semiHidden/>
    <w:unhideWhenUsed/>
    <w:rsid w:val="00C23854"/>
    <w:rPr>
      <w:sz w:val="16"/>
      <w:szCs w:val="16"/>
    </w:rPr>
  </w:style>
  <w:style w:type="paragraph" w:styleId="CommentSubject">
    <w:name w:val="annotation subject"/>
    <w:basedOn w:val="CommentText"/>
    <w:next w:val="CommentText"/>
    <w:link w:val="CommentSubjectChar"/>
    <w:uiPriority w:val="99"/>
    <w:semiHidden/>
    <w:unhideWhenUsed/>
    <w:rsid w:val="00C23854"/>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C23854"/>
    <w:rPr>
      <w:rFonts w:ascii="Times New Roman" w:eastAsia="Times New Roman" w:hAnsi="Times New Roman" w:cs="Times New Roman"/>
      <w:b/>
      <w:bCs/>
      <w:sz w:val="20"/>
      <w:szCs w:val="20"/>
      <w:lang w:eastAsia="lv-LV"/>
    </w:rPr>
  </w:style>
  <w:style w:type="paragraph" w:styleId="Header">
    <w:name w:val="header"/>
    <w:basedOn w:val="Normal"/>
    <w:link w:val="HeaderChar"/>
    <w:uiPriority w:val="99"/>
    <w:unhideWhenUsed/>
    <w:rsid w:val="001E55A0"/>
    <w:pPr>
      <w:tabs>
        <w:tab w:val="center" w:pos="4153"/>
        <w:tab w:val="right" w:pos="8306"/>
      </w:tabs>
      <w:spacing w:after="0" w:line="240" w:lineRule="auto"/>
    </w:pPr>
  </w:style>
  <w:style w:type="character" w:customStyle="1" w:styleId="HeaderChar">
    <w:name w:val="Header Char"/>
    <w:basedOn w:val="DefaultParagraphFont"/>
    <w:link w:val="Header"/>
    <w:uiPriority w:val="99"/>
    <w:rsid w:val="001E55A0"/>
  </w:style>
  <w:style w:type="paragraph" w:styleId="Footer">
    <w:name w:val="footer"/>
    <w:basedOn w:val="Normal"/>
    <w:link w:val="FooterChar"/>
    <w:uiPriority w:val="99"/>
    <w:unhideWhenUsed/>
    <w:rsid w:val="001E55A0"/>
    <w:pPr>
      <w:tabs>
        <w:tab w:val="center" w:pos="4153"/>
        <w:tab w:val="right" w:pos="8306"/>
      </w:tabs>
      <w:spacing w:after="0" w:line="240" w:lineRule="auto"/>
    </w:pPr>
  </w:style>
  <w:style w:type="character" w:customStyle="1" w:styleId="FooterChar">
    <w:name w:val="Footer Char"/>
    <w:basedOn w:val="DefaultParagraphFont"/>
    <w:link w:val="Footer"/>
    <w:uiPriority w:val="99"/>
    <w:rsid w:val="001E55A0"/>
  </w:style>
  <w:style w:type="paragraph" w:customStyle="1" w:styleId="tv2132">
    <w:name w:val="tv2132"/>
    <w:basedOn w:val="Normal"/>
    <w:rsid w:val="00451550"/>
    <w:pPr>
      <w:spacing w:after="0" w:line="360" w:lineRule="auto"/>
      <w:ind w:firstLine="300"/>
    </w:pPr>
    <w:rPr>
      <w:rFonts w:ascii="Times New Roman" w:hAnsi="Times New Roman" w:cs="Times New Roman"/>
      <w:color w:val="414142"/>
      <w:sz w:val="20"/>
      <w:szCs w:val="20"/>
      <w:lang w:eastAsia="lv-LV"/>
    </w:rPr>
  </w:style>
  <w:style w:type="paragraph" w:customStyle="1" w:styleId="naiskr">
    <w:name w:val="naiskr"/>
    <w:basedOn w:val="Normal"/>
    <w:rsid w:val="00DC2B43"/>
    <w:pPr>
      <w:spacing w:before="75" w:after="75"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rsid w:val="00DC2B43"/>
  </w:style>
  <w:style w:type="table" w:styleId="TableGrid">
    <w:name w:val="Table Grid"/>
    <w:basedOn w:val="TableNormal"/>
    <w:uiPriority w:val="39"/>
    <w:rsid w:val="005F0E6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0191A"/>
    <w:pPr>
      <w:spacing w:after="0" w:line="240" w:lineRule="auto"/>
    </w:pPr>
    <w:rPr>
      <w:rFonts w:ascii="Times New Roman" w:hAnsi="Times New Roman" w:cs="Times New Roman"/>
      <w:sz w:val="24"/>
      <w:szCs w:val="24"/>
      <w:lang w:eastAsia="lv-LV"/>
    </w:rPr>
  </w:style>
  <w:style w:type="paragraph" w:styleId="Revision">
    <w:name w:val="Revision"/>
    <w:hidden/>
    <w:uiPriority w:val="99"/>
    <w:semiHidden/>
    <w:rsid w:val="00ED4118"/>
    <w:pPr>
      <w:spacing w:after="0" w:line="240" w:lineRule="auto"/>
    </w:pPr>
  </w:style>
  <w:style w:type="paragraph" w:styleId="ListBullet">
    <w:name w:val="List Bullet"/>
    <w:basedOn w:val="Normal"/>
    <w:uiPriority w:val="99"/>
    <w:unhideWhenUsed/>
    <w:rsid w:val="00862AED"/>
    <w:pPr>
      <w:numPr>
        <w:numId w:val="17"/>
      </w:numPr>
      <w:contextualSpacing/>
    </w:pPr>
  </w:style>
  <w:style w:type="character" w:styleId="FollowedHyperlink">
    <w:name w:val="FollowedHyperlink"/>
    <w:basedOn w:val="DefaultParagraphFont"/>
    <w:uiPriority w:val="99"/>
    <w:semiHidden/>
    <w:unhideWhenUsed/>
    <w:rsid w:val="006C5C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459688">
      <w:bodyDiv w:val="1"/>
      <w:marLeft w:val="0"/>
      <w:marRight w:val="0"/>
      <w:marTop w:val="0"/>
      <w:marBottom w:val="0"/>
      <w:divBdr>
        <w:top w:val="none" w:sz="0" w:space="0" w:color="auto"/>
        <w:left w:val="none" w:sz="0" w:space="0" w:color="auto"/>
        <w:bottom w:val="none" w:sz="0" w:space="0" w:color="auto"/>
        <w:right w:val="none" w:sz="0" w:space="0" w:color="auto"/>
      </w:divBdr>
      <w:divsChild>
        <w:div w:id="2110002919">
          <w:marLeft w:val="0"/>
          <w:marRight w:val="0"/>
          <w:marTop w:val="0"/>
          <w:marBottom w:val="0"/>
          <w:divBdr>
            <w:top w:val="none" w:sz="0" w:space="0" w:color="auto"/>
            <w:left w:val="none" w:sz="0" w:space="0" w:color="auto"/>
            <w:bottom w:val="none" w:sz="0" w:space="0" w:color="auto"/>
            <w:right w:val="none" w:sz="0" w:space="0" w:color="auto"/>
          </w:divBdr>
          <w:divsChild>
            <w:div w:id="579870532">
              <w:marLeft w:val="0"/>
              <w:marRight w:val="0"/>
              <w:marTop w:val="0"/>
              <w:marBottom w:val="0"/>
              <w:divBdr>
                <w:top w:val="none" w:sz="0" w:space="0" w:color="auto"/>
                <w:left w:val="none" w:sz="0" w:space="0" w:color="auto"/>
                <w:bottom w:val="none" w:sz="0" w:space="0" w:color="auto"/>
                <w:right w:val="none" w:sz="0" w:space="0" w:color="auto"/>
              </w:divBdr>
              <w:divsChild>
                <w:div w:id="1962030138">
                  <w:marLeft w:val="0"/>
                  <w:marRight w:val="0"/>
                  <w:marTop w:val="0"/>
                  <w:marBottom w:val="0"/>
                  <w:divBdr>
                    <w:top w:val="none" w:sz="0" w:space="0" w:color="auto"/>
                    <w:left w:val="none" w:sz="0" w:space="0" w:color="auto"/>
                    <w:bottom w:val="none" w:sz="0" w:space="0" w:color="auto"/>
                    <w:right w:val="none" w:sz="0" w:space="0" w:color="auto"/>
                  </w:divBdr>
                  <w:divsChild>
                    <w:div w:id="979844794">
                      <w:marLeft w:val="0"/>
                      <w:marRight w:val="0"/>
                      <w:marTop w:val="0"/>
                      <w:marBottom w:val="0"/>
                      <w:divBdr>
                        <w:top w:val="none" w:sz="0" w:space="0" w:color="auto"/>
                        <w:left w:val="none" w:sz="0" w:space="0" w:color="auto"/>
                        <w:bottom w:val="none" w:sz="0" w:space="0" w:color="auto"/>
                        <w:right w:val="none" w:sz="0" w:space="0" w:color="auto"/>
                      </w:divBdr>
                      <w:divsChild>
                        <w:div w:id="269316628">
                          <w:marLeft w:val="0"/>
                          <w:marRight w:val="0"/>
                          <w:marTop w:val="0"/>
                          <w:marBottom w:val="0"/>
                          <w:divBdr>
                            <w:top w:val="none" w:sz="0" w:space="0" w:color="auto"/>
                            <w:left w:val="none" w:sz="0" w:space="0" w:color="auto"/>
                            <w:bottom w:val="none" w:sz="0" w:space="0" w:color="auto"/>
                            <w:right w:val="none" w:sz="0" w:space="0" w:color="auto"/>
                          </w:divBdr>
                          <w:divsChild>
                            <w:div w:id="110901915">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3206532">
      <w:bodyDiv w:val="1"/>
      <w:marLeft w:val="0"/>
      <w:marRight w:val="0"/>
      <w:marTop w:val="0"/>
      <w:marBottom w:val="0"/>
      <w:divBdr>
        <w:top w:val="none" w:sz="0" w:space="0" w:color="auto"/>
        <w:left w:val="none" w:sz="0" w:space="0" w:color="auto"/>
        <w:bottom w:val="none" w:sz="0" w:space="0" w:color="auto"/>
        <w:right w:val="none" w:sz="0" w:space="0" w:color="auto"/>
      </w:divBdr>
    </w:div>
    <w:div w:id="819810159">
      <w:bodyDiv w:val="1"/>
      <w:marLeft w:val="0"/>
      <w:marRight w:val="0"/>
      <w:marTop w:val="0"/>
      <w:marBottom w:val="0"/>
      <w:divBdr>
        <w:top w:val="none" w:sz="0" w:space="0" w:color="auto"/>
        <w:left w:val="none" w:sz="0" w:space="0" w:color="auto"/>
        <w:bottom w:val="none" w:sz="0" w:space="0" w:color="auto"/>
        <w:right w:val="none" w:sz="0" w:space="0" w:color="auto"/>
      </w:divBdr>
      <w:divsChild>
        <w:div w:id="1978337532">
          <w:marLeft w:val="0"/>
          <w:marRight w:val="0"/>
          <w:marTop w:val="0"/>
          <w:marBottom w:val="0"/>
          <w:divBdr>
            <w:top w:val="none" w:sz="0" w:space="0" w:color="auto"/>
            <w:left w:val="none" w:sz="0" w:space="0" w:color="auto"/>
            <w:bottom w:val="none" w:sz="0" w:space="0" w:color="auto"/>
            <w:right w:val="none" w:sz="0" w:space="0" w:color="auto"/>
          </w:divBdr>
          <w:divsChild>
            <w:div w:id="1203521304">
              <w:marLeft w:val="0"/>
              <w:marRight w:val="0"/>
              <w:marTop w:val="0"/>
              <w:marBottom w:val="0"/>
              <w:divBdr>
                <w:top w:val="none" w:sz="0" w:space="0" w:color="auto"/>
                <w:left w:val="none" w:sz="0" w:space="0" w:color="auto"/>
                <w:bottom w:val="none" w:sz="0" w:space="0" w:color="auto"/>
                <w:right w:val="none" w:sz="0" w:space="0" w:color="auto"/>
              </w:divBdr>
              <w:divsChild>
                <w:div w:id="945386302">
                  <w:marLeft w:val="0"/>
                  <w:marRight w:val="0"/>
                  <w:marTop w:val="0"/>
                  <w:marBottom w:val="0"/>
                  <w:divBdr>
                    <w:top w:val="none" w:sz="0" w:space="0" w:color="auto"/>
                    <w:left w:val="none" w:sz="0" w:space="0" w:color="auto"/>
                    <w:bottom w:val="none" w:sz="0" w:space="0" w:color="auto"/>
                    <w:right w:val="none" w:sz="0" w:space="0" w:color="auto"/>
                  </w:divBdr>
                  <w:divsChild>
                    <w:div w:id="451025206">
                      <w:marLeft w:val="0"/>
                      <w:marRight w:val="0"/>
                      <w:marTop w:val="0"/>
                      <w:marBottom w:val="0"/>
                      <w:divBdr>
                        <w:top w:val="none" w:sz="0" w:space="0" w:color="auto"/>
                        <w:left w:val="none" w:sz="0" w:space="0" w:color="auto"/>
                        <w:bottom w:val="none" w:sz="0" w:space="0" w:color="auto"/>
                        <w:right w:val="none" w:sz="0" w:space="0" w:color="auto"/>
                      </w:divBdr>
                      <w:divsChild>
                        <w:div w:id="153225349">
                          <w:marLeft w:val="0"/>
                          <w:marRight w:val="0"/>
                          <w:marTop w:val="0"/>
                          <w:marBottom w:val="0"/>
                          <w:divBdr>
                            <w:top w:val="none" w:sz="0" w:space="0" w:color="auto"/>
                            <w:left w:val="none" w:sz="0" w:space="0" w:color="auto"/>
                            <w:bottom w:val="none" w:sz="0" w:space="0" w:color="auto"/>
                            <w:right w:val="none" w:sz="0" w:space="0" w:color="auto"/>
                          </w:divBdr>
                          <w:divsChild>
                            <w:div w:id="1157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4666333">
      <w:bodyDiv w:val="1"/>
      <w:marLeft w:val="0"/>
      <w:marRight w:val="0"/>
      <w:marTop w:val="0"/>
      <w:marBottom w:val="0"/>
      <w:divBdr>
        <w:top w:val="none" w:sz="0" w:space="0" w:color="auto"/>
        <w:left w:val="none" w:sz="0" w:space="0" w:color="auto"/>
        <w:bottom w:val="none" w:sz="0" w:space="0" w:color="auto"/>
        <w:right w:val="none" w:sz="0" w:space="0" w:color="auto"/>
      </w:divBdr>
    </w:div>
    <w:div w:id="951859294">
      <w:bodyDiv w:val="1"/>
      <w:marLeft w:val="0"/>
      <w:marRight w:val="0"/>
      <w:marTop w:val="0"/>
      <w:marBottom w:val="0"/>
      <w:divBdr>
        <w:top w:val="none" w:sz="0" w:space="0" w:color="auto"/>
        <w:left w:val="none" w:sz="0" w:space="0" w:color="auto"/>
        <w:bottom w:val="none" w:sz="0" w:space="0" w:color="auto"/>
        <w:right w:val="none" w:sz="0" w:space="0" w:color="auto"/>
      </w:divBdr>
      <w:divsChild>
        <w:div w:id="1915317150">
          <w:marLeft w:val="0"/>
          <w:marRight w:val="0"/>
          <w:marTop w:val="0"/>
          <w:marBottom w:val="0"/>
          <w:divBdr>
            <w:top w:val="none" w:sz="0" w:space="0" w:color="auto"/>
            <w:left w:val="none" w:sz="0" w:space="0" w:color="auto"/>
            <w:bottom w:val="none" w:sz="0" w:space="0" w:color="auto"/>
            <w:right w:val="none" w:sz="0" w:space="0" w:color="auto"/>
          </w:divBdr>
          <w:divsChild>
            <w:div w:id="721490017">
              <w:marLeft w:val="0"/>
              <w:marRight w:val="0"/>
              <w:marTop w:val="0"/>
              <w:marBottom w:val="0"/>
              <w:divBdr>
                <w:top w:val="none" w:sz="0" w:space="0" w:color="auto"/>
                <w:left w:val="none" w:sz="0" w:space="0" w:color="auto"/>
                <w:bottom w:val="none" w:sz="0" w:space="0" w:color="auto"/>
                <w:right w:val="none" w:sz="0" w:space="0" w:color="auto"/>
              </w:divBdr>
              <w:divsChild>
                <w:div w:id="718240361">
                  <w:marLeft w:val="0"/>
                  <w:marRight w:val="0"/>
                  <w:marTop w:val="0"/>
                  <w:marBottom w:val="0"/>
                  <w:divBdr>
                    <w:top w:val="none" w:sz="0" w:space="0" w:color="auto"/>
                    <w:left w:val="none" w:sz="0" w:space="0" w:color="auto"/>
                    <w:bottom w:val="none" w:sz="0" w:space="0" w:color="auto"/>
                    <w:right w:val="none" w:sz="0" w:space="0" w:color="auto"/>
                  </w:divBdr>
                  <w:divsChild>
                    <w:div w:id="299464256">
                      <w:marLeft w:val="0"/>
                      <w:marRight w:val="0"/>
                      <w:marTop w:val="0"/>
                      <w:marBottom w:val="0"/>
                      <w:divBdr>
                        <w:top w:val="none" w:sz="0" w:space="0" w:color="auto"/>
                        <w:left w:val="none" w:sz="0" w:space="0" w:color="auto"/>
                        <w:bottom w:val="none" w:sz="0" w:space="0" w:color="auto"/>
                        <w:right w:val="none" w:sz="0" w:space="0" w:color="auto"/>
                      </w:divBdr>
                      <w:divsChild>
                        <w:div w:id="1923371333">
                          <w:marLeft w:val="0"/>
                          <w:marRight w:val="0"/>
                          <w:marTop w:val="0"/>
                          <w:marBottom w:val="0"/>
                          <w:divBdr>
                            <w:top w:val="none" w:sz="0" w:space="0" w:color="auto"/>
                            <w:left w:val="none" w:sz="0" w:space="0" w:color="auto"/>
                            <w:bottom w:val="none" w:sz="0" w:space="0" w:color="auto"/>
                            <w:right w:val="none" w:sz="0" w:space="0" w:color="auto"/>
                          </w:divBdr>
                          <w:divsChild>
                            <w:div w:id="16655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4629635">
      <w:bodyDiv w:val="1"/>
      <w:marLeft w:val="0"/>
      <w:marRight w:val="0"/>
      <w:marTop w:val="0"/>
      <w:marBottom w:val="0"/>
      <w:divBdr>
        <w:top w:val="none" w:sz="0" w:space="0" w:color="auto"/>
        <w:left w:val="none" w:sz="0" w:space="0" w:color="auto"/>
        <w:bottom w:val="none" w:sz="0" w:space="0" w:color="auto"/>
        <w:right w:val="none" w:sz="0" w:space="0" w:color="auto"/>
      </w:divBdr>
      <w:divsChild>
        <w:div w:id="1611084655">
          <w:marLeft w:val="0"/>
          <w:marRight w:val="0"/>
          <w:marTop w:val="0"/>
          <w:marBottom w:val="0"/>
          <w:divBdr>
            <w:top w:val="none" w:sz="0" w:space="0" w:color="auto"/>
            <w:left w:val="none" w:sz="0" w:space="0" w:color="auto"/>
            <w:bottom w:val="none" w:sz="0" w:space="0" w:color="auto"/>
            <w:right w:val="none" w:sz="0" w:space="0" w:color="auto"/>
          </w:divBdr>
          <w:divsChild>
            <w:div w:id="1646885579">
              <w:marLeft w:val="0"/>
              <w:marRight w:val="0"/>
              <w:marTop w:val="0"/>
              <w:marBottom w:val="0"/>
              <w:divBdr>
                <w:top w:val="none" w:sz="0" w:space="0" w:color="auto"/>
                <w:left w:val="none" w:sz="0" w:space="0" w:color="auto"/>
                <w:bottom w:val="none" w:sz="0" w:space="0" w:color="auto"/>
                <w:right w:val="none" w:sz="0" w:space="0" w:color="auto"/>
              </w:divBdr>
              <w:divsChild>
                <w:div w:id="460462591">
                  <w:marLeft w:val="0"/>
                  <w:marRight w:val="0"/>
                  <w:marTop w:val="0"/>
                  <w:marBottom w:val="0"/>
                  <w:divBdr>
                    <w:top w:val="none" w:sz="0" w:space="0" w:color="auto"/>
                    <w:left w:val="none" w:sz="0" w:space="0" w:color="auto"/>
                    <w:bottom w:val="none" w:sz="0" w:space="0" w:color="auto"/>
                    <w:right w:val="none" w:sz="0" w:space="0" w:color="auto"/>
                  </w:divBdr>
                  <w:divsChild>
                    <w:div w:id="181826906">
                      <w:marLeft w:val="0"/>
                      <w:marRight w:val="0"/>
                      <w:marTop w:val="0"/>
                      <w:marBottom w:val="0"/>
                      <w:divBdr>
                        <w:top w:val="none" w:sz="0" w:space="0" w:color="auto"/>
                        <w:left w:val="none" w:sz="0" w:space="0" w:color="auto"/>
                        <w:bottom w:val="none" w:sz="0" w:space="0" w:color="auto"/>
                        <w:right w:val="none" w:sz="0" w:space="0" w:color="auto"/>
                      </w:divBdr>
                      <w:divsChild>
                        <w:div w:id="1693804897">
                          <w:marLeft w:val="0"/>
                          <w:marRight w:val="0"/>
                          <w:marTop w:val="0"/>
                          <w:marBottom w:val="0"/>
                          <w:divBdr>
                            <w:top w:val="none" w:sz="0" w:space="0" w:color="auto"/>
                            <w:left w:val="none" w:sz="0" w:space="0" w:color="auto"/>
                            <w:bottom w:val="none" w:sz="0" w:space="0" w:color="auto"/>
                            <w:right w:val="none" w:sz="0" w:space="0" w:color="auto"/>
                          </w:divBdr>
                          <w:divsChild>
                            <w:div w:id="200404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242620">
      <w:bodyDiv w:val="1"/>
      <w:marLeft w:val="0"/>
      <w:marRight w:val="0"/>
      <w:marTop w:val="0"/>
      <w:marBottom w:val="0"/>
      <w:divBdr>
        <w:top w:val="none" w:sz="0" w:space="0" w:color="auto"/>
        <w:left w:val="none" w:sz="0" w:space="0" w:color="auto"/>
        <w:bottom w:val="none" w:sz="0" w:space="0" w:color="auto"/>
        <w:right w:val="none" w:sz="0" w:space="0" w:color="auto"/>
      </w:divBdr>
    </w:div>
    <w:div w:id="1536962951">
      <w:bodyDiv w:val="1"/>
      <w:marLeft w:val="0"/>
      <w:marRight w:val="0"/>
      <w:marTop w:val="0"/>
      <w:marBottom w:val="0"/>
      <w:divBdr>
        <w:top w:val="none" w:sz="0" w:space="0" w:color="auto"/>
        <w:left w:val="none" w:sz="0" w:space="0" w:color="auto"/>
        <w:bottom w:val="none" w:sz="0" w:space="0" w:color="auto"/>
        <w:right w:val="none" w:sz="0" w:space="0" w:color="auto"/>
      </w:divBdr>
    </w:div>
    <w:div w:id="1565336809">
      <w:bodyDiv w:val="1"/>
      <w:marLeft w:val="0"/>
      <w:marRight w:val="0"/>
      <w:marTop w:val="0"/>
      <w:marBottom w:val="0"/>
      <w:divBdr>
        <w:top w:val="none" w:sz="0" w:space="0" w:color="auto"/>
        <w:left w:val="none" w:sz="0" w:space="0" w:color="auto"/>
        <w:bottom w:val="none" w:sz="0" w:space="0" w:color="auto"/>
        <w:right w:val="none" w:sz="0" w:space="0" w:color="auto"/>
      </w:divBdr>
    </w:div>
    <w:div w:id="1691445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unta.Puzule@fm.gov.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k.gov.lv/content/ministru-kabineta-diskusiju-dokumenti"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ad_x012b_t_x0101_js xmlns="2e5bb04e-596e-45bd-9003-43ca78b1ba16">S.Āmare-Pilka (NND)</Vad_x012b_t_x0101_js>
    <TAP xmlns="8a8406e0-fd3e-4c97-9c6b-df4e1c510b77">66</TAP>
    <Kategorija xmlns="2e5bb04e-596e-45bd-9003-43ca78b1ba16">Anotācija</Kategorij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17988F63A5FCA4E91EBEA3C7CBABFE1" ma:contentTypeVersion="" ma:contentTypeDescription="Izveidot jaunu dokumentu." ma:contentTypeScope="" ma:versionID="6c8debf7d97d146b07bd57b2379dd27b">
  <xsd:schema xmlns:xsd="http://www.w3.org/2001/XMLSchema" xmlns:xs="http://www.w3.org/2001/XMLSchema" xmlns:p="http://schemas.microsoft.com/office/2006/metadata/properties" xmlns:ns2="2e5bb04e-596e-45bd-9003-43ca78b1ba16" xmlns:ns4="8a8406e0-fd3e-4c97-9c6b-df4e1c510b77" targetNamespace="http://schemas.microsoft.com/office/2006/metadata/properties" ma:root="true" ma:fieldsID="a6d35000c1b877c8c067825bd36ec356" ns2:_="" ns4:_="">
    <xsd:import namespace="2e5bb04e-596e-45bd-9003-43ca78b1ba16"/>
    <xsd:import namespace="8a8406e0-fd3e-4c97-9c6b-df4e1c510b77"/>
    <xsd:element name="properties">
      <xsd:complexType>
        <xsd:sequence>
          <xsd:element name="documentManagement">
            <xsd:complexType>
              <xsd:all>
                <xsd:element ref="ns2:Kategorija"/>
                <xsd:element ref="ns2:Vad_x012b_t_x0101_js" minOccurs="0"/>
                <xsd:element ref="ns4:TA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bb04e-596e-45bd-9003-43ca78b1ba16" elementFormDefault="qualified">
    <xsd:import namespace="http://schemas.microsoft.com/office/2006/documentManagement/types"/>
    <xsd:import namespace="http://schemas.microsoft.com/office/infopath/2007/PartnerControls"/>
    <xsd:element name="Kategorija" ma:index="2" ma:displayName="Kategorija" ma:default="Likumprojekts" ma:format="Dropdown" ma:internalName="Kategorija">
      <xsd:simpleType>
        <xsd:union memberTypes="dms:Text">
          <xsd:simpleType>
            <xsd:restriction base="dms:Choice">
              <xsd:enumeration value="Likumprojekts"/>
              <xsd:enumeration value="MK ieteikumu projekts"/>
              <xsd:enumeration value="MK instrukcijas projekts"/>
              <xsd:enumeration value="MK noteikumu projekts"/>
              <xsd:enumeration value="MK protokollēmuma projekts"/>
              <xsd:enumeration value="Saeimas lēmumprojekts"/>
              <xsd:enumeration value="Starptautiskā līguma projekts"/>
              <xsd:enumeration value="Koncepcijas projekts"/>
              <xsd:enumeration value="Pamatnostādņu projekts"/>
              <xsd:enumeration value="Plāna projekts"/>
              <xsd:enumeration value="Programmas projekts"/>
              <xsd:enumeration value="Tiešās pārvaldes iestādes darbības stratēģijas projekts"/>
              <xsd:enumeration value="Nacionālās pozīcijas projekts"/>
              <xsd:enumeration value="Nostājas projekts"/>
              <xsd:enumeration value="Informatīvais ziņojums"/>
              <xsd:enumeration value="MK rīkojuma projekts"/>
              <xsd:enumeration value="MP rīkojuma projekts"/>
              <xsd:enumeration value="Anotācija"/>
              <xsd:enumeration value="Iebildums par protokolu"/>
              <xsd:enumeration value="Paskaidrojuma raksts"/>
              <xsd:enumeration value="Pavadvēstule"/>
              <xsd:enumeration value="Politikas dokumenta kopsavilkums"/>
              <xsd:enumeration value="Politikas dokumenta satura rādītājs"/>
              <xsd:enumeration value="Darba kārtība"/>
              <xsd:enumeration value="Protokols"/>
              <xsd:enumeration value="Informācija"/>
              <xsd:enumeration value="Pieteikums VSS"/>
            </xsd:restriction>
          </xsd:simpleType>
        </xsd:union>
      </xsd:simpleType>
    </xsd:element>
    <xsd:element name="Vad_x012b_t_x0101_js" ma:index="3" nillable="true" ma:displayName="Vadītājs" ma:internalName="Vad_x012b_t_x0101_j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8406e0-fd3e-4c97-9c6b-df4e1c510b77" elementFormDefault="qualified">
    <xsd:import namespace="http://schemas.microsoft.com/office/2006/documentManagement/types"/>
    <xsd:import namespace="http://schemas.microsoft.com/office/infopath/2007/PartnerControls"/>
    <xsd:element name="TAP" ma:index="11" nillable="true" ma:displayName="TAP" ma:list="{9c6ff9f6-2768-44f6-a5f2-1a7b9b3481ad}" ma:internalName="TAP" ma:showField="NPK">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ors"/>
        <xsd:element ref="dcterms:created" minOccurs="0" maxOccurs="1"/>
        <xsd:element ref="dc:identifier" minOccurs="0" maxOccurs="1"/>
        <xsd:element name="contentType" minOccurs="0" maxOccurs="1" type="xsd:string" ma:index="7" ma:displayName="Satura tips"/>
        <xsd:element ref="dc:title" minOccurs="0" maxOccurs="1" ma:index="1"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6B8EC-605A-41C2-97E7-F169E55823F8}">
  <ds:schemaRefs>
    <ds:schemaRef ds:uri="http://schemas.microsoft.com/office/2006/metadata/properties"/>
    <ds:schemaRef ds:uri="http://schemas.microsoft.com/office/infopath/2007/PartnerControls"/>
    <ds:schemaRef ds:uri="2e5bb04e-596e-45bd-9003-43ca78b1ba16"/>
    <ds:schemaRef ds:uri="8a8406e0-fd3e-4c97-9c6b-df4e1c510b77"/>
  </ds:schemaRefs>
</ds:datastoreItem>
</file>

<file path=customXml/itemProps2.xml><?xml version="1.0" encoding="utf-8"?>
<ds:datastoreItem xmlns:ds="http://schemas.openxmlformats.org/officeDocument/2006/customXml" ds:itemID="{5ADAF601-8EB1-4841-B8C0-A5E8A0AC0945}">
  <ds:schemaRefs>
    <ds:schemaRef ds:uri="http://schemas.microsoft.com/sharepoint/v3/contenttype/forms"/>
  </ds:schemaRefs>
</ds:datastoreItem>
</file>

<file path=customXml/itemProps3.xml><?xml version="1.0" encoding="utf-8"?>
<ds:datastoreItem xmlns:ds="http://schemas.openxmlformats.org/officeDocument/2006/customXml" ds:itemID="{25E5F4F5-2B2E-4D3B-BB61-6EC506420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bb04e-596e-45bd-9003-43ca78b1ba16"/>
    <ds:schemaRef ds:uri="8a8406e0-fd3e-4c97-9c6b-df4e1c510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FB0C3A-83FC-4049-B5A2-E2A063AE2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29936</Words>
  <Characters>17064</Characters>
  <Application>Microsoft Office Word</Application>
  <DocSecurity>0</DocSecurity>
  <Lines>142</Lines>
  <Paragraphs>93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Likumprojekta "Grozījumi likumā "Par akcīzes nodokli"" sākotnējās ietekmes novērtējuma ziņojums (anotācija)</vt:lpstr>
      <vt:lpstr>Likumprojekta "Grozījumi likumā "Par akcīzes nodokli"" sākotnējās ietekmes novērtējuma ziņojums (anotācija)</vt:lpstr>
    </vt:vector>
  </TitlesOfParts>
  <Company>Finanšu ministrija</Company>
  <LinksUpToDate>false</LinksUpToDate>
  <CharactersWithSpaces>46907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Likumprojekta "Grozījumi likumā "Par akcīzes nodokli"" sākotnējās ietekmes novērtējuma ziņojums (anotācija)</dc:title>
  <dc:subject>likumprojekta anotācija</dc:subject>
  <dc:creator>G.Pužule (NND)</dc:creator>
  <cp:keywords/>
  <dc:description>Gunta.Puzule@fm.gov.lv_x000d_
Tālr. Nr. 67095521</dc:description>
  <cp:lastModifiedBy>Inguna Dancīte</cp:lastModifiedBy>
  <cp:revision>2</cp:revision>
  <cp:lastPrinted>2020-06-18T14:35:00Z</cp:lastPrinted>
  <dcterms:created xsi:type="dcterms:W3CDTF">2020-06-29T06:41:00Z</dcterms:created>
  <dcterms:modified xsi:type="dcterms:W3CDTF">2020-06-29T06:41:00Z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0x010100717988F63A5FCA4E91EBEA3C7CBABFE1</vt:lpwstr>
  </property>
</Properties>
</file>