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9E" w:rsidRDefault="0002749E" w:rsidP="0002749E">
      <w:pPr>
        <w:pStyle w:val="naislab"/>
        <w:jc w:val="center"/>
        <w:rPr>
          <w:b/>
          <w:sz w:val="26"/>
          <w:szCs w:val="26"/>
        </w:rPr>
      </w:pPr>
      <w:r w:rsidRPr="00D737FA">
        <w:rPr>
          <w:b/>
          <w:sz w:val="26"/>
          <w:szCs w:val="26"/>
        </w:rPr>
        <w:t xml:space="preserve">Ministru kabineta noteikumu projekta </w:t>
      </w:r>
      <w:r w:rsidRPr="00D737FA">
        <w:rPr>
          <w:b/>
          <w:sz w:val="26"/>
          <w:szCs w:val="26"/>
        </w:rPr>
        <w:br/>
        <w:t xml:space="preserve">“Grozījumi Ministru kabineta 2008.gada 25.augusta noteikumos Nr.677 “Noteikumi par iedzīvotāju ienākuma nodokļa paziņojumiem”” </w:t>
      </w:r>
      <w:r w:rsidRPr="00D737FA">
        <w:rPr>
          <w:b/>
          <w:sz w:val="26"/>
          <w:szCs w:val="26"/>
        </w:rPr>
        <w:br/>
        <w:t>sākotnējās ietekmes novērtējuma ziņojums (anotācija)</w:t>
      </w:r>
    </w:p>
    <w:p w:rsidR="00C763EA" w:rsidRPr="00D737FA" w:rsidRDefault="00C763EA" w:rsidP="0002749E">
      <w:pPr>
        <w:pStyle w:val="naislab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5"/>
        <w:gridCol w:w="5603"/>
      </w:tblGrid>
      <w:tr w:rsidR="00C763EA" w:rsidRPr="00D737FA" w:rsidTr="009D43E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763EA" w:rsidRPr="00D737FA" w:rsidRDefault="00651AD2" w:rsidP="009D43EC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Tiesību akta projekta anotācijas kopsavilkums</w:t>
            </w:r>
          </w:p>
        </w:tc>
      </w:tr>
      <w:tr w:rsidR="00651AD2" w:rsidRPr="00D737FA" w:rsidTr="00651AD2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51AD2" w:rsidRPr="00D737FA" w:rsidRDefault="00651AD2" w:rsidP="009D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51AD2" w:rsidRPr="0059693B" w:rsidRDefault="00651AD2" w:rsidP="00F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lv-LV"/>
              </w:rPr>
            </w:pPr>
            <w:r w:rsidRPr="005969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lv-LV"/>
              </w:rPr>
              <w:t>Saskaņā ar Ministru kabineta 2009.gada 15.decembra instrukciju Nr. 19 “Tiesību akta projekta sākotnējās ietekmes izvērtēšanas kārtība” 5.</w:t>
            </w:r>
            <w:r w:rsidRPr="0059693B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lv-LV"/>
              </w:rPr>
              <w:t>1</w:t>
            </w:r>
            <w:r w:rsidRPr="005969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lv-LV"/>
              </w:rPr>
              <w:t xml:space="preserve"> punktu kopsavilkums nav jāaizpilda.</w:t>
            </w:r>
          </w:p>
        </w:tc>
      </w:tr>
    </w:tbl>
    <w:p w:rsidR="00C763EA" w:rsidRPr="00D737FA" w:rsidRDefault="00C763EA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5603"/>
      </w:tblGrid>
      <w:tr w:rsidR="0000597D" w:rsidRPr="00D737FA" w:rsidTr="00081A5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I. Tiesību akta projekta izstrādes nepieciešamība</w:t>
            </w:r>
          </w:p>
        </w:tc>
      </w:tr>
      <w:tr w:rsidR="00DA4B5F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A4B5F" w:rsidRPr="00D737FA" w:rsidRDefault="00DA4B5F" w:rsidP="00DA4B5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A4B5F" w:rsidRPr="00D737FA" w:rsidRDefault="00DA4B5F" w:rsidP="00D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A4B5F" w:rsidRPr="00DA4B5F" w:rsidRDefault="00DA4B5F" w:rsidP="003D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B5F">
              <w:rPr>
                <w:rFonts w:ascii="Times New Roman" w:eastAsia="Times New Roman" w:hAnsi="Times New Roman" w:cs="Times New Roman"/>
                <w:sz w:val="26"/>
                <w:szCs w:val="26"/>
              </w:rPr>
              <w:t>Likuma “Par iedzīvotāju ienākuma nodokli” 17.panta 9.</w:t>
            </w:r>
            <w:r w:rsidRPr="00DA4B5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DA4B5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daļa </w:t>
            </w:r>
            <w:r w:rsidRPr="00DA4B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(redakcijā, kas stāsies spēkā 2021.gada 1.janvarī).</w:t>
            </w:r>
            <w:r w:rsidRPr="00DA4B5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CF74BA" w:rsidRPr="00D737FA" w:rsidTr="0001790F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B6A03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4329E0" w:rsidP="004329E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ab/>
            </w: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BB6A03" w:rsidRPr="00BB6A03" w:rsidRDefault="00BB6A03" w:rsidP="0059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CF74BA" w:rsidRPr="00BB6A03" w:rsidRDefault="00CF74BA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00B85" w:rsidRDefault="008602BB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Š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obrīd </w:t>
            </w:r>
            <w:r w:rsidR="00495384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likuma “Par iedzīvotāju ienākuma nodokli” </w:t>
            </w:r>
            <w:r w:rsidR="00495384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17.panta 9.</w:t>
            </w:r>
            <w:r w:rsidR="00495384" w:rsidRPr="00CF74B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="0049538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daļ</w:t>
            </w:r>
            <w:r w:rsidR="00450A4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</w:t>
            </w:r>
            <w:r w:rsidR="00495384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EA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iekšzemes darba ņēmēj</w:t>
            </w:r>
            <w:r w:rsidR="005A6EAF">
              <w:rPr>
                <w:rFonts w:ascii="Times New Roman" w:eastAsia="Times New Roman" w:hAnsi="Times New Roman" w:cs="Times New Roman"/>
                <w:sz w:val="26"/>
                <w:szCs w:val="26"/>
              </w:rPr>
              <w:t>iem</w:t>
            </w:r>
            <w:r w:rsidR="005A6EA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pie darba devēja – ārvalstu nodokļa maksātāja vai iekšzemes darba ņēmēj</w:t>
            </w:r>
            <w:r w:rsidR="005A6EAF">
              <w:rPr>
                <w:rFonts w:ascii="Times New Roman" w:eastAsia="Times New Roman" w:hAnsi="Times New Roman" w:cs="Times New Roman"/>
                <w:sz w:val="26"/>
                <w:szCs w:val="26"/>
              </w:rPr>
              <w:t>iem</w:t>
            </w:r>
            <w:r w:rsidR="005A6EA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, kura darbu apmaksā no Latvijas Republikai piešķirtajiem ārvalstu finanšu vai tehniskās palīdzības vai starptautisko finanšu institūciju aizdevuma līdzekļiem</w:t>
            </w:r>
            <w:r w:rsidR="005A6EA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95384" w:rsidRPr="00495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384">
              <w:rPr>
                <w:rFonts w:ascii="Times New Roman" w:hAnsi="Times New Roman" w:cs="Times New Roman"/>
                <w:sz w:val="26"/>
                <w:szCs w:val="26"/>
              </w:rPr>
              <w:t xml:space="preserve">paredz </w:t>
            </w:r>
            <w:r w:rsidR="00D94787">
              <w:rPr>
                <w:rFonts w:ascii="Times New Roman" w:hAnsi="Times New Roman" w:cs="Times New Roman"/>
                <w:sz w:val="26"/>
                <w:szCs w:val="26"/>
              </w:rPr>
              <w:t>aprēķināto nodokli ieskaitīt</w:t>
            </w:r>
            <w:r w:rsidR="00D94787" w:rsidRPr="00D94787">
              <w:rPr>
                <w:rFonts w:ascii="Times New Roman" w:hAnsi="Times New Roman" w:cs="Times New Roman"/>
                <w:sz w:val="26"/>
                <w:szCs w:val="26"/>
              </w:rPr>
              <w:t xml:space="preserve"> budžetā ne vēlāk kā ienākuma izmaksas mēnesim </w:t>
            </w:r>
            <w:r w:rsidR="00D94787">
              <w:rPr>
                <w:rFonts w:ascii="Times New Roman" w:hAnsi="Times New Roman" w:cs="Times New Roman"/>
                <w:sz w:val="26"/>
                <w:szCs w:val="26"/>
              </w:rPr>
              <w:t>sekojoš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D94787">
              <w:rPr>
                <w:rFonts w:ascii="Times New Roman" w:hAnsi="Times New Roman" w:cs="Times New Roman"/>
                <w:sz w:val="26"/>
                <w:szCs w:val="26"/>
              </w:rPr>
              <w:t xml:space="preserve"> mēne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>ša piecpadsmitaj</w:t>
            </w:r>
            <w:r w:rsidR="00A6436A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 xml:space="preserve"> datum</w:t>
            </w:r>
            <w:r w:rsidR="00A6436A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537BE1">
              <w:rPr>
                <w:rFonts w:ascii="Times New Roman" w:hAnsi="Times New Roman" w:cs="Times New Roman"/>
                <w:sz w:val="26"/>
                <w:szCs w:val="26"/>
              </w:rPr>
              <w:t xml:space="preserve">, bet </w:t>
            </w:r>
            <w:r w:rsidR="00495384">
              <w:rPr>
                <w:rFonts w:ascii="Times New Roman" w:hAnsi="Times New Roman" w:cs="Times New Roman"/>
                <w:sz w:val="26"/>
                <w:szCs w:val="26"/>
              </w:rPr>
              <w:t xml:space="preserve">paziņojumu par fiziskajām personām izmaksātajām summām (turpmāk – paziņojumu) 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>ie</w:t>
            </w:r>
            <w:r w:rsidR="00495384">
              <w:rPr>
                <w:rFonts w:ascii="Times New Roman" w:hAnsi="Times New Roman" w:cs="Times New Roman"/>
                <w:sz w:val="26"/>
                <w:szCs w:val="26"/>
              </w:rPr>
              <w:t>sniegt reizi gadā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 xml:space="preserve"> līdz taksācijas gadam sekojošā gada 1.februārim</w:t>
            </w:r>
            <w:r w:rsidR="00537B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693B">
              <w:rPr>
                <w:rFonts w:ascii="Times New Roman" w:hAnsi="Times New Roman" w:cs="Times New Roman"/>
                <w:sz w:val="26"/>
                <w:szCs w:val="26"/>
              </w:rPr>
              <w:t xml:space="preserve"> Savukārt</w:t>
            </w:r>
            <w:r w:rsidR="00495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Ministru kabineta 2008.gada 25.augusta noteikumu Nr.677 “Noteikumi par iedzīvotāju ienākuma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nodokļa paziņojumiem”</w:t>
            </w:r>
            <w:r w:rsidR="00AD60E1">
              <w:rPr>
                <w:rFonts w:ascii="Times New Roman" w:hAnsi="Times New Roman" w:cs="Times New Roman"/>
                <w:sz w:val="26"/>
                <w:szCs w:val="26"/>
              </w:rPr>
              <w:t xml:space="preserve"> (turpmāk </w:t>
            </w:r>
            <w:r w:rsidR="00BC4A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D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0E1" w:rsidRPr="00CF74BA">
              <w:rPr>
                <w:rFonts w:ascii="Times New Roman" w:hAnsi="Times New Roman" w:cs="Times New Roman"/>
                <w:sz w:val="26"/>
                <w:szCs w:val="26"/>
              </w:rPr>
              <w:t>Ministru kabineta 2008.gada 25.augusta noteikum</w:t>
            </w:r>
            <w:r w:rsidR="00BC4AA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AD60E1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Nr.677</w:t>
            </w:r>
            <w:r w:rsidR="00BC4A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>1.pielikuma “Paziņojums par fiziskai personai izmaksātajām summām” un 2.pielikuma “Paziņojums par fiziskajām personām izmaksātajām summām (kopsavilkums)” tabulā “1.* Ienākuma veida kodi”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netiek atsevišķi izdalīts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darba algas ienākums</w:t>
            </w:r>
            <w:r w:rsidR="00B316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šādiem darba ņēmējiem, 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tāpēc 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 xml:space="preserve">šādi ienākumi šobrīd paziņojumā tiek norādīti kā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darba alga vispārīgā kārtībā</w:t>
            </w:r>
            <w:r w:rsidR="00866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120B" w:rsidRDefault="00022370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Saistībā ar vienotā konta ieviešanu likumā “Par iedzīvotāju ienākuma nodokli” tika veikti grozījumi. 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Atbilstoši likuma “Par iedzīvotāju ienākuma nodokli” </w:t>
            </w:r>
            <w:r w:rsidR="00CF74BA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17.panta 9.</w:t>
            </w:r>
            <w:r w:rsidR="00CF74BA" w:rsidRPr="00CF74B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="00CF74BA" w:rsidRPr="00CF74B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daļai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4BA" w:rsidRPr="00CF74B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(redakcijā, kas stāsies spēkā 2021.gada 1.janvarī)</w:t>
            </w:r>
            <w:r w:rsidR="00CF74BA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iekšzemes darba ņēmējs pie </w:t>
            </w:r>
            <w:r w:rsidR="00CF74BA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darba devēja – ārvalstu nodokļa maksātāja vai iekšzemes darba ņēmējs, kura darbu apmaksā no Latvijas Republikai piešķirtajiem ārvalstu finanšu vai tehniskās palīdzības vai starptautisko finanšu </w:t>
            </w:r>
            <w:r w:rsidR="00CF74BA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institūciju aizdevuma līdzekļiem, paziņojumu, kurā norādīt</w:t>
            </w:r>
            <w:bookmarkStart w:id="0" w:name="_GoBack"/>
            <w:bookmarkEnd w:id="0"/>
            <w:r w:rsidR="00CF74BA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s no kalendāra mēneša darba samaksas aprēķinātais nodoklis, iesniedz Valsts ieņēmumu dienestam reizi ceturksnī</w:t>
            </w:r>
            <w:r w:rsidR="00210CC9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</w:t>
            </w:r>
            <w:r w:rsidR="00210CC9" w:rsidRPr="00851151">
              <w:rPr>
                <w:rFonts w:ascii="Times New Roman" w:hAnsi="Times New Roman" w:cs="Times New Roman"/>
                <w:sz w:val="26"/>
                <w:szCs w:val="26"/>
              </w:rPr>
              <w:t>īdz ienākuma izmaksas ceturksnim sekojošā mēneša 17. datumam</w:t>
            </w:r>
            <w:r w:rsidR="00D94787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aprēķināto nodokli ieskaita </w:t>
            </w:r>
            <w:r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vienotajā nodokļu kontā</w:t>
            </w:r>
            <w:r w:rsidR="00D94787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līdz </w:t>
            </w:r>
            <w:r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ienākuma izmaksas </w:t>
            </w:r>
            <w:r w:rsidR="00D94787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ceturksnim sekojoš</w:t>
            </w:r>
            <w:r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ā</w:t>
            </w:r>
            <w:r w:rsidR="00D94787"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mēne</w:t>
            </w:r>
            <w:r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ša 23</w:t>
            </w:r>
            <w:r w:rsidRPr="00851151">
              <w:rPr>
                <w:rFonts w:ascii="Times New Roman" w:eastAsia="Times New Roman" w:hAnsi="Times New Roman" w:cs="Times New Roman"/>
                <w:sz w:val="26"/>
                <w:szCs w:val="26"/>
              </w:rPr>
              <w:t>.datumam</w:t>
            </w:r>
            <w:r w:rsidR="00D94787" w:rsidRPr="008511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F74BA" w:rsidRDefault="00851151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Ņemot vērā minēto un</w:t>
            </w:r>
            <w:r w:rsidR="00617C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lai nodrošinātu konkrētajiem nodokļu maksātājiem korektu iedzīvotāju ienākuma nodokļa administrēšanas procesu, </w:t>
            </w:r>
            <w:r w:rsidR="00AD60E1">
              <w:rPr>
                <w:rFonts w:ascii="Times New Roman" w:hAnsi="Times New Roman" w:cs="Times New Roman"/>
                <w:sz w:val="26"/>
                <w:szCs w:val="26"/>
              </w:rPr>
              <w:t xml:space="preserve">Ministru kabineta noteikumu projekts “Grozījumi Ministru kabineta 2008.gada 25.augusta noteikumos Nr.677 “Noteikumi par iedzīvotāju ienākuma nodokļa paziņojumiem”” (turpmāk – noteikumu projekts) </w:t>
            </w:r>
            <w:r w:rsidR="00617C9F">
              <w:rPr>
                <w:rFonts w:ascii="Times New Roman" w:hAnsi="Times New Roman" w:cs="Times New Roman"/>
                <w:sz w:val="26"/>
                <w:szCs w:val="26"/>
              </w:rPr>
              <w:t xml:space="preserve">paredz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papildināt Ministru kabineta 2008.gada 25.augusta noteikumu Nr.677 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>1.pielikuma “Paziņojums par fiziskai personai izmaksātajām summām” un 2.pielikuma “Paziņojums par fiziskajām personām izmaksātajām summām (kopsavilkums)” tabul</w:t>
            </w:r>
            <w:r w:rsidR="00617C9F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“1.* Ienākuma veida kodi” 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ar jaunu kodu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darba algai “2001”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 šo kodu tiks norādīts </w:t>
            </w:r>
            <w:r w:rsidR="002068B8" w:rsidRPr="002068B8">
              <w:rPr>
                <w:rFonts w:ascii="Times New Roman" w:hAnsi="Times New Roman" w:cs="Times New Roman"/>
                <w:sz w:val="26"/>
                <w:szCs w:val="26"/>
              </w:rPr>
              <w:t>ar nodokli apliekams ien</w:t>
            </w:r>
            <w:r w:rsidR="000C01C4">
              <w:rPr>
                <w:rFonts w:ascii="Times New Roman" w:hAnsi="Times New Roman" w:cs="Times New Roman"/>
                <w:sz w:val="26"/>
                <w:szCs w:val="26"/>
              </w:rPr>
              <w:t xml:space="preserve">ākums, </w:t>
            </w:r>
            <w:r w:rsidR="00B3164D">
              <w:rPr>
                <w:rFonts w:ascii="Times New Roman" w:hAnsi="Times New Roman" w:cs="Times New Roman"/>
                <w:sz w:val="26"/>
                <w:szCs w:val="26"/>
              </w:rPr>
              <w:t xml:space="preserve">kuru </w:t>
            </w:r>
            <w:r w:rsidR="00DF6A85">
              <w:rPr>
                <w:rFonts w:ascii="Times New Roman" w:hAnsi="Times New Roman" w:cs="Times New Roman"/>
                <w:sz w:val="26"/>
                <w:szCs w:val="26"/>
              </w:rPr>
              <w:t xml:space="preserve">guvis </w:t>
            </w:r>
            <w:r w:rsidR="00B3164D">
              <w:rPr>
                <w:rFonts w:ascii="Times New Roman" w:hAnsi="Times New Roman" w:cs="Times New Roman"/>
                <w:sz w:val="26"/>
                <w:szCs w:val="26"/>
              </w:rPr>
              <w:t>ienākuma saņēmējs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iekšzemes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darba ņēmējs pie darba devēja – ārvalstu nodokļa maksātāja vai iekšzemes darba ņēmējs, kura darbu apmaksā no Latvijas Republikai piešķirtajiem ārvalstu finanšu vai tehniskās palīdzības vai starptautisko finanšu </w:t>
            </w:r>
            <w:r w:rsidRPr="00022370">
              <w:rPr>
                <w:rFonts w:ascii="Times New Roman" w:eastAsia="Times New Roman" w:hAnsi="Times New Roman" w:cs="Times New Roman"/>
                <w:sz w:val="26"/>
                <w:szCs w:val="26"/>
              </w:rPr>
              <w:t>institūciju aizdevuma līdzekļiem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6BD6" w:rsidRPr="0059693B" w:rsidRDefault="00BA2833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Ņemot vērā</w:t>
            </w:r>
            <w:r w:rsidR="008F6242">
              <w:rPr>
                <w:rFonts w:ascii="Times New Roman" w:eastAsia="Times New Roman" w:hAnsi="Times New Roman" w:cs="Times New Roman"/>
                <w:sz w:val="26"/>
                <w:szCs w:val="26"/>
              </w:rPr>
              <w:t>, ka paziņojumu iesniedz ne tikai ienākumu izmaksātājs, bet arī ienākumu saņēmējs</w:t>
            </w:r>
            <w:r w:rsidR="00D812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fiziska</w:t>
            </w:r>
            <w:r w:rsidR="00D812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persona</w:t>
            </w:r>
            <w:r w:rsidR="008F62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kurš patstāvīgi veic algas nodokļa maksājumus, ja gūti ienākumi no </w:t>
            </w:r>
            <w:r w:rsidRPr="00BA2833">
              <w:rPr>
                <w:rFonts w:ascii="Times New Roman" w:eastAsia="Times New Roman" w:hAnsi="Times New Roman" w:cs="Times New Roman"/>
                <w:sz w:val="26"/>
                <w:szCs w:val="26"/>
              </w:rPr>
              <w:t>darba devēj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BA28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ārvalstu nodokļu maksātāj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vai </w:t>
            </w:r>
            <w:r w:rsidRPr="00BA2833">
              <w:rPr>
                <w:rFonts w:ascii="Times New Roman" w:eastAsia="Times New Roman" w:hAnsi="Times New Roman" w:cs="Times New Roman"/>
                <w:sz w:val="26"/>
                <w:szCs w:val="26"/>
              </w:rPr>
              <w:t>kura darbu apmaksā no Latvijas Republikai piešķirtajiem ārvalstu finanšu vai tehniskās palīdzības vai starptautisko finanšu institūciju aizdevuma līdzekļiem</w:t>
            </w:r>
            <w:r w:rsidR="008F62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DF6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tiek </w:t>
            </w:r>
            <w:r w:rsidR="008F6242">
              <w:rPr>
                <w:rFonts w:ascii="Times New Roman" w:eastAsia="Times New Roman" w:hAnsi="Times New Roman" w:cs="Times New Roman"/>
                <w:sz w:val="26"/>
                <w:szCs w:val="26"/>
              </w:rPr>
              <w:t>precizēt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DF6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arī</w:t>
            </w:r>
            <w:r w:rsidR="008F62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6242">
              <w:rPr>
                <w:rFonts w:ascii="Times New Roman" w:hAnsi="Times New Roman" w:cs="Times New Roman"/>
                <w:sz w:val="26"/>
                <w:szCs w:val="26"/>
              </w:rPr>
              <w:t>Ministru kabineta 2008.gada 25.augusta noteikumu Nr.677 5.punkt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8F6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74BA" w:rsidRPr="00CF74BA" w:rsidRDefault="00862C4A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Papildus</w:t>
            </w:r>
            <w:r w:rsidR="00851151">
              <w:rPr>
                <w:rFonts w:ascii="Times New Roman" w:hAnsi="Times New Roman" w:cs="Times New Roman"/>
                <w:sz w:val="26"/>
                <w:szCs w:val="26"/>
              </w:rPr>
              <w:t xml:space="preserve"> Ministru kabineta 2008.gada 25.augusta noteikumus Nr.677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nepieciešams tehniski precizēt, 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>ievie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šo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t atsevišķu ienākuma veidu kodu “Simtgades loterijas laimesti, ko izmaksā VAS </w:t>
            </w:r>
            <w:r w:rsidR="003D540C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Latvijas Loto” </w:t>
            </w:r>
            <w:r w:rsidR="00910111">
              <w:rPr>
                <w:rFonts w:ascii="Times New Roman" w:hAnsi="Times New Roman" w:cs="Times New Roman"/>
                <w:sz w:val="26"/>
                <w:szCs w:val="26"/>
              </w:rPr>
              <w:t xml:space="preserve">un </w:t>
            </w:r>
            <w:r w:rsidR="00910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kas 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saskaņā ar likuma “Par iedzīvotāju ienākuma nodokli” </w:t>
            </w:r>
            <w:r w:rsidR="00BC4AA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>ārejas noteikumu 136.punktu</w:t>
            </w:r>
            <w:r w:rsidR="00910111">
              <w:rPr>
                <w:rFonts w:ascii="Times New Roman" w:hAnsi="Times New Roman" w:cs="Times New Roman"/>
                <w:sz w:val="26"/>
                <w:szCs w:val="26"/>
              </w:rPr>
              <w:t xml:space="preserve"> nav apliekam</w:t>
            </w:r>
            <w:r w:rsidR="00766635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910111">
              <w:rPr>
                <w:rFonts w:ascii="Times New Roman" w:hAnsi="Times New Roman" w:cs="Times New Roman"/>
                <w:sz w:val="26"/>
                <w:szCs w:val="26"/>
              </w:rPr>
              <w:t xml:space="preserve"> ar iedzīvotāju ienākuma nodokli</w:t>
            </w:r>
            <w:r w:rsidR="00CF74BA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F74BA" w:rsidRDefault="00CF74BA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>Šobrīd ienākuma izmaksātājs šādu ienākumu paziņo kā izložu un azartspēļu laimestu, bet atšķirībā no izložu un azartspēļu laimestiem</w:t>
            </w:r>
            <w:r w:rsidR="00576B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Simtgades loterijas ienākumam</w:t>
            </w:r>
            <w:r w:rsidR="00576B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tāpat kā Čeku loterijas laimestiem</w:t>
            </w:r>
            <w:r w:rsidR="00576B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nav ierobežojum</w:t>
            </w:r>
            <w:r w:rsidR="002068B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neapliekamam ienākuma</w:t>
            </w:r>
            <w:r w:rsidR="00AA7F7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>. Tādējādi, t</w:t>
            </w:r>
            <w:r w:rsidR="00862C4A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812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C4A">
              <w:rPr>
                <w:rFonts w:ascii="Times New Roman" w:hAnsi="Times New Roman" w:cs="Times New Roman"/>
                <w:sz w:val="26"/>
                <w:szCs w:val="26"/>
              </w:rPr>
              <w:t>nepieciešams paziņojum</w:t>
            </w:r>
            <w:r w:rsidR="00AA7F79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862C4A">
              <w:rPr>
                <w:rFonts w:ascii="Times New Roman" w:hAnsi="Times New Roman" w:cs="Times New Roman"/>
                <w:sz w:val="26"/>
                <w:szCs w:val="26"/>
              </w:rPr>
              <w:t xml:space="preserve"> atspoguļot atsevišķi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6BD6" w:rsidRPr="00CF74BA" w:rsidRDefault="00B16BD6" w:rsidP="00596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Līdz ar to vairs nav nepieciešams pie ienākuma veida “</w:t>
            </w:r>
            <w:r w:rsidRPr="00B16BD6">
              <w:rPr>
                <w:rFonts w:ascii="Times New Roman" w:hAnsi="Times New Roman" w:cs="Times New Roman"/>
                <w:sz w:val="26"/>
                <w:szCs w:val="26"/>
              </w:rPr>
              <w:t>Izložu vai azartspē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ļu laimesti, kas pārsniedz 3000 </w:t>
            </w:r>
            <w:proofErr w:type="spellStart"/>
            <w:r w:rsidRPr="00C9389C">
              <w:rPr>
                <w:rFonts w:ascii="Times New Roman" w:hAnsi="Times New Roman" w:cs="Times New Roman"/>
                <w:i/>
                <w:sz w:val="26"/>
                <w:szCs w:val="26"/>
              </w:rPr>
              <w:t>euro</w:t>
            </w:r>
            <w:proofErr w:type="spellEnd"/>
            <w:r w:rsidRPr="00B16BD6">
              <w:rPr>
                <w:rFonts w:ascii="Times New Roman" w:hAnsi="Times New Roman" w:cs="Times New Roman"/>
                <w:sz w:val="26"/>
                <w:szCs w:val="26"/>
              </w:rPr>
              <w:t>, izņemot preču un pakalpojumu loteriju laimesti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lietot atsevišķu pilnībā neapliekamo ienākuma veida kodu, jo vienīgie šāda veida ienākumi</w:t>
            </w:r>
            <w:r w:rsidR="00D8125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Čeku</w:t>
            </w:r>
            <w:r w:rsidR="00D812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loterijas ienākums un Simtgades loterijas ienākums </w:t>
            </w:r>
            <w:r w:rsidR="00D8125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ir izteikt</w:t>
            </w:r>
            <w:r w:rsidR="00D8125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ar atsevišķiem ienākuma veidu kodiem.</w:t>
            </w:r>
          </w:p>
        </w:tc>
      </w:tr>
      <w:tr w:rsidR="00CF74BA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ieņēmumu dienests.</w:t>
            </w:r>
          </w:p>
        </w:tc>
      </w:tr>
      <w:tr w:rsidR="00CF74BA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1491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:rsidR="00543AA6" w:rsidRPr="00D737FA" w:rsidRDefault="00543AA6" w:rsidP="005969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5603"/>
      </w:tblGrid>
      <w:tr w:rsidR="0000597D" w:rsidRPr="00D737FA" w:rsidTr="00081A5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00597D" w:rsidRPr="00D737FA" w:rsidTr="001E448F">
        <w:trPr>
          <w:trHeight w:val="3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45DBD" w:rsidRDefault="000E76F3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Sabiedrības </w:t>
            </w:r>
            <w:proofErr w:type="spellStart"/>
            <w:r w:rsidR="00543AA6"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mērķgrupas</w:t>
            </w:r>
            <w:proofErr w:type="spellEnd"/>
            <w:r w:rsidR="00543AA6"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kuras tiesiskais regulējums ietekmē vai varētu ietekmēt</w:t>
            </w:r>
          </w:p>
          <w:p w:rsidR="00045DBD" w:rsidRPr="00045DBD" w:rsidRDefault="00045DBD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543AA6" w:rsidRPr="00045DBD" w:rsidRDefault="00543AA6" w:rsidP="0059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01C4" w:rsidRDefault="00D36013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ekšzemes darba ņēmēj</w:t>
            </w:r>
            <w:r w:rsidR="000C01C4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pie darba devēja – ārvalstu nodokļa maksātāja vai iekšzemes darba ņēmēj</w:t>
            </w:r>
            <w:r w:rsidR="000C01C4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, kur</w:t>
            </w:r>
            <w:r w:rsidR="000C01C4"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darbu apmaksā no Latvijas Republikai piešķirtajiem ārvalstu finanšu vai tehniskās palīdzības vai starptautisko finanšu institūciju aizdevuma līdzekļiem</w:t>
            </w:r>
            <w:r w:rsidR="000C0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B2A20" w:rsidRPr="00D737FA" w:rsidRDefault="00FB2A20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Simtgades loterijas ienākuma izmaksātājs</w:t>
            </w:r>
            <w:r w:rsidR="00862C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VAS </w:t>
            </w:r>
            <w:r w:rsidR="00BA17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Latvijas Loto</w:t>
            </w:r>
            <w:r w:rsidR="00BA1722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B2A20" w:rsidRDefault="001128A6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Likuma “Par iedzīvotāju ienākuma nodokli” 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17.panta 9.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daļa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4B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(redakcijā, kas stāsies spēkā 2021.gada 1.janvarī)</w:t>
            </w:r>
            <w:r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57C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paredz </w:t>
            </w:r>
            <w:r w:rsidR="00FB2A20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>iekšzemes darba ņēmēj</w:t>
            </w:r>
            <w:r w:rsidR="00645DC7">
              <w:rPr>
                <w:rFonts w:ascii="Times New Roman" w:eastAsia="Times New Roman" w:hAnsi="Times New Roman" w:cs="Times New Roman"/>
                <w:sz w:val="26"/>
                <w:szCs w:val="26"/>
              </w:rPr>
              <w:t>iem</w:t>
            </w:r>
            <w:r w:rsidR="00FB2A20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pie darba devēja – ārvalstu nodokļa mak</w:t>
            </w:r>
            <w:r w:rsidR="00645DC7">
              <w:rPr>
                <w:rFonts w:ascii="Times New Roman" w:eastAsia="Times New Roman" w:hAnsi="Times New Roman" w:cs="Times New Roman"/>
                <w:sz w:val="26"/>
                <w:szCs w:val="26"/>
              </w:rPr>
              <w:t>sātāja vai iekšzemes darba ņēmējiem, kuru</w:t>
            </w:r>
            <w:r w:rsidR="00FB2A20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darbu apmaksā no Latvijas Republikai piešķirtajiem ārvalstu finanšu vai tehniskās palīdzības vai starptautisko finanšu institūciju aizdevuma līdzekļiem</w:t>
            </w:r>
            <w:r w:rsidR="00645DC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E953B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paziņojum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</w:t>
            </w:r>
            <w:r w:rsidR="00E953B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sniegt reizi ceturksnī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Noteikumu projekts paredz šādā gadījumā 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norād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ī</w:t>
            </w:r>
            <w:r w:rsidR="00FB2A2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 citu (jaunu) ienākuma veida kodu</w:t>
            </w:r>
            <w:r w:rsidR="00F57E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. </w:t>
            </w:r>
            <w:r w:rsidR="00ED62B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Salīdzinājumā ar esošo situāciju, kad minētais nodokļu maksātājs paziņojumu iesniedz reizi gadā, ar </w:t>
            </w:r>
            <w:r w:rsidR="00F52D4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likuma “Par iedzīvotāju ienākuma nodokli” </w:t>
            </w:r>
            <w:r w:rsidR="00F52D4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17.panta </w:t>
            </w:r>
            <w:r w:rsidR="00F52D4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  <w:r w:rsidR="00F52D4F" w:rsidRPr="00CF74B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="00F52D4F" w:rsidRPr="00CF74B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daļa</w:t>
            </w:r>
            <w:r w:rsidR="00F52D4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="00F52D4F" w:rsidRPr="00CF74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D62B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stāšanos spēkā</w:t>
            </w:r>
            <w:r w:rsidR="0083764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</w:t>
            </w:r>
            <w:r w:rsidR="00ED62B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pienākums iesniegt paziņojumu būs reizi ceturksnī, tomēr jāņem vērā, ka šāds pienākums tiek noteikts, lai nodrošinātu vienotā konta ieviešanu, kas kopumā ievērojami atvieglos nodokļu maksātājiem nodokļu samaksas procesu.</w:t>
            </w:r>
          </w:p>
          <w:p w:rsidR="00470635" w:rsidRPr="00D737FA" w:rsidRDefault="00FB2A20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Simtgades loterijas ienākum izmaksātājam paziņojumā turpmāk būs jānorāda cits (jauns) ienākuma veida kods.</w:t>
            </w:r>
            <w:r w:rsidR="005A434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F57E6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Minētais </w:t>
            </w:r>
            <w:r w:rsidR="006F5B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nemaina administratīvo slogu ienākumu izmaksātājiem.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D37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861CE4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Projekts šo jomu neskar.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86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:rsidR="00543AA6" w:rsidRPr="006C1585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158" w:type="pct"/>
        <w:tblInd w:w="-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991"/>
        <w:gridCol w:w="1276"/>
        <w:gridCol w:w="995"/>
        <w:gridCol w:w="1276"/>
        <w:gridCol w:w="993"/>
        <w:gridCol w:w="1276"/>
        <w:gridCol w:w="1272"/>
      </w:tblGrid>
      <w:tr w:rsidR="00764B92" w:rsidRPr="006C1585" w:rsidTr="00764B92">
        <w:trPr>
          <w:trHeight w:val="7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2" w:rsidRPr="006C1585" w:rsidRDefault="00764B92" w:rsidP="0065797E">
            <w:pPr>
              <w:pStyle w:val="naislab"/>
              <w:spacing w:before="0" w:after="0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1585">
              <w:rPr>
                <w:b/>
                <w:bCs/>
                <w:color w:val="000000" w:themeColor="text1"/>
                <w:sz w:val="26"/>
                <w:szCs w:val="26"/>
              </w:rPr>
              <w:t>III. Tiesību akta projekta ietekme uz valsts budžetu un pašvaldību budžetiem</w:t>
            </w:r>
          </w:p>
        </w:tc>
      </w:tr>
      <w:tr w:rsidR="00764B92" w:rsidRPr="006C1585" w:rsidTr="00764B92">
        <w:tc>
          <w:tcPr>
            <w:tcW w:w="809" w:type="pct"/>
            <w:vMerge w:val="restar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Rādītāji</w:t>
            </w:r>
          </w:p>
        </w:tc>
        <w:tc>
          <w:tcPr>
            <w:tcW w:w="1175" w:type="pct"/>
            <w:gridSpan w:val="2"/>
            <w:vMerge w:val="restar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2019</w:t>
            </w:r>
          </w:p>
        </w:tc>
        <w:tc>
          <w:tcPr>
            <w:tcW w:w="3015" w:type="pct"/>
            <w:gridSpan w:val="5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Turpmākie trīs gadi (</w:t>
            </w:r>
            <w:proofErr w:type="spellStart"/>
            <w:r w:rsidRPr="006C15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  <w:t>euro</w:t>
            </w:r>
            <w:proofErr w:type="spellEnd"/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)</w:t>
            </w:r>
          </w:p>
        </w:tc>
      </w:tr>
      <w:tr w:rsidR="00764B92" w:rsidRPr="006C1585" w:rsidTr="00764B92">
        <w:tc>
          <w:tcPr>
            <w:tcW w:w="809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1175" w:type="pct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117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2020</w:t>
            </w:r>
          </w:p>
        </w:tc>
        <w:tc>
          <w:tcPr>
            <w:tcW w:w="1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2021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2022</w:t>
            </w:r>
          </w:p>
        </w:tc>
      </w:tr>
      <w:tr w:rsidR="00764B92" w:rsidRPr="006C1585" w:rsidTr="00764B92">
        <w:tc>
          <w:tcPr>
            <w:tcW w:w="809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saskaņā ar valsts budžetu kārtējam gadam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saskaņā ar vidēja termiņa budžeta ietvaru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764B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izmaiņas, salīdzinot ar vidēja termiņa budžeta ietvaru n+1 gadam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saskaņā ar vidēja termiņa budžeta ietvaru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izmaiņas, salīdzinot ar vidēja termiņa budžeta ietvaru n+2 gadam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Izmaiņas, salīdzinot ar vidēja termiņa budžeta ietvaru n+2 gadam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8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1. Budžeta ieņēmumi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1.1. valsts pamatbudžets, tai skaitā ieņēmumi no maksas pakalpojumiem un citi pašu ieņēmumi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1.2. valsts speciālais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lastRenderedPageBreak/>
              <w:t>1.3. pašvaldību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2. Budžeta izdevumi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101 501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2.1. valsts pamatbudžets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101 501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2.2. valsts speciālais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2.3. pašvaldību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3. Finansiālā ietekme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-101 501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3.1. valsts pamatbudžets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-101 501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3.2. speciālais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3.3. pašvaldību budžets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101 501</w:t>
            </w:r>
          </w:p>
        </w:tc>
        <w:tc>
          <w:tcPr>
            <w:tcW w:w="5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5. Precizēta finansiālā ietekme</w:t>
            </w:r>
          </w:p>
        </w:tc>
        <w:tc>
          <w:tcPr>
            <w:tcW w:w="51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X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X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X</w:t>
            </w: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5.1. valsts pamatbudžets</w:t>
            </w:r>
          </w:p>
        </w:tc>
        <w:tc>
          <w:tcPr>
            <w:tcW w:w="51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5.2. speciālais budžets</w:t>
            </w:r>
          </w:p>
        </w:tc>
        <w:tc>
          <w:tcPr>
            <w:tcW w:w="51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5.3. pašvaldību budžets</w:t>
            </w:r>
          </w:p>
        </w:tc>
        <w:tc>
          <w:tcPr>
            <w:tcW w:w="51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6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15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  <w:tc>
          <w:tcPr>
            <w:tcW w:w="6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0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lastRenderedPageBreak/>
              <w:t>6. Detalizēts ieņēmumu un izdevumu aprēķins (ja nepieciešams, detalizētu ieņēmumu un izdevumu aprēķinu var pievienot anotācijas pielikumā)</w:t>
            </w:r>
          </w:p>
        </w:tc>
        <w:tc>
          <w:tcPr>
            <w:tcW w:w="4191" w:type="pct"/>
            <w:gridSpan w:val="7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Nepieciešamo izmaiņu veikšanai Valsts ieņēmumu dienesta </w:t>
            </w:r>
            <w:r w:rsidRPr="006C1585">
              <w:rPr>
                <w:rFonts w:ascii="Times New Roman" w:hAnsi="Times New Roman" w:cs="Calibri"/>
                <w:sz w:val="26"/>
                <w:szCs w:val="26"/>
                <w:lang w:eastAsia="lv-LV"/>
              </w:rPr>
              <w:t xml:space="preserve">informācijas sistēmās </w:t>
            </w:r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2020.gadā no Finanšu ministrijas budžeta programmas 33.00.00 “Valsts ieņēmumu un muitas politikas nodrošināšana” ir nepieciešams finansējums </w:t>
            </w:r>
            <w:r w:rsidRPr="006C158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lv-LV"/>
              </w:rPr>
              <w:t xml:space="preserve">101 501 </w:t>
            </w:r>
            <w:proofErr w:type="spellStart"/>
            <w:r w:rsidRPr="006C15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lv-LV"/>
              </w:rPr>
              <w:t>euro</w:t>
            </w:r>
            <w:proofErr w:type="spellEnd"/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apmērā, t.sk.:</w:t>
            </w:r>
          </w:p>
          <w:p w:rsidR="00764B92" w:rsidRPr="006C1585" w:rsidRDefault="00764B92" w:rsidP="00764B92">
            <w:pPr>
              <w:widowControl w:val="0"/>
              <w:numPr>
                <w:ilvl w:val="0"/>
                <w:numId w:val="3"/>
              </w:numPr>
              <w:tabs>
                <w:tab w:val="left" w:pos="2127"/>
                <w:tab w:val="left" w:pos="6096"/>
              </w:tabs>
              <w:spacing w:after="0" w:line="240" w:lineRule="auto"/>
              <w:ind w:left="76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Maksājumu administrēšanas informācijas sistēmā (MAIS) – 72 056 EUR;</w:t>
            </w:r>
          </w:p>
          <w:p w:rsidR="00764B92" w:rsidRPr="006C1585" w:rsidRDefault="00764B92" w:rsidP="00764B92">
            <w:pPr>
              <w:widowControl w:val="0"/>
              <w:numPr>
                <w:ilvl w:val="0"/>
                <w:numId w:val="3"/>
              </w:numPr>
              <w:tabs>
                <w:tab w:val="left" w:pos="2127"/>
                <w:tab w:val="left" w:pos="60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Elektroniskās deklarēšanas sistēmā (EDS) – 29 445 EUR.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6.1. detalizēts ieņēmumu aprēķins</w:t>
            </w:r>
          </w:p>
        </w:tc>
        <w:tc>
          <w:tcPr>
            <w:tcW w:w="4191" w:type="pct"/>
            <w:gridSpan w:val="7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6.2. detalizēts izdevumu aprēķins</w:t>
            </w:r>
          </w:p>
        </w:tc>
        <w:tc>
          <w:tcPr>
            <w:tcW w:w="4191" w:type="pct"/>
            <w:gridSpan w:val="7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7. Amata vietu skaita izmaiņas</w:t>
            </w:r>
          </w:p>
        </w:tc>
        <w:tc>
          <w:tcPr>
            <w:tcW w:w="4191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Nav attiecināms</w:t>
            </w:r>
            <w:r w:rsidR="00C904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.</w:t>
            </w:r>
          </w:p>
        </w:tc>
      </w:tr>
      <w:tr w:rsidR="00764B92" w:rsidRPr="006C1585" w:rsidTr="00764B92">
        <w:tc>
          <w:tcPr>
            <w:tcW w:w="8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8. Cita informācija</w:t>
            </w:r>
          </w:p>
        </w:tc>
        <w:tc>
          <w:tcPr>
            <w:tcW w:w="4191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4B92" w:rsidRPr="006C1585" w:rsidRDefault="00764B92" w:rsidP="0065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2020.gadā nepieciešamo izmaiņu veikšanai Valsts ieņēmumu dienesta informācijas sistēmās nepieciešamais finansējums </w:t>
            </w:r>
            <w:r w:rsidRPr="006C15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lv-LV"/>
              </w:rPr>
              <w:t>101 501</w:t>
            </w:r>
            <w:r w:rsidRPr="006C158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lv-LV"/>
              </w:rPr>
              <w:t> </w:t>
            </w:r>
            <w:proofErr w:type="spellStart"/>
            <w:r w:rsidRPr="006C15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lv-LV"/>
              </w:rPr>
              <w:t>euro</w:t>
            </w:r>
            <w:proofErr w:type="spellEnd"/>
            <w:r w:rsidRP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apmērā tiks nodrošināts Finanšu ministrijas budžeta programmas 33.00.00 “Valsts ieņēmumu un muitas politikas nodrošināšana” piešķirtā finansējuma ietvaros.</w:t>
            </w:r>
          </w:p>
        </w:tc>
      </w:tr>
    </w:tbl>
    <w:p w:rsidR="00543AA6" w:rsidRPr="00D737FA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8"/>
      </w:tblGrid>
      <w:tr w:rsidR="0000597D" w:rsidRPr="00D737FA" w:rsidTr="00081A5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IV. Tiesību akta projekta ietekme uz spēkā esošo tiesību normu sistēmu</w:t>
            </w:r>
          </w:p>
        </w:tc>
      </w:tr>
      <w:tr w:rsidR="0009384C" w:rsidRPr="00D737FA" w:rsidTr="00081A5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9384C" w:rsidRPr="00D737FA" w:rsidRDefault="0009384C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Projekts šo jomu neskar.</w:t>
            </w:r>
          </w:p>
        </w:tc>
      </w:tr>
    </w:tbl>
    <w:p w:rsidR="0009384C" w:rsidRPr="00D737FA" w:rsidRDefault="0009384C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8"/>
      </w:tblGrid>
      <w:tr w:rsidR="0000597D" w:rsidRPr="00D737FA" w:rsidTr="00081A5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V. Tiesību akta projekta atbilstība Latvijas Republikas starptautiskajām saistībām</w:t>
            </w:r>
          </w:p>
        </w:tc>
      </w:tr>
      <w:tr w:rsidR="0009384C" w:rsidRPr="00D737FA" w:rsidTr="00081A5D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9384C" w:rsidRPr="00D737FA" w:rsidRDefault="0009384C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Projekts šo jomu neskar.</w:t>
            </w:r>
          </w:p>
        </w:tc>
      </w:tr>
    </w:tbl>
    <w:p w:rsidR="00543AA6" w:rsidRPr="00D737FA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5944"/>
      </w:tblGrid>
      <w:tr w:rsidR="0000597D" w:rsidRPr="00D737FA" w:rsidTr="001E69CB">
        <w:tc>
          <w:tcPr>
            <w:tcW w:w="9338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VI. Sabiedrības līdzdalība un komunikācijas aktivitātes</w:t>
            </w:r>
          </w:p>
        </w:tc>
      </w:tr>
      <w:tr w:rsidR="0000597D" w:rsidRPr="00D737FA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1E69CB">
            <w:pPr>
              <w:spacing w:before="100" w:beforeAutospacing="1" w:after="100" w:afterAutospacing="1" w:line="360" w:lineRule="auto"/>
              <w:ind w:firstLine="9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862AE" w:rsidRPr="00B06C9D" w:rsidRDefault="00E31FFD" w:rsidP="003E2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C9D">
              <w:rPr>
                <w:rFonts w:ascii="Times New Roman" w:hAnsi="Times New Roman" w:cs="Times New Roman"/>
                <w:iCs/>
                <w:sz w:val="26"/>
                <w:szCs w:val="26"/>
              </w:rPr>
              <w:t>Informācija par noteikumu projekta izstrādi 201</w:t>
            </w:r>
            <w:r w:rsidR="00E953BE" w:rsidRPr="00B06C9D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Pr="00B06C9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.gada </w:t>
            </w:r>
            <w:r w:rsidR="00641B06">
              <w:rPr>
                <w:rFonts w:ascii="Times New Roman" w:hAnsi="Times New Roman" w:cs="Times New Roman"/>
                <w:iCs/>
                <w:sz w:val="26"/>
                <w:szCs w:val="26"/>
              </w:rPr>
              <w:t>2.septembrī</w:t>
            </w:r>
            <w:r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publicēta Finanšu ministrijas </w:t>
            </w:r>
            <w:r w:rsidR="001317AD"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>tīmekļvietnē</w:t>
            </w:r>
            <w:r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http://ww</w:t>
            </w:r>
            <w:r w:rsidR="003E28A2"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>w.fm.gov.lv sadaļā “Sabiedrības </w:t>
            </w:r>
            <w:r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>līdzdalība”</w:t>
            </w:r>
            <w:r w:rsidR="001317AD"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“Tiesību aktu projekti” – “Nodokļu politika”</w:t>
            </w:r>
            <w:r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3E28A2"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0862AE" w:rsidRPr="00FE299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Pr="00FE2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89C" w:rsidRPr="00C9389C">
              <w:rPr>
                <w:rFonts w:ascii="Times New Roman" w:hAnsi="Times New Roman" w:cs="Times New Roman"/>
              </w:rPr>
              <w:t>https://fm.gov.lv/lv/sabiedribas_lidzdaliba/tiesibu_aktu_projekti/nodoklu_politika#project591</w:t>
            </w:r>
            <w:r w:rsidR="00C904CE">
              <w:rPr>
                <w:rFonts w:ascii="Times New Roman" w:hAnsi="Times New Roman" w:cs="Times New Roman"/>
              </w:rPr>
              <w:t>.</w:t>
            </w:r>
          </w:p>
          <w:p w:rsidR="00D71E67" w:rsidRPr="00B06C9D" w:rsidRDefault="00D71E67" w:rsidP="002A08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00597D" w:rsidRPr="00D737FA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Sabiedrības līdzdalība projekta izstrādē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862AE" w:rsidRPr="00B06C9D" w:rsidRDefault="0008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06C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Sabiedrības pārstāvji var līdzdarboties, </w:t>
            </w:r>
            <w:proofErr w:type="spellStart"/>
            <w:r w:rsidRPr="00B06C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rakstveidā</w:t>
            </w:r>
            <w:proofErr w:type="spellEnd"/>
            <w:r w:rsidRPr="00B06C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sniedzot viedokļus par noteikumu projektu pēc tā publicēšanas Finanšu ministrijas tīmekļa vietnē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  <w:r w:rsidRPr="00B06C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:rsidR="00543AA6" w:rsidRPr="00B06C9D" w:rsidRDefault="000862AE" w:rsidP="0075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06C9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Sabiedrība viedokli par noteikumu projektu var izteikt līdz </w:t>
            </w:r>
            <w:r w:rsidR="006C158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16</w:t>
            </w:r>
            <w:r w:rsidR="007512D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.septembrim</w:t>
            </w:r>
          </w:p>
        </w:tc>
      </w:tr>
      <w:tr w:rsidR="0000597D" w:rsidRPr="00D737FA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Sabiedrības līdzdalības rezultāti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0862AE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Iebildumi u</w:t>
            </w:r>
            <w:r w:rsidR="00C7678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priekšlikumi par projektu nav saņemti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  <w:tr w:rsidR="0000597D" w:rsidRPr="00D737FA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09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:rsidR="00543AA6" w:rsidRPr="00D737FA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5603"/>
      </w:tblGrid>
      <w:tr w:rsidR="0000597D" w:rsidRPr="00D737FA" w:rsidTr="00081A5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VII. Tiesību akta projekta izpildes nodrošināšana un tās ietekme uz institūcijām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izpildē iesaistītās institūcijas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09384C" w:rsidP="000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ieņēmumu dienests.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izpildes ietekme uz pārvaldes funkcijām un institucionālo struktūru.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09384C" w:rsidP="007D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Noteikumu projekta izpilde nepaplašina un nesašaurina Valsts ieņēmumu dienesta līdzšinējās funkcijas un uzdevumus, </w:t>
            </w:r>
            <w:r w:rsidR="00F94947"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kā arī 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neietekmē pieejamos cilvēkresursus. Noteikumu projekts nenosaka jaunas institūcijas veidošanu vai institūciju reorganizāciju un likvidāciju.</w:t>
            </w:r>
          </w:p>
        </w:tc>
      </w:tr>
      <w:tr w:rsidR="0000597D" w:rsidRPr="00D737FA" w:rsidTr="00081A5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543AA6" w:rsidP="000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43AA6" w:rsidRPr="00D737FA" w:rsidRDefault="0009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</w:p>
        </w:tc>
      </w:tr>
    </w:tbl>
    <w:p w:rsidR="00543AA6" w:rsidRPr="00D737FA" w:rsidRDefault="00543AA6">
      <w:pPr>
        <w:rPr>
          <w:rFonts w:ascii="Times New Roman" w:hAnsi="Times New Roman" w:cs="Times New Roman"/>
          <w:sz w:val="26"/>
          <w:szCs w:val="26"/>
        </w:rPr>
      </w:pPr>
    </w:p>
    <w:p w:rsidR="0009384C" w:rsidRPr="00D737FA" w:rsidRDefault="0009384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384C" w:rsidRPr="00D737FA" w:rsidRDefault="00A9491D" w:rsidP="0000597D">
      <w:pPr>
        <w:tabs>
          <w:tab w:val="right" w:pos="90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37FA">
        <w:rPr>
          <w:rFonts w:ascii="Times New Roman" w:hAnsi="Times New Roman" w:cs="Times New Roman"/>
          <w:sz w:val="26"/>
          <w:szCs w:val="26"/>
        </w:rPr>
        <w:t>Finanšu ministrs</w:t>
      </w:r>
      <w:r w:rsidR="0009384C" w:rsidRPr="00D737F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737FA">
        <w:rPr>
          <w:rFonts w:ascii="Times New Roman" w:hAnsi="Times New Roman" w:cs="Times New Roman"/>
          <w:sz w:val="26"/>
          <w:szCs w:val="26"/>
        </w:rPr>
        <w:t>J.Reirs</w:t>
      </w:r>
      <w:proofErr w:type="spellEnd"/>
    </w:p>
    <w:p w:rsidR="0009384C" w:rsidRPr="00D737FA" w:rsidRDefault="0009384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384C" w:rsidRPr="00D737FA" w:rsidRDefault="0009384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73BC" w:rsidRPr="00D737FA" w:rsidRDefault="00B373B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73BC" w:rsidRPr="00D737FA" w:rsidRDefault="00B373B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73BC" w:rsidRPr="00D737FA" w:rsidRDefault="00B373BC" w:rsidP="000059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491D" w:rsidRPr="00D737FA" w:rsidRDefault="00A9491D" w:rsidP="00A949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37FA">
        <w:rPr>
          <w:rFonts w:ascii="Times New Roman" w:hAnsi="Times New Roman" w:cs="Times New Roman"/>
          <w:sz w:val="20"/>
          <w:szCs w:val="20"/>
        </w:rPr>
        <w:t>Tarvida 67122286</w:t>
      </w:r>
    </w:p>
    <w:p w:rsidR="0009384C" w:rsidRPr="00D737FA" w:rsidRDefault="00A9491D" w:rsidP="00A949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7FA">
        <w:rPr>
          <w:rFonts w:ascii="Times New Roman" w:hAnsi="Times New Roman" w:cs="Times New Roman"/>
          <w:sz w:val="20"/>
          <w:szCs w:val="20"/>
        </w:rPr>
        <w:t>Digna.Tarvida@vid.gov.lv</w:t>
      </w:r>
    </w:p>
    <w:sectPr w:rsidR="0009384C" w:rsidRPr="00D737FA" w:rsidSect="00F165A0">
      <w:headerReference w:type="default" r:id="rId11"/>
      <w:footerReference w:type="defaul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1E" w:rsidRDefault="004C491E" w:rsidP="004B2793">
      <w:pPr>
        <w:spacing w:after="0" w:line="240" w:lineRule="auto"/>
      </w:pPr>
      <w:r>
        <w:separator/>
      </w:r>
    </w:p>
  </w:endnote>
  <w:endnote w:type="continuationSeparator" w:id="0">
    <w:p w:rsidR="004C491E" w:rsidRDefault="004C491E" w:rsidP="004B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BC" w:rsidRPr="00125439" w:rsidRDefault="00B373BC">
    <w:pPr>
      <w:pStyle w:val="Footer"/>
      <w:jc w:val="right"/>
      <w:rPr>
        <w:rFonts w:ascii="Times New Roman" w:hAnsi="Times New Roman" w:cs="Times New Roman"/>
      </w:rPr>
    </w:pPr>
  </w:p>
  <w:p w:rsidR="004B2793" w:rsidRPr="00F165A0" w:rsidRDefault="00F17759" w:rsidP="00F1775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FMAnot_180919_MK 677_groz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EA" w:rsidRPr="00B17C19" w:rsidRDefault="00B17C19" w:rsidP="00B17C19">
    <w:pPr>
      <w:pStyle w:val="Foo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FMAnot_</w:t>
    </w:r>
    <w:r w:rsidR="00F358B9">
      <w:rPr>
        <w:rFonts w:ascii="Times New Roman" w:hAnsi="Times New Roman" w:cs="Times New Roman"/>
        <w:noProof/>
        <w:sz w:val="20"/>
        <w:szCs w:val="20"/>
      </w:rPr>
      <w:t>1809</w:t>
    </w:r>
    <w:r>
      <w:rPr>
        <w:rFonts w:ascii="Times New Roman" w:hAnsi="Times New Roman" w:cs="Times New Roman"/>
        <w:noProof/>
        <w:sz w:val="20"/>
        <w:szCs w:val="20"/>
      </w:rPr>
      <w:t>19_MK 677_groz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1E" w:rsidRDefault="004C491E" w:rsidP="004B2793">
      <w:pPr>
        <w:spacing w:after="0" w:line="240" w:lineRule="auto"/>
      </w:pPr>
      <w:r>
        <w:separator/>
      </w:r>
    </w:p>
  </w:footnote>
  <w:footnote w:type="continuationSeparator" w:id="0">
    <w:p w:rsidR="004C491E" w:rsidRDefault="004C491E" w:rsidP="004B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076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37EA" w:rsidRPr="00F165A0" w:rsidRDefault="002837E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5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8B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165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54DED" w:rsidRDefault="00254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874"/>
    <w:multiLevelType w:val="hybridMultilevel"/>
    <w:tmpl w:val="583A3012"/>
    <w:lvl w:ilvl="0" w:tplc="CC766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3D2"/>
    <w:multiLevelType w:val="hybridMultilevel"/>
    <w:tmpl w:val="6B0AEF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3453"/>
    <w:multiLevelType w:val="hybridMultilevel"/>
    <w:tmpl w:val="2AA2F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A6"/>
    <w:rsid w:val="0000597D"/>
    <w:rsid w:val="000155C7"/>
    <w:rsid w:val="0001790F"/>
    <w:rsid w:val="00022370"/>
    <w:rsid w:val="0002749E"/>
    <w:rsid w:val="00035C8E"/>
    <w:rsid w:val="00045DBD"/>
    <w:rsid w:val="0005206D"/>
    <w:rsid w:val="00057194"/>
    <w:rsid w:val="0008103F"/>
    <w:rsid w:val="000862AE"/>
    <w:rsid w:val="0009384C"/>
    <w:rsid w:val="000C01C4"/>
    <w:rsid w:val="000C62AC"/>
    <w:rsid w:val="000D54DF"/>
    <w:rsid w:val="000E6905"/>
    <w:rsid w:val="000E76F3"/>
    <w:rsid w:val="000E7888"/>
    <w:rsid w:val="000F5190"/>
    <w:rsid w:val="001128A6"/>
    <w:rsid w:val="00123413"/>
    <w:rsid w:val="00125439"/>
    <w:rsid w:val="001317AD"/>
    <w:rsid w:val="00155B10"/>
    <w:rsid w:val="001649DF"/>
    <w:rsid w:val="001751F9"/>
    <w:rsid w:val="001771BB"/>
    <w:rsid w:val="0018434F"/>
    <w:rsid w:val="00191103"/>
    <w:rsid w:val="001B1A89"/>
    <w:rsid w:val="001C26D2"/>
    <w:rsid w:val="001E37DD"/>
    <w:rsid w:val="001E448F"/>
    <w:rsid w:val="001E69CB"/>
    <w:rsid w:val="001F62D4"/>
    <w:rsid w:val="00201B63"/>
    <w:rsid w:val="002068B8"/>
    <w:rsid w:val="00210CC9"/>
    <w:rsid w:val="002161F4"/>
    <w:rsid w:val="00223CD8"/>
    <w:rsid w:val="002243AD"/>
    <w:rsid w:val="00224D32"/>
    <w:rsid w:val="00246B8B"/>
    <w:rsid w:val="00254DED"/>
    <w:rsid w:val="00272C53"/>
    <w:rsid w:val="0027568D"/>
    <w:rsid w:val="002837EA"/>
    <w:rsid w:val="00295EA8"/>
    <w:rsid w:val="002A0875"/>
    <w:rsid w:val="002A562C"/>
    <w:rsid w:val="002B113A"/>
    <w:rsid w:val="002B43D5"/>
    <w:rsid w:val="002C4F9A"/>
    <w:rsid w:val="002C5AFB"/>
    <w:rsid w:val="002F49AB"/>
    <w:rsid w:val="002F63C5"/>
    <w:rsid w:val="00317255"/>
    <w:rsid w:val="00324A87"/>
    <w:rsid w:val="00357DBA"/>
    <w:rsid w:val="003704F4"/>
    <w:rsid w:val="003737A2"/>
    <w:rsid w:val="003B0ACE"/>
    <w:rsid w:val="003C2FE4"/>
    <w:rsid w:val="003D1063"/>
    <w:rsid w:val="003D38FE"/>
    <w:rsid w:val="003D540C"/>
    <w:rsid w:val="003D5BC7"/>
    <w:rsid w:val="003E28A2"/>
    <w:rsid w:val="003E2D85"/>
    <w:rsid w:val="003F0E60"/>
    <w:rsid w:val="003F5D2E"/>
    <w:rsid w:val="00401E76"/>
    <w:rsid w:val="004066D0"/>
    <w:rsid w:val="004329E0"/>
    <w:rsid w:val="00450A49"/>
    <w:rsid w:val="0046201B"/>
    <w:rsid w:val="00470635"/>
    <w:rsid w:val="00482103"/>
    <w:rsid w:val="004837F3"/>
    <w:rsid w:val="00490109"/>
    <w:rsid w:val="00491C1B"/>
    <w:rsid w:val="00493F8B"/>
    <w:rsid w:val="00495384"/>
    <w:rsid w:val="004A59C6"/>
    <w:rsid w:val="004B2793"/>
    <w:rsid w:val="004C0214"/>
    <w:rsid w:val="004C314D"/>
    <w:rsid w:val="004C491E"/>
    <w:rsid w:val="004D3DB0"/>
    <w:rsid w:val="004E0AE7"/>
    <w:rsid w:val="00500B85"/>
    <w:rsid w:val="00503E1E"/>
    <w:rsid w:val="00521B0D"/>
    <w:rsid w:val="00537BE1"/>
    <w:rsid w:val="00543AA6"/>
    <w:rsid w:val="005545C8"/>
    <w:rsid w:val="0056157A"/>
    <w:rsid w:val="00563311"/>
    <w:rsid w:val="00576B81"/>
    <w:rsid w:val="0058437A"/>
    <w:rsid w:val="0058743E"/>
    <w:rsid w:val="0059644F"/>
    <w:rsid w:val="0059693B"/>
    <w:rsid w:val="005A434E"/>
    <w:rsid w:val="005A6EAF"/>
    <w:rsid w:val="005C151E"/>
    <w:rsid w:val="00605048"/>
    <w:rsid w:val="006166EE"/>
    <w:rsid w:val="00617C9F"/>
    <w:rsid w:val="006369B8"/>
    <w:rsid w:val="00641B06"/>
    <w:rsid w:val="0064466E"/>
    <w:rsid w:val="00645484"/>
    <w:rsid w:val="00645DC7"/>
    <w:rsid w:val="00646E55"/>
    <w:rsid w:val="00651AD2"/>
    <w:rsid w:val="00664FD6"/>
    <w:rsid w:val="00680DA1"/>
    <w:rsid w:val="006A243B"/>
    <w:rsid w:val="006B454C"/>
    <w:rsid w:val="006C01E7"/>
    <w:rsid w:val="006C1585"/>
    <w:rsid w:val="006D1D51"/>
    <w:rsid w:val="006E3FC4"/>
    <w:rsid w:val="006F5BDC"/>
    <w:rsid w:val="0071508F"/>
    <w:rsid w:val="0072225F"/>
    <w:rsid w:val="007457C7"/>
    <w:rsid w:val="007512DB"/>
    <w:rsid w:val="00751B3E"/>
    <w:rsid w:val="007542B9"/>
    <w:rsid w:val="00764B92"/>
    <w:rsid w:val="00766635"/>
    <w:rsid w:val="00797474"/>
    <w:rsid w:val="007A4039"/>
    <w:rsid w:val="007D358D"/>
    <w:rsid w:val="007D5DEF"/>
    <w:rsid w:val="007D65D2"/>
    <w:rsid w:val="007E0E8B"/>
    <w:rsid w:val="007E2709"/>
    <w:rsid w:val="007F4CA5"/>
    <w:rsid w:val="007F7003"/>
    <w:rsid w:val="00807228"/>
    <w:rsid w:val="00812EFA"/>
    <w:rsid w:val="008215CC"/>
    <w:rsid w:val="00823504"/>
    <w:rsid w:val="00824BC0"/>
    <w:rsid w:val="00837644"/>
    <w:rsid w:val="00846650"/>
    <w:rsid w:val="0084754A"/>
    <w:rsid w:val="00851151"/>
    <w:rsid w:val="008602BB"/>
    <w:rsid w:val="00861CE4"/>
    <w:rsid w:val="00862C4A"/>
    <w:rsid w:val="00866409"/>
    <w:rsid w:val="00881D56"/>
    <w:rsid w:val="008829F6"/>
    <w:rsid w:val="0089564F"/>
    <w:rsid w:val="008972DA"/>
    <w:rsid w:val="008E4ACE"/>
    <w:rsid w:val="008F6242"/>
    <w:rsid w:val="00910111"/>
    <w:rsid w:val="00930619"/>
    <w:rsid w:val="00934648"/>
    <w:rsid w:val="00940A5A"/>
    <w:rsid w:val="00953375"/>
    <w:rsid w:val="009649CA"/>
    <w:rsid w:val="009C28C2"/>
    <w:rsid w:val="009D5DD2"/>
    <w:rsid w:val="009F65F8"/>
    <w:rsid w:val="009F6D1C"/>
    <w:rsid w:val="00A06787"/>
    <w:rsid w:val="00A071A5"/>
    <w:rsid w:val="00A24870"/>
    <w:rsid w:val="00A45675"/>
    <w:rsid w:val="00A6436A"/>
    <w:rsid w:val="00A729E6"/>
    <w:rsid w:val="00A82784"/>
    <w:rsid w:val="00A90037"/>
    <w:rsid w:val="00A9491D"/>
    <w:rsid w:val="00A96014"/>
    <w:rsid w:val="00AA7F79"/>
    <w:rsid w:val="00AB7E61"/>
    <w:rsid w:val="00AD60E1"/>
    <w:rsid w:val="00AD6242"/>
    <w:rsid w:val="00B0043A"/>
    <w:rsid w:val="00B06C9D"/>
    <w:rsid w:val="00B16BD6"/>
    <w:rsid w:val="00B17C19"/>
    <w:rsid w:val="00B205EF"/>
    <w:rsid w:val="00B3164D"/>
    <w:rsid w:val="00B36BB0"/>
    <w:rsid w:val="00B373BC"/>
    <w:rsid w:val="00B407B2"/>
    <w:rsid w:val="00B42CA2"/>
    <w:rsid w:val="00B62A1F"/>
    <w:rsid w:val="00B724E9"/>
    <w:rsid w:val="00B75297"/>
    <w:rsid w:val="00B83440"/>
    <w:rsid w:val="00B9739E"/>
    <w:rsid w:val="00BA1458"/>
    <w:rsid w:val="00BA1722"/>
    <w:rsid w:val="00BA2833"/>
    <w:rsid w:val="00BB6A03"/>
    <w:rsid w:val="00BC4AAF"/>
    <w:rsid w:val="00BD13F8"/>
    <w:rsid w:val="00BE0755"/>
    <w:rsid w:val="00BE278A"/>
    <w:rsid w:val="00BE46E9"/>
    <w:rsid w:val="00BF6D44"/>
    <w:rsid w:val="00C14912"/>
    <w:rsid w:val="00C34D87"/>
    <w:rsid w:val="00C36619"/>
    <w:rsid w:val="00C427FB"/>
    <w:rsid w:val="00C52F76"/>
    <w:rsid w:val="00C53159"/>
    <w:rsid w:val="00C54247"/>
    <w:rsid w:val="00C54A49"/>
    <w:rsid w:val="00C54DEB"/>
    <w:rsid w:val="00C61F24"/>
    <w:rsid w:val="00C743CF"/>
    <w:rsid w:val="00C763EA"/>
    <w:rsid w:val="00C7678E"/>
    <w:rsid w:val="00C80721"/>
    <w:rsid w:val="00C87A12"/>
    <w:rsid w:val="00C904CE"/>
    <w:rsid w:val="00C9389C"/>
    <w:rsid w:val="00CB47A9"/>
    <w:rsid w:val="00CB5B1B"/>
    <w:rsid w:val="00CD3002"/>
    <w:rsid w:val="00CD4D68"/>
    <w:rsid w:val="00CF74BA"/>
    <w:rsid w:val="00D21490"/>
    <w:rsid w:val="00D36013"/>
    <w:rsid w:val="00D37856"/>
    <w:rsid w:val="00D4434C"/>
    <w:rsid w:val="00D44C22"/>
    <w:rsid w:val="00D663C9"/>
    <w:rsid w:val="00D71E67"/>
    <w:rsid w:val="00D721F6"/>
    <w:rsid w:val="00D7271A"/>
    <w:rsid w:val="00D737FA"/>
    <w:rsid w:val="00D7711E"/>
    <w:rsid w:val="00D8006B"/>
    <w:rsid w:val="00D81255"/>
    <w:rsid w:val="00D82A53"/>
    <w:rsid w:val="00D90885"/>
    <w:rsid w:val="00D94787"/>
    <w:rsid w:val="00D96C13"/>
    <w:rsid w:val="00DA1953"/>
    <w:rsid w:val="00DA4B5F"/>
    <w:rsid w:val="00DC05FB"/>
    <w:rsid w:val="00DD04ED"/>
    <w:rsid w:val="00DD060C"/>
    <w:rsid w:val="00DF1D65"/>
    <w:rsid w:val="00DF1E03"/>
    <w:rsid w:val="00DF5743"/>
    <w:rsid w:val="00DF6A85"/>
    <w:rsid w:val="00E131D6"/>
    <w:rsid w:val="00E1546E"/>
    <w:rsid w:val="00E2371A"/>
    <w:rsid w:val="00E26E88"/>
    <w:rsid w:val="00E31FFD"/>
    <w:rsid w:val="00E32587"/>
    <w:rsid w:val="00E47A4F"/>
    <w:rsid w:val="00E865B8"/>
    <w:rsid w:val="00E90AED"/>
    <w:rsid w:val="00E953BE"/>
    <w:rsid w:val="00E95C97"/>
    <w:rsid w:val="00EB120B"/>
    <w:rsid w:val="00EB491B"/>
    <w:rsid w:val="00EB5235"/>
    <w:rsid w:val="00ED5A5B"/>
    <w:rsid w:val="00ED62B3"/>
    <w:rsid w:val="00EE2551"/>
    <w:rsid w:val="00F01BF3"/>
    <w:rsid w:val="00F165A0"/>
    <w:rsid w:val="00F17759"/>
    <w:rsid w:val="00F358B9"/>
    <w:rsid w:val="00F52D4F"/>
    <w:rsid w:val="00F558C2"/>
    <w:rsid w:val="00F57E6E"/>
    <w:rsid w:val="00F73263"/>
    <w:rsid w:val="00F8207A"/>
    <w:rsid w:val="00F82D5C"/>
    <w:rsid w:val="00F94947"/>
    <w:rsid w:val="00FB2A20"/>
    <w:rsid w:val="00FB2C45"/>
    <w:rsid w:val="00FE299F"/>
    <w:rsid w:val="00FF002C"/>
    <w:rsid w:val="00FF3208"/>
    <w:rsid w:val="00FF4C9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D70D2"/>
  <w15:chartTrackingRefBased/>
  <w15:docId w15:val="{8E007936-0493-48AD-8012-68AEDAD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02749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C2FE4"/>
    <w:pPr>
      <w:ind w:left="720"/>
      <w:contextualSpacing/>
    </w:pPr>
  </w:style>
  <w:style w:type="character" w:styleId="Hyperlink">
    <w:name w:val="Hyperlink"/>
    <w:uiPriority w:val="99"/>
    <w:rsid w:val="000938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3"/>
  </w:style>
  <w:style w:type="paragraph" w:styleId="Footer">
    <w:name w:val="footer"/>
    <w:basedOn w:val="Normal"/>
    <w:link w:val="FooterChar"/>
    <w:uiPriority w:val="99"/>
    <w:unhideWhenUsed/>
    <w:rsid w:val="004B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3"/>
  </w:style>
  <w:style w:type="paragraph" w:styleId="BalloonText">
    <w:name w:val="Balloon Text"/>
    <w:basedOn w:val="Normal"/>
    <w:link w:val="BalloonTextChar"/>
    <w:uiPriority w:val="99"/>
    <w:semiHidden/>
    <w:unhideWhenUsed/>
    <w:rsid w:val="00EE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C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F76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FB2A20"/>
  </w:style>
  <w:style w:type="paragraph" w:styleId="Revision">
    <w:name w:val="Revision"/>
    <w:hidden/>
    <w:uiPriority w:val="99"/>
    <w:semiHidden/>
    <w:rsid w:val="00DF1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C79438C697F4EA96A566FEF0A1BCB" ma:contentTypeVersion="" ma:contentTypeDescription="Izveidot jaunu dokumentu." ma:contentTypeScope="" ma:versionID="c93f94f4551318a0068448e9fbb6d0d9">
  <xsd:schema xmlns:xsd="http://www.w3.org/2001/XMLSchema" xmlns:xs="http://www.w3.org/2001/XMLSchema" xmlns:p="http://schemas.microsoft.com/office/2006/metadata/properties" xmlns:ns2="2e5bb04e-596e-45bd-9003-43ca78b1ba16" xmlns:ns4="49b0bb89-35b3-4114-9b1c-a376ef2ba045" targetNamespace="http://schemas.microsoft.com/office/2006/metadata/properties" ma:root="true" ma:fieldsID="d13c2220cb7624bf02e94285a5d906cf" ns2:_="" ns4:_="">
    <xsd:import namespace="2e5bb04e-596e-45bd-9003-43ca78b1ba16"/>
    <xsd:import namespace="49b0bb89-35b3-4114-9b1c-a376ef2ba045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bb89-35b3-4114-9b1c-a376ef2ba045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0b3fc3ac-4a7e-497f-83c2-5a82ea273d01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P xmlns="49b0bb89-35b3-4114-9b1c-a376ef2ba045">115</TAP>
    <Vad_x012b_t_x0101_js xmlns="2e5bb04e-596e-45bd-9003-43ca78b1ba16">M. Kalniņš (VID)</Vad_x012b_t_x0101_js>
    <Kategorija xmlns="2e5bb04e-596e-45bd-9003-43ca78b1ba16">Anotācija</Kategorij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0598-97F2-40A5-92D2-E4BEDBDF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49b0bb89-35b3-4114-9b1c-a376ef2b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EAECB-7D3A-4ED6-8D57-DE4F5FD08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A4F79-6739-4302-A97C-2736B73C3727}">
  <ds:schemaRefs>
    <ds:schemaRef ds:uri="http://schemas.microsoft.com/office/2006/metadata/properties"/>
    <ds:schemaRef ds:uri="http://schemas.microsoft.com/office/infopath/2007/PartnerControls"/>
    <ds:schemaRef ds:uri="49b0bb89-35b3-4114-9b1c-a376ef2ba045"/>
    <ds:schemaRef ds:uri="2e5bb04e-596e-45bd-9003-43ca78b1ba16"/>
  </ds:schemaRefs>
</ds:datastoreItem>
</file>

<file path=customXml/itemProps4.xml><?xml version="1.0" encoding="utf-8"?>
<ds:datastoreItem xmlns:ds="http://schemas.openxmlformats.org/officeDocument/2006/customXml" ds:itemID="{62169378-D6C5-4059-857A-98F4EE00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7149</Words>
  <Characters>4076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“Grozījumi Ministru kabineta 2008.gada 25.augusta noteikumos Nr.677 “Noteikumi par iedzīvotāju ienākuma nodokļa paziņojumiem”” sākotnējās ietekmes novērtējuma ziņojums (anotācija)</vt:lpstr>
    </vt:vector>
  </TitlesOfParts>
  <Company>Valsts ieņēmumu dienests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“Grozījumi Ministru kabineta 2008.gada 25.augusta noteikumos Nr.677 “Noteikumi par iedzīvotāju ienākuma nodokļa paziņojumiem”” sākotnējās ietekmes novērtējuma ziņojums (anotācija)</dc:title>
  <dc:subject>anotācija</dc:subject>
  <dc:creator>D. Tarvida (VID)</dc:creator>
  <cp:keywords/>
  <dc:description>67122286, digna.tarvida@vid.gov.lv</dc:description>
  <cp:lastModifiedBy>Digna Tarvida</cp:lastModifiedBy>
  <cp:revision>4</cp:revision>
  <dcterms:created xsi:type="dcterms:W3CDTF">2019-09-18T09:46:00Z</dcterms:created>
  <dcterms:modified xsi:type="dcterms:W3CDTF">2019-09-18T10:15:00Z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0x010100872C79438C697F4EA96A566FEF0A1BCB</vt:lpwstr>
  </property>
</Properties>
</file>