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B0069" w14:textId="42C83E99" w:rsidR="00B25EFC" w:rsidRDefault="00B25EFC" w:rsidP="00B25EFC">
      <w:pPr>
        <w:pStyle w:val="naislab"/>
        <w:spacing w:before="0" w:after="0"/>
        <w:ind w:left="-284" w:right="-285"/>
        <w:jc w:val="center"/>
        <w:outlineLvl w:val="0"/>
        <w:rPr>
          <w:b/>
        </w:rPr>
      </w:pPr>
      <w:bookmarkStart w:id="0" w:name="_GoBack"/>
      <w:bookmarkEnd w:id="0"/>
      <w:r w:rsidRPr="003C3839">
        <w:rPr>
          <w:b/>
        </w:rPr>
        <w:t>Ministru kabineta noteikumu projekta „Grozījumi Ministru kabineta 20</w:t>
      </w:r>
      <w:r w:rsidR="00F021D5">
        <w:rPr>
          <w:b/>
        </w:rPr>
        <w:t>05.</w:t>
      </w:r>
      <w:r w:rsidRPr="003C3839">
        <w:rPr>
          <w:b/>
        </w:rPr>
        <w:t xml:space="preserve">gada </w:t>
      </w:r>
      <w:r w:rsidR="00DE2673">
        <w:rPr>
          <w:b/>
        </w:rPr>
        <w:t>27</w:t>
      </w:r>
      <w:r w:rsidR="00703FF4">
        <w:rPr>
          <w:b/>
        </w:rPr>
        <w:t>.</w:t>
      </w:r>
      <w:r w:rsidR="00DE2673">
        <w:rPr>
          <w:b/>
        </w:rPr>
        <w:t>decembra</w:t>
      </w:r>
      <w:r w:rsidRPr="003C3839">
        <w:rPr>
          <w:b/>
        </w:rPr>
        <w:t xml:space="preserve"> noteikumos Nr.</w:t>
      </w:r>
      <w:r w:rsidR="00DE2673">
        <w:rPr>
          <w:b/>
        </w:rPr>
        <w:t>1032</w:t>
      </w:r>
      <w:r w:rsidRPr="003C3839">
        <w:rPr>
          <w:b/>
        </w:rPr>
        <w:t xml:space="preserve"> „</w:t>
      </w:r>
      <w:r w:rsidR="00703FF4">
        <w:rPr>
          <w:b/>
        </w:rPr>
        <w:t xml:space="preserve">Noteikumi par budžetu </w:t>
      </w:r>
      <w:r w:rsidR="00DE2673">
        <w:rPr>
          <w:b/>
        </w:rPr>
        <w:t>ieņēmumu</w:t>
      </w:r>
      <w:r w:rsidR="00703FF4">
        <w:rPr>
          <w:b/>
        </w:rPr>
        <w:t xml:space="preserve"> klasifikāciju</w:t>
      </w:r>
      <w:r w:rsidR="00FA4EBA">
        <w:rPr>
          <w:b/>
        </w:rPr>
        <w:t>”</w:t>
      </w:r>
      <w:r w:rsidRPr="003C3839">
        <w:rPr>
          <w:b/>
        </w:rPr>
        <w:t xml:space="preserve"> sākotnējās ietekmes novērtējuma ziņojums (anotācija)</w:t>
      </w:r>
    </w:p>
    <w:p w14:paraId="7A5B8114" w14:textId="77777777" w:rsidR="0050347D" w:rsidRDefault="0050347D" w:rsidP="00B25EFC">
      <w:pPr>
        <w:pStyle w:val="naislab"/>
        <w:spacing w:before="0" w:after="0"/>
        <w:ind w:left="-284" w:right="-285"/>
        <w:jc w:val="center"/>
        <w:outlineLvl w:val="0"/>
        <w:rPr>
          <w:b/>
        </w:rPr>
      </w:pPr>
    </w:p>
    <w:p w14:paraId="2373C8AE" w14:textId="77777777" w:rsidR="0050347D" w:rsidRDefault="0050347D" w:rsidP="00B25EFC">
      <w:pPr>
        <w:pStyle w:val="naislab"/>
        <w:spacing w:before="0" w:after="0"/>
        <w:ind w:left="-284" w:right="-285"/>
        <w:jc w:val="center"/>
        <w:outlineLvl w:val="0"/>
        <w:rPr>
          <w:b/>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2"/>
        <w:gridCol w:w="7664"/>
      </w:tblGrid>
      <w:tr w:rsidR="0050347D" w:rsidRPr="003C3839" w14:paraId="44B50AA4" w14:textId="77777777" w:rsidTr="0050347D">
        <w:trPr>
          <w:trHeight w:val="311"/>
          <w:jc w:val="center"/>
        </w:trPr>
        <w:tc>
          <w:tcPr>
            <w:tcW w:w="9786" w:type="dxa"/>
            <w:gridSpan w:val="2"/>
          </w:tcPr>
          <w:p w14:paraId="2BE67F79" w14:textId="77777777" w:rsidR="0050347D" w:rsidRPr="00FC2DC8" w:rsidRDefault="0050347D" w:rsidP="0050347D">
            <w:pPr>
              <w:ind w:left="113" w:right="142"/>
              <w:jc w:val="center"/>
              <w:outlineLvl w:val="2"/>
            </w:pPr>
            <w:r w:rsidRPr="000A79C2">
              <w:rPr>
                <w:b/>
              </w:rPr>
              <w:t>Tiesību akta projekta anotācijas kopsavilkums</w:t>
            </w:r>
          </w:p>
        </w:tc>
      </w:tr>
      <w:tr w:rsidR="0050347D" w:rsidRPr="003C3839" w14:paraId="001438FD" w14:textId="77777777" w:rsidTr="00DE2277">
        <w:trPr>
          <w:trHeight w:val="557"/>
          <w:jc w:val="center"/>
        </w:trPr>
        <w:tc>
          <w:tcPr>
            <w:tcW w:w="2122" w:type="dxa"/>
          </w:tcPr>
          <w:p w14:paraId="70660C91" w14:textId="77777777" w:rsidR="0050347D" w:rsidRPr="003C3839" w:rsidRDefault="0050347D" w:rsidP="00DE2277">
            <w:pPr>
              <w:pStyle w:val="naiskr"/>
              <w:tabs>
                <w:tab w:val="left" w:pos="170"/>
              </w:tabs>
              <w:spacing w:before="0" w:after="0"/>
              <w:rPr>
                <w:sz w:val="22"/>
                <w:szCs w:val="22"/>
              </w:rPr>
            </w:pPr>
            <w:r w:rsidRPr="0050347D">
              <w:rPr>
                <w:sz w:val="22"/>
                <w:szCs w:val="22"/>
              </w:rPr>
              <w:t>Mērķis, risinājums un projekta spēkā stāšanās laiks</w:t>
            </w:r>
          </w:p>
        </w:tc>
        <w:tc>
          <w:tcPr>
            <w:tcW w:w="7664" w:type="dxa"/>
          </w:tcPr>
          <w:p w14:paraId="15FD1276" w14:textId="3DD60D6E" w:rsidR="00630D8C" w:rsidRDefault="00A84010" w:rsidP="006C2062">
            <w:pPr>
              <w:ind w:left="91" w:right="79"/>
              <w:jc w:val="both"/>
            </w:pPr>
            <w:r w:rsidRPr="00553776">
              <w:t>Ministru kabineta noteikumu projekt</w:t>
            </w:r>
            <w:r>
              <w:t>a</w:t>
            </w:r>
            <w:r w:rsidRPr="00553776">
              <w:t xml:space="preserve"> „Grozījumi Ministru kabineta 2005.gada 27.decembra noteikumos Nr.1032 „Noteikumi par budžetu ieņēmumu klasifikāciju”” (turpmāk – noteikumu projekts)</w:t>
            </w:r>
            <w:r w:rsidR="00F24FAE">
              <w:t xml:space="preserve"> </w:t>
            </w:r>
            <w:r w:rsidR="0050347D" w:rsidRPr="0050347D">
              <w:t xml:space="preserve">mērķis ir </w:t>
            </w:r>
            <w:r w:rsidR="0050347D">
              <w:t>pilnveidot budžetu ieņēmumu klasifikāciju</w:t>
            </w:r>
            <w:r w:rsidR="00477FF2">
              <w:t xml:space="preserve"> atbilstoši s</w:t>
            </w:r>
            <w:r w:rsidR="00630D8C">
              <w:t xml:space="preserve">pēkā esošiem normatīviem aktiem, </w:t>
            </w:r>
            <w:r w:rsidR="001779CC">
              <w:t>optimizēt tās detalizācijas pakāpi</w:t>
            </w:r>
            <w:r w:rsidR="00412988">
              <w:t xml:space="preserve">, </w:t>
            </w:r>
            <w:r w:rsidR="00412988" w:rsidRPr="001B3606">
              <w:t>tādējādi novēršot interpretācijas iespējas un atvieglojot klasifikācijas piemērošanu</w:t>
            </w:r>
            <w:r w:rsidR="00412988">
              <w:t>.</w:t>
            </w:r>
            <w:r w:rsidR="00477FF2">
              <w:t xml:space="preserve">. </w:t>
            </w:r>
          </w:p>
          <w:p w14:paraId="28B9EF0B" w14:textId="332C013B" w:rsidR="0050347D" w:rsidRPr="003C3839" w:rsidRDefault="0050347D" w:rsidP="006C2062">
            <w:pPr>
              <w:ind w:left="91" w:right="79"/>
              <w:jc w:val="both"/>
            </w:pPr>
            <w:r w:rsidRPr="0050347D">
              <w:t>Ministru kabineta noteikum</w:t>
            </w:r>
            <w:r w:rsidR="00A84010">
              <w:t xml:space="preserve">u projekta spēkā stāšanās paredzēta </w:t>
            </w:r>
            <w:r w:rsidR="00D435E4">
              <w:t>2021</w:t>
            </w:r>
            <w:r w:rsidR="00012B6D">
              <w:t>.gada 1.janvārī</w:t>
            </w:r>
            <w:r w:rsidR="00D435E4">
              <w:t>.</w:t>
            </w:r>
          </w:p>
        </w:tc>
      </w:tr>
    </w:tbl>
    <w:p w14:paraId="22DAFA09" w14:textId="77777777" w:rsidR="0050347D" w:rsidRDefault="0050347D" w:rsidP="0050347D">
      <w:pPr>
        <w:pStyle w:val="naislab"/>
        <w:spacing w:before="0" w:after="0"/>
        <w:jc w:val="both"/>
        <w:outlineLvl w:val="0"/>
        <w:rPr>
          <w:b/>
        </w:rPr>
      </w:pPr>
    </w:p>
    <w:p w14:paraId="45B6E09F" w14:textId="77777777" w:rsidR="00880BF1" w:rsidRPr="003C3839" w:rsidRDefault="00880BF1" w:rsidP="00B25EFC">
      <w:pPr>
        <w:pStyle w:val="naislab"/>
        <w:spacing w:before="0" w:after="0"/>
        <w:ind w:left="-284" w:right="-285"/>
        <w:jc w:val="center"/>
        <w:outlineLvl w:val="0"/>
        <w:rPr>
          <w:b/>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9"/>
        <w:gridCol w:w="1833"/>
        <w:gridCol w:w="7664"/>
      </w:tblGrid>
      <w:tr w:rsidR="00B25EFC" w:rsidRPr="003C3839" w14:paraId="4748F391" w14:textId="77777777" w:rsidTr="007E1096">
        <w:trPr>
          <w:trHeight w:val="177"/>
          <w:jc w:val="center"/>
        </w:trPr>
        <w:tc>
          <w:tcPr>
            <w:tcW w:w="9786" w:type="dxa"/>
            <w:gridSpan w:val="3"/>
          </w:tcPr>
          <w:p w14:paraId="13D40177" w14:textId="77777777" w:rsidR="00B25EFC" w:rsidRPr="003C3839" w:rsidRDefault="00B25EFC" w:rsidP="00DE2277">
            <w:pPr>
              <w:spacing w:after="120"/>
              <w:ind w:left="130" w:right="153" w:firstLine="425"/>
              <w:jc w:val="center"/>
              <w:rPr>
                <w:b/>
              </w:rPr>
            </w:pPr>
            <w:r w:rsidRPr="003C3839">
              <w:rPr>
                <w:b/>
              </w:rPr>
              <w:t>I. Tiesību akta projekta izstrādes nepieciešamība</w:t>
            </w:r>
          </w:p>
        </w:tc>
      </w:tr>
      <w:tr w:rsidR="00B25EFC" w:rsidRPr="003C3839" w14:paraId="7A9F4DBA" w14:textId="77777777" w:rsidTr="008E1E1A">
        <w:trPr>
          <w:trHeight w:val="557"/>
          <w:jc w:val="center"/>
        </w:trPr>
        <w:tc>
          <w:tcPr>
            <w:tcW w:w="289" w:type="dxa"/>
          </w:tcPr>
          <w:p w14:paraId="54B4EA80" w14:textId="77777777" w:rsidR="00B25EFC" w:rsidRPr="003C3839" w:rsidRDefault="00B25EFC" w:rsidP="00DE2277">
            <w:pPr>
              <w:pStyle w:val="naiskr"/>
              <w:spacing w:before="0" w:after="0"/>
              <w:rPr>
                <w:sz w:val="22"/>
                <w:szCs w:val="22"/>
              </w:rPr>
            </w:pPr>
            <w:r w:rsidRPr="003C3839">
              <w:rPr>
                <w:sz w:val="22"/>
                <w:szCs w:val="22"/>
              </w:rPr>
              <w:t>1.</w:t>
            </w:r>
          </w:p>
        </w:tc>
        <w:tc>
          <w:tcPr>
            <w:tcW w:w="1833" w:type="dxa"/>
          </w:tcPr>
          <w:p w14:paraId="3B950EC3" w14:textId="77777777" w:rsidR="00B25EFC" w:rsidRPr="003C3839" w:rsidRDefault="00B25EFC" w:rsidP="00DE2277">
            <w:pPr>
              <w:pStyle w:val="naiskr"/>
              <w:tabs>
                <w:tab w:val="left" w:pos="170"/>
              </w:tabs>
              <w:spacing w:before="0" w:after="0"/>
              <w:rPr>
                <w:sz w:val="22"/>
                <w:szCs w:val="22"/>
              </w:rPr>
            </w:pPr>
            <w:r w:rsidRPr="003C3839">
              <w:rPr>
                <w:sz w:val="22"/>
                <w:szCs w:val="22"/>
              </w:rPr>
              <w:t>Pamatojums</w:t>
            </w:r>
          </w:p>
        </w:tc>
        <w:tc>
          <w:tcPr>
            <w:tcW w:w="7664" w:type="dxa"/>
          </w:tcPr>
          <w:p w14:paraId="606415A5" w14:textId="6209F032" w:rsidR="00B25EFC" w:rsidRPr="003C3839" w:rsidRDefault="00C1580F" w:rsidP="00553776">
            <w:pPr>
              <w:ind w:left="113" w:right="142"/>
              <w:jc w:val="both"/>
              <w:outlineLvl w:val="2"/>
            </w:pPr>
            <w:r w:rsidRPr="00236DAD">
              <w:t>Noteikumu projekts sagatavots pēc Finanšu ministrijas iniciatīvas</w:t>
            </w:r>
            <w:r>
              <w:t xml:space="preserve"> un Valsts kontroles</w:t>
            </w:r>
            <w:r w:rsidR="00E149C2">
              <w:t xml:space="preserve"> revīzijas ziņojuma Nr.2.4.1-23/2018</w:t>
            </w:r>
            <w:r>
              <w:t xml:space="preserve"> ieteikuma</w:t>
            </w:r>
            <w:r w:rsidR="00E149C2">
              <w:t xml:space="preserve"> Nr.19</w:t>
            </w:r>
            <w:r w:rsidRPr="00236DAD">
              <w:t>, lai atvieglotu klasifikācijas piemērošanu.</w:t>
            </w:r>
          </w:p>
        </w:tc>
      </w:tr>
      <w:tr w:rsidR="00B25EFC" w:rsidRPr="003C3839" w14:paraId="77731E57" w14:textId="77777777" w:rsidTr="008E1E1A">
        <w:trPr>
          <w:trHeight w:val="845"/>
          <w:jc w:val="center"/>
        </w:trPr>
        <w:tc>
          <w:tcPr>
            <w:tcW w:w="289" w:type="dxa"/>
          </w:tcPr>
          <w:p w14:paraId="4C75E343" w14:textId="77777777" w:rsidR="00B25EFC" w:rsidRPr="003C3839" w:rsidRDefault="00B25EFC" w:rsidP="00DE2277">
            <w:pPr>
              <w:pStyle w:val="naiskr"/>
              <w:spacing w:before="0" w:after="0"/>
              <w:rPr>
                <w:sz w:val="22"/>
                <w:szCs w:val="22"/>
              </w:rPr>
            </w:pPr>
            <w:r w:rsidRPr="003C3839">
              <w:rPr>
                <w:sz w:val="22"/>
                <w:szCs w:val="22"/>
              </w:rPr>
              <w:t>2.</w:t>
            </w:r>
          </w:p>
        </w:tc>
        <w:tc>
          <w:tcPr>
            <w:tcW w:w="1833" w:type="dxa"/>
          </w:tcPr>
          <w:p w14:paraId="619C6392" w14:textId="77777777" w:rsidR="00B25EFC" w:rsidRPr="003C3839" w:rsidRDefault="00B25EFC" w:rsidP="003A09D9">
            <w:pPr>
              <w:pStyle w:val="naiskr"/>
              <w:tabs>
                <w:tab w:val="left" w:pos="170"/>
              </w:tabs>
              <w:spacing w:before="0" w:after="0"/>
            </w:pPr>
            <w:r w:rsidRPr="003C3839">
              <w:rPr>
                <w:sz w:val="22"/>
                <w:szCs w:val="22"/>
              </w:rPr>
              <w:t>Pašreizējā situācija un problēmas, kuru risināšanai tiesību akta projekts izstrādāts, tiesiskā regulējuma mērķis un būtība</w:t>
            </w:r>
          </w:p>
          <w:p w14:paraId="47A4B6E6" w14:textId="77777777" w:rsidR="00B25EFC" w:rsidRPr="003C3839" w:rsidRDefault="00B25EFC" w:rsidP="00DE2277"/>
          <w:p w14:paraId="15096DC0" w14:textId="77777777" w:rsidR="00B25EFC" w:rsidRPr="003C3839" w:rsidRDefault="00B25EFC" w:rsidP="00DE2277"/>
          <w:p w14:paraId="25C40A36" w14:textId="77777777" w:rsidR="00B25EFC" w:rsidRPr="003C3839" w:rsidRDefault="00B25EFC" w:rsidP="00DE2277"/>
          <w:p w14:paraId="6CC87A94" w14:textId="77777777" w:rsidR="00B25EFC" w:rsidRPr="003C3839" w:rsidRDefault="00B25EFC" w:rsidP="00DE2277"/>
        </w:tc>
        <w:tc>
          <w:tcPr>
            <w:tcW w:w="7664" w:type="dxa"/>
          </w:tcPr>
          <w:p w14:paraId="62136C1C" w14:textId="77777777" w:rsidR="001779CC" w:rsidRDefault="001779CC" w:rsidP="001779CC">
            <w:pPr>
              <w:ind w:left="135" w:right="142"/>
              <w:jc w:val="both"/>
            </w:pPr>
            <w:r>
              <w:t xml:space="preserve"> </w:t>
            </w:r>
            <w:r w:rsidR="00A84010">
              <w:t>N</w:t>
            </w:r>
            <w:r w:rsidRPr="00553776">
              <w:t>oteikumu projekt</w:t>
            </w:r>
            <w:r>
              <w:t>a</w:t>
            </w:r>
            <w:r w:rsidRPr="00553776">
              <w:t xml:space="preserve"> </w:t>
            </w:r>
            <w:r w:rsidRPr="0050347D">
              <w:t xml:space="preserve">mērķis ir </w:t>
            </w:r>
            <w:r>
              <w:t>pilnveidot budžetu ieņēmumu klasifikāciju:</w:t>
            </w:r>
          </w:p>
          <w:p w14:paraId="19133AF0" w14:textId="53BE99FC" w:rsidR="00C1580F" w:rsidRPr="001B3606" w:rsidRDefault="00C1580F" w:rsidP="001B3606">
            <w:pPr>
              <w:pStyle w:val="ListParagraph"/>
              <w:numPr>
                <w:ilvl w:val="0"/>
                <w:numId w:val="22"/>
              </w:numPr>
              <w:spacing w:line="240" w:lineRule="auto"/>
              <w:ind w:left="714" w:right="142" w:hanging="357"/>
              <w:rPr>
                <w:rFonts w:eastAsia="Times New Roman" w:cs="Times New Roman"/>
                <w:szCs w:val="24"/>
                <w:lang w:eastAsia="lv-LV"/>
              </w:rPr>
            </w:pPr>
            <w:r w:rsidRPr="001B3606">
              <w:rPr>
                <w:rFonts w:eastAsia="Times New Roman" w:cs="Times New Roman"/>
                <w:szCs w:val="24"/>
                <w:lang w:eastAsia="lv-LV"/>
              </w:rPr>
              <w:t>pārstrukturizēt un samazināt ieņēmumu klasifikācijas kodu skaitu, lai nodrošinātu, ka pēc ekonomiskās būtības līdzvērtīgi ieņēmumi tiktu attiecināti uz vienu kodu, tādējādi novēršot interpretācijas iespējas un atvieglojot klasifikācijas piemērošanu, kā arī mazinot kļūdu skaitu uzskaitē;</w:t>
            </w:r>
          </w:p>
          <w:p w14:paraId="3C7E29B9" w14:textId="77777777" w:rsidR="00C1580F" w:rsidRPr="0035465F" w:rsidRDefault="00C1580F" w:rsidP="00C1580F">
            <w:pPr>
              <w:numPr>
                <w:ilvl w:val="0"/>
                <w:numId w:val="22"/>
              </w:numPr>
              <w:ind w:right="157"/>
              <w:jc w:val="both"/>
            </w:pPr>
            <w:r w:rsidRPr="0035465F">
              <w:t>precizēt klasifikācijas kodu nosaukumus un skaidrojumus, ņemot vērā dažādas izmaiņas normatīvajos aktos;</w:t>
            </w:r>
          </w:p>
          <w:p w14:paraId="6FD63FC9" w14:textId="774B9083" w:rsidR="001779CC" w:rsidRDefault="001779CC" w:rsidP="00C1580F">
            <w:pPr>
              <w:ind w:left="135" w:right="142"/>
              <w:jc w:val="both"/>
            </w:pPr>
            <w:r>
              <w:t>Tādējādi tiks atvieglota klasifikācijas piemērošana tās lietotājiem, kā arī samazināts kļūdaini veikto maksājumu skaits</w:t>
            </w:r>
            <w:r w:rsidR="00A84010">
              <w:t>, vienlaicīgi efektivizējot budžeta p</w:t>
            </w:r>
            <w:r w:rsidR="00C1580F">
              <w:t>lānošanas un uzskaites procesus.</w:t>
            </w:r>
          </w:p>
          <w:p w14:paraId="28F3F46B" w14:textId="22A9BB63" w:rsidR="00DD24C1" w:rsidRDefault="00DD24C1" w:rsidP="00C1580F">
            <w:pPr>
              <w:ind w:left="135" w:right="142"/>
              <w:jc w:val="both"/>
            </w:pPr>
          </w:p>
          <w:p w14:paraId="51EF281C" w14:textId="77777777" w:rsidR="00D97183" w:rsidRPr="00974FFF" w:rsidRDefault="00D97183" w:rsidP="00D97183">
            <w:pPr>
              <w:pStyle w:val="ListParagraph"/>
              <w:numPr>
                <w:ilvl w:val="0"/>
                <w:numId w:val="23"/>
              </w:numPr>
              <w:spacing w:line="240" w:lineRule="auto"/>
              <w:ind w:left="720" w:right="142" w:hanging="295"/>
              <w:rPr>
                <w:b/>
              </w:rPr>
            </w:pPr>
            <w:r w:rsidRPr="00974FFF">
              <w:rPr>
                <w:b/>
              </w:rPr>
              <w:t xml:space="preserve">Vienotais nodokļu konts: </w:t>
            </w:r>
          </w:p>
          <w:p w14:paraId="5EE2ABE9" w14:textId="77777777" w:rsidR="00D97183" w:rsidRDefault="00D97183" w:rsidP="00D97183">
            <w:pPr>
              <w:pStyle w:val="ListParagraph"/>
              <w:numPr>
                <w:ilvl w:val="1"/>
                <w:numId w:val="23"/>
              </w:numPr>
              <w:spacing w:line="240" w:lineRule="auto"/>
              <w:ind w:left="992" w:right="142"/>
            </w:pPr>
            <w:r w:rsidRPr="00DD24C1">
              <w:t>Līdz ar vienotā nodokļu konta ieviešanu Valsts kases sadales kontā saņemtās summas tiks sadalītas kalendārā gada pēdējā (darba) dienā, un nav paredzēts, ka paliks saistības pret pašvaldībām uz nākamo gadu</w:t>
            </w:r>
            <w:r>
              <w:t xml:space="preserve">, tāpēc tiek svītrots kods </w:t>
            </w:r>
            <w:r w:rsidRPr="0005726F">
              <w:t>1.1.1.1.</w:t>
            </w:r>
            <w:r>
              <w:t xml:space="preserve"> “</w:t>
            </w:r>
            <w:r w:rsidRPr="0005726F">
              <w:t>Saņemts no Valsts kases sadales konta iepriekšējā gada nesadalītais iedzīvotāju ienākuma nodokļa atlikums</w:t>
            </w:r>
            <w:r>
              <w:t>”, kā arī precizēti kodu 1.1.1.2. “</w:t>
            </w:r>
            <w:r w:rsidRPr="0005726F">
              <w:t>Saņemts no Valsts kases sadales konta pārskata gadā ieskaitītais iedzīvotāju ienākuma nodoklis</w:t>
            </w:r>
            <w:r>
              <w:t xml:space="preserve">” un </w:t>
            </w:r>
            <w:r w:rsidRPr="0005726F">
              <w:t>1.1.1.4.</w:t>
            </w:r>
            <w:r>
              <w:t xml:space="preserve"> “</w:t>
            </w:r>
            <w:r w:rsidRPr="0005726F">
              <w:t>Valsts budžeta ieņēmumos iemaksātais iedzīvotāju ienākuma nodoklis</w:t>
            </w:r>
            <w:r>
              <w:t>” nosaukumi un koda 1.1.1.4. koda skaidrojums.</w:t>
            </w:r>
          </w:p>
          <w:p w14:paraId="38E9FF82" w14:textId="77777777" w:rsidR="00D97183" w:rsidRDefault="00D97183" w:rsidP="00D97183">
            <w:pPr>
              <w:pStyle w:val="ListParagraph"/>
              <w:numPr>
                <w:ilvl w:val="1"/>
                <w:numId w:val="23"/>
              </w:numPr>
              <w:spacing w:line="240" w:lineRule="auto"/>
              <w:ind w:left="990" w:right="142"/>
            </w:pPr>
            <w:r>
              <w:t>Kods 8.3.1.0. “</w:t>
            </w:r>
            <w:r w:rsidRPr="00616F16">
              <w:t>Ieņēmumi no a/s "Latvijas valsts meži"</w:t>
            </w:r>
            <w:r>
              <w:t xml:space="preserve">” </w:t>
            </w:r>
            <w:r w:rsidRPr="00616F16">
              <w:t xml:space="preserve">tika izveidots vēsturiski, taču šobrīd ir vairākas kapitālsabiedrības, kurām maksājuma apmērs par valsts kapitāla izmantošanu tiek nostiprināts katru gadu noteiktā apmērā gadskārtējā valsts budžeta likumā. Turklāt, no 2021.gada visi ieņēmumi no dividendēm tiks ieskaitīti Vienotajā nodokļu kontā, kuru administrēs Valsts ieņēmumu dienests, iegūstot pilnu informāciju par visu kapitālsabiedrību veiktajām iemaksām. Tāpēc turpmāk kodam 8.3.0.0. </w:t>
            </w:r>
            <w:r>
              <w:t>“</w:t>
            </w:r>
            <w:r w:rsidRPr="00616F16">
              <w:t>Ieņēmumi no dividendēm (ieņēmumi no valsts (pašvaldību) kapitāla izmantošanas)</w:t>
            </w:r>
            <w:r>
              <w:t xml:space="preserve">” </w:t>
            </w:r>
            <w:r w:rsidRPr="00616F16">
              <w:t xml:space="preserve">netiks izdalīti </w:t>
            </w:r>
            <w:proofErr w:type="spellStart"/>
            <w:r w:rsidRPr="00616F16">
              <w:t>apakškodi</w:t>
            </w:r>
            <w:proofErr w:type="spellEnd"/>
            <w:r w:rsidRPr="00616F16">
              <w:t xml:space="preserve"> </w:t>
            </w:r>
            <w:r>
              <w:lastRenderedPageBreak/>
              <w:t>(svītrots tiek arī kods 8.3.9.0. “</w:t>
            </w:r>
            <w:r w:rsidRPr="00616F16">
              <w:t>Pārējie ieņēmumi no dividendēm (ieņēmumi no valsts (pašvaldību) kapitāla izmantošan</w:t>
            </w:r>
            <w:r>
              <w:t xml:space="preserve">as)”) </w:t>
            </w:r>
            <w:r w:rsidRPr="00616F16">
              <w:t xml:space="preserve">un tiks atstāts tikai </w:t>
            </w:r>
            <w:proofErr w:type="spellStart"/>
            <w:r w:rsidRPr="00616F16">
              <w:t>virskods</w:t>
            </w:r>
            <w:proofErr w:type="spellEnd"/>
            <w:r>
              <w:t>. Tāpat ņ</w:t>
            </w:r>
            <w:r w:rsidRPr="00616F16">
              <w:t>emot vērā Latvijas Bankas maksājumu</w:t>
            </w:r>
            <w:r>
              <w:t xml:space="preserve"> </w:t>
            </w:r>
            <w:r w:rsidRPr="00C441A6">
              <w:rPr>
                <w:rFonts w:cs="Times New Roman"/>
                <w:szCs w:val="24"/>
              </w:rPr>
              <w:t xml:space="preserve">valsts </w:t>
            </w:r>
            <w:r w:rsidRPr="00C3581C">
              <w:t>budžetā (iemaksā valsts budžetā saskaņā ar likuma “</w:t>
            </w:r>
            <w:hyperlink r:id="rId11" w:tgtFrame="_blank" w:history="1">
              <w:r w:rsidRPr="00C3581C">
                <w:t>Par Latvijas Banku</w:t>
              </w:r>
            </w:hyperlink>
            <w:r w:rsidRPr="00C3581C">
              <w:t xml:space="preserve">” </w:t>
            </w:r>
            <w:hyperlink r:id="rId12" w:anchor="p18.1" w:tgtFrame="_blank" w:history="1">
              <w:r w:rsidRPr="00C3581C">
                <w:t>18.</w:t>
              </w:r>
              <w:r>
                <w:rPr>
                  <w:vertAlign w:val="superscript"/>
                </w:rPr>
                <w:t>1</w:t>
              </w:r>
              <w:r w:rsidRPr="00C3581C">
                <w:t xml:space="preserve"> panta</w:t>
              </w:r>
            </w:hyperlink>
            <w:r w:rsidRPr="00C3581C">
              <w:t xml:space="preserve"> 1.punktu)</w:t>
            </w:r>
            <w:r w:rsidRPr="00616F16">
              <w:t xml:space="preserve"> administrēšanu kontekstā ar Vienotā nodokļu konta ieviešanu no 2021.gada, kā arī izvērtējot maksājuma ekonomisko būtību, </w:t>
            </w:r>
            <w:r>
              <w:t>kods 8.2.0.0. “</w:t>
            </w:r>
            <w:r w:rsidRPr="00616F16">
              <w:t>Ieņēmumi no Latvijas Bankas maksājuma</w:t>
            </w:r>
            <w:r>
              <w:t>”</w:t>
            </w:r>
            <w:r w:rsidRPr="00616F16">
              <w:t xml:space="preserve"> iekļauts kodā 8.3.0.0</w:t>
            </w:r>
            <w:r>
              <w:t>.</w:t>
            </w:r>
          </w:p>
          <w:p w14:paraId="03FBED5B" w14:textId="77777777" w:rsidR="00D97183" w:rsidRDefault="00D97183" w:rsidP="00D97183">
            <w:pPr>
              <w:pStyle w:val="ListParagraph"/>
              <w:spacing w:line="240" w:lineRule="auto"/>
              <w:ind w:left="990" w:right="142" w:firstLine="0"/>
            </w:pPr>
          </w:p>
          <w:p w14:paraId="72CD6857" w14:textId="77777777" w:rsidR="00D97183" w:rsidRPr="00974FFF" w:rsidRDefault="00D97183" w:rsidP="00D97183">
            <w:pPr>
              <w:pStyle w:val="ListParagraph"/>
              <w:numPr>
                <w:ilvl w:val="0"/>
                <w:numId w:val="23"/>
              </w:numPr>
              <w:spacing w:line="240" w:lineRule="auto"/>
              <w:ind w:right="142"/>
              <w:rPr>
                <w:b/>
              </w:rPr>
            </w:pPr>
            <w:r w:rsidRPr="00974FFF">
              <w:rPr>
                <w:b/>
              </w:rPr>
              <w:t>Ieņēmumi par nomu/īri un komunālajiem pakalpojumiem:</w:t>
            </w:r>
          </w:p>
          <w:p w14:paraId="4D28B8DB" w14:textId="77777777" w:rsidR="00D97183" w:rsidRPr="00BD4C6A" w:rsidRDefault="00D97183" w:rsidP="00D97183">
            <w:pPr>
              <w:pStyle w:val="Heading3"/>
              <w:shd w:val="clear" w:color="auto" w:fill="FFFFFF"/>
              <w:spacing w:before="0" w:line="240" w:lineRule="auto"/>
              <w:ind w:left="850" w:right="150" w:firstLine="0"/>
              <w:rPr>
                <w:rFonts w:ascii="Times New Roman" w:eastAsiaTheme="minorHAnsi" w:hAnsi="Times New Roman" w:cstheme="minorBidi"/>
                <w:b w:val="0"/>
                <w:bCs w:val="0"/>
                <w:color w:val="auto"/>
              </w:rPr>
            </w:pPr>
            <w:r w:rsidRPr="00BD4C6A">
              <w:rPr>
                <w:rFonts w:ascii="Times New Roman" w:eastAsiaTheme="minorHAnsi" w:hAnsi="Times New Roman" w:cstheme="minorBidi"/>
                <w:b w:val="0"/>
                <w:bCs w:val="0"/>
                <w:color w:val="auto"/>
              </w:rPr>
              <w:t>Harmonizējot ieņēmumu klasifik</w:t>
            </w:r>
            <w:r>
              <w:rPr>
                <w:rFonts w:ascii="Times New Roman" w:eastAsiaTheme="minorHAnsi" w:hAnsi="Times New Roman" w:cstheme="minorBidi"/>
                <w:b w:val="0"/>
                <w:bCs w:val="0"/>
                <w:color w:val="auto"/>
              </w:rPr>
              <w:t>ā</w:t>
            </w:r>
            <w:r w:rsidRPr="00BD4C6A">
              <w:rPr>
                <w:rFonts w:ascii="Times New Roman" w:eastAsiaTheme="minorHAnsi" w:hAnsi="Times New Roman" w:cstheme="minorBidi"/>
                <w:b w:val="0"/>
                <w:bCs w:val="0"/>
                <w:color w:val="auto"/>
              </w:rPr>
              <w:t xml:space="preserve">ciju ar 2019.gadā veiktiem grozījumiem budžetu izdevumu klasifikācijā (2019.gada 15.oktobra Ministru kabineta noteikumi </w:t>
            </w:r>
            <w:r>
              <w:rPr>
                <w:rFonts w:ascii="Times New Roman" w:eastAsiaTheme="minorHAnsi" w:hAnsi="Times New Roman" w:cstheme="minorBidi"/>
                <w:b w:val="0"/>
                <w:bCs w:val="0"/>
                <w:color w:val="auto"/>
              </w:rPr>
              <w:t>Nr.482</w:t>
            </w:r>
            <w:r w:rsidRPr="00BD4C6A">
              <w:rPr>
                <w:rFonts w:ascii="Times New Roman" w:eastAsiaTheme="minorHAnsi" w:hAnsi="Times New Roman" w:cstheme="minorBidi"/>
                <w:b w:val="0"/>
                <w:bCs w:val="0"/>
                <w:color w:val="auto"/>
              </w:rPr>
              <w:t xml:space="preserve"> “Grozījumi Ministru kabineta 2005. gada 27. decembra noteikumos Nr. 1031 "</w:t>
            </w:r>
            <w:hyperlink r:id="rId13" w:tgtFrame="_blank" w:history="1">
              <w:r w:rsidRPr="00BD4C6A">
                <w:rPr>
                  <w:rFonts w:ascii="Times New Roman" w:eastAsiaTheme="minorHAnsi" w:hAnsi="Times New Roman" w:cstheme="minorBidi"/>
                  <w:b w:val="0"/>
                  <w:bCs w:val="0"/>
                  <w:color w:val="auto"/>
                </w:rPr>
                <w:t>Noteikumi par budžetu izdevumu klasifikāciju atbilstoši ekonomiskajām kategorijām</w:t>
              </w:r>
            </w:hyperlink>
            <w:r w:rsidRPr="00BD4C6A">
              <w:rPr>
                <w:rFonts w:ascii="Times New Roman" w:eastAsiaTheme="minorHAnsi" w:hAnsi="Times New Roman" w:cstheme="minorBidi"/>
                <w:b w:val="0"/>
                <w:bCs w:val="0"/>
                <w:color w:val="auto"/>
              </w:rPr>
              <w:t xml:space="preserve">"), tiek papildināti kodu skaidrojumi, atrunājot izīrētāja rīcību ar komunālo pakalpojumu un citiem uz faktisko patēriņu balstītiem maksājumiem, kas saņemti no īrnieka. Iznomātājs, kas ir budžeta iestāde, no nomnieka saņemtos maksājumus uzskaita ieņēmumos. Ja iznomātājs pats sniedz komunālos pakalpojumus, tad ieņēmumus par šiem pakalpojumiem uzskaita atbilstoši to ekonomiskai būtībai (piemēram, 21.3.9.4 «Ieņēmumi par komunālajiem pakalpojumiem»). Ja iznomātājs pats nesniedz komunālos pakalpojumus (bet pats maksā tālāk pakalpojuma sniedzējam, piemēram </w:t>
            </w:r>
            <w:r>
              <w:rPr>
                <w:rFonts w:ascii="Times New Roman" w:eastAsiaTheme="minorHAnsi" w:hAnsi="Times New Roman" w:cstheme="minorBidi"/>
                <w:b w:val="0"/>
                <w:bCs w:val="0"/>
                <w:color w:val="auto"/>
              </w:rPr>
              <w:t>AS “</w:t>
            </w:r>
            <w:r w:rsidRPr="00BD4C6A">
              <w:rPr>
                <w:rFonts w:ascii="Times New Roman" w:eastAsiaTheme="minorHAnsi" w:hAnsi="Times New Roman" w:cstheme="minorBidi"/>
                <w:b w:val="0"/>
                <w:bCs w:val="0"/>
                <w:color w:val="auto"/>
              </w:rPr>
              <w:t>Latvenergo</w:t>
            </w:r>
            <w:r>
              <w:rPr>
                <w:rFonts w:ascii="Times New Roman" w:eastAsiaTheme="minorHAnsi" w:hAnsi="Times New Roman" w:cstheme="minorBidi"/>
                <w:b w:val="0"/>
                <w:bCs w:val="0"/>
                <w:color w:val="auto"/>
              </w:rPr>
              <w:t>”</w:t>
            </w:r>
            <w:r w:rsidRPr="00BD4C6A">
              <w:rPr>
                <w:rFonts w:ascii="Times New Roman" w:eastAsiaTheme="minorHAnsi" w:hAnsi="Times New Roman" w:cstheme="minorBidi"/>
                <w:b w:val="0"/>
                <w:bCs w:val="0"/>
                <w:color w:val="auto"/>
              </w:rPr>
              <w:t>), tad no nomnieka saņemto summu attiecina uz 21.3.8.1 «Ieņēmumi par telpu nomu».</w:t>
            </w:r>
          </w:p>
          <w:p w14:paraId="2E488F16" w14:textId="77777777" w:rsidR="00D97183" w:rsidRDefault="00D97183" w:rsidP="00D97183">
            <w:pPr>
              <w:pStyle w:val="PlainText"/>
              <w:ind w:left="850" w:right="150"/>
              <w:jc w:val="both"/>
              <w:rPr>
                <w:rFonts w:ascii="Times New Roman" w:hAnsi="Times New Roman"/>
                <w:color w:val="auto"/>
                <w:sz w:val="24"/>
                <w:szCs w:val="22"/>
              </w:rPr>
            </w:pPr>
            <w:r w:rsidRPr="00D929D1">
              <w:rPr>
                <w:rFonts w:ascii="Times New Roman" w:hAnsi="Times New Roman"/>
                <w:color w:val="auto"/>
                <w:sz w:val="24"/>
                <w:szCs w:val="22"/>
              </w:rPr>
              <w:t>Uzsveram, ka koda 21.3.8.0.</w:t>
            </w:r>
            <w:r>
              <w:rPr>
                <w:rFonts w:ascii="Times New Roman" w:hAnsi="Times New Roman"/>
                <w:color w:val="auto"/>
                <w:sz w:val="24"/>
                <w:szCs w:val="22"/>
              </w:rPr>
              <w:t xml:space="preserve"> “Ieņēmumi par nomu un īri”</w:t>
            </w:r>
            <w:r w:rsidRPr="00D929D1">
              <w:rPr>
                <w:rFonts w:ascii="Times New Roman" w:hAnsi="Times New Roman"/>
                <w:color w:val="auto"/>
                <w:sz w:val="24"/>
                <w:szCs w:val="22"/>
              </w:rPr>
              <w:t xml:space="preserve"> </w:t>
            </w:r>
            <w:proofErr w:type="spellStart"/>
            <w:r w:rsidRPr="00D929D1">
              <w:rPr>
                <w:rFonts w:ascii="Times New Roman" w:hAnsi="Times New Roman"/>
                <w:color w:val="auto"/>
                <w:sz w:val="24"/>
                <w:szCs w:val="22"/>
              </w:rPr>
              <w:t>apakškodos</w:t>
            </w:r>
            <w:proofErr w:type="spellEnd"/>
            <w:r w:rsidRPr="00D929D1">
              <w:rPr>
                <w:rFonts w:ascii="Times New Roman" w:hAnsi="Times New Roman"/>
                <w:color w:val="auto"/>
                <w:sz w:val="24"/>
                <w:szCs w:val="22"/>
              </w:rPr>
              <w:t xml:space="preserve"> tiek attiecināti tādi ieņēmumi, kas rodas no budžeta iestādes sniegtajiem maksas pakalpojumiem, savukārt ieņēmumi no pašvaldības īpašuma iznomāšanas jāuzskaita kodā 13.5.0.0.</w:t>
            </w:r>
            <w:r>
              <w:rPr>
                <w:rFonts w:ascii="Times New Roman" w:hAnsi="Times New Roman"/>
                <w:color w:val="auto"/>
                <w:sz w:val="24"/>
                <w:szCs w:val="22"/>
              </w:rPr>
              <w:t xml:space="preserve"> “</w:t>
            </w:r>
            <w:r w:rsidRPr="00E149C2">
              <w:rPr>
                <w:rFonts w:ascii="Times New Roman" w:hAnsi="Times New Roman"/>
                <w:color w:val="auto"/>
                <w:sz w:val="24"/>
                <w:szCs w:val="22"/>
              </w:rPr>
              <w:t>Ieņēmumi no valsts un pašvaldību īpašuma iznomāšanas”</w:t>
            </w:r>
            <w:r w:rsidRPr="00D929D1">
              <w:rPr>
                <w:rFonts w:ascii="Times New Roman" w:hAnsi="Times New Roman"/>
                <w:color w:val="auto"/>
                <w:sz w:val="24"/>
                <w:szCs w:val="22"/>
              </w:rPr>
              <w:t xml:space="preserve">. Attiecīgi ir svarīgi – kas ir līguma slēdzējs un ieņēmumu saņēmējs: pašvaldības </w:t>
            </w:r>
            <w:r>
              <w:rPr>
                <w:rFonts w:ascii="Times New Roman" w:hAnsi="Times New Roman"/>
                <w:color w:val="auto"/>
                <w:sz w:val="24"/>
                <w:szCs w:val="22"/>
              </w:rPr>
              <w:t xml:space="preserve">budžeta </w:t>
            </w:r>
            <w:r w:rsidRPr="00D929D1">
              <w:rPr>
                <w:rFonts w:ascii="Times New Roman" w:hAnsi="Times New Roman"/>
                <w:color w:val="auto"/>
                <w:sz w:val="24"/>
                <w:szCs w:val="22"/>
              </w:rPr>
              <w:t xml:space="preserve">iestāde, vai pašvaldība kā publiskās pārvaldes orgāns. </w:t>
            </w:r>
          </w:p>
          <w:p w14:paraId="30A61D8E" w14:textId="77777777" w:rsidR="00D97183" w:rsidRDefault="00D97183" w:rsidP="00D97183">
            <w:pPr>
              <w:pStyle w:val="PlainText"/>
              <w:ind w:left="850" w:right="150"/>
              <w:jc w:val="both"/>
              <w:rPr>
                <w:rFonts w:ascii="Times New Roman" w:hAnsi="Times New Roman"/>
                <w:color w:val="auto"/>
                <w:sz w:val="24"/>
                <w:szCs w:val="22"/>
              </w:rPr>
            </w:pPr>
            <w:r>
              <w:rPr>
                <w:rFonts w:ascii="Times New Roman" w:hAnsi="Times New Roman"/>
                <w:color w:val="auto"/>
                <w:sz w:val="24"/>
                <w:szCs w:val="22"/>
              </w:rPr>
              <w:t xml:space="preserve">Tiek precizēts koda 21.3.8.1. “Ieņēmumi par telpu nomu” nosaukums, </w:t>
            </w:r>
            <w:r w:rsidRPr="00BD4C6A">
              <w:rPr>
                <w:rFonts w:ascii="Times New Roman" w:hAnsi="Times New Roman"/>
                <w:color w:val="auto"/>
                <w:sz w:val="24"/>
                <w:szCs w:val="22"/>
              </w:rPr>
              <w:t>lai nepārprotami uzsvērtu, ka uz kodu 21.3.8.1. attiecina nedzīvojamo platību un cita nekustāmā īpašuma nomu, savukārt dzīvojamās pl</w:t>
            </w:r>
            <w:r>
              <w:rPr>
                <w:rFonts w:ascii="Times New Roman" w:hAnsi="Times New Roman"/>
                <w:color w:val="auto"/>
                <w:sz w:val="24"/>
                <w:szCs w:val="22"/>
              </w:rPr>
              <w:t>a</w:t>
            </w:r>
            <w:r w:rsidRPr="00BD4C6A">
              <w:rPr>
                <w:rFonts w:ascii="Times New Roman" w:hAnsi="Times New Roman"/>
                <w:color w:val="auto"/>
                <w:sz w:val="24"/>
                <w:szCs w:val="22"/>
              </w:rPr>
              <w:t>tības attiecina uz kodu 21.3.8.9.</w:t>
            </w:r>
            <w:r>
              <w:rPr>
                <w:rFonts w:ascii="Times New Roman" w:hAnsi="Times New Roman"/>
                <w:color w:val="auto"/>
                <w:sz w:val="24"/>
                <w:szCs w:val="22"/>
              </w:rPr>
              <w:t xml:space="preserve"> “Pārējie ieņēmumi par nomu un īri”. Tiek precizēts arī šī koda skaidrojums, svītrojot medību tiesību nomu</w:t>
            </w:r>
            <w:r w:rsidRPr="00BD4C6A">
              <w:rPr>
                <w:rFonts w:ascii="Times New Roman" w:hAnsi="Times New Roman"/>
                <w:color w:val="auto"/>
                <w:sz w:val="24"/>
                <w:szCs w:val="22"/>
              </w:rPr>
              <w:t>, jo tā jau ir ietverta kodā 21.3.8.9.</w:t>
            </w:r>
          </w:p>
          <w:p w14:paraId="6FC88CE7" w14:textId="77777777" w:rsidR="00D97183" w:rsidRDefault="00D97183" w:rsidP="00D97183">
            <w:pPr>
              <w:pStyle w:val="PlainText"/>
              <w:ind w:left="850" w:right="150"/>
              <w:jc w:val="both"/>
              <w:rPr>
                <w:rFonts w:ascii="Times New Roman" w:hAnsi="Times New Roman"/>
                <w:color w:val="auto"/>
                <w:sz w:val="24"/>
                <w:szCs w:val="22"/>
              </w:rPr>
            </w:pPr>
            <w:r>
              <w:rPr>
                <w:rFonts w:ascii="Times New Roman" w:hAnsi="Times New Roman"/>
                <w:color w:val="auto"/>
                <w:sz w:val="24"/>
                <w:szCs w:val="22"/>
              </w:rPr>
              <w:t>Tiek papildināts koda 21.3.8.2. “Ieņēmumi par viesnīcu pakalpojumiem” skaidrojums, norādot, ka uz kodu attiecina ieņēmumus par dienesta dzīvojamām telpām (dzīvokļiem) profesionālā dienesta karavīriem, kā arī saņemtos komunālos pakalpojumus un citus maksājumus, ja tie nav iekļauti viesnīcas īres maksā.</w:t>
            </w:r>
          </w:p>
          <w:p w14:paraId="7BD25C38" w14:textId="77777777" w:rsidR="00D97183" w:rsidRDefault="00D97183" w:rsidP="00D97183">
            <w:pPr>
              <w:pStyle w:val="PlainText"/>
              <w:ind w:left="850" w:right="150"/>
              <w:jc w:val="both"/>
              <w:rPr>
                <w:rFonts w:ascii="Times New Roman" w:hAnsi="Times New Roman"/>
                <w:color w:val="auto"/>
                <w:sz w:val="24"/>
                <w:szCs w:val="22"/>
              </w:rPr>
            </w:pPr>
            <w:r>
              <w:rPr>
                <w:rFonts w:ascii="Times New Roman" w:hAnsi="Times New Roman"/>
                <w:color w:val="auto"/>
                <w:sz w:val="24"/>
                <w:szCs w:val="22"/>
              </w:rPr>
              <w:t>Koda 21.3.8.9. “Pārējie ieņēmumi par nomu un īri” skaidrojumā tiek precizēta i</w:t>
            </w:r>
            <w:r w:rsidRPr="00903975">
              <w:rPr>
                <w:rFonts w:ascii="Times New Roman" w:hAnsi="Times New Roman"/>
                <w:color w:val="auto"/>
                <w:sz w:val="24"/>
                <w:szCs w:val="22"/>
              </w:rPr>
              <w:t>zīrētāja rīcīb</w:t>
            </w:r>
            <w:r>
              <w:rPr>
                <w:rFonts w:ascii="Times New Roman" w:hAnsi="Times New Roman"/>
                <w:color w:val="auto"/>
                <w:sz w:val="24"/>
                <w:szCs w:val="22"/>
              </w:rPr>
              <w:t>a</w:t>
            </w:r>
            <w:r w:rsidRPr="00903975">
              <w:rPr>
                <w:rFonts w:ascii="Times New Roman" w:hAnsi="Times New Roman"/>
                <w:color w:val="auto"/>
                <w:sz w:val="24"/>
                <w:szCs w:val="22"/>
              </w:rPr>
              <w:t xml:space="preserve"> ar komunālo pakalpojumu un citiem uz faktisko patēriņu balstīt</w:t>
            </w:r>
            <w:r>
              <w:rPr>
                <w:rFonts w:ascii="Times New Roman" w:hAnsi="Times New Roman"/>
                <w:color w:val="auto"/>
                <w:sz w:val="24"/>
                <w:szCs w:val="22"/>
              </w:rPr>
              <w:t>i</w:t>
            </w:r>
            <w:r w:rsidRPr="00903975">
              <w:rPr>
                <w:rFonts w:ascii="Times New Roman" w:hAnsi="Times New Roman"/>
                <w:color w:val="auto"/>
                <w:sz w:val="24"/>
                <w:szCs w:val="22"/>
              </w:rPr>
              <w:t>em maksājumiem, kas saņemti no īrnieka.</w:t>
            </w:r>
          </w:p>
          <w:p w14:paraId="5028DC89" w14:textId="77777777" w:rsidR="00D97183" w:rsidRPr="00D929D1" w:rsidRDefault="00D97183" w:rsidP="00D97183">
            <w:pPr>
              <w:pStyle w:val="PlainText"/>
              <w:ind w:left="850" w:right="150"/>
              <w:jc w:val="both"/>
              <w:rPr>
                <w:rFonts w:ascii="Times New Roman" w:hAnsi="Times New Roman"/>
                <w:color w:val="auto"/>
                <w:sz w:val="24"/>
                <w:szCs w:val="22"/>
              </w:rPr>
            </w:pPr>
            <w:r w:rsidRPr="00E90D3C">
              <w:rPr>
                <w:rFonts w:ascii="Times New Roman" w:hAnsi="Times New Roman"/>
                <w:color w:val="auto"/>
                <w:sz w:val="24"/>
                <w:szCs w:val="22"/>
              </w:rPr>
              <w:t xml:space="preserve">Papildināts koda </w:t>
            </w:r>
            <w:r>
              <w:rPr>
                <w:rFonts w:ascii="Times New Roman" w:hAnsi="Times New Roman"/>
                <w:color w:val="auto"/>
                <w:sz w:val="24"/>
                <w:szCs w:val="22"/>
              </w:rPr>
              <w:t>21.3.9.4. skaidrojums, uzsve</w:t>
            </w:r>
            <w:r w:rsidRPr="00E90D3C">
              <w:rPr>
                <w:rFonts w:ascii="Times New Roman" w:hAnsi="Times New Roman"/>
                <w:color w:val="auto"/>
                <w:sz w:val="24"/>
                <w:szCs w:val="22"/>
              </w:rPr>
              <w:t xml:space="preserve">rot, ka šajā kodā saņem ieņēmumus no komunālajiem maksājumiem tikai tad, ja iestāde pati šos komunālos pakalpojumus sniedz. Ja iestāde (izīrētājs) saņem no īrnieka komunālo pakalpojumu maksājumu, ko tālāk pārskaita </w:t>
            </w:r>
            <w:r w:rsidRPr="00E90D3C">
              <w:rPr>
                <w:rFonts w:ascii="Times New Roman" w:hAnsi="Times New Roman"/>
                <w:color w:val="auto"/>
                <w:sz w:val="24"/>
                <w:szCs w:val="22"/>
              </w:rPr>
              <w:lastRenderedPageBreak/>
              <w:t xml:space="preserve">pakalpojuma sniedzējam, tad piemēro 21.3.8.0. atbilstošos </w:t>
            </w:r>
            <w:proofErr w:type="spellStart"/>
            <w:r w:rsidRPr="00E90D3C">
              <w:rPr>
                <w:rFonts w:ascii="Times New Roman" w:hAnsi="Times New Roman"/>
                <w:color w:val="auto"/>
                <w:sz w:val="24"/>
                <w:szCs w:val="22"/>
              </w:rPr>
              <w:t>apakškodus</w:t>
            </w:r>
            <w:proofErr w:type="spellEnd"/>
            <w:r w:rsidRPr="00E90D3C">
              <w:rPr>
                <w:rFonts w:ascii="Times New Roman" w:hAnsi="Times New Roman"/>
                <w:color w:val="auto"/>
                <w:sz w:val="24"/>
                <w:szCs w:val="22"/>
              </w:rPr>
              <w:t>.</w:t>
            </w:r>
          </w:p>
          <w:p w14:paraId="4AA147EA" w14:textId="77777777" w:rsidR="00D97183" w:rsidRDefault="00D97183" w:rsidP="00D97183">
            <w:pPr>
              <w:pStyle w:val="ListParagraph"/>
              <w:spacing w:line="240" w:lineRule="auto"/>
              <w:ind w:left="990" w:right="142" w:firstLine="0"/>
            </w:pPr>
          </w:p>
          <w:p w14:paraId="2850B52D" w14:textId="77777777" w:rsidR="00D97183" w:rsidRPr="00974FFF" w:rsidRDefault="00D97183" w:rsidP="00D97183">
            <w:pPr>
              <w:pStyle w:val="ListParagraph"/>
              <w:numPr>
                <w:ilvl w:val="0"/>
                <w:numId w:val="23"/>
              </w:numPr>
              <w:spacing w:line="240" w:lineRule="auto"/>
              <w:ind w:right="142"/>
              <w:rPr>
                <w:b/>
              </w:rPr>
            </w:pPr>
            <w:r w:rsidRPr="00974FFF">
              <w:rPr>
                <w:b/>
              </w:rPr>
              <w:t>Kodu apvienošana/svītrošana optimizējot ieņēmumu klasifikāciju:</w:t>
            </w:r>
          </w:p>
          <w:p w14:paraId="3B4338AB" w14:textId="77777777" w:rsidR="00D97183" w:rsidRDefault="00D97183" w:rsidP="00D97183">
            <w:pPr>
              <w:pStyle w:val="ListParagraph"/>
              <w:numPr>
                <w:ilvl w:val="1"/>
                <w:numId w:val="23"/>
              </w:numPr>
              <w:spacing w:line="240" w:lineRule="auto"/>
              <w:ind w:left="990" w:right="142"/>
            </w:pPr>
            <w:r w:rsidRPr="00306D03">
              <w:t xml:space="preserve">Papildināts koda </w:t>
            </w:r>
            <w:r>
              <w:t>8.6.3.0. “</w:t>
            </w:r>
            <w:r w:rsidRPr="00306D03">
              <w:t>Procentu ieņēmumi par ieguldījumiem parāda vērtspapīros un par aizņēmumiem ar negatīvu procentu likmi</w:t>
            </w:r>
            <w:r>
              <w:t xml:space="preserve">” </w:t>
            </w:r>
            <w:r w:rsidRPr="00306D03">
              <w:t xml:space="preserve">skaidrojums ar atsauci uz procentu ieturējumiem no </w:t>
            </w:r>
            <w:proofErr w:type="spellStart"/>
            <w:r w:rsidRPr="00306D03">
              <w:t>krājobligāciju</w:t>
            </w:r>
            <w:proofErr w:type="spellEnd"/>
            <w:r w:rsidRPr="00306D03">
              <w:t xml:space="preserve"> pirmstermiņa dzēšanas</w:t>
            </w:r>
            <w:r>
              <w:t xml:space="preserve">, kā arī tiek svītroti kodi </w:t>
            </w:r>
            <w:r w:rsidRPr="00306D03">
              <w:t>8.6.3.1.</w:t>
            </w:r>
            <w:r>
              <w:t xml:space="preserve"> “</w:t>
            </w:r>
            <w:r w:rsidRPr="00306D03">
              <w:t>Budžeta procentu ieņēmumi par ieguldījumiem rezidentu parāda vērtspapīros un par aizņēmumiem ar negatīvu procentu likmi</w:t>
            </w:r>
            <w:r>
              <w:t xml:space="preserve">” un </w:t>
            </w:r>
            <w:r w:rsidRPr="00306D03">
              <w:t>8.6.3.2.</w:t>
            </w:r>
            <w:r>
              <w:t xml:space="preserve"> “</w:t>
            </w:r>
            <w:r w:rsidRPr="00306D03">
              <w:t>Budžeta procentu ieņēmumi par ieguldījumiem nerezidentu parāda vērtspapīros un par aizņēmumiem ar negatīvu procentu likmi</w:t>
            </w:r>
            <w:r>
              <w:t xml:space="preserve">” un to skaidrojumi, </w:t>
            </w:r>
            <w:r w:rsidRPr="00306D03">
              <w:t xml:space="preserve">atstājot </w:t>
            </w:r>
            <w:proofErr w:type="spellStart"/>
            <w:r w:rsidRPr="00306D03">
              <w:t>virskodu</w:t>
            </w:r>
            <w:proofErr w:type="spellEnd"/>
            <w:r w:rsidRPr="00306D03">
              <w:t>, harmonizējot ar pārējo klasifikācijas struktūru (šis ir vienīgais darījums, kur ieņēmumu kodi sadalīti atbilstoši rezidentūrai).</w:t>
            </w:r>
          </w:p>
          <w:p w14:paraId="1CE1D03D" w14:textId="77777777" w:rsidR="00D97183" w:rsidRDefault="00D97183" w:rsidP="00D97183">
            <w:pPr>
              <w:pStyle w:val="ListParagraph"/>
              <w:numPr>
                <w:ilvl w:val="1"/>
                <w:numId w:val="23"/>
              </w:numPr>
              <w:spacing w:line="240" w:lineRule="auto"/>
              <w:ind w:left="990" w:right="142"/>
            </w:pPr>
            <w:r>
              <w:t xml:space="preserve">Tiek svītroti </w:t>
            </w:r>
            <w:proofErr w:type="spellStart"/>
            <w:r>
              <w:t>apakškodi</w:t>
            </w:r>
            <w:proofErr w:type="spellEnd"/>
            <w:r>
              <w:t xml:space="preserve"> </w:t>
            </w:r>
            <w:r w:rsidRPr="009A0BF8">
              <w:t>9.3.8.1.</w:t>
            </w:r>
            <w:r>
              <w:t xml:space="preserve"> “</w:t>
            </w:r>
            <w:r w:rsidRPr="009A0BF8">
              <w:t>Nodeva par 1.kategorijas benzīna un aviācijas degvielas (tonnas) uzturēšanu</w:t>
            </w:r>
            <w:r>
              <w:t>”, 9.3.8.2</w:t>
            </w:r>
            <w:r w:rsidRPr="009A0BF8">
              <w:t>.</w:t>
            </w:r>
            <w:r>
              <w:t xml:space="preserve"> “</w:t>
            </w:r>
            <w:r w:rsidRPr="009A0BF8">
              <w:t>Nodeva par 2.kategorijas petrolejas veida reaktīvās degvielas (tonnas) uzturēšanu</w:t>
            </w:r>
            <w:r>
              <w:t>”, 9.3.8.3</w:t>
            </w:r>
            <w:r w:rsidRPr="009A0BF8">
              <w:t>.</w:t>
            </w:r>
            <w:r>
              <w:t xml:space="preserve"> “</w:t>
            </w:r>
            <w:r w:rsidRPr="009A0BF8">
              <w:t>Nodeva par 2.kategorijas petrolejas un dīzeļdegvielas (tonnas) uzturēšanu</w:t>
            </w:r>
            <w:r>
              <w:t>” un 9.3.8.4</w:t>
            </w:r>
            <w:r w:rsidRPr="009A0BF8">
              <w:t>.</w:t>
            </w:r>
            <w:r>
              <w:t xml:space="preserve"> “</w:t>
            </w:r>
            <w:r w:rsidRPr="009A0BF8">
              <w:t>Nodeva par 3.kategorijas degvieleļļas (tonnas) uzturēšanu</w:t>
            </w:r>
            <w:r>
              <w:t xml:space="preserve">”, atstājot </w:t>
            </w:r>
            <w:proofErr w:type="spellStart"/>
            <w:r>
              <w:t>virskodu</w:t>
            </w:r>
            <w:proofErr w:type="spellEnd"/>
            <w:r>
              <w:t>, jo atbildīgā ministrija var nodrošināt detalizētāku informāciju iekšējā uzskaitē.</w:t>
            </w:r>
          </w:p>
          <w:p w14:paraId="1DFE7F04" w14:textId="77777777" w:rsidR="00D97183" w:rsidRDefault="00D97183" w:rsidP="00D97183">
            <w:pPr>
              <w:pStyle w:val="ListParagraph"/>
              <w:numPr>
                <w:ilvl w:val="1"/>
                <w:numId w:val="23"/>
              </w:numPr>
              <w:spacing w:line="240" w:lineRule="auto"/>
              <w:ind w:left="990" w:right="142"/>
            </w:pPr>
            <w:r>
              <w:t xml:space="preserve">Precizēts koda </w:t>
            </w:r>
            <w:r w:rsidRPr="00916D4B">
              <w:t>9.9.0.0.</w:t>
            </w:r>
            <w:r>
              <w:t xml:space="preserve"> “</w:t>
            </w:r>
            <w:r w:rsidRPr="00916D4B">
              <w:t>Pārējās nodevas</w:t>
            </w:r>
            <w:r>
              <w:t xml:space="preserve">” nosaukums, jo </w:t>
            </w:r>
            <w:proofErr w:type="spellStart"/>
            <w:r>
              <w:t>apakškods</w:t>
            </w:r>
            <w:proofErr w:type="spellEnd"/>
            <w:r>
              <w:t xml:space="preserve"> 9.9.1.0. “</w:t>
            </w:r>
            <w:r w:rsidRPr="00916D4B">
              <w:t>Pārējās nodevas, kas iemaksātas valsts budžetā</w:t>
            </w:r>
            <w:r>
              <w:t xml:space="preserve">” tiek pievienots </w:t>
            </w:r>
            <w:proofErr w:type="spellStart"/>
            <w:r>
              <w:t>virskodam</w:t>
            </w:r>
            <w:proofErr w:type="spellEnd"/>
            <w:r>
              <w:t xml:space="preserve">, bet </w:t>
            </w:r>
            <w:proofErr w:type="spellStart"/>
            <w:r>
              <w:t>apakškods</w:t>
            </w:r>
            <w:proofErr w:type="spellEnd"/>
            <w:r>
              <w:t xml:space="preserve"> </w:t>
            </w:r>
            <w:r w:rsidRPr="00916D4B">
              <w:t>9.9.2.0.</w:t>
            </w:r>
            <w:r>
              <w:t xml:space="preserve"> “</w:t>
            </w:r>
            <w:r w:rsidRPr="00916D4B">
              <w:t>Pārējās nodevas, kas iemaksātas pašvaldību budžetā</w:t>
            </w:r>
            <w:r>
              <w:t xml:space="preserve">” tiek svītrots, jo </w:t>
            </w:r>
            <w:r w:rsidRPr="00916D4B">
              <w:t>"pārējās" valsts nodevas, kas ieskaitītas pašvaldību budžetā, tiek attiecinātas uz kodu 9.4.9.0</w:t>
            </w:r>
            <w:r>
              <w:t>. “</w:t>
            </w:r>
            <w:r w:rsidRPr="00916D4B">
              <w:t>Pārējās valsts nodevas, kuras ieskaita pašvaldību budžetā</w:t>
            </w:r>
            <w:r>
              <w:t>”</w:t>
            </w:r>
            <w:r w:rsidRPr="00916D4B">
              <w:t>, bet</w:t>
            </w:r>
            <w:r>
              <w:t xml:space="preserve"> "pārējās" pašvaldību nodevas </w:t>
            </w:r>
            <w:r w:rsidRPr="00916D4B">
              <w:t xml:space="preserve">uz </w:t>
            </w:r>
            <w:r>
              <w:t xml:space="preserve">kodu </w:t>
            </w:r>
            <w:r w:rsidRPr="00916D4B">
              <w:t>9.5.2.9</w:t>
            </w:r>
            <w:r>
              <w:t>. “</w:t>
            </w:r>
            <w:r w:rsidRPr="00916D4B">
              <w:t>Pārējās nodevas, ko uzliek pašvaldības</w:t>
            </w:r>
            <w:r>
              <w:t>”;</w:t>
            </w:r>
          </w:p>
          <w:p w14:paraId="475B8189" w14:textId="77777777" w:rsidR="00D97183" w:rsidRDefault="00D97183" w:rsidP="00D97183">
            <w:pPr>
              <w:pStyle w:val="ListParagraph"/>
              <w:numPr>
                <w:ilvl w:val="1"/>
                <w:numId w:val="23"/>
              </w:numPr>
              <w:spacing w:line="240" w:lineRule="auto"/>
              <w:ind w:left="990" w:right="142"/>
            </w:pPr>
            <w:r>
              <w:t>Kods 10.1.1.8. “</w:t>
            </w:r>
            <w:r w:rsidRPr="000F1A35">
              <w:t>Naudas sodi, ko uzliek Autotransporta direkcija</w:t>
            </w:r>
            <w:r>
              <w:t>” tiek svītrots, jo Autotransporta direkcija neuzliek sodus;</w:t>
            </w:r>
          </w:p>
          <w:p w14:paraId="1C8550BE" w14:textId="77777777" w:rsidR="00D97183" w:rsidRDefault="00D97183" w:rsidP="00D97183">
            <w:pPr>
              <w:pStyle w:val="ListParagraph"/>
              <w:numPr>
                <w:ilvl w:val="1"/>
                <w:numId w:val="23"/>
              </w:numPr>
              <w:spacing w:line="240" w:lineRule="auto"/>
              <w:ind w:left="990" w:right="142"/>
            </w:pPr>
            <w:r>
              <w:t>Tiek svītrots kods 12.2.9.0. “</w:t>
            </w:r>
            <w:r w:rsidRPr="00501568">
              <w:t>Ieņēmumi no mobilo telekomunikāciju licences izsoles</w:t>
            </w:r>
            <w:r>
              <w:t xml:space="preserve">”, jo tas vairs nav aktuāls. Tā kā tika uzdoti jautājumi par ieņēmumiem </w:t>
            </w:r>
            <w:r w:rsidRPr="00501568">
              <w:t>par radiofrekvenču spektra izsolēm, ko organizē Sabiedrisko pakalpojumu regulēšanas komisija</w:t>
            </w:r>
            <w:r>
              <w:t xml:space="preserve">, paskaidrojam, ka šādi ieņēmumi </w:t>
            </w:r>
            <w:r w:rsidRPr="00501568">
              <w:t>jāattiecina uz kodu 12.3.9.9.</w:t>
            </w:r>
            <w:r>
              <w:t xml:space="preserve"> “</w:t>
            </w:r>
            <w:r w:rsidRPr="00501568">
              <w:t xml:space="preserve">Pārējie dažādi </w:t>
            </w:r>
            <w:proofErr w:type="spellStart"/>
            <w:r w:rsidRPr="00501568">
              <w:t>nenodokļu</w:t>
            </w:r>
            <w:proofErr w:type="spellEnd"/>
            <w:r w:rsidRPr="00501568">
              <w:t xml:space="preserve"> ieņēmumi, kas nav iepriekš klasificēti šajā klasifikācijā</w:t>
            </w:r>
            <w:r>
              <w:t>”.</w:t>
            </w:r>
          </w:p>
          <w:p w14:paraId="4177590C" w14:textId="77777777" w:rsidR="00D97183" w:rsidRDefault="00D97183" w:rsidP="00D97183">
            <w:pPr>
              <w:pStyle w:val="ListParagraph"/>
              <w:numPr>
                <w:ilvl w:val="1"/>
                <w:numId w:val="23"/>
              </w:numPr>
              <w:spacing w:line="240" w:lineRule="auto"/>
              <w:ind w:left="990" w:right="142"/>
            </w:pPr>
            <w:r>
              <w:t>Tiek precizēts koda 20.3.0.0. “</w:t>
            </w:r>
            <w:r w:rsidRPr="00501568">
              <w:t>Ieņēmumi no struktūrfondiem</w:t>
            </w:r>
            <w:r>
              <w:t xml:space="preserve">” nosaukums un skaidrojums, jo tam tiek pievienoti jauni </w:t>
            </w:r>
            <w:proofErr w:type="spellStart"/>
            <w:r>
              <w:t>apakškodi</w:t>
            </w:r>
            <w:proofErr w:type="spellEnd"/>
            <w:r>
              <w:t xml:space="preserve"> 20.3.3.0. “</w:t>
            </w:r>
            <w:r w:rsidRPr="004C38FE">
              <w:t>Ieņēmumi no Kohēzijas fonda</w:t>
            </w:r>
            <w:r>
              <w:t>” (pārcelts no koda 20.4.0.0. “</w:t>
            </w:r>
            <w:r w:rsidRPr="004C38FE">
              <w:t>Ieņēmumi no Kohēzijas fonda</w:t>
            </w:r>
            <w:r>
              <w:t>”), 20.3.4.0 “</w:t>
            </w:r>
            <w:r w:rsidRPr="004C38FE">
              <w:t>Ieņēmumi no Eiropas Lauksaimniecības fonda lauku attīstībai</w:t>
            </w:r>
            <w:r>
              <w:t>” (pārcelts no koda 20.5.3.0. “</w:t>
            </w:r>
            <w:r w:rsidRPr="004C38FE">
              <w:t>Ieņēmumi no Eiropas Lauksaimniecības fonda lauku attīstībai</w:t>
            </w:r>
            <w:r>
              <w:t>”), 20.3.5.0. “</w:t>
            </w:r>
            <w:r w:rsidRPr="004C38FE">
              <w:t>Ieņēmumi no Eiropas Jūrlietu un zivsaimniecības fonda</w:t>
            </w:r>
            <w:r>
              <w:t>” (pārcelts no koda 20.5.5.0. “</w:t>
            </w:r>
            <w:r w:rsidRPr="004C38FE">
              <w:t>Ieņēmumi no Eiropas Jūrlietu un zivsaimniecības fonda</w:t>
            </w:r>
            <w:r>
              <w:t>”) un 20.3.6.0. “</w:t>
            </w:r>
            <w:r w:rsidRPr="004C38FE">
              <w:t>Ieņēmumi no Eiropas Lauksaimniecības garantiju fonda</w:t>
            </w:r>
            <w:r>
              <w:t>” (pārcelts no koda 20.5.2.0. “</w:t>
            </w:r>
            <w:r w:rsidRPr="004C38FE">
              <w:t>Ieņēmumi no Eiropas Lauksaimniecības garantiju fonda</w:t>
            </w:r>
            <w:r>
              <w:t xml:space="preserve">”), līdz ar to tiek svītrots kods 20.4.0.0. un kods 20.5.0.0. un visi tā </w:t>
            </w:r>
            <w:proofErr w:type="spellStart"/>
            <w:r>
              <w:t>apakškodi</w:t>
            </w:r>
            <w:proofErr w:type="spellEnd"/>
            <w:r>
              <w:t xml:space="preserve">. Tas tiek darīts, lai zem viena koda atrastos visi klasifikācijā atrunātie </w:t>
            </w:r>
            <w:r>
              <w:lastRenderedPageBreak/>
              <w:t xml:space="preserve">ieņēmumi no Eiropas strukturālajiem un investīciju fondiem, kas līdz šim atradās dažādos kodos, kā arī uzskaitot šajā kodā arī ES lauksaimniecības politikas īstenošanas instrumentus. Kods </w:t>
            </w:r>
            <w:r w:rsidRPr="00B93F41">
              <w:t>20.5.4.0.</w:t>
            </w:r>
            <w:r>
              <w:t xml:space="preserve"> “</w:t>
            </w:r>
            <w:r w:rsidRPr="00B93F41">
              <w:t>Ieņēmumi no Eiropas Zivsaimniecības fonda</w:t>
            </w:r>
            <w:r>
              <w:t xml:space="preserve">” tiek svītrots, jo ir beidzies, tas bija aktuāls </w:t>
            </w:r>
            <w:r w:rsidRPr="00B93F41">
              <w:t>2007-2013 plānošanas periodā.</w:t>
            </w:r>
            <w:r>
              <w:t xml:space="preserve"> Tāpat saistībā ar šīm izmaiņām tiek precizēts koda 21.1.5.0. “</w:t>
            </w:r>
            <w:r w:rsidRPr="008A2E7B">
              <w:t>Eiropas Savienības līdzfinansējums Kohēzijas un Eiropas Savienības struktūrfondu projektu īstenošanai</w:t>
            </w:r>
            <w:r>
              <w:t xml:space="preserve">” nosaukums un skaidrojums. </w:t>
            </w:r>
            <w:r w:rsidRPr="008A2E7B">
              <w:t>Lai arī ieņēmumi šajā kodā pēdējo reizi konstatēti 2014.gadā, tomēr kods tiek saglabāts gadījumā, j</w:t>
            </w:r>
            <w:r>
              <w:t>a notiks izmaiņas Eiropas strukturālo un investīciju</w:t>
            </w:r>
            <w:r w:rsidRPr="008A2E7B">
              <w:t xml:space="preserve"> fondu finansēšanas plūsmās</w:t>
            </w:r>
            <w:r>
              <w:t>.</w:t>
            </w:r>
          </w:p>
          <w:p w14:paraId="1A9FFAE7" w14:textId="77777777" w:rsidR="00D97183" w:rsidRDefault="00D97183" w:rsidP="00D97183">
            <w:pPr>
              <w:pStyle w:val="ListParagraph"/>
              <w:numPr>
                <w:ilvl w:val="1"/>
                <w:numId w:val="23"/>
              </w:numPr>
              <w:spacing w:line="240" w:lineRule="auto"/>
              <w:ind w:left="990" w:right="142"/>
            </w:pPr>
            <w:r>
              <w:t>Tiek svītrots koda 21.1.9.1. “</w:t>
            </w:r>
            <w:r w:rsidRPr="00CE537C">
              <w:t>Ieņēmumi no citu Eiropas Savienības politiku instrumentu līdzfinansēto projektu un pasākumu īstenošanas, kas nav Eiropas Savienības struktūrfondi</w:t>
            </w:r>
            <w:r>
              <w:t xml:space="preserve">” skaidrojums, </w:t>
            </w:r>
            <w:r w:rsidRPr="00CE537C">
              <w:t xml:space="preserve">jo tas lielā mērā dublē </w:t>
            </w:r>
            <w:proofErr w:type="spellStart"/>
            <w:r w:rsidRPr="00CE537C">
              <w:t>virskodā</w:t>
            </w:r>
            <w:proofErr w:type="spellEnd"/>
            <w:r w:rsidRPr="00CE537C">
              <w:t xml:space="preserve"> sniegto skaidrojumu.</w:t>
            </w:r>
            <w:r>
              <w:t xml:space="preserve"> Kodam tiek pievienots kods 21.1.9.2. “</w:t>
            </w:r>
            <w:r w:rsidRPr="00CE537C">
              <w:t>Ieņēmumi no citu valstu finanšu palīdzības programmu īstenošanas</w:t>
            </w:r>
            <w:r>
              <w:t xml:space="preserve">”, </w:t>
            </w:r>
            <w:r w:rsidRPr="00CE537C">
              <w:t>jo finansējuma devēju (ES vai ne ES) ir iespējams noteikt pēc projekta saistību veida.</w:t>
            </w:r>
          </w:p>
          <w:p w14:paraId="066925B8" w14:textId="77777777" w:rsidR="00D97183" w:rsidRDefault="00D97183" w:rsidP="00D97183">
            <w:pPr>
              <w:pStyle w:val="ListParagraph"/>
              <w:numPr>
                <w:ilvl w:val="1"/>
                <w:numId w:val="23"/>
              </w:numPr>
              <w:spacing w:line="240" w:lineRule="auto"/>
              <w:ind w:left="990" w:right="142"/>
            </w:pPr>
            <w:r>
              <w:t>Tiek svītrots kods 21.4.9.9. “</w:t>
            </w:r>
            <w:r w:rsidRPr="00DE3406">
              <w:t>Pārējie iepriekš neklasificētie pašu ieņēmumi</w:t>
            </w:r>
            <w:r>
              <w:t>” un tā skaidrojums, jo tas ir vienīgais koda 21.4.9.0. “</w:t>
            </w:r>
            <w:r w:rsidRPr="00DE3406">
              <w:t>Citi iepriekš neklasificētie pašu ieņēmumi</w:t>
            </w:r>
            <w:r>
              <w:t xml:space="preserve">” </w:t>
            </w:r>
            <w:proofErr w:type="spellStart"/>
            <w:r>
              <w:t>apakškods</w:t>
            </w:r>
            <w:proofErr w:type="spellEnd"/>
            <w:r>
              <w:t>. Ņemot vērā veiktās izmaiņas, tiek precizēts koda 21.4.9.0. skaidrojums;</w:t>
            </w:r>
          </w:p>
          <w:p w14:paraId="0AD8C75C" w14:textId="77777777" w:rsidR="00D97183" w:rsidRDefault="00D97183" w:rsidP="00D97183">
            <w:pPr>
              <w:pStyle w:val="ListParagraph"/>
              <w:numPr>
                <w:ilvl w:val="1"/>
                <w:numId w:val="23"/>
              </w:numPr>
              <w:spacing w:line="240" w:lineRule="auto"/>
              <w:ind w:left="990" w:right="142"/>
            </w:pPr>
            <w:r>
              <w:t>Tā kā kods 21.2.1.0. “</w:t>
            </w:r>
            <w:r w:rsidRPr="00DB2C85">
              <w:t>Ārvalstu finanšu palīdzība atmaksām valsts pamatbudžetam</w:t>
            </w:r>
            <w:r>
              <w:t xml:space="preserve">” </w:t>
            </w:r>
            <w:r w:rsidRPr="00DB2C85">
              <w:t xml:space="preserve">ir </w:t>
            </w:r>
            <w:proofErr w:type="spellStart"/>
            <w:r w:rsidRPr="00DB2C85">
              <w:t>virskoda</w:t>
            </w:r>
            <w:proofErr w:type="spellEnd"/>
            <w:r w:rsidRPr="00DB2C85">
              <w:t xml:space="preserve"> vienīgais </w:t>
            </w:r>
            <w:proofErr w:type="spellStart"/>
            <w:r w:rsidRPr="00DB2C85">
              <w:t>apakškods</w:t>
            </w:r>
            <w:proofErr w:type="spellEnd"/>
            <w:r w:rsidRPr="00DB2C85">
              <w:t xml:space="preserve"> ar identisku nosaukumu, tad tas tiek svītrots</w:t>
            </w:r>
            <w:r>
              <w:t>.</w:t>
            </w:r>
          </w:p>
          <w:p w14:paraId="3964BAC9" w14:textId="77777777" w:rsidR="00D97183" w:rsidRDefault="00D97183" w:rsidP="00D97183">
            <w:pPr>
              <w:pStyle w:val="ListParagraph"/>
              <w:spacing w:line="240" w:lineRule="auto"/>
              <w:ind w:left="990" w:right="142" w:firstLine="0"/>
            </w:pPr>
          </w:p>
          <w:p w14:paraId="685E8ADB" w14:textId="77777777" w:rsidR="00D97183" w:rsidRPr="00974FFF" w:rsidRDefault="00D97183" w:rsidP="00D97183">
            <w:pPr>
              <w:pStyle w:val="ListParagraph"/>
              <w:numPr>
                <w:ilvl w:val="0"/>
                <w:numId w:val="23"/>
              </w:numPr>
              <w:spacing w:line="240" w:lineRule="auto"/>
              <w:ind w:right="142"/>
              <w:rPr>
                <w:b/>
              </w:rPr>
            </w:pPr>
            <w:r w:rsidRPr="00974FFF">
              <w:rPr>
                <w:b/>
              </w:rPr>
              <w:t>Dažādas izmaiņas normatīvajos aktos:</w:t>
            </w:r>
          </w:p>
          <w:p w14:paraId="0E01EB99" w14:textId="77777777" w:rsidR="00D97183" w:rsidRDefault="00D97183" w:rsidP="00D97183">
            <w:pPr>
              <w:pStyle w:val="ListParagraph"/>
              <w:numPr>
                <w:ilvl w:val="1"/>
                <w:numId w:val="23"/>
              </w:numPr>
              <w:spacing w:line="240" w:lineRule="auto"/>
              <w:ind w:left="990" w:right="142"/>
            </w:pPr>
            <w:r>
              <w:t>Koda 1.2.1.0. “</w:t>
            </w:r>
            <w:r w:rsidRPr="00121A06">
              <w:t>Uzņēmumu ienākuma nodoklis</w:t>
            </w:r>
            <w:r>
              <w:t>” skaidrojumā precizēts likuma nosaukums;</w:t>
            </w:r>
          </w:p>
          <w:p w14:paraId="7AB7FF9B" w14:textId="77777777" w:rsidR="00D97183" w:rsidRDefault="00D97183" w:rsidP="00D97183">
            <w:pPr>
              <w:pStyle w:val="ListParagraph"/>
              <w:numPr>
                <w:ilvl w:val="1"/>
                <w:numId w:val="23"/>
              </w:numPr>
              <w:spacing w:line="240" w:lineRule="auto"/>
              <w:ind w:left="990" w:right="142"/>
            </w:pPr>
            <w:r>
              <w:t>Kodam 1.3.0.0. “</w:t>
            </w:r>
            <w:r w:rsidRPr="00121A06">
              <w:t>Ieņēmumi no solidaritātes nodokļa</w:t>
            </w:r>
            <w:r>
              <w:t xml:space="preserve">” pievienots skaidrojums, uzsverot, ka uz </w:t>
            </w:r>
            <w:r w:rsidRPr="00121A06">
              <w:t>kodu attiecina ieņēmumus no solidaritātes nodokļa, kas  valsts pamatbudžetā ieskaitīti saskaņā ar Solidaritātes nodokļa likuma redakciju, kas bija spēkā līdz 2017.gada 31.decembrim</w:t>
            </w:r>
            <w:r>
              <w:t>;</w:t>
            </w:r>
          </w:p>
          <w:p w14:paraId="7FD5D1E5" w14:textId="77777777" w:rsidR="00D97183" w:rsidRDefault="00D97183" w:rsidP="00D97183">
            <w:pPr>
              <w:pStyle w:val="ListParagraph"/>
              <w:numPr>
                <w:ilvl w:val="1"/>
                <w:numId w:val="23"/>
              </w:numPr>
              <w:spacing w:line="240" w:lineRule="auto"/>
              <w:ind w:left="990" w:right="142"/>
            </w:pPr>
            <w:r>
              <w:t>Tiek svītrots kods 4.2.0.0. “</w:t>
            </w:r>
            <w:r w:rsidRPr="00121A06">
              <w:t>Īpašuma nodokļa parādi</w:t>
            </w:r>
            <w:r>
              <w:t xml:space="preserve">” , jo likums </w:t>
            </w:r>
            <w:r w:rsidRPr="00121A06">
              <w:t>"Par īpašuma nodokli" ir zaudējis spēku</w:t>
            </w:r>
            <w:r>
              <w:t>;</w:t>
            </w:r>
          </w:p>
          <w:p w14:paraId="48E2304F" w14:textId="77777777" w:rsidR="00D97183" w:rsidRDefault="00D97183" w:rsidP="00D97183">
            <w:pPr>
              <w:pStyle w:val="ListParagraph"/>
              <w:numPr>
                <w:ilvl w:val="1"/>
                <w:numId w:val="23"/>
              </w:numPr>
              <w:spacing w:line="240" w:lineRule="auto"/>
              <w:ind w:left="990" w:right="142"/>
            </w:pPr>
            <w:r>
              <w:t>Tiek svītrots kods 4.3.0.0. “</w:t>
            </w:r>
            <w:r w:rsidRPr="00121A06">
              <w:t>Zemes nodokļa parādi</w:t>
            </w:r>
            <w:r>
              <w:t xml:space="preserve">” , jo likums " </w:t>
            </w:r>
            <w:r w:rsidRPr="00121A06">
              <w:t>Par zemes nodokli" ir zaudējis spēku</w:t>
            </w:r>
            <w:r>
              <w:t>;</w:t>
            </w:r>
          </w:p>
          <w:p w14:paraId="286412C1" w14:textId="77777777" w:rsidR="00D97183" w:rsidRDefault="00D97183" w:rsidP="00D97183">
            <w:pPr>
              <w:pStyle w:val="ListParagraph"/>
              <w:numPr>
                <w:ilvl w:val="1"/>
                <w:numId w:val="23"/>
              </w:numPr>
              <w:spacing w:line="240" w:lineRule="auto"/>
              <w:ind w:left="990" w:right="142"/>
            </w:pPr>
            <w:r>
              <w:t xml:space="preserve">Tiek svītrots kods </w:t>
            </w:r>
            <w:r w:rsidRPr="00716B1A">
              <w:t>6.1.2.0.</w:t>
            </w:r>
            <w:r>
              <w:t xml:space="preserve"> “</w:t>
            </w:r>
            <w:r w:rsidRPr="00716B1A">
              <w:t>Ievešanas maksājumi lauksaimniecības precēm</w:t>
            </w:r>
            <w:r>
              <w:t>”, jo ar</w:t>
            </w:r>
            <w:r w:rsidRPr="00716B1A">
              <w:t xml:space="preserve"> 01.02.2015. kod</w:t>
            </w:r>
            <w:r>
              <w:t>ā</w:t>
            </w:r>
            <w:r w:rsidRPr="00716B1A">
              <w:t xml:space="preserve"> 6.1.2.0. </w:t>
            </w:r>
            <w:r>
              <w:t xml:space="preserve">minētie ieņēmumi </w:t>
            </w:r>
            <w:r w:rsidRPr="00716B1A">
              <w:t>apvienot</w:t>
            </w:r>
            <w:r>
              <w:t>i</w:t>
            </w:r>
            <w:r w:rsidRPr="00716B1A">
              <w:t xml:space="preserve"> ar ko</w:t>
            </w:r>
            <w:r>
              <w:t>dā</w:t>
            </w:r>
            <w:r w:rsidRPr="00716B1A">
              <w:t xml:space="preserve"> 6.1.1.0 </w:t>
            </w:r>
            <w:r>
              <w:t xml:space="preserve">minētiem ieņēmumiem </w:t>
            </w:r>
            <w:r w:rsidRPr="00716B1A">
              <w:t>saskaņā ar Komisijas 2015. gada 17. decembra deleģēto regulu (ES) 2016/341 ar ko papildina Eiropas Parlamenta un Padomes Regulu (ES) Nr. 952/2013 attiecībā uz pārejas noteikumiem, kurus paredz attiecībā uz konkrētiem Savienības Muitas Kodeksa noteikumiem, ja attiecīgās elektroniskās sistēmas vēl nedarbojas, un groza Komisijas Deleģēto regulu (ES) 2015/2446</w:t>
            </w:r>
            <w:r>
              <w:t>. Līdz ar to tiek precizēts koda 6.1.1.0. “</w:t>
            </w:r>
            <w:r w:rsidRPr="00716B1A">
              <w:t>Ievedmuitas nodoklis</w:t>
            </w:r>
            <w:r>
              <w:t>” nosaukums un pievienots koda skaidrojums;</w:t>
            </w:r>
          </w:p>
          <w:p w14:paraId="2230379A" w14:textId="77777777" w:rsidR="00D97183" w:rsidRDefault="00D97183" w:rsidP="00D97183">
            <w:pPr>
              <w:pStyle w:val="ListParagraph"/>
              <w:numPr>
                <w:ilvl w:val="1"/>
                <w:numId w:val="23"/>
              </w:numPr>
              <w:spacing w:line="240" w:lineRule="auto"/>
              <w:ind w:left="990" w:right="142"/>
            </w:pPr>
            <w:r>
              <w:t>Tiek precizēts koda 7.2.0.0. “</w:t>
            </w:r>
            <w:proofErr w:type="spellStart"/>
            <w:r>
              <w:t>Mikrouzņēmuma</w:t>
            </w:r>
            <w:proofErr w:type="spellEnd"/>
            <w:r>
              <w:t xml:space="preserve"> nodoklis” skaidrojums. </w:t>
            </w:r>
            <w:r w:rsidRPr="001158BF">
              <w:t>Kontu atvēršana nav klasifikācijas jautājums, un tam būtu jābūt atrunātam normatīvajā aktā par maksājumu pakalpojumu sniegšanu un kontu atvēršanu</w:t>
            </w:r>
            <w:r>
              <w:t xml:space="preserve"> (Ministru kabineta</w:t>
            </w:r>
            <w:r w:rsidRPr="001158BF">
              <w:t xml:space="preserve"> 17.12.2019.</w:t>
            </w:r>
            <w:r>
              <w:t xml:space="preserve"> </w:t>
            </w:r>
            <w:r w:rsidRPr="001158BF">
              <w:t xml:space="preserve">noteikumi Nr.652 "Kārtība, kādā Valsts kase nodrošina maksājumu </w:t>
            </w:r>
            <w:r w:rsidRPr="001158BF">
              <w:lastRenderedPageBreak/>
              <w:t xml:space="preserve">pakalpojumu sniegšanu"). Tāpēc no koda skaidrojuma tiek svītrots teikums par kontu atvēršanu. Tiek arī precizēts skaidrojums par ieņēmumu attiecināšanu, jo saskaņā ar </w:t>
            </w:r>
            <w:proofErr w:type="spellStart"/>
            <w:r w:rsidRPr="001158BF">
              <w:t>Mikrouzņēmumu</w:t>
            </w:r>
            <w:proofErr w:type="spellEnd"/>
            <w:r w:rsidRPr="001158BF">
              <w:t xml:space="preserve"> nodokļa likuma 8.pantu (redakcija spēkā no 01.01.2021.) šos ieņēmumus attiecina V</w:t>
            </w:r>
            <w:r>
              <w:t>alsts ieņēmumu dienests;</w:t>
            </w:r>
          </w:p>
          <w:p w14:paraId="2ED1DF58" w14:textId="77777777" w:rsidR="00D97183" w:rsidRDefault="00D97183" w:rsidP="00D97183">
            <w:pPr>
              <w:pStyle w:val="ListParagraph"/>
              <w:numPr>
                <w:ilvl w:val="1"/>
                <w:numId w:val="23"/>
              </w:numPr>
              <w:spacing w:line="240" w:lineRule="auto"/>
              <w:ind w:left="990" w:right="142"/>
            </w:pPr>
            <w:r>
              <w:t>Koda 7.2.1.0. “</w:t>
            </w:r>
            <w:proofErr w:type="spellStart"/>
            <w:r w:rsidRPr="001158BF">
              <w:t>Mikrouzņēmumu</w:t>
            </w:r>
            <w:proofErr w:type="spellEnd"/>
            <w:r w:rsidRPr="001158BF">
              <w:t xml:space="preserve"> nodoklis, kuru maksā maksātāji, kas atbilst likumam "Par uzņēmumu ienākuma nodokli"</w:t>
            </w:r>
            <w:r>
              <w:t>” nosaukumā precizēts likuma nosaukums;</w:t>
            </w:r>
          </w:p>
          <w:p w14:paraId="447208FD" w14:textId="77777777" w:rsidR="00D97183" w:rsidRDefault="00D97183" w:rsidP="00D97183">
            <w:pPr>
              <w:pStyle w:val="ListParagraph"/>
              <w:numPr>
                <w:ilvl w:val="1"/>
                <w:numId w:val="23"/>
              </w:numPr>
              <w:spacing w:line="240" w:lineRule="auto"/>
              <w:ind w:left="990" w:right="142"/>
            </w:pPr>
            <w:r w:rsidRPr="000E7A91">
              <w:t>Koda 8.4.1.0.</w:t>
            </w:r>
            <w:r>
              <w:t xml:space="preserve"> “</w:t>
            </w:r>
            <w:r w:rsidRPr="000E7A91">
              <w:t>Valsts budžeta procentu ieņēmumi par aizdevumiem</w:t>
            </w:r>
            <w:r>
              <w:t xml:space="preserve">” </w:t>
            </w:r>
            <w:r w:rsidRPr="000E7A91">
              <w:t>skaidrojums papildināts ar valsts aizdevumu apkalpošanas maksu, kas saskaņā ar normatīvajiem aktiem par Valsts kases izsniegto aizdevumu apkalpošanu ir procentu likmes sastāvdaļa un kopā ar procentu ieņēmumiem tiek iesk</w:t>
            </w:r>
            <w:r>
              <w:t>aitīta valsts budžeta ieņēmumos;</w:t>
            </w:r>
          </w:p>
          <w:p w14:paraId="65CF9977" w14:textId="77777777" w:rsidR="00D97183" w:rsidRDefault="00D97183" w:rsidP="00D97183">
            <w:pPr>
              <w:pStyle w:val="ListParagraph"/>
              <w:numPr>
                <w:ilvl w:val="1"/>
                <w:numId w:val="23"/>
              </w:numPr>
              <w:spacing w:line="240" w:lineRule="auto"/>
              <w:ind w:left="990" w:right="142"/>
            </w:pPr>
            <w:r w:rsidRPr="00B34854">
              <w:t>Precizēt</w:t>
            </w:r>
            <w:r>
              <w:t>i kodu 8.6.2.1. “</w:t>
            </w:r>
            <w:r w:rsidRPr="00B34854">
              <w:t>Valsts budžeta procentu ieņēmumi par Valsts kases kontu atlikumiem Latvijas Bankā vai kredītiestādēs</w:t>
            </w:r>
            <w:r>
              <w:t>”, 8.6.2.2. “</w:t>
            </w:r>
            <w:r w:rsidRPr="00B34854">
              <w:t>Pašvaldību budžeta procentu ieņēmumi par kontu atlikumiem Valsts kasē (Latvijas Bankā) vai kredītiestādēs</w:t>
            </w:r>
            <w:r>
              <w:t>” un 8.6.2.3</w:t>
            </w:r>
            <w:r w:rsidRPr="00B34854">
              <w:t xml:space="preserve"> </w:t>
            </w:r>
            <w:r>
              <w:t>“</w:t>
            </w:r>
            <w:r w:rsidRPr="00B34854">
              <w:t>Pašvaldību budžeta iestāžu procentu ieņēmumi par kontu atlikumiem Valsts kasē (Latvijas Bankā) vai kredītiestādēs</w:t>
            </w:r>
            <w:r>
              <w:t>” nosaukumi un skaidrojumi</w:t>
            </w:r>
            <w:r w:rsidRPr="00B34854">
              <w:t>, ņemot vērā, ka pēc starptautiskajiem grāmatvedības standartiem naudas ekvivalents neskaitās finanšu instruments un tiek pielīdzināts konta atlikumam, un att</w:t>
            </w:r>
            <w:r>
              <w:t xml:space="preserve">iecīgi saskaņā ar 19.06.2018. Ministru kabineta </w:t>
            </w:r>
            <w:proofErr w:type="spellStart"/>
            <w:r>
              <w:t>noteikumuiem</w:t>
            </w:r>
            <w:proofErr w:type="spellEnd"/>
            <w:r w:rsidRPr="00B34854">
              <w:t xml:space="preserve"> Nr.344 "Gada pārskata sagatavošanas kārtība" jāatspoguļo pie kontu atlikumiem</w:t>
            </w:r>
            <w:r>
              <w:t>. Precizēti kodu 8.6.1.2. “</w:t>
            </w:r>
            <w:r w:rsidRPr="004518E7">
              <w:t>Pašvaldību budžeta procentu ieņēmumi par noguldījumiem depozītā Valsts kasē (Latvijas Bankā) vai kredītiestādēs</w:t>
            </w:r>
            <w:r>
              <w:t>” un 8.6.1.3. “</w:t>
            </w:r>
            <w:r w:rsidRPr="004518E7">
              <w:t>Pašvaldību budžeta iestāžu procentu ieņēmumi par noguldījumiem depozītā Valsts kasē (Latvijas Bankā) vai kredītiestādēs</w:t>
            </w:r>
            <w:r>
              <w:t xml:space="preserve">” nosaukumi un skaidrojumi, pamatojoties, ka 2019.gada 17 decembra Ministru kabineta  noteikumos Nr.652 </w:t>
            </w:r>
            <w:r w:rsidRPr="004518E7">
              <w:t>“Kārtība, kādā Valsts kase nodrošina maksājumu pakalpojumu sniegšanu”)  tiek lietota ter</w:t>
            </w:r>
            <w:r>
              <w:t xml:space="preserve">minoloģija “kontos Valsts kasē”. No kontu 8.6.1.2., 8.6.1.3., 8.6.2.2. un 8.6.2.3. nosaukumiem un skaidrojumiem tiek dzēstas iekavas </w:t>
            </w:r>
            <w:r w:rsidRPr="004518E7">
              <w:rPr>
                <w:i/>
              </w:rPr>
              <w:t>“(Latvijas Bankā)”</w:t>
            </w:r>
            <w:r>
              <w:t>, jo pašvaldībām nav kontu Latvijas Bankā;</w:t>
            </w:r>
          </w:p>
          <w:p w14:paraId="683F55FA" w14:textId="77777777" w:rsidR="00D97183" w:rsidRDefault="00D97183" w:rsidP="00D97183">
            <w:pPr>
              <w:pStyle w:val="ListParagraph"/>
              <w:numPr>
                <w:ilvl w:val="1"/>
                <w:numId w:val="23"/>
              </w:numPr>
              <w:spacing w:line="240" w:lineRule="auto"/>
              <w:ind w:left="990" w:right="142"/>
            </w:pPr>
            <w:r>
              <w:t xml:space="preserve">Tiek svītrots kods 9.1.2.1. “Nodeva par mantojumiem un dāvinājumiem”, jo šāda nodeva vairs neeksistē. Tā kā, svītrojot kodu 9.1.2.1., kodam 9.1.2.0. “Nodeva par notariālās darbības izpildi” paliek tikai viens </w:t>
            </w:r>
            <w:proofErr w:type="spellStart"/>
            <w:r>
              <w:t>apakškods</w:t>
            </w:r>
            <w:proofErr w:type="spellEnd"/>
            <w:r>
              <w:t xml:space="preserve"> 9.1.2.2. “</w:t>
            </w:r>
            <w:r w:rsidRPr="004B539C">
              <w:t>Nodeva par notariālās darbības izpildi, izņemot mantojumus un dāvinājumus</w:t>
            </w:r>
            <w:r>
              <w:t>”, tad kods 9.1.2.2. tiek apvienots ar kodu 9.1.2.0. un tam tiek izveidots skaidrojums;</w:t>
            </w:r>
          </w:p>
          <w:p w14:paraId="60D2394D" w14:textId="77777777" w:rsidR="00D97183" w:rsidRDefault="00D97183" w:rsidP="00D97183">
            <w:pPr>
              <w:pStyle w:val="ListParagraph"/>
              <w:numPr>
                <w:ilvl w:val="1"/>
                <w:numId w:val="23"/>
              </w:numPr>
              <w:spacing w:line="240" w:lineRule="auto"/>
              <w:ind w:left="990" w:right="142"/>
            </w:pPr>
            <w:r>
              <w:t>Tiek precizēts koda 9.1.3.6. “</w:t>
            </w:r>
            <w:proofErr w:type="spellStart"/>
            <w:r w:rsidRPr="00D331FB">
              <w:t>Kredītinformācijas</w:t>
            </w:r>
            <w:proofErr w:type="spellEnd"/>
            <w:r w:rsidRPr="00D331FB">
              <w:t xml:space="preserve"> biroja nodeva un nodeva par personas datu apstrādes sistēmas reģistrēšanu vai Fizisko personu datu aizsardzības likumā noteikto reģistrējamo izmaiņu izdarīšanu</w:t>
            </w:r>
            <w:r>
              <w:t xml:space="preserve">” nosaukums, jo </w:t>
            </w:r>
            <w:r w:rsidRPr="00D331FB">
              <w:t>Fizisko personu datu aizsardzības likums vairs nav spēkā, bet jaunajā Fizisko personu datu apstrādes likumā ir noteikta cita nodeva, par kuru</w:t>
            </w:r>
            <w:r>
              <w:t xml:space="preserve"> Ministru kabineta noteikumu projekts ir izstrādes stadijā;</w:t>
            </w:r>
          </w:p>
          <w:p w14:paraId="7BED24DF" w14:textId="77777777" w:rsidR="00D97183" w:rsidRDefault="00D97183" w:rsidP="00D97183">
            <w:pPr>
              <w:pStyle w:val="ListParagraph"/>
              <w:numPr>
                <w:ilvl w:val="1"/>
                <w:numId w:val="23"/>
              </w:numPr>
              <w:spacing w:line="240" w:lineRule="auto"/>
              <w:ind w:left="990" w:right="142"/>
            </w:pPr>
            <w:r w:rsidRPr="00D854D1">
              <w:t>Saskaņā ar likumu "Par sabiedrisko pakalpojumu regulatoriem" 30.panta 2.daļu valsts nodeva  regulējamās nozarēs iemaksājama valsts budžetā un tiek ieskaitī</w:t>
            </w:r>
            <w:r>
              <w:t>ta regulatora kontā Valsts kasē, Tāpēc tiek svītrots kods 9.4.1.0. “</w:t>
            </w:r>
            <w:r w:rsidRPr="00D854D1">
              <w:t>Valsts nodeva par sabiedrisko pakalpojumu regulēšanu</w:t>
            </w:r>
            <w:r>
              <w:t>”;</w:t>
            </w:r>
          </w:p>
          <w:p w14:paraId="53AC8069" w14:textId="77777777" w:rsidR="00D97183" w:rsidRDefault="00D97183" w:rsidP="00D97183">
            <w:pPr>
              <w:pStyle w:val="ListParagraph"/>
              <w:numPr>
                <w:ilvl w:val="1"/>
                <w:numId w:val="23"/>
              </w:numPr>
              <w:spacing w:line="240" w:lineRule="auto"/>
              <w:ind w:left="990" w:right="142"/>
            </w:pPr>
            <w:r w:rsidRPr="000347E4">
              <w:lastRenderedPageBreak/>
              <w:t>Precizēts koda</w:t>
            </w:r>
            <w:r>
              <w:t xml:space="preserve"> 12.3.4.0. “</w:t>
            </w:r>
            <w:r w:rsidRPr="000347E4">
              <w:t>Ieņēmumi no budžeta iestāžu saņemto un iepriekšējos gados neizlietoto budžeta līdzekļu atmaksāšanas</w:t>
            </w:r>
            <w:r>
              <w:t>”</w:t>
            </w:r>
            <w:r w:rsidRPr="000347E4">
              <w:t xml:space="preserve"> skaidrojums, svītrojot atsauci uz slēguma </w:t>
            </w:r>
            <w:r>
              <w:t>darījumiem, jo no 2021.gada</w:t>
            </w:r>
            <w:r w:rsidRPr="000347E4">
              <w:t xml:space="preserve"> slēgumā vairs nebūs iespējami gad</w:t>
            </w:r>
            <w:r>
              <w:t>a slēguma darījumi saskaņā ar Ministru kabineta</w:t>
            </w:r>
            <w:r w:rsidRPr="000347E4">
              <w:t xml:space="preserve"> noteikumiem Nr.652 "Kārtība, kādā Valsts kase nodrošina maksājumu pakalpojumu sniegšanu"</w:t>
            </w:r>
            <w:r>
              <w:t>.</w:t>
            </w:r>
          </w:p>
          <w:p w14:paraId="1BC730A9" w14:textId="77777777" w:rsidR="00D97183" w:rsidRDefault="00D97183" w:rsidP="00D97183">
            <w:pPr>
              <w:pStyle w:val="ListParagraph"/>
              <w:spacing w:line="240" w:lineRule="auto"/>
              <w:ind w:left="990" w:right="142" w:firstLine="0"/>
            </w:pPr>
          </w:p>
          <w:p w14:paraId="43A2882E" w14:textId="77777777" w:rsidR="00D97183" w:rsidRPr="00974FFF" w:rsidRDefault="00D97183" w:rsidP="00D97183">
            <w:pPr>
              <w:pStyle w:val="ListParagraph"/>
              <w:numPr>
                <w:ilvl w:val="0"/>
                <w:numId w:val="23"/>
              </w:numPr>
              <w:spacing w:line="240" w:lineRule="auto"/>
              <w:ind w:right="142"/>
              <w:rPr>
                <w:b/>
              </w:rPr>
            </w:pPr>
            <w:r w:rsidRPr="00974FFF">
              <w:rPr>
                <w:b/>
              </w:rPr>
              <w:t>Redakcionāli precizējumi:</w:t>
            </w:r>
          </w:p>
          <w:p w14:paraId="4D4F1CCF" w14:textId="77777777" w:rsidR="00D97183" w:rsidRDefault="00D97183" w:rsidP="00D97183">
            <w:pPr>
              <w:pStyle w:val="ListParagraph"/>
              <w:numPr>
                <w:ilvl w:val="1"/>
                <w:numId w:val="23"/>
              </w:numPr>
              <w:spacing w:line="240" w:lineRule="auto"/>
              <w:ind w:left="990" w:right="142"/>
            </w:pPr>
            <w:r w:rsidRPr="00C813C3">
              <w:t xml:space="preserve">Tiek precizēts koda </w:t>
            </w:r>
            <w:r>
              <w:t>1.2.0.0. “</w:t>
            </w:r>
            <w:r w:rsidRPr="00C813C3">
              <w:t>Ieņēmumi no juridisko personu ienākuma nodokļa</w:t>
            </w:r>
            <w:r>
              <w:t xml:space="preserve">” </w:t>
            </w:r>
            <w:r w:rsidRPr="00C813C3">
              <w:t>nosaukums, harmonizējot to ar citos kodos lietotajiem</w:t>
            </w:r>
            <w:r>
              <w:t xml:space="preserve"> konkrētiem nodokļu nosaukumiem;</w:t>
            </w:r>
          </w:p>
          <w:p w14:paraId="6F1111B4" w14:textId="77777777" w:rsidR="00D97183" w:rsidRDefault="00D97183" w:rsidP="00D97183">
            <w:pPr>
              <w:pStyle w:val="ListParagraph"/>
              <w:numPr>
                <w:ilvl w:val="1"/>
                <w:numId w:val="23"/>
              </w:numPr>
              <w:spacing w:line="240" w:lineRule="auto"/>
              <w:ind w:left="990" w:right="142"/>
            </w:pPr>
            <w:r w:rsidRPr="001D5F22">
              <w:t xml:space="preserve">Precizēts koda </w:t>
            </w:r>
            <w:r>
              <w:t>7.0.0.0. “</w:t>
            </w:r>
            <w:r w:rsidRPr="001D5F22">
              <w:t>Nodokļu ieņēmumi, kas kompleksi apvieno dažādu nodokļu ieņēmumu grupas</w:t>
            </w:r>
            <w:r>
              <w:t xml:space="preserve">” </w:t>
            </w:r>
            <w:r w:rsidRPr="001D5F22">
              <w:t>nosaukums, precīzāk atspoguļojot ieņēmumu būtību</w:t>
            </w:r>
            <w:r>
              <w:t xml:space="preserve"> un </w:t>
            </w:r>
            <w:r w:rsidRPr="001D5F22">
              <w:t>koda skaidrojums, lai tas nesaturētu izsmeļošo ieņēmumu veidu uzskaitījumu, un lai nebūtu jāveic grozījumi klasifikācijā, ja ma</w:t>
            </w:r>
            <w:r>
              <w:t>inās saistītie  normatīvie akti;</w:t>
            </w:r>
          </w:p>
          <w:p w14:paraId="7CE124CB" w14:textId="77777777" w:rsidR="00D97183" w:rsidRDefault="00D97183" w:rsidP="00D97183">
            <w:pPr>
              <w:pStyle w:val="ListParagraph"/>
              <w:numPr>
                <w:ilvl w:val="1"/>
                <w:numId w:val="23"/>
              </w:numPr>
              <w:spacing w:line="240" w:lineRule="auto"/>
              <w:ind w:left="990" w:right="142"/>
            </w:pPr>
            <w:r w:rsidRPr="00535D17">
              <w:t>Precizēts koda</w:t>
            </w:r>
            <w:r>
              <w:t xml:space="preserve"> </w:t>
            </w:r>
            <w:r w:rsidRPr="00535D17">
              <w:t>8.1.1.0.</w:t>
            </w:r>
            <w:r>
              <w:t xml:space="preserve"> “</w:t>
            </w:r>
            <w:r w:rsidRPr="00535D17">
              <w:t>Ieņēmumi no kapitāla daļu pārdošanas, vērtspapīru tirdzniecības</w:t>
            </w:r>
            <w:r>
              <w:t>”</w:t>
            </w:r>
            <w:r w:rsidRPr="00535D17">
              <w:t xml:space="preserve"> skaidrojums, jo  ieņēmumus, kas gūti no vērtspapīru tirdzniecības, šajā klasifikācijas kodā budžeta izpildē atzīst </w:t>
            </w:r>
            <w:r>
              <w:t xml:space="preserve">arī </w:t>
            </w:r>
            <w:r w:rsidRPr="00535D17">
              <w:t>pēc naudas plūsmas</w:t>
            </w:r>
            <w:r>
              <w:t>;</w:t>
            </w:r>
          </w:p>
          <w:p w14:paraId="644D6A11" w14:textId="77777777" w:rsidR="00D97183" w:rsidRDefault="00D97183" w:rsidP="00D97183">
            <w:pPr>
              <w:pStyle w:val="ListParagraph"/>
              <w:numPr>
                <w:ilvl w:val="1"/>
                <w:numId w:val="23"/>
              </w:numPr>
              <w:spacing w:line="240" w:lineRule="auto"/>
              <w:ind w:left="990" w:right="142"/>
            </w:pPr>
            <w:r w:rsidRPr="00E94433">
              <w:t>Tiek precizēts koda 8.4.1.1.</w:t>
            </w:r>
            <w:r>
              <w:t xml:space="preserve"> “</w:t>
            </w:r>
            <w:r w:rsidRPr="00E94433">
              <w:t>Valsts budžeta procentu ieņēmumi par aizdevumiem no valsts budžeta iestādēm, izņemot valsts speciālo sociālās apdrošināšanas budžetu</w:t>
            </w:r>
            <w:r>
              <w:t xml:space="preserve">” </w:t>
            </w:r>
            <w:r w:rsidRPr="00E94433">
              <w:t>nosaukums un kods papildināts ar skaidrojumu, precīzāk uzskaitot, kādus tieši p</w:t>
            </w:r>
            <w:r>
              <w:t>rocentu ieņēmumus šeit uzskaita;</w:t>
            </w:r>
          </w:p>
          <w:p w14:paraId="08EB04CA" w14:textId="77777777" w:rsidR="00D97183" w:rsidRDefault="00D97183" w:rsidP="00D97183">
            <w:pPr>
              <w:pStyle w:val="ListParagraph"/>
              <w:numPr>
                <w:ilvl w:val="1"/>
                <w:numId w:val="23"/>
              </w:numPr>
              <w:spacing w:line="240" w:lineRule="auto"/>
              <w:ind w:left="990" w:right="142"/>
            </w:pPr>
            <w:r w:rsidRPr="00E94433">
              <w:t>Papildināts koda</w:t>
            </w:r>
            <w:r>
              <w:t xml:space="preserve"> </w:t>
            </w:r>
            <w:r w:rsidRPr="00E94433">
              <w:t>8.6.4.0.</w:t>
            </w:r>
            <w:r>
              <w:t xml:space="preserve"> “</w:t>
            </w:r>
            <w:r w:rsidRPr="00E94433">
              <w:t>Procentu ieņēmumi par atlikto maksājumu no vēl nesamaksātās pirkuma maksas daļas</w:t>
            </w:r>
            <w:r>
              <w:t>”</w:t>
            </w:r>
            <w:r w:rsidRPr="00E94433">
              <w:t xml:space="preserve"> nosaukums, harmonizējot to ar koda skaidrojumu</w:t>
            </w:r>
            <w:r>
              <w:t>;</w:t>
            </w:r>
          </w:p>
          <w:p w14:paraId="3B238177" w14:textId="77777777" w:rsidR="00D97183" w:rsidRDefault="00D97183" w:rsidP="00D97183">
            <w:pPr>
              <w:pStyle w:val="ListParagraph"/>
              <w:numPr>
                <w:ilvl w:val="1"/>
                <w:numId w:val="23"/>
              </w:numPr>
              <w:spacing w:line="240" w:lineRule="auto"/>
              <w:ind w:left="990" w:right="142"/>
            </w:pPr>
            <w:r w:rsidRPr="002E28DA">
              <w:t>Precizēts koda</w:t>
            </w:r>
            <w:r>
              <w:t xml:space="preserve"> </w:t>
            </w:r>
            <w:r w:rsidRPr="002E28DA">
              <w:t>10.1.1.6.</w:t>
            </w:r>
            <w:r>
              <w:t xml:space="preserve"> “</w:t>
            </w:r>
            <w:r w:rsidRPr="002E28DA">
              <w:t>Naudas sodi, ko uzliek Jūras spēki</w:t>
            </w:r>
            <w:r>
              <w:t>”</w:t>
            </w:r>
            <w:r w:rsidRPr="002E28DA">
              <w:t xml:space="preserve"> nosaukums un skaidrojums, iekļaujot atsauci arī uz citām iestādēm tiesībaizsardzības jomā.</w:t>
            </w:r>
            <w:r>
              <w:t xml:space="preserve"> S</w:t>
            </w:r>
            <w:r w:rsidRPr="002E28DA">
              <w:t>odus var uzlikt ne tikai Jūras spēki, bet arī citas aizsardzības iestādes</w:t>
            </w:r>
            <w:r>
              <w:t xml:space="preserve"> (struktūras)</w:t>
            </w:r>
            <w:r w:rsidRPr="002E28DA">
              <w:t>, kas nav minētas citos kodos, un</w:t>
            </w:r>
            <w:r>
              <w:t xml:space="preserve"> kurām ir tiesības uzlikt sodus;</w:t>
            </w:r>
          </w:p>
          <w:p w14:paraId="5C2A8207" w14:textId="77777777" w:rsidR="00D97183" w:rsidRDefault="00D97183" w:rsidP="00D97183">
            <w:pPr>
              <w:pStyle w:val="ListParagraph"/>
              <w:numPr>
                <w:ilvl w:val="1"/>
                <w:numId w:val="23"/>
              </w:numPr>
              <w:spacing w:line="240" w:lineRule="auto"/>
              <w:ind w:left="990" w:right="142"/>
            </w:pPr>
            <w:r>
              <w:t>Precizēts koda 18.2.1.1. “</w:t>
            </w:r>
            <w:r w:rsidRPr="003B0BF0">
              <w:t>Valsts speciālajā budžetā no valsts pamatbudžeta saņemtā dotācija Valsts sociālās apdrošināšanas aģentūrai valsts budžeta izmaksājamo valsts sociālo pabalstu aprēķināšanai, piešķiršanai</w:t>
            </w:r>
            <w:r>
              <w:t xml:space="preserve">” nosaukums, uzsverot, ka saņemtā dotācija ir paredzēta arī </w:t>
            </w:r>
            <w:r w:rsidRPr="003B0BF0">
              <w:t>valsts sociālo pabalstu</w:t>
            </w:r>
            <w:r>
              <w:t xml:space="preserve"> piegādei;</w:t>
            </w:r>
          </w:p>
          <w:p w14:paraId="65CB318A" w14:textId="77777777" w:rsidR="00D97183" w:rsidRDefault="00D97183" w:rsidP="00D97183">
            <w:pPr>
              <w:pStyle w:val="ListParagraph"/>
              <w:numPr>
                <w:ilvl w:val="1"/>
                <w:numId w:val="23"/>
              </w:numPr>
              <w:spacing w:line="240" w:lineRule="auto"/>
              <w:ind w:left="990" w:right="142"/>
            </w:pPr>
            <w:r>
              <w:t xml:space="preserve">Precizēts koda </w:t>
            </w:r>
            <w:r w:rsidRPr="00EF2E96">
              <w:t>21.1.9.0.</w:t>
            </w:r>
            <w:r>
              <w:t xml:space="preserve"> “</w:t>
            </w:r>
            <w:r w:rsidRPr="00EF2E96">
              <w:t>Ieņēmumi no citu Eiropas Savienības politiku instrumentu līdzfinansēto projektu un pasākumu īstenošanas un citu valstu finanšu palīdzības programmu īstenošanas, saņemtā ārvalstu finanšu palīdzība</w:t>
            </w:r>
            <w:r>
              <w:t xml:space="preserve">” skaidrojums. Visa veida </w:t>
            </w:r>
            <w:proofErr w:type="spellStart"/>
            <w:r>
              <w:t>transfertus</w:t>
            </w:r>
            <w:proofErr w:type="spellEnd"/>
            <w:r>
              <w:t xml:space="preserve"> (gan no valsts budžeta, gan citiem budžetiem) uzskaita atbilstošos </w:t>
            </w:r>
            <w:proofErr w:type="spellStart"/>
            <w:r>
              <w:t>transferta</w:t>
            </w:r>
            <w:proofErr w:type="spellEnd"/>
            <w:r>
              <w:t xml:space="preserve"> kodos, un piebilde par </w:t>
            </w:r>
            <w:proofErr w:type="spellStart"/>
            <w:r>
              <w:t>transfertu</w:t>
            </w:r>
            <w:proofErr w:type="spellEnd"/>
            <w:r>
              <w:t xml:space="preserve"> ir lieka (tāda netiek pievienota citiem kodiem, uz kuriem arī attiecas tāda pati kārtība);</w:t>
            </w:r>
          </w:p>
          <w:p w14:paraId="3F3863A8" w14:textId="77777777" w:rsidR="00D97183" w:rsidRDefault="00D97183" w:rsidP="00D97183">
            <w:pPr>
              <w:pStyle w:val="ListParagraph"/>
              <w:numPr>
                <w:ilvl w:val="1"/>
                <w:numId w:val="23"/>
              </w:numPr>
              <w:spacing w:line="240" w:lineRule="auto"/>
              <w:ind w:left="990" w:right="142"/>
            </w:pPr>
            <w:r w:rsidRPr="00EF2E96">
              <w:t>Precizēts koda 21.4.1.3.</w:t>
            </w:r>
            <w:r>
              <w:t xml:space="preserve"> “</w:t>
            </w:r>
            <w:r w:rsidRPr="00EF2E96">
              <w:t>Ieņēmumi no lauksaimniecības produkcijas pārvērtēšanas</w:t>
            </w:r>
            <w:r>
              <w:t>” skaidrojums, uzsve</w:t>
            </w:r>
            <w:r w:rsidRPr="00EF2E96">
              <w:t>rot, ka šo kodu piemēro grāmatvedības uzskaitē</w:t>
            </w:r>
            <w:r>
              <w:t>;</w:t>
            </w:r>
          </w:p>
          <w:p w14:paraId="71540CC7" w14:textId="77777777" w:rsidR="00D97183" w:rsidRDefault="00D97183" w:rsidP="00D97183">
            <w:pPr>
              <w:pStyle w:val="ListParagraph"/>
              <w:numPr>
                <w:ilvl w:val="1"/>
                <w:numId w:val="23"/>
              </w:numPr>
              <w:spacing w:line="240" w:lineRule="auto"/>
              <w:ind w:left="990" w:right="142"/>
            </w:pPr>
            <w:r w:rsidRPr="00EF2E96">
              <w:t>Tehnisks precizējums</w:t>
            </w:r>
            <w:r>
              <w:t xml:space="preserve"> koda </w:t>
            </w:r>
            <w:r w:rsidRPr="00EF2E96">
              <w:t>21.4.2.4.</w:t>
            </w:r>
            <w:r>
              <w:t xml:space="preserve"> “</w:t>
            </w:r>
            <w:r w:rsidRPr="00EF2E96">
              <w:t>Maksātnespējas administrācijas ieņēmumos ieskaitāmā daļa no uzņēmējdarbības riska valsts nodevas</w:t>
            </w:r>
            <w:r>
              <w:t>” nosaukumā</w:t>
            </w:r>
            <w:r w:rsidRPr="00EF2E96">
              <w:t>, aizstājot vārdus "Maksātnespējas administrācija" ar vārdiem "Maksātnespējas kontroles dienests"</w:t>
            </w:r>
            <w:r>
              <w:t xml:space="preserve"> un precizēts skaidrojums, jo f</w:t>
            </w:r>
            <w:r w:rsidRPr="00EF2E96">
              <w:t xml:space="preserve">onds nav Maksātnespējas kontroles </w:t>
            </w:r>
            <w:r w:rsidRPr="00EF2E96">
              <w:lastRenderedPageBreak/>
              <w:t>dienesta  darbinieku fonds, bet šīs iestādes administrē</w:t>
            </w:r>
            <w:r>
              <w:t>ts "darbinieku garantiju fonds";</w:t>
            </w:r>
          </w:p>
          <w:p w14:paraId="3F4C9168" w14:textId="73153587" w:rsidR="005E029A" w:rsidRPr="00EF2E96" w:rsidRDefault="00D97183" w:rsidP="00D97183">
            <w:pPr>
              <w:pStyle w:val="ListParagraph"/>
              <w:numPr>
                <w:ilvl w:val="1"/>
                <w:numId w:val="23"/>
              </w:numPr>
              <w:spacing w:line="240" w:lineRule="auto"/>
              <w:ind w:left="990" w:right="142" w:hanging="284"/>
            </w:pPr>
            <w:r w:rsidRPr="00EF2E96">
              <w:t>Izveidots jauns kods</w:t>
            </w:r>
            <w:r>
              <w:t xml:space="preserve"> </w:t>
            </w:r>
            <w:r w:rsidRPr="00EF2E96">
              <w:t>21.4.2.7.</w:t>
            </w:r>
            <w:r>
              <w:t xml:space="preserve"> “</w:t>
            </w:r>
            <w:r w:rsidRPr="00EF2E96">
              <w:t>Sabiedrisko pakalpojumu</w:t>
            </w:r>
            <w:r>
              <w:t xml:space="preserve"> regulēšanas komisijas ieņēmumi”</w:t>
            </w:r>
            <w:r w:rsidRPr="00EF2E96">
              <w:t>, lai korekti tiktu uzskaitīti ieņēmumi, kas pirms tam tika uzskaitīti kodā 21.3.9.9. "Citi ieņēmumi par maksas pakalpojumiem", kas īsti neatbilst pēc ekonomiskās būtības, jo tie nav maksas pakalpojumi, bet gan īpašam mērķim iezīmēti ieņēmumi</w:t>
            </w:r>
            <w:r>
              <w:t xml:space="preserve"> (ko saskaņā ar </w:t>
            </w:r>
            <w:r w:rsidRPr="00D854D1">
              <w:t>likumu "Par sabiedrisko pakalpojumu regulatoriem"</w:t>
            </w:r>
            <w:r>
              <w:t xml:space="preserve"> ieskaita regulatora kontā Valsts kasē, un </w:t>
            </w:r>
            <w:r w:rsidRPr="004F4DE9">
              <w:t>maksājum</w:t>
            </w:r>
            <w:r>
              <w:t>i</w:t>
            </w:r>
            <w:r w:rsidRPr="004F4DE9">
              <w:t xml:space="preserve"> par regulatora sniegtajiem pakalpojumiem, kuri noteikti normatīvajos aktos</w:t>
            </w:r>
            <w:r>
              <w:t>)</w:t>
            </w:r>
            <w:r w:rsidR="00EF2E96">
              <w:t>.</w:t>
            </w:r>
          </w:p>
        </w:tc>
      </w:tr>
      <w:tr w:rsidR="00B25EFC" w:rsidRPr="003C3839" w14:paraId="47EC68E2" w14:textId="77777777" w:rsidTr="008E1E1A">
        <w:trPr>
          <w:trHeight w:val="476"/>
          <w:jc w:val="center"/>
        </w:trPr>
        <w:tc>
          <w:tcPr>
            <w:tcW w:w="289" w:type="dxa"/>
          </w:tcPr>
          <w:p w14:paraId="165FEE76" w14:textId="77777777" w:rsidR="00B25EFC" w:rsidRPr="003C3839" w:rsidRDefault="00B25EFC" w:rsidP="00DE2277">
            <w:pPr>
              <w:pStyle w:val="naiskr"/>
              <w:spacing w:before="0" w:after="0"/>
              <w:rPr>
                <w:sz w:val="22"/>
                <w:szCs w:val="22"/>
              </w:rPr>
            </w:pPr>
            <w:r w:rsidRPr="003C3839">
              <w:rPr>
                <w:sz w:val="22"/>
                <w:szCs w:val="22"/>
              </w:rPr>
              <w:lastRenderedPageBreak/>
              <w:t>3.</w:t>
            </w:r>
          </w:p>
        </w:tc>
        <w:tc>
          <w:tcPr>
            <w:tcW w:w="1833" w:type="dxa"/>
          </w:tcPr>
          <w:p w14:paraId="794BEC45" w14:textId="77777777" w:rsidR="00B25EFC" w:rsidRPr="003C3839" w:rsidRDefault="00B25EFC" w:rsidP="00DE2277">
            <w:pPr>
              <w:pStyle w:val="naiskr"/>
              <w:spacing w:before="0" w:after="0"/>
              <w:rPr>
                <w:sz w:val="22"/>
                <w:szCs w:val="22"/>
              </w:rPr>
            </w:pPr>
            <w:r w:rsidRPr="003C3839">
              <w:rPr>
                <w:sz w:val="22"/>
                <w:szCs w:val="22"/>
              </w:rPr>
              <w:t>Projekta izstrādē iesaistītās institūcijas</w:t>
            </w:r>
          </w:p>
        </w:tc>
        <w:tc>
          <w:tcPr>
            <w:tcW w:w="7664" w:type="dxa"/>
          </w:tcPr>
          <w:p w14:paraId="70B4173D" w14:textId="77777777" w:rsidR="00B25EFC" w:rsidRPr="003C3839" w:rsidRDefault="00B25EFC" w:rsidP="00D05096">
            <w:pPr>
              <w:pStyle w:val="naiskr"/>
              <w:spacing w:before="0" w:after="0"/>
              <w:ind w:left="142" w:right="81"/>
              <w:jc w:val="both"/>
            </w:pPr>
            <w:r w:rsidRPr="003C3839">
              <w:t>Finanšu ministrija</w:t>
            </w:r>
            <w:r w:rsidR="00D06873">
              <w:t>,</w:t>
            </w:r>
            <w:r w:rsidR="00F021D5">
              <w:t xml:space="preserve"> Valsts kase.</w:t>
            </w:r>
          </w:p>
        </w:tc>
      </w:tr>
      <w:tr w:rsidR="00B25EFC" w:rsidRPr="003C3839" w14:paraId="1096A222" w14:textId="77777777" w:rsidTr="008E1E1A">
        <w:trPr>
          <w:jc w:val="center"/>
        </w:trPr>
        <w:tc>
          <w:tcPr>
            <w:tcW w:w="289" w:type="dxa"/>
          </w:tcPr>
          <w:p w14:paraId="53808B54" w14:textId="77777777" w:rsidR="00B25EFC" w:rsidRPr="003C3839" w:rsidRDefault="00B25EFC" w:rsidP="00DE2277">
            <w:pPr>
              <w:pStyle w:val="naiskr"/>
              <w:spacing w:before="0" w:after="0"/>
              <w:rPr>
                <w:sz w:val="22"/>
                <w:szCs w:val="22"/>
              </w:rPr>
            </w:pPr>
            <w:r w:rsidRPr="003C3839">
              <w:rPr>
                <w:sz w:val="22"/>
                <w:szCs w:val="22"/>
              </w:rPr>
              <w:t>4.</w:t>
            </w:r>
          </w:p>
        </w:tc>
        <w:tc>
          <w:tcPr>
            <w:tcW w:w="1833" w:type="dxa"/>
          </w:tcPr>
          <w:p w14:paraId="056DFE92" w14:textId="77777777" w:rsidR="00B25EFC" w:rsidRPr="003C3839" w:rsidRDefault="00B25EFC" w:rsidP="00DE2277">
            <w:pPr>
              <w:pStyle w:val="naiskr"/>
              <w:spacing w:before="0" w:after="0"/>
              <w:rPr>
                <w:sz w:val="22"/>
                <w:szCs w:val="22"/>
              </w:rPr>
            </w:pPr>
            <w:r w:rsidRPr="003C3839">
              <w:rPr>
                <w:sz w:val="22"/>
                <w:szCs w:val="22"/>
              </w:rPr>
              <w:t>Cita informācija</w:t>
            </w:r>
          </w:p>
        </w:tc>
        <w:tc>
          <w:tcPr>
            <w:tcW w:w="7664" w:type="dxa"/>
          </w:tcPr>
          <w:p w14:paraId="67CBCD7A" w14:textId="5B33AB3D" w:rsidR="00B25EFC" w:rsidRPr="003C3839" w:rsidRDefault="00216AC8" w:rsidP="00727A08">
            <w:pPr>
              <w:pStyle w:val="naiskr"/>
              <w:spacing w:before="0" w:after="0"/>
              <w:ind w:left="142" w:right="81"/>
            </w:pPr>
            <w:r>
              <w:t xml:space="preserve">Lai sagatavotu noteikumu projektu, Finanšu ministrija 2020. gada </w:t>
            </w:r>
            <w:r w:rsidR="00727A08">
              <w:t xml:space="preserve">pirmajā pusē </w:t>
            </w:r>
            <w:r>
              <w:t>sagatavoja un izsūtīja anketu ministrijām</w:t>
            </w:r>
            <w:r w:rsidR="00727A08">
              <w:t>,</w:t>
            </w:r>
            <w:r>
              <w:t xml:space="preserve"> </w:t>
            </w:r>
            <w:r w:rsidR="00727A08">
              <w:t>cit</w:t>
            </w:r>
            <w:r w:rsidR="00E149C2">
              <w:t>ā</w:t>
            </w:r>
            <w:r w:rsidR="00727A08">
              <w:t xml:space="preserve">m </w:t>
            </w:r>
            <w:r>
              <w:t xml:space="preserve">centrālajām </w:t>
            </w:r>
            <w:r w:rsidR="00727A08">
              <w:t xml:space="preserve">valsts </w:t>
            </w:r>
            <w:r>
              <w:t>iestādēm</w:t>
            </w:r>
            <w:r w:rsidR="00727A08">
              <w:t xml:space="preserve"> un Latvijas Pašvaldību savienībai</w:t>
            </w:r>
            <w:r>
              <w:t>, viedokļa noskaidrošanai un priekšlikumu izteikšanai. Aizpildītas anketas un komentārus atsūtīja 18 iestādes</w:t>
            </w:r>
            <w:r w:rsidR="00727A08">
              <w:t xml:space="preserve"> no</w:t>
            </w:r>
            <w:r w:rsidR="00E149C2">
              <w:t xml:space="preserve"> 30.</w:t>
            </w:r>
          </w:p>
        </w:tc>
      </w:tr>
    </w:tbl>
    <w:p w14:paraId="7DD69989" w14:textId="21D38085" w:rsidR="00880BF1" w:rsidRDefault="00880BF1" w:rsidP="00B25EFC">
      <w:pPr>
        <w:jc w:val="both"/>
        <w:rPr>
          <w:sz w:val="28"/>
          <w:szCs w:val="28"/>
        </w:rPr>
      </w:pPr>
    </w:p>
    <w:p w14:paraId="49F62996" w14:textId="77777777" w:rsidR="00F278F9" w:rsidRPr="003C3839" w:rsidRDefault="00F278F9" w:rsidP="00B25EFC">
      <w:pPr>
        <w:jc w:val="both"/>
        <w:rPr>
          <w:sz w:val="28"/>
          <w:szCs w:val="28"/>
        </w:rPr>
      </w:pPr>
    </w:p>
    <w:tbl>
      <w:tblPr>
        <w:tblpPr w:leftFromText="180" w:rightFromText="180" w:vertAnchor="text" w:horzAnchor="margin" w:tblpXSpec="center" w:tblpY="14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3964"/>
        <w:gridCol w:w="5386"/>
      </w:tblGrid>
      <w:tr w:rsidR="00B25EFC" w:rsidRPr="003C3839" w14:paraId="53DA6E68" w14:textId="77777777" w:rsidTr="00DE2277">
        <w:trPr>
          <w:trHeight w:val="476"/>
        </w:trPr>
        <w:tc>
          <w:tcPr>
            <w:tcW w:w="9776" w:type="dxa"/>
            <w:gridSpan w:val="3"/>
          </w:tcPr>
          <w:p w14:paraId="2CCD1CE6" w14:textId="77777777" w:rsidR="00B25EFC" w:rsidRPr="003C3839" w:rsidRDefault="00B25EFC" w:rsidP="00DE2277">
            <w:pPr>
              <w:ind w:left="142" w:right="81"/>
            </w:pPr>
            <w:r w:rsidRPr="003C3839">
              <w:rPr>
                <w:rFonts w:eastAsia="Calibri"/>
                <w:b/>
                <w:bCs/>
                <w:lang w:eastAsia="en-US"/>
              </w:rPr>
              <w:t>II. Tiesību akta projekta ietekme uz sabiedrību, tautsaimniecības attīstību un administratīvo slogu</w:t>
            </w:r>
          </w:p>
        </w:tc>
      </w:tr>
      <w:tr w:rsidR="00B25EFC" w:rsidRPr="003C3839" w14:paraId="27A2EF3A" w14:textId="77777777" w:rsidTr="000675B1">
        <w:trPr>
          <w:trHeight w:val="476"/>
        </w:trPr>
        <w:tc>
          <w:tcPr>
            <w:tcW w:w="426" w:type="dxa"/>
          </w:tcPr>
          <w:p w14:paraId="7DCA773A" w14:textId="77777777" w:rsidR="00B25EFC" w:rsidRPr="003C3839" w:rsidRDefault="00B25EFC" w:rsidP="00DE2277">
            <w:r w:rsidRPr="003C3839">
              <w:t xml:space="preserve"> 1.</w:t>
            </w:r>
          </w:p>
        </w:tc>
        <w:tc>
          <w:tcPr>
            <w:tcW w:w="3964" w:type="dxa"/>
          </w:tcPr>
          <w:p w14:paraId="5B4CD80A" w14:textId="77777777" w:rsidR="00B25EFC" w:rsidRPr="003C3839" w:rsidRDefault="00B25EFC" w:rsidP="00DE2277">
            <w:r w:rsidRPr="003C3839">
              <w:t xml:space="preserve"> Sabiedrības </w:t>
            </w:r>
            <w:proofErr w:type="spellStart"/>
            <w:r w:rsidRPr="003C3839">
              <w:t>mērķgrupas</w:t>
            </w:r>
            <w:proofErr w:type="spellEnd"/>
            <w:r w:rsidRPr="003C3839">
              <w:t>, kuras tiesiskais regulējums ietekmē vai varētu ietekmēt</w:t>
            </w:r>
          </w:p>
        </w:tc>
        <w:tc>
          <w:tcPr>
            <w:tcW w:w="5386" w:type="dxa"/>
          </w:tcPr>
          <w:p w14:paraId="2E08EE19" w14:textId="500439E6" w:rsidR="00B25EFC" w:rsidRPr="003C3839" w:rsidRDefault="00B25EFC" w:rsidP="00DF2EFF">
            <w:pPr>
              <w:ind w:left="142" w:right="81"/>
              <w:jc w:val="both"/>
            </w:pPr>
            <w:r w:rsidRPr="003C3839">
              <w:t xml:space="preserve">Valsts </w:t>
            </w:r>
            <w:r w:rsidR="00390AC9">
              <w:t xml:space="preserve">un pašvaldību </w:t>
            </w:r>
            <w:r w:rsidRPr="003C3839">
              <w:t>budžeta iestāžu amatpersonas (darbinieki).</w:t>
            </w:r>
          </w:p>
        </w:tc>
      </w:tr>
      <w:tr w:rsidR="00B25EFC" w:rsidRPr="003C3839" w14:paraId="1730944A" w14:textId="77777777" w:rsidTr="000675B1">
        <w:trPr>
          <w:trHeight w:val="476"/>
        </w:trPr>
        <w:tc>
          <w:tcPr>
            <w:tcW w:w="426" w:type="dxa"/>
          </w:tcPr>
          <w:p w14:paraId="30C05C1D" w14:textId="77777777" w:rsidR="00B25EFC" w:rsidRPr="003C3839" w:rsidRDefault="00B25EFC" w:rsidP="00DE2277">
            <w:r w:rsidRPr="003C3839">
              <w:t xml:space="preserve"> 2.</w:t>
            </w:r>
          </w:p>
        </w:tc>
        <w:tc>
          <w:tcPr>
            <w:tcW w:w="3964" w:type="dxa"/>
          </w:tcPr>
          <w:p w14:paraId="5E9A886B" w14:textId="77777777" w:rsidR="00B25EFC" w:rsidRPr="003C3839" w:rsidRDefault="00B25EFC" w:rsidP="00DE2277">
            <w:r w:rsidRPr="003C3839">
              <w:t xml:space="preserve"> Tiesiskā regulējuma ietekme uz tautsaimniecību un administratīvo slogu</w:t>
            </w:r>
          </w:p>
        </w:tc>
        <w:tc>
          <w:tcPr>
            <w:tcW w:w="5386" w:type="dxa"/>
          </w:tcPr>
          <w:p w14:paraId="69706070" w14:textId="77777777" w:rsidR="00B25EFC" w:rsidRPr="003C3839" w:rsidRDefault="00A40448" w:rsidP="00F021D5">
            <w:pPr>
              <w:ind w:left="142" w:right="81"/>
              <w:jc w:val="both"/>
            </w:pPr>
            <w:r>
              <w:t>Projekts šo jomu neskar.</w:t>
            </w:r>
          </w:p>
        </w:tc>
      </w:tr>
      <w:tr w:rsidR="00B25EFC" w:rsidRPr="003C3839" w14:paraId="72BA9270" w14:textId="77777777" w:rsidTr="000675B1">
        <w:trPr>
          <w:trHeight w:val="476"/>
        </w:trPr>
        <w:tc>
          <w:tcPr>
            <w:tcW w:w="426" w:type="dxa"/>
          </w:tcPr>
          <w:p w14:paraId="3DB58811" w14:textId="77777777" w:rsidR="00B25EFC" w:rsidRPr="003C3839" w:rsidRDefault="00B25EFC" w:rsidP="00DE2277">
            <w:r w:rsidRPr="003C3839">
              <w:t xml:space="preserve"> 3.</w:t>
            </w:r>
          </w:p>
        </w:tc>
        <w:tc>
          <w:tcPr>
            <w:tcW w:w="3964" w:type="dxa"/>
          </w:tcPr>
          <w:p w14:paraId="7831BBF4" w14:textId="77777777" w:rsidR="00B25EFC" w:rsidRPr="003C3839" w:rsidRDefault="00B25EFC" w:rsidP="00DE2277">
            <w:r w:rsidRPr="003C3839">
              <w:t xml:space="preserve"> Administratīvo izmaksu monetārs novērtējums</w:t>
            </w:r>
          </w:p>
        </w:tc>
        <w:tc>
          <w:tcPr>
            <w:tcW w:w="5386" w:type="dxa"/>
          </w:tcPr>
          <w:p w14:paraId="2704804B" w14:textId="77777777" w:rsidR="00B25EFC" w:rsidRPr="003C3839" w:rsidRDefault="00A40448" w:rsidP="00DE2277">
            <w:pPr>
              <w:ind w:left="141" w:right="141"/>
              <w:jc w:val="both"/>
            </w:pPr>
            <w:r>
              <w:t>Projekts šo jomu neskar.</w:t>
            </w:r>
          </w:p>
        </w:tc>
      </w:tr>
      <w:tr w:rsidR="00B25EFC" w:rsidRPr="003C3839" w14:paraId="404238A7" w14:textId="77777777" w:rsidTr="000675B1">
        <w:tc>
          <w:tcPr>
            <w:tcW w:w="426" w:type="dxa"/>
          </w:tcPr>
          <w:p w14:paraId="7A90C0AE" w14:textId="77777777" w:rsidR="00B25EFC" w:rsidRPr="003C3839" w:rsidRDefault="00B25EFC" w:rsidP="00DE2277">
            <w:r w:rsidRPr="003C3839">
              <w:t xml:space="preserve"> 4.</w:t>
            </w:r>
          </w:p>
        </w:tc>
        <w:tc>
          <w:tcPr>
            <w:tcW w:w="3964" w:type="dxa"/>
          </w:tcPr>
          <w:p w14:paraId="1E3CC5EE" w14:textId="77777777" w:rsidR="00B25EFC" w:rsidRPr="003C3839" w:rsidRDefault="00B25EFC" w:rsidP="00DE2277">
            <w:r w:rsidRPr="003C3839">
              <w:t xml:space="preserve"> Cita informācija</w:t>
            </w:r>
          </w:p>
        </w:tc>
        <w:tc>
          <w:tcPr>
            <w:tcW w:w="5386" w:type="dxa"/>
          </w:tcPr>
          <w:p w14:paraId="1C81F289" w14:textId="77777777" w:rsidR="00B25EFC" w:rsidRPr="003C3839" w:rsidRDefault="00B25EFC" w:rsidP="00DE2277">
            <w:pPr>
              <w:ind w:right="81"/>
            </w:pPr>
            <w:r w:rsidRPr="003C3839">
              <w:t xml:space="preserve"> </w:t>
            </w:r>
            <w:r w:rsidR="00A40448">
              <w:t xml:space="preserve">  </w:t>
            </w:r>
            <w:r w:rsidRPr="003C3839">
              <w:t>Nav</w:t>
            </w:r>
            <w:r w:rsidR="00A40448">
              <w:t>.</w:t>
            </w:r>
          </w:p>
        </w:tc>
      </w:tr>
    </w:tbl>
    <w:p w14:paraId="47843210" w14:textId="77777777" w:rsidR="00B25EFC" w:rsidRDefault="00B25EFC" w:rsidP="00F548DA">
      <w:pPr>
        <w:pStyle w:val="naisf"/>
        <w:spacing w:before="0" w:after="0"/>
        <w:ind w:firstLine="0"/>
        <w:rPr>
          <w:sz w:val="28"/>
          <w:szCs w:val="28"/>
        </w:rPr>
      </w:pPr>
    </w:p>
    <w:tbl>
      <w:tblPr>
        <w:tblpPr w:leftFromText="180" w:rightFromText="180" w:vertAnchor="text" w:horzAnchor="margin" w:tblpXSpec="center" w:tblpY="14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76"/>
      </w:tblGrid>
      <w:tr w:rsidR="006B10EC" w:rsidRPr="006B10EC" w14:paraId="41B35259" w14:textId="77777777" w:rsidTr="007E1096">
        <w:trPr>
          <w:trHeight w:val="135"/>
        </w:trPr>
        <w:tc>
          <w:tcPr>
            <w:tcW w:w="9776" w:type="dxa"/>
          </w:tcPr>
          <w:p w14:paraId="35817005" w14:textId="77777777" w:rsidR="00F548DA" w:rsidRPr="006B10EC" w:rsidRDefault="00F548DA" w:rsidP="00CF41F9">
            <w:pPr>
              <w:ind w:left="142" w:right="81"/>
              <w:jc w:val="center"/>
              <w:rPr>
                <w:b/>
              </w:rPr>
            </w:pPr>
            <w:r w:rsidRPr="006B10EC">
              <w:rPr>
                <w:b/>
              </w:rPr>
              <w:t>III. Tiesību akta projekta ietekme uz valsts budžetu un pašvaldību budžetiem</w:t>
            </w:r>
          </w:p>
        </w:tc>
      </w:tr>
      <w:tr w:rsidR="006B10EC" w:rsidRPr="006B10EC" w14:paraId="7D3A6518" w14:textId="77777777" w:rsidTr="007E1096">
        <w:trPr>
          <w:trHeight w:val="212"/>
        </w:trPr>
        <w:tc>
          <w:tcPr>
            <w:tcW w:w="9776" w:type="dxa"/>
          </w:tcPr>
          <w:p w14:paraId="176AF4B4" w14:textId="77777777" w:rsidR="00F548DA" w:rsidRPr="006B10EC" w:rsidRDefault="00F548DA" w:rsidP="00CF41F9">
            <w:pPr>
              <w:ind w:left="142" w:right="81"/>
              <w:jc w:val="center"/>
            </w:pPr>
            <w:r w:rsidRPr="006B10EC">
              <w:t>Projekts šo jomu neskar</w:t>
            </w:r>
          </w:p>
        </w:tc>
      </w:tr>
    </w:tbl>
    <w:p w14:paraId="44454367" w14:textId="77777777" w:rsidR="00F548DA" w:rsidRPr="006B10EC" w:rsidRDefault="00F548DA" w:rsidP="00CF41F9">
      <w:pPr>
        <w:pStyle w:val="naisf"/>
        <w:spacing w:before="0" w:after="0"/>
        <w:ind w:firstLine="0"/>
        <w:rPr>
          <w:sz w:val="28"/>
          <w:szCs w:val="28"/>
        </w:rPr>
      </w:pPr>
    </w:p>
    <w:tbl>
      <w:tblPr>
        <w:tblpPr w:leftFromText="180" w:rightFromText="180" w:vertAnchor="text" w:horzAnchor="margin" w:tblpXSpec="center" w:tblpY="14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76"/>
      </w:tblGrid>
      <w:tr w:rsidR="006B10EC" w:rsidRPr="006B10EC" w14:paraId="60F4D6AE" w14:textId="77777777" w:rsidTr="007E1096">
        <w:trPr>
          <w:trHeight w:val="130"/>
        </w:trPr>
        <w:tc>
          <w:tcPr>
            <w:tcW w:w="9776" w:type="dxa"/>
          </w:tcPr>
          <w:p w14:paraId="30379FA9" w14:textId="77777777" w:rsidR="00F548DA" w:rsidRPr="006B10EC" w:rsidRDefault="00F548DA" w:rsidP="00CF41F9">
            <w:pPr>
              <w:ind w:left="142" w:right="81"/>
              <w:jc w:val="center"/>
              <w:rPr>
                <w:b/>
              </w:rPr>
            </w:pPr>
            <w:r w:rsidRPr="006B10EC">
              <w:rPr>
                <w:b/>
                <w:bCs/>
              </w:rPr>
              <w:t>IV. Tiesību akta projekta ietekme uz spēkā esošo tiesību normu sistēmu</w:t>
            </w:r>
          </w:p>
        </w:tc>
      </w:tr>
      <w:tr w:rsidR="006B10EC" w:rsidRPr="006B10EC" w14:paraId="507A6B44" w14:textId="77777777" w:rsidTr="007E1096">
        <w:trPr>
          <w:trHeight w:val="85"/>
        </w:trPr>
        <w:tc>
          <w:tcPr>
            <w:tcW w:w="9776" w:type="dxa"/>
          </w:tcPr>
          <w:p w14:paraId="2BDCCB92" w14:textId="77777777" w:rsidR="00F548DA" w:rsidRPr="006B10EC" w:rsidRDefault="00F548DA" w:rsidP="00CF41F9">
            <w:pPr>
              <w:ind w:left="142" w:right="81"/>
              <w:jc w:val="center"/>
            </w:pPr>
            <w:r w:rsidRPr="006B10EC">
              <w:t>Projekts šo jomu neskar</w:t>
            </w:r>
          </w:p>
        </w:tc>
      </w:tr>
    </w:tbl>
    <w:p w14:paraId="0371F7A2" w14:textId="77777777" w:rsidR="00F548DA" w:rsidRPr="006B10EC" w:rsidRDefault="00F548DA" w:rsidP="00CF41F9">
      <w:pPr>
        <w:pStyle w:val="naisf"/>
        <w:spacing w:before="0" w:after="0"/>
        <w:ind w:firstLine="0"/>
        <w:rPr>
          <w:sz w:val="28"/>
          <w:szCs w:val="28"/>
        </w:rPr>
      </w:pPr>
    </w:p>
    <w:tbl>
      <w:tblPr>
        <w:tblpPr w:leftFromText="180" w:rightFromText="180" w:vertAnchor="text" w:horzAnchor="margin" w:tblpXSpec="center" w:tblpY="14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76"/>
      </w:tblGrid>
      <w:tr w:rsidR="006B10EC" w:rsidRPr="006B10EC" w14:paraId="151B4D75" w14:textId="77777777" w:rsidTr="007E1096">
        <w:trPr>
          <w:trHeight w:val="277"/>
        </w:trPr>
        <w:tc>
          <w:tcPr>
            <w:tcW w:w="9776" w:type="dxa"/>
          </w:tcPr>
          <w:p w14:paraId="4635B2DB" w14:textId="77777777" w:rsidR="00F548DA" w:rsidRPr="006B10EC" w:rsidRDefault="00F548DA" w:rsidP="00CF41F9">
            <w:pPr>
              <w:ind w:left="142" w:right="81"/>
              <w:jc w:val="center"/>
              <w:rPr>
                <w:b/>
              </w:rPr>
            </w:pPr>
            <w:r w:rsidRPr="006B10EC">
              <w:rPr>
                <w:b/>
                <w:bCs/>
              </w:rPr>
              <w:t>V. Tiesību akta projekta atbilstība Latvijas Republikas starptautiskajām saistībām</w:t>
            </w:r>
          </w:p>
        </w:tc>
      </w:tr>
      <w:tr w:rsidR="006B10EC" w:rsidRPr="006B10EC" w14:paraId="22490F8D" w14:textId="77777777" w:rsidTr="007E1096">
        <w:trPr>
          <w:trHeight w:val="85"/>
        </w:trPr>
        <w:tc>
          <w:tcPr>
            <w:tcW w:w="9776" w:type="dxa"/>
          </w:tcPr>
          <w:p w14:paraId="5377496F" w14:textId="77777777" w:rsidR="00F548DA" w:rsidRPr="006B10EC" w:rsidRDefault="00F548DA" w:rsidP="00CF41F9">
            <w:pPr>
              <w:ind w:left="142" w:right="81"/>
              <w:jc w:val="center"/>
            </w:pPr>
            <w:r w:rsidRPr="006B10EC">
              <w:t>Projekts šo jomu neskar</w:t>
            </w:r>
          </w:p>
        </w:tc>
      </w:tr>
    </w:tbl>
    <w:p w14:paraId="67E66119" w14:textId="77777777" w:rsidR="00880BF1" w:rsidRDefault="00880BF1" w:rsidP="00CF41F9">
      <w:pPr>
        <w:pStyle w:val="naisf"/>
        <w:spacing w:before="0" w:after="0"/>
        <w:ind w:firstLine="0"/>
        <w:rPr>
          <w:sz w:val="28"/>
          <w:szCs w:val="28"/>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51"/>
        <w:gridCol w:w="1570"/>
        <w:gridCol w:w="7861"/>
      </w:tblGrid>
      <w:tr w:rsidR="00B25EFC" w:rsidRPr="003C3839" w14:paraId="715D3859" w14:textId="77777777" w:rsidTr="007026AB">
        <w:trPr>
          <w:trHeight w:val="414"/>
        </w:trPr>
        <w:tc>
          <w:tcPr>
            <w:tcW w:w="9782" w:type="dxa"/>
            <w:gridSpan w:val="3"/>
            <w:tcBorders>
              <w:top w:val="single" w:sz="4" w:space="0" w:color="auto"/>
            </w:tcBorders>
          </w:tcPr>
          <w:p w14:paraId="0C27E3DC" w14:textId="77777777" w:rsidR="00B25EFC" w:rsidRPr="003C3839" w:rsidRDefault="00B25EFC" w:rsidP="00DE2277">
            <w:pPr>
              <w:pStyle w:val="naisnod"/>
              <w:spacing w:before="0" w:after="0"/>
              <w:ind w:left="57" w:right="57"/>
            </w:pPr>
            <w:r w:rsidRPr="003C3839">
              <w:t>VI. Sabiedrības līdzdalība un komunikācijas aktivitātes</w:t>
            </w:r>
          </w:p>
        </w:tc>
      </w:tr>
      <w:tr w:rsidR="00B25EFC" w:rsidRPr="003C3839" w14:paraId="3A515721" w14:textId="77777777" w:rsidTr="007026AB">
        <w:trPr>
          <w:trHeight w:val="1263"/>
        </w:trPr>
        <w:tc>
          <w:tcPr>
            <w:tcW w:w="351" w:type="dxa"/>
          </w:tcPr>
          <w:p w14:paraId="2047AED6" w14:textId="77777777" w:rsidR="00B25EFC" w:rsidRPr="003C3839" w:rsidRDefault="00B25EFC" w:rsidP="00DE2277">
            <w:pPr>
              <w:pStyle w:val="naisnod"/>
              <w:spacing w:before="0" w:after="0"/>
              <w:ind w:left="57" w:right="57"/>
              <w:jc w:val="left"/>
              <w:rPr>
                <w:b w:val="0"/>
              </w:rPr>
            </w:pPr>
            <w:r w:rsidRPr="003C3839">
              <w:rPr>
                <w:b w:val="0"/>
              </w:rPr>
              <w:t>1.</w:t>
            </w:r>
          </w:p>
        </w:tc>
        <w:tc>
          <w:tcPr>
            <w:tcW w:w="1570" w:type="dxa"/>
          </w:tcPr>
          <w:p w14:paraId="790B0EFF" w14:textId="77777777" w:rsidR="00B25EFC" w:rsidRPr="003C3839" w:rsidRDefault="00B25EFC" w:rsidP="00DE2277">
            <w:pPr>
              <w:pStyle w:val="naisf"/>
              <w:spacing w:before="0" w:after="0"/>
              <w:ind w:left="57" w:right="57" w:firstLine="0"/>
              <w:jc w:val="left"/>
            </w:pPr>
            <w:r w:rsidRPr="003C3839">
              <w:t>Plānotās sabiedrības līdzdalības un komunikācijas aktivitātes saistībā ar projektu</w:t>
            </w:r>
          </w:p>
        </w:tc>
        <w:tc>
          <w:tcPr>
            <w:tcW w:w="7861" w:type="dxa"/>
          </w:tcPr>
          <w:p w14:paraId="384B42E0" w14:textId="4A0BC0FC" w:rsidR="00B25EFC" w:rsidRPr="003C3839" w:rsidRDefault="00D87262" w:rsidP="00D020AF">
            <w:pPr>
              <w:pStyle w:val="naisnod"/>
              <w:spacing w:before="0" w:after="0"/>
              <w:ind w:left="57" w:right="18"/>
              <w:jc w:val="both"/>
              <w:rPr>
                <w:b w:val="0"/>
              </w:rPr>
            </w:pPr>
            <w:r w:rsidRPr="00D87262">
              <w:rPr>
                <w:b w:val="0"/>
              </w:rPr>
              <w:t xml:space="preserve">Informācija par noteikumu projekta izstrādi publicēta Finanšu ministrijas  tīmekļa vietnē </w:t>
            </w:r>
            <w:hyperlink r:id="rId14" w:history="1">
              <w:r w:rsidRPr="00D87262">
                <w:rPr>
                  <w:b w:val="0"/>
                </w:rPr>
                <w:t>www.fm.gov.lv</w:t>
              </w:r>
            </w:hyperlink>
            <w:r w:rsidRPr="00D87262">
              <w:rPr>
                <w:b w:val="0"/>
              </w:rPr>
              <w:t xml:space="preserve"> sadaļā "Sabiedrības līdzdalība" – “Tiesību aktu projekti” – “Valsts budžeta politika”. Līdz ar to sabiedrības pārstāvji varēja līdzdarboties projekta izstrādē, rakstiski sniedzot viedokļus par projektu. Tāpat sabiedrības pārstāvji varēs sniegt viedokļus par projektu pēc tā izsludināšanas Valsts sekretāru sanāksmē.</w:t>
            </w:r>
          </w:p>
        </w:tc>
      </w:tr>
      <w:tr w:rsidR="00B25EFC" w:rsidRPr="003C3839" w14:paraId="08C2E83C" w14:textId="77777777" w:rsidTr="007026AB">
        <w:trPr>
          <w:trHeight w:val="764"/>
        </w:trPr>
        <w:tc>
          <w:tcPr>
            <w:tcW w:w="351" w:type="dxa"/>
          </w:tcPr>
          <w:p w14:paraId="5D8858F7" w14:textId="77777777" w:rsidR="00B25EFC" w:rsidRPr="003C3839" w:rsidRDefault="00B25EFC" w:rsidP="00DE2277">
            <w:pPr>
              <w:pStyle w:val="naisnod"/>
              <w:spacing w:before="0" w:after="0"/>
              <w:ind w:left="57" w:right="57"/>
              <w:jc w:val="left"/>
              <w:rPr>
                <w:b w:val="0"/>
              </w:rPr>
            </w:pPr>
            <w:r w:rsidRPr="003C3839">
              <w:rPr>
                <w:b w:val="0"/>
              </w:rPr>
              <w:lastRenderedPageBreak/>
              <w:t>2.</w:t>
            </w:r>
          </w:p>
        </w:tc>
        <w:tc>
          <w:tcPr>
            <w:tcW w:w="1570" w:type="dxa"/>
          </w:tcPr>
          <w:p w14:paraId="52C9DC9D" w14:textId="77777777" w:rsidR="00B25EFC" w:rsidRPr="003C3839" w:rsidRDefault="00B25EFC" w:rsidP="00DE2277">
            <w:pPr>
              <w:pStyle w:val="naisf"/>
              <w:spacing w:before="0" w:after="0"/>
              <w:ind w:left="57" w:right="57" w:firstLine="0"/>
              <w:jc w:val="left"/>
            </w:pPr>
            <w:r w:rsidRPr="003C3839">
              <w:t>Sabiedrības līdzdalība projekta izstrādē</w:t>
            </w:r>
          </w:p>
        </w:tc>
        <w:tc>
          <w:tcPr>
            <w:tcW w:w="7861" w:type="dxa"/>
          </w:tcPr>
          <w:p w14:paraId="2521478E" w14:textId="13D3A618" w:rsidR="00D020AF" w:rsidRPr="003C3839" w:rsidRDefault="00D020AF" w:rsidP="0052450C">
            <w:pPr>
              <w:pStyle w:val="naisnod"/>
              <w:spacing w:before="0" w:after="0"/>
              <w:ind w:right="57"/>
              <w:jc w:val="both"/>
              <w:rPr>
                <w:b w:val="0"/>
              </w:rPr>
            </w:pPr>
            <w:r w:rsidRPr="003C3839">
              <w:rPr>
                <w:b w:val="0"/>
              </w:rPr>
              <w:t>Uzziņa par noteikumu projekta izstrādi</w:t>
            </w:r>
            <w:r w:rsidR="00577631">
              <w:rPr>
                <w:b w:val="0"/>
              </w:rPr>
              <w:t xml:space="preserve"> 2020.gada </w:t>
            </w:r>
            <w:r w:rsidR="0052450C">
              <w:rPr>
                <w:b w:val="0"/>
              </w:rPr>
              <w:t>6</w:t>
            </w:r>
            <w:r w:rsidR="00577631">
              <w:rPr>
                <w:b w:val="0"/>
              </w:rPr>
              <w:t>.jūlijā</w:t>
            </w:r>
            <w:r>
              <w:rPr>
                <w:b w:val="0"/>
              </w:rPr>
              <w:t xml:space="preserve"> p</w:t>
            </w:r>
            <w:r w:rsidRPr="003C3839">
              <w:rPr>
                <w:b w:val="0"/>
              </w:rPr>
              <w:t>ublicēt</w:t>
            </w:r>
            <w:r>
              <w:rPr>
                <w:b w:val="0"/>
              </w:rPr>
              <w:t>a Finanšu ministrijas tīmekļvietnē</w:t>
            </w:r>
            <w:r w:rsidRPr="003C3839">
              <w:rPr>
                <w:b w:val="0"/>
              </w:rPr>
              <w:t xml:space="preserve"> sadaļā “Sabiedrības līdzdalība”</w:t>
            </w:r>
            <w:r w:rsidR="00577631">
              <w:rPr>
                <w:b w:val="0"/>
              </w:rPr>
              <w:t xml:space="preserve"> </w:t>
            </w:r>
            <w:r w:rsidR="0052450C">
              <w:rPr>
                <w:b w:val="0"/>
              </w:rPr>
              <w:t>(</w:t>
            </w:r>
            <w:hyperlink r:id="rId15" w:history="1">
              <w:r w:rsidR="0052450C" w:rsidRPr="00BE3409">
                <w:rPr>
                  <w:rStyle w:val="Hyperlink"/>
                  <w:b w:val="0"/>
                </w:rPr>
                <w:t>https://www.fm.gov.lv/lv/sabiedribas_lidzdaliba/tiesibu_aktu_projekti/valsts_budzeta_politika</w:t>
              </w:r>
            </w:hyperlink>
            <w:r w:rsidR="0052450C">
              <w:rPr>
                <w:b w:val="0"/>
              </w:rPr>
              <w:t xml:space="preserve"> ) </w:t>
            </w:r>
            <w:r w:rsidR="00D87262">
              <w:rPr>
                <w:b w:val="0"/>
              </w:rPr>
              <w:t>un 2020.gada 6</w:t>
            </w:r>
            <w:r w:rsidR="00577631">
              <w:rPr>
                <w:b w:val="0"/>
              </w:rPr>
              <w:t>.jūlijā</w:t>
            </w:r>
            <w:r>
              <w:rPr>
                <w:b w:val="0"/>
              </w:rPr>
              <w:t xml:space="preserve"> Valsts </w:t>
            </w:r>
            <w:r w:rsidR="00727A08">
              <w:rPr>
                <w:b w:val="0"/>
              </w:rPr>
              <w:t>k</w:t>
            </w:r>
            <w:r>
              <w:rPr>
                <w:b w:val="0"/>
              </w:rPr>
              <w:t xml:space="preserve">ancelejas tīmekļvietnē </w:t>
            </w:r>
            <w:r w:rsidR="00D87262">
              <w:rPr>
                <w:b w:val="0"/>
              </w:rPr>
              <w:t xml:space="preserve">sadaļas “Līdzdalība” </w:t>
            </w:r>
            <w:proofErr w:type="spellStart"/>
            <w:r w:rsidR="00D87262">
              <w:rPr>
                <w:b w:val="0"/>
              </w:rPr>
              <w:t>apakšsadaļā</w:t>
            </w:r>
            <w:proofErr w:type="spellEnd"/>
            <w:r w:rsidR="00D87262">
              <w:rPr>
                <w:b w:val="0"/>
              </w:rPr>
              <w:t xml:space="preserve"> “Ministru kabineta diskusiju dokumenti”  (</w:t>
            </w:r>
            <w:hyperlink r:id="rId16" w:history="1">
              <w:r w:rsidR="00D87262" w:rsidRPr="00D87262">
                <w:rPr>
                  <w:rStyle w:val="Hyperlink"/>
                  <w:b w:val="0"/>
                </w:rPr>
                <w:t>https://www.mk.gov.lv/content/ministru-kabineta-diskusiju-dokumenti</w:t>
              </w:r>
            </w:hyperlink>
            <w:r w:rsidR="00D87262">
              <w:rPr>
                <w:b w:val="0"/>
              </w:rPr>
              <w:t>).</w:t>
            </w:r>
          </w:p>
        </w:tc>
      </w:tr>
      <w:tr w:rsidR="00B25EFC" w:rsidRPr="003C3839" w14:paraId="3D881206" w14:textId="77777777" w:rsidTr="007026AB">
        <w:trPr>
          <w:trHeight w:val="275"/>
        </w:trPr>
        <w:tc>
          <w:tcPr>
            <w:tcW w:w="351" w:type="dxa"/>
          </w:tcPr>
          <w:p w14:paraId="3853EA83" w14:textId="77777777" w:rsidR="00B25EFC" w:rsidRPr="003C3839" w:rsidRDefault="00B25EFC" w:rsidP="00DE2277">
            <w:pPr>
              <w:pStyle w:val="naisnod"/>
              <w:spacing w:before="0" w:after="0"/>
              <w:ind w:left="57" w:right="57"/>
              <w:jc w:val="left"/>
              <w:rPr>
                <w:b w:val="0"/>
              </w:rPr>
            </w:pPr>
            <w:r w:rsidRPr="003C3839">
              <w:rPr>
                <w:b w:val="0"/>
              </w:rPr>
              <w:t>3.</w:t>
            </w:r>
          </w:p>
        </w:tc>
        <w:tc>
          <w:tcPr>
            <w:tcW w:w="1570" w:type="dxa"/>
          </w:tcPr>
          <w:p w14:paraId="06587D95" w14:textId="77777777" w:rsidR="00B25EFC" w:rsidRPr="003C3839" w:rsidRDefault="00B25EFC" w:rsidP="00DE2277">
            <w:pPr>
              <w:pStyle w:val="naisf"/>
              <w:spacing w:before="0" w:after="0"/>
              <w:ind w:left="57" w:right="57" w:firstLine="0"/>
              <w:jc w:val="left"/>
            </w:pPr>
            <w:r w:rsidRPr="003C3839">
              <w:t>Sabiedrības līdzdalības rezultāti</w:t>
            </w:r>
          </w:p>
        </w:tc>
        <w:tc>
          <w:tcPr>
            <w:tcW w:w="7861" w:type="dxa"/>
          </w:tcPr>
          <w:p w14:paraId="0BD67661" w14:textId="5C3A8A02" w:rsidR="00B25EFC" w:rsidRPr="003C3839" w:rsidRDefault="00D87262" w:rsidP="00DE2277">
            <w:pPr>
              <w:pStyle w:val="naisnod"/>
              <w:spacing w:before="0" w:after="0"/>
              <w:ind w:left="57" w:right="57"/>
              <w:jc w:val="both"/>
              <w:rPr>
                <w:b w:val="0"/>
              </w:rPr>
            </w:pPr>
            <w:r w:rsidRPr="00D87262">
              <w:rPr>
                <w:b w:val="0"/>
                <w:bCs w:val="0"/>
                <w:color w:val="000000" w:themeColor="text1"/>
              </w:rPr>
              <w:t>Sabiedrības pārstāvju iebildumi un priekšlikumi nav saņemti.</w:t>
            </w:r>
          </w:p>
        </w:tc>
      </w:tr>
      <w:tr w:rsidR="00D87262" w:rsidRPr="003C3839" w14:paraId="78B0284B" w14:textId="77777777" w:rsidTr="007026AB">
        <w:trPr>
          <w:trHeight w:val="84"/>
        </w:trPr>
        <w:tc>
          <w:tcPr>
            <w:tcW w:w="351" w:type="dxa"/>
          </w:tcPr>
          <w:p w14:paraId="28283F28" w14:textId="77777777" w:rsidR="00D87262" w:rsidRPr="003C3839" w:rsidRDefault="00D87262" w:rsidP="00D87262">
            <w:pPr>
              <w:pStyle w:val="naiskr"/>
              <w:spacing w:before="0" w:after="0"/>
              <w:ind w:left="57" w:right="57"/>
            </w:pPr>
            <w:r w:rsidRPr="003C3839">
              <w:t>4.</w:t>
            </w:r>
          </w:p>
        </w:tc>
        <w:tc>
          <w:tcPr>
            <w:tcW w:w="1570" w:type="dxa"/>
          </w:tcPr>
          <w:p w14:paraId="2B0BA63E" w14:textId="77777777" w:rsidR="00D87262" w:rsidRPr="003C3839" w:rsidRDefault="00D87262" w:rsidP="00D87262">
            <w:pPr>
              <w:pStyle w:val="naiskr"/>
              <w:spacing w:before="0" w:after="0"/>
              <w:ind w:left="57" w:right="57"/>
            </w:pPr>
            <w:r w:rsidRPr="003C3839">
              <w:t>Cita informācija</w:t>
            </w:r>
          </w:p>
        </w:tc>
        <w:tc>
          <w:tcPr>
            <w:tcW w:w="7861" w:type="dxa"/>
          </w:tcPr>
          <w:p w14:paraId="78F561A6" w14:textId="31EA552F" w:rsidR="00D87262" w:rsidRPr="003C3839" w:rsidRDefault="00D87262" w:rsidP="00D87262">
            <w:pPr>
              <w:pStyle w:val="naiskr"/>
              <w:spacing w:before="0" w:after="0"/>
              <w:ind w:left="57" w:right="57"/>
            </w:pPr>
            <w:r w:rsidRPr="00FA5C8C">
              <w:rPr>
                <w:color w:val="000000" w:themeColor="text1"/>
              </w:rPr>
              <w:t>Sabiedrība pēc noteikumu pieņemšanas tiks informēta ar publikāciju oficiālajā izdevumā "Latvijas Vēstnesis" un normatīvo aktu datu bāzē www.likumi.lv.</w:t>
            </w:r>
          </w:p>
        </w:tc>
      </w:tr>
    </w:tbl>
    <w:p w14:paraId="1906C35A" w14:textId="77777777" w:rsidR="00B25EFC" w:rsidRPr="003C3839" w:rsidRDefault="00B25EFC" w:rsidP="00B25EFC">
      <w:pPr>
        <w:pStyle w:val="naisf"/>
        <w:spacing w:before="0" w:after="0"/>
        <w:ind w:firstLine="0"/>
        <w:rPr>
          <w:sz w:val="28"/>
          <w:szCs w:val="28"/>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26"/>
        <w:gridCol w:w="3969"/>
        <w:gridCol w:w="5387"/>
      </w:tblGrid>
      <w:tr w:rsidR="00B25EFC" w:rsidRPr="003C3839" w14:paraId="7C07C618" w14:textId="77777777" w:rsidTr="007026AB">
        <w:tc>
          <w:tcPr>
            <w:tcW w:w="9782" w:type="dxa"/>
            <w:gridSpan w:val="3"/>
            <w:tcBorders>
              <w:top w:val="single" w:sz="4" w:space="0" w:color="auto"/>
            </w:tcBorders>
          </w:tcPr>
          <w:p w14:paraId="33812225" w14:textId="77777777" w:rsidR="00B25EFC" w:rsidRPr="003C3839" w:rsidRDefault="00B25EFC" w:rsidP="00DE2277">
            <w:pPr>
              <w:pStyle w:val="naisnod"/>
              <w:spacing w:before="0" w:after="0"/>
              <w:ind w:left="57" w:right="57"/>
            </w:pPr>
            <w:r w:rsidRPr="003C3839">
              <w:t>VII. Tiesību akta projekta izpildes nodrošināšana un tās ietekme uz institūcijām</w:t>
            </w:r>
          </w:p>
        </w:tc>
      </w:tr>
      <w:tr w:rsidR="00B25EFC" w:rsidRPr="003C3839" w14:paraId="171068F3" w14:textId="77777777" w:rsidTr="007026AB">
        <w:trPr>
          <w:trHeight w:val="211"/>
        </w:trPr>
        <w:tc>
          <w:tcPr>
            <w:tcW w:w="426" w:type="dxa"/>
          </w:tcPr>
          <w:p w14:paraId="5147930F" w14:textId="77777777" w:rsidR="00B25EFC" w:rsidRPr="003C3839" w:rsidRDefault="00B25EFC" w:rsidP="00DE2277">
            <w:pPr>
              <w:pStyle w:val="naisnod"/>
              <w:spacing w:before="0" w:after="0"/>
              <w:ind w:left="57" w:right="57"/>
              <w:jc w:val="left"/>
              <w:rPr>
                <w:b w:val="0"/>
              </w:rPr>
            </w:pPr>
            <w:r w:rsidRPr="003C3839">
              <w:rPr>
                <w:b w:val="0"/>
              </w:rPr>
              <w:t>1.</w:t>
            </w:r>
          </w:p>
        </w:tc>
        <w:tc>
          <w:tcPr>
            <w:tcW w:w="3969" w:type="dxa"/>
          </w:tcPr>
          <w:p w14:paraId="41E18888" w14:textId="77777777" w:rsidR="00B25EFC" w:rsidRPr="003C3839" w:rsidRDefault="00B25EFC" w:rsidP="00DE2277">
            <w:pPr>
              <w:pStyle w:val="naisf"/>
              <w:spacing w:before="0" w:after="0"/>
              <w:ind w:left="57" w:right="57" w:firstLine="0"/>
              <w:jc w:val="left"/>
            </w:pPr>
            <w:r w:rsidRPr="003C3839">
              <w:t xml:space="preserve">Projekta izpildē iesaistītās institūcijas </w:t>
            </w:r>
          </w:p>
        </w:tc>
        <w:tc>
          <w:tcPr>
            <w:tcW w:w="5387" w:type="dxa"/>
          </w:tcPr>
          <w:p w14:paraId="043F9A55" w14:textId="5F7FD37D" w:rsidR="00B25EFC" w:rsidRPr="003C3839" w:rsidRDefault="00390AC9" w:rsidP="00DE2277">
            <w:pPr>
              <w:pStyle w:val="naisnod"/>
              <w:spacing w:before="0" w:after="0"/>
              <w:ind w:left="57" w:right="57"/>
              <w:jc w:val="both"/>
              <w:rPr>
                <w:b w:val="0"/>
              </w:rPr>
            </w:pPr>
            <w:r>
              <w:rPr>
                <w:b w:val="0"/>
                <w:iCs/>
              </w:rPr>
              <w:t>Valsts un pašvaldību budžeta iestādes</w:t>
            </w:r>
            <w:r w:rsidR="00B25EFC" w:rsidRPr="003C3839">
              <w:rPr>
                <w:b w:val="0"/>
                <w:iCs/>
              </w:rPr>
              <w:t xml:space="preserve"> </w:t>
            </w:r>
          </w:p>
        </w:tc>
      </w:tr>
      <w:tr w:rsidR="00B25EFC" w:rsidRPr="003C3839" w14:paraId="61269C79" w14:textId="77777777" w:rsidTr="007026AB">
        <w:trPr>
          <w:trHeight w:val="725"/>
        </w:trPr>
        <w:tc>
          <w:tcPr>
            <w:tcW w:w="426" w:type="dxa"/>
          </w:tcPr>
          <w:p w14:paraId="6B970359" w14:textId="77777777" w:rsidR="00B25EFC" w:rsidRPr="003C3839" w:rsidRDefault="00B25EFC" w:rsidP="00DE2277">
            <w:pPr>
              <w:pStyle w:val="naisnod"/>
              <w:spacing w:before="0" w:after="0"/>
              <w:ind w:left="57" w:right="57"/>
              <w:jc w:val="left"/>
              <w:rPr>
                <w:b w:val="0"/>
              </w:rPr>
            </w:pPr>
            <w:r w:rsidRPr="003C3839">
              <w:rPr>
                <w:b w:val="0"/>
              </w:rPr>
              <w:t>2.</w:t>
            </w:r>
          </w:p>
        </w:tc>
        <w:tc>
          <w:tcPr>
            <w:tcW w:w="3969" w:type="dxa"/>
          </w:tcPr>
          <w:p w14:paraId="1B685BB4" w14:textId="77777777" w:rsidR="00B25EFC" w:rsidRPr="003C3839" w:rsidRDefault="00B25EFC" w:rsidP="00DE2277">
            <w:pPr>
              <w:pStyle w:val="naisf"/>
              <w:spacing w:before="0" w:after="0"/>
              <w:ind w:left="57" w:right="57" w:firstLine="0"/>
              <w:jc w:val="left"/>
            </w:pPr>
            <w:r w:rsidRPr="003C3839">
              <w:t>Projekta izpildes ietekme uz pārvaldes funkcijām un institucionālo struktūru.</w:t>
            </w:r>
          </w:p>
          <w:p w14:paraId="0D92D14D" w14:textId="77777777" w:rsidR="00B25EFC" w:rsidRPr="003C3839" w:rsidRDefault="00B25EFC" w:rsidP="00DE2277">
            <w:pPr>
              <w:pStyle w:val="naisf"/>
              <w:spacing w:before="0" w:after="0"/>
              <w:ind w:left="57" w:right="57" w:firstLine="0"/>
              <w:jc w:val="left"/>
            </w:pPr>
            <w:r w:rsidRPr="003C3839">
              <w:t>Jaunu institūciju izveide, esošo institūciju likvidācija vai reorganizācija, to ietekme uz institūcijas cilvēkresursiem</w:t>
            </w:r>
          </w:p>
        </w:tc>
        <w:tc>
          <w:tcPr>
            <w:tcW w:w="5387" w:type="dxa"/>
          </w:tcPr>
          <w:p w14:paraId="54742055" w14:textId="77777777" w:rsidR="00B25EFC" w:rsidRPr="003C3839" w:rsidRDefault="00F021D5" w:rsidP="00DE2277">
            <w:pPr>
              <w:pStyle w:val="naisnod"/>
              <w:spacing w:before="0" w:after="0"/>
              <w:ind w:left="57" w:right="57"/>
              <w:jc w:val="both"/>
              <w:rPr>
                <w:b w:val="0"/>
                <w:iCs/>
              </w:rPr>
            </w:pPr>
            <w:r>
              <w:rPr>
                <w:b w:val="0"/>
                <w:iCs/>
              </w:rPr>
              <w:t>Jaunas funkcijas netiek radītas</w:t>
            </w:r>
            <w:r w:rsidR="00B25EFC" w:rsidRPr="003C3839">
              <w:rPr>
                <w:b w:val="0"/>
                <w:iCs/>
              </w:rPr>
              <w:t xml:space="preserve">. </w:t>
            </w:r>
          </w:p>
          <w:p w14:paraId="060940E9" w14:textId="77777777" w:rsidR="00B25EFC" w:rsidRPr="003C3839" w:rsidRDefault="00B25EFC" w:rsidP="00DE2277">
            <w:pPr>
              <w:pStyle w:val="naisnod"/>
              <w:spacing w:before="0" w:after="0"/>
              <w:ind w:left="57" w:right="57"/>
              <w:jc w:val="both"/>
              <w:rPr>
                <w:b w:val="0"/>
              </w:rPr>
            </w:pPr>
            <w:r w:rsidRPr="003C3839">
              <w:rPr>
                <w:b w:val="0"/>
                <w:iCs/>
              </w:rPr>
              <w:t xml:space="preserve">Projekta izpilde neietekmē pārvaldes institucionālo struktūru, kā arī nav paredzēta jaunu </w:t>
            </w:r>
            <w:r w:rsidRPr="003C3839">
              <w:rPr>
                <w:b w:val="0"/>
              </w:rPr>
              <w:t>institūciju izveide, esošo institūciju likvidācija vai reorganizācija.</w:t>
            </w:r>
          </w:p>
          <w:p w14:paraId="2C0BF0EE" w14:textId="77777777" w:rsidR="00B25EFC" w:rsidRPr="003C3839" w:rsidRDefault="00B25EFC" w:rsidP="00DE2277">
            <w:pPr>
              <w:pStyle w:val="naisnod"/>
              <w:spacing w:before="0" w:after="0"/>
              <w:ind w:left="57" w:right="57"/>
              <w:jc w:val="left"/>
              <w:rPr>
                <w:b w:val="0"/>
              </w:rPr>
            </w:pPr>
            <w:r w:rsidRPr="003C3839">
              <w:rPr>
                <w:b w:val="0"/>
              </w:rPr>
              <w:t>Projekts tiks realizēts esošo cilvēkresursu ietvaros.</w:t>
            </w:r>
          </w:p>
        </w:tc>
      </w:tr>
      <w:tr w:rsidR="00B25EFC" w:rsidRPr="003C3839" w14:paraId="2FCCF539" w14:textId="77777777" w:rsidTr="007026AB">
        <w:trPr>
          <w:trHeight w:val="57"/>
        </w:trPr>
        <w:tc>
          <w:tcPr>
            <w:tcW w:w="426" w:type="dxa"/>
          </w:tcPr>
          <w:p w14:paraId="214DA8C6" w14:textId="77777777" w:rsidR="00B25EFC" w:rsidRPr="003C3839" w:rsidRDefault="00B25EFC" w:rsidP="00DE2277">
            <w:pPr>
              <w:pStyle w:val="naiskr"/>
              <w:spacing w:before="0" w:after="0"/>
              <w:ind w:left="57" w:right="57"/>
            </w:pPr>
            <w:r w:rsidRPr="003C3839">
              <w:t>3.</w:t>
            </w:r>
          </w:p>
        </w:tc>
        <w:tc>
          <w:tcPr>
            <w:tcW w:w="3969" w:type="dxa"/>
          </w:tcPr>
          <w:p w14:paraId="3B506D1A" w14:textId="77777777" w:rsidR="00B25EFC" w:rsidRPr="003C3839" w:rsidRDefault="00B25EFC" w:rsidP="00DE2277">
            <w:pPr>
              <w:pStyle w:val="naiskr"/>
              <w:spacing w:before="0" w:after="0"/>
              <w:ind w:left="57" w:right="57"/>
            </w:pPr>
            <w:r w:rsidRPr="003C3839">
              <w:t>Cita informācija</w:t>
            </w:r>
          </w:p>
        </w:tc>
        <w:tc>
          <w:tcPr>
            <w:tcW w:w="5387" w:type="dxa"/>
          </w:tcPr>
          <w:p w14:paraId="177648A1" w14:textId="77777777" w:rsidR="00B25EFC" w:rsidRPr="003C3839" w:rsidRDefault="00B25EFC" w:rsidP="00DE2277">
            <w:pPr>
              <w:pStyle w:val="naiskr"/>
              <w:spacing w:before="0" w:after="0"/>
              <w:ind w:left="57" w:right="57"/>
            </w:pPr>
            <w:r w:rsidRPr="003C3839">
              <w:t>Nav.</w:t>
            </w:r>
          </w:p>
        </w:tc>
      </w:tr>
    </w:tbl>
    <w:p w14:paraId="47B5D8D2" w14:textId="77777777" w:rsidR="00592CCB" w:rsidRDefault="00592CCB" w:rsidP="00B25EFC">
      <w:pPr>
        <w:rPr>
          <w:sz w:val="28"/>
          <w:szCs w:val="28"/>
        </w:rPr>
      </w:pPr>
    </w:p>
    <w:p w14:paraId="3A2CDB9B" w14:textId="146F1EFD" w:rsidR="00592CCB" w:rsidRDefault="00592CCB" w:rsidP="00B25EFC">
      <w:pPr>
        <w:rPr>
          <w:sz w:val="28"/>
          <w:szCs w:val="28"/>
        </w:rPr>
      </w:pPr>
    </w:p>
    <w:p w14:paraId="06049AC4" w14:textId="77777777" w:rsidR="00592CCB" w:rsidRDefault="00592CCB" w:rsidP="00B25EFC">
      <w:pPr>
        <w:rPr>
          <w:sz w:val="28"/>
          <w:szCs w:val="28"/>
        </w:rPr>
      </w:pPr>
    </w:p>
    <w:p w14:paraId="31F49EC2" w14:textId="394480FF" w:rsidR="00B25EFC" w:rsidRPr="003C3839" w:rsidRDefault="00577631" w:rsidP="00B25EFC">
      <w:pPr>
        <w:rPr>
          <w:sz w:val="28"/>
          <w:szCs w:val="28"/>
        </w:rPr>
      </w:pPr>
      <w:r>
        <w:rPr>
          <w:sz w:val="28"/>
          <w:szCs w:val="28"/>
        </w:rPr>
        <w:t xml:space="preserve">Finanšu ministrs </w:t>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J.Reirs</w:t>
      </w:r>
      <w:proofErr w:type="spellEnd"/>
    </w:p>
    <w:p w14:paraId="107B3F49" w14:textId="77777777" w:rsidR="00B25EFC" w:rsidRPr="003C3839" w:rsidRDefault="00B25EFC" w:rsidP="00B25EFC">
      <w:pPr>
        <w:jc w:val="both"/>
        <w:rPr>
          <w:sz w:val="18"/>
          <w:szCs w:val="18"/>
        </w:rPr>
      </w:pPr>
    </w:p>
    <w:p w14:paraId="63379FF2" w14:textId="77777777" w:rsidR="00477FF2" w:rsidRDefault="00477FF2" w:rsidP="00B25EFC">
      <w:pPr>
        <w:jc w:val="both"/>
        <w:rPr>
          <w:sz w:val="20"/>
          <w:szCs w:val="20"/>
        </w:rPr>
      </w:pPr>
    </w:p>
    <w:p w14:paraId="5FF08BAE" w14:textId="77777777" w:rsidR="008B2892" w:rsidRDefault="008B2892" w:rsidP="00B25EFC">
      <w:pPr>
        <w:jc w:val="both"/>
        <w:rPr>
          <w:sz w:val="20"/>
          <w:szCs w:val="20"/>
        </w:rPr>
      </w:pPr>
    </w:p>
    <w:p w14:paraId="2C3E3AED" w14:textId="4A15B061" w:rsidR="008B2892" w:rsidRDefault="008B2892" w:rsidP="00B25EFC">
      <w:pPr>
        <w:jc w:val="both"/>
        <w:rPr>
          <w:sz w:val="20"/>
          <w:szCs w:val="20"/>
        </w:rPr>
      </w:pPr>
    </w:p>
    <w:p w14:paraId="3D1C564D" w14:textId="6CA4218A" w:rsidR="00592CCB" w:rsidRDefault="00592CCB" w:rsidP="00B25EFC">
      <w:pPr>
        <w:jc w:val="both"/>
        <w:rPr>
          <w:sz w:val="20"/>
          <w:szCs w:val="20"/>
        </w:rPr>
      </w:pPr>
    </w:p>
    <w:p w14:paraId="237B5464" w14:textId="7D5D1E45" w:rsidR="00592CCB" w:rsidRDefault="00592CCB" w:rsidP="00B25EFC">
      <w:pPr>
        <w:jc w:val="both"/>
        <w:rPr>
          <w:sz w:val="20"/>
          <w:szCs w:val="20"/>
        </w:rPr>
      </w:pPr>
    </w:p>
    <w:p w14:paraId="785F3686" w14:textId="2B7F0088" w:rsidR="00592CCB" w:rsidRDefault="00592CCB" w:rsidP="00B25EFC">
      <w:pPr>
        <w:jc w:val="both"/>
        <w:rPr>
          <w:sz w:val="20"/>
          <w:szCs w:val="20"/>
        </w:rPr>
      </w:pPr>
    </w:p>
    <w:p w14:paraId="6DD11420" w14:textId="3919034B" w:rsidR="00592CCB" w:rsidRDefault="00592CCB" w:rsidP="00B25EFC">
      <w:pPr>
        <w:jc w:val="both"/>
        <w:rPr>
          <w:sz w:val="20"/>
          <w:szCs w:val="20"/>
        </w:rPr>
      </w:pPr>
    </w:p>
    <w:p w14:paraId="0FA0186F" w14:textId="7D4AF84A" w:rsidR="00592CCB" w:rsidRDefault="00592CCB" w:rsidP="00B25EFC">
      <w:pPr>
        <w:jc w:val="both"/>
        <w:rPr>
          <w:sz w:val="20"/>
          <w:szCs w:val="20"/>
        </w:rPr>
      </w:pPr>
    </w:p>
    <w:p w14:paraId="402437ED" w14:textId="7501AE4B" w:rsidR="00592CCB" w:rsidRDefault="00592CCB" w:rsidP="00B25EFC">
      <w:pPr>
        <w:jc w:val="both"/>
        <w:rPr>
          <w:sz w:val="20"/>
          <w:szCs w:val="20"/>
        </w:rPr>
      </w:pPr>
    </w:p>
    <w:p w14:paraId="5C886775" w14:textId="1D5D032C" w:rsidR="00592CCB" w:rsidRDefault="00592CCB" w:rsidP="00B25EFC">
      <w:pPr>
        <w:jc w:val="both"/>
        <w:rPr>
          <w:sz w:val="20"/>
          <w:szCs w:val="20"/>
        </w:rPr>
      </w:pPr>
    </w:p>
    <w:p w14:paraId="144F77BE" w14:textId="77777777" w:rsidR="00592CCB" w:rsidRDefault="00592CCB" w:rsidP="00B25EFC">
      <w:pPr>
        <w:jc w:val="both"/>
        <w:rPr>
          <w:sz w:val="20"/>
          <w:szCs w:val="20"/>
        </w:rPr>
      </w:pPr>
    </w:p>
    <w:p w14:paraId="1A0AE0B8" w14:textId="77777777" w:rsidR="00B25EFC" w:rsidRPr="003C3839" w:rsidRDefault="00A513CE" w:rsidP="00B25EFC">
      <w:pPr>
        <w:jc w:val="both"/>
        <w:rPr>
          <w:sz w:val="20"/>
          <w:szCs w:val="20"/>
        </w:rPr>
      </w:pPr>
      <w:r>
        <w:rPr>
          <w:sz w:val="20"/>
          <w:szCs w:val="20"/>
        </w:rPr>
        <w:t>Liepiņa</w:t>
      </w:r>
      <w:r w:rsidRPr="003C3839">
        <w:rPr>
          <w:sz w:val="20"/>
          <w:szCs w:val="20"/>
        </w:rPr>
        <w:t xml:space="preserve"> </w:t>
      </w:r>
      <w:r w:rsidR="00B25EFC" w:rsidRPr="003C3839">
        <w:rPr>
          <w:sz w:val="20"/>
          <w:szCs w:val="20"/>
        </w:rPr>
        <w:t>670954</w:t>
      </w:r>
      <w:r>
        <w:rPr>
          <w:sz w:val="20"/>
          <w:szCs w:val="20"/>
        </w:rPr>
        <w:t>55</w:t>
      </w:r>
    </w:p>
    <w:p w14:paraId="2E5BBD79" w14:textId="77777777" w:rsidR="00B25EFC" w:rsidRDefault="00A513CE" w:rsidP="00283D6B">
      <w:pPr>
        <w:jc w:val="both"/>
        <w:rPr>
          <w:sz w:val="18"/>
          <w:szCs w:val="18"/>
        </w:rPr>
      </w:pPr>
      <w:r>
        <w:rPr>
          <w:sz w:val="20"/>
          <w:szCs w:val="20"/>
        </w:rPr>
        <w:t>Inga.liepina</w:t>
      </w:r>
      <w:r w:rsidR="00B25EFC" w:rsidRPr="003C3839">
        <w:rPr>
          <w:sz w:val="20"/>
          <w:szCs w:val="20"/>
        </w:rPr>
        <w:t>@fm.gov.lv</w:t>
      </w:r>
    </w:p>
    <w:sectPr w:rsidR="00B25EFC" w:rsidSect="0050347D">
      <w:headerReference w:type="even" r:id="rId17"/>
      <w:headerReference w:type="default" r:id="rId18"/>
      <w:footerReference w:type="default" r:id="rId19"/>
      <w:footerReference w:type="first" r:id="rId20"/>
      <w:pgSz w:w="11906" w:h="16838" w:code="9"/>
      <w:pgMar w:top="993" w:right="991" w:bottom="851" w:left="1701" w:header="426" w:footer="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3CCB4" w14:textId="77777777" w:rsidR="001712BA" w:rsidRDefault="001712BA" w:rsidP="00307F91">
      <w:r>
        <w:separator/>
      </w:r>
    </w:p>
  </w:endnote>
  <w:endnote w:type="continuationSeparator" w:id="0">
    <w:p w14:paraId="2409877D" w14:textId="77777777" w:rsidR="001712BA" w:rsidRDefault="001712BA" w:rsidP="0030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E9569" w14:textId="77777777" w:rsidR="005A01FB" w:rsidRPr="00743B6F" w:rsidRDefault="005A01FB" w:rsidP="005A01FB">
    <w:pPr>
      <w:pStyle w:val="Footer"/>
      <w:ind w:left="-426" w:right="-285"/>
      <w:jc w:val="both"/>
      <w:rPr>
        <w:sz w:val="18"/>
        <w:szCs w:val="18"/>
      </w:rPr>
    </w:pPr>
    <w:r w:rsidRPr="00743B6F">
      <w:rPr>
        <w:sz w:val="18"/>
        <w:szCs w:val="18"/>
      </w:rPr>
      <w:t>FMAnot_</w:t>
    </w:r>
    <w:r>
      <w:rPr>
        <w:sz w:val="18"/>
        <w:szCs w:val="18"/>
      </w:rPr>
      <w:t>260620_mk_1032</w:t>
    </w:r>
    <w:r w:rsidRPr="00743B6F">
      <w:rPr>
        <w:sz w:val="18"/>
        <w:szCs w:val="18"/>
      </w:rPr>
      <w:t xml:space="preserve"> </w:t>
    </w:r>
  </w:p>
  <w:p w14:paraId="620995C2" w14:textId="77777777" w:rsidR="00DE2277" w:rsidRPr="002B57DA" w:rsidRDefault="00DE2277" w:rsidP="002B5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E308" w14:textId="505D6E58" w:rsidR="00DE2277" w:rsidRPr="00743B6F" w:rsidRDefault="00DE2277" w:rsidP="001E0A50">
    <w:pPr>
      <w:pStyle w:val="Footer"/>
      <w:ind w:left="-426" w:right="-285"/>
      <w:jc w:val="both"/>
      <w:rPr>
        <w:sz w:val="18"/>
        <w:szCs w:val="18"/>
      </w:rPr>
    </w:pPr>
    <w:r w:rsidRPr="00743B6F">
      <w:rPr>
        <w:sz w:val="18"/>
        <w:szCs w:val="18"/>
      </w:rPr>
      <w:t>FMAnot_</w:t>
    </w:r>
    <w:r w:rsidR="001970C2">
      <w:rPr>
        <w:sz w:val="18"/>
        <w:szCs w:val="18"/>
      </w:rPr>
      <w:t>260620_mk</w:t>
    </w:r>
    <w:r>
      <w:rPr>
        <w:sz w:val="18"/>
        <w:szCs w:val="18"/>
      </w:rPr>
      <w:t>_1032</w:t>
    </w:r>
    <w:r w:rsidRPr="00743B6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6029D" w14:textId="77777777" w:rsidR="001712BA" w:rsidRDefault="001712BA" w:rsidP="00307F91">
      <w:r>
        <w:separator/>
      </w:r>
    </w:p>
  </w:footnote>
  <w:footnote w:type="continuationSeparator" w:id="0">
    <w:p w14:paraId="3252A126" w14:textId="77777777" w:rsidR="001712BA" w:rsidRDefault="001712BA" w:rsidP="00307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3B9F4" w14:textId="77777777" w:rsidR="00DE2277" w:rsidRDefault="00DE2277" w:rsidP="002323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91A493" w14:textId="77777777" w:rsidR="00DE2277" w:rsidRDefault="00DE2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1B403" w14:textId="7E41A6E5" w:rsidR="00DE2277" w:rsidRDefault="00DE2277" w:rsidP="002323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58AA">
      <w:rPr>
        <w:rStyle w:val="PageNumber"/>
        <w:noProof/>
      </w:rPr>
      <w:t>8</w:t>
    </w:r>
    <w:r>
      <w:rPr>
        <w:rStyle w:val="PageNumber"/>
      </w:rPr>
      <w:fldChar w:fldCharType="end"/>
    </w:r>
  </w:p>
  <w:p w14:paraId="4243BECA" w14:textId="77777777" w:rsidR="00DE2277" w:rsidRDefault="00DE2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492"/>
    <w:multiLevelType w:val="hybridMultilevel"/>
    <w:tmpl w:val="8AA0A964"/>
    <w:lvl w:ilvl="0" w:tplc="0E7E3B70">
      <w:numFmt w:val="bullet"/>
      <w:lvlText w:val="-"/>
      <w:lvlJc w:val="left"/>
      <w:pPr>
        <w:ind w:left="502" w:hanging="360"/>
      </w:pPr>
      <w:rPr>
        <w:rFonts w:ascii="Times New Roman" w:eastAsia="Times New Roman"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 w15:restartNumberingAfterBreak="0">
    <w:nsid w:val="13C05AC4"/>
    <w:multiLevelType w:val="hybridMultilevel"/>
    <w:tmpl w:val="8BCEC946"/>
    <w:lvl w:ilvl="0" w:tplc="683E6F0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43F409F"/>
    <w:multiLevelType w:val="hybridMultilevel"/>
    <w:tmpl w:val="52B2CB6A"/>
    <w:lvl w:ilvl="0" w:tplc="2B34B54C">
      <w:start w:val="1"/>
      <w:numFmt w:val="decimal"/>
      <w:lvlText w:val="%1)"/>
      <w:lvlJc w:val="left"/>
      <w:pPr>
        <w:ind w:left="897" w:hanging="360"/>
      </w:pPr>
      <w:rPr>
        <w:rFonts w:ascii="Times New Roman" w:eastAsia="Calibri" w:hAnsi="Times New Roman" w:cs="Times New Roman"/>
      </w:rPr>
    </w:lvl>
    <w:lvl w:ilvl="1" w:tplc="04260019" w:tentative="1">
      <w:start w:val="1"/>
      <w:numFmt w:val="lowerLetter"/>
      <w:lvlText w:val="%2."/>
      <w:lvlJc w:val="left"/>
      <w:pPr>
        <w:ind w:left="1617" w:hanging="360"/>
      </w:pPr>
    </w:lvl>
    <w:lvl w:ilvl="2" w:tplc="0426001B" w:tentative="1">
      <w:start w:val="1"/>
      <w:numFmt w:val="lowerRoman"/>
      <w:lvlText w:val="%3."/>
      <w:lvlJc w:val="right"/>
      <w:pPr>
        <w:ind w:left="2337" w:hanging="180"/>
      </w:pPr>
    </w:lvl>
    <w:lvl w:ilvl="3" w:tplc="0426000F" w:tentative="1">
      <w:start w:val="1"/>
      <w:numFmt w:val="decimal"/>
      <w:lvlText w:val="%4."/>
      <w:lvlJc w:val="left"/>
      <w:pPr>
        <w:ind w:left="3057" w:hanging="360"/>
      </w:pPr>
    </w:lvl>
    <w:lvl w:ilvl="4" w:tplc="04260019" w:tentative="1">
      <w:start w:val="1"/>
      <w:numFmt w:val="lowerLetter"/>
      <w:lvlText w:val="%5."/>
      <w:lvlJc w:val="left"/>
      <w:pPr>
        <w:ind w:left="3777" w:hanging="360"/>
      </w:pPr>
    </w:lvl>
    <w:lvl w:ilvl="5" w:tplc="0426001B" w:tentative="1">
      <w:start w:val="1"/>
      <w:numFmt w:val="lowerRoman"/>
      <w:lvlText w:val="%6."/>
      <w:lvlJc w:val="right"/>
      <w:pPr>
        <w:ind w:left="4497" w:hanging="180"/>
      </w:pPr>
    </w:lvl>
    <w:lvl w:ilvl="6" w:tplc="0426000F" w:tentative="1">
      <w:start w:val="1"/>
      <w:numFmt w:val="decimal"/>
      <w:lvlText w:val="%7."/>
      <w:lvlJc w:val="left"/>
      <w:pPr>
        <w:ind w:left="5217" w:hanging="360"/>
      </w:pPr>
    </w:lvl>
    <w:lvl w:ilvl="7" w:tplc="04260019" w:tentative="1">
      <w:start w:val="1"/>
      <w:numFmt w:val="lowerLetter"/>
      <w:lvlText w:val="%8."/>
      <w:lvlJc w:val="left"/>
      <w:pPr>
        <w:ind w:left="5937" w:hanging="360"/>
      </w:pPr>
    </w:lvl>
    <w:lvl w:ilvl="8" w:tplc="0426001B" w:tentative="1">
      <w:start w:val="1"/>
      <w:numFmt w:val="lowerRoman"/>
      <w:lvlText w:val="%9."/>
      <w:lvlJc w:val="right"/>
      <w:pPr>
        <w:ind w:left="6657" w:hanging="180"/>
      </w:pPr>
    </w:lvl>
  </w:abstractNum>
  <w:abstractNum w:abstractNumId="3" w15:restartNumberingAfterBreak="0">
    <w:nsid w:val="273D066D"/>
    <w:multiLevelType w:val="hybridMultilevel"/>
    <w:tmpl w:val="A3268466"/>
    <w:lvl w:ilvl="0" w:tplc="CB1C65AA">
      <w:numFmt w:val="bullet"/>
      <w:lvlText w:val="-"/>
      <w:lvlJc w:val="left"/>
      <w:pPr>
        <w:ind w:left="492" w:hanging="360"/>
      </w:pPr>
      <w:rPr>
        <w:rFonts w:ascii="Times New Roman" w:eastAsiaTheme="minorHAnsi" w:hAnsi="Times New Roman" w:cs="Times New Roman" w:hint="default"/>
      </w:rPr>
    </w:lvl>
    <w:lvl w:ilvl="1" w:tplc="04260003" w:tentative="1">
      <w:start w:val="1"/>
      <w:numFmt w:val="bullet"/>
      <w:lvlText w:val="o"/>
      <w:lvlJc w:val="left"/>
      <w:pPr>
        <w:ind w:left="1212" w:hanging="360"/>
      </w:pPr>
      <w:rPr>
        <w:rFonts w:ascii="Courier New" w:hAnsi="Courier New" w:cs="Courier New" w:hint="default"/>
      </w:rPr>
    </w:lvl>
    <w:lvl w:ilvl="2" w:tplc="04260005" w:tentative="1">
      <w:start w:val="1"/>
      <w:numFmt w:val="bullet"/>
      <w:lvlText w:val=""/>
      <w:lvlJc w:val="left"/>
      <w:pPr>
        <w:ind w:left="1932" w:hanging="360"/>
      </w:pPr>
      <w:rPr>
        <w:rFonts w:ascii="Wingdings" w:hAnsi="Wingdings" w:hint="default"/>
      </w:rPr>
    </w:lvl>
    <w:lvl w:ilvl="3" w:tplc="04260001" w:tentative="1">
      <w:start w:val="1"/>
      <w:numFmt w:val="bullet"/>
      <w:lvlText w:val=""/>
      <w:lvlJc w:val="left"/>
      <w:pPr>
        <w:ind w:left="2652" w:hanging="360"/>
      </w:pPr>
      <w:rPr>
        <w:rFonts w:ascii="Symbol" w:hAnsi="Symbol" w:hint="default"/>
      </w:rPr>
    </w:lvl>
    <w:lvl w:ilvl="4" w:tplc="04260003" w:tentative="1">
      <w:start w:val="1"/>
      <w:numFmt w:val="bullet"/>
      <w:lvlText w:val="o"/>
      <w:lvlJc w:val="left"/>
      <w:pPr>
        <w:ind w:left="3372" w:hanging="360"/>
      </w:pPr>
      <w:rPr>
        <w:rFonts w:ascii="Courier New" w:hAnsi="Courier New" w:cs="Courier New" w:hint="default"/>
      </w:rPr>
    </w:lvl>
    <w:lvl w:ilvl="5" w:tplc="04260005" w:tentative="1">
      <w:start w:val="1"/>
      <w:numFmt w:val="bullet"/>
      <w:lvlText w:val=""/>
      <w:lvlJc w:val="left"/>
      <w:pPr>
        <w:ind w:left="4092" w:hanging="360"/>
      </w:pPr>
      <w:rPr>
        <w:rFonts w:ascii="Wingdings" w:hAnsi="Wingdings" w:hint="default"/>
      </w:rPr>
    </w:lvl>
    <w:lvl w:ilvl="6" w:tplc="04260001" w:tentative="1">
      <w:start w:val="1"/>
      <w:numFmt w:val="bullet"/>
      <w:lvlText w:val=""/>
      <w:lvlJc w:val="left"/>
      <w:pPr>
        <w:ind w:left="4812" w:hanging="360"/>
      </w:pPr>
      <w:rPr>
        <w:rFonts w:ascii="Symbol" w:hAnsi="Symbol" w:hint="default"/>
      </w:rPr>
    </w:lvl>
    <w:lvl w:ilvl="7" w:tplc="04260003" w:tentative="1">
      <w:start w:val="1"/>
      <w:numFmt w:val="bullet"/>
      <w:lvlText w:val="o"/>
      <w:lvlJc w:val="left"/>
      <w:pPr>
        <w:ind w:left="5532" w:hanging="360"/>
      </w:pPr>
      <w:rPr>
        <w:rFonts w:ascii="Courier New" w:hAnsi="Courier New" w:cs="Courier New" w:hint="default"/>
      </w:rPr>
    </w:lvl>
    <w:lvl w:ilvl="8" w:tplc="04260005" w:tentative="1">
      <w:start w:val="1"/>
      <w:numFmt w:val="bullet"/>
      <w:lvlText w:val=""/>
      <w:lvlJc w:val="left"/>
      <w:pPr>
        <w:ind w:left="6252" w:hanging="360"/>
      </w:pPr>
      <w:rPr>
        <w:rFonts w:ascii="Wingdings" w:hAnsi="Wingdings" w:hint="default"/>
      </w:rPr>
    </w:lvl>
  </w:abstractNum>
  <w:abstractNum w:abstractNumId="4" w15:restartNumberingAfterBreak="0">
    <w:nsid w:val="279A0BD4"/>
    <w:multiLevelType w:val="hybridMultilevel"/>
    <w:tmpl w:val="2160A08E"/>
    <w:lvl w:ilvl="0" w:tplc="6E30C30C">
      <w:start w:val="1"/>
      <w:numFmt w:val="decimal"/>
      <w:lvlText w:val="%1)"/>
      <w:lvlJc w:val="left"/>
      <w:pPr>
        <w:ind w:left="1785" w:hanging="106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8A85FFD"/>
    <w:multiLevelType w:val="hybridMultilevel"/>
    <w:tmpl w:val="8DA0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A53F61"/>
    <w:multiLevelType w:val="multilevel"/>
    <w:tmpl w:val="65D8759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2B6F7412"/>
    <w:multiLevelType w:val="hybridMultilevel"/>
    <w:tmpl w:val="57C48E7A"/>
    <w:lvl w:ilvl="0" w:tplc="04260019">
      <w:start w:val="1"/>
      <w:numFmt w:val="lowerLetter"/>
      <w:lvlText w:val="%1."/>
      <w:lvlJc w:val="left"/>
      <w:pPr>
        <w:ind w:left="1575" w:hanging="360"/>
      </w:pPr>
    </w:lvl>
    <w:lvl w:ilvl="1" w:tplc="04260019" w:tentative="1">
      <w:start w:val="1"/>
      <w:numFmt w:val="lowerLetter"/>
      <w:lvlText w:val="%2."/>
      <w:lvlJc w:val="left"/>
      <w:pPr>
        <w:ind w:left="2295" w:hanging="360"/>
      </w:pPr>
    </w:lvl>
    <w:lvl w:ilvl="2" w:tplc="0426001B" w:tentative="1">
      <w:start w:val="1"/>
      <w:numFmt w:val="lowerRoman"/>
      <w:lvlText w:val="%3."/>
      <w:lvlJc w:val="right"/>
      <w:pPr>
        <w:ind w:left="3015" w:hanging="180"/>
      </w:pPr>
    </w:lvl>
    <w:lvl w:ilvl="3" w:tplc="0426000F" w:tentative="1">
      <w:start w:val="1"/>
      <w:numFmt w:val="decimal"/>
      <w:lvlText w:val="%4."/>
      <w:lvlJc w:val="left"/>
      <w:pPr>
        <w:ind w:left="3735" w:hanging="360"/>
      </w:pPr>
    </w:lvl>
    <w:lvl w:ilvl="4" w:tplc="04260019" w:tentative="1">
      <w:start w:val="1"/>
      <w:numFmt w:val="lowerLetter"/>
      <w:lvlText w:val="%5."/>
      <w:lvlJc w:val="left"/>
      <w:pPr>
        <w:ind w:left="4455" w:hanging="360"/>
      </w:pPr>
    </w:lvl>
    <w:lvl w:ilvl="5" w:tplc="0426001B" w:tentative="1">
      <w:start w:val="1"/>
      <w:numFmt w:val="lowerRoman"/>
      <w:lvlText w:val="%6."/>
      <w:lvlJc w:val="right"/>
      <w:pPr>
        <w:ind w:left="5175" w:hanging="180"/>
      </w:pPr>
    </w:lvl>
    <w:lvl w:ilvl="6" w:tplc="0426000F" w:tentative="1">
      <w:start w:val="1"/>
      <w:numFmt w:val="decimal"/>
      <w:lvlText w:val="%7."/>
      <w:lvlJc w:val="left"/>
      <w:pPr>
        <w:ind w:left="5895" w:hanging="360"/>
      </w:pPr>
    </w:lvl>
    <w:lvl w:ilvl="7" w:tplc="04260019" w:tentative="1">
      <w:start w:val="1"/>
      <w:numFmt w:val="lowerLetter"/>
      <w:lvlText w:val="%8."/>
      <w:lvlJc w:val="left"/>
      <w:pPr>
        <w:ind w:left="6615" w:hanging="360"/>
      </w:pPr>
    </w:lvl>
    <w:lvl w:ilvl="8" w:tplc="0426001B" w:tentative="1">
      <w:start w:val="1"/>
      <w:numFmt w:val="lowerRoman"/>
      <w:lvlText w:val="%9."/>
      <w:lvlJc w:val="right"/>
      <w:pPr>
        <w:ind w:left="7335" w:hanging="180"/>
      </w:pPr>
    </w:lvl>
  </w:abstractNum>
  <w:abstractNum w:abstractNumId="8" w15:restartNumberingAfterBreak="0">
    <w:nsid w:val="2D9B443F"/>
    <w:multiLevelType w:val="hybridMultilevel"/>
    <w:tmpl w:val="BCAED7EA"/>
    <w:lvl w:ilvl="0" w:tplc="0426000D">
      <w:start w:val="1"/>
      <w:numFmt w:val="bullet"/>
      <w:lvlText w:val=""/>
      <w:lvlJc w:val="left"/>
      <w:pPr>
        <w:ind w:left="848" w:hanging="360"/>
      </w:pPr>
      <w:rPr>
        <w:rFonts w:ascii="Wingdings" w:hAnsi="Wingdings" w:hint="default"/>
      </w:rPr>
    </w:lvl>
    <w:lvl w:ilvl="1" w:tplc="04260003" w:tentative="1">
      <w:start w:val="1"/>
      <w:numFmt w:val="bullet"/>
      <w:lvlText w:val="o"/>
      <w:lvlJc w:val="left"/>
      <w:pPr>
        <w:ind w:left="1568" w:hanging="360"/>
      </w:pPr>
      <w:rPr>
        <w:rFonts w:ascii="Courier New" w:hAnsi="Courier New" w:cs="Courier New" w:hint="default"/>
      </w:rPr>
    </w:lvl>
    <w:lvl w:ilvl="2" w:tplc="04260005" w:tentative="1">
      <w:start w:val="1"/>
      <w:numFmt w:val="bullet"/>
      <w:lvlText w:val=""/>
      <w:lvlJc w:val="left"/>
      <w:pPr>
        <w:ind w:left="2288" w:hanging="360"/>
      </w:pPr>
      <w:rPr>
        <w:rFonts w:ascii="Wingdings" w:hAnsi="Wingdings" w:hint="default"/>
      </w:rPr>
    </w:lvl>
    <w:lvl w:ilvl="3" w:tplc="04260001" w:tentative="1">
      <w:start w:val="1"/>
      <w:numFmt w:val="bullet"/>
      <w:lvlText w:val=""/>
      <w:lvlJc w:val="left"/>
      <w:pPr>
        <w:ind w:left="3008" w:hanging="360"/>
      </w:pPr>
      <w:rPr>
        <w:rFonts w:ascii="Symbol" w:hAnsi="Symbol" w:hint="default"/>
      </w:rPr>
    </w:lvl>
    <w:lvl w:ilvl="4" w:tplc="04260003" w:tentative="1">
      <w:start w:val="1"/>
      <w:numFmt w:val="bullet"/>
      <w:lvlText w:val="o"/>
      <w:lvlJc w:val="left"/>
      <w:pPr>
        <w:ind w:left="3728" w:hanging="360"/>
      </w:pPr>
      <w:rPr>
        <w:rFonts w:ascii="Courier New" w:hAnsi="Courier New" w:cs="Courier New" w:hint="default"/>
      </w:rPr>
    </w:lvl>
    <w:lvl w:ilvl="5" w:tplc="04260005" w:tentative="1">
      <w:start w:val="1"/>
      <w:numFmt w:val="bullet"/>
      <w:lvlText w:val=""/>
      <w:lvlJc w:val="left"/>
      <w:pPr>
        <w:ind w:left="4448" w:hanging="360"/>
      </w:pPr>
      <w:rPr>
        <w:rFonts w:ascii="Wingdings" w:hAnsi="Wingdings" w:hint="default"/>
      </w:rPr>
    </w:lvl>
    <w:lvl w:ilvl="6" w:tplc="04260001" w:tentative="1">
      <w:start w:val="1"/>
      <w:numFmt w:val="bullet"/>
      <w:lvlText w:val=""/>
      <w:lvlJc w:val="left"/>
      <w:pPr>
        <w:ind w:left="5168" w:hanging="360"/>
      </w:pPr>
      <w:rPr>
        <w:rFonts w:ascii="Symbol" w:hAnsi="Symbol" w:hint="default"/>
      </w:rPr>
    </w:lvl>
    <w:lvl w:ilvl="7" w:tplc="04260003" w:tentative="1">
      <w:start w:val="1"/>
      <w:numFmt w:val="bullet"/>
      <w:lvlText w:val="o"/>
      <w:lvlJc w:val="left"/>
      <w:pPr>
        <w:ind w:left="5888" w:hanging="360"/>
      </w:pPr>
      <w:rPr>
        <w:rFonts w:ascii="Courier New" w:hAnsi="Courier New" w:cs="Courier New" w:hint="default"/>
      </w:rPr>
    </w:lvl>
    <w:lvl w:ilvl="8" w:tplc="04260005" w:tentative="1">
      <w:start w:val="1"/>
      <w:numFmt w:val="bullet"/>
      <w:lvlText w:val=""/>
      <w:lvlJc w:val="left"/>
      <w:pPr>
        <w:ind w:left="6608" w:hanging="360"/>
      </w:pPr>
      <w:rPr>
        <w:rFonts w:ascii="Wingdings" w:hAnsi="Wingdings" w:hint="default"/>
      </w:rPr>
    </w:lvl>
  </w:abstractNum>
  <w:abstractNum w:abstractNumId="9" w15:restartNumberingAfterBreak="0">
    <w:nsid w:val="2ED902E2"/>
    <w:multiLevelType w:val="hybridMultilevel"/>
    <w:tmpl w:val="6D8035FA"/>
    <w:lvl w:ilvl="0" w:tplc="04260001">
      <w:start w:val="1"/>
      <w:numFmt w:val="bullet"/>
      <w:lvlText w:val=""/>
      <w:lvlJc w:val="left"/>
      <w:pPr>
        <w:ind w:left="852" w:hanging="360"/>
      </w:pPr>
      <w:rPr>
        <w:rFonts w:ascii="Symbol" w:hAnsi="Symbol" w:hint="default"/>
      </w:rPr>
    </w:lvl>
    <w:lvl w:ilvl="1" w:tplc="04260003" w:tentative="1">
      <w:start w:val="1"/>
      <w:numFmt w:val="bullet"/>
      <w:lvlText w:val="o"/>
      <w:lvlJc w:val="left"/>
      <w:pPr>
        <w:ind w:left="1572" w:hanging="360"/>
      </w:pPr>
      <w:rPr>
        <w:rFonts w:ascii="Courier New" w:hAnsi="Courier New" w:cs="Courier New" w:hint="default"/>
      </w:rPr>
    </w:lvl>
    <w:lvl w:ilvl="2" w:tplc="04260005" w:tentative="1">
      <w:start w:val="1"/>
      <w:numFmt w:val="bullet"/>
      <w:lvlText w:val=""/>
      <w:lvlJc w:val="left"/>
      <w:pPr>
        <w:ind w:left="2292" w:hanging="360"/>
      </w:pPr>
      <w:rPr>
        <w:rFonts w:ascii="Wingdings" w:hAnsi="Wingdings" w:hint="default"/>
      </w:rPr>
    </w:lvl>
    <w:lvl w:ilvl="3" w:tplc="04260001" w:tentative="1">
      <w:start w:val="1"/>
      <w:numFmt w:val="bullet"/>
      <w:lvlText w:val=""/>
      <w:lvlJc w:val="left"/>
      <w:pPr>
        <w:ind w:left="3012" w:hanging="360"/>
      </w:pPr>
      <w:rPr>
        <w:rFonts w:ascii="Symbol" w:hAnsi="Symbol" w:hint="default"/>
      </w:rPr>
    </w:lvl>
    <w:lvl w:ilvl="4" w:tplc="04260003" w:tentative="1">
      <w:start w:val="1"/>
      <w:numFmt w:val="bullet"/>
      <w:lvlText w:val="o"/>
      <w:lvlJc w:val="left"/>
      <w:pPr>
        <w:ind w:left="3732" w:hanging="360"/>
      </w:pPr>
      <w:rPr>
        <w:rFonts w:ascii="Courier New" w:hAnsi="Courier New" w:cs="Courier New" w:hint="default"/>
      </w:rPr>
    </w:lvl>
    <w:lvl w:ilvl="5" w:tplc="04260005" w:tentative="1">
      <w:start w:val="1"/>
      <w:numFmt w:val="bullet"/>
      <w:lvlText w:val=""/>
      <w:lvlJc w:val="left"/>
      <w:pPr>
        <w:ind w:left="4452" w:hanging="360"/>
      </w:pPr>
      <w:rPr>
        <w:rFonts w:ascii="Wingdings" w:hAnsi="Wingdings" w:hint="default"/>
      </w:rPr>
    </w:lvl>
    <w:lvl w:ilvl="6" w:tplc="04260001" w:tentative="1">
      <w:start w:val="1"/>
      <w:numFmt w:val="bullet"/>
      <w:lvlText w:val=""/>
      <w:lvlJc w:val="left"/>
      <w:pPr>
        <w:ind w:left="5172" w:hanging="360"/>
      </w:pPr>
      <w:rPr>
        <w:rFonts w:ascii="Symbol" w:hAnsi="Symbol" w:hint="default"/>
      </w:rPr>
    </w:lvl>
    <w:lvl w:ilvl="7" w:tplc="04260003" w:tentative="1">
      <w:start w:val="1"/>
      <w:numFmt w:val="bullet"/>
      <w:lvlText w:val="o"/>
      <w:lvlJc w:val="left"/>
      <w:pPr>
        <w:ind w:left="5892" w:hanging="360"/>
      </w:pPr>
      <w:rPr>
        <w:rFonts w:ascii="Courier New" w:hAnsi="Courier New" w:cs="Courier New" w:hint="default"/>
      </w:rPr>
    </w:lvl>
    <w:lvl w:ilvl="8" w:tplc="04260005" w:tentative="1">
      <w:start w:val="1"/>
      <w:numFmt w:val="bullet"/>
      <w:lvlText w:val=""/>
      <w:lvlJc w:val="left"/>
      <w:pPr>
        <w:ind w:left="6612" w:hanging="360"/>
      </w:pPr>
      <w:rPr>
        <w:rFonts w:ascii="Wingdings" w:hAnsi="Wingdings" w:hint="default"/>
      </w:rPr>
    </w:lvl>
  </w:abstractNum>
  <w:abstractNum w:abstractNumId="10" w15:restartNumberingAfterBreak="0">
    <w:nsid w:val="38F830B8"/>
    <w:multiLevelType w:val="hybridMultilevel"/>
    <w:tmpl w:val="FAFE7A40"/>
    <w:lvl w:ilvl="0" w:tplc="6F36F97E">
      <w:start w:val="1"/>
      <w:numFmt w:val="decimal"/>
      <w:lvlText w:val="%1."/>
      <w:lvlJc w:val="left"/>
      <w:pPr>
        <w:ind w:left="502" w:hanging="360"/>
      </w:pPr>
      <w:rPr>
        <w:rFonts w:hint="default"/>
        <w:sz w:val="24"/>
      </w:rPr>
    </w:lvl>
    <w:lvl w:ilvl="1" w:tplc="04260003">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1" w15:restartNumberingAfterBreak="0">
    <w:nsid w:val="433A3A94"/>
    <w:multiLevelType w:val="hybridMultilevel"/>
    <w:tmpl w:val="047C8AE0"/>
    <w:lvl w:ilvl="0" w:tplc="0426000D">
      <w:start w:val="1"/>
      <w:numFmt w:val="bullet"/>
      <w:lvlText w:val=""/>
      <w:lvlJc w:val="left"/>
      <w:pPr>
        <w:ind w:left="1257" w:hanging="360"/>
      </w:pPr>
      <w:rPr>
        <w:rFonts w:ascii="Wingdings" w:hAnsi="Wingdings" w:hint="default"/>
      </w:rPr>
    </w:lvl>
    <w:lvl w:ilvl="1" w:tplc="04260003" w:tentative="1">
      <w:start w:val="1"/>
      <w:numFmt w:val="bullet"/>
      <w:lvlText w:val="o"/>
      <w:lvlJc w:val="left"/>
      <w:pPr>
        <w:ind w:left="1977" w:hanging="360"/>
      </w:pPr>
      <w:rPr>
        <w:rFonts w:ascii="Courier New" w:hAnsi="Courier New" w:cs="Courier New" w:hint="default"/>
      </w:rPr>
    </w:lvl>
    <w:lvl w:ilvl="2" w:tplc="04260005" w:tentative="1">
      <w:start w:val="1"/>
      <w:numFmt w:val="bullet"/>
      <w:lvlText w:val=""/>
      <w:lvlJc w:val="left"/>
      <w:pPr>
        <w:ind w:left="2697" w:hanging="360"/>
      </w:pPr>
      <w:rPr>
        <w:rFonts w:ascii="Wingdings" w:hAnsi="Wingdings" w:hint="default"/>
      </w:rPr>
    </w:lvl>
    <w:lvl w:ilvl="3" w:tplc="04260001" w:tentative="1">
      <w:start w:val="1"/>
      <w:numFmt w:val="bullet"/>
      <w:lvlText w:val=""/>
      <w:lvlJc w:val="left"/>
      <w:pPr>
        <w:ind w:left="3417" w:hanging="360"/>
      </w:pPr>
      <w:rPr>
        <w:rFonts w:ascii="Symbol" w:hAnsi="Symbol" w:hint="default"/>
      </w:rPr>
    </w:lvl>
    <w:lvl w:ilvl="4" w:tplc="04260003" w:tentative="1">
      <w:start w:val="1"/>
      <w:numFmt w:val="bullet"/>
      <w:lvlText w:val="o"/>
      <w:lvlJc w:val="left"/>
      <w:pPr>
        <w:ind w:left="4137" w:hanging="360"/>
      </w:pPr>
      <w:rPr>
        <w:rFonts w:ascii="Courier New" w:hAnsi="Courier New" w:cs="Courier New" w:hint="default"/>
      </w:rPr>
    </w:lvl>
    <w:lvl w:ilvl="5" w:tplc="04260005" w:tentative="1">
      <w:start w:val="1"/>
      <w:numFmt w:val="bullet"/>
      <w:lvlText w:val=""/>
      <w:lvlJc w:val="left"/>
      <w:pPr>
        <w:ind w:left="4857" w:hanging="360"/>
      </w:pPr>
      <w:rPr>
        <w:rFonts w:ascii="Wingdings" w:hAnsi="Wingdings" w:hint="default"/>
      </w:rPr>
    </w:lvl>
    <w:lvl w:ilvl="6" w:tplc="04260001" w:tentative="1">
      <w:start w:val="1"/>
      <w:numFmt w:val="bullet"/>
      <w:lvlText w:val=""/>
      <w:lvlJc w:val="left"/>
      <w:pPr>
        <w:ind w:left="5577" w:hanging="360"/>
      </w:pPr>
      <w:rPr>
        <w:rFonts w:ascii="Symbol" w:hAnsi="Symbol" w:hint="default"/>
      </w:rPr>
    </w:lvl>
    <w:lvl w:ilvl="7" w:tplc="04260003" w:tentative="1">
      <w:start w:val="1"/>
      <w:numFmt w:val="bullet"/>
      <w:lvlText w:val="o"/>
      <w:lvlJc w:val="left"/>
      <w:pPr>
        <w:ind w:left="6297" w:hanging="360"/>
      </w:pPr>
      <w:rPr>
        <w:rFonts w:ascii="Courier New" w:hAnsi="Courier New" w:cs="Courier New" w:hint="default"/>
      </w:rPr>
    </w:lvl>
    <w:lvl w:ilvl="8" w:tplc="04260005" w:tentative="1">
      <w:start w:val="1"/>
      <w:numFmt w:val="bullet"/>
      <w:lvlText w:val=""/>
      <w:lvlJc w:val="left"/>
      <w:pPr>
        <w:ind w:left="7017" w:hanging="360"/>
      </w:pPr>
      <w:rPr>
        <w:rFonts w:ascii="Wingdings" w:hAnsi="Wingdings" w:hint="default"/>
      </w:rPr>
    </w:lvl>
  </w:abstractNum>
  <w:abstractNum w:abstractNumId="12" w15:restartNumberingAfterBreak="0">
    <w:nsid w:val="46B015FA"/>
    <w:multiLevelType w:val="hybridMultilevel"/>
    <w:tmpl w:val="92983C5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4E3530A"/>
    <w:multiLevelType w:val="hybridMultilevel"/>
    <w:tmpl w:val="63E0ED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5A27AEC"/>
    <w:multiLevelType w:val="hybridMultilevel"/>
    <w:tmpl w:val="C46AAD04"/>
    <w:lvl w:ilvl="0" w:tplc="047ED452">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5" w15:restartNumberingAfterBreak="0">
    <w:nsid w:val="6200527D"/>
    <w:multiLevelType w:val="hybridMultilevel"/>
    <w:tmpl w:val="A508B372"/>
    <w:lvl w:ilvl="0" w:tplc="CB40DA76">
      <w:start w:val="1"/>
      <w:numFmt w:val="decimal"/>
      <w:lvlText w:val="%1)"/>
      <w:lvlJc w:val="left"/>
      <w:pPr>
        <w:ind w:left="471" w:hanging="360"/>
      </w:pPr>
      <w:rPr>
        <w:rFonts w:hint="default"/>
      </w:rPr>
    </w:lvl>
    <w:lvl w:ilvl="1" w:tplc="04260019" w:tentative="1">
      <w:start w:val="1"/>
      <w:numFmt w:val="lowerLetter"/>
      <w:lvlText w:val="%2."/>
      <w:lvlJc w:val="left"/>
      <w:pPr>
        <w:ind w:left="1191" w:hanging="360"/>
      </w:pPr>
    </w:lvl>
    <w:lvl w:ilvl="2" w:tplc="0426001B" w:tentative="1">
      <w:start w:val="1"/>
      <w:numFmt w:val="lowerRoman"/>
      <w:lvlText w:val="%3."/>
      <w:lvlJc w:val="right"/>
      <w:pPr>
        <w:ind w:left="1911" w:hanging="180"/>
      </w:pPr>
    </w:lvl>
    <w:lvl w:ilvl="3" w:tplc="0426000F" w:tentative="1">
      <w:start w:val="1"/>
      <w:numFmt w:val="decimal"/>
      <w:lvlText w:val="%4."/>
      <w:lvlJc w:val="left"/>
      <w:pPr>
        <w:ind w:left="2631" w:hanging="360"/>
      </w:pPr>
    </w:lvl>
    <w:lvl w:ilvl="4" w:tplc="04260019" w:tentative="1">
      <w:start w:val="1"/>
      <w:numFmt w:val="lowerLetter"/>
      <w:lvlText w:val="%5."/>
      <w:lvlJc w:val="left"/>
      <w:pPr>
        <w:ind w:left="3351" w:hanging="360"/>
      </w:pPr>
    </w:lvl>
    <w:lvl w:ilvl="5" w:tplc="0426001B" w:tentative="1">
      <w:start w:val="1"/>
      <w:numFmt w:val="lowerRoman"/>
      <w:lvlText w:val="%6."/>
      <w:lvlJc w:val="right"/>
      <w:pPr>
        <w:ind w:left="4071" w:hanging="180"/>
      </w:pPr>
    </w:lvl>
    <w:lvl w:ilvl="6" w:tplc="0426000F" w:tentative="1">
      <w:start w:val="1"/>
      <w:numFmt w:val="decimal"/>
      <w:lvlText w:val="%7."/>
      <w:lvlJc w:val="left"/>
      <w:pPr>
        <w:ind w:left="4791" w:hanging="360"/>
      </w:pPr>
    </w:lvl>
    <w:lvl w:ilvl="7" w:tplc="04260019" w:tentative="1">
      <w:start w:val="1"/>
      <w:numFmt w:val="lowerLetter"/>
      <w:lvlText w:val="%8."/>
      <w:lvlJc w:val="left"/>
      <w:pPr>
        <w:ind w:left="5511" w:hanging="360"/>
      </w:pPr>
    </w:lvl>
    <w:lvl w:ilvl="8" w:tplc="0426001B" w:tentative="1">
      <w:start w:val="1"/>
      <w:numFmt w:val="lowerRoman"/>
      <w:lvlText w:val="%9."/>
      <w:lvlJc w:val="right"/>
      <w:pPr>
        <w:ind w:left="6231" w:hanging="180"/>
      </w:pPr>
    </w:lvl>
  </w:abstractNum>
  <w:abstractNum w:abstractNumId="16" w15:restartNumberingAfterBreak="0">
    <w:nsid w:val="66FA6506"/>
    <w:multiLevelType w:val="hybridMultilevel"/>
    <w:tmpl w:val="D84C950A"/>
    <w:lvl w:ilvl="0" w:tplc="0426000D">
      <w:start w:val="1"/>
      <w:numFmt w:val="bullet"/>
      <w:lvlText w:val=""/>
      <w:lvlJc w:val="left"/>
      <w:pPr>
        <w:ind w:left="502" w:hanging="360"/>
      </w:pPr>
      <w:rPr>
        <w:rFonts w:ascii="Wingdings" w:hAnsi="Wingdings"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7" w15:restartNumberingAfterBreak="0">
    <w:nsid w:val="67BE2C0C"/>
    <w:multiLevelType w:val="hybridMultilevel"/>
    <w:tmpl w:val="63A2B3C2"/>
    <w:lvl w:ilvl="0" w:tplc="833AC8CE">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7F500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615879"/>
    <w:multiLevelType w:val="hybridMultilevel"/>
    <w:tmpl w:val="A15CBF90"/>
    <w:lvl w:ilvl="0" w:tplc="04260011">
      <w:start w:val="1"/>
      <w:numFmt w:val="decimal"/>
      <w:lvlText w:val="%1)"/>
      <w:lvlJc w:val="left"/>
      <w:pPr>
        <w:ind w:left="1080" w:hanging="360"/>
      </w:pPr>
      <w:rPr>
        <w:rFonts w:hint="default"/>
        <w:sz w:val="28"/>
      </w:rPr>
    </w:lvl>
    <w:lvl w:ilvl="1" w:tplc="04260019" w:tentative="1">
      <w:start w:val="1"/>
      <w:numFmt w:val="lowerLetter"/>
      <w:lvlText w:val="%2."/>
      <w:lvlJc w:val="left"/>
      <w:pPr>
        <w:ind w:left="1592" w:hanging="360"/>
      </w:pPr>
    </w:lvl>
    <w:lvl w:ilvl="2" w:tplc="0426001B" w:tentative="1">
      <w:start w:val="1"/>
      <w:numFmt w:val="lowerRoman"/>
      <w:lvlText w:val="%3."/>
      <w:lvlJc w:val="right"/>
      <w:pPr>
        <w:ind w:left="2312" w:hanging="180"/>
      </w:pPr>
    </w:lvl>
    <w:lvl w:ilvl="3" w:tplc="0426000F" w:tentative="1">
      <w:start w:val="1"/>
      <w:numFmt w:val="decimal"/>
      <w:lvlText w:val="%4."/>
      <w:lvlJc w:val="left"/>
      <w:pPr>
        <w:ind w:left="3032" w:hanging="360"/>
      </w:pPr>
    </w:lvl>
    <w:lvl w:ilvl="4" w:tplc="04260019" w:tentative="1">
      <w:start w:val="1"/>
      <w:numFmt w:val="lowerLetter"/>
      <w:lvlText w:val="%5."/>
      <w:lvlJc w:val="left"/>
      <w:pPr>
        <w:ind w:left="3752" w:hanging="360"/>
      </w:pPr>
    </w:lvl>
    <w:lvl w:ilvl="5" w:tplc="0426001B" w:tentative="1">
      <w:start w:val="1"/>
      <w:numFmt w:val="lowerRoman"/>
      <w:lvlText w:val="%6."/>
      <w:lvlJc w:val="right"/>
      <w:pPr>
        <w:ind w:left="4472" w:hanging="180"/>
      </w:pPr>
    </w:lvl>
    <w:lvl w:ilvl="6" w:tplc="0426000F" w:tentative="1">
      <w:start w:val="1"/>
      <w:numFmt w:val="decimal"/>
      <w:lvlText w:val="%7."/>
      <w:lvlJc w:val="left"/>
      <w:pPr>
        <w:ind w:left="5192" w:hanging="360"/>
      </w:pPr>
    </w:lvl>
    <w:lvl w:ilvl="7" w:tplc="04260019" w:tentative="1">
      <w:start w:val="1"/>
      <w:numFmt w:val="lowerLetter"/>
      <w:lvlText w:val="%8."/>
      <w:lvlJc w:val="left"/>
      <w:pPr>
        <w:ind w:left="5912" w:hanging="360"/>
      </w:pPr>
    </w:lvl>
    <w:lvl w:ilvl="8" w:tplc="0426001B" w:tentative="1">
      <w:start w:val="1"/>
      <w:numFmt w:val="lowerRoman"/>
      <w:lvlText w:val="%9."/>
      <w:lvlJc w:val="right"/>
      <w:pPr>
        <w:ind w:left="6632" w:hanging="180"/>
      </w:pPr>
    </w:lvl>
  </w:abstractNum>
  <w:abstractNum w:abstractNumId="20" w15:restartNumberingAfterBreak="0">
    <w:nsid w:val="6FAE29E9"/>
    <w:multiLevelType w:val="hybridMultilevel"/>
    <w:tmpl w:val="FAFE7A40"/>
    <w:lvl w:ilvl="0" w:tplc="6F36F97E">
      <w:start w:val="1"/>
      <w:numFmt w:val="decimal"/>
      <w:lvlText w:val="%1."/>
      <w:lvlJc w:val="left"/>
      <w:pPr>
        <w:ind w:left="1440" w:hanging="360"/>
      </w:pPr>
      <w:rPr>
        <w:rFonts w:hint="default"/>
        <w:sz w:val="24"/>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73747E57"/>
    <w:multiLevelType w:val="hybridMultilevel"/>
    <w:tmpl w:val="83A82796"/>
    <w:lvl w:ilvl="0" w:tplc="12F6EC36">
      <w:start w:val="1"/>
      <w:numFmt w:val="decimal"/>
      <w:lvlText w:val="%1)"/>
      <w:lvlJc w:val="left"/>
      <w:pPr>
        <w:ind w:left="502" w:hanging="360"/>
      </w:pPr>
      <w:rPr>
        <w:rFonts w:ascii="Times New Roman" w:eastAsia="Times New Roman" w:hAnsi="Times New Roman" w:cs="Times New Roman"/>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2" w15:restartNumberingAfterBreak="0">
    <w:nsid w:val="75505DEC"/>
    <w:multiLevelType w:val="hybridMultilevel"/>
    <w:tmpl w:val="28C6B450"/>
    <w:lvl w:ilvl="0" w:tplc="2D82517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8F479F2"/>
    <w:multiLevelType w:val="hybridMultilevel"/>
    <w:tmpl w:val="FCFE6058"/>
    <w:lvl w:ilvl="0" w:tplc="0426000F">
      <w:start w:val="1"/>
      <w:numFmt w:val="decimal"/>
      <w:lvlText w:val="%1."/>
      <w:lvlJc w:val="left"/>
      <w:pPr>
        <w:ind w:left="855" w:hanging="360"/>
      </w:pPr>
    </w:lvl>
    <w:lvl w:ilvl="1" w:tplc="04260019">
      <w:start w:val="1"/>
      <w:numFmt w:val="lowerLetter"/>
      <w:lvlText w:val="%2."/>
      <w:lvlJc w:val="left"/>
      <w:pPr>
        <w:ind w:left="1575" w:hanging="360"/>
      </w:pPr>
    </w:lvl>
    <w:lvl w:ilvl="2" w:tplc="0426001B" w:tentative="1">
      <w:start w:val="1"/>
      <w:numFmt w:val="lowerRoman"/>
      <w:lvlText w:val="%3."/>
      <w:lvlJc w:val="right"/>
      <w:pPr>
        <w:ind w:left="2295" w:hanging="180"/>
      </w:pPr>
    </w:lvl>
    <w:lvl w:ilvl="3" w:tplc="0426000F" w:tentative="1">
      <w:start w:val="1"/>
      <w:numFmt w:val="decimal"/>
      <w:lvlText w:val="%4."/>
      <w:lvlJc w:val="left"/>
      <w:pPr>
        <w:ind w:left="3015" w:hanging="360"/>
      </w:pPr>
    </w:lvl>
    <w:lvl w:ilvl="4" w:tplc="04260019" w:tentative="1">
      <w:start w:val="1"/>
      <w:numFmt w:val="lowerLetter"/>
      <w:lvlText w:val="%5."/>
      <w:lvlJc w:val="left"/>
      <w:pPr>
        <w:ind w:left="3735" w:hanging="360"/>
      </w:pPr>
    </w:lvl>
    <w:lvl w:ilvl="5" w:tplc="0426001B" w:tentative="1">
      <w:start w:val="1"/>
      <w:numFmt w:val="lowerRoman"/>
      <w:lvlText w:val="%6."/>
      <w:lvlJc w:val="right"/>
      <w:pPr>
        <w:ind w:left="4455" w:hanging="180"/>
      </w:pPr>
    </w:lvl>
    <w:lvl w:ilvl="6" w:tplc="0426000F" w:tentative="1">
      <w:start w:val="1"/>
      <w:numFmt w:val="decimal"/>
      <w:lvlText w:val="%7."/>
      <w:lvlJc w:val="left"/>
      <w:pPr>
        <w:ind w:left="5175" w:hanging="360"/>
      </w:pPr>
    </w:lvl>
    <w:lvl w:ilvl="7" w:tplc="04260019" w:tentative="1">
      <w:start w:val="1"/>
      <w:numFmt w:val="lowerLetter"/>
      <w:lvlText w:val="%8."/>
      <w:lvlJc w:val="left"/>
      <w:pPr>
        <w:ind w:left="5895" w:hanging="360"/>
      </w:pPr>
    </w:lvl>
    <w:lvl w:ilvl="8" w:tplc="0426001B" w:tentative="1">
      <w:start w:val="1"/>
      <w:numFmt w:val="lowerRoman"/>
      <w:lvlText w:val="%9."/>
      <w:lvlJc w:val="right"/>
      <w:pPr>
        <w:ind w:left="6615" w:hanging="180"/>
      </w:pPr>
    </w:lvl>
  </w:abstractNum>
  <w:abstractNum w:abstractNumId="24" w15:restartNumberingAfterBreak="0">
    <w:nsid w:val="7955037E"/>
    <w:multiLevelType w:val="hybridMultilevel"/>
    <w:tmpl w:val="63A6500C"/>
    <w:lvl w:ilvl="0" w:tplc="28DCEB6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5"/>
  </w:num>
  <w:num w:numId="2">
    <w:abstractNumId w:val="0"/>
  </w:num>
  <w:num w:numId="3">
    <w:abstractNumId w:val="16"/>
  </w:num>
  <w:num w:numId="4">
    <w:abstractNumId w:val="4"/>
  </w:num>
  <w:num w:numId="5">
    <w:abstractNumId w:val="22"/>
  </w:num>
  <w:num w:numId="6">
    <w:abstractNumId w:val="1"/>
  </w:num>
  <w:num w:numId="7">
    <w:abstractNumId w:val="10"/>
  </w:num>
  <w:num w:numId="8">
    <w:abstractNumId w:val="20"/>
  </w:num>
  <w:num w:numId="9">
    <w:abstractNumId w:val="14"/>
  </w:num>
  <w:num w:numId="10">
    <w:abstractNumId w:val="21"/>
  </w:num>
  <w:num w:numId="11">
    <w:abstractNumId w:val="15"/>
  </w:num>
  <w:num w:numId="12">
    <w:abstractNumId w:val="2"/>
  </w:num>
  <w:num w:numId="13">
    <w:abstractNumId w:val="13"/>
  </w:num>
  <w:num w:numId="14">
    <w:abstractNumId w:val="12"/>
  </w:num>
  <w:num w:numId="15">
    <w:abstractNumId w:val="8"/>
  </w:num>
  <w:num w:numId="16">
    <w:abstractNumId w:val="19"/>
  </w:num>
  <w:num w:numId="17">
    <w:abstractNumId w:val="11"/>
  </w:num>
  <w:num w:numId="18">
    <w:abstractNumId w:val="9"/>
  </w:num>
  <w:num w:numId="19">
    <w:abstractNumId w:val="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num>
  <w:num w:numId="23">
    <w:abstractNumId w:val="23"/>
  </w:num>
  <w:num w:numId="24">
    <w:abstractNumId w:val="1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9C"/>
    <w:rsid w:val="00000A0E"/>
    <w:rsid w:val="00002DBA"/>
    <w:rsid w:val="00004E5F"/>
    <w:rsid w:val="00006A09"/>
    <w:rsid w:val="00006C5A"/>
    <w:rsid w:val="0001063E"/>
    <w:rsid w:val="00011FD8"/>
    <w:rsid w:val="00012887"/>
    <w:rsid w:val="00012B6D"/>
    <w:rsid w:val="00014133"/>
    <w:rsid w:val="00014F75"/>
    <w:rsid w:val="00015955"/>
    <w:rsid w:val="00017F99"/>
    <w:rsid w:val="000249DD"/>
    <w:rsid w:val="00025D74"/>
    <w:rsid w:val="00026EA5"/>
    <w:rsid w:val="000276DA"/>
    <w:rsid w:val="000325F2"/>
    <w:rsid w:val="000334A9"/>
    <w:rsid w:val="000342B2"/>
    <w:rsid w:val="000347E4"/>
    <w:rsid w:val="000349F4"/>
    <w:rsid w:val="000361AC"/>
    <w:rsid w:val="000376DC"/>
    <w:rsid w:val="00041298"/>
    <w:rsid w:val="00041966"/>
    <w:rsid w:val="000452BD"/>
    <w:rsid w:val="00046858"/>
    <w:rsid w:val="000469B2"/>
    <w:rsid w:val="000531C1"/>
    <w:rsid w:val="00055284"/>
    <w:rsid w:val="00055E0F"/>
    <w:rsid w:val="0005640C"/>
    <w:rsid w:val="00056A65"/>
    <w:rsid w:val="0005726F"/>
    <w:rsid w:val="00057615"/>
    <w:rsid w:val="00057B26"/>
    <w:rsid w:val="00062F73"/>
    <w:rsid w:val="0006313C"/>
    <w:rsid w:val="00064157"/>
    <w:rsid w:val="0006462B"/>
    <w:rsid w:val="00066607"/>
    <w:rsid w:val="00066834"/>
    <w:rsid w:val="000675B1"/>
    <w:rsid w:val="00071337"/>
    <w:rsid w:val="00072749"/>
    <w:rsid w:val="000727DA"/>
    <w:rsid w:val="000767B2"/>
    <w:rsid w:val="0007708C"/>
    <w:rsid w:val="000777F5"/>
    <w:rsid w:val="00081AA8"/>
    <w:rsid w:val="00081CCC"/>
    <w:rsid w:val="00082662"/>
    <w:rsid w:val="00087569"/>
    <w:rsid w:val="00091118"/>
    <w:rsid w:val="00091ADE"/>
    <w:rsid w:val="00091D01"/>
    <w:rsid w:val="00096AC0"/>
    <w:rsid w:val="000A0B50"/>
    <w:rsid w:val="000A226D"/>
    <w:rsid w:val="000A4344"/>
    <w:rsid w:val="000A4672"/>
    <w:rsid w:val="000A4B61"/>
    <w:rsid w:val="000A4BE8"/>
    <w:rsid w:val="000A6768"/>
    <w:rsid w:val="000B10D8"/>
    <w:rsid w:val="000B2411"/>
    <w:rsid w:val="000B2EA8"/>
    <w:rsid w:val="000B62C2"/>
    <w:rsid w:val="000B6626"/>
    <w:rsid w:val="000C4416"/>
    <w:rsid w:val="000C4B6B"/>
    <w:rsid w:val="000C4C14"/>
    <w:rsid w:val="000D103A"/>
    <w:rsid w:val="000D4856"/>
    <w:rsid w:val="000D6D4B"/>
    <w:rsid w:val="000E000B"/>
    <w:rsid w:val="000E023B"/>
    <w:rsid w:val="000E1A7C"/>
    <w:rsid w:val="000E2343"/>
    <w:rsid w:val="000E2404"/>
    <w:rsid w:val="000E2559"/>
    <w:rsid w:val="000E3269"/>
    <w:rsid w:val="000E4B7C"/>
    <w:rsid w:val="000E59C1"/>
    <w:rsid w:val="000E684A"/>
    <w:rsid w:val="000E6AFC"/>
    <w:rsid w:val="000E6E03"/>
    <w:rsid w:val="000E7A91"/>
    <w:rsid w:val="000F05FF"/>
    <w:rsid w:val="000F0A87"/>
    <w:rsid w:val="000F1A35"/>
    <w:rsid w:val="000F42E4"/>
    <w:rsid w:val="000F716A"/>
    <w:rsid w:val="000F7E01"/>
    <w:rsid w:val="00101532"/>
    <w:rsid w:val="00101D41"/>
    <w:rsid w:val="0010377F"/>
    <w:rsid w:val="00104BDC"/>
    <w:rsid w:val="00111D4B"/>
    <w:rsid w:val="00112AA2"/>
    <w:rsid w:val="00112F6A"/>
    <w:rsid w:val="001144A3"/>
    <w:rsid w:val="001158BF"/>
    <w:rsid w:val="0011609E"/>
    <w:rsid w:val="001160EE"/>
    <w:rsid w:val="00117611"/>
    <w:rsid w:val="00120E17"/>
    <w:rsid w:val="00121428"/>
    <w:rsid w:val="00121A06"/>
    <w:rsid w:val="00123439"/>
    <w:rsid w:val="001234D7"/>
    <w:rsid w:val="00131AD0"/>
    <w:rsid w:val="00134F6F"/>
    <w:rsid w:val="00137B0E"/>
    <w:rsid w:val="00137E65"/>
    <w:rsid w:val="00142B96"/>
    <w:rsid w:val="00144DDD"/>
    <w:rsid w:val="001508FF"/>
    <w:rsid w:val="00150E43"/>
    <w:rsid w:val="001527BA"/>
    <w:rsid w:val="001553E3"/>
    <w:rsid w:val="00162CF3"/>
    <w:rsid w:val="001630FC"/>
    <w:rsid w:val="0016472F"/>
    <w:rsid w:val="00165782"/>
    <w:rsid w:val="00166C3F"/>
    <w:rsid w:val="001705A6"/>
    <w:rsid w:val="001712BA"/>
    <w:rsid w:val="001743D4"/>
    <w:rsid w:val="00174BF2"/>
    <w:rsid w:val="001779CC"/>
    <w:rsid w:val="00185538"/>
    <w:rsid w:val="00185CBE"/>
    <w:rsid w:val="00185D51"/>
    <w:rsid w:val="001908FC"/>
    <w:rsid w:val="001909DB"/>
    <w:rsid w:val="001916A1"/>
    <w:rsid w:val="00193ACB"/>
    <w:rsid w:val="001957B1"/>
    <w:rsid w:val="001970C2"/>
    <w:rsid w:val="001A16C5"/>
    <w:rsid w:val="001A1BF2"/>
    <w:rsid w:val="001A5FFC"/>
    <w:rsid w:val="001A6741"/>
    <w:rsid w:val="001A6CA4"/>
    <w:rsid w:val="001A757D"/>
    <w:rsid w:val="001B01A2"/>
    <w:rsid w:val="001B04AA"/>
    <w:rsid w:val="001B0CA8"/>
    <w:rsid w:val="001B3606"/>
    <w:rsid w:val="001B47E4"/>
    <w:rsid w:val="001B542C"/>
    <w:rsid w:val="001B6443"/>
    <w:rsid w:val="001B7B92"/>
    <w:rsid w:val="001C07FB"/>
    <w:rsid w:val="001C15CF"/>
    <w:rsid w:val="001C2715"/>
    <w:rsid w:val="001C3040"/>
    <w:rsid w:val="001C37CE"/>
    <w:rsid w:val="001C4A38"/>
    <w:rsid w:val="001C5B69"/>
    <w:rsid w:val="001C5CA4"/>
    <w:rsid w:val="001C62A8"/>
    <w:rsid w:val="001D0B00"/>
    <w:rsid w:val="001D108E"/>
    <w:rsid w:val="001D3059"/>
    <w:rsid w:val="001D4669"/>
    <w:rsid w:val="001D5F22"/>
    <w:rsid w:val="001D6DD1"/>
    <w:rsid w:val="001E0A50"/>
    <w:rsid w:val="001E0FB5"/>
    <w:rsid w:val="001E4161"/>
    <w:rsid w:val="001E5481"/>
    <w:rsid w:val="001F0B08"/>
    <w:rsid w:val="001F2DAD"/>
    <w:rsid w:val="001F3005"/>
    <w:rsid w:val="001F3D07"/>
    <w:rsid w:val="001F5544"/>
    <w:rsid w:val="001F6DAB"/>
    <w:rsid w:val="001F6F87"/>
    <w:rsid w:val="00200159"/>
    <w:rsid w:val="002004B3"/>
    <w:rsid w:val="00200BDF"/>
    <w:rsid w:val="00206635"/>
    <w:rsid w:val="00207C85"/>
    <w:rsid w:val="00214D28"/>
    <w:rsid w:val="00216AC8"/>
    <w:rsid w:val="0022130D"/>
    <w:rsid w:val="00222A16"/>
    <w:rsid w:val="00224E03"/>
    <w:rsid w:val="00231EBA"/>
    <w:rsid w:val="0023237B"/>
    <w:rsid w:val="002345AA"/>
    <w:rsid w:val="00234EB0"/>
    <w:rsid w:val="00235FF6"/>
    <w:rsid w:val="002364EA"/>
    <w:rsid w:val="00236B30"/>
    <w:rsid w:val="002379E0"/>
    <w:rsid w:val="002434E5"/>
    <w:rsid w:val="00244A8D"/>
    <w:rsid w:val="0024520E"/>
    <w:rsid w:val="00246670"/>
    <w:rsid w:val="0024668B"/>
    <w:rsid w:val="0024773F"/>
    <w:rsid w:val="00250493"/>
    <w:rsid w:val="00250649"/>
    <w:rsid w:val="0025068D"/>
    <w:rsid w:val="00250FAE"/>
    <w:rsid w:val="002518B0"/>
    <w:rsid w:val="00252926"/>
    <w:rsid w:val="00257982"/>
    <w:rsid w:val="002622D9"/>
    <w:rsid w:val="00264674"/>
    <w:rsid w:val="00264ED6"/>
    <w:rsid w:val="00265083"/>
    <w:rsid w:val="0026526E"/>
    <w:rsid w:val="00271D3D"/>
    <w:rsid w:val="00274800"/>
    <w:rsid w:val="00274968"/>
    <w:rsid w:val="00274FAB"/>
    <w:rsid w:val="00275DEB"/>
    <w:rsid w:val="00280295"/>
    <w:rsid w:val="002810A4"/>
    <w:rsid w:val="00283D37"/>
    <w:rsid w:val="00283D6B"/>
    <w:rsid w:val="00286021"/>
    <w:rsid w:val="00286F46"/>
    <w:rsid w:val="00287FF4"/>
    <w:rsid w:val="00294DB4"/>
    <w:rsid w:val="00295D0D"/>
    <w:rsid w:val="002962A9"/>
    <w:rsid w:val="0029738A"/>
    <w:rsid w:val="00297F0A"/>
    <w:rsid w:val="002A096A"/>
    <w:rsid w:val="002A1531"/>
    <w:rsid w:val="002A2B1A"/>
    <w:rsid w:val="002A3415"/>
    <w:rsid w:val="002A4D03"/>
    <w:rsid w:val="002A6395"/>
    <w:rsid w:val="002A6929"/>
    <w:rsid w:val="002A6E75"/>
    <w:rsid w:val="002A76A0"/>
    <w:rsid w:val="002B3723"/>
    <w:rsid w:val="002B3C7D"/>
    <w:rsid w:val="002B54B3"/>
    <w:rsid w:val="002B57DA"/>
    <w:rsid w:val="002B6201"/>
    <w:rsid w:val="002B6F40"/>
    <w:rsid w:val="002B7E97"/>
    <w:rsid w:val="002C0678"/>
    <w:rsid w:val="002C1C2A"/>
    <w:rsid w:val="002C28A4"/>
    <w:rsid w:val="002C2E0C"/>
    <w:rsid w:val="002C2EE0"/>
    <w:rsid w:val="002C4997"/>
    <w:rsid w:val="002C49AD"/>
    <w:rsid w:val="002C4A1A"/>
    <w:rsid w:val="002C5F89"/>
    <w:rsid w:val="002C6379"/>
    <w:rsid w:val="002C7253"/>
    <w:rsid w:val="002C732E"/>
    <w:rsid w:val="002D351B"/>
    <w:rsid w:val="002D7349"/>
    <w:rsid w:val="002E1D26"/>
    <w:rsid w:val="002E22C2"/>
    <w:rsid w:val="002E244E"/>
    <w:rsid w:val="002E28DA"/>
    <w:rsid w:val="002F003D"/>
    <w:rsid w:val="002F0623"/>
    <w:rsid w:val="002F06C9"/>
    <w:rsid w:val="002F11F5"/>
    <w:rsid w:val="002F1BCF"/>
    <w:rsid w:val="002F2AE8"/>
    <w:rsid w:val="002F31E4"/>
    <w:rsid w:val="002F4E60"/>
    <w:rsid w:val="002F7022"/>
    <w:rsid w:val="002F7E5A"/>
    <w:rsid w:val="00301CCD"/>
    <w:rsid w:val="00303934"/>
    <w:rsid w:val="003044D6"/>
    <w:rsid w:val="00304A88"/>
    <w:rsid w:val="00306216"/>
    <w:rsid w:val="00306758"/>
    <w:rsid w:val="00306D03"/>
    <w:rsid w:val="00307F91"/>
    <w:rsid w:val="00312436"/>
    <w:rsid w:val="00312954"/>
    <w:rsid w:val="003161E0"/>
    <w:rsid w:val="00320C04"/>
    <w:rsid w:val="00322288"/>
    <w:rsid w:val="003333C1"/>
    <w:rsid w:val="00334888"/>
    <w:rsid w:val="00336D00"/>
    <w:rsid w:val="00337BC3"/>
    <w:rsid w:val="00337DF4"/>
    <w:rsid w:val="0034120C"/>
    <w:rsid w:val="00341B94"/>
    <w:rsid w:val="0034340E"/>
    <w:rsid w:val="003459DC"/>
    <w:rsid w:val="00346BE5"/>
    <w:rsid w:val="0035158F"/>
    <w:rsid w:val="003516A5"/>
    <w:rsid w:val="00352246"/>
    <w:rsid w:val="00356259"/>
    <w:rsid w:val="00361E18"/>
    <w:rsid w:val="00362ECA"/>
    <w:rsid w:val="00363B34"/>
    <w:rsid w:val="00364132"/>
    <w:rsid w:val="00367644"/>
    <w:rsid w:val="00371759"/>
    <w:rsid w:val="00372373"/>
    <w:rsid w:val="00373382"/>
    <w:rsid w:val="00373F3C"/>
    <w:rsid w:val="003747BC"/>
    <w:rsid w:val="0037779B"/>
    <w:rsid w:val="00377D4C"/>
    <w:rsid w:val="0038018B"/>
    <w:rsid w:val="0038289B"/>
    <w:rsid w:val="00383CB3"/>
    <w:rsid w:val="003842AD"/>
    <w:rsid w:val="00384954"/>
    <w:rsid w:val="003855A1"/>
    <w:rsid w:val="00386F82"/>
    <w:rsid w:val="00390AC9"/>
    <w:rsid w:val="00390B89"/>
    <w:rsid w:val="00392049"/>
    <w:rsid w:val="00393747"/>
    <w:rsid w:val="003939AF"/>
    <w:rsid w:val="003A09D9"/>
    <w:rsid w:val="003A7DBE"/>
    <w:rsid w:val="003B0BF0"/>
    <w:rsid w:val="003B111F"/>
    <w:rsid w:val="003B1E9D"/>
    <w:rsid w:val="003B5CA5"/>
    <w:rsid w:val="003B6D36"/>
    <w:rsid w:val="003B7B41"/>
    <w:rsid w:val="003B7FB3"/>
    <w:rsid w:val="003C1140"/>
    <w:rsid w:val="003C1EC2"/>
    <w:rsid w:val="003C35FC"/>
    <w:rsid w:val="003C44C3"/>
    <w:rsid w:val="003D46EE"/>
    <w:rsid w:val="003D582B"/>
    <w:rsid w:val="003D5845"/>
    <w:rsid w:val="003D58AA"/>
    <w:rsid w:val="003D60BB"/>
    <w:rsid w:val="003D68C6"/>
    <w:rsid w:val="003E0413"/>
    <w:rsid w:val="003E3992"/>
    <w:rsid w:val="003E3F02"/>
    <w:rsid w:val="003E4364"/>
    <w:rsid w:val="003E47EC"/>
    <w:rsid w:val="003E5782"/>
    <w:rsid w:val="003F00B9"/>
    <w:rsid w:val="003F2E7C"/>
    <w:rsid w:val="003F3CF9"/>
    <w:rsid w:val="003F4153"/>
    <w:rsid w:val="003F4912"/>
    <w:rsid w:val="00407DAE"/>
    <w:rsid w:val="00412988"/>
    <w:rsid w:val="004135B4"/>
    <w:rsid w:val="00413666"/>
    <w:rsid w:val="00420378"/>
    <w:rsid w:val="004203C6"/>
    <w:rsid w:val="00420648"/>
    <w:rsid w:val="00421608"/>
    <w:rsid w:val="004227B7"/>
    <w:rsid w:val="00423A8D"/>
    <w:rsid w:val="00427EF7"/>
    <w:rsid w:val="00433EF1"/>
    <w:rsid w:val="00436AF0"/>
    <w:rsid w:val="00437904"/>
    <w:rsid w:val="00440C2F"/>
    <w:rsid w:val="00442BC4"/>
    <w:rsid w:val="0044559A"/>
    <w:rsid w:val="00445809"/>
    <w:rsid w:val="00451190"/>
    <w:rsid w:val="004511E2"/>
    <w:rsid w:val="004518E7"/>
    <w:rsid w:val="0045346B"/>
    <w:rsid w:val="0045402D"/>
    <w:rsid w:val="00462EE4"/>
    <w:rsid w:val="00463B7A"/>
    <w:rsid w:val="00463F4C"/>
    <w:rsid w:val="004662CA"/>
    <w:rsid w:val="004668C1"/>
    <w:rsid w:val="00467B1E"/>
    <w:rsid w:val="00471BA0"/>
    <w:rsid w:val="00476ED8"/>
    <w:rsid w:val="00477FF2"/>
    <w:rsid w:val="00480567"/>
    <w:rsid w:val="00482AE6"/>
    <w:rsid w:val="0048302F"/>
    <w:rsid w:val="00483309"/>
    <w:rsid w:val="00485D13"/>
    <w:rsid w:val="00486E67"/>
    <w:rsid w:val="00492425"/>
    <w:rsid w:val="004926D8"/>
    <w:rsid w:val="0049383D"/>
    <w:rsid w:val="00493DFA"/>
    <w:rsid w:val="004944AC"/>
    <w:rsid w:val="00496027"/>
    <w:rsid w:val="004964F3"/>
    <w:rsid w:val="00497891"/>
    <w:rsid w:val="004A09CA"/>
    <w:rsid w:val="004A0B41"/>
    <w:rsid w:val="004A2909"/>
    <w:rsid w:val="004A6F46"/>
    <w:rsid w:val="004A769B"/>
    <w:rsid w:val="004B0506"/>
    <w:rsid w:val="004B0A81"/>
    <w:rsid w:val="004B1347"/>
    <w:rsid w:val="004B4259"/>
    <w:rsid w:val="004B46CC"/>
    <w:rsid w:val="004B4F8F"/>
    <w:rsid w:val="004B539C"/>
    <w:rsid w:val="004B67A7"/>
    <w:rsid w:val="004B6FE4"/>
    <w:rsid w:val="004B777B"/>
    <w:rsid w:val="004C0B72"/>
    <w:rsid w:val="004C180B"/>
    <w:rsid w:val="004C38FE"/>
    <w:rsid w:val="004C5661"/>
    <w:rsid w:val="004D0297"/>
    <w:rsid w:val="004D04BD"/>
    <w:rsid w:val="004D3BED"/>
    <w:rsid w:val="004D4536"/>
    <w:rsid w:val="004D5597"/>
    <w:rsid w:val="004D7199"/>
    <w:rsid w:val="004E121F"/>
    <w:rsid w:val="004E1E4B"/>
    <w:rsid w:val="004E2B6F"/>
    <w:rsid w:val="004E5F5B"/>
    <w:rsid w:val="004E7CF0"/>
    <w:rsid w:val="004F1931"/>
    <w:rsid w:val="004F38A9"/>
    <w:rsid w:val="004F4DE9"/>
    <w:rsid w:val="00500DDE"/>
    <w:rsid w:val="00501568"/>
    <w:rsid w:val="0050281A"/>
    <w:rsid w:val="005028AA"/>
    <w:rsid w:val="0050347D"/>
    <w:rsid w:val="00503E32"/>
    <w:rsid w:val="0051168E"/>
    <w:rsid w:val="00513E04"/>
    <w:rsid w:val="0051436E"/>
    <w:rsid w:val="00520414"/>
    <w:rsid w:val="005205AB"/>
    <w:rsid w:val="0052450C"/>
    <w:rsid w:val="0052636A"/>
    <w:rsid w:val="00526B54"/>
    <w:rsid w:val="00531471"/>
    <w:rsid w:val="00531E88"/>
    <w:rsid w:val="00532B5A"/>
    <w:rsid w:val="00534568"/>
    <w:rsid w:val="005345AE"/>
    <w:rsid w:val="005346FA"/>
    <w:rsid w:val="00535D17"/>
    <w:rsid w:val="005417C0"/>
    <w:rsid w:val="00542A94"/>
    <w:rsid w:val="00543408"/>
    <w:rsid w:val="005451E0"/>
    <w:rsid w:val="00545361"/>
    <w:rsid w:val="005458AE"/>
    <w:rsid w:val="00550656"/>
    <w:rsid w:val="0055077D"/>
    <w:rsid w:val="00553776"/>
    <w:rsid w:val="005553B8"/>
    <w:rsid w:val="00557597"/>
    <w:rsid w:val="00560603"/>
    <w:rsid w:val="00561FE8"/>
    <w:rsid w:val="005712FB"/>
    <w:rsid w:val="00571380"/>
    <w:rsid w:val="005713ED"/>
    <w:rsid w:val="00573124"/>
    <w:rsid w:val="00574A93"/>
    <w:rsid w:val="00574D4A"/>
    <w:rsid w:val="00577351"/>
    <w:rsid w:val="0057762E"/>
    <w:rsid w:val="00577631"/>
    <w:rsid w:val="00580A94"/>
    <w:rsid w:val="00581E68"/>
    <w:rsid w:val="00584EEF"/>
    <w:rsid w:val="00585A8A"/>
    <w:rsid w:val="0058674E"/>
    <w:rsid w:val="005870C4"/>
    <w:rsid w:val="00592684"/>
    <w:rsid w:val="00592CCB"/>
    <w:rsid w:val="0059424B"/>
    <w:rsid w:val="005A01FB"/>
    <w:rsid w:val="005A031C"/>
    <w:rsid w:val="005A4EDF"/>
    <w:rsid w:val="005A53F6"/>
    <w:rsid w:val="005A5D8E"/>
    <w:rsid w:val="005A7DAE"/>
    <w:rsid w:val="005B1ED1"/>
    <w:rsid w:val="005B28A7"/>
    <w:rsid w:val="005B31E5"/>
    <w:rsid w:val="005B393E"/>
    <w:rsid w:val="005B422D"/>
    <w:rsid w:val="005B7D53"/>
    <w:rsid w:val="005C1BBC"/>
    <w:rsid w:val="005C49E2"/>
    <w:rsid w:val="005C4CF0"/>
    <w:rsid w:val="005C575D"/>
    <w:rsid w:val="005D09FF"/>
    <w:rsid w:val="005D26D2"/>
    <w:rsid w:val="005D5BCF"/>
    <w:rsid w:val="005D6FA3"/>
    <w:rsid w:val="005D788F"/>
    <w:rsid w:val="005E029A"/>
    <w:rsid w:val="005E3235"/>
    <w:rsid w:val="005E36C8"/>
    <w:rsid w:val="005E4CF6"/>
    <w:rsid w:val="005F0811"/>
    <w:rsid w:val="005F1687"/>
    <w:rsid w:val="005F2990"/>
    <w:rsid w:val="005F2A70"/>
    <w:rsid w:val="005F3346"/>
    <w:rsid w:val="005F4173"/>
    <w:rsid w:val="005F4937"/>
    <w:rsid w:val="005F5A14"/>
    <w:rsid w:val="005F765F"/>
    <w:rsid w:val="006001D6"/>
    <w:rsid w:val="00601125"/>
    <w:rsid w:val="00601391"/>
    <w:rsid w:val="00601509"/>
    <w:rsid w:val="00606DEA"/>
    <w:rsid w:val="006071D8"/>
    <w:rsid w:val="006071E6"/>
    <w:rsid w:val="00611697"/>
    <w:rsid w:val="00614262"/>
    <w:rsid w:val="006146FB"/>
    <w:rsid w:val="00616991"/>
    <w:rsid w:val="00616F16"/>
    <w:rsid w:val="00623F4A"/>
    <w:rsid w:val="00630436"/>
    <w:rsid w:val="00630D8C"/>
    <w:rsid w:val="00633830"/>
    <w:rsid w:val="006340B8"/>
    <w:rsid w:val="006354EA"/>
    <w:rsid w:val="00637121"/>
    <w:rsid w:val="00641A07"/>
    <w:rsid w:val="00641C65"/>
    <w:rsid w:val="0064216D"/>
    <w:rsid w:val="00642468"/>
    <w:rsid w:val="0064386B"/>
    <w:rsid w:val="00644E0D"/>
    <w:rsid w:val="00646E70"/>
    <w:rsid w:val="00650716"/>
    <w:rsid w:val="00652C82"/>
    <w:rsid w:val="00655218"/>
    <w:rsid w:val="00656182"/>
    <w:rsid w:val="00656EAD"/>
    <w:rsid w:val="006572D9"/>
    <w:rsid w:val="006612A9"/>
    <w:rsid w:val="00665E37"/>
    <w:rsid w:val="00666EDF"/>
    <w:rsid w:val="00671B74"/>
    <w:rsid w:val="00673358"/>
    <w:rsid w:val="006747EB"/>
    <w:rsid w:val="00680E17"/>
    <w:rsid w:val="00681DD1"/>
    <w:rsid w:val="00683908"/>
    <w:rsid w:val="00685047"/>
    <w:rsid w:val="00685105"/>
    <w:rsid w:val="0068633E"/>
    <w:rsid w:val="00687FC8"/>
    <w:rsid w:val="00690EFA"/>
    <w:rsid w:val="006A17D0"/>
    <w:rsid w:val="006A1DAB"/>
    <w:rsid w:val="006A529A"/>
    <w:rsid w:val="006A5605"/>
    <w:rsid w:val="006A576C"/>
    <w:rsid w:val="006B10EC"/>
    <w:rsid w:val="006B39F1"/>
    <w:rsid w:val="006B53D5"/>
    <w:rsid w:val="006B5DF6"/>
    <w:rsid w:val="006B5F47"/>
    <w:rsid w:val="006B6475"/>
    <w:rsid w:val="006B7CD1"/>
    <w:rsid w:val="006B7E38"/>
    <w:rsid w:val="006C164D"/>
    <w:rsid w:val="006C2062"/>
    <w:rsid w:val="006C505A"/>
    <w:rsid w:val="006C6114"/>
    <w:rsid w:val="006C6FD8"/>
    <w:rsid w:val="006C7475"/>
    <w:rsid w:val="006D14BA"/>
    <w:rsid w:val="006D3457"/>
    <w:rsid w:val="006D3E44"/>
    <w:rsid w:val="006D565B"/>
    <w:rsid w:val="006D73C8"/>
    <w:rsid w:val="006E0762"/>
    <w:rsid w:val="006E150B"/>
    <w:rsid w:val="006E4D1C"/>
    <w:rsid w:val="006E65D8"/>
    <w:rsid w:val="006E6803"/>
    <w:rsid w:val="006F4286"/>
    <w:rsid w:val="006F69BF"/>
    <w:rsid w:val="006F7463"/>
    <w:rsid w:val="006F7B2B"/>
    <w:rsid w:val="006F7EE0"/>
    <w:rsid w:val="0070088C"/>
    <w:rsid w:val="00701361"/>
    <w:rsid w:val="007020C0"/>
    <w:rsid w:val="007026AB"/>
    <w:rsid w:val="0070317C"/>
    <w:rsid w:val="00703906"/>
    <w:rsid w:val="00703FF4"/>
    <w:rsid w:val="00704A56"/>
    <w:rsid w:val="00706E88"/>
    <w:rsid w:val="00710172"/>
    <w:rsid w:val="00713EE5"/>
    <w:rsid w:val="00715E3A"/>
    <w:rsid w:val="00716AFE"/>
    <w:rsid w:val="00716B1A"/>
    <w:rsid w:val="007171D8"/>
    <w:rsid w:val="00721B2F"/>
    <w:rsid w:val="00722E2C"/>
    <w:rsid w:val="0072418D"/>
    <w:rsid w:val="00725C81"/>
    <w:rsid w:val="00726A39"/>
    <w:rsid w:val="00727151"/>
    <w:rsid w:val="00727A08"/>
    <w:rsid w:val="00733F2A"/>
    <w:rsid w:val="0073475A"/>
    <w:rsid w:val="0073699C"/>
    <w:rsid w:val="007379DC"/>
    <w:rsid w:val="007406A5"/>
    <w:rsid w:val="00740D80"/>
    <w:rsid w:val="0074219B"/>
    <w:rsid w:val="00742683"/>
    <w:rsid w:val="007439A7"/>
    <w:rsid w:val="00743B6F"/>
    <w:rsid w:val="00750184"/>
    <w:rsid w:val="0075049C"/>
    <w:rsid w:val="007506F9"/>
    <w:rsid w:val="007557D0"/>
    <w:rsid w:val="00756F45"/>
    <w:rsid w:val="007578EB"/>
    <w:rsid w:val="0076286A"/>
    <w:rsid w:val="00763155"/>
    <w:rsid w:val="00763232"/>
    <w:rsid w:val="0076397D"/>
    <w:rsid w:val="00767BC3"/>
    <w:rsid w:val="00767C9D"/>
    <w:rsid w:val="007723A1"/>
    <w:rsid w:val="007753EB"/>
    <w:rsid w:val="00775869"/>
    <w:rsid w:val="00776B90"/>
    <w:rsid w:val="007802D0"/>
    <w:rsid w:val="00780F9F"/>
    <w:rsid w:val="007831F9"/>
    <w:rsid w:val="00783723"/>
    <w:rsid w:val="00787999"/>
    <w:rsid w:val="00791AE3"/>
    <w:rsid w:val="0079227F"/>
    <w:rsid w:val="007926CA"/>
    <w:rsid w:val="007947DD"/>
    <w:rsid w:val="00797DF5"/>
    <w:rsid w:val="007A0B07"/>
    <w:rsid w:val="007A2DA8"/>
    <w:rsid w:val="007A3C99"/>
    <w:rsid w:val="007A40DB"/>
    <w:rsid w:val="007A44C1"/>
    <w:rsid w:val="007A567B"/>
    <w:rsid w:val="007B2E45"/>
    <w:rsid w:val="007B44DB"/>
    <w:rsid w:val="007C50AE"/>
    <w:rsid w:val="007C6658"/>
    <w:rsid w:val="007C7797"/>
    <w:rsid w:val="007D39A7"/>
    <w:rsid w:val="007D6708"/>
    <w:rsid w:val="007E1096"/>
    <w:rsid w:val="007E2EEA"/>
    <w:rsid w:val="007E3CB9"/>
    <w:rsid w:val="007F0AF9"/>
    <w:rsid w:val="007F3EED"/>
    <w:rsid w:val="007F75C4"/>
    <w:rsid w:val="00801DD7"/>
    <w:rsid w:val="00804C5C"/>
    <w:rsid w:val="00805831"/>
    <w:rsid w:val="00805C4F"/>
    <w:rsid w:val="00806210"/>
    <w:rsid w:val="00811C09"/>
    <w:rsid w:val="00813C54"/>
    <w:rsid w:val="00814B36"/>
    <w:rsid w:val="008200C5"/>
    <w:rsid w:val="00823E23"/>
    <w:rsid w:val="008240D2"/>
    <w:rsid w:val="0083088E"/>
    <w:rsid w:val="00831A54"/>
    <w:rsid w:val="0083286F"/>
    <w:rsid w:val="008363CD"/>
    <w:rsid w:val="00841793"/>
    <w:rsid w:val="00847FFC"/>
    <w:rsid w:val="0085065F"/>
    <w:rsid w:val="00852C47"/>
    <w:rsid w:val="008532CC"/>
    <w:rsid w:val="008546C6"/>
    <w:rsid w:val="00856969"/>
    <w:rsid w:val="00856BB3"/>
    <w:rsid w:val="00862BC1"/>
    <w:rsid w:val="008635AF"/>
    <w:rsid w:val="00865068"/>
    <w:rsid w:val="0086535D"/>
    <w:rsid w:val="008670FF"/>
    <w:rsid w:val="00870FC5"/>
    <w:rsid w:val="00872923"/>
    <w:rsid w:val="00873D0D"/>
    <w:rsid w:val="00880BF1"/>
    <w:rsid w:val="008835C4"/>
    <w:rsid w:val="008866B4"/>
    <w:rsid w:val="00887A4E"/>
    <w:rsid w:val="008928FB"/>
    <w:rsid w:val="00893212"/>
    <w:rsid w:val="008933D0"/>
    <w:rsid w:val="008934FB"/>
    <w:rsid w:val="00894168"/>
    <w:rsid w:val="008957A3"/>
    <w:rsid w:val="00896556"/>
    <w:rsid w:val="00896653"/>
    <w:rsid w:val="00896E29"/>
    <w:rsid w:val="008A24ED"/>
    <w:rsid w:val="008A2E7B"/>
    <w:rsid w:val="008A3140"/>
    <w:rsid w:val="008A365B"/>
    <w:rsid w:val="008B2892"/>
    <w:rsid w:val="008B29B8"/>
    <w:rsid w:val="008B348F"/>
    <w:rsid w:val="008B5D55"/>
    <w:rsid w:val="008C1E67"/>
    <w:rsid w:val="008C2E69"/>
    <w:rsid w:val="008C3B6B"/>
    <w:rsid w:val="008C5531"/>
    <w:rsid w:val="008C5700"/>
    <w:rsid w:val="008C5D3D"/>
    <w:rsid w:val="008C7482"/>
    <w:rsid w:val="008C787D"/>
    <w:rsid w:val="008C7EF7"/>
    <w:rsid w:val="008D229C"/>
    <w:rsid w:val="008D3058"/>
    <w:rsid w:val="008D3A5D"/>
    <w:rsid w:val="008D3C63"/>
    <w:rsid w:val="008D4493"/>
    <w:rsid w:val="008D4789"/>
    <w:rsid w:val="008D4B2B"/>
    <w:rsid w:val="008D4C4F"/>
    <w:rsid w:val="008D5BE3"/>
    <w:rsid w:val="008E1E1A"/>
    <w:rsid w:val="008E1FCB"/>
    <w:rsid w:val="008E2419"/>
    <w:rsid w:val="008E2AE8"/>
    <w:rsid w:val="008E4B90"/>
    <w:rsid w:val="008E4D69"/>
    <w:rsid w:val="008E5A11"/>
    <w:rsid w:val="008E67DB"/>
    <w:rsid w:val="008F26D3"/>
    <w:rsid w:val="008F4E65"/>
    <w:rsid w:val="008F52DB"/>
    <w:rsid w:val="0090332E"/>
    <w:rsid w:val="00903975"/>
    <w:rsid w:val="00903A86"/>
    <w:rsid w:val="00904244"/>
    <w:rsid w:val="00904A05"/>
    <w:rsid w:val="009052B6"/>
    <w:rsid w:val="00907062"/>
    <w:rsid w:val="00911905"/>
    <w:rsid w:val="00912177"/>
    <w:rsid w:val="00913CA2"/>
    <w:rsid w:val="00914864"/>
    <w:rsid w:val="00914EFD"/>
    <w:rsid w:val="00915A76"/>
    <w:rsid w:val="00915C55"/>
    <w:rsid w:val="00916D4B"/>
    <w:rsid w:val="00922CD6"/>
    <w:rsid w:val="00924D41"/>
    <w:rsid w:val="00925455"/>
    <w:rsid w:val="009326AF"/>
    <w:rsid w:val="00933E9E"/>
    <w:rsid w:val="00934114"/>
    <w:rsid w:val="00937053"/>
    <w:rsid w:val="00941F0C"/>
    <w:rsid w:val="0094406A"/>
    <w:rsid w:val="00945B19"/>
    <w:rsid w:val="009463A5"/>
    <w:rsid w:val="00946C15"/>
    <w:rsid w:val="00947BDB"/>
    <w:rsid w:val="00950E66"/>
    <w:rsid w:val="00952465"/>
    <w:rsid w:val="0096100F"/>
    <w:rsid w:val="00962889"/>
    <w:rsid w:val="00966FA0"/>
    <w:rsid w:val="0097383A"/>
    <w:rsid w:val="00974FFF"/>
    <w:rsid w:val="00977C87"/>
    <w:rsid w:val="0098003D"/>
    <w:rsid w:val="0098339A"/>
    <w:rsid w:val="009850BD"/>
    <w:rsid w:val="00991759"/>
    <w:rsid w:val="00991BE9"/>
    <w:rsid w:val="00992A96"/>
    <w:rsid w:val="00994EC3"/>
    <w:rsid w:val="0099553D"/>
    <w:rsid w:val="00997084"/>
    <w:rsid w:val="009A0BF8"/>
    <w:rsid w:val="009A0F97"/>
    <w:rsid w:val="009A230A"/>
    <w:rsid w:val="009A2F57"/>
    <w:rsid w:val="009A408F"/>
    <w:rsid w:val="009A5BAF"/>
    <w:rsid w:val="009B0E7A"/>
    <w:rsid w:val="009B206D"/>
    <w:rsid w:val="009B2E19"/>
    <w:rsid w:val="009B3252"/>
    <w:rsid w:val="009B3A31"/>
    <w:rsid w:val="009B3AB7"/>
    <w:rsid w:val="009B51EE"/>
    <w:rsid w:val="009B734A"/>
    <w:rsid w:val="009C09C1"/>
    <w:rsid w:val="009C1111"/>
    <w:rsid w:val="009D1172"/>
    <w:rsid w:val="009D1535"/>
    <w:rsid w:val="009D6FC0"/>
    <w:rsid w:val="009D70B8"/>
    <w:rsid w:val="009D721D"/>
    <w:rsid w:val="009E1EE8"/>
    <w:rsid w:val="009E353B"/>
    <w:rsid w:val="009E513B"/>
    <w:rsid w:val="009E5EE3"/>
    <w:rsid w:val="009E6272"/>
    <w:rsid w:val="009E6D5A"/>
    <w:rsid w:val="009F4612"/>
    <w:rsid w:val="009F547E"/>
    <w:rsid w:val="00A017D4"/>
    <w:rsid w:val="00A023CB"/>
    <w:rsid w:val="00A0281D"/>
    <w:rsid w:val="00A02F71"/>
    <w:rsid w:val="00A04519"/>
    <w:rsid w:val="00A0586F"/>
    <w:rsid w:val="00A140E9"/>
    <w:rsid w:val="00A14357"/>
    <w:rsid w:val="00A14B4F"/>
    <w:rsid w:val="00A16785"/>
    <w:rsid w:val="00A17F43"/>
    <w:rsid w:val="00A20647"/>
    <w:rsid w:val="00A25716"/>
    <w:rsid w:val="00A26C12"/>
    <w:rsid w:val="00A3584E"/>
    <w:rsid w:val="00A369FE"/>
    <w:rsid w:val="00A37FA4"/>
    <w:rsid w:val="00A40448"/>
    <w:rsid w:val="00A42E91"/>
    <w:rsid w:val="00A43FE0"/>
    <w:rsid w:val="00A4711D"/>
    <w:rsid w:val="00A47EB2"/>
    <w:rsid w:val="00A50E30"/>
    <w:rsid w:val="00A513CE"/>
    <w:rsid w:val="00A5486B"/>
    <w:rsid w:val="00A54A7F"/>
    <w:rsid w:val="00A5521A"/>
    <w:rsid w:val="00A6283F"/>
    <w:rsid w:val="00A64381"/>
    <w:rsid w:val="00A6439B"/>
    <w:rsid w:val="00A6515D"/>
    <w:rsid w:val="00A7137A"/>
    <w:rsid w:val="00A72218"/>
    <w:rsid w:val="00A75371"/>
    <w:rsid w:val="00A75B3A"/>
    <w:rsid w:val="00A764D7"/>
    <w:rsid w:val="00A76F6E"/>
    <w:rsid w:val="00A77B78"/>
    <w:rsid w:val="00A817F9"/>
    <w:rsid w:val="00A84010"/>
    <w:rsid w:val="00A85C04"/>
    <w:rsid w:val="00A8643D"/>
    <w:rsid w:val="00A95D0E"/>
    <w:rsid w:val="00A964B7"/>
    <w:rsid w:val="00A9688C"/>
    <w:rsid w:val="00AA0019"/>
    <w:rsid w:val="00AA0470"/>
    <w:rsid w:val="00AA0B9B"/>
    <w:rsid w:val="00AA0F87"/>
    <w:rsid w:val="00AA1585"/>
    <w:rsid w:val="00AA1DAF"/>
    <w:rsid w:val="00AA1F45"/>
    <w:rsid w:val="00AA3CC0"/>
    <w:rsid w:val="00AB5672"/>
    <w:rsid w:val="00AC04A9"/>
    <w:rsid w:val="00AC150D"/>
    <w:rsid w:val="00AC45EB"/>
    <w:rsid w:val="00AC503C"/>
    <w:rsid w:val="00AC633C"/>
    <w:rsid w:val="00AD04AE"/>
    <w:rsid w:val="00AD3824"/>
    <w:rsid w:val="00AD45C6"/>
    <w:rsid w:val="00AD5771"/>
    <w:rsid w:val="00AD777E"/>
    <w:rsid w:val="00AD78FC"/>
    <w:rsid w:val="00AE1161"/>
    <w:rsid w:val="00AE45A1"/>
    <w:rsid w:val="00AE56DF"/>
    <w:rsid w:val="00AF0852"/>
    <w:rsid w:val="00AF33EF"/>
    <w:rsid w:val="00B03647"/>
    <w:rsid w:val="00B06B55"/>
    <w:rsid w:val="00B07284"/>
    <w:rsid w:val="00B07F05"/>
    <w:rsid w:val="00B11354"/>
    <w:rsid w:val="00B20C7E"/>
    <w:rsid w:val="00B235FE"/>
    <w:rsid w:val="00B23EFB"/>
    <w:rsid w:val="00B24411"/>
    <w:rsid w:val="00B2480B"/>
    <w:rsid w:val="00B258BF"/>
    <w:rsid w:val="00B25957"/>
    <w:rsid w:val="00B25EFC"/>
    <w:rsid w:val="00B25FAF"/>
    <w:rsid w:val="00B311BF"/>
    <w:rsid w:val="00B34854"/>
    <w:rsid w:val="00B36769"/>
    <w:rsid w:val="00B367A6"/>
    <w:rsid w:val="00B36BBD"/>
    <w:rsid w:val="00B40708"/>
    <w:rsid w:val="00B40A5A"/>
    <w:rsid w:val="00B43D83"/>
    <w:rsid w:val="00B44093"/>
    <w:rsid w:val="00B4410B"/>
    <w:rsid w:val="00B46D45"/>
    <w:rsid w:val="00B52BAE"/>
    <w:rsid w:val="00B53BD9"/>
    <w:rsid w:val="00B5571C"/>
    <w:rsid w:val="00B55733"/>
    <w:rsid w:val="00B56972"/>
    <w:rsid w:val="00B6132A"/>
    <w:rsid w:val="00B657BD"/>
    <w:rsid w:val="00B659FF"/>
    <w:rsid w:val="00B67E0A"/>
    <w:rsid w:val="00B708AC"/>
    <w:rsid w:val="00B727B0"/>
    <w:rsid w:val="00B74289"/>
    <w:rsid w:val="00B85205"/>
    <w:rsid w:val="00B85402"/>
    <w:rsid w:val="00B9016E"/>
    <w:rsid w:val="00B91A27"/>
    <w:rsid w:val="00B9242C"/>
    <w:rsid w:val="00B92BC2"/>
    <w:rsid w:val="00B933EE"/>
    <w:rsid w:val="00B93F41"/>
    <w:rsid w:val="00B9467A"/>
    <w:rsid w:val="00B9570B"/>
    <w:rsid w:val="00B963A3"/>
    <w:rsid w:val="00B96EB9"/>
    <w:rsid w:val="00B97553"/>
    <w:rsid w:val="00B97E2D"/>
    <w:rsid w:val="00BA0166"/>
    <w:rsid w:val="00BA0F15"/>
    <w:rsid w:val="00BA6A29"/>
    <w:rsid w:val="00BA7031"/>
    <w:rsid w:val="00BA7343"/>
    <w:rsid w:val="00BB1397"/>
    <w:rsid w:val="00BB238C"/>
    <w:rsid w:val="00BB5CE6"/>
    <w:rsid w:val="00BB703F"/>
    <w:rsid w:val="00BC0BC9"/>
    <w:rsid w:val="00BC0E1B"/>
    <w:rsid w:val="00BC1A88"/>
    <w:rsid w:val="00BC3958"/>
    <w:rsid w:val="00BC76D1"/>
    <w:rsid w:val="00BD1301"/>
    <w:rsid w:val="00BD265A"/>
    <w:rsid w:val="00BD2EB5"/>
    <w:rsid w:val="00BD43EC"/>
    <w:rsid w:val="00BD4C6A"/>
    <w:rsid w:val="00BD60E2"/>
    <w:rsid w:val="00BE09B5"/>
    <w:rsid w:val="00BE2450"/>
    <w:rsid w:val="00BE4094"/>
    <w:rsid w:val="00BE5986"/>
    <w:rsid w:val="00BE63AD"/>
    <w:rsid w:val="00BF3DD6"/>
    <w:rsid w:val="00BF6672"/>
    <w:rsid w:val="00BF7311"/>
    <w:rsid w:val="00C015BB"/>
    <w:rsid w:val="00C1036E"/>
    <w:rsid w:val="00C1051F"/>
    <w:rsid w:val="00C10A08"/>
    <w:rsid w:val="00C10CAF"/>
    <w:rsid w:val="00C13A70"/>
    <w:rsid w:val="00C14E82"/>
    <w:rsid w:val="00C1580F"/>
    <w:rsid w:val="00C1722C"/>
    <w:rsid w:val="00C22703"/>
    <w:rsid w:val="00C330BE"/>
    <w:rsid w:val="00C3581C"/>
    <w:rsid w:val="00C35E85"/>
    <w:rsid w:val="00C3648C"/>
    <w:rsid w:val="00C427B4"/>
    <w:rsid w:val="00C441A6"/>
    <w:rsid w:val="00C44F67"/>
    <w:rsid w:val="00C45363"/>
    <w:rsid w:val="00C5160D"/>
    <w:rsid w:val="00C5294E"/>
    <w:rsid w:val="00C54094"/>
    <w:rsid w:val="00C5433E"/>
    <w:rsid w:val="00C55C14"/>
    <w:rsid w:val="00C6090B"/>
    <w:rsid w:val="00C617A7"/>
    <w:rsid w:val="00C62B63"/>
    <w:rsid w:val="00C65D77"/>
    <w:rsid w:val="00C66D6A"/>
    <w:rsid w:val="00C72040"/>
    <w:rsid w:val="00C77757"/>
    <w:rsid w:val="00C7793A"/>
    <w:rsid w:val="00C813C3"/>
    <w:rsid w:val="00C81D07"/>
    <w:rsid w:val="00C84E67"/>
    <w:rsid w:val="00C84E9A"/>
    <w:rsid w:val="00C90FFC"/>
    <w:rsid w:val="00C9236F"/>
    <w:rsid w:val="00C924BF"/>
    <w:rsid w:val="00C96569"/>
    <w:rsid w:val="00C968DF"/>
    <w:rsid w:val="00C96C5E"/>
    <w:rsid w:val="00C97C13"/>
    <w:rsid w:val="00CA1850"/>
    <w:rsid w:val="00CA2026"/>
    <w:rsid w:val="00CA555A"/>
    <w:rsid w:val="00CA57F6"/>
    <w:rsid w:val="00CA6804"/>
    <w:rsid w:val="00CA7935"/>
    <w:rsid w:val="00CA79ED"/>
    <w:rsid w:val="00CA7DB5"/>
    <w:rsid w:val="00CB42E0"/>
    <w:rsid w:val="00CB4C59"/>
    <w:rsid w:val="00CC0431"/>
    <w:rsid w:val="00CC0B44"/>
    <w:rsid w:val="00CC1EBB"/>
    <w:rsid w:val="00CC1EDA"/>
    <w:rsid w:val="00CC277D"/>
    <w:rsid w:val="00CC5D8A"/>
    <w:rsid w:val="00CC70F5"/>
    <w:rsid w:val="00CC749F"/>
    <w:rsid w:val="00CD64AB"/>
    <w:rsid w:val="00CE0B18"/>
    <w:rsid w:val="00CE11CD"/>
    <w:rsid w:val="00CE1D07"/>
    <w:rsid w:val="00CE1E43"/>
    <w:rsid w:val="00CE212E"/>
    <w:rsid w:val="00CE2908"/>
    <w:rsid w:val="00CE36E4"/>
    <w:rsid w:val="00CE537C"/>
    <w:rsid w:val="00CE63F8"/>
    <w:rsid w:val="00CF1E4B"/>
    <w:rsid w:val="00CF41F9"/>
    <w:rsid w:val="00CF4A5D"/>
    <w:rsid w:val="00CF5666"/>
    <w:rsid w:val="00CF6034"/>
    <w:rsid w:val="00CF724B"/>
    <w:rsid w:val="00CF76EC"/>
    <w:rsid w:val="00D00A19"/>
    <w:rsid w:val="00D020AF"/>
    <w:rsid w:val="00D041AB"/>
    <w:rsid w:val="00D05096"/>
    <w:rsid w:val="00D06852"/>
    <w:rsid w:val="00D06873"/>
    <w:rsid w:val="00D06D17"/>
    <w:rsid w:val="00D1100B"/>
    <w:rsid w:val="00D11687"/>
    <w:rsid w:val="00D12825"/>
    <w:rsid w:val="00D14039"/>
    <w:rsid w:val="00D16078"/>
    <w:rsid w:val="00D17C67"/>
    <w:rsid w:val="00D20ABA"/>
    <w:rsid w:val="00D21561"/>
    <w:rsid w:val="00D223CE"/>
    <w:rsid w:val="00D24006"/>
    <w:rsid w:val="00D24211"/>
    <w:rsid w:val="00D24256"/>
    <w:rsid w:val="00D261D1"/>
    <w:rsid w:val="00D331FB"/>
    <w:rsid w:val="00D344EE"/>
    <w:rsid w:val="00D34939"/>
    <w:rsid w:val="00D3592A"/>
    <w:rsid w:val="00D3628C"/>
    <w:rsid w:val="00D40256"/>
    <w:rsid w:val="00D409B4"/>
    <w:rsid w:val="00D413C2"/>
    <w:rsid w:val="00D435E4"/>
    <w:rsid w:val="00D43DCF"/>
    <w:rsid w:val="00D44A6A"/>
    <w:rsid w:val="00D44AC1"/>
    <w:rsid w:val="00D4602B"/>
    <w:rsid w:val="00D530B2"/>
    <w:rsid w:val="00D56C08"/>
    <w:rsid w:val="00D61240"/>
    <w:rsid w:val="00D617AE"/>
    <w:rsid w:val="00D61E02"/>
    <w:rsid w:val="00D62AEE"/>
    <w:rsid w:val="00D633B1"/>
    <w:rsid w:val="00D6698A"/>
    <w:rsid w:val="00D67EFF"/>
    <w:rsid w:val="00D7058A"/>
    <w:rsid w:val="00D72639"/>
    <w:rsid w:val="00D73772"/>
    <w:rsid w:val="00D7614B"/>
    <w:rsid w:val="00D816B4"/>
    <w:rsid w:val="00D84A1A"/>
    <w:rsid w:val="00D854D1"/>
    <w:rsid w:val="00D85DB9"/>
    <w:rsid w:val="00D86028"/>
    <w:rsid w:val="00D86709"/>
    <w:rsid w:val="00D86D25"/>
    <w:rsid w:val="00D87262"/>
    <w:rsid w:val="00D8761C"/>
    <w:rsid w:val="00D90079"/>
    <w:rsid w:val="00D9029F"/>
    <w:rsid w:val="00D90F2D"/>
    <w:rsid w:val="00D91953"/>
    <w:rsid w:val="00D929D1"/>
    <w:rsid w:val="00D934AF"/>
    <w:rsid w:val="00D94E38"/>
    <w:rsid w:val="00D97183"/>
    <w:rsid w:val="00DA35DD"/>
    <w:rsid w:val="00DB0FE2"/>
    <w:rsid w:val="00DB1ACE"/>
    <w:rsid w:val="00DB2C85"/>
    <w:rsid w:val="00DB55CF"/>
    <w:rsid w:val="00DB5EBA"/>
    <w:rsid w:val="00DB6676"/>
    <w:rsid w:val="00DB66DB"/>
    <w:rsid w:val="00DB683D"/>
    <w:rsid w:val="00DB6927"/>
    <w:rsid w:val="00DC02C1"/>
    <w:rsid w:val="00DC689C"/>
    <w:rsid w:val="00DC6CC9"/>
    <w:rsid w:val="00DC72F2"/>
    <w:rsid w:val="00DC76A7"/>
    <w:rsid w:val="00DD056C"/>
    <w:rsid w:val="00DD062A"/>
    <w:rsid w:val="00DD1E41"/>
    <w:rsid w:val="00DD24C1"/>
    <w:rsid w:val="00DD253E"/>
    <w:rsid w:val="00DD510B"/>
    <w:rsid w:val="00DE199F"/>
    <w:rsid w:val="00DE21B0"/>
    <w:rsid w:val="00DE2277"/>
    <w:rsid w:val="00DE2673"/>
    <w:rsid w:val="00DE3406"/>
    <w:rsid w:val="00DE436B"/>
    <w:rsid w:val="00DE4588"/>
    <w:rsid w:val="00DE7621"/>
    <w:rsid w:val="00DF0B3F"/>
    <w:rsid w:val="00DF2792"/>
    <w:rsid w:val="00DF2EFF"/>
    <w:rsid w:val="00DF3CEC"/>
    <w:rsid w:val="00DF466D"/>
    <w:rsid w:val="00DF5C90"/>
    <w:rsid w:val="00DF5DEE"/>
    <w:rsid w:val="00DF6B39"/>
    <w:rsid w:val="00DF737F"/>
    <w:rsid w:val="00DF7D4A"/>
    <w:rsid w:val="00E0016E"/>
    <w:rsid w:val="00E012D5"/>
    <w:rsid w:val="00E0232D"/>
    <w:rsid w:val="00E046BA"/>
    <w:rsid w:val="00E13CE6"/>
    <w:rsid w:val="00E149C2"/>
    <w:rsid w:val="00E20DC3"/>
    <w:rsid w:val="00E21FA7"/>
    <w:rsid w:val="00E226BA"/>
    <w:rsid w:val="00E231F4"/>
    <w:rsid w:val="00E26457"/>
    <w:rsid w:val="00E26D9E"/>
    <w:rsid w:val="00E271FB"/>
    <w:rsid w:val="00E33115"/>
    <w:rsid w:val="00E33BB8"/>
    <w:rsid w:val="00E341CF"/>
    <w:rsid w:val="00E37839"/>
    <w:rsid w:val="00E40BA9"/>
    <w:rsid w:val="00E41532"/>
    <w:rsid w:val="00E41C8E"/>
    <w:rsid w:val="00E434EC"/>
    <w:rsid w:val="00E51617"/>
    <w:rsid w:val="00E53471"/>
    <w:rsid w:val="00E53E7A"/>
    <w:rsid w:val="00E548CA"/>
    <w:rsid w:val="00E61A74"/>
    <w:rsid w:val="00E638BF"/>
    <w:rsid w:val="00E70200"/>
    <w:rsid w:val="00E7059D"/>
    <w:rsid w:val="00E709EA"/>
    <w:rsid w:val="00E70ED6"/>
    <w:rsid w:val="00E719DE"/>
    <w:rsid w:val="00E7516A"/>
    <w:rsid w:val="00E752D9"/>
    <w:rsid w:val="00E80238"/>
    <w:rsid w:val="00E9007C"/>
    <w:rsid w:val="00E90D3C"/>
    <w:rsid w:val="00E9278A"/>
    <w:rsid w:val="00E93EF7"/>
    <w:rsid w:val="00E94433"/>
    <w:rsid w:val="00E95CE5"/>
    <w:rsid w:val="00EA6B11"/>
    <w:rsid w:val="00EB0487"/>
    <w:rsid w:val="00EB0A0E"/>
    <w:rsid w:val="00EB1107"/>
    <w:rsid w:val="00EB13C1"/>
    <w:rsid w:val="00EB168B"/>
    <w:rsid w:val="00EB431E"/>
    <w:rsid w:val="00EB5517"/>
    <w:rsid w:val="00EB6E7A"/>
    <w:rsid w:val="00EB763E"/>
    <w:rsid w:val="00EC05D2"/>
    <w:rsid w:val="00EC0948"/>
    <w:rsid w:val="00EC6090"/>
    <w:rsid w:val="00EC6E07"/>
    <w:rsid w:val="00EC7696"/>
    <w:rsid w:val="00ED0F5A"/>
    <w:rsid w:val="00ED1909"/>
    <w:rsid w:val="00ED66B3"/>
    <w:rsid w:val="00EE1379"/>
    <w:rsid w:val="00EE657E"/>
    <w:rsid w:val="00EE7DA5"/>
    <w:rsid w:val="00EF23F5"/>
    <w:rsid w:val="00EF2963"/>
    <w:rsid w:val="00EF2E96"/>
    <w:rsid w:val="00EF3A96"/>
    <w:rsid w:val="00EF5638"/>
    <w:rsid w:val="00EF5767"/>
    <w:rsid w:val="00EF58F5"/>
    <w:rsid w:val="00EF6971"/>
    <w:rsid w:val="00EF7162"/>
    <w:rsid w:val="00F013D4"/>
    <w:rsid w:val="00F021D5"/>
    <w:rsid w:val="00F03393"/>
    <w:rsid w:val="00F03819"/>
    <w:rsid w:val="00F05152"/>
    <w:rsid w:val="00F074ED"/>
    <w:rsid w:val="00F132DD"/>
    <w:rsid w:val="00F1446B"/>
    <w:rsid w:val="00F1566F"/>
    <w:rsid w:val="00F247F8"/>
    <w:rsid w:val="00F24FAE"/>
    <w:rsid w:val="00F278F9"/>
    <w:rsid w:val="00F303E2"/>
    <w:rsid w:val="00F30EFF"/>
    <w:rsid w:val="00F3774F"/>
    <w:rsid w:val="00F418CA"/>
    <w:rsid w:val="00F42442"/>
    <w:rsid w:val="00F465D3"/>
    <w:rsid w:val="00F4680A"/>
    <w:rsid w:val="00F509F1"/>
    <w:rsid w:val="00F51403"/>
    <w:rsid w:val="00F548DA"/>
    <w:rsid w:val="00F54947"/>
    <w:rsid w:val="00F5633C"/>
    <w:rsid w:val="00F56C41"/>
    <w:rsid w:val="00F60C47"/>
    <w:rsid w:val="00F64D7E"/>
    <w:rsid w:val="00F64EE9"/>
    <w:rsid w:val="00F726A0"/>
    <w:rsid w:val="00F776E6"/>
    <w:rsid w:val="00F77BFC"/>
    <w:rsid w:val="00F81D4C"/>
    <w:rsid w:val="00F82D99"/>
    <w:rsid w:val="00F83001"/>
    <w:rsid w:val="00F84E79"/>
    <w:rsid w:val="00F85CA7"/>
    <w:rsid w:val="00F86B33"/>
    <w:rsid w:val="00F870B7"/>
    <w:rsid w:val="00F87C00"/>
    <w:rsid w:val="00F9159D"/>
    <w:rsid w:val="00F9323D"/>
    <w:rsid w:val="00F95F60"/>
    <w:rsid w:val="00FA497A"/>
    <w:rsid w:val="00FA4E64"/>
    <w:rsid w:val="00FA4EBA"/>
    <w:rsid w:val="00FB17C6"/>
    <w:rsid w:val="00FB1DBC"/>
    <w:rsid w:val="00FB2146"/>
    <w:rsid w:val="00FB56A6"/>
    <w:rsid w:val="00FB65E3"/>
    <w:rsid w:val="00FB7C0B"/>
    <w:rsid w:val="00FC0B65"/>
    <w:rsid w:val="00FC159B"/>
    <w:rsid w:val="00FC2C34"/>
    <w:rsid w:val="00FC4863"/>
    <w:rsid w:val="00FC5894"/>
    <w:rsid w:val="00FD0DA9"/>
    <w:rsid w:val="00FD1ACD"/>
    <w:rsid w:val="00FE38EE"/>
    <w:rsid w:val="00FE3E7D"/>
    <w:rsid w:val="00FE3EC5"/>
    <w:rsid w:val="00FE4B33"/>
    <w:rsid w:val="00FE7155"/>
    <w:rsid w:val="00FF32DC"/>
    <w:rsid w:val="00FF3526"/>
    <w:rsid w:val="00FF3A3F"/>
    <w:rsid w:val="00FF4337"/>
    <w:rsid w:val="00FF5E35"/>
    <w:rsid w:val="00FF7D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6A09F"/>
  <w15:docId w15:val="{09A7FD02-11A4-4226-8B32-F7E67E18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78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8C5531"/>
    <w:pPr>
      <w:keepNext/>
      <w:ind w:firstLine="567"/>
      <w:jc w:val="center"/>
      <w:outlineLvl w:val="0"/>
    </w:pPr>
    <w:rPr>
      <w:szCs w:val="20"/>
      <w:lang w:val="en-US" w:eastAsia="en-US"/>
    </w:rPr>
  </w:style>
  <w:style w:type="paragraph" w:styleId="Heading2">
    <w:name w:val="heading 2"/>
    <w:basedOn w:val="Normal"/>
    <w:next w:val="Normal"/>
    <w:link w:val="Heading2Char"/>
    <w:uiPriority w:val="99"/>
    <w:qFormat/>
    <w:rsid w:val="008C5531"/>
    <w:pPr>
      <w:keepNext/>
      <w:spacing w:before="240" w:after="60"/>
      <w:ind w:firstLine="567"/>
      <w:jc w:val="both"/>
      <w:outlineLvl w:val="1"/>
    </w:pPr>
    <w:rPr>
      <w:rFonts w:ascii="Arial" w:hAnsi="Arial" w:cs="Arial"/>
      <w:b/>
      <w:bCs/>
      <w:i/>
      <w:iCs/>
      <w:sz w:val="28"/>
      <w:szCs w:val="28"/>
      <w:lang w:val="en-US" w:eastAsia="en-US"/>
    </w:rPr>
  </w:style>
  <w:style w:type="paragraph" w:styleId="Heading3">
    <w:name w:val="heading 3"/>
    <w:basedOn w:val="Normal"/>
    <w:next w:val="Normal"/>
    <w:link w:val="Heading3Char"/>
    <w:uiPriority w:val="9"/>
    <w:unhideWhenUsed/>
    <w:qFormat/>
    <w:rsid w:val="008C5531"/>
    <w:pPr>
      <w:keepNext/>
      <w:keepLines/>
      <w:spacing w:before="200" w:line="360" w:lineRule="auto"/>
      <w:ind w:firstLine="567"/>
      <w:jc w:val="both"/>
      <w:outlineLvl w:val="2"/>
    </w:pPr>
    <w:rPr>
      <w:rFonts w:asciiTheme="majorHAnsi" w:eastAsiaTheme="majorEastAsia" w:hAnsiTheme="majorHAnsi" w:cstheme="majorBidi"/>
      <w:b/>
      <w:b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
    <w:name w:val="virsraks"/>
    <w:basedOn w:val="Normal"/>
    <w:qFormat/>
    <w:rsid w:val="008C5531"/>
    <w:pPr>
      <w:spacing w:after="240" w:line="360" w:lineRule="auto"/>
      <w:ind w:firstLine="567"/>
    </w:pPr>
    <w:rPr>
      <w:rFonts w:eastAsiaTheme="minorHAnsi"/>
      <w:b/>
      <w:caps/>
      <w:sz w:val="28"/>
      <w:lang w:eastAsia="en-US"/>
    </w:rPr>
  </w:style>
  <w:style w:type="paragraph" w:customStyle="1" w:styleId="apaks">
    <w:name w:val="apaks"/>
    <w:basedOn w:val="Normal"/>
    <w:qFormat/>
    <w:rsid w:val="008C5531"/>
    <w:pPr>
      <w:spacing w:before="240" w:after="240" w:line="360" w:lineRule="auto"/>
      <w:ind w:firstLine="567"/>
    </w:pPr>
    <w:rPr>
      <w:rFonts w:eastAsiaTheme="minorHAnsi"/>
      <w:b/>
      <w:lang w:eastAsia="en-US"/>
    </w:rPr>
  </w:style>
  <w:style w:type="paragraph" w:customStyle="1" w:styleId="attels">
    <w:name w:val="attels"/>
    <w:basedOn w:val="Normal"/>
    <w:qFormat/>
    <w:rsid w:val="008C5531"/>
    <w:pPr>
      <w:spacing w:before="240" w:line="360" w:lineRule="auto"/>
      <w:jc w:val="center"/>
    </w:pPr>
    <w:rPr>
      <w:rFonts w:eastAsiaTheme="minorHAnsi"/>
      <w:lang w:eastAsia="en-US"/>
    </w:rPr>
  </w:style>
  <w:style w:type="paragraph" w:customStyle="1" w:styleId="Tabula">
    <w:name w:val="Tabula"/>
    <w:basedOn w:val="Normal"/>
    <w:qFormat/>
    <w:rsid w:val="008C5531"/>
    <w:pPr>
      <w:tabs>
        <w:tab w:val="right" w:leader="dot" w:pos="9072"/>
      </w:tabs>
      <w:spacing w:line="360" w:lineRule="auto"/>
      <w:jc w:val="center"/>
    </w:pPr>
    <w:rPr>
      <w:rFonts w:eastAsia="Calibri"/>
      <w:lang w:eastAsia="en-US"/>
    </w:rPr>
  </w:style>
  <w:style w:type="paragraph" w:customStyle="1" w:styleId="anotacija">
    <w:name w:val="anotacija"/>
    <w:basedOn w:val="Normal"/>
    <w:qFormat/>
    <w:rsid w:val="008C5531"/>
    <w:pPr>
      <w:spacing w:after="240" w:line="360" w:lineRule="auto"/>
      <w:jc w:val="center"/>
    </w:pPr>
    <w:rPr>
      <w:rFonts w:eastAsiaTheme="minorHAnsi" w:cstheme="minorBidi"/>
      <w:b/>
      <w:caps/>
      <w:sz w:val="28"/>
      <w:szCs w:val="22"/>
      <w:lang w:eastAsia="en-US"/>
    </w:rPr>
  </w:style>
  <w:style w:type="paragraph" w:customStyle="1" w:styleId="formulas">
    <w:name w:val="formulas"/>
    <w:basedOn w:val="Normal"/>
    <w:qFormat/>
    <w:rsid w:val="008C5531"/>
    <w:pPr>
      <w:spacing w:before="120" w:after="120" w:line="360" w:lineRule="auto"/>
      <w:ind w:left="357"/>
      <w:jc w:val="right"/>
    </w:pPr>
    <w:rPr>
      <w:rFonts w:eastAsiaTheme="minorHAnsi"/>
      <w:lang w:eastAsia="en-US"/>
    </w:rPr>
  </w:style>
  <w:style w:type="paragraph" w:customStyle="1" w:styleId="pecatt">
    <w:name w:val="pec att"/>
    <w:basedOn w:val="attels"/>
    <w:qFormat/>
    <w:rsid w:val="008C5531"/>
    <w:pPr>
      <w:spacing w:before="0" w:after="240"/>
    </w:pPr>
  </w:style>
  <w:style w:type="paragraph" w:customStyle="1" w:styleId="pecfor">
    <w:name w:val="pec for"/>
    <w:basedOn w:val="Normal"/>
    <w:qFormat/>
    <w:rsid w:val="008C5531"/>
    <w:pPr>
      <w:spacing w:after="240" w:line="360" w:lineRule="auto"/>
      <w:ind w:firstLine="567"/>
      <w:jc w:val="both"/>
    </w:pPr>
    <w:rPr>
      <w:rFonts w:eastAsiaTheme="minorHAnsi"/>
      <w:lang w:eastAsia="en-US"/>
    </w:rPr>
  </w:style>
  <w:style w:type="paragraph" w:customStyle="1" w:styleId="par">
    <w:name w:val="par"/>
    <w:basedOn w:val="ListParagraph"/>
    <w:qFormat/>
    <w:rsid w:val="008C5531"/>
    <w:rPr>
      <w:rFonts w:ascii="Cambria Math" w:eastAsiaTheme="minorEastAsia" w:hAnsi="Cambria Math" w:cstheme="minorHAnsi"/>
      <w:i/>
      <w:szCs w:val="24"/>
    </w:rPr>
  </w:style>
  <w:style w:type="paragraph" w:styleId="ListParagraph">
    <w:name w:val="List Paragraph"/>
    <w:basedOn w:val="Normal"/>
    <w:uiPriority w:val="34"/>
    <w:qFormat/>
    <w:rsid w:val="008C5531"/>
    <w:pPr>
      <w:spacing w:line="360" w:lineRule="auto"/>
      <w:ind w:left="720" w:firstLine="567"/>
      <w:contextualSpacing/>
      <w:jc w:val="both"/>
    </w:pPr>
    <w:rPr>
      <w:rFonts w:eastAsiaTheme="minorHAnsi" w:cstheme="minorBidi"/>
      <w:szCs w:val="22"/>
      <w:lang w:eastAsia="en-US"/>
    </w:rPr>
  </w:style>
  <w:style w:type="paragraph" w:customStyle="1" w:styleId="apaks2">
    <w:name w:val="apaks2"/>
    <w:basedOn w:val="Normal"/>
    <w:link w:val="apaks2Char"/>
    <w:qFormat/>
    <w:rsid w:val="008C5531"/>
    <w:pPr>
      <w:spacing w:before="240" w:after="240" w:line="360" w:lineRule="auto"/>
      <w:ind w:firstLine="567"/>
    </w:pPr>
    <w:rPr>
      <w:rFonts w:eastAsiaTheme="minorHAnsi" w:cstheme="minorBidi"/>
      <w:b/>
      <w:szCs w:val="22"/>
      <w:lang w:eastAsia="en-US"/>
    </w:rPr>
  </w:style>
  <w:style w:type="character" w:customStyle="1" w:styleId="apaks2Char">
    <w:name w:val="apaks2 Char"/>
    <w:basedOn w:val="DefaultParagraphFont"/>
    <w:link w:val="apaks2"/>
    <w:rsid w:val="008C5531"/>
    <w:rPr>
      <w:rFonts w:ascii="Times New Roman" w:hAnsi="Times New Roman"/>
      <w:b/>
      <w:sz w:val="24"/>
    </w:rPr>
  </w:style>
  <w:style w:type="paragraph" w:customStyle="1" w:styleId="saturs">
    <w:name w:val="saturs"/>
    <w:basedOn w:val="Normal"/>
    <w:link w:val="satursChar"/>
    <w:qFormat/>
    <w:rsid w:val="008C5531"/>
    <w:pPr>
      <w:spacing w:after="240" w:line="360" w:lineRule="auto"/>
      <w:jc w:val="center"/>
    </w:pPr>
    <w:rPr>
      <w:rFonts w:eastAsiaTheme="minorHAnsi" w:cstheme="minorBidi"/>
      <w:b/>
      <w:caps/>
      <w:color w:val="000000"/>
      <w:sz w:val="28"/>
      <w:szCs w:val="22"/>
      <w:lang w:eastAsia="en-US"/>
    </w:rPr>
  </w:style>
  <w:style w:type="character" w:customStyle="1" w:styleId="satursChar">
    <w:name w:val="saturs Char"/>
    <w:basedOn w:val="DefaultParagraphFont"/>
    <w:link w:val="saturs"/>
    <w:rsid w:val="008C5531"/>
    <w:rPr>
      <w:rFonts w:ascii="Times New Roman" w:hAnsi="Times New Roman"/>
      <w:b/>
      <w:caps/>
      <w:color w:val="000000"/>
      <w:sz w:val="28"/>
    </w:rPr>
  </w:style>
  <w:style w:type="character" w:customStyle="1" w:styleId="Heading1Char">
    <w:name w:val="Heading 1 Char"/>
    <w:basedOn w:val="DefaultParagraphFont"/>
    <w:link w:val="Heading1"/>
    <w:uiPriority w:val="99"/>
    <w:rsid w:val="008C5531"/>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9"/>
    <w:rsid w:val="008C5531"/>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rsid w:val="008C5531"/>
    <w:rPr>
      <w:rFonts w:asciiTheme="majorHAnsi" w:eastAsiaTheme="majorEastAsia" w:hAnsiTheme="majorHAnsi" w:cstheme="majorBidi"/>
      <w:b/>
      <w:bCs/>
      <w:color w:val="4F81BD" w:themeColor="accent1"/>
      <w:sz w:val="24"/>
    </w:rPr>
  </w:style>
  <w:style w:type="paragraph" w:styleId="Title">
    <w:name w:val="Title"/>
    <w:basedOn w:val="Normal"/>
    <w:link w:val="TitleChar"/>
    <w:uiPriority w:val="99"/>
    <w:qFormat/>
    <w:rsid w:val="008C5531"/>
    <w:pPr>
      <w:tabs>
        <w:tab w:val="left" w:pos="1843"/>
      </w:tabs>
      <w:ind w:firstLine="567"/>
      <w:jc w:val="center"/>
    </w:pPr>
    <w:rPr>
      <w:sz w:val="28"/>
      <w:szCs w:val="20"/>
      <w:lang w:val="en-US" w:eastAsia="en-US"/>
    </w:rPr>
  </w:style>
  <w:style w:type="character" w:customStyle="1" w:styleId="TitleChar">
    <w:name w:val="Title Char"/>
    <w:basedOn w:val="DefaultParagraphFont"/>
    <w:link w:val="Title"/>
    <w:uiPriority w:val="99"/>
    <w:rsid w:val="008C5531"/>
    <w:rPr>
      <w:rFonts w:ascii="Times New Roman" w:eastAsia="Times New Roman" w:hAnsi="Times New Roman" w:cs="Times New Roman"/>
      <w:sz w:val="28"/>
      <w:szCs w:val="20"/>
      <w:lang w:val="en-US"/>
    </w:rPr>
  </w:style>
  <w:style w:type="paragraph" w:styleId="Header">
    <w:name w:val="header"/>
    <w:basedOn w:val="Normal"/>
    <w:link w:val="HeaderChar"/>
    <w:rsid w:val="00DC689C"/>
    <w:pPr>
      <w:tabs>
        <w:tab w:val="center" w:pos="4153"/>
        <w:tab w:val="right" w:pos="8306"/>
      </w:tabs>
    </w:pPr>
  </w:style>
  <w:style w:type="character" w:customStyle="1" w:styleId="HeaderChar">
    <w:name w:val="Header Char"/>
    <w:basedOn w:val="DefaultParagraphFont"/>
    <w:link w:val="Header"/>
    <w:rsid w:val="00DC689C"/>
    <w:rPr>
      <w:rFonts w:ascii="Times New Roman" w:eastAsia="Times New Roman" w:hAnsi="Times New Roman" w:cs="Times New Roman"/>
      <w:sz w:val="24"/>
      <w:szCs w:val="24"/>
      <w:lang w:eastAsia="lv-LV"/>
    </w:rPr>
  </w:style>
  <w:style w:type="character" w:styleId="PageNumber">
    <w:name w:val="page number"/>
    <w:basedOn w:val="DefaultParagraphFont"/>
    <w:rsid w:val="00DC689C"/>
  </w:style>
  <w:style w:type="paragraph" w:customStyle="1" w:styleId="naisf">
    <w:name w:val="naisf"/>
    <w:basedOn w:val="Normal"/>
    <w:rsid w:val="00DC689C"/>
    <w:pPr>
      <w:spacing w:before="75" w:after="75"/>
      <w:ind w:firstLine="375"/>
      <w:jc w:val="both"/>
    </w:pPr>
  </w:style>
  <w:style w:type="paragraph" w:customStyle="1" w:styleId="naisnod">
    <w:name w:val="naisnod"/>
    <w:basedOn w:val="Normal"/>
    <w:rsid w:val="00DC689C"/>
    <w:pPr>
      <w:spacing w:before="150" w:after="150"/>
      <w:jc w:val="center"/>
    </w:pPr>
    <w:rPr>
      <w:b/>
      <w:bCs/>
    </w:rPr>
  </w:style>
  <w:style w:type="paragraph" w:customStyle="1" w:styleId="naislab">
    <w:name w:val="naislab"/>
    <w:basedOn w:val="Normal"/>
    <w:rsid w:val="00DC689C"/>
    <w:pPr>
      <w:spacing w:before="75" w:after="75"/>
      <w:jc w:val="right"/>
    </w:pPr>
  </w:style>
  <w:style w:type="paragraph" w:customStyle="1" w:styleId="naiskr">
    <w:name w:val="naiskr"/>
    <w:basedOn w:val="Normal"/>
    <w:rsid w:val="00DC689C"/>
    <w:pPr>
      <w:spacing w:before="75" w:after="75"/>
    </w:pPr>
  </w:style>
  <w:style w:type="paragraph" w:styleId="FootnoteText">
    <w:name w:val="footnote text"/>
    <w:basedOn w:val="Normal"/>
    <w:link w:val="FootnoteTextChar"/>
    <w:semiHidden/>
    <w:rsid w:val="00DC689C"/>
    <w:rPr>
      <w:sz w:val="20"/>
      <w:szCs w:val="20"/>
    </w:rPr>
  </w:style>
  <w:style w:type="character" w:customStyle="1" w:styleId="FootnoteTextChar">
    <w:name w:val="Footnote Text Char"/>
    <w:basedOn w:val="DefaultParagraphFont"/>
    <w:link w:val="FootnoteText"/>
    <w:semiHidden/>
    <w:rsid w:val="00DC689C"/>
    <w:rPr>
      <w:rFonts w:ascii="Times New Roman" w:eastAsia="Times New Roman" w:hAnsi="Times New Roman" w:cs="Times New Roman"/>
      <w:sz w:val="20"/>
      <w:szCs w:val="20"/>
      <w:lang w:eastAsia="lv-LV"/>
    </w:rPr>
  </w:style>
  <w:style w:type="paragraph" w:styleId="Footer">
    <w:name w:val="footer"/>
    <w:basedOn w:val="Normal"/>
    <w:link w:val="FooterChar"/>
    <w:rsid w:val="00DC689C"/>
    <w:pPr>
      <w:tabs>
        <w:tab w:val="center" w:pos="4153"/>
        <w:tab w:val="right" w:pos="8306"/>
      </w:tabs>
    </w:pPr>
  </w:style>
  <w:style w:type="character" w:customStyle="1" w:styleId="FooterChar">
    <w:name w:val="Footer Char"/>
    <w:basedOn w:val="DefaultParagraphFont"/>
    <w:link w:val="Footer"/>
    <w:rsid w:val="00DC689C"/>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E45A1"/>
    <w:rPr>
      <w:rFonts w:ascii="Tahoma" w:hAnsi="Tahoma" w:cs="Tahoma"/>
      <w:sz w:val="16"/>
      <w:szCs w:val="16"/>
    </w:rPr>
  </w:style>
  <w:style w:type="character" w:customStyle="1" w:styleId="BalloonTextChar">
    <w:name w:val="Balloon Text Char"/>
    <w:basedOn w:val="DefaultParagraphFont"/>
    <w:link w:val="BalloonText"/>
    <w:uiPriority w:val="99"/>
    <w:semiHidden/>
    <w:rsid w:val="00AE45A1"/>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A75B3A"/>
    <w:rPr>
      <w:sz w:val="16"/>
      <w:szCs w:val="16"/>
    </w:rPr>
  </w:style>
  <w:style w:type="paragraph" w:styleId="CommentText">
    <w:name w:val="annotation text"/>
    <w:basedOn w:val="Normal"/>
    <w:link w:val="CommentTextChar"/>
    <w:uiPriority w:val="99"/>
    <w:semiHidden/>
    <w:unhideWhenUsed/>
    <w:rsid w:val="00A75B3A"/>
    <w:rPr>
      <w:sz w:val="20"/>
      <w:szCs w:val="20"/>
    </w:rPr>
  </w:style>
  <w:style w:type="character" w:customStyle="1" w:styleId="CommentTextChar">
    <w:name w:val="Comment Text Char"/>
    <w:basedOn w:val="DefaultParagraphFont"/>
    <w:link w:val="CommentText"/>
    <w:uiPriority w:val="99"/>
    <w:semiHidden/>
    <w:rsid w:val="00A75B3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75B3A"/>
    <w:rPr>
      <w:b/>
      <w:bCs/>
    </w:rPr>
  </w:style>
  <w:style w:type="character" w:customStyle="1" w:styleId="CommentSubjectChar">
    <w:name w:val="Comment Subject Char"/>
    <w:basedOn w:val="CommentTextChar"/>
    <w:link w:val="CommentSubject"/>
    <w:uiPriority w:val="99"/>
    <w:semiHidden/>
    <w:rsid w:val="00A75B3A"/>
    <w:rPr>
      <w:rFonts w:ascii="Times New Roman" w:eastAsia="Times New Roman" w:hAnsi="Times New Roman" w:cs="Times New Roman"/>
      <w:b/>
      <w:bCs/>
      <w:sz w:val="20"/>
      <w:szCs w:val="20"/>
      <w:lang w:eastAsia="lv-LV"/>
    </w:rPr>
  </w:style>
  <w:style w:type="character" w:customStyle="1" w:styleId="tvhtml">
    <w:name w:val="tv_html"/>
    <w:rsid w:val="002B54B3"/>
  </w:style>
  <w:style w:type="character" w:styleId="Hyperlink">
    <w:name w:val="Hyperlink"/>
    <w:basedOn w:val="DefaultParagraphFont"/>
    <w:uiPriority w:val="99"/>
    <w:unhideWhenUsed/>
    <w:rsid w:val="0050281A"/>
    <w:rPr>
      <w:color w:val="0000FF" w:themeColor="hyperlink"/>
      <w:u w:val="single"/>
    </w:rPr>
  </w:style>
  <w:style w:type="character" w:styleId="FootnoteReference">
    <w:name w:val="footnote reference"/>
    <w:basedOn w:val="DefaultParagraphFont"/>
    <w:uiPriority w:val="99"/>
    <w:semiHidden/>
    <w:unhideWhenUsed/>
    <w:rsid w:val="00F64EE9"/>
    <w:rPr>
      <w:vertAlign w:val="superscript"/>
    </w:rPr>
  </w:style>
  <w:style w:type="table" w:styleId="TableGrid">
    <w:name w:val="Table Grid"/>
    <w:basedOn w:val="TableNormal"/>
    <w:uiPriority w:val="59"/>
    <w:rsid w:val="00B25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65B"/>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D929D1"/>
    <w:rPr>
      <w:rFonts w:ascii="Calibri" w:eastAsiaTheme="minorHAnsi" w:hAnsi="Calibri" w:cstheme="minorBidi"/>
      <w:color w:val="1F497D"/>
      <w:sz w:val="22"/>
      <w:szCs w:val="21"/>
      <w:lang w:eastAsia="en-US"/>
    </w:rPr>
  </w:style>
  <w:style w:type="character" w:customStyle="1" w:styleId="PlainTextChar">
    <w:name w:val="Plain Text Char"/>
    <w:basedOn w:val="DefaultParagraphFont"/>
    <w:link w:val="PlainText"/>
    <w:uiPriority w:val="99"/>
    <w:semiHidden/>
    <w:rsid w:val="00D929D1"/>
    <w:rPr>
      <w:rFonts w:ascii="Calibri" w:hAnsi="Calibri"/>
      <w:color w:val="1F497D"/>
      <w:szCs w:val="21"/>
    </w:rPr>
  </w:style>
  <w:style w:type="character" w:styleId="FollowedHyperlink">
    <w:name w:val="FollowedHyperlink"/>
    <w:basedOn w:val="DefaultParagraphFont"/>
    <w:uiPriority w:val="99"/>
    <w:semiHidden/>
    <w:unhideWhenUsed/>
    <w:rsid w:val="00D872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45830">
      <w:bodyDiv w:val="1"/>
      <w:marLeft w:val="0"/>
      <w:marRight w:val="0"/>
      <w:marTop w:val="0"/>
      <w:marBottom w:val="0"/>
      <w:divBdr>
        <w:top w:val="none" w:sz="0" w:space="0" w:color="auto"/>
        <w:left w:val="none" w:sz="0" w:space="0" w:color="auto"/>
        <w:bottom w:val="none" w:sz="0" w:space="0" w:color="auto"/>
        <w:right w:val="none" w:sz="0" w:space="0" w:color="auto"/>
      </w:divBdr>
    </w:div>
    <w:div w:id="262344329">
      <w:bodyDiv w:val="1"/>
      <w:marLeft w:val="0"/>
      <w:marRight w:val="0"/>
      <w:marTop w:val="0"/>
      <w:marBottom w:val="0"/>
      <w:divBdr>
        <w:top w:val="none" w:sz="0" w:space="0" w:color="auto"/>
        <w:left w:val="none" w:sz="0" w:space="0" w:color="auto"/>
        <w:bottom w:val="none" w:sz="0" w:space="0" w:color="auto"/>
        <w:right w:val="none" w:sz="0" w:space="0" w:color="auto"/>
      </w:divBdr>
    </w:div>
    <w:div w:id="278341912">
      <w:bodyDiv w:val="1"/>
      <w:marLeft w:val="0"/>
      <w:marRight w:val="0"/>
      <w:marTop w:val="0"/>
      <w:marBottom w:val="0"/>
      <w:divBdr>
        <w:top w:val="none" w:sz="0" w:space="0" w:color="auto"/>
        <w:left w:val="none" w:sz="0" w:space="0" w:color="auto"/>
        <w:bottom w:val="none" w:sz="0" w:space="0" w:color="auto"/>
        <w:right w:val="none" w:sz="0" w:space="0" w:color="auto"/>
      </w:divBdr>
    </w:div>
    <w:div w:id="376784132">
      <w:bodyDiv w:val="1"/>
      <w:marLeft w:val="0"/>
      <w:marRight w:val="0"/>
      <w:marTop w:val="0"/>
      <w:marBottom w:val="0"/>
      <w:divBdr>
        <w:top w:val="none" w:sz="0" w:space="0" w:color="auto"/>
        <w:left w:val="none" w:sz="0" w:space="0" w:color="auto"/>
        <w:bottom w:val="none" w:sz="0" w:space="0" w:color="auto"/>
        <w:right w:val="none" w:sz="0" w:space="0" w:color="auto"/>
      </w:divBdr>
    </w:div>
    <w:div w:id="411901815">
      <w:bodyDiv w:val="1"/>
      <w:marLeft w:val="0"/>
      <w:marRight w:val="0"/>
      <w:marTop w:val="0"/>
      <w:marBottom w:val="0"/>
      <w:divBdr>
        <w:top w:val="none" w:sz="0" w:space="0" w:color="auto"/>
        <w:left w:val="none" w:sz="0" w:space="0" w:color="auto"/>
        <w:bottom w:val="none" w:sz="0" w:space="0" w:color="auto"/>
        <w:right w:val="none" w:sz="0" w:space="0" w:color="auto"/>
      </w:divBdr>
    </w:div>
    <w:div w:id="457915304">
      <w:bodyDiv w:val="1"/>
      <w:marLeft w:val="0"/>
      <w:marRight w:val="0"/>
      <w:marTop w:val="0"/>
      <w:marBottom w:val="0"/>
      <w:divBdr>
        <w:top w:val="none" w:sz="0" w:space="0" w:color="auto"/>
        <w:left w:val="none" w:sz="0" w:space="0" w:color="auto"/>
        <w:bottom w:val="none" w:sz="0" w:space="0" w:color="auto"/>
        <w:right w:val="none" w:sz="0" w:space="0" w:color="auto"/>
      </w:divBdr>
    </w:div>
    <w:div w:id="521017832">
      <w:bodyDiv w:val="1"/>
      <w:marLeft w:val="0"/>
      <w:marRight w:val="0"/>
      <w:marTop w:val="0"/>
      <w:marBottom w:val="0"/>
      <w:divBdr>
        <w:top w:val="none" w:sz="0" w:space="0" w:color="auto"/>
        <w:left w:val="none" w:sz="0" w:space="0" w:color="auto"/>
        <w:bottom w:val="none" w:sz="0" w:space="0" w:color="auto"/>
        <w:right w:val="none" w:sz="0" w:space="0" w:color="auto"/>
      </w:divBdr>
    </w:div>
    <w:div w:id="583610946">
      <w:bodyDiv w:val="1"/>
      <w:marLeft w:val="0"/>
      <w:marRight w:val="0"/>
      <w:marTop w:val="0"/>
      <w:marBottom w:val="0"/>
      <w:divBdr>
        <w:top w:val="none" w:sz="0" w:space="0" w:color="auto"/>
        <w:left w:val="none" w:sz="0" w:space="0" w:color="auto"/>
        <w:bottom w:val="none" w:sz="0" w:space="0" w:color="auto"/>
        <w:right w:val="none" w:sz="0" w:space="0" w:color="auto"/>
      </w:divBdr>
    </w:div>
    <w:div w:id="610745275">
      <w:bodyDiv w:val="1"/>
      <w:marLeft w:val="0"/>
      <w:marRight w:val="0"/>
      <w:marTop w:val="0"/>
      <w:marBottom w:val="0"/>
      <w:divBdr>
        <w:top w:val="none" w:sz="0" w:space="0" w:color="auto"/>
        <w:left w:val="none" w:sz="0" w:space="0" w:color="auto"/>
        <w:bottom w:val="none" w:sz="0" w:space="0" w:color="auto"/>
        <w:right w:val="none" w:sz="0" w:space="0" w:color="auto"/>
      </w:divBdr>
    </w:div>
    <w:div w:id="764612786">
      <w:bodyDiv w:val="1"/>
      <w:marLeft w:val="0"/>
      <w:marRight w:val="0"/>
      <w:marTop w:val="0"/>
      <w:marBottom w:val="0"/>
      <w:divBdr>
        <w:top w:val="none" w:sz="0" w:space="0" w:color="auto"/>
        <w:left w:val="none" w:sz="0" w:space="0" w:color="auto"/>
        <w:bottom w:val="none" w:sz="0" w:space="0" w:color="auto"/>
        <w:right w:val="none" w:sz="0" w:space="0" w:color="auto"/>
      </w:divBdr>
    </w:div>
    <w:div w:id="779687845">
      <w:bodyDiv w:val="1"/>
      <w:marLeft w:val="0"/>
      <w:marRight w:val="0"/>
      <w:marTop w:val="0"/>
      <w:marBottom w:val="0"/>
      <w:divBdr>
        <w:top w:val="none" w:sz="0" w:space="0" w:color="auto"/>
        <w:left w:val="none" w:sz="0" w:space="0" w:color="auto"/>
        <w:bottom w:val="none" w:sz="0" w:space="0" w:color="auto"/>
        <w:right w:val="none" w:sz="0" w:space="0" w:color="auto"/>
      </w:divBdr>
    </w:div>
    <w:div w:id="1176770057">
      <w:bodyDiv w:val="1"/>
      <w:marLeft w:val="0"/>
      <w:marRight w:val="0"/>
      <w:marTop w:val="0"/>
      <w:marBottom w:val="0"/>
      <w:divBdr>
        <w:top w:val="none" w:sz="0" w:space="0" w:color="auto"/>
        <w:left w:val="none" w:sz="0" w:space="0" w:color="auto"/>
        <w:bottom w:val="none" w:sz="0" w:space="0" w:color="auto"/>
        <w:right w:val="none" w:sz="0" w:space="0" w:color="auto"/>
      </w:divBdr>
      <w:divsChild>
        <w:div w:id="1393699968">
          <w:marLeft w:val="0"/>
          <w:marRight w:val="0"/>
          <w:marTop w:val="0"/>
          <w:marBottom w:val="0"/>
          <w:divBdr>
            <w:top w:val="none" w:sz="0" w:space="0" w:color="auto"/>
            <w:left w:val="none" w:sz="0" w:space="0" w:color="auto"/>
            <w:bottom w:val="none" w:sz="0" w:space="0" w:color="auto"/>
            <w:right w:val="none" w:sz="0" w:space="0" w:color="auto"/>
          </w:divBdr>
          <w:divsChild>
            <w:div w:id="1877960503">
              <w:marLeft w:val="0"/>
              <w:marRight w:val="0"/>
              <w:marTop w:val="0"/>
              <w:marBottom w:val="0"/>
              <w:divBdr>
                <w:top w:val="none" w:sz="0" w:space="0" w:color="auto"/>
                <w:left w:val="none" w:sz="0" w:space="0" w:color="auto"/>
                <w:bottom w:val="none" w:sz="0" w:space="0" w:color="auto"/>
                <w:right w:val="none" w:sz="0" w:space="0" w:color="auto"/>
              </w:divBdr>
              <w:divsChild>
                <w:div w:id="1152868085">
                  <w:marLeft w:val="0"/>
                  <w:marRight w:val="0"/>
                  <w:marTop w:val="0"/>
                  <w:marBottom w:val="0"/>
                  <w:divBdr>
                    <w:top w:val="none" w:sz="0" w:space="0" w:color="auto"/>
                    <w:left w:val="none" w:sz="0" w:space="0" w:color="auto"/>
                    <w:bottom w:val="none" w:sz="0" w:space="0" w:color="auto"/>
                    <w:right w:val="none" w:sz="0" w:space="0" w:color="auto"/>
                  </w:divBdr>
                  <w:divsChild>
                    <w:div w:id="1646468160">
                      <w:marLeft w:val="0"/>
                      <w:marRight w:val="0"/>
                      <w:marTop w:val="0"/>
                      <w:marBottom w:val="0"/>
                      <w:divBdr>
                        <w:top w:val="none" w:sz="0" w:space="0" w:color="auto"/>
                        <w:left w:val="none" w:sz="0" w:space="0" w:color="auto"/>
                        <w:bottom w:val="none" w:sz="0" w:space="0" w:color="auto"/>
                        <w:right w:val="none" w:sz="0" w:space="0" w:color="auto"/>
                      </w:divBdr>
                      <w:divsChild>
                        <w:div w:id="191387615">
                          <w:marLeft w:val="0"/>
                          <w:marRight w:val="0"/>
                          <w:marTop w:val="0"/>
                          <w:marBottom w:val="0"/>
                          <w:divBdr>
                            <w:top w:val="none" w:sz="0" w:space="0" w:color="auto"/>
                            <w:left w:val="none" w:sz="0" w:space="0" w:color="auto"/>
                            <w:bottom w:val="none" w:sz="0" w:space="0" w:color="auto"/>
                            <w:right w:val="none" w:sz="0" w:space="0" w:color="auto"/>
                          </w:divBdr>
                          <w:divsChild>
                            <w:div w:id="14022110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778718">
      <w:bodyDiv w:val="1"/>
      <w:marLeft w:val="0"/>
      <w:marRight w:val="0"/>
      <w:marTop w:val="0"/>
      <w:marBottom w:val="0"/>
      <w:divBdr>
        <w:top w:val="none" w:sz="0" w:space="0" w:color="auto"/>
        <w:left w:val="none" w:sz="0" w:space="0" w:color="auto"/>
        <w:bottom w:val="none" w:sz="0" w:space="0" w:color="auto"/>
        <w:right w:val="none" w:sz="0" w:space="0" w:color="auto"/>
      </w:divBdr>
    </w:div>
    <w:div w:id="1413045316">
      <w:bodyDiv w:val="1"/>
      <w:marLeft w:val="0"/>
      <w:marRight w:val="0"/>
      <w:marTop w:val="0"/>
      <w:marBottom w:val="0"/>
      <w:divBdr>
        <w:top w:val="none" w:sz="0" w:space="0" w:color="auto"/>
        <w:left w:val="none" w:sz="0" w:space="0" w:color="auto"/>
        <w:bottom w:val="none" w:sz="0" w:space="0" w:color="auto"/>
        <w:right w:val="none" w:sz="0" w:space="0" w:color="auto"/>
      </w:divBdr>
    </w:div>
    <w:div w:id="1567181214">
      <w:bodyDiv w:val="1"/>
      <w:marLeft w:val="0"/>
      <w:marRight w:val="0"/>
      <w:marTop w:val="0"/>
      <w:marBottom w:val="0"/>
      <w:divBdr>
        <w:top w:val="none" w:sz="0" w:space="0" w:color="auto"/>
        <w:left w:val="none" w:sz="0" w:space="0" w:color="auto"/>
        <w:bottom w:val="none" w:sz="0" w:space="0" w:color="auto"/>
        <w:right w:val="none" w:sz="0" w:space="0" w:color="auto"/>
      </w:divBdr>
    </w:div>
    <w:div w:id="1567763390">
      <w:bodyDiv w:val="1"/>
      <w:marLeft w:val="0"/>
      <w:marRight w:val="0"/>
      <w:marTop w:val="0"/>
      <w:marBottom w:val="0"/>
      <w:divBdr>
        <w:top w:val="none" w:sz="0" w:space="0" w:color="auto"/>
        <w:left w:val="none" w:sz="0" w:space="0" w:color="auto"/>
        <w:bottom w:val="none" w:sz="0" w:space="0" w:color="auto"/>
        <w:right w:val="none" w:sz="0" w:space="0" w:color="auto"/>
      </w:divBdr>
    </w:div>
    <w:div w:id="1619870301">
      <w:bodyDiv w:val="1"/>
      <w:marLeft w:val="0"/>
      <w:marRight w:val="0"/>
      <w:marTop w:val="0"/>
      <w:marBottom w:val="0"/>
      <w:divBdr>
        <w:top w:val="none" w:sz="0" w:space="0" w:color="auto"/>
        <w:left w:val="none" w:sz="0" w:space="0" w:color="auto"/>
        <w:bottom w:val="none" w:sz="0" w:space="0" w:color="auto"/>
        <w:right w:val="none" w:sz="0" w:space="0" w:color="auto"/>
      </w:divBdr>
    </w:div>
    <w:div w:id="1857035672">
      <w:bodyDiv w:val="1"/>
      <w:marLeft w:val="0"/>
      <w:marRight w:val="0"/>
      <w:marTop w:val="0"/>
      <w:marBottom w:val="0"/>
      <w:divBdr>
        <w:top w:val="none" w:sz="0" w:space="0" w:color="auto"/>
        <w:left w:val="none" w:sz="0" w:space="0" w:color="auto"/>
        <w:bottom w:val="none" w:sz="0" w:space="0" w:color="auto"/>
        <w:right w:val="none" w:sz="0" w:space="0" w:color="auto"/>
      </w:divBdr>
    </w:div>
    <w:div w:id="1933778621">
      <w:bodyDiv w:val="1"/>
      <w:marLeft w:val="0"/>
      <w:marRight w:val="0"/>
      <w:marTop w:val="0"/>
      <w:marBottom w:val="0"/>
      <w:divBdr>
        <w:top w:val="none" w:sz="0" w:space="0" w:color="auto"/>
        <w:left w:val="none" w:sz="0" w:space="0" w:color="auto"/>
        <w:bottom w:val="none" w:sz="0" w:space="0" w:color="auto"/>
        <w:right w:val="none" w:sz="0" w:space="0" w:color="auto"/>
      </w:divBdr>
    </w:div>
    <w:div w:id="212438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124833-noteikumi-par-budzetu-izdevumu-klasifikaciju-atbilstosi-ekonomiskajam-kategorija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kumi.lv/ta/id/65544-par-latvijas-bank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k.gov.lv/content/ministru-kabineta-diskusiju-dokument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65544-par-latvijas-banku" TargetMode="External"/><Relationship Id="rId5" Type="http://schemas.openxmlformats.org/officeDocument/2006/relationships/numbering" Target="numbering.xml"/><Relationship Id="rId15" Type="http://schemas.openxmlformats.org/officeDocument/2006/relationships/hyperlink" Target="https://www.fm.gov.lv/lv/sabiedribas_lidzdaliba/tiesibu_aktu_projekti/valsts_budzeta_politik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m.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Vad_x012b_t_x0101_js xmlns="2e5bb04e-596e-45bd-9003-43ca78b1ba16">L.Jevčuka (BPAD)</Vad_x012b_t_x0101_js>
    <TAP xmlns="8a8406e0-fd3e-4c97-9c6b-df4e1c510b77">88</TAP>
    <Kategorija xmlns="2e5bb04e-596e-45bd-9003-43ca78b1ba16">Anotācija</Kategorij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43AAD-3B88-4510-8C4A-6B36D8C46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73109-AE00-49DF-89CA-B86A224F4146}">
  <ds:schemaRefs>
    <ds:schemaRef ds:uri="http://schemas.microsoft.com/sharepoint/v3/contenttype/forms"/>
  </ds:schemaRefs>
</ds:datastoreItem>
</file>

<file path=customXml/itemProps3.xml><?xml version="1.0" encoding="utf-8"?>
<ds:datastoreItem xmlns:ds="http://schemas.openxmlformats.org/officeDocument/2006/customXml" ds:itemID="{D8A896D3-F1C0-47DF-84FD-01D246966911}">
  <ds:schemaRefs>
    <ds:schemaRef ds:uri="http://schemas.microsoft.com/office/2006/metadata/properties"/>
    <ds:schemaRef ds:uri="2e5bb04e-596e-45bd-9003-43ca78b1ba16"/>
    <ds:schemaRef ds:uri="8a8406e0-fd3e-4c97-9c6b-df4e1c510b77"/>
  </ds:schemaRefs>
</ds:datastoreItem>
</file>

<file path=customXml/itemProps4.xml><?xml version="1.0" encoding="utf-8"?>
<ds:datastoreItem xmlns:ds="http://schemas.openxmlformats.org/officeDocument/2006/customXml" ds:itemID="{5A2917E1-2223-4791-BA72-033BA419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14678</Words>
  <Characters>8368</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Anotācija MK noteikumu projekts "Grozījumi Ministru kabineta 2005.gada 27.decembra noteikumos Nr.1032 „Noteikumi par budžetu ieņēmumu klasifikāciju”"</vt:lpstr>
    </vt:vector>
  </TitlesOfParts>
  <Company>Finanšu ministrija</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 MK noteikumu projekts "Grozījumi Ministru kabineta 2005.gada 27.decembra noteikumos Nr.1032 „Noteikumi par budžetu ieņēmumu klasifikāciju”"</dc:title>
  <dc:subject>Anotācija</dc:subject>
  <dc:creator>I.Liepiņa (BPAD)</dc:creator>
  <cp:keywords>Anotācija</cp:keywords>
  <dc:description>67095455, inga.liepina@fm.gov.lv</dc:description>
  <cp:lastModifiedBy>Inguna Dancīte</cp:lastModifiedBy>
  <cp:revision>2</cp:revision>
  <cp:lastPrinted>2020-07-01T12:51:00Z</cp:lastPrinted>
  <dcterms:created xsi:type="dcterms:W3CDTF">2020-08-10T10:45:00Z</dcterms:created>
  <dcterms:modified xsi:type="dcterms:W3CDTF">2020-08-10T10:45:00Z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