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3CE2D" w14:textId="77777777" w:rsidR="00196665" w:rsidRPr="00D11952" w:rsidRDefault="00196665" w:rsidP="00196665">
      <w:pPr>
        <w:pStyle w:val="naislab"/>
        <w:spacing w:before="0" w:after="0"/>
        <w:ind w:firstLine="720"/>
        <w:jc w:val="center"/>
        <w:rPr>
          <w:b/>
        </w:rPr>
      </w:pPr>
      <w:bookmarkStart w:id="0" w:name="_GoBack"/>
      <w:bookmarkEnd w:id="0"/>
      <w:r w:rsidRPr="00D11952">
        <w:rPr>
          <w:b/>
        </w:rPr>
        <w:t>Ministru Kabineta noteikumu projekta “Grozījumi Ministru kabineta 2001.gada 30.aprīļa noteikumos Nr.178 “Kārtība, kādā piemērojami starptautiskajos līgumos par nodokļu dubultās uzlikšanas un nodokļu nemaksāšanas novēršanu noteiktie nodokļu atvieglojumi”” sākotnējās ietekmes novērtējuma ziņojums (anotācija)</w:t>
      </w:r>
    </w:p>
    <w:p w14:paraId="6EE982A4" w14:textId="77777777" w:rsidR="00196665" w:rsidRDefault="00196665" w:rsidP="00196665">
      <w:pPr>
        <w:spacing w:line="270" w:lineRule="atLeast"/>
        <w:jc w:val="center"/>
        <w:rPr>
          <w:rStyle w:val="apple-style-span"/>
        </w:rPr>
      </w:pPr>
    </w:p>
    <w:p w14:paraId="0F45B5CF" w14:textId="77777777" w:rsidR="00A56ABA" w:rsidRDefault="00A56ABA" w:rsidP="0076737D">
      <w:pPr>
        <w:spacing w:line="270" w:lineRule="atLeast"/>
        <w:rPr>
          <w:rStyle w:val="apple-style-span"/>
        </w:rPr>
      </w:pPr>
      <w:r>
        <w:rPr>
          <w:rStyle w:val="apple-style-span"/>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59"/>
        <w:gridCol w:w="5165"/>
      </w:tblGrid>
      <w:tr w:rsidR="0076209D" w14:paraId="38C371C1" w14:textId="77777777" w:rsidTr="0076209D">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B997252" w14:textId="77777777" w:rsidR="0076209D" w:rsidRDefault="0076209D">
            <w:pPr>
              <w:rPr>
                <w:b/>
                <w:bCs/>
                <w:iCs/>
              </w:rPr>
            </w:pPr>
            <w:r>
              <w:rPr>
                <w:b/>
                <w:bCs/>
                <w:iCs/>
              </w:rPr>
              <w:t>Tiesību akta projekta anotācijas kopsavilkums</w:t>
            </w:r>
          </w:p>
        </w:tc>
      </w:tr>
      <w:tr w:rsidR="0076209D" w14:paraId="20DDC0E0" w14:textId="77777777" w:rsidTr="0076209D">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3CEFDB45" w14:textId="77777777" w:rsidR="0076209D" w:rsidRDefault="0076209D">
            <w:pPr>
              <w:rPr>
                <w:iCs/>
              </w:rPr>
            </w:pPr>
            <w:r>
              <w:rPr>
                <w:iCs/>
              </w:rPr>
              <w:t>Mērķis, risinājums un projekta spēkā stāšanās laiks (500 zīmes bez atstarpēm)</w:t>
            </w:r>
          </w:p>
        </w:tc>
        <w:tc>
          <w:tcPr>
            <w:tcW w:w="2970" w:type="pct"/>
            <w:tcBorders>
              <w:top w:val="outset" w:sz="6" w:space="0" w:color="auto"/>
              <w:left w:val="outset" w:sz="6" w:space="0" w:color="auto"/>
              <w:bottom w:val="outset" w:sz="6" w:space="0" w:color="auto"/>
              <w:right w:val="outset" w:sz="6" w:space="0" w:color="auto"/>
            </w:tcBorders>
            <w:hideMark/>
          </w:tcPr>
          <w:p w14:paraId="7517EA9D" w14:textId="63722F08" w:rsidR="000A7D86" w:rsidRDefault="0076737D" w:rsidP="00E4431A">
            <w:pPr>
              <w:jc w:val="both"/>
            </w:pPr>
            <w:r>
              <w:rPr>
                <w:rFonts w:eastAsia="Calibri"/>
              </w:rPr>
              <w:t>Ministru kabineta noteikumu projekts</w:t>
            </w:r>
            <w:r w:rsidR="0076209D">
              <w:rPr>
                <w:rFonts w:eastAsia="Calibri"/>
              </w:rPr>
              <w:t xml:space="preserve"> </w:t>
            </w:r>
            <w:r w:rsidRPr="0076737D">
              <w:rPr>
                <w:rFonts w:eastAsia="Calibri"/>
              </w:rPr>
              <w:t xml:space="preserve">“Grozījumi Ministru kabineta 2001.gada 30.aprīļa noteikumos Nr.178 “Kārtība, kādā piemērojami starptautiskajos līgumos par nodokļu dubultās uzlikšanas un nodokļu nemaksāšanas novēršanu noteiktie nodokļu atvieglojumi” </w:t>
            </w:r>
            <w:r w:rsidR="0076209D">
              <w:rPr>
                <w:rFonts w:eastAsia="Calibri"/>
              </w:rPr>
              <w:t xml:space="preserve">(turpmāk – projekts) </w:t>
            </w:r>
            <w:r w:rsidR="000A7A88">
              <w:t>paredz</w:t>
            </w:r>
            <w:r w:rsidR="0076209D">
              <w:t xml:space="preserve"> </w:t>
            </w:r>
            <w:r w:rsidR="000A7A88">
              <w:t>nodokļu atvieglojumu apliecību, atmaksāšanas apliecību, pastāvīgās pārstāvniecības nereģistrēšanas apliecību un rezidenta</w:t>
            </w:r>
            <w:r w:rsidR="000A7A88" w:rsidRPr="004D064A">
              <w:t xml:space="preserve"> apliecību</w:t>
            </w:r>
            <w:r w:rsidR="000A7A88">
              <w:t xml:space="preserve"> </w:t>
            </w:r>
            <w:r w:rsidR="000A7D86">
              <w:t>iesniegšanas termiņu un i</w:t>
            </w:r>
            <w:r w:rsidR="003E703C">
              <w:t>zskatīšanas kārtības precizēšanu</w:t>
            </w:r>
            <w:r w:rsidR="000A7D86">
              <w:t xml:space="preserve">, </w:t>
            </w:r>
            <w:r w:rsidR="000A7D86" w:rsidRPr="004D064A">
              <w:t>pieprasīšanas un saņemšanas procesa</w:t>
            </w:r>
            <w:r w:rsidR="000A7D86">
              <w:t xml:space="preserve"> paātrināšanu un</w:t>
            </w:r>
            <w:r w:rsidR="000A7D86" w:rsidRPr="004D064A">
              <w:t xml:space="preserve"> v</w:t>
            </w:r>
            <w:r w:rsidR="000A7D86">
              <w:t>ienkāršošanu.</w:t>
            </w:r>
          </w:p>
          <w:p w14:paraId="35733C51" w14:textId="5A32C4A6" w:rsidR="0076209D" w:rsidRDefault="000A7D86" w:rsidP="003A6A1F">
            <w:pPr>
              <w:jc w:val="both"/>
              <w:rPr>
                <w:iCs/>
                <w:u w:val="single"/>
              </w:rPr>
            </w:pPr>
            <w:r>
              <w:t>Pr</w:t>
            </w:r>
            <w:r w:rsidR="0076209D">
              <w:t xml:space="preserve">ojekts stājas spēkā </w:t>
            </w:r>
            <w:r w:rsidR="00D60607">
              <w:t xml:space="preserve">vispārējā kārtībā. </w:t>
            </w:r>
          </w:p>
        </w:tc>
      </w:tr>
    </w:tbl>
    <w:p w14:paraId="005C6CCB" w14:textId="77777777" w:rsidR="00A56ABA" w:rsidRPr="000D0F9C" w:rsidRDefault="00A56ABA" w:rsidP="00196665">
      <w:pPr>
        <w:spacing w:line="270" w:lineRule="atLeast"/>
        <w:jc w:val="center"/>
        <w:rPr>
          <w:rStyle w:val="apple-style-span"/>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2742"/>
        <w:gridCol w:w="5323"/>
      </w:tblGrid>
      <w:tr w:rsidR="00196665" w:rsidRPr="000D0F9C" w14:paraId="7608A983" w14:textId="77777777" w:rsidTr="009160CE">
        <w:trPr>
          <w:trHeight w:val="427"/>
        </w:trPr>
        <w:tc>
          <w:tcPr>
            <w:tcW w:w="8970" w:type="dxa"/>
            <w:gridSpan w:val="3"/>
            <w:hideMark/>
          </w:tcPr>
          <w:p w14:paraId="74C649C3" w14:textId="77777777" w:rsidR="00196665" w:rsidRPr="000D0F9C" w:rsidRDefault="00196665" w:rsidP="009160CE">
            <w:pPr>
              <w:numPr>
                <w:ilvl w:val="0"/>
                <w:numId w:val="1"/>
              </w:numPr>
              <w:jc w:val="center"/>
              <w:rPr>
                <w:b/>
                <w:bCs/>
              </w:rPr>
            </w:pPr>
            <w:r w:rsidRPr="000D0F9C">
              <w:rPr>
                <w:b/>
                <w:bCs/>
              </w:rPr>
              <w:t>Tiesību akta projekta izstrādes nepieciešamība</w:t>
            </w:r>
          </w:p>
        </w:tc>
      </w:tr>
      <w:tr w:rsidR="00196665" w:rsidRPr="000D0F9C" w14:paraId="0A990B3F" w14:textId="77777777" w:rsidTr="009160CE">
        <w:tc>
          <w:tcPr>
            <w:tcW w:w="488" w:type="dxa"/>
            <w:hideMark/>
          </w:tcPr>
          <w:p w14:paraId="455BEF90" w14:textId="77777777" w:rsidR="00196665" w:rsidRPr="000D0F9C" w:rsidRDefault="00196665" w:rsidP="009160CE">
            <w:r w:rsidRPr="000D0F9C">
              <w:t>1.</w:t>
            </w:r>
          </w:p>
        </w:tc>
        <w:tc>
          <w:tcPr>
            <w:tcW w:w="2891" w:type="dxa"/>
            <w:hideMark/>
          </w:tcPr>
          <w:p w14:paraId="73025395" w14:textId="77777777" w:rsidR="00196665" w:rsidRPr="000D0F9C" w:rsidRDefault="00196665" w:rsidP="009160CE">
            <w:r w:rsidRPr="000D0F9C">
              <w:t>Pamatojums</w:t>
            </w:r>
          </w:p>
        </w:tc>
        <w:tc>
          <w:tcPr>
            <w:tcW w:w="5591" w:type="dxa"/>
            <w:hideMark/>
          </w:tcPr>
          <w:p w14:paraId="2376409A" w14:textId="705A4BAC" w:rsidR="00196665" w:rsidRPr="000D0F9C" w:rsidRDefault="00196665" w:rsidP="000A7D86">
            <w:pPr>
              <w:jc w:val="both"/>
            </w:pPr>
            <w:r>
              <w:t>2019.gada 7.maija “Valdības rīcības plāns Deklarācijas par Artura Krišjāņa Kariņa vadītā Ministru kabineta iecerēto darbību īstenošanai” nodokļu politikas rīcības jomā, kas paredz pilnveidot</w:t>
            </w:r>
            <w:r w:rsidRPr="003808B6">
              <w:t xml:space="preserve"> nodokļu adm</w:t>
            </w:r>
            <w:r>
              <w:t>inistrēšanas procesu un mazināt</w:t>
            </w:r>
            <w:r w:rsidRPr="003808B6">
              <w:t xml:space="preserve"> administratīvo slogu, veicinot informācijas apmaiņu ar Valsts ieņēmumu dienestu</w:t>
            </w:r>
            <w:r>
              <w:t xml:space="preserve"> (turpmāk - VID)</w:t>
            </w:r>
            <w:r w:rsidRPr="003808B6">
              <w:t xml:space="preserve"> elektroniskā veid</w:t>
            </w:r>
            <w:r>
              <w:t>ā.</w:t>
            </w:r>
          </w:p>
        </w:tc>
      </w:tr>
      <w:tr w:rsidR="00196665" w:rsidRPr="00AF3704" w14:paraId="6ADDBDEE" w14:textId="77777777" w:rsidTr="009160CE">
        <w:tc>
          <w:tcPr>
            <w:tcW w:w="488" w:type="dxa"/>
            <w:hideMark/>
          </w:tcPr>
          <w:p w14:paraId="2C512550" w14:textId="77777777" w:rsidR="00196665" w:rsidRPr="000D0F9C" w:rsidRDefault="00196665" w:rsidP="009160CE">
            <w:r w:rsidRPr="000D0F9C">
              <w:t>2.</w:t>
            </w:r>
          </w:p>
        </w:tc>
        <w:tc>
          <w:tcPr>
            <w:tcW w:w="2891" w:type="dxa"/>
            <w:hideMark/>
          </w:tcPr>
          <w:p w14:paraId="40113518" w14:textId="77777777" w:rsidR="00196665" w:rsidRPr="000D0F9C" w:rsidRDefault="00196665" w:rsidP="009160CE">
            <w:r w:rsidRPr="000D0F9C">
              <w:t>Pašreizējā situācija un problēmas, kuru risināšanai tiesību akta projekts izstrādāts, tiesiskā regulējuma mērķis un būtība</w:t>
            </w:r>
          </w:p>
        </w:tc>
        <w:tc>
          <w:tcPr>
            <w:tcW w:w="5591" w:type="dxa"/>
          </w:tcPr>
          <w:p w14:paraId="6F2EBB0C" w14:textId="77777777" w:rsidR="00196665" w:rsidRDefault="00196665" w:rsidP="009160CE">
            <w:pPr>
              <w:jc w:val="both"/>
            </w:pPr>
            <w:r>
              <w:t>MK noteikumu projekts paredz precizēt un papildināt vairākas MK noteikumu tiesību normas un izteikt jaunā redakcijā 1., 2. un 3.pielikumu.</w:t>
            </w:r>
          </w:p>
          <w:p w14:paraId="24745657" w14:textId="77777777" w:rsidR="000C1362" w:rsidRDefault="000C1362" w:rsidP="009160CE">
            <w:pPr>
              <w:jc w:val="both"/>
              <w:rPr>
                <w:u w:val="single"/>
              </w:rPr>
            </w:pPr>
          </w:p>
          <w:p w14:paraId="7242785D" w14:textId="11EF4D47" w:rsidR="00196665" w:rsidRPr="008B480C" w:rsidRDefault="00196665" w:rsidP="009160CE">
            <w:pPr>
              <w:jc w:val="both"/>
              <w:rPr>
                <w:u w:val="single"/>
              </w:rPr>
            </w:pPr>
            <w:r>
              <w:rPr>
                <w:u w:val="single"/>
              </w:rPr>
              <w:t xml:space="preserve">Rezidenta apliecības – iesnieguma </w:t>
            </w:r>
            <w:r w:rsidRPr="008B480C">
              <w:rPr>
                <w:u w:val="single"/>
              </w:rPr>
              <w:t>nodok</w:t>
            </w:r>
            <w:r>
              <w:rPr>
                <w:u w:val="single"/>
              </w:rPr>
              <w:t>ļu atvieglojumu piemērošanai</w:t>
            </w:r>
            <w:r w:rsidRPr="008B480C">
              <w:rPr>
                <w:u w:val="single"/>
              </w:rPr>
              <w:t xml:space="preserve"> iesniegšanas termi</w:t>
            </w:r>
            <w:r>
              <w:rPr>
                <w:u w:val="single"/>
              </w:rPr>
              <w:t xml:space="preserve">ņš. </w:t>
            </w:r>
          </w:p>
          <w:p w14:paraId="7B10897C" w14:textId="77777777" w:rsidR="00196665" w:rsidRPr="000C3631" w:rsidRDefault="00196665" w:rsidP="009160CE">
            <w:pPr>
              <w:jc w:val="both"/>
              <w:rPr>
                <w:u w:val="single"/>
              </w:rPr>
            </w:pPr>
          </w:p>
          <w:p w14:paraId="44774412" w14:textId="77777777" w:rsidR="00196665" w:rsidRDefault="00196665" w:rsidP="009160CE">
            <w:pPr>
              <w:jc w:val="both"/>
            </w:pPr>
            <w:r>
              <w:t>Šobrīd MK noteikumos ir paredzēts, ka maksājumu saņēmējs noteikta parauga rezidenta apliecību –iesniegumu nodokļu atvieglojumu piemērošanai vai 9.</w:t>
            </w:r>
            <w:r>
              <w:rPr>
                <w:vertAlign w:val="superscript"/>
              </w:rPr>
              <w:t xml:space="preserve">1 </w:t>
            </w:r>
            <w:r>
              <w:t xml:space="preserve">punktā paredzētos dokumentus (turpmāk kopā – atvieglojumu apliecība) iesniedz izmaksātājam līdz dienai, kad iesniedzama uzņēmumu ienākuma nodokļa deklarācija </w:t>
            </w:r>
            <w:r w:rsidRPr="00A8727F">
              <w:t xml:space="preserve">par pārskata periodu vai </w:t>
            </w:r>
            <w:r w:rsidRPr="00A8727F">
              <w:lastRenderedPageBreak/>
              <w:t xml:space="preserve">iedzīvotāju gada ienākumu deklarācija. </w:t>
            </w:r>
            <w:r>
              <w:t>Ņemot vērā, ka no 2018.gada 1.janvāra ir spēkā jaunais Uzņēmumu ienākuma nodokļa likums, kas paredz, ka pārskata periods ir viens mēnesis</w:t>
            </w:r>
            <w:r w:rsidRPr="000D3F70">
              <w:t>,</w:t>
            </w:r>
            <w:r>
              <w:t xml:space="preserve"> MK noteikumu projektā</w:t>
            </w:r>
            <w:r w:rsidRPr="000D3F70">
              <w:t xml:space="preserve"> ir jāmaina </w:t>
            </w:r>
            <w:r>
              <w:t xml:space="preserve">atvieglojuma apliecības saņemšanas termiņš, paredzot, ka atvieglojumu apliecība jāiesniedz ne vēlāk kā taksācijas gada pārskata iesniegšanas brīdī, nevis līdz dienai, kad iesniedzama uzņēmumu ienākuma nodokļa deklarācija, tādējādi, samazinot administratīvo slogu un paredzot atbilstošu termiņu, kurā ir iesniedzama atvieglojumu apliecība. </w:t>
            </w:r>
          </w:p>
          <w:p w14:paraId="2E7B4147" w14:textId="77777777" w:rsidR="00196665" w:rsidRDefault="00196665" w:rsidP="009160CE">
            <w:pPr>
              <w:jc w:val="both"/>
            </w:pPr>
          </w:p>
          <w:p w14:paraId="4984195C" w14:textId="77777777" w:rsidR="00196665" w:rsidRDefault="00196665" w:rsidP="009160CE">
            <w:pPr>
              <w:jc w:val="both"/>
            </w:pPr>
            <w:r>
              <w:t>Atvieglojumu apliecības VID saņem gan no fiziskajām personām, gan no juridiskām personām – maksājumu saņēmējām. Šo fizisko un juridisko personu rezidences valstis ir dažādas (bieži arī ārpus Eiropas Savienības esošās valstis – Gruzija, Indija, Moldova, Turkmenistāna, Uzbekistāna, Armēnija, Albānija, Baltkrievija, Kazahstāna, Krievija, Tadžikistāna). Tikai dažas no uzskaitīto valstu nodokļu administrācijām (piemēram, Gruzija, Krievija, Baltkrievija, Kazahstāna) izsniedz rezidenta statusa apstiprinājuma dokumentus kārtējā kalendāra gada laikā. Pārējās valstīs tiek gaidīts, kad beigsies attiecīgais taksācijas gads, vai arī kad tiks iesniegta iedzīvotāju ienākuma nodokļa deklarācija vai iesniegts gada pārskats par iepriekšējo taksācijas gadu un tikai tad konkrētā ārvalsts nodokļu administrācija izsniegs attiecīgo rezidenta statusa apstiprinājuma dokumentu.</w:t>
            </w:r>
          </w:p>
          <w:p w14:paraId="6BCDACB8" w14:textId="77777777" w:rsidR="00196665" w:rsidRDefault="00196665" w:rsidP="009160CE">
            <w:pPr>
              <w:jc w:val="both"/>
            </w:pPr>
            <w:r>
              <w:t>Tādējādi,  ienākuma izmaksātāji saskaras ar grūtībām saņemt no darījumu partneriem – maksājumu saņēmējiem – rezidenta statusa apstiprinājuma dokumentu. Šobrīd praksē, apstiprinot atvieglojumu apliecības, VID ņem vērā gada pārskata iesniegšanas datumu.</w:t>
            </w:r>
          </w:p>
          <w:p w14:paraId="4C6807ED" w14:textId="77777777" w:rsidR="00196665" w:rsidRDefault="00196665" w:rsidP="009160CE">
            <w:pPr>
              <w:jc w:val="both"/>
            </w:pPr>
            <w:r>
              <w:t xml:space="preserve">Vienlaikus, MK noteikumu projektā ir precizēts termiņš </w:t>
            </w:r>
            <w:r w:rsidRPr="001112AA">
              <w:t xml:space="preserve"> attiecībā uz nodokļu maksātājiem, kuri  saskaņā ar Latvijas normatīvajiem aktiem</w:t>
            </w:r>
            <w:r>
              <w:t xml:space="preserve"> (izņemot fiziskās personas)</w:t>
            </w:r>
            <w:r w:rsidRPr="001112AA">
              <w:t xml:space="preserve"> gada pārskatus nesniedz.</w:t>
            </w:r>
          </w:p>
          <w:p w14:paraId="4E04FD51" w14:textId="77777777" w:rsidR="00196665" w:rsidRDefault="00196665" w:rsidP="009160CE">
            <w:pPr>
              <w:jc w:val="both"/>
            </w:pPr>
          </w:p>
          <w:p w14:paraId="3076EDAF" w14:textId="77777777" w:rsidR="00196665" w:rsidRDefault="00196665" w:rsidP="009160CE">
            <w:pPr>
              <w:jc w:val="both"/>
            </w:pPr>
            <w:r>
              <w:t xml:space="preserve">Līdz ar to </w:t>
            </w:r>
            <w:r w:rsidRPr="00247DB6">
              <w:t>MK noteikumu</w:t>
            </w:r>
            <w:r>
              <w:t xml:space="preserve"> projektā tiek precizēts 3.punktā minētais termiņš, pielāgojot to reālajai situācijai un tiesību aktu normu saderībai, kā arī ieviests jauns 3.</w:t>
            </w:r>
            <w:r>
              <w:rPr>
                <w:vertAlign w:val="superscript"/>
              </w:rPr>
              <w:t xml:space="preserve">1 </w:t>
            </w:r>
            <w:r>
              <w:t xml:space="preserve">punkts, kas paredz, ka tiem </w:t>
            </w:r>
            <w:r>
              <w:lastRenderedPageBreak/>
              <w:t>izmaksātājiem, kas gada pārskatus vai gada ienākuma deklarācijas nesniedz, maksājuma saņēmējs atvieglojuma apliecību iesniedz ne vēlāk kā četrus mēnešus pēc pārskata gada beigām.</w:t>
            </w:r>
          </w:p>
          <w:p w14:paraId="5D892392" w14:textId="77777777" w:rsidR="00196665" w:rsidRDefault="00196665" w:rsidP="009160CE">
            <w:pPr>
              <w:jc w:val="both"/>
            </w:pPr>
          </w:p>
          <w:p w14:paraId="71267F70" w14:textId="77777777" w:rsidR="00196665" w:rsidRDefault="00196665" w:rsidP="009160CE">
            <w:pPr>
              <w:jc w:val="both"/>
              <w:rPr>
                <w:u w:val="single"/>
              </w:rPr>
            </w:pPr>
            <w:r w:rsidRPr="003D5E53">
              <w:rPr>
                <w:u w:val="single"/>
              </w:rPr>
              <w:t>Atvieglojumu apliecības iesniegšana VID Elektroniskajā deklarēšanas sistēmā skenētā formā</w:t>
            </w:r>
            <w:r w:rsidRPr="001112AA">
              <w:rPr>
                <w:u w:val="single"/>
              </w:rPr>
              <w:t xml:space="preserve">. </w:t>
            </w:r>
          </w:p>
          <w:p w14:paraId="6CF3DF00" w14:textId="77777777" w:rsidR="00196665" w:rsidRPr="001112AA" w:rsidRDefault="00196665" w:rsidP="009160CE">
            <w:pPr>
              <w:jc w:val="both"/>
              <w:rPr>
                <w:u w:val="single"/>
              </w:rPr>
            </w:pPr>
          </w:p>
          <w:p w14:paraId="62BEF1D1" w14:textId="372E29A5" w:rsidR="00196665" w:rsidRDefault="00196665" w:rsidP="009160CE">
            <w:pPr>
              <w:jc w:val="both"/>
            </w:pPr>
            <w:r>
              <w:t>MK noteikumu projekts paredz</w:t>
            </w:r>
            <w:r w:rsidRPr="00D4357B">
              <w:t xml:space="preserve">, ka izmaksātājs VID </w:t>
            </w:r>
            <w:r>
              <w:t xml:space="preserve">atvieglojumu apliecību iesniegs izmantojot Elektronisko deklarēšanas sistēmu (turpmāk – </w:t>
            </w:r>
            <w:r w:rsidRPr="00D4357B">
              <w:t>EDS</w:t>
            </w:r>
            <w:r>
              <w:t xml:space="preserve">) </w:t>
            </w:r>
            <w:r w:rsidRPr="00D4357B">
              <w:t>pievien</w:t>
            </w:r>
            <w:r>
              <w:t xml:space="preserve">ojot </w:t>
            </w:r>
            <w:r w:rsidRPr="00D4357B">
              <w:t xml:space="preserve"> no saņēmēja saņemtos dokumentus skenētā veidā vai elektroniskos dokumentus, kas parakstīti ar drošu elektronisko parakstu un laika zīmogu</w:t>
            </w:r>
            <w:r>
              <w:t>. Tā kā skenētā veidā paredzēts pieņemt atvieglojuma apliecību, tad šim nolūkam</w:t>
            </w:r>
            <w:r w:rsidRPr="00D4357B">
              <w:t xml:space="preserve"> </w:t>
            </w:r>
            <w:r>
              <w:t>EDS tiks  papildināta ar</w:t>
            </w:r>
            <w:r w:rsidRPr="00D4357B">
              <w:t xml:space="preserve"> atv</w:t>
            </w:r>
            <w:r>
              <w:t xml:space="preserve">ieglojumu apliecības strukturētu elektronisko formu. </w:t>
            </w:r>
            <w:r w:rsidR="00465F25" w:rsidRPr="00465F25">
              <w:t>Maksājuma izmaksātājam (izņemot noteikumu 5.</w:t>
            </w:r>
            <w:r w:rsidR="00465F25" w:rsidRPr="00055E17">
              <w:rPr>
                <w:vertAlign w:val="superscript"/>
              </w:rPr>
              <w:t>1</w:t>
            </w:r>
            <w:r w:rsidR="00465F25">
              <w:rPr>
                <w:vertAlign w:val="superscript"/>
              </w:rPr>
              <w:t xml:space="preserve"> </w:t>
            </w:r>
            <w:r w:rsidR="00055E17">
              <w:t>punktā paredzēto gadījumu) būs</w:t>
            </w:r>
            <w:r w:rsidR="00465F25" w:rsidRPr="00465F25">
              <w:t xml:space="preserve"> jāiesniedz EDS strukturēts iesniegums atvieglojumu apliecības apstiprināšanai, norādot informāciju par maksājuma saņēmēju, ienākuma veidu un datumu, ar kuru tiek pieprasīts piemērot maksājumu aplikšanu pēc samazinātās likmes vai atbrīvojumu no aplikšanas ar nodokļiem, kā arī pievienojot </w:t>
            </w:r>
            <w:proofErr w:type="spellStart"/>
            <w:r w:rsidR="00465F25" w:rsidRPr="00465F25">
              <w:t>digitalizētu</w:t>
            </w:r>
            <w:proofErr w:type="spellEnd"/>
            <w:r w:rsidR="00465F25" w:rsidRPr="00465F25">
              <w:t xml:space="preserve"> (skenētu) vai ar drošu elektronisku parakstu un laika zīmogu  parakstītu no maksājuma saņēmēja saņemtu atvieglojuma apliecību. No EDS saņemtā informācija migrēs uz VID Maksājumu administrēšanas informācijas sistēmu (MAIS) tālākai izvērtēšanai atvieglojuma apliecības apstiprināšanai.</w:t>
            </w:r>
          </w:p>
          <w:p w14:paraId="0A33051A" w14:textId="77777777" w:rsidR="00157653" w:rsidRDefault="00157653" w:rsidP="009160CE">
            <w:pPr>
              <w:jc w:val="both"/>
            </w:pPr>
          </w:p>
          <w:p w14:paraId="524FD1A4" w14:textId="77777777" w:rsidR="00196665" w:rsidRDefault="00196665" w:rsidP="009160CE">
            <w:pPr>
              <w:jc w:val="both"/>
            </w:pPr>
            <w:r w:rsidRPr="00D260C7">
              <w:t xml:space="preserve">Skenētā veidā paredzēts pieņemt arī citus </w:t>
            </w:r>
            <w:r>
              <w:t xml:space="preserve">papildus </w:t>
            </w:r>
            <w:r w:rsidRPr="00D260C7">
              <w:t xml:space="preserve">dokumentus. </w:t>
            </w:r>
            <w:r>
              <w:t>Šāds solis atvieglos</w:t>
            </w:r>
            <w:r w:rsidRPr="00D4357B">
              <w:t xml:space="preserve"> dokumentu iesniegšanu.</w:t>
            </w:r>
            <w:r>
              <w:t xml:space="preserve"> </w:t>
            </w:r>
          </w:p>
          <w:p w14:paraId="5B2A5DF0" w14:textId="77777777" w:rsidR="00196665" w:rsidRDefault="00196665" w:rsidP="009160CE">
            <w:pPr>
              <w:jc w:val="both"/>
            </w:pPr>
          </w:p>
          <w:p w14:paraId="0362A678" w14:textId="77777777" w:rsidR="00196665" w:rsidRDefault="00196665" w:rsidP="009160CE">
            <w:pPr>
              <w:jc w:val="both"/>
            </w:pPr>
            <w:r>
              <w:t xml:space="preserve">Šobrīd nodokļu maksātājs atvieglojumu apliecības VID iesniedz šādi: </w:t>
            </w:r>
          </w:p>
          <w:p w14:paraId="7A98FABE" w14:textId="77777777" w:rsidR="00196665" w:rsidRDefault="00196665" w:rsidP="00196665">
            <w:pPr>
              <w:pStyle w:val="ListParagraph"/>
              <w:numPr>
                <w:ilvl w:val="0"/>
                <w:numId w:val="5"/>
              </w:numPr>
              <w:jc w:val="both"/>
            </w:pPr>
            <w:r>
              <w:t>papīra veidā;</w:t>
            </w:r>
          </w:p>
          <w:p w14:paraId="59D85138" w14:textId="77777777" w:rsidR="00196665" w:rsidRDefault="00196665" w:rsidP="00196665">
            <w:pPr>
              <w:pStyle w:val="ListParagraph"/>
              <w:numPr>
                <w:ilvl w:val="0"/>
                <w:numId w:val="5"/>
              </w:numPr>
              <w:jc w:val="both"/>
            </w:pPr>
            <w:r>
              <w:t>nosūtot dokumentus pa pastu;</w:t>
            </w:r>
          </w:p>
          <w:p w14:paraId="5AB0B778" w14:textId="77777777" w:rsidR="00196665" w:rsidRDefault="00196665" w:rsidP="00196665">
            <w:pPr>
              <w:pStyle w:val="ListParagraph"/>
              <w:numPr>
                <w:ilvl w:val="0"/>
                <w:numId w:val="5"/>
              </w:numPr>
              <w:jc w:val="both"/>
            </w:pPr>
            <w:r>
              <w:t xml:space="preserve">iesniedzot klātienē jebkurā VID klientu apkalpošanas centrā. </w:t>
            </w:r>
          </w:p>
          <w:p w14:paraId="487B6689" w14:textId="77777777" w:rsidR="00196665" w:rsidRDefault="00196665" w:rsidP="009160CE">
            <w:pPr>
              <w:jc w:val="both"/>
            </w:pPr>
            <w:r>
              <w:t xml:space="preserve">VID aizpilda visu atvieglojumu apliecības eksemplāru VI daļu un atdod izmaksātāja eksemplārus, izmantojot tos pašus saziņas kanālus. </w:t>
            </w:r>
            <w:r>
              <w:lastRenderedPageBreak/>
              <w:t xml:space="preserve">Tas rada papildus izmaksas un paildzina procesu – izmaksas par pasta sūtījumiem vai dokumentu nogādāšanu uz VID klientu apkalpošanas centru un apstiprināto atvieglojumu apliecību saņemšanu VID klientu apkalpošanas centrā, turklāt process notiek daudz lēnāk, nekā izmantojot </w:t>
            </w:r>
            <w:r w:rsidRPr="00ED1F3B">
              <w:t>EDS</w:t>
            </w:r>
            <w:r>
              <w:t xml:space="preserve">.  </w:t>
            </w:r>
          </w:p>
          <w:p w14:paraId="41197DD8" w14:textId="77777777" w:rsidR="00196665" w:rsidRDefault="00196665" w:rsidP="009160CE">
            <w:pPr>
              <w:jc w:val="both"/>
            </w:pPr>
            <w:r>
              <w:t>Saskaņā ar VID statistiku no izmaksātājiem 2018.gadā saņemti 1588 iesniegumi un 2019.gadā – 1674 iesniegumi atvieglojumu apliecības apstiprināšanai. Atvieglojumu apliecības iesniegšana, izmantojot EDS, ievērojami paātrinās informācijas apriti, kā arī samazinās ar dokumentu nosūtīšanu vai iesniegšanu klātienē saistīto administratīvo slogu gan izmaksātājam, gan VID.</w:t>
            </w:r>
          </w:p>
          <w:p w14:paraId="09FDACC7" w14:textId="0AE150EE" w:rsidR="00196665" w:rsidRDefault="00196665" w:rsidP="009160CE">
            <w:pPr>
              <w:jc w:val="both"/>
            </w:pPr>
            <w:r w:rsidRPr="00EF0D84">
              <w:t xml:space="preserve">Savukārt šāda risinājuma ieviešana būtiski atvieglos arī atbilstošā VID MAIS procesa </w:t>
            </w:r>
            <w:proofErr w:type="spellStart"/>
            <w:r w:rsidRPr="00EF0D84">
              <w:t>laikietilpību</w:t>
            </w:r>
            <w:proofErr w:type="spellEnd"/>
            <w:r w:rsidRPr="00EF0D84">
              <w:t xml:space="preserve"> un darbietilpību, kas turpmāk ļaus ietaupīt VID resursus, jo ievadītā informācija VID elektroniskās deklarēšanas sistēmā automātiski migrēs uz MAIS, tādējādi samazinot resursu patēriņu uz atvieglojumu apliecības reģistrēšanu sistēmā.</w:t>
            </w:r>
          </w:p>
          <w:p w14:paraId="63D9F195" w14:textId="77777777" w:rsidR="00196665" w:rsidRDefault="00196665" w:rsidP="009160CE">
            <w:pPr>
              <w:jc w:val="both"/>
            </w:pPr>
            <w:r>
              <w:t>Atbilstoši piedāvātajai MK noteikumu projekta 5.punkta redakcijai, apstiprinot atvieglojumu apliecības, VID nosūtīs izmaksātājam MAIS sistēmā automātiski ģenerēto paziņojumu, ar kuru apliecinās izmaksātāja tiesības piemērot nodokļu atvieglojumus attiecībā uz atvieglojumu apliecībā minētajiem ienākumiem.</w:t>
            </w:r>
          </w:p>
          <w:p w14:paraId="3B15D02C" w14:textId="77777777" w:rsidR="00196665" w:rsidRDefault="00196665" w:rsidP="009160CE">
            <w:pPr>
              <w:jc w:val="both"/>
            </w:pPr>
          </w:p>
          <w:p w14:paraId="4EE0092A" w14:textId="77777777" w:rsidR="00196665" w:rsidRDefault="00196665" w:rsidP="009160CE">
            <w:pPr>
              <w:jc w:val="both"/>
            </w:pPr>
            <w:r>
              <w:t>Pašreizējie MK noteikumi neatrunā termiņus, kādos izmaksātājs VID iesniedz atvieglojuma apliecību. P</w:t>
            </w:r>
            <w:r w:rsidRPr="00C05065">
              <w:t>raksē rodas situācijas, ka nodokļu maksātājs bez ierobežojumiem iesniedz VID apstiprināšanai atvieglojumu apliecības par iepriekšējiem pārskata periodiem, piemēram, 2020.gadā par 2015., 2016., 2017.gadiem.</w:t>
            </w:r>
          </w:p>
          <w:p w14:paraId="03CC80A7" w14:textId="77777777" w:rsidR="00196665" w:rsidRPr="00691DCF" w:rsidRDefault="00196665" w:rsidP="009160CE">
            <w:pPr>
              <w:jc w:val="both"/>
            </w:pPr>
            <w:r>
              <w:t xml:space="preserve">Attiecībā uz atvieglojuma apliecību eksemplāru skaitu </w:t>
            </w:r>
            <w:r w:rsidRPr="00691DCF">
              <w:t xml:space="preserve">praksē gadījumos, ja maksājuma saņēmējam izmaksātā viena maksājuma summa vai izmaksāto maksājumu kopsumma taksācijas gadā pārsniedz 5000 </w:t>
            </w:r>
            <w:proofErr w:type="spellStart"/>
            <w:r w:rsidRPr="00691DCF">
              <w:t>euro</w:t>
            </w:r>
            <w:proofErr w:type="spellEnd"/>
            <w:r w:rsidRPr="00691DCF">
              <w:t xml:space="preserve">, pietiek, ja izmaksātāja rīcībā ir divi, nevis trīs atvieglojumu apliecības eksemplāri, kurus viņš iesniedz VID. Pēc apstiprināšanas viens eksemplārs paliek VID rīcībā, bet otru VID </w:t>
            </w:r>
            <w:proofErr w:type="spellStart"/>
            <w:r w:rsidRPr="00691DCF">
              <w:t>nosūta</w:t>
            </w:r>
            <w:proofErr w:type="spellEnd"/>
            <w:r w:rsidRPr="00691DCF">
              <w:t xml:space="preserve"> izmaksātājam. </w:t>
            </w:r>
          </w:p>
          <w:p w14:paraId="57704BD3" w14:textId="77777777" w:rsidR="00196665" w:rsidRDefault="00196665" w:rsidP="009160CE">
            <w:pPr>
              <w:jc w:val="both"/>
            </w:pPr>
          </w:p>
          <w:p w14:paraId="0A19D099" w14:textId="77777777" w:rsidR="00196665" w:rsidRDefault="00196665" w:rsidP="009160CE">
            <w:pPr>
              <w:jc w:val="both"/>
            </w:pPr>
            <w:r>
              <w:lastRenderedPageBreak/>
              <w:t xml:space="preserve">Tādēļ, </w:t>
            </w:r>
            <w:r w:rsidRPr="00170D4C">
              <w:t>MK noteikumu</w:t>
            </w:r>
            <w:r>
              <w:t xml:space="preserve"> projektā paredzēts svītrot </w:t>
            </w:r>
            <w:r w:rsidRPr="00170D4C">
              <w:t xml:space="preserve"> 4.</w:t>
            </w:r>
            <w:r>
              <w:t xml:space="preserve"> punktu </w:t>
            </w:r>
            <w:r w:rsidRPr="00170D4C">
              <w:t>un</w:t>
            </w:r>
            <w:r>
              <w:t xml:space="preserve"> precizēt 5.punktu, precizējot termiņu, kādā nodokļu maksātājs atvieglojuma apliecību iesniedz apstiprināšanai VID un paredzot </w:t>
            </w:r>
            <w:r w:rsidRPr="00170D4C">
              <w:t>samazinātu iesniedzamo atvieglojumu apliecības eksemplāru skaitu</w:t>
            </w:r>
            <w:r>
              <w:t>.</w:t>
            </w:r>
          </w:p>
          <w:p w14:paraId="1B642320" w14:textId="77777777" w:rsidR="00196665" w:rsidRPr="005724B1" w:rsidRDefault="00196665" w:rsidP="009160CE">
            <w:pPr>
              <w:jc w:val="both"/>
            </w:pPr>
          </w:p>
          <w:p w14:paraId="6BA4362C" w14:textId="77777777" w:rsidR="00196665" w:rsidRPr="00972BEC" w:rsidRDefault="00196665" w:rsidP="009160CE">
            <w:pPr>
              <w:jc w:val="both"/>
              <w:rPr>
                <w:u w:val="single"/>
              </w:rPr>
            </w:pPr>
            <w:r w:rsidRPr="00972BEC">
              <w:rPr>
                <w:u w:val="single"/>
              </w:rPr>
              <w:t>1,.2.,3.pielikum</w:t>
            </w:r>
            <w:r>
              <w:rPr>
                <w:u w:val="single"/>
              </w:rPr>
              <w:t>u</w:t>
            </w:r>
            <w:r w:rsidRPr="00972BEC">
              <w:rPr>
                <w:u w:val="single"/>
              </w:rPr>
              <w:t xml:space="preserve"> – atvieglojuma apliecība</w:t>
            </w:r>
            <w:r>
              <w:rPr>
                <w:u w:val="single"/>
              </w:rPr>
              <w:t>s</w:t>
            </w:r>
            <w:r w:rsidRPr="00972BEC">
              <w:rPr>
                <w:u w:val="single"/>
              </w:rPr>
              <w:t>, nodokļu atmaksas apliecība</w:t>
            </w:r>
            <w:r>
              <w:rPr>
                <w:u w:val="single"/>
              </w:rPr>
              <w:t>s</w:t>
            </w:r>
            <w:r w:rsidRPr="00972BEC">
              <w:rPr>
                <w:u w:val="single"/>
              </w:rPr>
              <w:t>, pastāvīgās pārstāvniecības nereģistrēšanas apliecība</w:t>
            </w:r>
            <w:r>
              <w:rPr>
                <w:u w:val="single"/>
              </w:rPr>
              <w:t>s precizēšana</w:t>
            </w:r>
            <w:r w:rsidRPr="00972BEC">
              <w:rPr>
                <w:u w:val="single"/>
              </w:rPr>
              <w:t>.</w:t>
            </w:r>
          </w:p>
          <w:p w14:paraId="15BF34FE" w14:textId="77777777" w:rsidR="00196665" w:rsidRPr="00972BEC" w:rsidRDefault="00196665" w:rsidP="009160CE">
            <w:pPr>
              <w:jc w:val="both"/>
            </w:pPr>
          </w:p>
          <w:p w14:paraId="6360A340" w14:textId="77777777" w:rsidR="00196665" w:rsidRDefault="00196665" w:rsidP="009160CE">
            <w:pPr>
              <w:jc w:val="both"/>
            </w:pPr>
            <w:r>
              <w:t xml:space="preserve">MK noteikumu projekts paredz izteikt jaunā redakcijā 1., 2. un 3. pielikumu. </w:t>
            </w:r>
          </w:p>
          <w:p w14:paraId="0D63CA2F" w14:textId="3D3166D6" w:rsidR="00196665" w:rsidRDefault="00196665" w:rsidP="009160CE">
            <w:pPr>
              <w:jc w:val="both"/>
            </w:pPr>
            <w:r>
              <w:t xml:space="preserve">Pielikumos tehniski tiek precizētas un daļēji vienkāršotas apliecību  aizpildāmas sadaļas. </w:t>
            </w:r>
          </w:p>
          <w:p w14:paraId="69845E88" w14:textId="34BBA3E4" w:rsidR="000C1362" w:rsidRDefault="000C1362" w:rsidP="000C1362">
            <w:pPr>
              <w:jc w:val="both"/>
            </w:pPr>
            <w:r>
              <w:t xml:space="preserve">Noteikumu projekts paredz, ka attiecībā uz </w:t>
            </w:r>
            <w:r w:rsidR="0039140B">
              <w:t>starptautisko nodokļu</w:t>
            </w:r>
            <w:r>
              <w:t xml:space="preserve"> </w:t>
            </w:r>
            <w:r w:rsidR="0039140B">
              <w:t xml:space="preserve">atvieglojumu piemērošanu, nodokļu </w:t>
            </w:r>
            <w:r>
              <w:t xml:space="preserve">administrācija pieņem dokumentus, kas parakstīti </w:t>
            </w:r>
            <w:r w:rsidR="0039140B">
              <w:t>ar drošu elektronisko parakstu, tai skaitā, paredzot, ka arī pielikumus var</w:t>
            </w:r>
            <w:r>
              <w:t xml:space="preserve"> parakstīt</w:t>
            </w:r>
            <w:r w:rsidR="0039140B">
              <w:t xml:space="preserve"> </w:t>
            </w:r>
            <w:r>
              <w:t>ar drošu elektronisko parakstu</w:t>
            </w:r>
            <w:r w:rsidR="003B1FE4">
              <w:t xml:space="preserve">. </w:t>
            </w:r>
            <w:r w:rsidR="00AA75C5">
              <w:t xml:space="preserve">Līdz ar to tiek paredzēts, ka nodokļu administrācija var pieņemt arī citu valstu  dokumentus, kas iesniegti ar drošu elektronisko parakstu. </w:t>
            </w:r>
            <w:r w:rsidR="00617BC3">
              <w:t>Elektroniskos dokumentus regulē 2002.gada 31.oktobra “Elektronisko dokumentu likums”</w:t>
            </w:r>
            <w:r w:rsidR="00AA75C5">
              <w:t xml:space="preserve">. </w:t>
            </w:r>
          </w:p>
          <w:p w14:paraId="4850312F" w14:textId="22C64773" w:rsidR="00196665" w:rsidRDefault="00617BC3" w:rsidP="009160CE">
            <w:pPr>
              <w:jc w:val="both"/>
            </w:pPr>
            <w:r>
              <w:t>(Piemēram, pielikumos tehniski tiek precizētas sadaļas, kas nav jāaizpilda, ja ir parakstītas ar drošu elektronisko parakstu, vienkāršota un saīsināta maksājumu saņēmēja un maksājumu izmaksātāja aizpildāmā informācija, vienlaikus papildinot to ar tādu norādāmo informāciju, kā maksājumu saņēmēja bankas konts, kontaktinformācija, u.tml.)</w:t>
            </w:r>
          </w:p>
          <w:p w14:paraId="0BCB54AB" w14:textId="77777777" w:rsidR="00617BC3" w:rsidRPr="00763EF6" w:rsidRDefault="00617BC3" w:rsidP="009160CE">
            <w:pPr>
              <w:jc w:val="both"/>
            </w:pPr>
          </w:p>
          <w:p w14:paraId="477BB62F" w14:textId="77777777" w:rsidR="00196665" w:rsidRPr="00763EF6" w:rsidRDefault="00196665" w:rsidP="009160CE">
            <w:pPr>
              <w:jc w:val="both"/>
              <w:rPr>
                <w:u w:val="single"/>
              </w:rPr>
            </w:pPr>
            <w:r w:rsidRPr="00763EF6">
              <w:rPr>
                <w:u w:val="single"/>
              </w:rPr>
              <w:t>4.pielikum</w:t>
            </w:r>
            <w:r>
              <w:rPr>
                <w:u w:val="single"/>
              </w:rPr>
              <w:t>a aizstāšana ar</w:t>
            </w:r>
            <w:r w:rsidRPr="00763EF6">
              <w:rPr>
                <w:u w:val="single"/>
              </w:rPr>
              <w:t xml:space="preserve"> </w:t>
            </w:r>
            <w:r>
              <w:rPr>
                <w:u w:val="single"/>
              </w:rPr>
              <w:t>EDS formu (</w:t>
            </w:r>
            <w:r w:rsidRPr="00763EF6">
              <w:rPr>
                <w:u w:val="single"/>
              </w:rPr>
              <w:t>rezidenta apliecīb</w:t>
            </w:r>
            <w:r>
              <w:rPr>
                <w:u w:val="single"/>
              </w:rPr>
              <w:t>u)</w:t>
            </w:r>
            <w:r w:rsidRPr="00763EF6">
              <w:rPr>
                <w:u w:val="single"/>
              </w:rPr>
              <w:t>.</w:t>
            </w:r>
          </w:p>
          <w:p w14:paraId="7009084E" w14:textId="77777777" w:rsidR="00196665" w:rsidRDefault="00196665" w:rsidP="009160CE">
            <w:pPr>
              <w:jc w:val="both"/>
            </w:pPr>
          </w:p>
          <w:p w14:paraId="2590935F" w14:textId="77777777" w:rsidR="00196665" w:rsidRPr="004B24E2" w:rsidRDefault="00196665" w:rsidP="009160CE">
            <w:pPr>
              <w:jc w:val="both"/>
            </w:pPr>
            <w:r w:rsidRPr="004B24E2">
              <w:t xml:space="preserve">MK noteikumu projekts paredz </w:t>
            </w:r>
            <w:r>
              <w:t xml:space="preserve">aizstāt 4.pielikumu ar EDS formu un precizēt tās rezidenta apliecības sadaļā ietveramo informāciju. </w:t>
            </w:r>
          </w:p>
          <w:p w14:paraId="367260E1" w14:textId="77777777" w:rsidR="00196665" w:rsidRDefault="00196665" w:rsidP="009160CE">
            <w:pPr>
              <w:jc w:val="both"/>
            </w:pPr>
            <w:r w:rsidRPr="00235425">
              <w:t xml:space="preserve">MK noteikumu projekts paredz izstrādāt risinājumu, kas nodrošinās automātisku rezidentu apliecību sagatavošanu EDS, nodokļu maksātājam veicot pieprasījumu savā lietotāja profilā, tādējādi ne tikai saīsinot nepieciešamās rezidenta apliecības </w:t>
            </w:r>
            <w:r w:rsidRPr="00235425">
              <w:lastRenderedPageBreak/>
              <w:t xml:space="preserve">sagatavošanas laiku nodokļu maksātājam, bet arī VID resursu ietaupījumu.  </w:t>
            </w:r>
          </w:p>
          <w:p w14:paraId="5CFB6882" w14:textId="77777777" w:rsidR="00196665" w:rsidRPr="000D0F9C" w:rsidRDefault="00196665" w:rsidP="009160CE">
            <w:pPr>
              <w:jc w:val="both"/>
            </w:pPr>
            <w:r w:rsidRPr="000D0F9C">
              <w:t xml:space="preserve">Šobrīd </w:t>
            </w:r>
            <w:r>
              <w:t>MK</w:t>
            </w:r>
            <w:r w:rsidRPr="000D0F9C">
              <w:t xml:space="preserve"> </w:t>
            </w:r>
            <w:r>
              <w:t xml:space="preserve">noteikumos ir paredzēts, </w:t>
            </w:r>
            <w:r w:rsidRPr="000D0F9C">
              <w:t xml:space="preserve">ka rezidenta apliecības tiek apstiprinātas papīra formātā, jo uz veidlapām ir nepieciešams nodokļu maksātāja paraksts un </w:t>
            </w:r>
            <w:r>
              <w:t>VID</w:t>
            </w:r>
            <w:r w:rsidRPr="000D0F9C">
              <w:t xml:space="preserve"> apstiprinājums.</w:t>
            </w:r>
          </w:p>
          <w:p w14:paraId="33E53C16" w14:textId="77777777" w:rsidR="00196665" w:rsidRPr="000D0F9C" w:rsidRDefault="00196665" w:rsidP="009160CE">
            <w:pPr>
              <w:jc w:val="both"/>
            </w:pPr>
            <w:r>
              <w:t>Rezidenta apliecības apstiprināšanas iesniegumi</w:t>
            </w:r>
            <w:r w:rsidRPr="000D0F9C">
              <w:t xml:space="preserve"> tiek iesniegti:</w:t>
            </w:r>
          </w:p>
          <w:p w14:paraId="7C3EF14E" w14:textId="77777777" w:rsidR="00196665" w:rsidRPr="000D0F9C" w:rsidRDefault="00196665" w:rsidP="00196665">
            <w:pPr>
              <w:pStyle w:val="ListParagraph"/>
              <w:numPr>
                <w:ilvl w:val="0"/>
                <w:numId w:val="3"/>
              </w:numPr>
              <w:jc w:val="both"/>
            </w:pPr>
            <w:r w:rsidRPr="000D0F9C">
              <w:t>klātienē papīra formātā;</w:t>
            </w:r>
          </w:p>
          <w:p w14:paraId="15BC2AF5" w14:textId="77777777" w:rsidR="00196665" w:rsidRPr="000D0F9C" w:rsidRDefault="00196665" w:rsidP="00196665">
            <w:pPr>
              <w:pStyle w:val="ListParagraph"/>
              <w:numPr>
                <w:ilvl w:val="0"/>
                <w:numId w:val="3"/>
              </w:numPr>
              <w:jc w:val="both"/>
            </w:pPr>
            <w:r w:rsidRPr="000D0F9C">
              <w:t>pa pastu;</w:t>
            </w:r>
          </w:p>
          <w:p w14:paraId="6EC8C8F3" w14:textId="77777777" w:rsidR="00196665" w:rsidRPr="000D0F9C" w:rsidRDefault="00196665" w:rsidP="00196665">
            <w:pPr>
              <w:pStyle w:val="ListParagraph"/>
              <w:numPr>
                <w:ilvl w:val="0"/>
                <w:numId w:val="3"/>
              </w:numPr>
              <w:jc w:val="both"/>
            </w:pPr>
            <w:r w:rsidRPr="000D0F9C">
              <w:t>elektroniski, izmantojot VID EDS</w:t>
            </w:r>
            <w:r>
              <w:t xml:space="preserve"> </w:t>
            </w:r>
            <w:r w:rsidRPr="000D0F9C">
              <w:t xml:space="preserve">nestrukturētā veidā (sadaļa – Informācija VID vai Sarakste ar VID). </w:t>
            </w:r>
          </w:p>
          <w:p w14:paraId="27D20B37" w14:textId="77777777" w:rsidR="00196665" w:rsidRPr="000D0F9C" w:rsidRDefault="00196665" w:rsidP="009160CE">
            <w:pPr>
              <w:jc w:val="both"/>
            </w:pPr>
            <w:r w:rsidRPr="000D0F9C">
              <w:t>Iesniegtie iesniegumi tiek reģistrēti Dokumentu vadības sistēmā (DVS).</w:t>
            </w:r>
          </w:p>
          <w:p w14:paraId="4004F70D" w14:textId="77777777" w:rsidR="00196665" w:rsidRPr="000D0F9C" w:rsidRDefault="00196665" w:rsidP="009160CE">
            <w:pPr>
              <w:jc w:val="both"/>
            </w:pPr>
            <w:r w:rsidRPr="000D0F9C">
              <w:t>Lai kontrolētu iesniegumu izpildi un nodrošinātu statistiku, rezidentu apliecību uzskaite tiek veikta Excel tabulā. Nodokļu informācijas sistēmā (NIS) iesniegumu uzskaite šobrīd nav paredzēta.</w:t>
            </w:r>
          </w:p>
          <w:p w14:paraId="19867ECC" w14:textId="77777777" w:rsidR="00196665" w:rsidRPr="000D0F9C" w:rsidRDefault="00196665" w:rsidP="009160CE">
            <w:pPr>
              <w:jc w:val="both"/>
            </w:pPr>
            <w:r>
              <w:t>Šobrīd rezidentu</w:t>
            </w:r>
            <w:r w:rsidRPr="000D0F9C">
              <w:t xml:space="preserve"> apliecību apstiprināšanas process ir darbietilpīgs un sastāv no vairākām manuālām darbībām:</w:t>
            </w:r>
          </w:p>
          <w:p w14:paraId="57BB201D" w14:textId="77777777" w:rsidR="00196665" w:rsidRPr="000D0F9C" w:rsidRDefault="00196665" w:rsidP="00196665">
            <w:pPr>
              <w:pStyle w:val="ListParagraph"/>
              <w:numPr>
                <w:ilvl w:val="0"/>
                <w:numId w:val="4"/>
              </w:numPr>
              <w:jc w:val="both"/>
            </w:pPr>
            <w:r w:rsidRPr="000D0F9C">
              <w:t>nodokļu maksātāja rezidenta statusa, deklarētās/juridiskās adreses, paraksta tiesīgās personas pārbaude NIS un  nodokļu konvencijas pārbaude;</w:t>
            </w:r>
          </w:p>
          <w:p w14:paraId="40CBE7BB" w14:textId="77777777" w:rsidR="00196665" w:rsidRPr="000D0F9C" w:rsidRDefault="00196665" w:rsidP="00196665">
            <w:pPr>
              <w:pStyle w:val="ListParagraph"/>
              <w:numPr>
                <w:ilvl w:val="0"/>
                <w:numId w:val="4"/>
              </w:numPr>
              <w:jc w:val="both"/>
            </w:pPr>
            <w:r w:rsidRPr="000D0F9C">
              <w:t>rezidenta apliecības VID sadaļas manuāla aizpilde;</w:t>
            </w:r>
          </w:p>
          <w:p w14:paraId="6985B9B0" w14:textId="310D813E" w:rsidR="00196665" w:rsidRDefault="00196665" w:rsidP="00196665">
            <w:pPr>
              <w:pStyle w:val="ListParagraph"/>
              <w:numPr>
                <w:ilvl w:val="0"/>
                <w:numId w:val="4"/>
              </w:numPr>
              <w:jc w:val="both"/>
            </w:pPr>
            <w:r w:rsidRPr="000D0F9C">
              <w:t>rezidenta apliecības sagatavošana no jauna, kļūdainas veidlapas vai trūkstoša eksemplāra gadījumā;</w:t>
            </w:r>
          </w:p>
          <w:p w14:paraId="6E23F153" w14:textId="070E6698" w:rsidR="005D63CB" w:rsidRPr="000D0F9C" w:rsidRDefault="005D63CB" w:rsidP="00196665">
            <w:pPr>
              <w:pStyle w:val="ListParagraph"/>
              <w:numPr>
                <w:ilvl w:val="0"/>
                <w:numId w:val="4"/>
              </w:numPr>
              <w:jc w:val="both"/>
            </w:pPr>
            <w:r>
              <w:t>rezidenta apliecības sagatavošana no jauna, ja ir pieprasījums EDS bez aizpildīta pielikuma;</w:t>
            </w:r>
          </w:p>
          <w:p w14:paraId="4A317D16" w14:textId="77777777" w:rsidR="00196665" w:rsidRPr="000D0F9C" w:rsidRDefault="00196665" w:rsidP="00196665">
            <w:pPr>
              <w:pStyle w:val="ListParagraph"/>
              <w:numPr>
                <w:ilvl w:val="0"/>
                <w:numId w:val="4"/>
              </w:numPr>
              <w:jc w:val="both"/>
            </w:pPr>
            <w:r w:rsidRPr="000D0F9C">
              <w:t>pēc rezidenta apliecību apstiprināšanas, informācijas ievade NIS raksturojumos;</w:t>
            </w:r>
          </w:p>
          <w:p w14:paraId="6798A143" w14:textId="77777777" w:rsidR="00196665" w:rsidRPr="000D0F9C" w:rsidRDefault="00196665" w:rsidP="00196665">
            <w:pPr>
              <w:pStyle w:val="ListParagraph"/>
              <w:numPr>
                <w:ilvl w:val="0"/>
                <w:numId w:val="4"/>
              </w:numPr>
              <w:jc w:val="both"/>
            </w:pPr>
            <w:r w:rsidRPr="000D0F9C">
              <w:t xml:space="preserve">nodokļu maksātāja informēšana par dokumenta apstiprinājumu un saņemšanas iespējām – telefoniski, EDS vai nosūtīšana pa pastu. </w:t>
            </w:r>
          </w:p>
          <w:p w14:paraId="656F733C" w14:textId="77777777" w:rsidR="00196665" w:rsidRPr="00AF3704" w:rsidRDefault="00196665" w:rsidP="009160CE">
            <w:pPr>
              <w:jc w:val="both"/>
            </w:pPr>
            <w:r w:rsidRPr="000D0F9C">
              <w:t xml:space="preserve">VID vidēji </w:t>
            </w:r>
            <w:r>
              <w:t>gadā apstiprina 18 000 rezidentu</w:t>
            </w:r>
            <w:r w:rsidRPr="000D0F9C">
              <w:t xml:space="preserve"> a</w:t>
            </w:r>
            <w:r>
              <w:t>pliecību. Apstiprināto rezidentu</w:t>
            </w:r>
            <w:r w:rsidRPr="000D0F9C">
              <w:t xml:space="preserve"> apliecību skaits ik gadu pieaug.</w:t>
            </w:r>
          </w:p>
          <w:p w14:paraId="7FA4B436" w14:textId="77777777" w:rsidR="00196665" w:rsidRPr="00AF3704" w:rsidRDefault="00196665" w:rsidP="009160CE">
            <w:pPr>
              <w:jc w:val="both"/>
            </w:pPr>
            <w:r>
              <w:t>Rezidentu</w:t>
            </w:r>
            <w:r w:rsidRPr="00AF3704">
              <w:t xml:space="preserve"> apliecību sagatavošanai ik mēnesi tiek patērēti materiālie resursi – papīrs, printeru kārtridži, zīmogu tinte. </w:t>
            </w:r>
          </w:p>
          <w:p w14:paraId="6CA27FA3" w14:textId="77777777" w:rsidR="00196665" w:rsidRPr="0023454E" w:rsidRDefault="00196665" w:rsidP="009160CE">
            <w:pPr>
              <w:jc w:val="both"/>
            </w:pPr>
            <w:r>
              <w:lastRenderedPageBreak/>
              <w:t>Rezidentu</w:t>
            </w:r>
            <w:r w:rsidRPr="00AF3704">
              <w:t xml:space="preserve"> apliecību sagatavošana ir rutīnas darbs, kura rezultātā rodas cilvēciskā faktora (neuzmanības) kļūdas, kas var negatīvi ietekmēt VID tēlu.</w:t>
            </w:r>
          </w:p>
          <w:p w14:paraId="31079284" w14:textId="77777777" w:rsidR="00196665" w:rsidRPr="00AF3704" w:rsidRDefault="00196665" w:rsidP="009160CE">
            <w:pPr>
              <w:jc w:val="both"/>
            </w:pPr>
            <w:r w:rsidRPr="00AF3704">
              <w:t>Nodokļu maksātājam, kurš nav VID EDS lietotājs, rezidenta apliecību pēc nodokļu maksātāja pieprasījuma informācijas sistēmā sagatavos</w:t>
            </w:r>
            <w:r>
              <w:t xml:space="preserve"> VID un izsniegs to papīra formātā.</w:t>
            </w:r>
          </w:p>
          <w:p w14:paraId="0A8CA700" w14:textId="68AEF5DC" w:rsidR="00196665" w:rsidRPr="00AF3704" w:rsidRDefault="00196665" w:rsidP="009160CE">
            <w:pPr>
              <w:jc w:val="both"/>
            </w:pPr>
            <w:r w:rsidRPr="00AF3704">
              <w:t xml:space="preserve">EDS sagatavotajai rezidenta apliecībai automātiski tiks piešķirts QR kods un verifikācijas kods, kas dos iespēju otras līgumslēdzējas valsts kompetentajai iestādei vai </w:t>
            </w:r>
            <w:r w:rsidR="003F74B2">
              <w:t>ienākumu izmaksātājam</w:t>
            </w:r>
            <w:r w:rsidRPr="00AF3704">
              <w:t xml:space="preserve"> pārbaudīt rezidenta apliecības autentiskumu.</w:t>
            </w:r>
          </w:p>
          <w:p w14:paraId="50EF64B2" w14:textId="71EE73A9" w:rsidR="00196665" w:rsidRPr="00AF3704" w:rsidRDefault="005D63CB" w:rsidP="009160CE">
            <w:pPr>
              <w:jc w:val="both"/>
            </w:pPr>
            <w:r w:rsidRPr="005D63CB">
              <w:t xml:space="preserve">EDS tiks izveidota sadaļa un nodrošināta piekļuve, </w:t>
            </w:r>
            <w:bookmarkStart w:id="1" w:name="_Hlk43967240"/>
            <w:r w:rsidRPr="005D63CB">
              <w:t>neautorizējoties sistēmā,</w:t>
            </w:r>
            <w:r w:rsidR="00994F3D">
              <w:t xml:space="preserve"> </w:t>
            </w:r>
            <w:r w:rsidR="00196665" w:rsidRPr="00AF3704">
              <w:t xml:space="preserve">otras līgumslēdzējas valsts kompetentajai iestādei vai </w:t>
            </w:r>
            <w:r w:rsidR="003F74B2">
              <w:t>ienākumu izmaksātājam</w:t>
            </w:r>
            <w:r w:rsidR="00196665" w:rsidRPr="00AF3704">
              <w:t xml:space="preserve"> pārliecināties par iesniegtās rezidenta apliecības autentiskumu, ievadot nodokļu maksātāja </w:t>
            </w:r>
            <w:r w:rsidR="009061E5">
              <w:t xml:space="preserve">personas kodu vai </w:t>
            </w:r>
            <w:r w:rsidR="00196665" w:rsidRPr="00AF3704">
              <w:t xml:space="preserve">reģistrācijas </w:t>
            </w:r>
            <w:r w:rsidR="00501F65">
              <w:t>numuru</w:t>
            </w:r>
            <w:r w:rsidR="00501F65" w:rsidRPr="00AF3704">
              <w:t xml:space="preserve"> </w:t>
            </w:r>
            <w:r w:rsidR="00196665" w:rsidRPr="00AF3704">
              <w:t>un verifikācijas kodu, tādējādi piekļūstot rezidenta apliecībai elektroniskā formā</w:t>
            </w:r>
            <w:bookmarkEnd w:id="1"/>
            <w:r w:rsidR="00196665" w:rsidRPr="00AF3704">
              <w:t xml:space="preserve"> (</w:t>
            </w:r>
            <w:proofErr w:type="spellStart"/>
            <w:r w:rsidR="00196665" w:rsidRPr="00AF3704">
              <w:t>pdf</w:t>
            </w:r>
            <w:proofErr w:type="spellEnd"/>
            <w:r w:rsidR="00196665" w:rsidRPr="00AF3704">
              <w:t xml:space="preserve"> datne).</w:t>
            </w:r>
          </w:p>
          <w:p w14:paraId="0AF6D543" w14:textId="77777777" w:rsidR="00196665" w:rsidRDefault="00196665" w:rsidP="009160CE">
            <w:pPr>
              <w:jc w:val="both"/>
            </w:pPr>
            <w:r w:rsidRPr="00595EDE">
              <w:t>Gadījumā, ja otras līgumslēdzējas valsts kompetentā iestāde to piepras</w:t>
            </w:r>
            <w:r w:rsidRPr="00AF3704">
              <w:t>īs</w:t>
            </w:r>
            <w:r w:rsidRPr="00595EDE">
              <w:t xml:space="preserve">, </w:t>
            </w:r>
            <w:r w:rsidRPr="00AF3704">
              <w:t>VID</w:t>
            </w:r>
            <w:r w:rsidRPr="00595EDE">
              <w:t xml:space="preserve"> izsnie</w:t>
            </w:r>
            <w:r w:rsidRPr="00AF3704">
              <w:t>gs</w:t>
            </w:r>
            <w:r w:rsidRPr="00595EDE">
              <w:t xml:space="preserve"> informācijas sistēmā sagatavoto Latvijas rezidenta apliecību papīra formātā parakstītu un apzīmogotu.</w:t>
            </w:r>
          </w:p>
          <w:p w14:paraId="3A602197" w14:textId="77777777" w:rsidR="00196665" w:rsidRDefault="00196665" w:rsidP="009160CE">
            <w:pPr>
              <w:jc w:val="both"/>
            </w:pPr>
          </w:p>
          <w:p w14:paraId="14F564D1" w14:textId="77777777" w:rsidR="00196665" w:rsidRPr="00B33E61" w:rsidRDefault="00196665" w:rsidP="009160CE">
            <w:pPr>
              <w:jc w:val="both"/>
              <w:rPr>
                <w:u w:val="single"/>
              </w:rPr>
            </w:pPr>
            <w:r>
              <w:rPr>
                <w:u w:val="single"/>
              </w:rPr>
              <w:t>Termiņi</w:t>
            </w:r>
            <w:r w:rsidRPr="00B33E61">
              <w:rPr>
                <w:u w:val="single"/>
              </w:rPr>
              <w:t xml:space="preserve"> attiecībā uz</w:t>
            </w:r>
            <w:r>
              <w:rPr>
                <w:u w:val="single"/>
              </w:rPr>
              <w:t xml:space="preserve"> VID lēmuma pieņemšanu</w:t>
            </w:r>
            <w:r w:rsidRPr="00B33E61">
              <w:rPr>
                <w:u w:val="single"/>
              </w:rPr>
              <w:t xml:space="preserve"> </w:t>
            </w:r>
            <w:r>
              <w:rPr>
                <w:u w:val="single"/>
              </w:rPr>
              <w:t xml:space="preserve">un </w:t>
            </w:r>
            <w:r w:rsidRPr="00B33E61">
              <w:rPr>
                <w:u w:val="single"/>
              </w:rPr>
              <w:t>papildu informācijas pieprasīšanu un personu loka precizēšanu.</w:t>
            </w:r>
          </w:p>
          <w:p w14:paraId="252959EE" w14:textId="77777777" w:rsidR="00196665" w:rsidRDefault="00196665" w:rsidP="009160CE">
            <w:pPr>
              <w:jc w:val="both"/>
            </w:pPr>
          </w:p>
          <w:p w14:paraId="3E6BB52F" w14:textId="77777777" w:rsidR="00196665" w:rsidRDefault="00196665" w:rsidP="009160CE">
            <w:pPr>
              <w:jc w:val="both"/>
            </w:pPr>
            <w:r>
              <w:t xml:space="preserve">Līdz šim MK noteikumos attiecībā uz 2.pielikumu VID lēmuma pieņemšanas termiņš nav noteikts, savukārt attiecībā uz 1. un 3.pielikumu noteikts, ka dokumenti jāapstiprina 30 dienu laikā no iesniegumu saņemšanas. Nepieciešams noteikt vienotu termiņu attiecībā uz visiem pielikumiem. </w:t>
            </w:r>
          </w:p>
          <w:p w14:paraId="4512AEFB" w14:textId="09CB8BC3" w:rsidR="00196665" w:rsidRDefault="00196665" w:rsidP="009160CE">
            <w:pPr>
              <w:jc w:val="both"/>
            </w:pPr>
            <w:r>
              <w:t xml:space="preserve">Ņemot vērā, ka VID var pieprasīt papildu informāciju un tā dažkārt ir jāpieprasa ne tikai maksājumu saņēmējam, bet arī maksājumu izmaksātājam vai citai </w:t>
            </w:r>
            <w:r w:rsidR="005D63CB">
              <w:t xml:space="preserve">personai </w:t>
            </w:r>
            <w:r>
              <w:t>(piemēram, Valsts sociālās apdrošināšanas aģentūrai</w:t>
            </w:r>
            <w:r w:rsidR="005D63CB">
              <w:t xml:space="preserve"> vai citu valstu nodokļu administrācijām</w:t>
            </w:r>
            <w:r>
              <w:t>), MK noteikumu projektā jāprecizē personu loks, kam VID var pieprasīt papildu informāciju, kā arī termiņš, kurā papildu informācija ir iesniedzama.</w:t>
            </w:r>
          </w:p>
          <w:p w14:paraId="78CFA407" w14:textId="77777777" w:rsidR="00196665" w:rsidRDefault="00196665" w:rsidP="009160CE">
            <w:pPr>
              <w:jc w:val="both"/>
            </w:pPr>
          </w:p>
          <w:p w14:paraId="50D4A05F" w14:textId="77777777" w:rsidR="00196665" w:rsidRDefault="00196665" w:rsidP="009160CE">
            <w:pPr>
              <w:jc w:val="both"/>
            </w:pPr>
            <w:r>
              <w:t>MK noteikumu projekts paredz papildināt noteikumus ar 11.</w:t>
            </w:r>
            <w:r w:rsidRPr="00C64E3F">
              <w:rPr>
                <w:vertAlign w:val="superscript"/>
              </w:rPr>
              <w:t>1</w:t>
            </w:r>
            <w:r>
              <w:t xml:space="preserve"> un 11.</w:t>
            </w:r>
            <w:r w:rsidRPr="00C64E3F">
              <w:rPr>
                <w:vertAlign w:val="superscript"/>
              </w:rPr>
              <w:t>2</w:t>
            </w:r>
            <w:r>
              <w:t xml:space="preserve"> punktiem, kur nosaka </w:t>
            </w:r>
            <w:r>
              <w:lastRenderedPageBreak/>
              <w:t>termiņu, kādā VID jāpieņem lēmums par pārmaksāto nodokļa atmaksu vai atteikumu atmaksāt pārmaksāto nodokļa summu, precizē personu loku un termiņu papildu informācijas iesniegšanai.</w:t>
            </w:r>
          </w:p>
          <w:p w14:paraId="081931DC" w14:textId="77777777" w:rsidR="00196665" w:rsidRPr="005D42FE" w:rsidRDefault="00196665" w:rsidP="009160CE">
            <w:pPr>
              <w:jc w:val="both"/>
              <w:rPr>
                <w:u w:val="single"/>
              </w:rPr>
            </w:pPr>
          </w:p>
          <w:p w14:paraId="499A7420" w14:textId="77777777" w:rsidR="00196665" w:rsidRPr="007C6081" w:rsidRDefault="00196665" w:rsidP="009160CE">
            <w:pPr>
              <w:jc w:val="both"/>
              <w:rPr>
                <w:u w:val="single"/>
              </w:rPr>
            </w:pPr>
            <w:r>
              <w:rPr>
                <w:u w:val="single"/>
              </w:rPr>
              <w:t>O</w:t>
            </w:r>
            <w:r w:rsidRPr="007C6081">
              <w:rPr>
                <w:u w:val="single"/>
              </w:rPr>
              <w:t>tras valsts rezidenta apliecīb</w:t>
            </w:r>
            <w:r>
              <w:rPr>
                <w:u w:val="single"/>
              </w:rPr>
              <w:t>ā</w:t>
            </w:r>
            <w:r w:rsidRPr="007C6081">
              <w:rPr>
                <w:u w:val="single"/>
              </w:rPr>
              <w:t xml:space="preserve"> norādāmā</w:t>
            </w:r>
            <w:r>
              <w:rPr>
                <w:u w:val="single"/>
              </w:rPr>
              <w:t>s</w:t>
            </w:r>
            <w:r w:rsidRPr="007C6081">
              <w:rPr>
                <w:u w:val="single"/>
              </w:rPr>
              <w:t xml:space="preserve"> informācija</w:t>
            </w:r>
            <w:r>
              <w:rPr>
                <w:u w:val="single"/>
              </w:rPr>
              <w:t>s precizēšana</w:t>
            </w:r>
          </w:p>
          <w:p w14:paraId="4565DA19" w14:textId="77777777" w:rsidR="00196665" w:rsidRPr="007C6081" w:rsidRDefault="00196665" w:rsidP="009160CE">
            <w:pPr>
              <w:jc w:val="both"/>
              <w:rPr>
                <w:u w:val="single"/>
              </w:rPr>
            </w:pPr>
          </w:p>
          <w:p w14:paraId="6F6CCF30" w14:textId="77777777" w:rsidR="00196665" w:rsidRPr="007C6081" w:rsidRDefault="00196665" w:rsidP="009160CE">
            <w:pPr>
              <w:pStyle w:val="NoSpacing"/>
              <w:jc w:val="both"/>
              <w:rPr>
                <w:rFonts w:ascii="Times New Roman" w:hAnsi="Times New Roman"/>
                <w:sz w:val="24"/>
                <w:szCs w:val="24"/>
              </w:rPr>
            </w:pPr>
            <w:r w:rsidRPr="007C6081">
              <w:rPr>
                <w:rFonts w:ascii="Times New Roman" w:hAnsi="Times New Roman"/>
                <w:sz w:val="24"/>
                <w:szCs w:val="24"/>
              </w:rPr>
              <w:t xml:space="preserve">Ņemot vērā, ka informācija par pases (personu apliecinoša dokumenta) vai reģistrācijas apliecības numuru un izdošanas datumu parasti nav ietverta rezidences apliecībā vai līdzīgā dokumentā, kā arī, lai noteiktu vienādas prasības attiecībā uz rezidences apliecībās vai līdzīga dokumentā izmantojamo valodu, MK noteikumu projekts paredz papildināt 14.punktu ar </w:t>
            </w:r>
            <w:r>
              <w:rPr>
                <w:rFonts w:ascii="Times New Roman" w:hAnsi="Times New Roman"/>
                <w:sz w:val="24"/>
                <w:szCs w:val="24"/>
              </w:rPr>
              <w:t xml:space="preserve">attiecīgu prasību, paredzot, ka otras valsts rezidenta apliecībā ir jānorāda reģistrācijas numurs, adrese, kā arī vienai no svešvalodām jābūt angļu valodai. </w:t>
            </w:r>
          </w:p>
          <w:p w14:paraId="3C556A09" w14:textId="77777777" w:rsidR="00196665" w:rsidRPr="00AF3704" w:rsidRDefault="00196665" w:rsidP="009160CE">
            <w:pPr>
              <w:jc w:val="both"/>
            </w:pPr>
          </w:p>
          <w:p w14:paraId="33D1B004" w14:textId="77777777" w:rsidR="00196665" w:rsidRDefault="00196665" w:rsidP="009160CE">
            <w:pPr>
              <w:jc w:val="both"/>
            </w:pPr>
            <w:r w:rsidRPr="000D0F9C">
              <w:t>MK noteikumu projekta mērķis ir</w:t>
            </w:r>
            <w:r w:rsidRPr="00AF3704">
              <w:t>:</w:t>
            </w:r>
            <w:r>
              <w:t xml:space="preserve"> </w:t>
            </w:r>
          </w:p>
          <w:p w14:paraId="0E5A4DA4" w14:textId="77777777" w:rsidR="00196665" w:rsidRDefault="00196665" w:rsidP="00196665">
            <w:pPr>
              <w:pStyle w:val="ListParagraph"/>
              <w:numPr>
                <w:ilvl w:val="0"/>
                <w:numId w:val="6"/>
              </w:numPr>
              <w:jc w:val="both"/>
            </w:pPr>
            <w:r w:rsidRPr="00AF3704">
              <w:t xml:space="preserve">palielināt VID e-pakalpojumu klāstu, tādējādi nodrošinot nodokļu maksātājiem iespēju sagatavot </w:t>
            </w:r>
            <w:r>
              <w:t xml:space="preserve">atvieglojuma apliecību, </w:t>
            </w:r>
            <w:r w:rsidRPr="00AF3704">
              <w:t>rezidenta apliecību</w:t>
            </w:r>
            <w:r>
              <w:t xml:space="preserve"> </w:t>
            </w:r>
            <w:r w:rsidRPr="00AF3704">
              <w:t xml:space="preserve"> pašapkalpošanās režīmā EDS</w:t>
            </w:r>
            <w:r>
              <w:t>;</w:t>
            </w:r>
          </w:p>
          <w:p w14:paraId="39614B4B" w14:textId="77777777" w:rsidR="00196665" w:rsidRDefault="00196665" w:rsidP="00196665">
            <w:pPr>
              <w:pStyle w:val="ListParagraph"/>
              <w:numPr>
                <w:ilvl w:val="0"/>
                <w:numId w:val="6"/>
              </w:numPr>
              <w:jc w:val="both"/>
            </w:pPr>
            <w:r w:rsidRPr="00AF3704">
              <w:t>vienkāršot</w:t>
            </w:r>
            <w:r>
              <w:t xml:space="preserve"> un paātrināt</w:t>
            </w:r>
            <w:r w:rsidRPr="00AF3704">
              <w:t xml:space="preserve"> </w:t>
            </w:r>
            <w:r>
              <w:t xml:space="preserve">atvieglojuma apliecību,  </w:t>
            </w:r>
            <w:r w:rsidRPr="00AF3704">
              <w:t>rezidenta apliecīb</w:t>
            </w:r>
            <w:r>
              <w:t>u</w:t>
            </w:r>
            <w:r w:rsidRPr="00AF3704">
              <w:t xml:space="preserve"> saņemšanas procesu;</w:t>
            </w:r>
          </w:p>
          <w:p w14:paraId="6492575B" w14:textId="77777777" w:rsidR="00196665" w:rsidRDefault="00196665" w:rsidP="00196665">
            <w:pPr>
              <w:pStyle w:val="ListParagraph"/>
              <w:numPr>
                <w:ilvl w:val="0"/>
                <w:numId w:val="6"/>
              </w:numPr>
              <w:jc w:val="both"/>
            </w:pPr>
            <w:r w:rsidRPr="00AF3704">
              <w:t xml:space="preserve">kļūdaini iesniegto </w:t>
            </w:r>
            <w:r>
              <w:t>iesniegumu samazināšana (nerezidents;</w:t>
            </w:r>
            <w:r w:rsidRPr="00AF3704">
              <w:t xml:space="preserve"> nav noslēgta nodokļu konvencija);</w:t>
            </w:r>
          </w:p>
          <w:p w14:paraId="5D2E3977" w14:textId="77777777" w:rsidR="00196665" w:rsidRDefault="00196665" w:rsidP="00196665">
            <w:pPr>
              <w:pStyle w:val="ListParagraph"/>
              <w:numPr>
                <w:ilvl w:val="0"/>
                <w:numId w:val="6"/>
              </w:numPr>
              <w:jc w:val="both"/>
            </w:pPr>
            <w:r>
              <w:t xml:space="preserve">precizēt minēto dokumentu iesniegšanas termiņus un izskatīšanas kārtību; </w:t>
            </w:r>
          </w:p>
          <w:p w14:paraId="515F6A4A" w14:textId="217F647F" w:rsidR="00196665" w:rsidRDefault="00196665">
            <w:pPr>
              <w:pStyle w:val="ListParagraph"/>
              <w:numPr>
                <w:ilvl w:val="0"/>
                <w:numId w:val="6"/>
              </w:numPr>
              <w:jc w:val="both"/>
            </w:pPr>
            <w:r>
              <w:t>samazināt VID administratīvo slogu</w:t>
            </w:r>
            <w:r w:rsidRPr="00AF3704">
              <w:t>;</w:t>
            </w:r>
          </w:p>
          <w:p w14:paraId="547D6D7A" w14:textId="2F3F13CF" w:rsidR="00196665" w:rsidRPr="007F2941" w:rsidRDefault="00196665" w:rsidP="00196665">
            <w:pPr>
              <w:pStyle w:val="ListParagraph"/>
              <w:numPr>
                <w:ilvl w:val="0"/>
                <w:numId w:val="6"/>
              </w:numPr>
              <w:jc w:val="both"/>
            </w:pPr>
            <w:r>
              <w:t>samazināt materiālās izmaksas</w:t>
            </w:r>
            <w:r w:rsidR="0074080E">
              <w:t>, izsniedzot dokumentus papīra formā.</w:t>
            </w:r>
          </w:p>
        </w:tc>
      </w:tr>
      <w:tr w:rsidR="00196665" w:rsidRPr="00AF3704" w14:paraId="4ACD24B7" w14:textId="77777777" w:rsidTr="009160CE">
        <w:tc>
          <w:tcPr>
            <w:tcW w:w="488" w:type="dxa"/>
            <w:hideMark/>
          </w:tcPr>
          <w:p w14:paraId="57CC40C8" w14:textId="77777777" w:rsidR="00196665" w:rsidRPr="00AF3704" w:rsidRDefault="00196665" w:rsidP="009160CE">
            <w:r w:rsidRPr="00AF3704">
              <w:lastRenderedPageBreak/>
              <w:t>3.</w:t>
            </w:r>
          </w:p>
        </w:tc>
        <w:tc>
          <w:tcPr>
            <w:tcW w:w="2891" w:type="dxa"/>
            <w:hideMark/>
          </w:tcPr>
          <w:p w14:paraId="51DE1318" w14:textId="77777777" w:rsidR="00196665" w:rsidRPr="00AF3704" w:rsidRDefault="00196665" w:rsidP="009160CE">
            <w:r w:rsidRPr="00AF3704">
              <w:t>Projekta izstrādē iesaistītās institūcijas</w:t>
            </w:r>
          </w:p>
        </w:tc>
        <w:tc>
          <w:tcPr>
            <w:tcW w:w="5591" w:type="dxa"/>
            <w:hideMark/>
          </w:tcPr>
          <w:p w14:paraId="4F8F62C6" w14:textId="77777777" w:rsidR="00196665" w:rsidRPr="0052678C" w:rsidRDefault="00196665" w:rsidP="009160CE">
            <w:pPr>
              <w:jc w:val="both"/>
            </w:pPr>
            <w:r w:rsidRPr="00AF3704">
              <w:rPr>
                <w:color w:val="000000" w:themeColor="text1"/>
              </w:rPr>
              <w:t>Valsts ieņēmumu dienests</w:t>
            </w:r>
            <w:r>
              <w:rPr>
                <w:color w:val="000000" w:themeColor="text1"/>
              </w:rPr>
              <w:t>.</w:t>
            </w:r>
          </w:p>
        </w:tc>
      </w:tr>
      <w:tr w:rsidR="00196665" w:rsidRPr="00AF3704" w14:paraId="422B0809" w14:textId="77777777" w:rsidTr="009160CE">
        <w:tc>
          <w:tcPr>
            <w:tcW w:w="488" w:type="dxa"/>
            <w:hideMark/>
          </w:tcPr>
          <w:p w14:paraId="3B0651B4" w14:textId="77777777" w:rsidR="00196665" w:rsidRPr="00AF3704" w:rsidRDefault="00196665" w:rsidP="009160CE">
            <w:r w:rsidRPr="00AF3704">
              <w:t>4.</w:t>
            </w:r>
          </w:p>
        </w:tc>
        <w:tc>
          <w:tcPr>
            <w:tcW w:w="2891" w:type="dxa"/>
            <w:hideMark/>
          </w:tcPr>
          <w:p w14:paraId="7C793C54" w14:textId="77777777" w:rsidR="00196665" w:rsidRPr="00AF3704" w:rsidRDefault="00196665" w:rsidP="009160CE">
            <w:r w:rsidRPr="00AF3704">
              <w:t>Cita informācija</w:t>
            </w:r>
          </w:p>
        </w:tc>
        <w:tc>
          <w:tcPr>
            <w:tcW w:w="5591" w:type="dxa"/>
            <w:hideMark/>
          </w:tcPr>
          <w:p w14:paraId="520C6FD4" w14:textId="77777777" w:rsidR="00196665" w:rsidRPr="00AF3704" w:rsidRDefault="00196665" w:rsidP="009160CE">
            <w:pPr>
              <w:jc w:val="both"/>
            </w:pPr>
            <w:r w:rsidRPr="00AF3704">
              <w:t xml:space="preserve"> Nav. </w:t>
            </w:r>
          </w:p>
        </w:tc>
      </w:tr>
    </w:tbl>
    <w:p w14:paraId="07E009F4" w14:textId="77777777" w:rsidR="00196665" w:rsidRPr="00AF3704" w:rsidRDefault="00196665" w:rsidP="00196665">
      <w:pPr>
        <w:spacing w:line="270" w:lineRule="atLeast"/>
        <w:jc w:val="both"/>
        <w:rPr>
          <w:rStyle w:val="apple-style-span"/>
        </w:rPr>
      </w:pPr>
    </w:p>
    <w:tbl>
      <w:tblPr>
        <w:tblW w:w="495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645"/>
        <w:gridCol w:w="2589"/>
        <w:gridCol w:w="5304"/>
      </w:tblGrid>
      <w:tr w:rsidR="00196665" w:rsidRPr="00AF3704" w14:paraId="19B4C8E6" w14:textId="77777777" w:rsidTr="009160CE">
        <w:tc>
          <w:tcPr>
            <w:tcW w:w="5000" w:type="pct"/>
            <w:gridSpan w:val="3"/>
            <w:tcBorders>
              <w:top w:val="single" w:sz="6" w:space="0" w:color="000000"/>
              <w:left w:val="single" w:sz="6" w:space="0" w:color="000000"/>
              <w:bottom w:val="outset" w:sz="6" w:space="0" w:color="000000"/>
              <w:right w:val="single" w:sz="6" w:space="0" w:color="000000"/>
            </w:tcBorders>
            <w:vAlign w:val="center"/>
          </w:tcPr>
          <w:p w14:paraId="38EA9076" w14:textId="77777777" w:rsidR="00196665" w:rsidRPr="00AF3704" w:rsidRDefault="00196665" w:rsidP="009160CE">
            <w:pPr>
              <w:pStyle w:val="NormalWeb"/>
              <w:jc w:val="center"/>
              <w:rPr>
                <w:b/>
                <w:bCs/>
              </w:rPr>
            </w:pPr>
            <w:r w:rsidRPr="00AF3704">
              <w:rPr>
                <w:b/>
                <w:bCs/>
              </w:rPr>
              <w:t>II. Tiesību akta projekta ietekme uz sabiedrību, tautsaimniecības attīstību un administratīvo slogu</w:t>
            </w:r>
          </w:p>
        </w:tc>
      </w:tr>
      <w:tr w:rsidR="00196665" w:rsidRPr="00AF3704" w14:paraId="52B88A9C" w14:textId="77777777" w:rsidTr="009160CE">
        <w:tc>
          <w:tcPr>
            <w:tcW w:w="378" w:type="pct"/>
            <w:tcBorders>
              <w:top w:val="outset" w:sz="6" w:space="0" w:color="000000"/>
              <w:left w:val="outset" w:sz="6" w:space="0" w:color="000000"/>
              <w:bottom w:val="outset" w:sz="6" w:space="0" w:color="000000"/>
              <w:right w:val="outset" w:sz="6" w:space="0" w:color="000000"/>
            </w:tcBorders>
          </w:tcPr>
          <w:p w14:paraId="478BE4B7" w14:textId="77777777" w:rsidR="00196665" w:rsidRPr="00AF3704" w:rsidRDefault="00196665" w:rsidP="009160CE">
            <w:pPr>
              <w:pStyle w:val="NormalWeb"/>
            </w:pPr>
            <w:r w:rsidRPr="00AF3704">
              <w:t>1.</w:t>
            </w:r>
          </w:p>
        </w:tc>
        <w:tc>
          <w:tcPr>
            <w:tcW w:w="1516" w:type="pct"/>
            <w:tcBorders>
              <w:top w:val="outset" w:sz="6" w:space="0" w:color="000000"/>
              <w:left w:val="outset" w:sz="6" w:space="0" w:color="000000"/>
              <w:bottom w:val="outset" w:sz="6" w:space="0" w:color="000000"/>
              <w:right w:val="outset" w:sz="6" w:space="0" w:color="000000"/>
            </w:tcBorders>
          </w:tcPr>
          <w:p w14:paraId="5CD20D0E" w14:textId="77777777" w:rsidR="00196665" w:rsidRPr="00AF3704" w:rsidRDefault="00196665" w:rsidP="009160CE">
            <w:pPr>
              <w:pStyle w:val="NormalWeb"/>
            </w:pPr>
            <w:r w:rsidRPr="00AF3704">
              <w:t xml:space="preserve">Sabiedrības </w:t>
            </w:r>
            <w:proofErr w:type="spellStart"/>
            <w:r w:rsidRPr="00AF3704">
              <w:t>mērķgrupas</w:t>
            </w:r>
            <w:proofErr w:type="spellEnd"/>
            <w:r w:rsidRPr="00AF3704">
              <w:t xml:space="preserve">, kuras tiesiskais </w:t>
            </w:r>
            <w:r w:rsidRPr="00AF3704">
              <w:lastRenderedPageBreak/>
              <w:t>regulējums ietekmē vai varētu ietekmēt</w:t>
            </w:r>
          </w:p>
        </w:tc>
        <w:tc>
          <w:tcPr>
            <w:tcW w:w="3106" w:type="pct"/>
            <w:tcBorders>
              <w:top w:val="outset" w:sz="6" w:space="0" w:color="000000"/>
              <w:left w:val="outset" w:sz="6" w:space="0" w:color="000000"/>
              <w:bottom w:val="outset" w:sz="6" w:space="0" w:color="000000"/>
              <w:right w:val="outset" w:sz="6" w:space="0" w:color="000000"/>
            </w:tcBorders>
          </w:tcPr>
          <w:p w14:paraId="014BC45B" w14:textId="77777777" w:rsidR="00196665" w:rsidRPr="00AF3704" w:rsidRDefault="00196665" w:rsidP="009160CE">
            <w:pPr>
              <w:jc w:val="both"/>
            </w:pPr>
            <w:r w:rsidRPr="00AF3704">
              <w:lastRenderedPageBreak/>
              <w:t>MK noteikumu projekta tiesiskais regulējums ietekmēs nodokļu maksātājus – juridiskas un fiziskas personas, kurām nepieciešams saņemt</w:t>
            </w:r>
            <w:r>
              <w:t xml:space="preserve"> nodokļu atvieglojumu </w:t>
            </w:r>
            <w:r>
              <w:lastRenderedPageBreak/>
              <w:t>apliecības, atmaksāšanas apliecības</w:t>
            </w:r>
            <w:r w:rsidRPr="00507DF9">
              <w:t>, pastāvīgās pārstāvni</w:t>
            </w:r>
            <w:r>
              <w:t>ecības nereģistrēšanas apliecības</w:t>
            </w:r>
            <w:r w:rsidRPr="00507DF9">
              <w:t xml:space="preserve"> </w:t>
            </w:r>
            <w:r>
              <w:t xml:space="preserve">un rezidenta apliecības. </w:t>
            </w:r>
          </w:p>
        </w:tc>
      </w:tr>
      <w:tr w:rsidR="00196665" w:rsidRPr="00AF3704" w14:paraId="23572B05" w14:textId="77777777" w:rsidTr="009160CE">
        <w:tc>
          <w:tcPr>
            <w:tcW w:w="378" w:type="pct"/>
            <w:tcBorders>
              <w:top w:val="outset" w:sz="6" w:space="0" w:color="000000"/>
              <w:left w:val="outset" w:sz="6" w:space="0" w:color="000000"/>
              <w:bottom w:val="outset" w:sz="6" w:space="0" w:color="000000"/>
              <w:right w:val="outset" w:sz="6" w:space="0" w:color="000000"/>
            </w:tcBorders>
          </w:tcPr>
          <w:p w14:paraId="0CAA5B51" w14:textId="77777777" w:rsidR="00196665" w:rsidRPr="00AF3704" w:rsidRDefault="00196665" w:rsidP="009160CE">
            <w:pPr>
              <w:pStyle w:val="NormalWeb"/>
            </w:pPr>
            <w:r w:rsidRPr="00AF3704">
              <w:lastRenderedPageBreak/>
              <w:t>2.</w:t>
            </w:r>
          </w:p>
        </w:tc>
        <w:tc>
          <w:tcPr>
            <w:tcW w:w="1516" w:type="pct"/>
            <w:tcBorders>
              <w:top w:val="outset" w:sz="6" w:space="0" w:color="000000"/>
              <w:left w:val="outset" w:sz="6" w:space="0" w:color="000000"/>
              <w:bottom w:val="outset" w:sz="6" w:space="0" w:color="000000"/>
              <w:right w:val="outset" w:sz="6" w:space="0" w:color="000000"/>
            </w:tcBorders>
          </w:tcPr>
          <w:p w14:paraId="7E7DECCB" w14:textId="77777777" w:rsidR="00196665" w:rsidRPr="00AF3704" w:rsidRDefault="00196665" w:rsidP="009160CE">
            <w:pPr>
              <w:pStyle w:val="NormalWeb"/>
            </w:pPr>
            <w:r w:rsidRPr="00AF3704">
              <w:t>Tiesiskā regulējuma ietekme uz tautsaimniecību un administratīvo slogu</w:t>
            </w:r>
          </w:p>
        </w:tc>
        <w:tc>
          <w:tcPr>
            <w:tcW w:w="3106" w:type="pct"/>
            <w:tcBorders>
              <w:top w:val="outset" w:sz="6" w:space="0" w:color="000000"/>
              <w:left w:val="outset" w:sz="6" w:space="0" w:color="000000"/>
              <w:bottom w:val="outset" w:sz="6" w:space="0" w:color="000000"/>
              <w:right w:val="outset" w:sz="6" w:space="0" w:color="000000"/>
            </w:tcBorders>
          </w:tcPr>
          <w:p w14:paraId="3FF214B1" w14:textId="77777777" w:rsidR="00196665" w:rsidRPr="00AF3704" w:rsidRDefault="00196665" w:rsidP="009160CE">
            <w:pPr>
              <w:jc w:val="both"/>
            </w:pPr>
            <w:r w:rsidRPr="00AF3704">
              <w:t xml:space="preserve">Sagaidāmais rezultāts: </w:t>
            </w:r>
          </w:p>
          <w:p w14:paraId="4510A856" w14:textId="77777777" w:rsidR="00196665" w:rsidRPr="00AF3704" w:rsidRDefault="00196665" w:rsidP="009160CE">
            <w:pPr>
              <w:jc w:val="both"/>
            </w:pPr>
            <w:r w:rsidRPr="00AF3704">
              <w:t>•</w:t>
            </w:r>
            <w:r w:rsidRPr="00AF3704">
              <w:tab/>
            </w:r>
            <w:r w:rsidRPr="00C61E8C">
              <w:t>nodokļu atvieglojumu apliecības, atmaksāšanas apliecības, pastāvīgās pārstāvniecības nereģistrēšanas apl</w:t>
            </w:r>
            <w:r>
              <w:t xml:space="preserve">iecības un rezidenta apliecības </w:t>
            </w:r>
            <w:r w:rsidRPr="00AF3704">
              <w:t>sagatavošanas procesa vienkāršošana un pakalpojuma saņemšanas paātrināšana</w:t>
            </w:r>
            <w:r>
              <w:t>, VID E-pakalpojumu klāsta palielināšana un pieejamība</w:t>
            </w:r>
            <w:r w:rsidRPr="00AF3704">
              <w:t>;</w:t>
            </w:r>
          </w:p>
          <w:p w14:paraId="2B16C382" w14:textId="77777777" w:rsidR="00196665" w:rsidRPr="00AF3704" w:rsidRDefault="00196665" w:rsidP="009160CE">
            <w:pPr>
              <w:jc w:val="both"/>
            </w:pPr>
            <w:r w:rsidRPr="00AF3704">
              <w:t>•</w:t>
            </w:r>
            <w:r w:rsidRPr="00AF3704">
              <w:tab/>
              <w:t>pakalpojuma kvalitātes uzlabošana, samazinot cilvēciskā faktora kļūdas.</w:t>
            </w:r>
          </w:p>
        </w:tc>
      </w:tr>
      <w:tr w:rsidR="00196665" w:rsidRPr="00AF3704" w14:paraId="530E5869" w14:textId="77777777" w:rsidTr="009160CE">
        <w:tc>
          <w:tcPr>
            <w:tcW w:w="378" w:type="pct"/>
            <w:tcBorders>
              <w:top w:val="outset" w:sz="6" w:space="0" w:color="000000"/>
              <w:left w:val="outset" w:sz="6" w:space="0" w:color="000000"/>
              <w:bottom w:val="outset" w:sz="6" w:space="0" w:color="000000"/>
              <w:right w:val="outset" w:sz="6" w:space="0" w:color="000000"/>
            </w:tcBorders>
          </w:tcPr>
          <w:p w14:paraId="621A1BA8" w14:textId="77777777" w:rsidR="00196665" w:rsidRPr="00AF3704" w:rsidRDefault="00196665" w:rsidP="009160CE">
            <w:pPr>
              <w:pStyle w:val="NormalWeb"/>
            </w:pPr>
            <w:r w:rsidRPr="00AF3704">
              <w:t>3.</w:t>
            </w:r>
          </w:p>
        </w:tc>
        <w:tc>
          <w:tcPr>
            <w:tcW w:w="1516" w:type="pct"/>
            <w:tcBorders>
              <w:top w:val="outset" w:sz="6" w:space="0" w:color="000000"/>
              <w:left w:val="outset" w:sz="6" w:space="0" w:color="000000"/>
              <w:bottom w:val="outset" w:sz="6" w:space="0" w:color="000000"/>
              <w:right w:val="outset" w:sz="6" w:space="0" w:color="000000"/>
            </w:tcBorders>
          </w:tcPr>
          <w:p w14:paraId="1EA3E8C1" w14:textId="77777777" w:rsidR="00196665" w:rsidRPr="00AF3704" w:rsidRDefault="00196665" w:rsidP="009160CE">
            <w:pPr>
              <w:pStyle w:val="NormalWeb"/>
            </w:pPr>
            <w:r w:rsidRPr="00AF3704">
              <w:t>Administratīvo izmaksu monetārs novērtējums</w:t>
            </w:r>
          </w:p>
        </w:tc>
        <w:tc>
          <w:tcPr>
            <w:tcW w:w="3106" w:type="pct"/>
            <w:tcBorders>
              <w:top w:val="outset" w:sz="6" w:space="0" w:color="000000"/>
              <w:left w:val="outset" w:sz="6" w:space="0" w:color="000000"/>
              <w:bottom w:val="outset" w:sz="6" w:space="0" w:color="000000"/>
              <w:right w:val="outset" w:sz="6" w:space="0" w:color="000000"/>
            </w:tcBorders>
          </w:tcPr>
          <w:p w14:paraId="1124FD19" w14:textId="77777777" w:rsidR="00196665" w:rsidRPr="00AF3704" w:rsidRDefault="00196665" w:rsidP="009160CE">
            <w:pPr>
              <w:pStyle w:val="NormalWeb"/>
              <w:spacing w:before="0" w:beforeAutospacing="0" w:after="0" w:afterAutospacing="0"/>
              <w:jc w:val="both"/>
              <w:rPr>
                <w:color w:val="000000" w:themeColor="text1"/>
              </w:rPr>
            </w:pPr>
            <w:r w:rsidRPr="00AF3704">
              <w:rPr>
                <w:color w:val="000000" w:themeColor="text1"/>
              </w:rPr>
              <w:t xml:space="preserve">Nav. </w:t>
            </w:r>
          </w:p>
        </w:tc>
      </w:tr>
      <w:tr w:rsidR="00196665" w:rsidRPr="00AF3704" w14:paraId="40E041F2" w14:textId="77777777" w:rsidTr="009160CE">
        <w:tc>
          <w:tcPr>
            <w:tcW w:w="378" w:type="pct"/>
            <w:tcBorders>
              <w:top w:val="outset" w:sz="6" w:space="0" w:color="000000"/>
              <w:left w:val="outset" w:sz="6" w:space="0" w:color="000000"/>
              <w:bottom w:val="outset" w:sz="6" w:space="0" w:color="000000"/>
              <w:right w:val="outset" w:sz="6" w:space="0" w:color="000000"/>
            </w:tcBorders>
          </w:tcPr>
          <w:p w14:paraId="6862940D" w14:textId="77777777" w:rsidR="00196665" w:rsidRPr="00AF3704" w:rsidRDefault="00196665" w:rsidP="009160CE">
            <w:pPr>
              <w:pStyle w:val="NormalWeb"/>
            </w:pPr>
            <w:r w:rsidRPr="00AF3704">
              <w:t>4.</w:t>
            </w:r>
          </w:p>
        </w:tc>
        <w:tc>
          <w:tcPr>
            <w:tcW w:w="1516" w:type="pct"/>
            <w:tcBorders>
              <w:top w:val="outset" w:sz="6" w:space="0" w:color="000000"/>
              <w:left w:val="outset" w:sz="6" w:space="0" w:color="000000"/>
              <w:bottom w:val="outset" w:sz="6" w:space="0" w:color="000000"/>
              <w:right w:val="outset" w:sz="6" w:space="0" w:color="000000"/>
            </w:tcBorders>
          </w:tcPr>
          <w:p w14:paraId="28D6A3BF" w14:textId="77777777" w:rsidR="00196665" w:rsidRPr="00AF3704" w:rsidRDefault="00196665" w:rsidP="009160CE">
            <w:pPr>
              <w:pStyle w:val="NormalWeb"/>
            </w:pPr>
            <w:r w:rsidRPr="00AF3704">
              <w:t>Cita informācija</w:t>
            </w:r>
          </w:p>
        </w:tc>
        <w:tc>
          <w:tcPr>
            <w:tcW w:w="3106" w:type="pct"/>
            <w:tcBorders>
              <w:top w:val="outset" w:sz="6" w:space="0" w:color="000000"/>
              <w:left w:val="outset" w:sz="6" w:space="0" w:color="000000"/>
              <w:bottom w:val="outset" w:sz="6" w:space="0" w:color="000000"/>
              <w:right w:val="outset" w:sz="6" w:space="0" w:color="000000"/>
            </w:tcBorders>
          </w:tcPr>
          <w:p w14:paraId="4D5494E0" w14:textId="77777777" w:rsidR="00196665" w:rsidRPr="00AF3704" w:rsidRDefault="00196665" w:rsidP="009160CE">
            <w:pPr>
              <w:pStyle w:val="NormalWeb"/>
              <w:jc w:val="both"/>
              <w:rPr>
                <w:color w:val="000000" w:themeColor="text1"/>
              </w:rPr>
            </w:pPr>
            <w:r w:rsidRPr="00AF3704">
              <w:rPr>
                <w:color w:val="000000" w:themeColor="text1"/>
              </w:rPr>
              <w:t>Nav.</w:t>
            </w:r>
          </w:p>
        </w:tc>
      </w:tr>
    </w:tbl>
    <w:p w14:paraId="764EC251" w14:textId="77777777" w:rsidR="00196665" w:rsidRPr="00AF3704" w:rsidRDefault="00196665" w:rsidP="00196665"/>
    <w:tbl>
      <w:tblPr>
        <w:tblW w:w="7643" w:type="pct"/>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3236"/>
        <w:gridCol w:w="776"/>
        <w:gridCol w:w="1040"/>
        <w:gridCol w:w="1166"/>
        <w:gridCol w:w="1164"/>
        <w:gridCol w:w="1161"/>
        <w:gridCol w:w="1161"/>
        <w:gridCol w:w="1161"/>
        <w:gridCol w:w="1161"/>
        <w:gridCol w:w="1166"/>
      </w:tblGrid>
      <w:tr w:rsidR="00196665" w:rsidRPr="00AF3704" w14:paraId="764C7270" w14:textId="77777777" w:rsidTr="009160CE">
        <w:trPr>
          <w:gridAfter w:val="4"/>
          <w:wAfter w:w="1762" w:type="pct"/>
        </w:trPr>
        <w:tc>
          <w:tcPr>
            <w:tcW w:w="3238" w:type="pct"/>
            <w:gridSpan w:val="6"/>
            <w:tcBorders>
              <w:top w:val="single" w:sz="4" w:space="0" w:color="auto"/>
              <w:left w:val="single" w:sz="4" w:space="0" w:color="auto"/>
              <w:bottom w:val="single" w:sz="4" w:space="0" w:color="auto"/>
              <w:right w:val="single" w:sz="4" w:space="0" w:color="auto"/>
            </w:tcBorders>
          </w:tcPr>
          <w:p w14:paraId="4681A2B9" w14:textId="77777777" w:rsidR="00196665" w:rsidRPr="00AF3704" w:rsidRDefault="00196665" w:rsidP="009160CE">
            <w:pPr>
              <w:jc w:val="center"/>
              <w:rPr>
                <w:b/>
                <w:i/>
              </w:rPr>
            </w:pPr>
            <w:r w:rsidRPr="00AF3704">
              <w:br w:type="page"/>
            </w:r>
            <w:r w:rsidRPr="00AF3704">
              <w:rPr>
                <w:b/>
                <w:bCs/>
              </w:rPr>
              <w:t>III. Tiesību akta projekta ietekme uz valsts budžetu un pašvaldību budžetiem</w:t>
            </w:r>
          </w:p>
        </w:tc>
      </w:tr>
      <w:tr w:rsidR="00196665" w:rsidRPr="00AF3704" w14:paraId="75E56FB6" w14:textId="77777777" w:rsidTr="009160CE">
        <w:trPr>
          <w:gridAfter w:val="4"/>
          <w:wAfter w:w="1762" w:type="pct"/>
          <w:trHeight w:val="30"/>
        </w:trPr>
        <w:tc>
          <w:tcPr>
            <w:tcW w:w="1227" w:type="pct"/>
            <w:vMerge w:val="restart"/>
            <w:tcBorders>
              <w:top w:val="single" w:sz="4" w:space="0" w:color="auto"/>
              <w:left w:val="single" w:sz="4" w:space="0" w:color="auto"/>
              <w:right w:val="single" w:sz="4" w:space="0" w:color="auto"/>
            </w:tcBorders>
            <w:vAlign w:val="center"/>
          </w:tcPr>
          <w:p w14:paraId="6DCF2DB8" w14:textId="77777777" w:rsidR="00196665" w:rsidRPr="00AF3704" w:rsidRDefault="00196665" w:rsidP="009160CE">
            <w:pPr>
              <w:tabs>
                <w:tab w:val="left" w:pos="3120"/>
                <w:tab w:val="left" w:pos="3270"/>
              </w:tabs>
              <w:jc w:val="center"/>
            </w:pPr>
            <w:r w:rsidRPr="00AF3704">
              <w:t>Rādītāji</w:t>
            </w:r>
          </w:p>
        </w:tc>
        <w:tc>
          <w:tcPr>
            <w:tcW w:w="688" w:type="pct"/>
            <w:gridSpan w:val="2"/>
            <w:vMerge w:val="restart"/>
            <w:tcBorders>
              <w:top w:val="single" w:sz="4" w:space="0" w:color="auto"/>
              <w:left w:val="single" w:sz="4" w:space="0" w:color="auto"/>
              <w:right w:val="single" w:sz="4" w:space="0" w:color="auto"/>
            </w:tcBorders>
            <w:vAlign w:val="center"/>
          </w:tcPr>
          <w:p w14:paraId="4019CF93" w14:textId="58B564AA" w:rsidR="00196665" w:rsidRPr="00AF3704" w:rsidRDefault="00A56ABA" w:rsidP="009160CE">
            <w:pPr>
              <w:tabs>
                <w:tab w:val="left" w:pos="3120"/>
                <w:tab w:val="left" w:pos="3270"/>
              </w:tabs>
              <w:jc w:val="center"/>
            </w:pPr>
            <w:r>
              <w:t>2020.</w:t>
            </w:r>
            <w:r w:rsidR="00196665" w:rsidRPr="00AF3704">
              <w:t xml:space="preserve"> gads</w:t>
            </w:r>
          </w:p>
        </w:tc>
        <w:tc>
          <w:tcPr>
            <w:tcW w:w="1323" w:type="pct"/>
            <w:gridSpan w:val="3"/>
            <w:tcBorders>
              <w:top w:val="single" w:sz="4" w:space="0" w:color="auto"/>
              <w:left w:val="single" w:sz="4" w:space="0" w:color="auto"/>
              <w:bottom w:val="single" w:sz="4" w:space="0" w:color="auto"/>
              <w:right w:val="single" w:sz="4" w:space="0" w:color="auto"/>
            </w:tcBorders>
            <w:vAlign w:val="center"/>
          </w:tcPr>
          <w:p w14:paraId="393D0B40" w14:textId="77777777" w:rsidR="00196665" w:rsidRPr="00AF3704" w:rsidRDefault="00196665" w:rsidP="009160CE">
            <w:pPr>
              <w:tabs>
                <w:tab w:val="left" w:pos="3120"/>
                <w:tab w:val="left" w:pos="3270"/>
              </w:tabs>
              <w:jc w:val="center"/>
            </w:pPr>
            <w:r w:rsidRPr="00AF3704">
              <w:t>Turpmākie trīs gadi (</w:t>
            </w:r>
            <w:proofErr w:type="spellStart"/>
            <w:r w:rsidRPr="00AF3704">
              <w:t>euro</w:t>
            </w:r>
            <w:proofErr w:type="spellEnd"/>
            <w:r w:rsidRPr="00AF3704">
              <w:t>)</w:t>
            </w:r>
          </w:p>
        </w:tc>
      </w:tr>
      <w:tr w:rsidR="00196665" w:rsidRPr="00AF3704" w14:paraId="4CC6114A" w14:textId="77777777" w:rsidTr="009160CE">
        <w:trPr>
          <w:gridAfter w:val="4"/>
          <w:wAfter w:w="1762" w:type="pct"/>
          <w:trHeight w:val="20"/>
        </w:trPr>
        <w:tc>
          <w:tcPr>
            <w:tcW w:w="1227" w:type="pct"/>
            <w:vMerge/>
            <w:tcBorders>
              <w:left w:val="single" w:sz="4" w:space="0" w:color="auto"/>
              <w:right w:val="single" w:sz="4" w:space="0" w:color="auto"/>
            </w:tcBorders>
            <w:vAlign w:val="center"/>
          </w:tcPr>
          <w:p w14:paraId="7DFB94AC" w14:textId="77777777" w:rsidR="00196665" w:rsidRPr="00AF3704" w:rsidRDefault="00196665" w:rsidP="009160CE">
            <w:pPr>
              <w:tabs>
                <w:tab w:val="left" w:pos="3120"/>
                <w:tab w:val="left" w:pos="3270"/>
              </w:tabs>
              <w:jc w:val="center"/>
            </w:pPr>
          </w:p>
        </w:tc>
        <w:tc>
          <w:tcPr>
            <w:tcW w:w="688" w:type="pct"/>
            <w:gridSpan w:val="2"/>
            <w:vMerge/>
            <w:tcBorders>
              <w:left w:val="single" w:sz="4" w:space="0" w:color="auto"/>
              <w:bottom w:val="single" w:sz="4" w:space="0" w:color="auto"/>
              <w:right w:val="single" w:sz="4" w:space="0" w:color="auto"/>
            </w:tcBorders>
            <w:vAlign w:val="center"/>
          </w:tcPr>
          <w:p w14:paraId="3783788E" w14:textId="77777777" w:rsidR="00196665" w:rsidRPr="00AF3704" w:rsidRDefault="00196665" w:rsidP="009160CE">
            <w:pPr>
              <w:tabs>
                <w:tab w:val="left" w:pos="3120"/>
                <w:tab w:val="left" w:pos="3270"/>
              </w:tabs>
              <w:jc w:val="center"/>
            </w:pPr>
          </w:p>
        </w:tc>
        <w:tc>
          <w:tcPr>
            <w:tcW w:w="442" w:type="pct"/>
            <w:tcBorders>
              <w:top w:val="single" w:sz="4" w:space="0" w:color="auto"/>
              <w:left w:val="single" w:sz="4" w:space="0" w:color="auto"/>
              <w:bottom w:val="single" w:sz="4" w:space="0" w:color="auto"/>
              <w:right w:val="single" w:sz="4" w:space="0" w:color="auto"/>
            </w:tcBorders>
            <w:vAlign w:val="center"/>
          </w:tcPr>
          <w:p w14:paraId="49B4B2FB" w14:textId="41E3BD7A" w:rsidR="00196665" w:rsidRPr="00AF3704" w:rsidRDefault="00A56ABA" w:rsidP="009160CE">
            <w:pPr>
              <w:tabs>
                <w:tab w:val="left" w:pos="3120"/>
                <w:tab w:val="left" w:pos="3270"/>
              </w:tabs>
              <w:jc w:val="center"/>
              <w:rPr>
                <w:b/>
              </w:rPr>
            </w:pPr>
            <w:r>
              <w:rPr>
                <w:b/>
              </w:rPr>
              <w:t>2021.g.</w:t>
            </w:r>
          </w:p>
        </w:tc>
        <w:tc>
          <w:tcPr>
            <w:tcW w:w="441" w:type="pct"/>
            <w:tcBorders>
              <w:top w:val="single" w:sz="4" w:space="0" w:color="auto"/>
              <w:left w:val="single" w:sz="4" w:space="0" w:color="auto"/>
              <w:bottom w:val="single" w:sz="4" w:space="0" w:color="auto"/>
              <w:right w:val="single" w:sz="4" w:space="0" w:color="auto"/>
            </w:tcBorders>
            <w:vAlign w:val="center"/>
          </w:tcPr>
          <w:p w14:paraId="34432764" w14:textId="58E8DB7E" w:rsidR="00196665" w:rsidRPr="00AF3704" w:rsidRDefault="00A56ABA" w:rsidP="009160CE">
            <w:pPr>
              <w:tabs>
                <w:tab w:val="left" w:pos="3120"/>
                <w:tab w:val="left" w:pos="3270"/>
              </w:tabs>
              <w:jc w:val="center"/>
              <w:rPr>
                <w:b/>
              </w:rPr>
            </w:pPr>
            <w:r>
              <w:rPr>
                <w:b/>
              </w:rPr>
              <w:t>2022.g.</w:t>
            </w:r>
          </w:p>
        </w:tc>
        <w:tc>
          <w:tcPr>
            <w:tcW w:w="440" w:type="pct"/>
            <w:tcBorders>
              <w:top w:val="single" w:sz="4" w:space="0" w:color="auto"/>
              <w:left w:val="single" w:sz="4" w:space="0" w:color="auto"/>
              <w:bottom w:val="single" w:sz="4" w:space="0" w:color="auto"/>
              <w:right w:val="single" w:sz="4" w:space="0" w:color="auto"/>
            </w:tcBorders>
            <w:vAlign w:val="center"/>
          </w:tcPr>
          <w:p w14:paraId="0F4B09DD" w14:textId="7839595F" w:rsidR="00196665" w:rsidRPr="00AF3704" w:rsidRDefault="00A56ABA" w:rsidP="009160CE">
            <w:pPr>
              <w:tabs>
                <w:tab w:val="left" w:pos="3120"/>
                <w:tab w:val="left" w:pos="3270"/>
              </w:tabs>
              <w:jc w:val="center"/>
              <w:rPr>
                <w:b/>
              </w:rPr>
            </w:pPr>
            <w:r>
              <w:rPr>
                <w:b/>
                <w:bCs/>
                <w:color w:val="000000" w:themeColor="text1"/>
              </w:rPr>
              <w:t>2023.g.</w:t>
            </w:r>
          </w:p>
        </w:tc>
      </w:tr>
      <w:tr w:rsidR="00196665" w:rsidRPr="00AF3704" w14:paraId="7C3DE903" w14:textId="77777777" w:rsidTr="009160CE">
        <w:trPr>
          <w:gridAfter w:val="4"/>
          <w:wAfter w:w="1762" w:type="pct"/>
          <w:trHeight w:val="20"/>
        </w:trPr>
        <w:tc>
          <w:tcPr>
            <w:tcW w:w="1227" w:type="pct"/>
            <w:vMerge/>
            <w:tcBorders>
              <w:left w:val="single" w:sz="4" w:space="0" w:color="auto"/>
              <w:bottom w:val="single" w:sz="4" w:space="0" w:color="auto"/>
              <w:right w:val="single" w:sz="4" w:space="0" w:color="auto"/>
            </w:tcBorders>
            <w:vAlign w:val="center"/>
          </w:tcPr>
          <w:p w14:paraId="659231F3" w14:textId="77777777" w:rsidR="00196665" w:rsidRPr="00AF3704" w:rsidRDefault="00196665" w:rsidP="009160CE">
            <w:pPr>
              <w:tabs>
                <w:tab w:val="left" w:pos="3120"/>
                <w:tab w:val="left" w:pos="3270"/>
              </w:tabs>
              <w:jc w:val="center"/>
            </w:pPr>
          </w:p>
        </w:tc>
        <w:tc>
          <w:tcPr>
            <w:tcW w:w="294" w:type="pct"/>
            <w:tcBorders>
              <w:top w:val="single" w:sz="4" w:space="0" w:color="auto"/>
              <w:left w:val="single" w:sz="4" w:space="0" w:color="auto"/>
              <w:bottom w:val="single" w:sz="4" w:space="0" w:color="auto"/>
              <w:right w:val="single" w:sz="4" w:space="0" w:color="auto"/>
            </w:tcBorders>
            <w:vAlign w:val="center"/>
          </w:tcPr>
          <w:p w14:paraId="349330F6" w14:textId="77777777" w:rsidR="00196665" w:rsidRPr="00B10E13" w:rsidRDefault="00196665" w:rsidP="009160CE">
            <w:pPr>
              <w:tabs>
                <w:tab w:val="left" w:pos="3120"/>
                <w:tab w:val="left" w:pos="3270"/>
              </w:tabs>
              <w:jc w:val="center"/>
            </w:pPr>
            <w:r w:rsidRPr="00B10E13">
              <w:t>saskaņā ar valsts budžetu kārtējam gadam</w:t>
            </w:r>
          </w:p>
        </w:tc>
        <w:tc>
          <w:tcPr>
            <w:tcW w:w="394" w:type="pct"/>
            <w:tcBorders>
              <w:top w:val="single" w:sz="4" w:space="0" w:color="auto"/>
              <w:left w:val="single" w:sz="4" w:space="0" w:color="auto"/>
              <w:bottom w:val="single" w:sz="4" w:space="0" w:color="auto"/>
              <w:right w:val="single" w:sz="4" w:space="0" w:color="auto"/>
            </w:tcBorders>
            <w:vAlign w:val="center"/>
          </w:tcPr>
          <w:p w14:paraId="0DCA269C" w14:textId="77777777" w:rsidR="00196665" w:rsidRPr="00B10E13" w:rsidRDefault="00196665" w:rsidP="009160CE">
            <w:pPr>
              <w:tabs>
                <w:tab w:val="left" w:pos="3120"/>
                <w:tab w:val="left" w:pos="3270"/>
              </w:tabs>
              <w:jc w:val="center"/>
            </w:pPr>
            <w:r w:rsidRPr="00B10E13">
              <w:rPr>
                <w:color w:val="000000" w:themeColor="text1"/>
              </w:rPr>
              <w:t>izmaiņas kārtējā gadā, salīdzinot ar valsts budžetu kārtējam gadam</w:t>
            </w:r>
          </w:p>
        </w:tc>
        <w:tc>
          <w:tcPr>
            <w:tcW w:w="442" w:type="pct"/>
            <w:tcBorders>
              <w:top w:val="single" w:sz="4" w:space="0" w:color="auto"/>
              <w:left w:val="single" w:sz="4" w:space="0" w:color="auto"/>
              <w:bottom w:val="single" w:sz="4" w:space="0" w:color="auto"/>
              <w:right w:val="single" w:sz="4" w:space="0" w:color="auto"/>
            </w:tcBorders>
            <w:vAlign w:val="center"/>
          </w:tcPr>
          <w:p w14:paraId="1F37EEF6" w14:textId="4B26813B" w:rsidR="00196665" w:rsidRPr="00AF3704" w:rsidRDefault="00196665" w:rsidP="00A56ABA">
            <w:pPr>
              <w:tabs>
                <w:tab w:val="left" w:pos="3120"/>
                <w:tab w:val="left" w:pos="3270"/>
              </w:tabs>
              <w:jc w:val="center"/>
            </w:pPr>
            <w:r w:rsidRPr="00AF3704">
              <w:t xml:space="preserve">izmaiņas, salīdzinot ar kārtējo </w:t>
            </w:r>
            <w:r w:rsidR="00A56ABA">
              <w:t>2021.gadu</w:t>
            </w:r>
          </w:p>
        </w:tc>
        <w:tc>
          <w:tcPr>
            <w:tcW w:w="441" w:type="pct"/>
            <w:tcBorders>
              <w:top w:val="single" w:sz="4" w:space="0" w:color="auto"/>
              <w:left w:val="single" w:sz="4" w:space="0" w:color="auto"/>
              <w:bottom w:val="single" w:sz="4" w:space="0" w:color="auto"/>
              <w:right w:val="single" w:sz="4" w:space="0" w:color="auto"/>
            </w:tcBorders>
            <w:vAlign w:val="center"/>
          </w:tcPr>
          <w:p w14:paraId="3FD7275D" w14:textId="1F3887AE" w:rsidR="00196665" w:rsidRPr="00AF3704" w:rsidRDefault="00196665" w:rsidP="00A56ABA">
            <w:pPr>
              <w:tabs>
                <w:tab w:val="left" w:pos="3120"/>
                <w:tab w:val="left" w:pos="3270"/>
              </w:tabs>
              <w:jc w:val="center"/>
            </w:pPr>
            <w:r w:rsidRPr="00AF3704">
              <w:t xml:space="preserve">izmaiņas, salīdzinot ar kārtējo </w:t>
            </w:r>
            <w:r w:rsidR="00A56ABA">
              <w:t>2022.</w:t>
            </w:r>
            <w:r w:rsidRPr="00AF3704">
              <w:t xml:space="preserve"> gadu</w:t>
            </w:r>
          </w:p>
        </w:tc>
        <w:tc>
          <w:tcPr>
            <w:tcW w:w="440" w:type="pct"/>
            <w:tcBorders>
              <w:top w:val="single" w:sz="4" w:space="0" w:color="auto"/>
              <w:left w:val="single" w:sz="4" w:space="0" w:color="auto"/>
              <w:bottom w:val="single" w:sz="4" w:space="0" w:color="auto"/>
              <w:right w:val="single" w:sz="4" w:space="0" w:color="auto"/>
            </w:tcBorders>
            <w:vAlign w:val="center"/>
          </w:tcPr>
          <w:p w14:paraId="3C0DE604" w14:textId="56B9F07B" w:rsidR="00196665" w:rsidRPr="00AF3704" w:rsidRDefault="00196665" w:rsidP="00A56ABA">
            <w:pPr>
              <w:tabs>
                <w:tab w:val="left" w:pos="3120"/>
                <w:tab w:val="left" w:pos="3270"/>
              </w:tabs>
              <w:jc w:val="center"/>
            </w:pPr>
            <w:r w:rsidRPr="00AF3704">
              <w:t xml:space="preserve">izmaiņas, salīdzinot ar kārtējo </w:t>
            </w:r>
            <w:r w:rsidR="00A56ABA">
              <w:t>2022.</w:t>
            </w:r>
            <w:r w:rsidRPr="00AF3704">
              <w:t xml:space="preserve"> gadu</w:t>
            </w:r>
          </w:p>
        </w:tc>
      </w:tr>
      <w:tr w:rsidR="00196665" w:rsidRPr="00AF3704" w14:paraId="6D82EFA7" w14:textId="77777777" w:rsidTr="009160CE">
        <w:trPr>
          <w:gridAfter w:val="4"/>
          <w:wAfter w:w="1762" w:type="pct"/>
          <w:trHeight w:val="20"/>
        </w:trPr>
        <w:tc>
          <w:tcPr>
            <w:tcW w:w="1227" w:type="pct"/>
            <w:tcBorders>
              <w:top w:val="single" w:sz="4" w:space="0" w:color="auto"/>
              <w:left w:val="single" w:sz="4" w:space="0" w:color="auto"/>
              <w:bottom w:val="single" w:sz="4" w:space="0" w:color="auto"/>
              <w:right w:val="single" w:sz="4" w:space="0" w:color="auto"/>
            </w:tcBorders>
            <w:vAlign w:val="center"/>
          </w:tcPr>
          <w:p w14:paraId="6E2115D1" w14:textId="77777777" w:rsidR="00196665" w:rsidRPr="00AF3704" w:rsidRDefault="00196665" w:rsidP="009160CE">
            <w:pPr>
              <w:tabs>
                <w:tab w:val="left" w:pos="3120"/>
                <w:tab w:val="left" w:pos="3270"/>
              </w:tabs>
              <w:jc w:val="center"/>
            </w:pPr>
            <w:r w:rsidRPr="00AF3704">
              <w:t>1</w:t>
            </w:r>
          </w:p>
        </w:tc>
        <w:tc>
          <w:tcPr>
            <w:tcW w:w="294" w:type="pct"/>
            <w:tcBorders>
              <w:top w:val="single" w:sz="4" w:space="0" w:color="auto"/>
              <w:left w:val="single" w:sz="4" w:space="0" w:color="auto"/>
              <w:bottom w:val="single" w:sz="4" w:space="0" w:color="auto"/>
              <w:right w:val="single" w:sz="4" w:space="0" w:color="auto"/>
            </w:tcBorders>
            <w:vAlign w:val="center"/>
          </w:tcPr>
          <w:p w14:paraId="064EEB57" w14:textId="77777777" w:rsidR="00196665" w:rsidRPr="00B10E13" w:rsidRDefault="00196665" w:rsidP="009160CE">
            <w:pPr>
              <w:tabs>
                <w:tab w:val="left" w:pos="3120"/>
                <w:tab w:val="left" w:pos="3270"/>
              </w:tabs>
              <w:jc w:val="center"/>
            </w:pPr>
            <w:r w:rsidRPr="00B10E13">
              <w:t>2</w:t>
            </w:r>
          </w:p>
        </w:tc>
        <w:tc>
          <w:tcPr>
            <w:tcW w:w="394" w:type="pct"/>
            <w:tcBorders>
              <w:top w:val="single" w:sz="4" w:space="0" w:color="auto"/>
              <w:left w:val="single" w:sz="4" w:space="0" w:color="auto"/>
              <w:bottom w:val="single" w:sz="4" w:space="0" w:color="auto"/>
              <w:right w:val="single" w:sz="4" w:space="0" w:color="auto"/>
            </w:tcBorders>
            <w:vAlign w:val="center"/>
          </w:tcPr>
          <w:p w14:paraId="1CA71830" w14:textId="77777777" w:rsidR="00196665" w:rsidRPr="00B10E13" w:rsidRDefault="00196665" w:rsidP="009160CE">
            <w:pPr>
              <w:tabs>
                <w:tab w:val="left" w:pos="3120"/>
                <w:tab w:val="left" w:pos="3270"/>
              </w:tabs>
              <w:jc w:val="center"/>
            </w:pPr>
            <w:r w:rsidRPr="00B10E13">
              <w:t>3</w:t>
            </w:r>
          </w:p>
        </w:tc>
        <w:tc>
          <w:tcPr>
            <w:tcW w:w="442" w:type="pct"/>
            <w:tcBorders>
              <w:top w:val="single" w:sz="4" w:space="0" w:color="auto"/>
              <w:left w:val="single" w:sz="4" w:space="0" w:color="auto"/>
              <w:bottom w:val="single" w:sz="4" w:space="0" w:color="auto"/>
              <w:right w:val="single" w:sz="4" w:space="0" w:color="auto"/>
            </w:tcBorders>
            <w:vAlign w:val="center"/>
          </w:tcPr>
          <w:p w14:paraId="5157AA06" w14:textId="77777777" w:rsidR="00196665" w:rsidRPr="00AF3704" w:rsidRDefault="00196665" w:rsidP="009160CE">
            <w:pPr>
              <w:tabs>
                <w:tab w:val="left" w:pos="3120"/>
                <w:tab w:val="left" w:pos="3270"/>
              </w:tabs>
              <w:jc w:val="center"/>
            </w:pPr>
            <w:r w:rsidRPr="00AF3704">
              <w:t>4</w:t>
            </w:r>
          </w:p>
        </w:tc>
        <w:tc>
          <w:tcPr>
            <w:tcW w:w="441" w:type="pct"/>
            <w:tcBorders>
              <w:top w:val="single" w:sz="4" w:space="0" w:color="auto"/>
              <w:left w:val="single" w:sz="4" w:space="0" w:color="auto"/>
              <w:bottom w:val="single" w:sz="4" w:space="0" w:color="auto"/>
              <w:right w:val="single" w:sz="4" w:space="0" w:color="auto"/>
            </w:tcBorders>
            <w:vAlign w:val="center"/>
          </w:tcPr>
          <w:p w14:paraId="2B22980D" w14:textId="77777777" w:rsidR="00196665" w:rsidRPr="00AF3704" w:rsidRDefault="00196665" w:rsidP="009160CE">
            <w:pPr>
              <w:tabs>
                <w:tab w:val="left" w:pos="3120"/>
                <w:tab w:val="left" w:pos="3270"/>
              </w:tabs>
              <w:jc w:val="center"/>
            </w:pPr>
            <w:r w:rsidRPr="00AF3704">
              <w:t>5</w:t>
            </w:r>
          </w:p>
        </w:tc>
        <w:tc>
          <w:tcPr>
            <w:tcW w:w="440" w:type="pct"/>
            <w:tcBorders>
              <w:top w:val="single" w:sz="4" w:space="0" w:color="auto"/>
              <w:left w:val="single" w:sz="4" w:space="0" w:color="auto"/>
              <w:bottom w:val="single" w:sz="4" w:space="0" w:color="auto"/>
              <w:right w:val="single" w:sz="4" w:space="0" w:color="auto"/>
            </w:tcBorders>
            <w:vAlign w:val="center"/>
          </w:tcPr>
          <w:p w14:paraId="692FE577" w14:textId="77777777" w:rsidR="00196665" w:rsidRPr="00AF3704" w:rsidRDefault="00196665" w:rsidP="009160CE">
            <w:pPr>
              <w:tabs>
                <w:tab w:val="left" w:pos="3120"/>
                <w:tab w:val="left" w:pos="3270"/>
              </w:tabs>
              <w:jc w:val="center"/>
            </w:pPr>
            <w:r w:rsidRPr="00AF3704">
              <w:t>6</w:t>
            </w:r>
          </w:p>
        </w:tc>
      </w:tr>
      <w:tr w:rsidR="00196665" w:rsidRPr="00AF3704" w14:paraId="1FA18C98" w14:textId="77777777" w:rsidTr="009160CE">
        <w:trPr>
          <w:gridAfter w:val="4"/>
          <w:wAfter w:w="1762" w:type="pct"/>
          <w:trHeight w:val="20"/>
        </w:trPr>
        <w:tc>
          <w:tcPr>
            <w:tcW w:w="1227" w:type="pct"/>
            <w:tcBorders>
              <w:top w:val="single" w:sz="4" w:space="0" w:color="auto"/>
              <w:left w:val="single" w:sz="4" w:space="0" w:color="auto"/>
              <w:bottom w:val="single" w:sz="4" w:space="0" w:color="auto"/>
              <w:right w:val="single" w:sz="4" w:space="0" w:color="auto"/>
            </w:tcBorders>
            <w:vAlign w:val="center"/>
          </w:tcPr>
          <w:p w14:paraId="5330C94F" w14:textId="77777777" w:rsidR="00196665" w:rsidRPr="00AF3704" w:rsidRDefault="00196665" w:rsidP="009160CE">
            <w:pPr>
              <w:tabs>
                <w:tab w:val="left" w:pos="3120"/>
                <w:tab w:val="left" w:pos="3270"/>
              </w:tabs>
            </w:pPr>
            <w:r w:rsidRPr="00AF3704">
              <w:t>1. Budžeta ieņēmumi:</w:t>
            </w:r>
          </w:p>
        </w:tc>
        <w:tc>
          <w:tcPr>
            <w:tcW w:w="294" w:type="pct"/>
            <w:tcBorders>
              <w:top w:val="single" w:sz="4" w:space="0" w:color="auto"/>
              <w:left w:val="single" w:sz="4" w:space="0" w:color="auto"/>
              <w:bottom w:val="single" w:sz="4" w:space="0" w:color="auto"/>
              <w:right w:val="single" w:sz="4" w:space="0" w:color="auto"/>
            </w:tcBorders>
            <w:vAlign w:val="center"/>
          </w:tcPr>
          <w:p w14:paraId="11A7CE6B" w14:textId="77777777" w:rsidR="00196665" w:rsidRPr="00A5293C" w:rsidRDefault="00196665" w:rsidP="009160CE">
            <w:pPr>
              <w:tabs>
                <w:tab w:val="left" w:pos="3120"/>
                <w:tab w:val="left" w:pos="3270"/>
              </w:tabs>
              <w:jc w:val="center"/>
              <w:rPr>
                <w:highlight w:val="yellow"/>
              </w:rPr>
            </w:pPr>
          </w:p>
        </w:tc>
        <w:tc>
          <w:tcPr>
            <w:tcW w:w="394" w:type="pct"/>
            <w:tcBorders>
              <w:top w:val="single" w:sz="4" w:space="0" w:color="auto"/>
              <w:left w:val="single" w:sz="4" w:space="0" w:color="auto"/>
              <w:bottom w:val="single" w:sz="4" w:space="0" w:color="auto"/>
              <w:right w:val="single" w:sz="4" w:space="0" w:color="auto"/>
            </w:tcBorders>
            <w:vAlign w:val="center"/>
          </w:tcPr>
          <w:p w14:paraId="6DA695DE" w14:textId="77777777" w:rsidR="00196665" w:rsidRPr="00A5293C" w:rsidRDefault="00196665" w:rsidP="009160CE">
            <w:pPr>
              <w:tabs>
                <w:tab w:val="left" w:pos="3120"/>
                <w:tab w:val="left" w:pos="3270"/>
              </w:tabs>
              <w:jc w:val="center"/>
              <w:rPr>
                <w:highlight w:val="yellow"/>
              </w:rPr>
            </w:pPr>
          </w:p>
        </w:tc>
        <w:tc>
          <w:tcPr>
            <w:tcW w:w="442" w:type="pct"/>
            <w:tcBorders>
              <w:top w:val="single" w:sz="4" w:space="0" w:color="auto"/>
              <w:left w:val="single" w:sz="4" w:space="0" w:color="auto"/>
              <w:bottom w:val="single" w:sz="4" w:space="0" w:color="auto"/>
              <w:right w:val="single" w:sz="4" w:space="0" w:color="auto"/>
            </w:tcBorders>
            <w:vAlign w:val="center"/>
          </w:tcPr>
          <w:p w14:paraId="2AD04BED" w14:textId="77777777" w:rsidR="00196665" w:rsidRPr="00AF3704" w:rsidRDefault="00196665" w:rsidP="009160CE">
            <w:pPr>
              <w:tabs>
                <w:tab w:val="left" w:pos="3120"/>
                <w:tab w:val="left" w:pos="3270"/>
              </w:tabs>
              <w:jc w:val="center"/>
            </w:pPr>
          </w:p>
        </w:tc>
        <w:tc>
          <w:tcPr>
            <w:tcW w:w="441" w:type="pct"/>
            <w:tcBorders>
              <w:top w:val="single" w:sz="4" w:space="0" w:color="auto"/>
              <w:left w:val="single" w:sz="4" w:space="0" w:color="auto"/>
              <w:bottom w:val="single" w:sz="4" w:space="0" w:color="auto"/>
              <w:right w:val="single" w:sz="4" w:space="0" w:color="auto"/>
            </w:tcBorders>
            <w:vAlign w:val="center"/>
          </w:tcPr>
          <w:p w14:paraId="13FD9AB1" w14:textId="77777777" w:rsidR="00196665" w:rsidRPr="00AF3704" w:rsidRDefault="00196665" w:rsidP="009160CE">
            <w:pPr>
              <w:tabs>
                <w:tab w:val="left" w:pos="3120"/>
                <w:tab w:val="left" w:pos="3270"/>
              </w:tabs>
              <w:jc w:val="center"/>
            </w:pPr>
          </w:p>
        </w:tc>
        <w:tc>
          <w:tcPr>
            <w:tcW w:w="440" w:type="pct"/>
            <w:tcBorders>
              <w:top w:val="single" w:sz="4" w:space="0" w:color="auto"/>
              <w:left w:val="single" w:sz="4" w:space="0" w:color="auto"/>
              <w:bottom w:val="single" w:sz="4" w:space="0" w:color="auto"/>
              <w:right w:val="single" w:sz="4" w:space="0" w:color="auto"/>
            </w:tcBorders>
            <w:vAlign w:val="center"/>
          </w:tcPr>
          <w:p w14:paraId="032438BE" w14:textId="77777777" w:rsidR="00196665" w:rsidRPr="00AF3704" w:rsidRDefault="00196665" w:rsidP="009160CE">
            <w:pPr>
              <w:tabs>
                <w:tab w:val="left" w:pos="3120"/>
                <w:tab w:val="left" w:pos="3270"/>
              </w:tabs>
              <w:jc w:val="center"/>
            </w:pPr>
          </w:p>
        </w:tc>
      </w:tr>
      <w:tr w:rsidR="00196665" w:rsidRPr="00AF3704" w14:paraId="0752BBE2" w14:textId="77777777" w:rsidTr="009160CE">
        <w:trPr>
          <w:gridAfter w:val="4"/>
          <w:wAfter w:w="1762" w:type="pct"/>
          <w:trHeight w:val="20"/>
        </w:trPr>
        <w:tc>
          <w:tcPr>
            <w:tcW w:w="1227" w:type="pct"/>
            <w:tcBorders>
              <w:top w:val="single" w:sz="4" w:space="0" w:color="auto"/>
              <w:left w:val="single" w:sz="4" w:space="0" w:color="auto"/>
              <w:bottom w:val="single" w:sz="4" w:space="0" w:color="auto"/>
              <w:right w:val="single" w:sz="4" w:space="0" w:color="auto"/>
            </w:tcBorders>
            <w:vAlign w:val="center"/>
          </w:tcPr>
          <w:p w14:paraId="139B6636" w14:textId="77777777" w:rsidR="00196665" w:rsidRPr="00AF3704" w:rsidRDefault="00196665" w:rsidP="009160CE">
            <w:pPr>
              <w:tabs>
                <w:tab w:val="left" w:pos="3120"/>
                <w:tab w:val="left" w:pos="3270"/>
              </w:tabs>
            </w:pPr>
            <w:r w:rsidRPr="00AF3704">
              <w:t>1.1. valsts pamatbudžets, tai skaitā ieņēmumi no maksas pakalpojumiem un citi pašu ieņēmumi</w:t>
            </w:r>
          </w:p>
        </w:tc>
        <w:tc>
          <w:tcPr>
            <w:tcW w:w="294" w:type="pct"/>
            <w:tcBorders>
              <w:top w:val="single" w:sz="4" w:space="0" w:color="auto"/>
              <w:left w:val="single" w:sz="4" w:space="0" w:color="auto"/>
              <w:bottom w:val="single" w:sz="4" w:space="0" w:color="auto"/>
              <w:right w:val="single" w:sz="4" w:space="0" w:color="auto"/>
            </w:tcBorders>
            <w:vAlign w:val="center"/>
          </w:tcPr>
          <w:p w14:paraId="4BACD891" w14:textId="77777777" w:rsidR="00196665" w:rsidRPr="00A5293C" w:rsidRDefault="00196665" w:rsidP="009160CE">
            <w:pPr>
              <w:tabs>
                <w:tab w:val="left" w:pos="3120"/>
                <w:tab w:val="left" w:pos="3270"/>
              </w:tabs>
              <w:jc w:val="center"/>
              <w:rPr>
                <w:highlight w:val="yellow"/>
              </w:rPr>
            </w:pPr>
          </w:p>
        </w:tc>
        <w:tc>
          <w:tcPr>
            <w:tcW w:w="394" w:type="pct"/>
            <w:tcBorders>
              <w:top w:val="single" w:sz="4" w:space="0" w:color="auto"/>
              <w:left w:val="single" w:sz="4" w:space="0" w:color="auto"/>
              <w:bottom w:val="single" w:sz="4" w:space="0" w:color="auto"/>
              <w:right w:val="single" w:sz="4" w:space="0" w:color="auto"/>
            </w:tcBorders>
            <w:vAlign w:val="center"/>
          </w:tcPr>
          <w:p w14:paraId="40FD204C" w14:textId="77777777" w:rsidR="00196665" w:rsidRPr="00A5293C" w:rsidRDefault="00196665" w:rsidP="009160CE">
            <w:pPr>
              <w:tabs>
                <w:tab w:val="left" w:pos="3120"/>
                <w:tab w:val="left" w:pos="3270"/>
              </w:tabs>
              <w:jc w:val="center"/>
              <w:rPr>
                <w:highlight w:val="yellow"/>
              </w:rPr>
            </w:pPr>
          </w:p>
        </w:tc>
        <w:tc>
          <w:tcPr>
            <w:tcW w:w="442" w:type="pct"/>
            <w:tcBorders>
              <w:top w:val="single" w:sz="4" w:space="0" w:color="auto"/>
              <w:left w:val="single" w:sz="4" w:space="0" w:color="auto"/>
              <w:bottom w:val="single" w:sz="4" w:space="0" w:color="auto"/>
              <w:right w:val="single" w:sz="4" w:space="0" w:color="auto"/>
            </w:tcBorders>
            <w:vAlign w:val="center"/>
          </w:tcPr>
          <w:p w14:paraId="49CCD37C" w14:textId="77777777" w:rsidR="00196665" w:rsidRPr="00AF3704" w:rsidRDefault="00196665" w:rsidP="009160CE">
            <w:pPr>
              <w:tabs>
                <w:tab w:val="left" w:pos="3120"/>
                <w:tab w:val="left" w:pos="3270"/>
              </w:tabs>
              <w:jc w:val="center"/>
            </w:pPr>
          </w:p>
        </w:tc>
        <w:tc>
          <w:tcPr>
            <w:tcW w:w="441" w:type="pct"/>
            <w:tcBorders>
              <w:top w:val="single" w:sz="4" w:space="0" w:color="auto"/>
              <w:left w:val="single" w:sz="4" w:space="0" w:color="auto"/>
              <w:bottom w:val="single" w:sz="4" w:space="0" w:color="auto"/>
              <w:right w:val="single" w:sz="4" w:space="0" w:color="auto"/>
            </w:tcBorders>
            <w:vAlign w:val="center"/>
          </w:tcPr>
          <w:p w14:paraId="51DA07A6" w14:textId="77777777" w:rsidR="00196665" w:rsidRPr="00AF3704" w:rsidRDefault="00196665" w:rsidP="009160CE">
            <w:pPr>
              <w:tabs>
                <w:tab w:val="left" w:pos="3120"/>
                <w:tab w:val="left" w:pos="3270"/>
              </w:tabs>
              <w:jc w:val="center"/>
            </w:pPr>
          </w:p>
        </w:tc>
        <w:tc>
          <w:tcPr>
            <w:tcW w:w="440" w:type="pct"/>
            <w:tcBorders>
              <w:top w:val="single" w:sz="4" w:space="0" w:color="auto"/>
              <w:left w:val="single" w:sz="4" w:space="0" w:color="auto"/>
              <w:bottom w:val="single" w:sz="4" w:space="0" w:color="auto"/>
              <w:right w:val="single" w:sz="4" w:space="0" w:color="auto"/>
            </w:tcBorders>
            <w:vAlign w:val="center"/>
          </w:tcPr>
          <w:p w14:paraId="34644FB6" w14:textId="77777777" w:rsidR="00196665" w:rsidRPr="00AF3704" w:rsidRDefault="00196665" w:rsidP="009160CE">
            <w:pPr>
              <w:tabs>
                <w:tab w:val="left" w:pos="3120"/>
                <w:tab w:val="left" w:pos="3270"/>
              </w:tabs>
              <w:jc w:val="center"/>
            </w:pPr>
          </w:p>
        </w:tc>
      </w:tr>
      <w:tr w:rsidR="00196665" w:rsidRPr="00AF3704" w14:paraId="6B790A43" w14:textId="77777777" w:rsidTr="009160CE">
        <w:trPr>
          <w:gridAfter w:val="4"/>
          <w:wAfter w:w="1762" w:type="pct"/>
          <w:trHeight w:val="20"/>
        </w:trPr>
        <w:tc>
          <w:tcPr>
            <w:tcW w:w="1227" w:type="pct"/>
            <w:tcBorders>
              <w:top w:val="single" w:sz="4" w:space="0" w:color="auto"/>
              <w:left w:val="single" w:sz="4" w:space="0" w:color="auto"/>
              <w:bottom w:val="single" w:sz="4" w:space="0" w:color="auto"/>
              <w:right w:val="single" w:sz="4" w:space="0" w:color="auto"/>
            </w:tcBorders>
            <w:vAlign w:val="center"/>
          </w:tcPr>
          <w:p w14:paraId="0BFE7A83" w14:textId="77777777" w:rsidR="00196665" w:rsidRPr="00AF3704" w:rsidRDefault="00196665" w:rsidP="009160CE">
            <w:pPr>
              <w:tabs>
                <w:tab w:val="left" w:pos="3120"/>
                <w:tab w:val="left" w:pos="3270"/>
              </w:tabs>
            </w:pPr>
            <w:r w:rsidRPr="00AF3704">
              <w:t>1.2. valsts speciālais budžets</w:t>
            </w:r>
          </w:p>
        </w:tc>
        <w:tc>
          <w:tcPr>
            <w:tcW w:w="294" w:type="pct"/>
            <w:tcBorders>
              <w:top w:val="single" w:sz="4" w:space="0" w:color="auto"/>
              <w:left w:val="single" w:sz="4" w:space="0" w:color="auto"/>
              <w:bottom w:val="single" w:sz="4" w:space="0" w:color="auto"/>
              <w:right w:val="single" w:sz="4" w:space="0" w:color="auto"/>
            </w:tcBorders>
            <w:vAlign w:val="center"/>
          </w:tcPr>
          <w:p w14:paraId="3CAEA9EA" w14:textId="77777777" w:rsidR="00196665" w:rsidRPr="00A5293C" w:rsidRDefault="00196665" w:rsidP="009160CE">
            <w:pPr>
              <w:tabs>
                <w:tab w:val="left" w:pos="3120"/>
                <w:tab w:val="left" w:pos="3270"/>
              </w:tabs>
              <w:jc w:val="center"/>
              <w:rPr>
                <w:highlight w:val="yellow"/>
              </w:rPr>
            </w:pPr>
          </w:p>
        </w:tc>
        <w:tc>
          <w:tcPr>
            <w:tcW w:w="394" w:type="pct"/>
            <w:tcBorders>
              <w:top w:val="single" w:sz="4" w:space="0" w:color="auto"/>
              <w:left w:val="single" w:sz="4" w:space="0" w:color="auto"/>
              <w:bottom w:val="single" w:sz="4" w:space="0" w:color="auto"/>
              <w:right w:val="single" w:sz="4" w:space="0" w:color="auto"/>
            </w:tcBorders>
            <w:vAlign w:val="center"/>
          </w:tcPr>
          <w:p w14:paraId="13B943F0" w14:textId="77777777" w:rsidR="00196665" w:rsidRPr="00A5293C" w:rsidRDefault="00196665" w:rsidP="009160CE">
            <w:pPr>
              <w:tabs>
                <w:tab w:val="left" w:pos="3120"/>
                <w:tab w:val="left" w:pos="3270"/>
              </w:tabs>
              <w:jc w:val="center"/>
              <w:rPr>
                <w:highlight w:val="yellow"/>
              </w:rPr>
            </w:pPr>
          </w:p>
        </w:tc>
        <w:tc>
          <w:tcPr>
            <w:tcW w:w="442" w:type="pct"/>
            <w:tcBorders>
              <w:top w:val="single" w:sz="4" w:space="0" w:color="auto"/>
              <w:left w:val="single" w:sz="4" w:space="0" w:color="auto"/>
              <w:bottom w:val="single" w:sz="4" w:space="0" w:color="auto"/>
              <w:right w:val="single" w:sz="4" w:space="0" w:color="auto"/>
            </w:tcBorders>
            <w:vAlign w:val="center"/>
          </w:tcPr>
          <w:p w14:paraId="456FFE11" w14:textId="77777777" w:rsidR="00196665" w:rsidRPr="00AF3704" w:rsidRDefault="00196665" w:rsidP="009160CE">
            <w:pPr>
              <w:tabs>
                <w:tab w:val="left" w:pos="3120"/>
                <w:tab w:val="left" w:pos="3270"/>
              </w:tabs>
              <w:jc w:val="center"/>
            </w:pPr>
          </w:p>
        </w:tc>
        <w:tc>
          <w:tcPr>
            <w:tcW w:w="441" w:type="pct"/>
            <w:tcBorders>
              <w:top w:val="single" w:sz="4" w:space="0" w:color="auto"/>
              <w:left w:val="single" w:sz="4" w:space="0" w:color="auto"/>
              <w:bottom w:val="single" w:sz="4" w:space="0" w:color="auto"/>
              <w:right w:val="single" w:sz="4" w:space="0" w:color="auto"/>
            </w:tcBorders>
            <w:vAlign w:val="center"/>
          </w:tcPr>
          <w:p w14:paraId="7472AEA2" w14:textId="77777777" w:rsidR="00196665" w:rsidRPr="00AF3704" w:rsidRDefault="00196665" w:rsidP="009160CE">
            <w:pPr>
              <w:tabs>
                <w:tab w:val="left" w:pos="3120"/>
                <w:tab w:val="left" w:pos="3270"/>
              </w:tabs>
              <w:jc w:val="center"/>
            </w:pPr>
          </w:p>
        </w:tc>
        <w:tc>
          <w:tcPr>
            <w:tcW w:w="440" w:type="pct"/>
            <w:tcBorders>
              <w:top w:val="single" w:sz="4" w:space="0" w:color="auto"/>
              <w:left w:val="single" w:sz="4" w:space="0" w:color="auto"/>
              <w:bottom w:val="single" w:sz="4" w:space="0" w:color="auto"/>
              <w:right w:val="single" w:sz="4" w:space="0" w:color="auto"/>
            </w:tcBorders>
            <w:vAlign w:val="center"/>
          </w:tcPr>
          <w:p w14:paraId="6EA28299" w14:textId="77777777" w:rsidR="00196665" w:rsidRPr="00AF3704" w:rsidRDefault="00196665" w:rsidP="009160CE">
            <w:pPr>
              <w:tabs>
                <w:tab w:val="left" w:pos="3120"/>
                <w:tab w:val="left" w:pos="3270"/>
              </w:tabs>
              <w:jc w:val="center"/>
            </w:pPr>
          </w:p>
        </w:tc>
      </w:tr>
      <w:tr w:rsidR="00196665" w:rsidRPr="00AF3704" w14:paraId="11446CE2" w14:textId="77777777" w:rsidTr="009160CE">
        <w:trPr>
          <w:trHeight w:val="20"/>
        </w:trPr>
        <w:tc>
          <w:tcPr>
            <w:tcW w:w="1227" w:type="pct"/>
            <w:tcBorders>
              <w:top w:val="single" w:sz="4" w:space="0" w:color="auto"/>
              <w:left w:val="single" w:sz="4" w:space="0" w:color="auto"/>
              <w:bottom w:val="single" w:sz="4" w:space="0" w:color="auto"/>
              <w:right w:val="single" w:sz="4" w:space="0" w:color="auto"/>
            </w:tcBorders>
            <w:vAlign w:val="center"/>
          </w:tcPr>
          <w:p w14:paraId="1D8B8EB9" w14:textId="77777777" w:rsidR="00196665" w:rsidRPr="00AF3704" w:rsidRDefault="00196665" w:rsidP="009160CE">
            <w:pPr>
              <w:tabs>
                <w:tab w:val="left" w:pos="3120"/>
                <w:tab w:val="left" w:pos="3270"/>
              </w:tabs>
            </w:pPr>
            <w:r w:rsidRPr="00AF3704">
              <w:t>1.3. pašvaldību budžets</w:t>
            </w:r>
          </w:p>
        </w:tc>
        <w:tc>
          <w:tcPr>
            <w:tcW w:w="294" w:type="pct"/>
            <w:tcBorders>
              <w:top w:val="single" w:sz="4" w:space="0" w:color="auto"/>
              <w:left w:val="single" w:sz="4" w:space="0" w:color="auto"/>
              <w:bottom w:val="single" w:sz="4" w:space="0" w:color="auto"/>
              <w:right w:val="single" w:sz="4" w:space="0" w:color="auto"/>
            </w:tcBorders>
            <w:vAlign w:val="center"/>
          </w:tcPr>
          <w:p w14:paraId="0DEF15B8" w14:textId="77777777" w:rsidR="00196665" w:rsidRPr="00A5293C" w:rsidRDefault="00196665" w:rsidP="009160CE">
            <w:pPr>
              <w:tabs>
                <w:tab w:val="left" w:pos="3120"/>
                <w:tab w:val="left" w:pos="3270"/>
              </w:tabs>
              <w:jc w:val="center"/>
              <w:rPr>
                <w:highlight w:val="yellow"/>
              </w:rPr>
            </w:pPr>
          </w:p>
        </w:tc>
        <w:tc>
          <w:tcPr>
            <w:tcW w:w="394" w:type="pct"/>
            <w:tcBorders>
              <w:top w:val="single" w:sz="4" w:space="0" w:color="auto"/>
              <w:left w:val="single" w:sz="4" w:space="0" w:color="auto"/>
              <w:bottom w:val="single" w:sz="4" w:space="0" w:color="auto"/>
              <w:right w:val="single" w:sz="4" w:space="0" w:color="auto"/>
            </w:tcBorders>
            <w:vAlign w:val="center"/>
          </w:tcPr>
          <w:p w14:paraId="2820E466" w14:textId="77777777" w:rsidR="00196665" w:rsidRPr="00A5293C" w:rsidRDefault="00196665" w:rsidP="009160CE">
            <w:pPr>
              <w:tabs>
                <w:tab w:val="left" w:pos="3120"/>
                <w:tab w:val="left" w:pos="3270"/>
              </w:tabs>
              <w:jc w:val="center"/>
              <w:rPr>
                <w:highlight w:val="yellow"/>
              </w:rPr>
            </w:pPr>
          </w:p>
        </w:tc>
        <w:tc>
          <w:tcPr>
            <w:tcW w:w="442" w:type="pct"/>
            <w:tcBorders>
              <w:top w:val="single" w:sz="4" w:space="0" w:color="auto"/>
              <w:left w:val="single" w:sz="4" w:space="0" w:color="auto"/>
              <w:bottom w:val="single" w:sz="4" w:space="0" w:color="auto"/>
              <w:right w:val="single" w:sz="4" w:space="0" w:color="auto"/>
            </w:tcBorders>
            <w:vAlign w:val="center"/>
          </w:tcPr>
          <w:p w14:paraId="10E6EB82" w14:textId="77777777" w:rsidR="00196665" w:rsidRPr="00AF3704" w:rsidRDefault="00196665" w:rsidP="009160CE">
            <w:pPr>
              <w:tabs>
                <w:tab w:val="left" w:pos="3120"/>
                <w:tab w:val="left" w:pos="3270"/>
              </w:tabs>
              <w:jc w:val="center"/>
            </w:pPr>
          </w:p>
        </w:tc>
        <w:tc>
          <w:tcPr>
            <w:tcW w:w="441" w:type="pct"/>
            <w:tcBorders>
              <w:top w:val="single" w:sz="4" w:space="0" w:color="auto"/>
              <w:left w:val="single" w:sz="4" w:space="0" w:color="auto"/>
              <w:bottom w:val="single" w:sz="4" w:space="0" w:color="auto"/>
              <w:right w:val="single" w:sz="4" w:space="0" w:color="auto"/>
            </w:tcBorders>
            <w:vAlign w:val="center"/>
          </w:tcPr>
          <w:p w14:paraId="05E59486" w14:textId="77777777" w:rsidR="00196665" w:rsidRPr="00AF3704" w:rsidRDefault="00196665" w:rsidP="009160CE">
            <w:pPr>
              <w:tabs>
                <w:tab w:val="left" w:pos="3120"/>
                <w:tab w:val="left" w:pos="3270"/>
              </w:tabs>
              <w:jc w:val="center"/>
            </w:pPr>
          </w:p>
        </w:tc>
        <w:tc>
          <w:tcPr>
            <w:tcW w:w="440" w:type="pct"/>
            <w:tcBorders>
              <w:top w:val="single" w:sz="4" w:space="0" w:color="auto"/>
              <w:left w:val="single" w:sz="4" w:space="0" w:color="auto"/>
              <w:bottom w:val="single" w:sz="4" w:space="0" w:color="auto"/>
              <w:right w:val="single" w:sz="4" w:space="0" w:color="auto"/>
            </w:tcBorders>
            <w:vAlign w:val="center"/>
          </w:tcPr>
          <w:p w14:paraId="537F984B" w14:textId="77777777" w:rsidR="00196665" w:rsidRPr="00AF3704" w:rsidRDefault="00196665" w:rsidP="009160CE">
            <w:pPr>
              <w:tabs>
                <w:tab w:val="left" w:pos="3120"/>
                <w:tab w:val="left" w:pos="3270"/>
              </w:tabs>
              <w:jc w:val="center"/>
            </w:pPr>
          </w:p>
        </w:tc>
        <w:tc>
          <w:tcPr>
            <w:tcW w:w="440" w:type="pct"/>
            <w:vAlign w:val="center"/>
          </w:tcPr>
          <w:p w14:paraId="61025740" w14:textId="77777777" w:rsidR="00196665" w:rsidRPr="00A5293C" w:rsidRDefault="00196665" w:rsidP="009160CE">
            <w:pPr>
              <w:tabs>
                <w:tab w:val="left" w:pos="3120"/>
                <w:tab w:val="left" w:pos="3270"/>
              </w:tabs>
              <w:jc w:val="center"/>
              <w:rPr>
                <w:highlight w:val="yellow"/>
              </w:rPr>
            </w:pPr>
          </w:p>
        </w:tc>
        <w:tc>
          <w:tcPr>
            <w:tcW w:w="440" w:type="pct"/>
            <w:vAlign w:val="center"/>
          </w:tcPr>
          <w:p w14:paraId="31DA2292" w14:textId="77777777" w:rsidR="00196665" w:rsidRPr="00AF3704" w:rsidRDefault="00196665" w:rsidP="009160CE">
            <w:pPr>
              <w:tabs>
                <w:tab w:val="left" w:pos="3120"/>
                <w:tab w:val="left" w:pos="3270"/>
              </w:tabs>
              <w:jc w:val="center"/>
            </w:pPr>
          </w:p>
        </w:tc>
        <w:tc>
          <w:tcPr>
            <w:tcW w:w="440" w:type="pct"/>
            <w:vAlign w:val="center"/>
          </w:tcPr>
          <w:p w14:paraId="186CF93B" w14:textId="77777777" w:rsidR="00196665" w:rsidRPr="00AF3704" w:rsidRDefault="00196665" w:rsidP="009160CE">
            <w:pPr>
              <w:tabs>
                <w:tab w:val="left" w:pos="3120"/>
                <w:tab w:val="left" w:pos="3270"/>
              </w:tabs>
              <w:jc w:val="center"/>
            </w:pPr>
          </w:p>
        </w:tc>
        <w:tc>
          <w:tcPr>
            <w:tcW w:w="440" w:type="pct"/>
            <w:vAlign w:val="center"/>
          </w:tcPr>
          <w:p w14:paraId="27A21D22" w14:textId="77777777" w:rsidR="00196665" w:rsidRPr="00AF3704" w:rsidRDefault="00196665" w:rsidP="009160CE">
            <w:pPr>
              <w:tabs>
                <w:tab w:val="left" w:pos="3120"/>
                <w:tab w:val="left" w:pos="3270"/>
              </w:tabs>
              <w:jc w:val="center"/>
            </w:pPr>
          </w:p>
        </w:tc>
      </w:tr>
      <w:tr w:rsidR="00196665" w:rsidRPr="00AF3704" w14:paraId="576342FB" w14:textId="77777777" w:rsidTr="009160CE">
        <w:trPr>
          <w:gridAfter w:val="4"/>
          <w:wAfter w:w="1762" w:type="pct"/>
          <w:trHeight w:val="20"/>
        </w:trPr>
        <w:tc>
          <w:tcPr>
            <w:tcW w:w="1227" w:type="pct"/>
            <w:tcBorders>
              <w:top w:val="single" w:sz="4" w:space="0" w:color="auto"/>
              <w:left w:val="single" w:sz="4" w:space="0" w:color="auto"/>
              <w:bottom w:val="single" w:sz="4" w:space="0" w:color="auto"/>
              <w:right w:val="single" w:sz="4" w:space="0" w:color="auto"/>
            </w:tcBorders>
            <w:vAlign w:val="center"/>
          </w:tcPr>
          <w:p w14:paraId="0911D12D" w14:textId="77777777" w:rsidR="00196665" w:rsidRPr="00AF3704" w:rsidRDefault="00196665" w:rsidP="009160CE">
            <w:pPr>
              <w:tabs>
                <w:tab w:val="left" w:pos="3120"/>
                <w:tab w:val="left" w:pos="3270"/>
              </w:tabs>
            </w:pPr>
            <w:r w:rsidRPr="00AF3704">
              <w:t>2. Budžeta izdevumi:</w:t>
            </w:r>
          </w:p>
        </w:tc>
        <w:tc>
          <w:tcPr>
            <w:tcW w:w="294" w:type="pct"/>
            <w:tcBorders>
              <w:top w:val="single" w:sz="4" w:space="0" w:color="auto"/>
              <w:left w:val="single" w:sz="4" w:space="0" w:color="auto"/>
              <w:bottom w:val="single" w:sz="4" w:space="0" w:color="auto"/>
              <w:right w:val="single" w:sz="4" w:space="0" w:color="auto"/>
            </w:tcBorders>
            <w:vAlign w:val="center"/>
          </w:tcPr>
          <w:p w14:paraId="0B92723C" w14:textId="77777777" w:rsidR="00196665" w:rsidRPr="00A5293C" w:rsidRDefault="00196665" w:rsidP="009160CE">
            <w:pPr>
              <w:tabs>
                <w:tab w:val="left" w:pos="3120"/>
                <w:tab w:val="left" w:pos="3270"/>
              </w:tabs>
              <w:jc w:val="center"/>
              <w:rPr>
                <w:highlight w:val="yellow"/>
              </w:rPr>
            </w:pPr>
          </w:p>
        </w:tc>
        <w:tc>
          <w:tcPr>
            <w:tcW w:w="394" w:type="pct"/>
            <w:tcBorders>
              <w:top w:val="single" w:sz="4" w:space="0" w:color="auto"/>
              <w:left w:val="single" w:sz="4" w:space="0" w:color="auto"/>
              <w:bottom w:val="single" w:sz="4" w:space="0" w:color="auto"/>
              <w:right w:val="single" w:sz="4" w:space="0" w:color="auto"/>
            </w:tcBorders>
            <w:vAlign w:val="center"/>
          </w:tcPr>
          <w:p w14:paraId="0C3514D5" w14:textId="77777777" w:rsidR="00196665" w:rsidRPr="00A5293C" w:rsidRDefault="00196665" w:rsidP="009160CE">
            <w:pPr>
              <w:tabs>
                <w:tab w:val="left" w:pos="3120"/>
                <w:tab w:val="left" w:pos="3270"/>
              </w:tabs>
              <w:jc w:val="center"/>
              <w:rPr>
                <w:highlight w:val="yellow"/>
              </w:rPr>
            </w:pPr>
          </w:p>
        </w:tc>
        <w:tc>
          <w:tcPr>
            <w:tcW w:w="442" w:type="pct"/>
            <w:tcBorders>
              <w:top w:val="single" w:sz="4" w:space="0" w:color="auto"/>
              <w:left w:val="single" w:sz="4" w:space="0" w:color="auto"/>
              <w:bottom w:val="single" w:sz="4" w:space="0" w:color="auto"/>
              <w:right w:val="single" w:sz="4" w:space="0" w:color="auto"/>
            </w:tcBorders>
            <w:vAlign w:val="center"/>
          </w:tcPr>
          <w:p w14:paraId="6B6CE939" w14:textId="77777777" w:rsidR="00196665" w:rsidRPr="00AF3704" w:rsidRDefault="00196665" w:rsidP="009160CE">
            <w:pPr>
              <w:tabs>
                <w:tab w:val="left" w:pos="3120"/>
                <w:tab w:val="left" w:pos="3270"/>
              </w:tabs>
              <w:jc w:val="center"/>
            </w:pPr>
          </w:p>
        </w:tc>
        <w:tc>
          <w:tcPr>
            <w:tcW w:w="441" w:type="pct"/>
            <w:tcBorders>
              <w:top w:val="single" w:sz="4" w:space="0" w:color="auto"/>
              <w:left w:val="single" w:sz="4" w:space="0" w:color="auto"/>
              <w:bottom w:val="single" w:sz="4" w:space="0" w:color="auto"/>
              <w:right w:val="single" w:sz="4" w:space="0" w:color="auto"/>
            </w:tcBorders>
            <w:vAlign w:val="center"/>
          </w:tcPr>
          <w:p w14:paraId="4C3C123D" w14:textId="77777777" w:rsidR="00196665" w:rsidRPr="00AF3704" w:rsidRDefault="00196665" w:rsidP="009160CE">
            <w:pPr>
              <w:tabs>
                <w:tab w:val="left" w:pos="3120"/>
                <w:tab w:val="left" w:pos="3270"/>
              </w:tabs>
              <w:jc w:val="center"/>
            </w:pPr>
          </w:p>
        </w:tc>
        <w:tc>
          <w:tcPr>
            <w:tcW w:w="440" w:type="pct"/>
            <w:tcBorders>
              <w:top w:val="single" w:sz="4" w:space="0" w:color="auto"/>
              <w:left w:val="single" w:sz="4" w:space="0" w:color="auto"/>
              <w:bottom w:val="single" w:sz="4" w:space="0" w:color="auto"/>
              <w:right w:val="single" w:sz="4" w:space="0" w:color="auto"/>
            </w:tcBorders>
            <w:vAlign w:val="center"/>
          </w:tcPr>
          <w:p w14:paraId="3794829B" w14:textId="77777777" w:rsidR="00196665" w:rsidRPr="00AF3704" w:rsidRDefault="00196665" w:rsidP="009160CE">
            <w:pPr>
              <w:tabs>
                <w:tab w:val="left" w:pos="3120"/>
                <w:tab w:val="left" w:pos="3270"/>
              </w:tabs>
              <w:jc w:val="center"/>
            </w:pPr>
          </w:p>
        </w:tc>
      </w:tr>
      <w:tr w:rsidR="00196665" w:rsidRPr="00AF3704" w14:paraId="23168ADA" w14:textId="77777777" w:rsidTr="009160CE">
        <w:trPr>
          <w:gridAfter w:val="4"/>
          <w:wAfter w:w="1762" w:type="pct"/>
          <w:trHeight w:val="20"/>
        </w:trPr>
        <w:tc>
          <w:tcPr>
            <w:tcW w:w="1227" w:type="pct"/>
            <w:tcBorders>
              <w:top w:val="single" w:sz="4" w:space="0" w:color="auto"/>
              <w:left w:val="single" w:sz="4" w:space="0" w:color="auto"/>
              <w:bottom w:val="single" w:sz="4" w:space="0" w:color="auto"/>
              <w:right w:val="single" w:sz="4" w:space="0" w:color="auto"/>
            </w:tcBorders>
            <w:vAlign w:val="center"/>
          </w:tcPr>
          <w:p w14:paraId="160D8CC0" w14:textId="77777777" w:rsidR="00196665" w:rsidRPr="00AF3704" w:rsidRDefault="00196665" w:rsidP="009160CE">
            <w:pPr>
              <w:tabs>
                <w:tab w:val="left" w:pos="3120"/>
                <w:tab w:val="left" w:pos="3270"/>
              </w:tabs>
            </w:pPr>
            <w:r w:rsidRPr="00AF3704">
              <w:t>2.1. valsts pamatbudžets</w:t>
            </w:r>
          </w:p>
        </w:tc>
        <w:tc>
          <w:tcPr>
            <w:tcW w:w="294" w:type="pct"/>
            <w:tcBorders>
              <w:top w:val="single" w:sz="4" w:space="0" w:color="auto"/>
              <w:left w:val="single" w:sz="4" w:space="0" w:color="auto"/>
              <w:bottom w:val="single" w:sz="4" w:space="0" w:color="auto"/>
              <w:right w:val="single" w:sz="4" w:space="0" w:color="auto"/>
            </w:tcBorders>
            <w:vAlign w:val="center"/>
          </w:tcPr>
          <w:p w14:paraId="20DD5501" w14:textId="77777777" w:rsidR="00196665" w:rsidRPr="00A5293C" w:rsidRDefault="00196665" w:rsidP="009160CE">
            <w:pPr>
              <w:tabs>
                <w:tab w:val="left" w:pos="3120"/>
                <w:tab w:val="left" w:pos="3270"/>
              </w:tabs>
              <w:jc w:val="center"/>
              <w:rPr>
                <w:highlight w:val="yellow"/>
              </w:rPr>
            </w:pPr>
          </w:p>
        </w:tc>
        <w:tc>
          <w:tcPr>
            <w:tcW w:w="394" w:type="pct"/>
            <w:tcBorders>
              <w:top w:val="single" w:sz="4" w:space="0" w:color="auto"/>
              <w:left w:val="single" w:sz="4" w:space="0" w:color="auto"/>
              <w:bottom w:val="single" w:sz="4" w:space="0" w:color="auto"/>
              <w:right w:val="single" w:sz="4" w:space="0" w:color="auto"/>
            </w:tcBorders>
            <w:vAlign w:val="center"/>
          </w:tcPr>
          <w:p w14:paraId="6612C421" w14:textId="77777777" w:rsidR="00196665" w:rsidRPr="00A5293C" w:rsidRDefault="00196665" w:rsidP="009160CE">
            <w:pPr>
              <w:tabs>
                <w:tab w:val="left" w:pos="3120"/>
                <w:tab w:val="left" w:pos="3270"/>
              </w:tabs>
              <w:jc w:val="center"/>
              <w:rPr>
                <w:highlight w:val="yellow"/>
              </w:rPr>
            </w:pPr>
          </w:p>
        </w:tc>
        <w:tc>
          <w:tcPr>
            <w:tcW w:w="442" w:type="pct"/>
            <w:tcBorders>
              <w:top w:val="single" w:sz="4" w:space="0" w:color="auto"/>
              <w:left w:val="single" w:sz="4" w:space="0" w:color="auto"/>
              <w:bottom w:val="single" w:sz="4" w:space="0" w:color="auto"/>
              <w:right w:val="single" w:sz="4" w:space="0" w:color="auto"/>
            </w:tcBorders>
            <w:vAlign w:val="center"/>
          </w:tcPr>
          <w:p w14:paraId="78FB0BBD" w14:textId="77777777" w:rsidR="00196665" w:rsidRPr="00AF3704" w:rsidRDefault="00196665" w:rsidP="009160CE">
            <w:pPr>
              <w:tabs>
                <w:tab w:val="left" w:pos="3120"/>
                <w:tab w:val="left" w:pos="3270"/>
              </w:tabs>
              <w:jc w:val="center"/>
            </w:pPr>
          </w:p>
        </w:tc>
        <w:tc>
          <w:tcPr>
            <w:tcW w:w="441" w:type="pct"/>
            <w:tcBorders>
              <w:top w:val="single" w:sz="4" w:space="0" w:color="auto"/>
              <w:left w:val="single" w:sz="4" w:space="0" w:color="auto"/>
              <w:bottom w:val="single" w:sz="4" w:space="0" w:color="auto"/>
              <w:right w:val="single" w:sz="4" w:space="0" w:color="auto"/>
            </w:tcBorders>
            <w:vAlign w:val="center"/>
          </w:tcPr>
          <w:p w14:paraId="51FE4520" w14:textId="77777777" w:rsidR="00196665" w:rsidRPr="00AF3704" w:rsidRDefault="00196665" w:rsidP="009160CE">
            <w:pPr>
              <w:tabs>
                <w:tab w:val="left" w:pos="3120"/>
                <w:tab w:val="left" w:pos="3270"/>
              </w:tabs>
              <w:jc w:val="center"/>
            </w:pPr>
          </w:p>
        </w:tc>
        <w:tc>
          <w:tcPr>
            <w:tcW w:w="440" w:type="pct"/>
            <w:tcBorders>
              <w:top w:val="single" w:sz="4" w:space="0" w:color="auto"/>
              <w:left w:val="single" w:sz="4" w:space="0" w:color="auto"/>
              <w:bottom w:val="single" w:sz="4" w:space="0" w:color="auto"/>
              <w:right w:val="single" w:sz="4" w:space="0" w:color="auto"/>
            </w:tcBorders>
            <w:vAlign w:val="center"/>
          </w:tcPr>
          <w:p w14:paraId="22AEB305" w14:textId="77777777" w:rsidR="00196665" w:rsidRPr="00AF3704" w:rsidRDefault="00196665" w:rsidP="009160CE">
            <w:pPr>
              <w:tabs>
                <w:tab w:val="left" w:pos="3120"/>
                <w:tab w:val="left" w:pos="3270"/>
              </w:tabs>
              <w:jc w:val="center"/>
            </w:pPr>
          </w:p>
        </w:tc>
      </w:tr>
      <w:tr w:rsidR="00196665" w:rsidRPr="00AF3704" w14:paraId="1F8DAE10" w14:textId="77777777" w:rsidTr="009160CE">
        <w:trPr>
          <w:gridAfter w:val="4"/>
          <w:wAfter w:w="1762" w:type="pct"/>
          <w:trHeight w:val="20"/>
        </w:trPr>
        <w:tc>
          <w:tcPr>
            <w:tcW w:w="1227" w:type="pct"/>
            <w:tcBorders>
              <w:top w:val="single" w:sz="4" w:space="0" w:color="auto"/>
              <w:left w:val="single" w:sz="4" w:space="0" w:color="auto"/>
              <w:bottom w:val="single" w:sz="4" w:space="0" w:color="auto"/>
              <w:right w:val="single" w:sz="4" w:space="0" w:color="auto"/>
            </w:tcBorders>
            <w:vAlign w:val="center"/>
          </w:tcPr>
          <w:p w14:paraId="32D9A457" w14:textId="77777777" w:rsidR="00196665" w:rsidRPr="00AF3704" w:rsidRDefault="00196665" w:rsidP="009160CE">
            <w:pPr>
              <w:tabs>
                <w:tab w:val="left" w:pos="3120"/>
                <w:tab w:val="left" w:pos="3270"/>
              </w:tabs>
            </w:pPr>
            <w:r w:rsidRPr="00AF3704">
              <w:t>2.2. valsts speciālais budžets</w:t>
            </w:r>
          </w:p>
        </w:tc>
        <w:tc>
          <w:tcPr>
            <w:tcW w:w="294" w:type="pct"/>
            <w:tcBorders>
              <w:top w:val="single" w:sz="4" w:space="0" w:color="auto"/>
              <w:left w:val="single" w:sz="4" w:space="0" w:color="auto"/>
              <w:bottom w:val="single" w:sz="4" w:space="0" w:color="auto"/>
              <w:right w:val="single" w:sz="4" w:space="0" w:color="auto"/>
            </w:tcBorders>
            <w:vAlign w:val="center"/>
          </w:tcPr>
          <w:p w14:paraId="62825A98" w14:textId="77777777" w:rsidR="00196665" w:rsidRPr="00AF3704" w:rsidRDefault="00196665" w:rsidP="009160CE">
            <w:pPr>
              <w:tabs>
                <w:tab w:val="left" w:pos="3120"/>
                <w:tab w:val="left" w:pos="3270"/>
              </w:tabs>
              <w:jc w:val="center"/>
            </w:pPr>
          </w:p>
        </w:tc>
        <w:tc>
          <w:tcPr>
            <w:tcW w:w="394" w:type="pct"/>
            <w:tcBorders>
              <w:top w:val="single" w:sz="4" w:space="0" w:color="auto"/>
              <w:left w:val="single" w:sz="4" w:space="0" w:color="auto"/>
              <w:bottom w:val="single" w:sz="4" w:space="0" w:color="auto"/>
              <w:right w:val="single" w:sz="4" w:space="0" w:color="auto"/>
            </w:tcBorders>
            <w:vAlign w:val="center"/>
          </w:tcPr>
          <w:p w14:paraId="3DDA73E0" w14:textId="77777777" w:rsidR="00196665" w:rsidRPr="00AF3704" w:rsidRDefault="00196665" w:rsidP="009160CE">
            <w:pPr>
              <w:tabs>
                <w:tab w:val="left" w:pos="3120"/>
                <w:tab w:val="left" w:pos="3270"/>
              </w:tabs>
              <w:jc w:val="center"/>
            </w:pPr>
          </w:p>
        </w:tc>
        <w:tc>
          <w:tcPr>
            <w:tcW w:w="442" w:type="pct"/>
            <w:tcBorders>
              <w:top w:val="single" w:sz="4" w:space="0" w:color="auto"/>
              <w:left w:val="single" w:sz="4" w:space="0" w:color="auto"/>
              <w:bottom w:val="single" w:sz="4" w:space="0" w:color="auto"/>
              <w:right w:val="single" w:sz="4" w:space="0" w:color="auto"/>
            </w:tcBorders>
            <w:vAlign w:val="center"/>
          </w:tcPr>
          <w:p w14:paraId="009C3F7B" w14:textId="77777777" w:rsidR="00196665" w:rsidRPr="00AF3704" w:rsidRDefault="00196665" w:rsidP="009160CE">
            <w:pPr>
              <w:tabs>
                <w:tab w:val="left" w:pos="3120"/>
                <w:tab w:val="left" w:pos="3270"/>
              </w:tabs>
              <w:jc w:val="center"/>
            </w:pPr>
          </w:p>
        </w:tc>
        <w:tc>
          <w:tcPr>
            <w:tcW w:w="441" w:type="pct"/>
            <w:tcBorders>
              <w:top w:val="single" w:sz="4" w:space="0" w:color="auto"/>
              <w:left w:val="single" w:sz="4" w:space="0" w:color="auto"/>
              <w:bottom w:val="single" w:sz="4" w:space="0" w:color="auto"/>
              <w:right w:val="single" w:sz="4" w:space="0" w:color="auto"/>
            </w:tcBorders>
            <w:vAlign w:val="center"/>
          </w:tcPr>
          <w:p w14:paraId="053C02C4" w14:textId="77777777" w:rsidR="00196665" w:rsidRPr="00AF3704" w:rsidRDefault="00196665" w:rsidP="009160CE">
            <w:pPr>
              <w:tabs>
                <w:tab w:val="left" w:pos="3120"/>
                <w:tab w:val="left" w:pos="3270"/>
              </w:tabs>
              <w:jc w:val="center"/>
            </w:pPr>
          </w:p>
        </w:tc>
        <w:tc>
          <w:tcPr>
            <w:tcW w:w="440" w:type="pct"/>
            <w:tcBorders>
              <w:top w:val="single" w:sz="4" w:space="0" w:color="auto"/>
              <w:left w:val="single" w:sz="4" w:space="0" w:color="auto"/>
              <w:bottom w:val="single" w:sz="4" w:space="0" w:color="auto"/>
              <w:right w:val="single" w:sz="4" w:space="0" w:color="auto"/>
            </w:tcBorders>
            <w:vAlign w:val="center"/>
          </w:tcPr>
          <w:p w14:paraId="6A42CBB4" w14:textId="77777777" w:rsidR="00196665" w:rsidRPr="00AF3704" w:rsidRDefault="00196665" w:rsidP="009160CE">
            <w:pPr>
              <w:tabs>
                <w:tab w:val="left" w:pos="3120"/>
                <w:tab w:val="left" w:pos="3270"/>
              </w:tabs>
              <w:jc w:val="center"/>
            </w:pPr>
          </w:p>
        </w:tc>
      </w:tr>
      <w:tr w:rsidR="00196665" w:rsidRPr="00AF3704" w14:paraId="6832536B" w14:textId="77777777" w:rsidTr="009160CE">
        <w:trPr>
          <w:gridAfter w:val="4"/>
          <w:wAfter w:w="1762" w:type="pct"/>
          <w:trHeight w:val="20"/>
        </w:trPr>
        <w:tc>
          <w:tcPr>
            <w:tcW w:w="1227" w:type="pct"/>
            <w:tcBorders>
              <w:top w:val="single" w:sz="4" w:space="0" w:color="auto"/>
              <w:left w:val="single" w:sz="4" w:space="0" w:color="auto"/>
              <w:bottom w:val="single" w:sz="4" w:space="0" w:color="auto"/>
              <w:right w:val="single" w:sz="4" w:space="0" w:color="auto"/>
            </w:tcBorders>
            <w:vAlign w:val="center"/>
          </w:tcPr>
          <w:p w14:paraId="195B6518" w14:textId="77777777" w:rsidR="00196665" w:rsidRPr="00AF3704" w:rsidRDefault="00196665" w:rsidP="009160CE">
            <w:pPr>
              <w:tabs>
                <w:tab w:val="left" w:pos="3120"/>
                <w:tab w:val="left" w:pos="3270"/>
              </w:tabs>
            </w:pPr>
            <w:r w:rsidRPr="00AF3704">
              <w:t>2.3. pašvaldību budžets</w:t>
            </w:r>
          </w:p>
        </w:tc>
        <w:tc>
          <w:tcPr>
            <w:tcW w:w="294" w:type="pct"/>
            <w:tcBorders>
              <w:top w:val="single" w:sz="4" w:space="0" w:color="auto"/>
              <w:left w:val="single" w:sz="4" w:space="0" w:color="auto"/>
              <w:bottom w:val="single" w:sz="4" w:space="0" w:color="auto"/>
              <w:right w:val="single" w:sz="4" w:space="0" w:color="auto"/>
            </w:tcBorders>
            <w:vAlign w:val="center"/>
          </w:tcPr>
          <w:p w14:paraId="624215EB" w14:textId="77777777" w:rsidR="00196665" w:rsidRPr="00AF3704" w:rsidRDefault="00196665" w:rsidP="009160CE">
            <w:pPr>
              <w:tabs>
                <w:tab w:val="left" w:pos="3120"/>
                <w:tab w:val="left" w:pos="3270"/>
              </w:tabs>
              <w:jc w:val="center"/>
            </w:pPr>
          </w:p>
        </w:tc>
        <w:tc>
          <w:tcPr>
            <w:tcW w:w="394" w:type="pct"/>
            <w:tcBorders>
              <w:top w:val="single" w:sz="4" w:space="0" w:color="auto"/>
              <w:left w:val="single" w:sz="4" w:space="0" w:color="auto"/>
              <w:bottom w:val="single" w:sz="4" w:space="0" w:color="auto"/>
              <w:right w:val="single" w:sz="4" w:space="0" w:color="auto"/>
            </w:tcBorders>
            <w:vAlign w:val="center"/>
          </w:tcPr>
          <w:p w14:paraId="1C4FCE29" w14:textId="77777777" w:rsidR="00196665" w:rsidRPr="00AF3704" w:rsidRDefault="00196665" w:rsidP="009160CE">
            <w:pPr>
              <w:tabs>
                <w:tab w:val="left" w:pos="3120"/>
                <w:tab w:val="left" w:pos="3270"/>
              </w:tabs>
              <w:jc w:val="center"/>
            </w:pPr>
          </w:p>
        </w:tc>
        <w:tc>
          <w:tcPr>
            <w:tcW w:w="442" w:type="pct"/>
            <w:tcBorders>
              <w:top w:val="single" w:sz="4" w:space="0" w:color="auto"/>
              <w:left w:val="single" w:sz="4" w:space="0" w:color="auto"/>
              <w:bottom w:val="single" w:sz="4" w:space="0" w:color="auto"/>
              <w:right w:val="single" w:sz="4" w:space="0" w:color="auto"/>
            </w:tcBorders>
            <w:vAlign w:val="center"/>
          </w:tcPr>
          <w:p w14:paraId="3CA4C30D" w14:textId="77777777" w:rsidR="00196665" w:rsidRPr="00AF3704" w:rsidRDefault="00196665" w:rsidP="009160CE">
            <w:pPr>
              <w:tabs>
                <w:tab w:val="left" w:pos="3120"/>
                <w:tab w:val="left" w:pos="3270"/>
              </w:tabs>
              <w:jc w:val="center"/>
            </w:pPr>
          </w:p>
        </w:tc>
        <w:tc>
          <w:tcPr>
            <w:tcW w:w="441" w:type="pct"/>
            <w:tcBorders>
              <w:top w:val="single" w:sz="4" w:space="0" w:color="auto"/>
              <w:left w:val="single" w:sz="4" w:space="0" w:color="auto"/>
              <w:bottom w:val="single" w:sz="4" w:space="0" w:color="auto"/>
              <w:right w:val="single" w:sz="4" w:space="0" w:color="auto"/>
            </w:tcBorders>
            <w:vAlign w:val="center"/>
          </w:tcPr>
          <w:p w14:paraId="17DBA07E" w14:textId="77777777" w:rsidR="00196665" w:rsidRPr="00AF3704" w:rsidRDefault="00196665" w:rsidP="009160CE">
            <w:pPr>
              <w:tabs>
                <w:tab w:val="left" w:pos="3120"/>
                <w:tab w:val="left" w:pos="3270"/>
              </w:tabs>
              <w:jc w:val="center"/>
            </w:pPr>
          </w:p>
        </w:tc>
        <w:tc>
          <w:tcPr>
            <w:tcW w:w="440" w:type="pct"/>
            <w:tcBorders>
              <w:top w:val="single" w:sz="4" w:space="0" w:color="auto"/>
              <w:left w:val="single" w:sz="4" w:space="0" w:color="auto"/>
              <w:bottom w:val="single" w:sz="4" w:space="0" w:color="auto"/>
              <w:right w:val="single" w:sz="4" w:space="0" w:color="auto"/>
            </w:tcBorders>
            <w:vAlign w:val="center"/>
          </w:tcPr>
          <w:p w14:paraId="5FA8C249" w14:textId="77777777" w:rsidR="00196665" w:rsidRPr="00AF3704" w:rsidRDefault="00196665" w:rsidP="009160CE">
            <w:pPr>
              <w:tabs>
                <w:tab w:val="left" w:pos="3120"/>
                <w:tab w:val="left" w:pos="3270"/>
              </w:tabs>
              <w:jc w:val="center"/>
            </w:pPr>
          </w:p>
        </w:tc>
      </w:tr>
      <w:tr w:rsidR="00196665" w:rsidRPr="00AF3704" w14:paraId="4FBB811B" w14:textId="77777777" w:rsidTr="009160CE">
        <w:trPr>
          <w:gridAfter w:val="4"/>
          <w:wAfter w:w="1762" w:type="pct"/>
          <w:trHeight w:val="20"/>
        </w:trPr>
        <w:tc>
          <w:tcPr>
            <w:tcW w:w="1227" w:type="pct"/>
            <w:tcBorders>
              <w:top w:val="single" w:sz="4" w:space="0" w:color="auto"/>
              <w:left w:val="single" w:sz="4" w:space="0" w:color="auto"/>
              <w:bottom w:val="single" w:sz="4" w:space="0" w:color="auto"/>
              <w:right w:val="single" w:sz="4" w:space="0" w:color="auto"/>
            </w:tcBorders>
            <w:vAlign w:val="center"/>
          </w:tcPr>
          <w:p w14:paraId="6DB71519" w14:textId="77777777" w:rsidR="00196665" w:rsidRPr="00AF3704" w:rsidRDefault="00196665" w:rsidP="009160CE">
            <w:pPr>
              <w:tabs>
                <w:tab w:val="left" w:pos="3120"/>
                <w:tab w:val="left" w:pos="3270"/>
              </w:tabs>
            </w:pPr>
            <w:r w:rsidRPr="00AF3704">
              <w:t>3. Finansiālā ietekme:</w:t>
            </w:r>
          </w:p>
        </w:tc>
        <w:tc>
          <w:tcPr>
            <w:tcW w:w="294" w:type="pct"/>
            <w:tcBorders>
              <w:top w:val="single" w:sz="4" w:space="0" w:color="auto"/>
              <w:left w:val="single" w:sz="4" w:space="0" w:color="auto"/>
              <w:bottom w:val="single" w:sz="4" w:space="0" w:color="auto"/>
              <w:right w:val="single" w:sz="4" w:space="0" w:color="auto"/>
            </w:tcBorders>
            <w:vAlign w:val="center"/>
          </w:tcPr>
          <w:p w14:paraId="23B14922" w14:textId="77777777" w:rsidR="00196665" w:rsidRPr="00AF3704" w:rsidRDefault="00196665" w:rsidP="009160CE">
            <w:pPr>
              <w:tabs>
                <w:tab w:val="left" w:pos="3120"/>
                <w:tab w:val="left" w:pos="3270"/>
              </w:tabs>
              <w:jc w:val="center"/>
            </w:pPr>
          </w:p>
        </w:tc>
        <w:tc>
          <w:tcPr>
            <w:tcW w:w="394" w:type="pct"/>
            <w:tcBorders>
              <w:top w:val="single" w:sz="4" w:space="0" w:color="auto"/>
              <w:left w:val="single" w:sz="4" w:space="0" w:color="auto"/>
              <w:bottom w:val="single" w:sz="4" w:space="0" w:color="auto"/>
              <w:right w:val="single" w:sz="4" w:space="0" w:color="auto"/>
            </w:tcBorders>
            <w:vAlign w:val="center"/>
          </w:tcPr>
          <w:p w14:paraId="634F6A4D" w14:textId="77777777" w:rsidR="00196665" w:rsidRPr="00AF3704" w:rsidRDefault="00196665" w:rsidP="009160CE">
            <w:pPr>
              <w:tabs>
                <w:tab w:val="left" w:pos="3120"/>
                <w:tab w:val="left" w:pos="3270"/>
              </w:tabs>
              <w:jc w:val="center"/>
            </w:pPr>
          </w:p>
        </w:tc>
        <w:tc>
          <w:tcPr>
            <w:tcW w:w="442" w:type="pct"/>
            <w:tcBorders>
              <w:top w:val="single" w:sz="4" w:space="0" w:color="auto"/>
              <w:left w:val="single" w:sz="4" w:space="0" w:color="auto"/>
              <w:bottom w:val="single" w:sz="4" w:space="0" w:color="auto"/>
              <w:right w:val="single" w:sz="4" w:space="0" w:color="auto"/>
            </w:tcBorders>
            <w:vAlign w:val="center"/>
          </w:tcPr>
          <w:p w14:paraId="78ADFAB7" w14:textId="77777777" w:rsidR="00196665" w:rsidRPr="00AF3704" w:rsidRDefault="00196665" w:rsidP="009160CE">
            <w:pPr>
              <w:tabs>
                <w:tab w:val="left" w:pos="3120"/>
                <w:tab w:val="left" w:pos="3270"/>
              </w:tabs>
              <w:jc w:val="center"/>
            </w:pPr>
          </w:p>
        </w:tc>
        <w:tc>
          <w:tcPr>
            <w:tcW w:w="441" w:type="pct"/>
            <w:tcBorders>
              <w:top w:val="single" w:sz="4" w:space="0" w:color="auto"/>
              <w:left w:val="single" w:sz="4" w:space="0" w:color="auto"/>
              <w:bottom w:val="single" w:sz="4" w:space="0" w:color="auto"/>
              <w:right w:val="single" w:sz="4" w:space="0" w:color="auto"/>
            </w:tcBorders>
            <w:vAlign w:val="center"/>
          </w:tcPr>
          <w:p w14:paraId="45782A27" w14:textId="77777777" w:rsidR="00196665" w:rsidRPr="00AF3704" w:rsidRDefault="00196665" w:rsidP="009160CE">
            <w:pPr>
              <w:tabs>
                <w:tab w:val="left" w:pos="3120"/>
                <w:tab w:val="left" w:pos="3270"/>
              </w:tabs>
              <w:jc w:val="center"/>
            </w:pPr>
          </w:p>
        </w:tc>
        <w:tc>
          <w:tcPr>
            <w:tcW w:w="440" w:type="pct"/>
            <w:tcBorders>
              <w:top w:val="single" w:sz="4" w:space="0" w:color="auto"/>
              <w:left w:val="single" w:sz="4" w:space="0" w:color="auto"/>
              <w:bottom w:val="single" w:sz="4" w:space="0" w:color="auto"/>
              <w:right w:val="single" w:sz="4" w:space="0" w:color="auto"/>
            </w:tcBorders>
            <w:vAlign w:val="center"/>
          </w:tcPr>
          <w:p w14:paraId="2DF5F4C2" w14:textId="77777777" w:rsidR="00196665" w:rsidRPr="00AF3704" w:rsidRDefault="00196665" w:rsidP="009160CE">
            <w:pPr>
              <w:tabs>
                <w:tab w:val="left" w:pos="3120"/>
                <w:tab w:val="left" w:pos="3270"/>
              </w:tabs>
              <w:jc w:val="center"/>
            </w:pPr>
          </w:p>
        </w:tc>
      </w:tr>
      <w:tr w:rsidR="00196665" w:rsidRPr="00AF3704" w14:paraId="61EDE3A9" w14:textId="77777777" w:rsidTr="009160CE">
        <w:trPr>
          <w:gridAfter w:val="4"/>
          <w:wAfter w:w="1762" w:type="pct"/>
          <w:trHeight w:val="20"/>
        </w:trPr>
        <w:tc>
          <w:tcPr>
            <w:tcW w:w="1227" w:type="pct"/>
            <w:tcBorders>
              <w:top w:val="single" w:sz="4" w:space="0" w:color="auto"/>
              <w:left w:val="single" w:sz="4" w:space="0" w:color="auto"/>
              <w:bottom w:val="single" w:sz="4" w:space="0" w:color="auto"/>
              <w:right w:val="single" w:sz="4" w:space="0" w:color="auto"/>
            </w:tcBorders>
            <w:vAlign w:val="center"/>
          </w:tcPr>
          <w:p w14:paraId="6754BF59" w14:textId="77777777" w:rsidR="00196665" w:rsidRPr="00AF3704" w:rsidRDefault="00196665" w:rsidP="009160CE">
            <w:pPr>
              <w:tabs>
                <w:tab w:val="left" w:pos="3120"/>
                <w:tab w:val="left" w:pos="3270"/>
              </w:tabs>
            </w:pPr>
            <w:r w:rsidRPr="00AF3704">
              <w:t>3.1. valsts pamatbudžets</w:t>
            </w:r>
          </w:p>
        </w:tc>
        <w:tc>
          <w:tcPr>
            <w:tcW w:w="294" w:type="pct"/>
            <w:tcBorders>
              <w:top w:val="single" w:sz="4" w:space="0" w:color="auto"/>
              <w:left w:val="single" w:sz="4" w:space="0" w:color="auto"/>
              <w:bottom w:val="single" w:sz="4" w:space="0" w:color="auto"/>
              <w:right w:val="single" w:sz="4" w:space="0" w:color="auto"/>
            </w:tcBorders>
            <w:vAlign w:val="center"/>
          </w:tcPr>
          <w:p w14:paraId="393DB1AB" w14:textId="77777777" w:rsidR="00196665" w:rsidRPr="00AF3704" w:rsidRDefault="00196665" w:rsidP="009160CE">
            <w:pPr>
              <w:tabs>
                <w:tab w:val="left" w:pos="3120"/>
                <w:tab w:val="left" w:pos="3270"/>
              </w:tabs>
              <w:jc w:val="center"/>
            </w:pPr>
          </w:p>
        </w:tc>
        <w:tc>
          <w:tcPr>
            <w:tcW w:w="394" w:type="pct"/>
            <w:tcBorders>
              <w:top w:val="single" w:sz="4" w:space="0" w:color="auto"/>
              <w:left w:val="single" w:sz="4" w:space="0" w:color="auto"/>
              <w:bottom w:val="single" w:sz="4" w:space="0" w:color="auto"/>
              <w:right w:val="single" w:sz="4" w:space="0" w:color="auto"/>
            </w:tcBorders>
            <w:vAlign w:val="center"/>
          </w:tcPr>
          <w:p w14:paraId="0ED5BC06" w14:textId="77777777" w:rsidR="00196665" w:rsidRPr="00AF3704" w:rsidRDefault="00196665" w:rsidP="009160CE">
            <w:pPr>
              <w:tabs>
                <w:tab w:val="left" w:pos="3120"/>
                <w:tab w:val="left" w:pos="3270"/>
              </w:tabs>
              <w:jc w:val="center"/>
            </w:pPr>
          </w:p>
        </w:tc>
        <w:tc>
          <w:tcPr>
            <w:tcW w:w="442" w:type="pct"/>
            <w:tcBorders>
              <w:top w:val="single" w:sz="4" w:space="0" w:color="auto"/>
              <w:left w:val="single" w:sz="4" w:space="0" w:color="auto"/>
              <w:bottom w:val="single" w:sz="4" w:space="0" w:color="auto"/>
              <w:right w:val="single" w:sz="4" w:space="0" w:color="auto"/>
            </w:tcBorders>
            <w:vAlign w:val="center"/>
          </w:tcPr>
          <w:p w14:paraId="389AEFEC" w14:textId="77777777" w:rsidR="00196665" w:rsidRPr="00AF3704" w:rsidRDefault="00196665" w:rsidP="009160CE">
            <w:pPr>
              <w:tabs>
                <w:tab w:val="left" w:pos="3120"/>
                <w:tab w:val="left" w:pos="3270"/>
              </w:tabs>
              <w:jc w:val="center"/>
            </w:pPr>
          </w:p>
        </w:tc>
        <w:tc>
          <w:tcPr>
            <w:tcW w:w="441" w:type="pct"/>
            <w:tcBorders>
              <w:top w:val="single" w:sz="4" w:space="0" w:color="auto"/>
              <w:left w:val="single" w:sz="4" w:space="0" w:color="auto"/>
              <w:bottom w:val="single" w:sz="4" w:space="0" w:color="auto"/>
              <w:right w:val="single" w:sz="4" w:space="0" w:color="auto"/>
            </w:tcBorders>
            <w:vAlign w:val="center"/>
          </w:tcPr>
          <w:p w14:paraId="2AF2FDFD" w14:textId="77777777" w:rsidR="00196665" w:rsidRPr="00AF3704" w:rsidRDefault="00196665" w:rsidP="009160CE">
            <w:pPr>
              <w:tabs>
                <w:tab w:val="left" w:pos="3120"/>
                <w:tab w:val="left" w:pos="3270"/>
              </w:tabs>
              <w:jc w:val="center"/>
            </w:pPr>
          </w:p>
        </w:tc>
        <w:tc>
          <w:tcPr>
            <w:tcW w:w="440" w:type="pct"/>
            <w:tcBorders>
              <w:top w:val="single" w:sz="4" w:space="0" w:color="auto"/>
              <w:left w:val="single" w:sz="4" w:space="0" w:color="auto"/>
              <w:bottom w:val="single" w:sz="4" w:space="0" w:color="auto"/>
              <w:right w:val="single" w:sz="4" w:space="0" w:color="auto"/>
            </w:tcBorders>
            <w:vAlign w:val="center"/>
          </w:tcPr>
          <w:p w14:paraId="470690CD" w14:textId="77777777" w:rsidR="00196665" w:rsidRPr="00AF3704" w:rsidRDefault="00196665" w:rsidP="009160CE">
            <w:pPr>
              <w:tabs>
                <w:tab w:val="left" w:pos="3120"/>
                <w:tab w:val="left" w:pos="3270"/>
              </w:tabs>
              <w:jc w:val="center"/>
            </w:pPr>
          </w:p>
        </w:tc>
      </w:tr>
      <w:tr w:rsidR="00196665" w:rsidRPr="00AF3704" w14:paraId="11056DF5" w14:textId="77777777" w:rsidTr="009160CE">
        <w:trPr>
          <w:gridAfter w:val="4"/>
          <w:wAfter w:w="1762" w:type="pct"/>
          <w:trHeight w:val="20"/>
        </w:trPr>
        <w:tc>
          <w:tcPr>
            <w:tcW w:w="1227" w:type="pct"/>
            <w:tcBorders>
              <w:top w:val="single" w:sz="4" w:space="0" w:color="auto"/>
              <w:left w:val="single" w:sz="4" w:space="0" w:color="auto"/>
              <w:bottom w:val="single" w:sz="4" w:space="0" w:color="auto"/>
              <w:right w:val="single" w:sz="4" w:space="0" w:color="auto"/>
            </w:tcBorders>
            <w:vAlign w:val="center"/>
          </w:tcPr>
          <w:p w14:paraId="7E43A667" w14:textId="77777777" w:rsidR="00196665" w:rsidRPr="00AF3704" w:rsidRDefault="00196665" w:rsidP="009160CE">
            <w:pPr>
              <w:tabs>
                <w:tab w:val="left" w:pos="3120"/>
                <w:tab w:val="left" w:pos="3270"/>
              </w:tabs>
            </w:pPr>
            <w:r w:rsidRPr="00AF3704">
              <w:t>3.2. speciālais budžets</w:t>
            </w:r>
          </w:p>
        </w:tc>
        <w:tc>
          <w:tcPr>
            <w:tcW w:w="294" w:type="pct"/>
            <w:tcBorders>
              <w:top w:val="single" w:sz="4" w:space="0" w:color="auto"/>
              <w:left w:val="single" w:sz="4" w:space="0" w:color="auto"/>
              <w:bottom w:val="single" w:sz="4" w:space="0" w:color="auto"/>
              <w:right w:val="single" w:sz="4" w:space="0" w:color="auto"/>
            </w:tcBorders>
            <w:vAlign w:val="center"/>
          </w:tcPr>
          <w:p w14:paraId="0453BFB9" w14:textId="77777777" w:rsidR="00196665" w:rsidRPr="00AF3704" w:rsidRDefault="00196665" w:rsidP="009160CE">
            <w:pPr>
              <w:tabs>
                <w:tab w:val="left" w:pos="3120"/>
                <w:tab w:val="left" w:pos="3270"/>
              </w:tabs>
              <w:jc w:val="center"/>
            </w:pPr>
          </w:p>
        </w:tc>
        <w:tc>
          <w:tcPr>
            <w:tcW w:w="394" w:type="pct"/>
            <w:tcBorders>
              <w:top w:val="single" w:sz="4" w:space="0" w:color="auto"/>
              <w:left w:val="single" w:sz="4" w:space="0" w:color="auto"/>
              <w:bottom w:val="single" w:sz="4" w:space="0" w:color="auto"/>
              <w:right w:val="single" w:sz="4" w:space="0" w:color="auto"/>
            </w:tcBorders>
            <w:vAlign w:val="center"/>
          </w:tcPr>
          <w:p w14:paraId="1BEECAE4" w14:textId="77777777" w:rsidR="00196665" w:rsidRPr="00AF3704" w:rsidRDefault="00196665" w:rsidP="009160CE">
            <w:pPr>
              <w:tabs>
                <w:tab w:val="left" w:pos="3120"/>
                <w:tab w:val="left" w:pos="3270"/>
              </w:tabs>
              <w:jc w:val="center"/>
            </w:pPr>
          </w:p>
        </w:tc>
        <w:tc>
          <w:tcPr>
            <w:tcW w:w="442" w:type="pct"/>
            <w:tcBorders>
              <w:top w:val="single" w:sz="4" w:space="0" w:color="auto"/>
              <w:left w:val="single" w:sz="4" w:space="0" w:color="auto"/>
              <w:bottom w:val="single" w:sz="4" w:space="0" w:color="auto"/>
              <w:right w:val="single" w:sz="4" w:space="0" w:color="auto"/>
            </w:tcBorders>
            <w:vAlign w:val="center"/>
          </w:tcPr>
          <w:p w14:paraId="32EA4686" w14:textId="77777777" w:rsidR="00196665" w:rsidRPr="00AF3704" w:rsidRDefault="00196665" w:rsidP="009160CE">
            <w:pPr>
              <w:tabs>
                <w:tab w:val="left" w:pos="3120"/>
                <w:tab w:val="left" w:pos="3270"/>
              </w:tabs>
              <w:jc w:val="center"/>
            </w:pPr>
          </w:p>
        </w:tc>
        <w:tc>
          <w:tcPr>
            <w:tcW w:w="441" w:type="pct"/>
            <w:tcBorders>
              <w:top w:val="single" w:sz="4" w:space="0" w:color="auto"/>
              <w:left w:val="single" w:sz="4" w:space="0" w:color="auto"/>
              <w:bottom w:val="single" w:sz="4" w:space="0" w:color="auto"/>
              <w:right w:val="single" w:sz="4" w:space="0" w:color="auto"/>
            </w:tcBorders>
            <w:vAlign w:val="center"/>
          </w:tcPr>
          <w:p w14:paraId="60A05746" w14:textId="77777777" w:rsidR="00196665" w:rsidRPr="00AF3704" w:rsidRDefault="00196665" w:rsidP="009160CE">
            <w:pPr>
              <w:tabs>
                <w:tab w:val="left" w:pos="3120"/>
                <w:tab w:val="left" w:pos="3270"/>
              </w:tabs>
              <w:jc w:val="center"/>
            </w:pPr>
          </w:p>
        </w:tc>
        <w:tc>
          <w:tcPr>
            <w:tcW w:w="440" w:type="pct"/>
            <w:tcBorders>
              <w:top w:val="single" w:sz="4" w:space="0" w:color="auto"/>
              <w:left w:val="single" w:sz="4" w:space="0" w:color="auto"/>
              <w:bottom w:val="single" w:sz="4" w:space="0" w:color="auto"/>
              <w:right w:val="single" w:sz="4" w:space="0" w:color="auto"/>
            </w:tcBorders>
            <w:vAlign w:val="center"/>
          </w:tcPr>
          <w:p w14:paraId="0240F50C" w14:textId="77777777" w:rsidR="00196665" w:rsidRPr="00AF3704" w:rsidRDefault="00196665" w:rsidP="009160CE">
            <w:pPr>
              <w:tabs>
                <w:tab w:val="left" w:pos="3120"/>
                <w:tab w:val="left" w:pos="3270"/>
              </w:tabs>
              <w:jc w:val="center"/>
            </w:pPr>
          </w:p>
        </w:tc>
      </w:tr>
      <w:tr w:rsidR="00196665" w:rsidRPr="00AF3704" w14:paraId="6EE6A065" w14:textId="77777777" w:rsidTr="009160CE">
        <w:trPr>
          <w:gridAfter w:val="4"/>
          <w:wAfter w:w="1762" w:type="pct"/>
          <w:trHeight w:val="20"/>
        </w:trPr>
        <w:tc>
          <w:tcPr>
            <w:tcW w:w="1227" w:type="pct"/>
            <w:tcBorders>
              <w:top w:val="single" w:sz="4" w:space="0" w:color="auto"/>
              <w:left w:val="single" w:sz="4" w:space="0" w:color="auto"/>
              <w:bottom w:val="single" w:sz="4" w:space="0" w:color="auto"/>
              <w:right w:val="single" w:sz="4" w:space="0" w:color="auto"/>
            </w:tcBorders>
            <w:vAlign w:val="center"/>
          </w:tcPr>
          <w:p w14:paraId="18580402" w14:textId="77777777" w:rsidR="00196665" w:rsidRPr="00AF3704" w:rsidRDefault="00196665" w:rsidP="009160CE">
            <w:pPr>
              <w:tabs>
                <w:tab w:val="left" w:pos="3120"/>
                <w:tab w:val="left" w:pos="3270"/>
              </w:tabs>
            </w:pPr>
            <w:r w:rsidRPr="00AF3704">
              <w:lastRenderedPageBreak/>
              <w:t>3.3. pašvaldību budžets</w:t>
            </w:r>
          </w:p>
        </w:tc>
        <w:tc>
          <w:tcPr>
            <w:tcW w:w="294" w:type="pct"/>
            <w:tcBorders>
              <w:top w:val="single" w:sz="4" w:space="0" w:color="auto"/>
              <w:left w:val="single" w:sz="4" w:space="0" w:color="auto"/>
              <w:bottom w:val="single" w:sz="4" w:space="0" w:color="auto"/>
              <w:right w:val="single" w:sz="4" w:space="0" w:color="auto"/>
            </w:tcBorders>
            <w:vAlign w:val="center"/>
          </w:tcPr>
          <w:p w14:paraId="039E8D75" w14:textId="77777777" w:rsidR="00196665" w:rsidRPr="00AF3704" w:rsidRDefault="00196665" w:rsidP="009160CE">
            <w:pPr>
              <w:tabs>
                <w:tab w:val="left" w:pos="3120"/>
                <w:tab w:val="left" w:pos="3270"/>
              </w:tabs>
              <w:jc w:val="center"/>
            </w:pPr>
          </w:p>
        </w:tc>
        <w:tc>
          <w:tcPr>
            <w:tcW w:w="394" w:type="pct"/>
            <w:tcBorders>
              <w:top w:val="single" w:sz="4" w:space="0" w:color="auto"/>
              <w:left w:val="single" w:sz="4" w:space="0" w:color="auto"/>
              <w:bottom w:val="single" w:sz="4" w:space="0" w:color="auto"/>
              <w:right w:val="single" w:sz="4" w:space="0" w:color="auto"/>
            </w:tcBorders>
            <w:vAlign w:val="center"/>
          </w:tcPr>
          <w:p w14:paraId="74A574FA" w14:textId="77777777" w:rsidR="00196665" w:rsidRPr="00AF3704" w:rsidRDefault="00196665" w:rsidP="009160CE">
            <w:pPr>
              <w:tabs>
                <w:tab w:val="left" w:pos="3120"/>
                <w:tab w:val="left" w:pos="3270"/>
              </w:tabs>
              <w:jc w:val="center"/>
            </w:pPr>
          </w:p>
        </w:tc>
        <w:tc>
          <w:tcPr>
            <w:tcW w:w="442" w:type="pct"/>
            <w:tcBorders>
              <w:top w:val="single" w:sz="4" w:space="0" w:color="auto"/>
              <w:left w:val="single" w:sz="4" w:space="0" w:color="auto"/>
              <w:bottom w:val="single" w:sz="4" w:space="0" w:color="auto"/>
              <w:right w:val="single" w:sz="4" w:space="0" w:color="auto"/>
            </w:tcBorders>
            <w:vAlign w:val="center"/>
          </w:tcPr>
          <w:p w14:paraId="0A8592DC" w14:textId="77777777" w:rsidR="00196665" w:rsidRPr="00AF3704" w:rsidRDefault="00196665" w:rsidP="009160CE">
            <w:pPr>
              <w:tabs>
                <w:tab w:val="left" w:pos="3120"/>
                <w:tab w:val="left" w:pos="3270"/>
              </w:tabs>
              <w:jc w:val="center"/>
            </w:pPr>
          </w:p>
        </w:tc>
        <w:tc>
          <w:tcPr>
            <w:tcW w:w="441" w:type="pct"/>
            <w:tcBorders>
              <w:top w:val="single" w:sz="4" w:space="0" w:color="auto"/>
              <w:left w:val="single" w:sz="4" w:space="0" w:color="auto"/>
              <w:bottom w:val="single" w:sz="4" w:space="0" w:color="auto"/>
              <w:right w:val="single" w:sz="4" w:space="0" w:color="auto"/>
            </w:tcBorders>
            <w:vAlign w:val="center"/>
          </w:tcPr>
          <w:p w14:paraId="415FB519" w14:textId="77777777" w:rsidR="00196665" w:rsidRPr="00AF3704" w:rsidRDefault="00196665" w:rsidP="009160CE">
            <w:pPr>
              <w:tabs>
                <w:tab w:val="left" w:pos="3120"/>
                <w:tab w:val="left" w:pos="3270"/>
              </w:tabs>
              <w:jc w:val="center"/>
            </w:pPr>
          </w:p>
        </w:tc>
        <w:tc>
          <w:tcPr>
            <w:tcW w:w="440" w:type="pct"/>
            <w:tcBorders>
              <w:top w:val="single" w:sz="4" w:space="0" w:color="auto"/>
              <w:left w:val="single" w:sz="4" w:space="0" w:color="auto"/>
              <w:bottom w:val="single" w:sz="4" w:space="0" w:color="auto"/>
              <w:right w:val="single" w:sz="4" w:space="0" w:color="auto"/>
            </w:tcBorders>
            <w:vAlign w:val="center"/>
          </w:tcPr>
          <w:p w14:paraId="0FB35C3F" w14:textId="77777777" w:rsidR="00196665" w:rsidRPr="00AF3704" w:rsidRDefault="00196665" w:rsidP="009160CE">
            <w:pPr>
              <w:tabs>
                <w:tab w:val="left" w:pos="3120"/>
                <w:tab w:val="left" w:pos="3270"/>
              </w:tabs>
              <w:jc w:val="center"/>
            </w:pPr>
          </w:p>
        </w:tc>
      </w:tr>
      <w:tr w:rsidR="00196665" w:rsidRPr="00AF3704" w14:paraId="6C014594" w14:textId="77777777" w:rsidTr="009160CE">
        <w:trPr>
          <w:gridAfter w:val="4"/>
          <w:wAfter w:w="1762" w:type="pct"/>
          <w:trHeight w:val="20"/>
        </w:trPr>
        <w:tc>
          <w:tcPr>
            <w:tcW w:w="1227" w:type="pct"/>
            <w:tcBorders>
              <w:top w:val="single" w:sz="4" w:space="0" w:color="auto"/>
              <w:left w:val="single" w:sz="4" w:space="0" w:color="auto"/>
              <w:bottom w:val="single" w:sz="4" w:space="0" w:color="auto"/>
              <w:right w:val="single" w:sz="4" w:space="0" w:color="auto"/>
            </w:tcBorders>
            <w:vAlign w:val="center"/>
          </w:tcPr>
          <w:p w14:paraId="20A435C9" w14:textId="77777777" w:rsidR="00196665" w:rsidRPr="00AF3704" w:rsidRDefault="00196665" w:rsidP="009160CE">
            <w:pPr>
              <w:tabs>
                <w:tab w:val="left" w:pos="3120"/>
                <w:tab w:val="left" w:pos="3270"/>
              </w:tabs>
            </w:pPr>
            <w:r w:rsidRPr="00AF3704">
              <w:t>4. Finanšu līdzekļi papildu izdevumu finansēšanai (kompensējošu izdevumu samazinājumu norāda ar "+" zīmi)</w:t>
            </w:r>
          </w:p>
        </w:tc>
        <w:tc>
          <w:tcPr>
            <w:tcW w:w="294" w:type="pct"/>
            <w:tcBorders>
              <w:top w:val="single" w:sz="4" w:space="0" w:color="auto"/>
              <w:left w:val="single" w:sz="4" w:space="0" w:color="auto"/>
              <w:bottom w:val="single" w:sz="2" w:space="0" w:color="auto"/>
              <w:right w:val="single" w:sz="4" w:space="0" w:color="auto"/>
            </w:tcBorders>
            <w:vAlign w:val="center"/>
          </w:tcPr>
          <w:p w14:paraId="56B0137F" w14:textId="77777777" w:rsidR="00196665" w:rsidRPr="00AF3704" w:rsidRDefault="00196665" w:rsidP="009160CE">
            <w:pPr>
              <w:tabs>
                <w:tab w:val="left" w:pos="3120"/>
                <w:tab w:val="left" w:pos="3270"/>
              </w:tabs>
              <w:jc w:val="center"/>
            </w:pPr>
            <w:r w:rsidRPr="00AF3704">
              <w:t>x</w:t>
            </w:r>
          </w:p>
        </w:tc>
        <w:tc>
          <w:tcPr>
            <w:tcW w:w="394" w:type="pct"/>
            <w:tcBorders>
              <w:top w:val="single" w:sz="4" w:space="0" w:color="auto"/>
              <w:left w:val="single" w:sz="4" w:space="0" w:color="auto"/>
              <w:bottom w:val="single" w:sz="4" w:space="0" w:color="auto"/>
              <w:right w:val="single" w:sz="4" w:space="0" w:color="auto"/>
            </w:tcBorders>
            <w:vAlign w:val="center"/>
          </w:tcPr>
          <w:p w14:paraId="3BE8C0CF" w14:textId="77777777" w:rsidR="00196665" w:rsidRPr="00AF3704" w:rsidRDefault="00196665" w:rsidP="009160CE">
            <w:pPr>
              <w:tabs>
                <w:tab w:val="left" w:pos="3120"/>
                <w:tab w:val="left" w:pos="3270"/>
              </w:tabs>
              <w:jc w:val="center"/>
            </w:pPr>
          </w:p>
        </w:tc>
        <w:tc>
          <w:tcPr>
            <w:tcW w:w="442" w:type="pct"/>
            <w:tcBorders>
              <w:top w:val="single" w:sz="4" w:space="0" w:color="auto"/>
              <w:left w:val="single" w:sz="4" w:space="0" w:color="auto"/>
              <w:bottom w:val="single" w:sz="4" w:space="0" w:color="auto"/>
              <w:right w:val="single" w:sz="4" w:space="0" w:color="auto"/>
            </w:tcBorders>
            <w:vAlign w:val="center"/>
          </w:tcPr>
          <w:p w14:paraId="6B399E96" w14:textId="77777777" w:rsidR="00196665" w:rsidRPr="00AF3704" w:rsidRDefault="00196665" w:rsidP="009160CE">
            <w:pPr>
              <w:tabs>
                <w:tab w:val="left" w:pos="3120"/>
                <w:tab w:val="left" w:pos="3270"/>
              </w:tabs>
              <w:jc w:val="center"/>
            </w:pPr>
          </w:p>
        </w:tc>
        <w:tc>
          <w:tcPr>
            <w:tcW w:w="441" w:type="pct"/>
            <w:tcBorders>
              <w:top w:val="single" w:sz="4" w:space="0" w:color="auto"/>
              <w:left w:val="single" w:sz="4" w:space="0" w:color="auto"/>
              <w:bottom w:val="single" w:sz="4" w:space="0" w:color="auto"/>
              <w:right w:val="single" w:sz="4" w:space="0" w:color="auto"/>
            </w:tcBorders>
            <w:vAlign w:val="center"/>
          </w:tcPr>
          <w:p w14:paraId="1C85D515" w14:textId="77777777" w:rsidR="00196665" w:rsidRPr="00AF3704" w:rsidRDefault="00196665" w:rsidP="009160CE">
            <w:pPr>
              <w:tabs>
                <w:tab w:val="left" w:pos="3120"/>
                <w:tab w:val="left" w:pos="3270"/>
              </w:tabs>
              <w:jc w:val="center"/>
            </w:pPr>
          </w:p>
        </w:tc>
        <w:tc>
          <w:tcPr>
            <w:tcW w:w="440" w:type="pct"/>
            <w:tcBorders>
              <w:top w:val="single" w:sz="4" w:space="0" w:color="auto"/>
              <w:left w:val="single" w:sz="4" w:space="0" w:color="auto"/>
              <w:bottom w:val="single" w:sz="4" w:space="0" w:color="auto"/>
              <w:right w:val="single" w:sz="4" w:space="0" w:color="auto"/>
            </w:tcBorders>
            <w:vAlign w:val="center"/>
          </w:tcPr>
          <w:p w14:paraId="554C5261" w14:textId="77777777" w:rsidR="00196665" w:rsidRPr="00AF3704" w:rsidRDefault="00196665" w:rsidP="009160CE">
            <w:pPr>
              <w:tabs>
                <w:tab w:val="left" w:pos="3120"/>
                <w:tab w:val="left" w:pos="3270"/>
              </w:tabs>
              <w:jc w:val="center"/>
            </w:pPr>
          </w:p>
        </w:tc>
      </w:tr>
      <w:tr w:rsidR="00196665" w:rsidRPr="00AF3704" w14:paraId="7A5E30E1" w14:textId="77777777" w:rsidTr="009160CE">
        <w:trPr>
          <w:gridAfter w:val="4"/>
          <w:wAfter w:w="1762" w:type="pct"/>
          <w:trHeight w:val="20"/>
        </w:trPr>
        <w:tc>
          <w:tcPr>
            <w:tcW w:w="1227" w:type="pct"/>
            <w:tcBorders>
              <w:top w:val="single" w:sz="4" w:space="0" w:color="auto"/>
              <w:left w:val="single" w:sz="4" w:space="0" w:color="auto"/>
              <w:bottom w:val="single" w:sz="4" w:space="0" w:color="auto"/>
              <w:right w:val="single" w:sz="2" w:space="0" w:color="auto"/>
            </w:tcBorders>
            <w:vAlign w:val="center"/>
          </w:tcPr>
          <w:p w14:paraId="07D71FA7" w14:textId="77777777" w:rsidR="00196665" w:rsidRPr="00AF3704" w:rsidRDefault="00196665" w:rsidP="009160CE">
            <w:pPr>
              <w:tabs>
                <w:tab w:val="left" w:pos="3120"/>
                <w:tab w:val="left" w:pos="3270"/>
              </w:tabs>
            </w:pPr>
            <w:r w:rsidRPr="00AF3704">
              <w:t>5. Precizēta finansiālā ietekme:</w:t>
            </w:r>
          </w:p>
        </w:tc>
        <w:tc>
          <w:tcPr>
            <w:tcW w:w="294" w:type="pct"/>
            <w:tcBorders>
              <w:top w:val="single" w:sz="2" w:space="0" w:color="auto"/>
              <w:left w:val="single" w:sz="2" w:space="0" w:color="auto"/>
              <w:bottom w:val="single" w:sz="2" w:space="0" w:color="auto"/>
              <w:right w:val="single" w:sz="2" w:space="0" w:color="auto"/>
            </w:tcBorders>
            <w:vAlign w:val="center"/>
          </w:tcPr>
          <w:p w14:paraId="62E5F7E6" w14:textId="77777777" w:rsidR="00196665" w:rsidRPr="00AF3704" w:rsidRDefault="00196665" w:rsidP="009160CE">
            <w:pPr>
              <w:tabs>
                <w:tab w:val="left" w:pos="3120"/>
                <w:tab w:val="left" w:pos="3270"/>
              </w:tabs>
              <w:jc w:val="center"/>
            </w:pPr>
          </w:p>
        </w:tc>
        <w:tc>
          <w:tcPr>
            <w:tcW w:w="394" w:type="pct"/>
            <w:tcBorders>
              <w:top w:val="single" w:sz="4" w:space="0" w:color="auto"/>
              <w:left w:val="single" w:sz="2" w:space="0" w:color="auto"/>
              <w:bottom w:val="single" w:sz="4" w:space="0" w:color="auto"/>
              <w:right w:val="single" w:sz="4" w:space="0" w:color="auto"/>
            </w:tcBorders>
            <w:vAlign w:val="center"/>
          </w:tcPr>
          <w:p w14:paraId="2B640F2B" w14:textId="77777777" w:rsidR="00196665" w:rsidRPr="00AF3704" w:rsidRDefault="00196665" w:rsidP="009160CE">
            <w:pPr>
              <w:tabs>
                <w:tab w:val="left" w:pos="3120"/>
                <w:tab w:val="left" w:pos="3270"/>
              </w:tabs>
              <w:jc w:val="center"/>
            </w:pPr>
          </w:p>
        </w:tc>
        <w:tc>
          <w:tcPr>
            <w:tcW w:w="442" w:type="pct"/>
            <w:tcBorders>
              <w:top w:val="single" w:sz="4" w:space="0" w:color="auto"/>
              <w:left w:val="single" w:sz="4" w:space="0" w:color="auto"/>
              <w:bottom w:val="single" w:sz="4" w:space="0" w:color="auto"/>
              <w:right w:val="single" w:sz="4" w:space="0" w:color="auto"/>
            </w:tcBorders>
            <w:vAlign w:val="center"/>
          </w:tcPr>
          <w:p w14:paraId="38A6AB94" w14:textId="77777777" w:rsidR="00196665" w:rsidRPr="00AF3704" w:rsidRDefault="00196665" w:rsidP="009160CE">
            <w:pPr>
              <w:tabs>
                <w:tab w:val="left" w:pos="3120"/>
                <w:tab w:val="left" w:pos="3270"/>
              </w:tabs>
              <w:jc w:val="center"/>
            </w:pPr>
          </w:p>
        </w:tc>
        <w:tc>
          <w:tcPr>
            <w:tcW w:w="441" w:type="pct"/>
            <w:tcBorders>
              <w:top w:val="single" w:sz="4" w:space="0" w:color="auto"/>
              <w:left w:val="single" w:sz="4" w:space="0" w:color="auto"/>
              <w:bottom w:val="single" w:sz="4" w:space="0" w:color="auto"/>
              <w:right w:val="single" w:sz="4" w:space="0" w:color="auto"/>
            </w:tcBorders>
            <w:vAlign w:val="center"/>
          </w:tcPr>
          <w:p w14:paraId="6D112720" w14:textId="77777777" w:rsidR="00196665" w:rsidRPr="00AF3704" w:rsidRDefault="00196665" w:rsidP="009160CE">
            <w:pPr>
              <w:tabs>
                <w:tab w:val="left" w:pos="3120"/>
                <w:tab w:val="left" w:pos="3270"/>
              </w:tabs>
              <w:jc w:val="center"/>
            </w:pPr>
          </w:p>
        </w:tc>
        <w:tc>
          <w:tcPr>
            <w:tcW w:w="440" w:type="pct"/>
            <w:tcBorders>
              <w:top w:val="single" w:sz="4" w:space="0" w:color="auto"/>
              <w:left w:val="single" w:sz="4" w:space="0" w:color="auto"/>
              <w:bottom w:val="single" w:sz="4" w:space="0" w:color="auto"/>
              <w:right w:val="single" w:sz="4" w:space="0" w:color="auto"/>
            </w:tcBorders>
            <w:vAlign w:val="center"/>
          </w:tcPr>
          <w:p w14:paraId="4616F913" w14:textId="77777777" w:rsidR="00196665" w:rsidRPr="00AF3704" w:rsidRDefault="00196665" w:rsidP="009160CE">
            <w:pPr>
              <w:tabs>
                <w:tab w:val="left" w:pos="3120"/>
                <w:tab w:val="left" w:pos="3270"/>
              </w:tabs>
              <w:jc w:val="center"/>
            </w:pPr>
          </w:p>
        </w:tc>
      </w:tr>
      <w:tr w:rsidR="00196665" w:rsidRPr="00AF3704" w14:paraId="04657A9D" w14:textId="77777777" w:rsidTr="009160CE">
        <w:trPr>
          <w:gridAfter w:val="4"/>
          <w:wAfter w:w="1762" w:type="pct"/>
          <w:trHeight w:val="20"/>
        </w:trPr>
        <w:tc>
          <w:tcPr>
            <w:tcW w:w="1227" w:type="pct"/>
            <w:tcBorders>
              <w:top w:val="single" w:sz="4" w:space="0" w:color="auto"/>
              <w:left w:val="single" w:sz="4" w:space="0" w:color="auto"/>
              <w:bottom w:val="single" w:sz="4" w:space="0" w:color="auto"/>
              <w:right w:val="single" w:sz="2" w:space="0" w:color="auto"/>
            </w:tcBorders>
            <w:vAlign w:val="center"/>
          </w:tcPr>
          <w:p w14:paraId="0A8625EC" w14:textId="77777777" w:rsidR="00196665" w:rsidRPr="00AF3704" w:rsidRDefault="00196665" w:rsidP="009160CE">
            <w:pPr>
              <w:tabs>
                <w:tab w:val="left" w:pos="3120"/>
                <w:tab w:val="left" w:pos="3270"/>
              </w:tabs>
            </w:pPr>
            <w:r w:rsidRPr="00AF3704">
              <w:t>5.1. valsts pamatbudžets</w:t>
            </w:r>
          </w:p>
        </w:tc>
        <w:tc>
          <w:tcPr>
            <w:tcW w:w="294" w:type="pct"/>
            <w:tcBorders>
              <w:top w:val="single" w:sz="2" w:space="0" w:color="auto"/>
              <w:left w:val="single" w:sz="2" w:space="0" w:color="auto"/>
              <w:bottom w:val="single" w:sz="2" w:space="0" w:color="auto"/>
              <w:right w:val="single" w:sz="2" w:space="0" w:color="auto"/>
            </w:tcBorders>
            <w:vAlign w:val="center"/>
          </w:tcPr>
          <w:p w14:paraId="57697DB7" w14:textId="77777777" w:rsidR="00196665" w:rsidRPr="00AF3704" w:rsidRDefault="00196665" w:rsidP="009160CE">
            <w:pPr>
              <w:tabs>
                <w:tab w:val="left" w:pos="3120"/>
                <w:tab w:val="left" w:pos="3270"/>
              </w:tabs>
              <w:jc w:val="center"/>
            </w:pPr>
          </w:p>
        </w:tc>
        <w:tc>
          <w:tcPr>
            <w:tcW w:w="394" w:type="pct"/>
            <w:tcBorders>
              <w:top w:val="single" w:sz="4" w:space="0" w:color="auto"/>
              <w:left w:val="single" w:sz="2" w:space="0" w:color="auto"/>
              <w:bottom w:val="single" w:sz="4" w:space="0" w:color="auto"/>
              <w:right w:val="single" w:sz="4" w:space="0" w:color="auto"/>
            </w:tcBorders>
            <w:vAlign w:val="center"/>
          </w:tcPr>
          <w:p w14:paraId="0508AB0D" w14:textId="77777777" w:rsidR="00196665" w:rsidRPr="00AF3704" w:rsidRDefault="00196665" w:rsidP="009160CE">
            <w:pPr>
              <w:tabs>
                <w:tab w:val="left" w:pos="3120"/>
                <w:tab w:val="left" w:pos="3270"/>
              </w:tabs>
              <w:jc w:val="center"/>
            </w:pPr>
          </w:p>
        </w:tc>
        <w:tc>
          <w:tcPr>
            <w:tcW w:w="442" w:type="pct"/>
            <w:tcBorders>
              <w:top w:val="single" w:sz="4" w:space="0" w:color="auto"/>
              <w:left w:val="single" w:sz="4" w:space="0" w:color="auto"/>
              <w:bottom w:val="single" w:sz="4" w:space="0" w:color="auto"/>
              <w:right w:val="single" w:sz="4" w:space="0" w:color="auto"/>
            </w:tcBorders>
            <w:vAlign w:val="center"/>
          </w:tcPr>
          <w:p w14:paraId="3896D5D5" w14:textId="77777777" w:rsidR="00196665" w:rsidRPr="00AF3704" w:rsidRDefault="00196665" w:rsidP="009160CE">
            <w:pPr>
              <w:tabs>
                <w:tab w:val="left" w:pos="3120"/>
                <w:tab w:val="left" w:pos="3270"/>
              </w:tabs>
              <w:jc w:val="center"/>
            </w:pPr>
          </w:p>
        </w:tc>
        <w:tc>
          <w:tcPr>
            <w:tcW w:w="441" w:type="pct"/>
            <w:tcBorders>
              <w:top w:val="single" w:sz="4" w:space="0" w:color="auto"/>
              <w:left w:val="single" w:sz="4" w:space="0" w:color="auto"/>
              <w:bottom w:val="single" w:sz="4" w:space="0" w:color="auto"/>
              <w:right w:val="single" w:sz="4" w:space="0" w:color="auto"/>
            </w:tcBorders>
            <w:vAlign w:val="center"/>
          </w:tcPr>
          <w:p w14:paraId="0D962A7E" w14:textId="77777777" w:rsidR="00196665" w:rsidRPr="00AF3704" w:rsidRDefault="00196665" w:rsidP="009160CE">
            <w:pPr>
              <w:tabs>
                <w:tab w:val="left" w:pos="3120"/>
                <w:tab w:val="left" w:pos="3270"/>
              </w:tabs>
              <w:jc w:val="center"/>
            </w:pPr>
          </w:p>
        </w:tc>
        <w:tc>
          <w:tcPr>
            <w:tcW w:w="440" w:type="pct"/>
            <w:tcBorders>
              <w:top w:val="single" w:sz="4" w:space="0" w:color="auto"/>
              <w:left w:val="single" w:sz="4" w:space="0" w:color="auto"/>
              <w:bottom w:val="single" w:sz="4" w:space="0" w:color="auto"/>
              <w:right w:val="single" w:sz="4" w:space="0" w:color="auto"/>
            </w:tcBorders>
            <w:vAlign w:val="center"/>
          </w:tcPr>
          <w:p w14:paraId="54E8DCA5" w14:textId="77777777" w:rsidR="00196665" w:rsidRPr="00AF3704" w:rsidRDefault="00196665" w:rsidP="009160CE">
            <w:pPr>
              <w:tabs>
                <w:tab w:val="left" w:pos="3120"/>
                <w:tab w:val="left" w:pos="3270"/>
              </w:tabs>
              <w:jc w:val="center"/>
            </w:pPr>
          </w:p>
        </w:tc>
      </w:tr>
      <w:tr w:rsidR="00196665" w:rsidRPr="00AF3704" w14:paraId="3978C51E" w14:textId="77777777" w:rsidTr="009160CE">
        <w:trPr>
          <w:gridAfter w:val="4"/>
          <w:wAfter w:w="1762" w:type="pct"/>
          <w:trHeight w:val="20"/>
        </w:trPr>
        <w:tc>
          <w:tcPr>
            <w:tcW w:w="1227" w:type="pct"/>
            <w:tcBorders>
              <w:top w:val="single" w:sz="4" w:space="0" w:color="auto"/>
              <w:left w:val="single" w:sz="4" w:space="0" w:color="auto"/>
              <w:bottom w:val="single" w:sz="4" w:space="0" w:color="auto"/>
              <w:right w:val="single" w:sz="2" w:space="0" w:color="auto"/>
            </w:tcBorders>
            <w:vAlign w:val="center"/>
          </w:tcPr>
          <w:p w14:paraId="441D9640" w14:textId="77777777" w:rsidR="00196665" w:rsidRPr="00AF3704" w:rsidRDefault="00196665" w:rsidP="009160CE">
            <w:pPr>
              <w:tabs>
                <w:tab w:val="left" w:pos="3120"/>
                <w:tab w:val="left" w:pos="3270"/>
              </w:tabs>
            </w:pPr>
            <w:r w:rsidRPr="00AF3704">
              <w:t>5.2. speciālais budžets</w:t>
            </w:r>
          </w:p>
        </w:tc>
        <w:tc>
          <w:tcPr>
            <w:tcW w:w="294" w:type="pct"/>
            <w:tcBorders>
              <w:top w:val="single" w:sz="2" w:space="0" w:color="auto"/>
              <w:left w:val="single" w:sz="2" w:space="0" w:color="auto"/>
              <w:bottom w:val="single" w:sz="2" w:space="0" w:color="auto"/>
              <w:right w:val="single" w:sz="2" w:space="0" w:color="auto"/>
            </w:tcBorders>
            <w:vAlign w:val="center"/>
          </w:tcPr>
          <w:p w14:paraId="3E19FE73" w14:textId="77777777" w:rsidR="00196665" w:rsidRPr="00AF3704" w:rsidRDefault="00196665" w:rsidP="009160CE">
            <w:pPr>
              <w:tabs>
                <w:tab w:val="left" w:pos="3120"/>
                <w:tab w:val="left" w:pos="3270"/>
              </w:tabs>
              <w:jc w:val="center"/>
            </w:pPr>
          </w:p>
        </w:tc>
        <w:tc>
          <w:tcPr>
            <w:tcW w:w="394" w:type="pct"/>
            <w:tcBorders>
              <w:top w:val="single" w:sz="4" w:space="0" w:color="auto"/>
              <w:left w:val="single" w:sz="2" w:space="0" w:color="auto"/>
              <w:bottom w:val="single" w:sz="4" w:space="0" w:color="auto"/>
              <w:right w:val="single" w:sz="4" w:space="0" w:color="auto"/>
            </w:tcBorders>
            <w:vAlign w:val="center"/>
          </w:tcPr>
          <w:p w14:paraId="06435C85" w14:textId="77777777" w:rsidR="00196665" w:rsidRPr="00AF3704" w:rsidRDefault="00196665" w:rsidP="009160CE">
            <w:pPr>
              <w:tabs>
                <w:tab w:val="left" w:pos="3120"/>
                <w:tab w:val="left" w:pos="3270"/>
              </w:tabs>
              <w:jc w:val="center"/>
            </w:pPr>
          </w:p>
        </w:tc>
        <w:tc>
          <w:tcPr>
            <w:tcW w:w="442" w:type="pct"/>
            <w:tcBorders>
              <w:top w:val="single" w:sz="4" w:space="0" w:color="auto"/>
              <w:left w:val="single" w:sz="4" w:space="0" w:color="auto"/>
              <w:bottom w:val="single" w:sz="4" w:space="0" w:color="auto"/>
              <w:right w:val="single" w:sz="4" w:space="0" w:color="auto"/>
            </w:tcBorders>
            <w:vAlign w:val="center"/>
          </w:tcPr>
          <w:p w14:paraId="61410C84" w14:textId="77777777" w:rsidR="00196665" w:rsidRPr="00AF3704" w:rsidRDefault="00196665" w:rsidP="009160CE">
            <w:pPr>
              <w:tabs>
                <w:tab w:val="left" w:pos="3120"/>
                <w:tab w:val="left" w:pos="3270"/>
              </w:tabs>
              <w:jc w:val="center"/>
            </w:pPr>
          </w:p>
        </w:tc>
        <w:tc>
          <w:tcPr>
            <w:tcW w:w="441" w:type="pct"/>
            <w:tcBorders>
              <w:top w:val="single" w:sz="4" w:space="0" w:color="auto"/>
              <w:left w:val="single" w:sz="4" w:space="0" w:color="auto"/>
              <w:bottom w:val="single" w:sz="4" w:space="0" w:color="auto"/>
              <w:right w:val="single" w:sz="4" w:space="0" w:color="auto"/>
            </w:tcBorders>
            <w:vAlign w:val="center"/>
          </w:tcPr>
          <w:p w14:paraId="178A189F" w14:textId="77777777" w:rsidR="00196665" w:rsidRPr="00AF3704" w:rsidRDefault="00196665" w:rsidP="009160CE">
            <w:pPr>
              <w:tabs>
                <w:tab w:val="left" w:pos="3120"/>
                <w:tab w:val="left" w:pos="3270"/>
              </w:tabs>
              <w:jc w:val="center"/>
            </w:pPr>
          </w:p>
        </w:tc>
        <w:tc>
          <w:tcPr>
            <w:tcW w:w="440" w:type="pct"/>
            <w:tcBorders>
              <w:top w:val="single" w:sz="4" w:space="0" w:color="auto"/>
              <w:left w:val="single" w:sz="4" w:space="0" w:color="auto"/>
              <w:bottom w:val="single" w:sz="4" w:space="0" w:color="auto"/>
              <w:right w:val="single" w:sz="4" w:space="0" w:color="auto"/>
            </w:tcBorders>
            <w:vAlign w:val="center"/>
          </w:tcPr>
          <w:p w14:paraId="27DF381F" w14:textId="77777777" w:rsidR="00196665" w:rsidRPr="00AF3704" w:rsidRDefault="00196665" w:rsidP="009160CE">
            <w:pPr>
              <w:tabs>
                <w:tab w:val="left" w:pos="3120"/>
                <w:tab w:val="left" w:pos="3270"/>
              </w:tabs>
              <w:jc w:val="center"/>
            </w:pPr>
          </w:p>
        </w:tc>
      </w:tr>
      <w:tr w:rsidR="00196665" w:rsidRPr="00AF3704" w14:paraId="3388BAFF" w14:textId="77777777" w:rsidTr="009160CE">
        <w:trPr>
          <w:gridAfter w:val="4"/>
          <w:wAfter w:w="1762" w:type="pct"/>
          <w:trHeight w:val="20"/>
        </w:trPr>
        <w:tc>
          <w:tcPr>
            <w:tcW w:w="1227" w:type="pct"/>
            <w:tcBorders>
              <w:top w:val="single" w:sz="4" w:space="0" w:color="auto"/>
              <w:left w:val="single" w:sz="4" w:space="0" w:color="auto"/>
              <w:bottom w:val="single" w:sz="4" w:space="0" w:color="auto"/>
              <w:right w:val="single" w:sz="2" w:space="0" w:color="auto"/>
            </w:tcBorders>
            <w:vAlign w:val="center"/>
          </w:tcPr>
          <w:p w14:paraId="692EF127" w14:textId="77777777" w:rsidR="00196665" w:rsidRPr="00AF3704" w:rsidRDefault="00196665" w:rsidP="009160CE">
            <w:pPr>
              <w:tabs>
                <w:tab w:val="left" w:pos="3120"/>
                <w:tab w:val="left" w:pos="3270"/>
              </w:tabs>
            </w:pPr>
            <w:r w:rsidRPr="00AF3704">
              <w:t>5.3. pašvaldību budžets</w:t>
            </w:r>
          </w:p>
        </w:tc>
        <w:tc>
          <w:tcPr>
            <w:tcW w:w="294" w:type="pct"/>
            <w:tcBorders>
              <w:top w:val="single" w:sz="2" w:space="0" w:color="auto"/>
              <w:left w:val="single" w:sz="2" w:space="0" w:color="auto"/>
              <w:bottom w:val="single" w:sz="2" w:space="0" w:color="auto"/>
              <w:right w:val="single" w:sz="2" w:space="0" w:color="auto"/>
            </w:tcBorders>
            <w:vAlign w:val="center"/>
          </w:tcPr>
          <w:p w14:paraId="48E65C87" w14:textId="77777777" w:rsidR="00196665" w:rsidRPr="00AF3704" w:rsidRDefault="00196665" w:rsidP="009160CE">
            <w:pPr>
              <w:tabs>
                <w:tab w:val="left" w:pos="3120"/>
                <w:tab w:val="left" w:pos="3270"/>
              </w:tabs>
              <w:jc w:val="center"/>
            </w:pPr>
          </w:p>
        </w:tc>
        <w:tc>
          <w:tcPr>
            <w:tcW w:w="394" w:type="pct"/>
            <w:tcBorders>
              <w:top w:val="single" w:sz="4" w:space="0" w:color="auto"/>
              <w:left w:val="single" w:sz="2" w:space="0" w:color="auto"/>
              <w:bottom w:val="single" w:sz="4" w:space="0" w:color="auto"/>
              <w:right w:val="single" w:sz="4" w:space="0" w:color="auto"/>
            </w:tcBorders>
            <w:vAlign w:val="center"/>
          </w:tcPr>
          <w:p w14:paraId="48788E72" w14:textId="77777777" w:rsidR="00196665" w:rsidRPr="00AF3704" w:rsidRDefault="00196665" w:rsidP="009160CE">
            <w:pPr>
              <w:tabs>
                <w:tab w:val="left" w:pos="3120"/>
                <w:tab w:val="left" w:pos="3270"/>
              </w:tabs>
              <w:jc w:val="center"/>
            </w:pPr>
          </w:p>
        </w:tc>
        <w:tc>
          <w:tcPr>
            <w:tcW w:w="442" w:type="pct"/>
            <w:tcBorders>
              <w:top w:val="single" w:sz="4" w:space="0" w:color="auto"/>
              <w:left w:val="single" w:sz="4" w:space="0" w:color="auto"/>
              <w:bottom w:val="single" w:sz="4" w:space="0" w:color="auto"/>
              <w:right w:val="single" w:sz="4" w:space="0" w:color="auto"/>
            </w:tcBorders>
            <w:vAlign w:val="center"/>
          </w:tcPr>
          <w:p w14:paraId="53FD785D" w14:textId="77777777" w:rsidR="00196665" w:rsidRPr="00AF3704" w:rsidRDefault="00196665" w:rsidP="009160CE">
            <w:pPr>
              <w:tabs>
                <w:tab w:val="left" w:pos="3120"/>
                <w:tab w:val="left" w:pos="3270"/>
              </w:tabs>
              <w:jc w:val="center"/>
            </w:pPr>
          </w:p>
        </w:tc>
        <w:tc>
          <w:tcPr>
            <w:tcW w:w="441" w:type="pct"/>
            <w:tcBorders>
              <w:top w:val="single" w:sz="4" w:space="0" w:color="auto"/>
              <w:left w:val="single" w:sz="4" w:space="0" w:color="auto"/>
              <w:bottom w:val="single" w:sz="4" w:space="0" w:color="auto"/>
              <w:right w:val="single" w:sz="4" w:space="0" w:color="auto"/>
            </w:tcBorders>
            <w:vAlign w:val="center"/>
          </w:tcPr>
          <w:p w14:paraId="3DFF7688" w14:textId="77777777" w:rsidR="00196665" w:rsidRPr="00AF3704" w:rsidRDefault="00196665" w:rsidP="009160CE">
            <w:pPr>
              <w:tabs>
                <w:tab w:val="left" w:pos="3120"/>
                <w:tab w:val="left" w:pos="3270"/>
              </w:tabs>
              <w:jc w:val="center"/>
            </w:pPr>
          </w:p>
        </w:tc>
        <w:tc>
          <w:tcPr>
            <w:tcW w:w="440" w:type="pct"/>
            <w:tcBorders>
              <w:top w:val="single" w:sz="4" w:space="0" w:color="auto"/>
              <w:left w:val="single" w:sz="4" w:space="0" w:color="auto"/>
              <w:bottom w:val="single" w:sz="4" w:space="0" w:color="auto"/>
              <w:right w:val="single" w:sz="4" w:space="0" w:color="auto"/>
            </w:tcBorders>
            <w:vAlign w:val="center"/>
          </w:tcPr>
          <w:p w14:paraId="0C7304B8" w14:textId="77777777" w:rsidR="00196665" w:rsidRPr="00AF3704" w:rsidRDefault="00196665" w:rsidP="009160CE">
            <w:pPr>
              <w:tabs>
                <w:tab w:val="left" w:pos="3120"/>
                <w:tab w:val="left" w:pos="3270"/>
              </w:tabs>
              <w:jc w:val="center"/>
            </w:pPr>
          </w:p>
        </w:tc>
      </w:tr>
      <w:tr w:rsidR="00196665" w:rsidRPr="00AF3704" w14:paraId="3433D897" w14:textId="77777777" w:rsidTr="009160CE">
        <w:trPr>
          <w:gridAfter w:val="4"/>
          <w:wAfter w:w="1762" w:type="pct"/>
          <w:trHeight w:val="20"/>
        </w:trPr>
        <w:tc>
          <w:tcPr>
            <w:tcW w:w="1227" w:type="pct"/>
            <w:tcBorders>
              <w:top w:val="single" w:sz="4" w:space="0" w:color="auto"/>
              <w:left w:val="single" w:sz="4" w:space="0" w:color="auto"/>
              <w:bottom w:val="single" w:sz="4" w:space="0" w:color="auto"/>
              <w:right w:val="single" w:sz="4" w:space="0" w:color="auto"/>
            </w:tcBorders>
            <w:vAlign w:val="center"/>
          </w:tcPr>
          <w:p w14:paraId="1F7A8C4D" w14:textId="77777777" w:rsidR="00196665" w:rsidRPr="00AF3704" w:rsidRDefault="00196665" w:rsidP="009160CE">
            <w:pPr>
              <w:tabs>
                <w:tab w:val="left" w:pos="3120"/>
                <w:tab w:val="left" w:pos="3270"/>
              </w:tabs>
            </w:pPr>
            <w:r w:rsidRPr="00AF3704">
              <w:t>6. Detalizēts ieņēmumu un izdevumu aprēķins (ja nepieciešams, detalizētu ieņēmumu un izdevumu aprēķinu var pievienot anotācijas pielikumā):</w:t>
            </w:r>
          </w:p>
        </w:tc>
        <w:tc>
          <w:tcPr>
            <w:tcW w:w="2011" w:type="pct"/>
            <w:gridSpan w:val="5"/>
            <w:vMerge w:val="restart"/>
            <w:tcBorders>
              <w:top w:val="single" w:sz="4" w:space="0" w:color="auto"/>
              <w:left w:val="single" w:sz="4" w:space="0" w:color="auto"/>
              <w:right w:val="single" w:sz="4" w:space="0" w:color="auto"/>
            </w:tcBorders>
            <w:vAlign w:val="center"/>
          </w:tcPr>
          <w:p w14:paraId="3B651A46" w14:textId="60BD6791" w:rsidR="00196665" w:rsidRPr="005C078A" w:rsidRDefault="00196665" w:rsidP="009160CE">
            <w:pPr>
              <w:jc w:val="both"/>
              <w:rPr>
                <w:color w:val="000000" w:themeColor="text1"/>
              </w:rPr>
            </w:pPr>
            <w:r w:rsidRPr="00AF3704">
              <w:rPr>
                <w:color w:val="000000" w:themeColor="text1"/>
              </w:rPr>
              <w:t xml:space="preserve">Valsts ieņēmumu dienestam, lai ieviestu paredzamos grozījumus </w:t>
            </w:r>
            <w:r>
              <w:rPr>
                <w:color w:val="000000" w:themeColor="text1"/>
              </w:rPr>
              <w:t xml:space="preserve">2001.gada 30.aprīļa </w:t>
            </w:r>
            <w:r w:rsidRPr="00AF3704">
              <w:rPr>
                <w:color w:val="000000" w:themeColor="text1"/>
              </w:rPr>
              <w:t>Mini</w:t>
            </w:r>
            <w:r>
              <w:rPr>
                <w:color w:val="000000" w:themeColor="text1"/>
              </w:rPr>
              <w:t>stru kabineta noteikumos</w:t>
            </w:r>
            <w:r w:rsidRPr="00AF3704">
              <w:rPr>
                <w:color w:val="000000" w:themeColor="text1"/>
              </w:rPr>
              <w:t xml:space="preserve"> </w:t>
            </w:r>
            <w:r>
              <w:rPr>
                <w:color w:val="000000" w:themeColor="text1"/>
              </w:rPr>
              <w:t xml:space="preserve">Nr.178 </w:t>
            </w:r>
            <w:r w:rsidRPr="00AF3704">
              <w:rPr>
                <w:color w:val="000000" w:themeColor="text1"/>
              </w:rPr>
              <w:t xml:space="preserve">“Kārtība, kādā piemērojami starptautiskajos līgumos par nodokļu dubultās uzlikšanas un nodokļu nemaksāšanas novēršanu noteiktie nodokļu atvieglojumi” un veiktu izmaiņas informācijas sistēmās, paredzamās kopējās izmaksas </w:t>
            </w:r>
            <w:r w:rsidRPr="005C078A">
              <w:rPr>
                <w:color w:val="000000" w:themeColor="text1"/>
              </w:rPr>
              <w:t xml:space="preserve">var sasniegt  </w:t>
            </w:r>
            <w:r w:rsidR="005D63CB">
              <w:rPr>
                <w:color w:val="000000" w:themeColor="text1"/>
              </w:rPr>
              <w:t xml:space="preserve">92 426 </w:t>
            </w:r>
            <w:r w:rsidRPr="005C078A">
              <w:rPr>
                <w:color w:val="000000" w:themeColor="text1"/>
              </w:rPr>
              <w:t>EUR, tai skaitā:</w:t>
            </w:r>
          </w:p>
          <w:p w14:paraId="7F675589" w14:textId="77777777" w:rsidR="00A066EF" w:rsidRDefault="00196665" w:rsidP="00196665">
            <w:pPr>
              <w:pStyle w:val="ListParagraph"/>
              <w:numPr>
                <w:ilvl w:val="0"/>
                <w:numId w:val="2"/>
              </w:numPr>
              <w:jc w:val="both"/>
              <w:rPr>
                <w:color w:val="000000" w:themeColor="text1"/>
              </w:rPr>
            </w:pPr>
            <w:r w:rsidRPr="005C078A">
              <w:rPr>
                <w:color w:val="000000" w:themeColor="text1"/>
              </w:rPr>
              <w:t xml:space="preserve">Maksājumu administrēšanas informācijas sistēmā (MAIS) 64 754 EUR; </w:t>
            </w:r>
          </w:p>
          <w:p w14:paraId="30ADC107" w14:textId="79B3BD05" w:rsidR="00196665" w:rsidRPr="005C078A" w:rsidRDefault="00196665" w:rsidP="00196665">
            <w:pPr>
              <w:pStyle w:val="ListParagraph"/>
              <w:numPr>
                <w:ilvl w:val="0"/>
                <w:numId w:val="2"/>
              </w:numPr>
              <w:jc w:val="both"/>
              <w:rPr>
                <w:color w:val="000000" w:themeColor="text1"/>
              </w:rPr>
            </w:pPr>
            <w:r w:rsidRPr="005C078A">
              <w:rPr>
                <w:color w:val="000000" w:themeColor="text1"/>
              </w:rPr>
              <w:t xml:space="preserve">Elektroniskās deklarēšanas sistēmā (EDS) </w:t>
            </w:r>
            <w:r w:rsidR="00523A52">
              <w:rPr>
                <w:color w:val="000000" w:themeColor="text1"/>
              </w:rPr>
              <w:t xml:space="preserve"> 27 672</w:t>
            </w:r>
            <w:r w:rsidRPr="005C078A">
              <w:rPr>
                <w:color w:val="000000" w:themeColor="text1"/>
              </w:rPr>
              <w:t xml:space="preserve"> EUR;</w:t>
            </w:r>
          </w:p>
          <w:p w14:paraId="7D190513" w14:textId="77777777" w:rsidR="00196665" w:rsidRPr="00470BDB" w:rsidRDefault="00196665" w:rsidP="009160CE">
            <w:pPr>
              <w:jc w:val="both"/>
              <w:rPr>
                <w:color w:val="000000" w:themeColor="text1"/>
              </w:rPr>
            </w:pPr>
            <w:r>
              <w:rPr>
                <w:color w:val="000000" w:themeColor="text1"/>
              </w:rPr>
              <w:t>I</w:t>
            </w:r>
            <w:r w:rsidRPr="00470BDB">
              <w:rPr>
                <w:color w:val="000000" w:themeColor="text1"/>
              </w:rPr>
              <w:t>zmaksu novērtējums ir orientējošs un var mainīties, precizējot prasības, kā arī izmaksas vērtētas atbilstoši pieprasījuma brīdī spēkā esošo līgumu darbietilpības izcenojumiem.</w:t>
            </w:r>
          </w:p>
          <w:p w14:paraId="54246664" w14:textId="77777777" w:rsidR="00196665" w:rsidRDefault="00196665" w:rsidP="009160CE">
            <w:pPr>
              <w:jc w:val="both"/>
              <w:rPr>
                <w:color w:val="000000" w:themeColor="text1"/>
              </w:rPr>
            </w:pPr>
            <w:r w:rsidRPr="00AF3704">
              <w:rPr>
                <w:color w:val="000000" w:themeColor="text1"/>
              </w:rPr>
              <w:t>Nepieciešamie finanšu līdzekļi izmaiņu veikšanai VID IS tiks nodrošināti no VID dotācijas budžetā piešķirtā finansējuma MAIS projektam.</w:t>
            </w:r>
          </w:p>
          <w:p w14:paraId="43E49BA5" w14:textId="1378E405" w:rsidR="008B283C" w:rsidRPr="00AF3704" w:rsidRDefault="008B283C" w:rsidP="009160CE">
            <w:pPr>
              <w:jc w:val="both"/>
              <w:rPr>
                <w:color w:val="000000" w:themeColor="text1"/>
              </w:rPr>
            </w:pPr>
            <w:r w:rsidRPr="008D142E">
              <w:t>Attiecībā uz 2.pielikumu izmaksas nerodas.</w:t>
            </w:r>
          </w:p>
        </w:tc>
      </w:tr>
      <w:tr w:rsidR="00196665" w:rsidRPr="00AF3704" w14:paraId="6EAA4DED" w14:textId="77777777" w:rsidTr="009160CE">
        <w:trPr>
          <w:gridAfter w:val="4"/>
          <w:wAfter w:w="1762" w:type="pct"/>
          <w:trHeight w:val="20"/>
        </w:trPr>
        <w:tc>
          <w:tcPr>
            <w:tcW w:w="1227" w:type="pct"/>
            <w:tcBorders>
              <w:top w:val="single" w:sz="4" w:space="0" w:color="auto"/>
              <w:left w:val="single" w:sz="4" w:space="0" w:color="auto"/>
              <w:bottom w:val="single" w:sz="4" w:space="0" w:color="auto"/>
              <w:right w:val="single" w:sz="4" w:space="0" w:color="auto"/>
            </w:tcBorders>
            <w:vAlign w:val="center"/>
          </w:tcPr>
          <w:p w14:paraId="4408F5EB" w14:textId="77777777" w:rsidR="00196665" w:rsidRPr="00AF3704" w:rsidRDefault="00196665" w:rsidP="009160CE">
            <w:pPr>
              <w:tabs>
                <w:tab w:val="left" w:pos="3120"/>
                <w:tab w:val="left" w:pos="3270"/>
              </w:tabs>
            </w:pPr>
            <w:r w:rsidRPr="00AF3704">
              <w:t>6.1. detalizēts ieņēmumu aprēķins</w:t>
            </w:r>
          </w:p>
        </w:tc>
        <w:tc>
          <w:tcPr>
            <w:tcW w:w="2011" w:type="pct"/>
            <w:gridSpan w:val="5"/>
            <w:vMerge/>
            <w:tcBorders>
              <w:left w:val="single" w:sz="4" w:space="0" w:color="auto"/>
              <w:right w:val="single" w:sz="4" w:space="0" w:color="auto"/>
            </w:tcBorders>
            <w:vAlign w:val="center"/>
          </w:tcPr>
          <w:p w14:paraId="26CF02C7" w14:textId="77777777" w:rsidR="00196665" w:rsidRPr="00AF3704" w:rsidRDefault="00196665" w:rsidP="009160CE">
            <w:pPr>
              <w:tabs>
                <w:tab w:val="left" w:pos="3120"/>
                <w:tab w:val="left" w:pos="3270"/>
              </w:tabs>
              <w:jc w:val="center"/>
            </w:pPr>
          </w:p>
        </w:tc>
      </w:tr>
      <w:tr w:rsidR="00196665" w:rsidRPr="00AF3704" w14:paraId="3C0B78A4" w14:textId="77777777" w:rsidTr="009160CE">
        <w:trPr>
          <w:gridAfter w:val="4"/>
          <w:wAfter w:w="1762" w:type="pct"/>
          <w:trHeight w:val="20"/>
        </w:trPr>
        <w:tc>
          <w:tcPr>
            <w:tcW w:w="1227" w:type="pct"/>
            <w:tcBorders>
              <w:top w:val="single" w:sz="4" w:space="0" w:color="auto"/>
              <w:left w:val="single" w:sz="4" w:space="0" w:color="auto"/>
              <w:bottom w:val="single" w:sz="4" w:space="0" w:color="auto"/>
              <w:right w:val="single" w:sz="4" w:space="0" w:color="auto"/>
            </w:tcBorders>
            <w:vAlign w:val="center"/>
          </w:tcPr>
          <w:p w14:paraId="167C81CC" w14:textId="77777777" w:rsidR="00196665" w:rsidRPr="00AF3704" w:rsidRDefault="00196665" w:rsidP="009160CE">
            <w:pPr>
              <w:tabs>
                <w:tab w:val="left" w:pos="3120"/>
                <w:tab w:val="left" w:pos="3270"/>
              </w:tabs>
            </w:pPr>
            <w:r w:rsidRPr="00AF3704">
              <w:t>6.2. detalizēts izdevumu aprēķins</w:t>
            </w:r>
          </w:p>
        </w:tc>
        <w:tc>
          <w:tcPr>
            <w:tcW w:w="2011" w:type="pct"/>
            <w:gridSpan w:val="5"/>
            <w:vMerge/>
            <w:tcBorders>
              <w:left w:val="single" w:sz="4" w:space="0" w:color="auto"/>
              <w:bottom w:val="single" w:sz="4" w:space="0" w:color="auto"/>
              <w:right w:val="single" w:sz="4" w:space="0" w:color="auto"/>
            </w:tcBorders>
            <w:vAlign w:val="center"/>
          </w:tcPr>
          <w:p w14:paraId="418C3CF6" w14:textId="77777777" w:rsidR="00196665" w:rsidRPr="00AF3704" w:rsidRDefault="00196665" w:rsidP="009160CE">
            <w:pPr>
              <w:tabs>
                <w:tab w:val="left" w:pos="3120"/>
                <w:tab w:val="left" w:pos="3270"/>
              </w:tabs>
              <w:jc w:val="center"/>
            </w:pPr>
          </w:p>
        </w:tc>
      </w:tr>
      <w:tr w:rsidR="00196665" w:rsidRPr="00AF3704" w14:paraId="508F070B" w14:textId="77777777" w:rsidTr="009160CE">
        <w:trPr>
          <w:gridAfter w:val="4"/>
          <w:wAfter w:w="1762" w:type="pct"/>
          <w:trHeight w:val="20"/>
        </w:trPr>
        <w:tc>
          <w:tcPr>
            <w:tcW w:w="1227" w:type="pct"/>
            <w:tcBorders>
              <w:top w:val="single" w:sz="4" w:space="0" w:color="auto"/>
              <w:left w:val="single" w:sz="4" w:space="0" w:color="auto"/>
              <w:bottom w:val="single" w:sz="4" w:space="0" w:color="auto"/>
              <w:right w:val="single" w:sz="4" w:space="0" w:color="auto"/>
            </w:tcBorders>
            <w:vAlign w:val="center"/>
          </w:tcPr>
          <w:p w14:paraId="1F200C2A" w14:textId="77777777" w:rsidR="00196665" w:rsidRPr="00AF3704" w:rsidRDefault="00196665" w:rsidP="009160CE">
            <w:pPr>
              <w:tabs>
                <w:tab w:val="left" w:pos="3120"/>
                <w:tab w:val="left" w:pos="3270"/>
              </w:tabs>
            </w:pPr>
            <w:r w:rsidRPr="00AF3704">
              <w:t>7. Cita informācija</w:t>
            </w:r>
          </w:p>
        </w:tc>
        <w:tc>
          <w:tcPr>
            <w:tcW w:w="2011" w:type="pct"/>
            <w:gridSpan w:val="5"/>
            <w:tcBorders>
              <w:top w:val="single" w:sz="4" w:space="0" w:color="auto"/>
              <w:left w:val="single" w:sz="4" w:space="0" w:color="auto"/>
              <w:bottom w:val="single" w:sz="4" w:space="0" w:color="auto"/>
              <w:right w:val="single" w:sz="4" w:space="0" w:color="auto"/>
            </w:tcBorders>
            <w:vAlign w:val="center"/>
          </w:tcPr>
          <w:p w14:paraId="2B7F5FE8" w14:textId="77777777" w:rsidR="00196665" w:rsidRPr="00AF3704" w:rsidRDefault="00196665" w:rsidP="009160CE">
            <w:pPr>
              <w:jc w:val="both"/>
              <w:rPr>
                <w:color w:val="000000"/>
              </w:rPr>
            </w:pPr>
            <w:r w:rsidRPr="00AF3704">
              <w:rPr>
                <w:color w:val="000000" w:themeColor="text1"/>
              </w:rPr>
              <w:t>Nav.</w:t>
            </w:r>
          </w:p>
        </w:tc>
      </w:tr>
    </w:tbl>
    <w:p w14:paraId="1A0E20F1" w14:textId="77777777" w:rsidR="00196665" w:rsidRPr="00AF3704" w:rsidRDefault="00196665" w:rsidP="00196665">
      <w:r w:rsidRPr="00AF3704">
        <w:t> </w:t>
      </w:r>
    </w:p>
    <w:tbl>
      <w:tblPr>
        <w:tblW w:w="7643" w:type="pct"/>
        <w:tblInd w:w="-3125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5000"/>
        <w:gridCol w:w="8192"/>
      </w:tblGrid>
      <w:tr w:rsidR="00196665" w:rsidRPr="00AF3704" w14:paraId="143D0D99" w14:textId="77777777" w:rsidTr="00763BF5">
        <w:trPr>
          <w:trHeight w:val="20"/>
        </w:trPr>
        <w:tc>
          <w:tcPr>
            <w:tcW w:w="1895" w:type="pct"/>
            <w:tcBorders>
              <w:top w:val="single" w:sz="4" w:space="0" w:color="auto"/>
              <w:left w:val="single" w:sz="4" w:space="0" w:color="auto"/>
              <w:bottom w:val="single" w:sz="4" w:space="0" w:color="auto"/>
              <w:right w:val="single" w:sz="4" w:space="0" w:color="auto"/>
            </w:tcBorders>
            <w:vAlign w:val="center"/>
          </w:tcPr>
          <w:p w14:paraId="2B127F44" w14:textId="77777777" w:rsidR="00196665" w:rsidRPr="00AF3704" w:rsidRDefault="00196665" w:rsidP="009160CE">
            <w:pPr>
              <w:tabs>
                <w:tab w:val="left" w:pos="432"/>
                <w:tab w:val="left" w:pos="3120"/>
                <w:tab w:val="left" w:pos="3270"/>
              </w:tabs>
            </w:pPr>
            <w:r w:rsidRPr="00AF3704">
              <w:t>6.2. detalizēts izdevumu aprēķins</w:t>
            </w:r>
          </w:p>
        </w:tc>
        <w:tc>
          <w:tcPr>
            <w:tcW w:w="3105" w:type="pct"/>
            <w:vMerge/>
            <w:tcBorders>
              <w:left w:val="single" w:sz="4" w:space="0" w:color="auto"/>
              <w:bottom w:val="single" w:sz="4" w:space="0" w:color="auto"/>
              <w:right w:val="single" w:sz="4" w:space="0" w:color="auto"/>
            </w:tcBorders>
            <w:vAlign w:val="center"/>
          </w:tcPr>
          <w:p w14:paraId="7FA912A4" w14:textId="77777777" w:rsidR="00196665" w:rsidRPr="00AF3704" w:rsidRDefault="00196665" w:rsidP="009160CE">
            <w:pPr>
              <w:tabs>
                <w:tab w:val="left" w:pos="3120"/>
                <w:tab w:val="left" w:pos="3270"/>
              </w:tabs>
              <w:jc w:val="center"/>
            </w:pPr>
          </w:p>
        </w:tc>
      </w:tr>
      <w:tr w:rsidR="00196665" w:rsidRPr="00AF3704" w14:paraId="0C5DCE9A" w14:textId="77777777" w:rsidTr="00763BF5">
        <w:trPr>
          <w:trHeight w:val="20"/>
        </w:trPr>
        <w:tc>
          <w:tcPr>
            <w:tcW w:w="1895" w:type="pct"/>
            <w:tcBorders>
              <w:top w:val="single" w:sz="4" w:space="0" w:color="auto"/>
              <w:left w:val="single" w:sz="4" w:space="0" w:color="auto"/>
              <w:bottom w:val="single" w:sz="4" w:space="0" w:color="auto"/>
              <w:right w:val="single" w:sz="4" w:space="0" w:color="auto"/>
            </w:tcBorders>
            <w:vAlign w:val="center"/>
          </w:tcPr>
          <w:p w14:paraId="053F6F57" w14:textId="77777777" w:rsidR="00196665" w:rsidRPr="00AF3704" w:rsidRDefault="00196665" w:rsidP="009160CE">
            <w:pPr>
              <w:tabs>
                <w:tab w:val="left" w:pos="3120"/>
                <w:tab w:val="left" w:pos="3270"/>
              </w:tabs>
            </w:pPr>
            <w:r w:rsidRPr="00AF3704">
              <w:t>7. Cita informācija</w:t>
            </w:r>
          </w:p>
        </w:tc>
        <w:tc>
          <w:tcPr>
            <w:tcW w:w="3105" w:type="pct"/>
            <w:tcBorders>
              <w:top w:val="single" w:sz="4" w:space="0" w:color="auto"/>
              <w:left w:val="single" w:sz="4" w:space="0" w:color="auto"/>
              <w:bottom w:val="single" w:sz="4" w:space="0" w:color="auto"/>
              <w:right w:val="single" w:sz="4" w:space="0" w:color="auto"/>
            </w:tcBorders>
            <w:vAlign w:val="center"/>
          </w:tcPr>
          <w:p w14:paraId="6D9F1E64" w14:textId="77777777" w:rsidR="00196665" w:rsidRPr="00AF3704" w:rsidRDefault="00196665" w:rsidP="009160CE">
            <w:pPr>
              <w:jc w:val="both"/>
              <w:rPr>
                <w:color w:val="000000"/>
              </w:rPr>
            </w:pPr>
            <w:r w:rsidRPr="00AF3704">
              <w:rPr>
                <w:color w:val="000000" w:themeColor="text1"/>
              </w:rPr>
              <w:t>Nav.</w:t>
            </w:r>
          </w:p>
        </w:tc>
      </w:tr>
    </w:tbl>
    <w:tbl>
      <w:tblPr>
        <w:tblStyle w:val="TableGrid"/>
        <w:tblW w:w="4950" w:type="pct"/>
        <w:tblLook w:val="04A0" w:firstRow="1" w:lastRow="0" w:firstColumn="1" w:lastColumn="0" w:noHBand="0" w:noVBand="1"/>
      </w:tblPr>
      <w:tblGrid>
        <w:gridCol w:w="8544"/>
      </w:tblGrid>
      <w:tr w:rsidR="00196665" w:rsidRPr="00AF3704" w14:paraId="040FFC37" w14:textId="77777777" w:rsidTr="00A066EF">
        <w:tc>
          <w:tcPr>
            <w:tcW w:w="8544" w:type="dxa"/>
          </w:tcPr>
          <w:p w14:paraId="721AAA9B" w14:textId="77777777" w:rsidR="00196665" w:rsidRPr="00AF3704" w:rsidRDefault="00196665" w:rsidP="009160CE">
            <w:pPr>
              <w:jc w:val="center"/>
              <w:rPr>
                <w:iCs/>
              </w:rPr>
            </w:pPr>
            <w:r w:rsidRPr="00AF3704">
              <w:rPr>
                <w:b/>
                <w:bCs/>
                <w:iCs/>
              </w:rPr>
              <w:t>IV. Tiesību akta projekta ietekme uz spēkā esošo tiesību normu sistēmu</w:t>
            </w:r>
          </w:p>
        </w:tc>
      </w:tr>
      <w:tr w:rsidR="001A7182" w:rsidRPr="00AF3704" w14:paraId="03378DD0" w14:textId="77777777" w:rsidTr="00344C10">
        <w:tc>
          <w:tcPr>
            <w:tcW w:w="8544" w:type="dxa"/>
          </w:tcPr>
          <w:p w14:paraId="62A8DD1D" w14:textId="142CA9C6" w:rsidR="001A7182" w:rsidRPr="00AF3704" w:rsidRDefault="001A7182" w:rsidP="00A066EF">
            <w:pPr>
              <w:jc w:val="center"/>
              <w:rPr>
                <w:iCs/>
              </w:rPr>
            </w:pPr>
            <w:r>
              <w:rPr>
                <w:iCs/>
              </w:rPr>
              <w:t>Projekts šo jomu neskar</w:t>
            </w:r>
            <w:r w:rsidR="00A066EF">
              <w:rPr>
                <w:iCs/>
              </w:rPr>
              <w:t>.</w:t>
            </w:r>
          </w:p>
        </w:tc>
      </w:tr>
    </w:tbl>
    <w:p w14:paraId="011B2E72" w14:textId="77777777" w:rsidR="00196665" w:rsidRPr="00AF3704" w:rsidRDefault="00196665" w:rsidP="00857D10">
      <w:pPr>
        <w:rPr>
          <w:iCs/>
        </w:rPr>
      </w:pPr>
    </w:p>
    <w:tbl>
      <w:tblPr>
        <w:tblStyle w:val="TableGrid"/>
        <w:tblW w:w="4950" w:type="pct"/>
        <w:tblLook w:val="04A0" w:firstRow="1" w:lastRow="0" w:firstColumn="1" w:lastColumn="0" w:noHBand="0" w:noVBand="1"/>
      </w:tblPr>
      <w:tblGrid>
        <w:gridCol w:w="8544"/>
      </w:tblGrid>
      <w:tr w:rsidR="00196665" w:rsidRPr="00AF3704" w14:paraId="228D7C09" w14:textId="77777777" w:rsidTr="009160CE">
        <w:tc>
          <w:tcPr>
            <w:tcW w:w="9061" w:type="dxa"/>
          </w:tcPr>
          <w:p w14:paraId="0AD182A4" w14:textId="77777777" w:rsidR="00196665" w:rsidRPr="00AF3704" w:rsidRDefault="00196665" w:rsidP="009160CE">
            <w:pPr>
              <w:jc w:val="center"/>
              <w:rPr>
                <w:iCs/>
              </w:rPr>
            </w:pPr>
            <w:r w:rsidRPr="00AF3704">
              <w:rPr>
                <w:b/>
                <w:bCs/>
                <w:iCs/>
              </w:rPr>
              <w:t>V. Tiesību akta projekta atbilstība Latvijas Republikas starptautiskajām saistībām</w:t>
            </w:r>
          </w:p>
        </w:tc>
      </w:tr>
      <w:tr w:rsidR="00196665" w:rsidRPr="00AF3704" w14:paraId="23F3BC58" w14:textId="77777777" w:rsidTr="009160CE">
        <w:tc>
          <w:tcPr>
            <w:tcW w:w="9061" w:type="dxa"/>
          </w:tcPr>
          <w:p w14:paraId="28DC3BED" w14:textId="63B7906E" w:rsidR="00196665" w:rsidRPr="00AF3704" w:rsidRDefault="001A7182" w:rsidP="00A066EF">
            <w:pPr>
              <w:jc w:val="center"/>
              <w:rPr>
                <w:iCs/>
              </w:rPr>
            </w:pPr>
            <w:r>
              <w:rPr>
                <w:iCs/>
              </w:rPr>
              <w:t>P</w:t>
            </w:r>
            <w:r w:rsidR="00196665" w:rsidRPr="00AF3704">
              <w:rPr>
                <w:iCs/>
              </w:rPr>
              <w:t>rojekts šo jomu neskar</w:t>
            </w:r>
            <w:r w:rsidR="00A066EF">
              <w:rPr>
                <w:iCs/>
              </w:rPr>
              <w:t>.</w:t>
            </w:r>
          </w:p>
        </w:tc>
      </w:tr>
    </w:tbl>
    <w:p w14:paraId="3BB10688" w14:textId="77777777" w:rsidR="00196665" w:rsidRPr="00AF3704" w:rsidRDefault="00196665" w:rsidP="00196665"/>
    <w:tbl>
      <w:tblPr>
        <w:tblW w:w="4950" w:type="pct"/>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4A0" w:firstRow="1" w:lastRow="0" w:firstColumn="1" w:lastColumn="0" w:noHBand="0" w:noVBand="1"/>
      </w:tblPr>
      <w:tblGrid>
        <w:gridCol w:w="647"/>
        <w:gridCol w:w="2587"/>
        <w:gridCol w:w="5304"/>
      </w:tblGrid>
      <w:tr w:rsidR="00196665" w:rsidRPr="00AF3704" w14:paraId="6BA76677" w14:textId="77777777" w:rsidTr="009160CE">
        <w:tc>
          <w:tcPr>
            <w:tcW w:w="5000" w:type="pct"/>
            <w:gridSpan w:val="3"/>
            <w:tcBorders>
              <w:top w:val="outset" w:sz="6" w:space="0" w:color="000000"/>
              <w:left w:val="outset" w:sz="6" w:space="0" w:color="000000"/>
              <w:bottom w:val="outset" w:sz="6" w:space="0" w:color="000000"/>
              <w:right w:val="outset" w:sz="6" w:space="0" w:color="000000"/>
            </w:tcBorders>
            <w:hideMark/>
          </w:tcPr>
          <w:p w14:paraId="11545757" w14:textId="77777777" w:rsidR="00196665" w:rsidRPr="00AF3704" w:rsidRDefault="00196665" w:rsidP="009160CE">
            <w:pPr>
              <w:spacing w:before="100" w:beforeAutospacing="1" w:after="100" w:afterAutospacing="1"/>
              <w:jc w:val="center"/>
              <w:rPr>
                <w:b/>
                <w:bCs/>
              </w:rPr>
            </w:pPr>
            <w:r w:rsidRPr="00AF3704">
              <w:rPr>
                <w:b/>
                <w:bCs/>
              </w:rPr>
              <w:t>VI. Sabiedrības līdzdalība un komunikācijas aktivitātes</w:t>
            </w:r>
          </w:p>
        </w:tc>
      </w:tr>
      <w:tr w:rsidR="00196665" w:rsidRPr="00AF3704" w14:paraId="32B20579" w14:textId="77777777" w:rsidTr="009160CE">
        <w:tc>
          <w:tcPr>
            <w:tcW w:w="379" w:type="pct"/>
            <w:tcBorders>
              <w:top w:val="outset" w:sz="6" w:space="0" w:color="000000"/>
              <w:left w:val="outset" w:sz="6" w:space="0" w:color="000000"/>
              <w:bottom w:val="outset" w:sz="6" w:space="0" w:color="000000"/>
              <w:right w:val="outset" w:sz="6" w:space="0" w:color="000000"/>
            </w:tcBorders>
          </w:tcPr>
          <w:p w14:paraId="1012D679" w14:textId="77777777" w:rsidR="00196665" w:rsidRPr="00AF3704" w:rsidRDefault="00196665" w:rsidP="009160CE">
            <w:pPr>
              <w:tabs>
                <w:tab w:val="left" w:pos="1380"/>
              </w:tabs>
              <w:spacing w:before="100" w:beforeAutospacing="1" w:after="100" w:afterAutospacing="1"/>
              <w:jc w:val="center"/>
              <w:rPr>
                <w:bCs/>
              </w:rPr>
            </w:pPr>
            <w:r w:rsidRPr="00AF3704">
              <w:rPr>
                <w:bCs/>
              </w:rPr>
              <w:t>1.</w:t>
            </w:r>
          </w:p>
        </w:tc>
        <w:tc>
          <w:tcPr>
            <w:tcW w:w="1515" w:type="pct"/>
            <w:tcBorders>
              <w:top w:val="outset" w:sz="6" w:space="0" w:color="000000"/>
              <w:left w:val="outset" w:sz="6" w:space="0" w:color="000000"/>
              <w:bottom w:val="outset" w:sz="6" w:space="0" w:color="000000"/>
              <w:right w:val="outset" w:sz="6" w:space="0" w:color="000000"/>
            </w:tcBorders>
          </w:tcPr>
          <w:p w14:paraId="3DBAA185" w14:textId="77777777" w:rsidR="00196665" w:rsidRPr="00AF3704" w:rsidRDefault="00196665" w:rsidP="009160CE">
            <w:pPr>
              <w:tabs>
                <w:tab w:val="left" w:pos="1380"/>
              </w:tabs>
              <w:spacing w:before="100" w:beforeAutospacing="1" w:after="100" w:afterAutospacing="1"/>
              <w:rPr>
                <w:bCs/>
              </w:rPr>
            </w:pPr>
            <w:r w:rsidRPr="00AF3704">
              <w:rPr>
                <w:bCs/>
              </w:rPr>
              <w:t xml:space="preserve">Plānotās sabiedrības līdzdalības un </w:t>
            </w:r>
            <w:r w:rsidRPr="00AF3704">
              <w:rPr>
                <w:bCs/>
              </w:rPr>
              <w:lastRenderedPageBreak/>
              <w:t>komunikācijas aktivitātes saistībā ar projektu</w:t>
            </w:r>
          </w:p>
        </w:tc>
        <w:tc>
          <w:tcPr>
            <w:tcW w:w="3106" w:type="pct"/>
            <w:tcBorders>
              <w:top w:val="outset" w:sz="6" w:space="0" w:color="000000"/>
              <w:left w:val="outset" w:sz="6" w:space="0" w:color="000000"/>
              <w:bottom w:val="outset" w:sz="6" w:space="0" w:color="000000"/>
              <w:right w:val="outset" w:sz="6" w:space="0" w:color="000000"/>
            </w:tcBorders>
          </w:tcPr>
          <w:p w14:paraId="3BD342AF" w14:textId="5F9BC695" w:rsidR="00196665" w:rsidRPr="00AF3704" w:rsidRDefault="008576A2" w:rsidP="008576A2">
            <w:pPr>
              <w:tabs>
                <w:tab w:val="left" w:pos="1380"/>
              </w:tabs>
              <w:spacing w:before="100" w:beforeAutospacing="1" w:after="100" w:afterAutospacing="1"/>
              <w:jc w:val="both"/>
              <w:rPr>
                <w:bCs/>
              </w:rPr>
            </w:pPr>
            <w:r w:rsidRPr="008576A2">
              <w:rPr>
                <w:bCs/>
              </w:rPr>
              <w:lastRenderedPageBreak/>
              <w:t xml:space="preserve">Informācija par projekta izstrādi ir publicēta Finanšu ministrijas tīmekļvietnē sadaļā “Sabiedrības līdzdalība” – “Tiesību aktu projekti” – “Nodokļu </w:t>
            </w:r>
            <w:r w:rsidRPr="008576A2">
              <w:rPr>
                <w:bCs/>
              </w:rPr>
              <w:lastRenderedPageBreak/>
              <w:t xml:space="preserve">politika”. Līdz ar to sabiedrības pārstāvji varēja līdzdarboties projekta izstrādē, </w:t>
            </w:r>
            <w:proofErr w:type="spellStart"/>
            <w:r w:rsidRPr="008576A2">
              <w:rPr>
                <w:bCs/>
              </w:rPr>
              <w:t>rakstveidā</w:t>
            </w:r>
            <w:proofErr w:type="spellEnd"/>
            <w:r w:rsidRPr="008576A2">
              <w:rPr>
                <w:bCs/>
              </w:rPr>
              <w:t xml:space="preserve"> sniedzot viedokļus par projektu. Tāpat sabiedrības pārstāvji varēs sniegt viedokļus par projektu pēc tā izsludināš</w:t>
            </w:r>
            <w:r>
              <w:rPr>
                <w:bCs/>
              </w:rPr>
              <w:t>anas Valsts sekretāru sanāksmē.</w:t>
            </w:r>
          </w:p>
        </w:tc>
      </w:tr>
      <w:tr w:rsidR="00196665" w:rsidRPr="00AF3704" w14:paraId="3AC09AFF" w14:textId="77777777" w:rsidTr="009160CE">
        <w:tc>
          <w:tcPr>
            <w:tcW w:w="379" w:type="pct"/>
            <w:tcBorders>
              <w:top w:val="outset" w:sz="6" w:space="0" w:color="000000"/>
              <w:left w:val="outset" w:sz="6" w:space="0" w:color="000000"/>
              <w:bottom w:val="outset" w:sz="6" w:space="0" w:color="000000"/>
              <w:right w:val="outset" w:sz="6" w:space="0" w:color="000000"/>
            </w:tcBorders>
          </w:tcPr>
          <w:p w14:paraId="7288BAE3" w14:textId="77777777" w:rsidR="00196665" w:rsidRPr="00AF3704" w:rsidRDefault="00196665" w:rsidP="009160CE">
            <w:pPr>
              <w:spacing w:before="100" w:beforeAutospacing="1" w:after="100" w:afterAutospacing="1"/>
              <w:jc w:val="center"/>
              <w:rPr>
                <w:bCs/>
              </w:rPr>
            </w:pPr>
            <w:r w:rsidRPr="00AF3704">
              <w:rPr>
                <w:bCs/>
              </w:rPr>
              <w:lastRenderedPageBreak/>
              <w:t>2.</w:t>
            </w:r>
          </w:p>
        </w:tc>
        <w:tc>
          <w:tcPr>
            <w:tcW w:w="1515" w:type="pct"/>
            <w:tcBorders>
              <w:top w:val="outset" w:sz="6" w:space="0" w:color="000000"/>
              <w:left w:val="outset" w:sz="6" w:space="0" w:color="000000"/>
              <w:bottom w:val="outset" w:sz="6" w:space="0" w:color="000000"/>
              <w:right w:val="outset" w:sz="6" w:space="0" w:color="000000"/>
            </w:tcBorders>
          </w:tcPr>
          <w:p w14:paraId="02767EB2" w14:textId="77777777" w:rsidR="00196665" w:rsidRPr="00AF3704" w:rsidRDefault="00196665" w:rsidP="009160CE">
            <w:pPr>
              <w:spacing w:before="100" w:beforeAutospacing="1" w:after="100" w:afterAutospacing="1"/>
              <w:rPr>
                <w:bCs/>
              </w:rPr>
            </w:pPr>
            <w:r w:rsidRPr="00AF3704">
              <w:rPr>
                <w:bCs/>
              </w:rPr>
              <w:t>Sabiedrības līdzdalība projekta izstrādē</w:t>
            </w:r>
          </w:p>
        </w:tc>
        <w:tc>
          <w:tcPr>
            <w:tcW w:w="3106" w:type="pct"/>
            <w:tcBorders>
              <w:top w:val="outset" w:sz="6" w:space="0" w:color="000000"/>
              <w:left w:val="outset" w:sz="6" w:space="0" w:color="000000"/>
              <w:bottom w:val="outset" w:sz="6" w:space="0" w:color="000000"/>
              <w:right w:val="outset" w:sz="6" w:space="0" w:color="000000"/>
            </w:tcBorders>
          </w:tcPr>
          <w:p w14:paraId="4ED76522" w14:textId="0E6643F3" w:rsidR="00242D03" w:rsidRPr="00242D03" w:rsidRDefault="00242D03" w:rsidP="00242D03">
            <w:pPr>
              <w:spacing w:before="100" w:beforeAutospacing="1" w:after="100" w:afterAutospacing="1"/>
              <w:jc w:val="both"/>
              <w:rPr>
                <w:bCs/>
              </w:rPr>
            </w:pPr>
            <w:r w:rsidRPr="00242D03">
              <w:rPr>
                <w:bCs/>
              </w:rPr>
              <w:t xml:space="preserve">Sabiedrības pārstāvji varēja līdzdarboties projekta izstrādē, </w:t>
            </w:r>
            <w:proofErr w:type="spellStart"/>
            <w:r w:rsidRPr="00242D03">
              <w:rPr>
                <w:bCs/>
              </w:rPr>
              <w:t>rakstveidā</w:t>
            </w:r>
            <w:proofErr w:type="spellEnd"/>
            <w:r w:rsidRPr="00242D03">
              <w:rPr>
                <w:bCs/>
              </w:rPr>
              <w:t xml:space="preserve"> sniedzot </w:t>
            </w:r>
            <w:r w:rsidR="000865F5">
              <w:rPr>
                <w:bCs/>
              </w:rPr>
              <w:t>viedokļus par projektu, kas 2020</w:t>
            </w:r>
            <w:r w:rsidR="00E34247">
              <w:rPr>
                <w:bCs/>
              </w:rPr>
              <w:t>.gada 25</w:t>
            </w:r>
            <w:r w:rsidRPr="00242D03">
              <w:rPr>
                <w:bCs/>
              </w:rPr>
              <w:t>.</w:t>
            </w:r>
            <w:r w:rsidR="000865F5">
              <w:rPr>
                <w:bCs/>
              </w:rPr>
              <w:t>maijā</w:t>
            </w:r>
            <w:r w:rsidRPr="00242D03">
              <w:rPr>
                <w:bCs/>
              </w:rPr>
              <w:t xml:space="preserve"> publicēts Finanšu ministrijas tīmekļvietnē sadaļā “Sabiedrības līdzdalība” – “Tiesību aktu projekti” – “Nodokļu politika”, adrese:</w:t>
            </w:r>
          </w:p>
          <w:p w14:paraId="5887DCBD" w14:textId="77777777" w:rsidR="00196665" w:rsidRDefault="00D742ED" w:rsidP="00242D03">
            <w:pPr>
              <w:spacing w:before="100" w:beforeAutospacing="1" w:after="100" w:afterAutospacing="1"/>
              <w:jc w:val="both"/>
              <w:rPr>
                <w:rStyle w:val="Hyperlink"/>
                <w:bCs/>
              </w:rPr>
            </w:pPr>
            <w:hyperlink r:id="rId10" w:anchor="project648" w:history="1">
              <w:r w:rsidR="00E34247" w:rsidRPr="002702B6">
                <w:rPr>
                  <w:rStyle w:val="Hyperlink"/>
                  <w:bCs/>
                </w:rPr>
                <w:t>https://www.fm.gov.lv/lv/sabiedribas_lidzdaliba/tiesibu_aktu_projekti/nodoklu_politika/#project648</w:t>
              </w:r>
            </w:hyperlink>
          </w:p>
          <w:p w14:paraId="16E71941" w14:textId="1EBDEDC0" w:rsidR="000F6188" w:rsidRPr="00AF3704" w:rsidRDefault="000F6188" w:rsidP="00242D03">
            <w:pPr>
              <w:spacing w:before="100" w:beforeAutospacing="1" w:after="100" w:afterAutospacing="1"/>
              <w:jc w:val="both"/>
              <w:rPr>
                <w:bCs/>
              </w:rPr>
            </w:pPr>
            <w:r w:rsidRPr="000F6188">
              <w:rPr>
                <w:bCs/>
              </w:rPr>
              <w:t>un Ministru kabineta tīmekļvietnē sadaļā “Valsts kanceleja” – “Sabiedrības līdzdalība”, adrese: https://mk.gov.lv/content/ministru-kabineta-diskusiju-dokumenti</w:t>
            </w:r>
          </w:p>
        </w:tc>
      </w:tr>
      <w:tr w:rsidR="00196665" w:rsidRPr="00AF3704" w14:paraId="31A3EEAD" w14:textId="77777777" w:rsidTr="009160CE">
        <w:tc>
          <w:tcPr>
            <w:tcW w:w="379" w:type="pct"/>
            <w:tcBorders>
              <w:top w:val="outset" w:sz="6" w:space="0" w:color="000000"/>
              <w:left w:val="outset" w:sz="6" w:space="0" w:color="000000"/>
              <w:bottom w:val="outset" w:sz="6" w:space="0" w:color="000000"/>
              <w:right w:val="outset" w:sz="6" w:space="0" w:color="000000"/>
            </w:tcBorders>
          </w:tcPr>
          <w:p w14:paraId="0A0704F4" w14:textId="77777777" w:rsidR="00196665" w:rsidRPr="00AF3704" w:rsidRDefault="00196665" w:rsidP="009160CE">
            <w:pPr>
              <w:spacing w:before="100" w:beforeAutospacing="1" w:after="100" w:afterAutospacing="1"/>
              <w:jc w:val="center"/>
              <w:rPr>
                <w:bCs/>
              </w:rPr>
            </w:pPr>
            <w:r w:rsidRPr="00AF3704">
              <w:rPr>
                <w:bCs/>
              </w:rPr>
              <w:t>3.</w:t>
            </w:r>
          </w:p>
        </w:tc>
        <w:tc>
          <w:tcPr>
            <w:tcW w:w="1515" w:type="pct"/>
            <w:tcBorders>
              <w:top w:val="outset" w:sz="6" w:space="0" w:color="000000"/>
              <w:left w:val="outset" w:sz="6" w:space="0" w:color="000000"/>
              <w:bottom w:val="outset" w:sz="6" w:space="0" w:color="000000"/>
              <w:right w:val="outset" w:sz="6" w:space="0" w:color="000000"/>
            </w:tcBorders>
          </w:tcPr>
          <w:p w14:paraId="4A55AFB9" w14:textId="77777777" w:rsidR="00196665" w:rsidRPr="00AF3704" w:rsidRDefault="00196665" w:rsidP="009160CE">
            <w:pPr>
              <w:spacing w:before="100" w:beforeAutospacing="1" w:after="100" w:afterAutospacing="1"/>
              <w:rPr>
                <w:bCs/>
              </w:rPr>
            </w:pPr>
            <w:r w:rsidRPr="00AF3704">
              <w:rPr>
                <w:bCs/>
              </w:rPr>
              <w:t>Sabiedrības līdzdalības rezultāti</w:t>
            </w:r>
          </w:p>
        </w:tc>
        <w:tc>
          <w:tcPr>
            <w:tcW w:w="3106" w:type="pct"/>
            <w:tcBorders>
              <w:top w:val="outset" w:sz="6" w:space="0" w:color="000000"/>
              <w:left w:val="outset" w:sz="6" w:space="0" w:color="000000"/>
              <w:bottom w:val="outset" w:sz="6" w:space="0" w:color="000000"/>
              <w:right w:val="outset" w:sz="6" w:space="0" w:color="000000"/>
            </w:tcBorders>
          </w:tcPr>
          <w:p w14:paraId="5443370E" w14:textId="2477AC51" w:rsidR="00196665" w:rsidRPr="00AF3704" w:rsidRDefault="0023711A" w:rsidP="009160CE">
            <w:pPr>
              <w:spacing w:before="100" w:beforeAutospacing="1" w:after="100" w:afterAutospacing="1"/>
              <w:jc w:val="both"/>
              <w:rPr>
                <w:bCs/>
              </w:rPr>
            </w:pPr>
            <w:r w:rsidRPr="0023711A">
              <w:rPr>
                <w:bCs/>
              </w:rPr>
              <w:t>Sabiedrības pārstāvju iebildumi un priekšlikumi nav saņemti.</w:t>
            </w:r>
          </w:p>
        </w:tc>
      </w:tr>
      <w:tr w:rsidR="00196665" w:rsidRPr="00AF3704" w14:paraId="4A4F31BF" w14:textId="77777777" w:rsidTr="009160CE">
        <w:tc>
          <w:tcPr>
            <w:tcW w:w="379" w:type="pct"/>
            <w:tcBorders>
              <w:top w:val="outset" w:sz="6" w:space="0" w:color="000000"/>
              <w:left w:val="outset" w:sz="6" w:space="0" w:color="000000"/>
              <w:bottom w:val="outset" w:sz="6" w:space="0" w:color="000000"/>
              <w:right w:val="outset" w:sz="6" w:space="0" w:color="000000"/>
            </w:tcBorders>
          </w:tcPr>
          <w:p w14:paraId="79082D79" w14:textId="77777777" w:rsidR="00196665" w:rsidRPr="00AF3704" w:rsidRDefault="00196665" w:rsidP="009160CE">
            <w:pPr>
              <w:spacing w:before="100" w:beforeAutospacing="1" w:after="100" w:afterAutospacing="1"/>
              <w:jc w:val="center"/>
              <w:rPr>
                <w:bCs/>
              </w:rPr>
            </w:pPr>
            <w:r w:rsidRPr="00AF3704">
              <w:rPr>
                <w:bCs/>
              </w:rPr>
              <w:t>4.</w:t>
            </w:r>
          </w:p>
        </w:tc>
        <w:tc>
          <w:tcPr>
            <w:tcW w:w="1515" w:type="pct"/>
            <w:tcBorders>
              <w:top w:val="outset" w:sz="6" w:space="0" w:color="000000"/>
              <w:left w:val="outset" w:sz="6" w:space="0" w:color="000000"/>
              <w:bottom w:val="outset" w:sz="6" w:space="0" w:color="000000"/>
              <w:right w:val="outset" w:sz="6" w:space="0" w:color="000000"/>
            </w:tcBorders>
          </w:tcPr>
          <w:p w14:paraId="49C577DD" w14:textId="77777777" w:rsidR="00196665" w:rsidRPr="00AF3704" w:rsidRDefault="00196665" w:rsidP="009160CE">
            <w:pPr>
              <w:spacing w:before="100" w:beforeAutospacing="1" w:after="100" w:afterAutospacing="1"/>
              <w:rPr>
                <w:bCs/>
              </w:rPr>
            </w:pPr>
            <w:r w:rsidRPr="00AF3704">
              <w:rPr>
                <w:bCs/>
              </w:rPr>
              <w:t>Cita informācija</w:t>
            </w:r>
          </w:p>
        </w:tc>
        <w:tc>
          <w:tcPr>
            <w:tcW w:w="3106" w:type="pct"/>
            <w:tcBorders>
              <w:top w:val="outset" w:sz="6" w:space="0" w:color="000000"/>
              <w:left w:val="outset" w:sz="6" w:space="0" w:color="000000"/>
              <w:bottom w:val="outset" w:sz="6" w:space="0" w:color="000000"/>
              <w:right w:val="outset" w:sz="6" w:space="0" w:color="000000"/>
            </w:tcBorders>
          </w:tcPr>
          <w:p w14:paraId="37942B55" w14:textId="77777777" w:rsidR="00196665" w:rsidRPr="00AF3704" w:rsidRDefault="00196665" w:rsidP="009160CE">
            <w:pPr>
              <w:spacing w:before="100" w:beforeAutospacing="1" w:after="100" w:afterAutospacing="1"/>
              <w:jc w:val="both"/>
              <w:rPr>
                <w:bCs/>
              </w:rPr>
            </w:pPr>
            <w:r w:rsidRPr="00AF3704">
              <w:rPr>
                <w:bCs/>
              </w:rPr>
              <w:t>Nav.</w:t>
            </w:r>
          </w:p>
        </w:tc>
      </w:tr>
    </w:tbl>
    <w:p w14:paraId="5B344C5E" w14:textId="77777777" w:rsidR="00196665" w:rsidRPr="00AF3704" w:rsidRDefault="00196665" w:rsidP="00196665"/>
    <w:p w14:paraId="0062A624" w14:textId="77777777" w:rsidR="00196665" w:rsidRPr="00AF3704" w:rsidRDefault="00196665" w:rsidP="00196665"/>
    <w:tbl>
      <w:tblPr>
        <w:tblW w:w="4950" w:type="pct"/>
        <w:tblInd w:w="1"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509"/>
        <w:gridCol w:w="2660"/>
        <w:gridCol w:w="5369"/>
      </w:tblGrid>
      <w:tr w:rsidR="00196665" w:rsidRPr="00AF3704" w14:paraId="1D4F9B5D" w14:textId="77777777" w:rsidTr="009160CE">
        <w:tc>
          <w:tcPr>
            <w:tcW w:w="5000" w:type="pct"/>
            <w:gridSpan w:val="3"/>
            <w:tcBorders>
              <w:top w:val="outset" w:sz="6" w:space="0" w:color="000000"/>
              <w:left w:val="outset" w:sz="6" w:space="0" w:color="000000"/>
              <w:bottom w:val="outset" w:sz="6" w:space="0" w:color="000000"/>
              <w:right w:val="outset" w:sz="6" w:space="0" w:color="000000"/>
            </w:tcBorders>
            <w:hideMark/>
          </w:tcPr>
          <w:p w14:paraId="638C6D72" w14:textId="77777777" w:rsidR="00196665" w:rsidRPr="00AF3704" w:rsidRDefault="00196665" w:rsidP="009160CE">
            <w:pPr>
              <w:spacing w:before="100" w:beforeAutospacing="1" w:after="100" w:afterAutospacing="1"/>
              <w:jc w:val="center"/>
              <w:rPr>
                <w:b/>
                <w:bCs/>
              </w:rPr>
            </w:pPr>
            <w:r w:rsidRPr="00AF3704">
              <w:rPr>
                <w:b/>
                <w:bCs/>
              </w:rPr>
              <w:t>VII. Tiesību akta projekta izpildes nodrošināšana un tās ietekme uz institūcijām</w:t>
            </w:r>
          </w:p>
        </w:tc>
      </w:tr>
      <w:tr w:rsidR="00196665" w:rsidRPr="00AF3704" w14:paraId="622760CA" w14:textId="77777777" w:rsidTr="009160CE">
        <w:tc>
          <w:tcPr>
            <w:tcW w:w="298" w:type="pct"/>
            <w:tcBorders>
              <w:top w:val="outset" w:sz="6" w:space="0" w:color="000000"/>
              <w:left w:val="outset" w:sz="6" w:space="0" w:color="000000"/>
              <w:bottom w:val="outset" w:sz="6" w:space="0" w:color="000000"/>
              <w:right w:val="single" w:sz="4" w:space="0" w:color="auto"/>
            </w:tcBorders>
          </w:tcPr>
          <w:p w14:paraId="120804B2" w14:textId="77777777" w:rsidR="00196665" w:rsidRPr="00AF3704" w:rsidRDefault="00196665" w:rsidP="009160CE">
            <w:pPr>
              <w:spacing w:before="100" w:beforeAutospacing="1" w:after="100" w:afterAutospacing="1"/>
              <w:jc w:val="center"/>
            </w:pPr>
            <w:r w:rsidRPr="00AF3704">
              <w:t>1.</w:t>
            </w:r>
          </w:p>
        </w:tc>
        <w:tc>
          <w:tcPr>
            <w:tcW w:w="1558" w:type="pct"/>
            <w:tcBorders>
              <w:top w:val="outset" w:sz="6" w:space="0" w:color="000000"/>
              <w:left w:val="single" w:sz="4" w:space="0" w:color="auto"/>
              <w:bottom w:val="outset" w:sz="6" w:space="0" w:color="000000"/>
              <w:right w:val="single" w:sz="4" w:space="0" w:color="auto"/>
            </w:tcBorders>
          </w:tcPr>
          <w:p w14:paraId="58A8E632" w14:textId="77777777" w:rsidR="00196665" w:rsidRPr="00AF3704" w:rsidRDefault="00196665" w:rsidP="009160CE">
            <w:pPr>
              <w:spacing w:before="100" w:beforeAutospacing="1" w:after="100" w:afterAutospacing="1"/>
            </w:pPr>
            <w:r w:rsidRPr="00AF3704">
              <w:t>Projekta izpildē iesaistītās institūcijas</w:t>
            </w:r>
          </w:p>
        </w:tc>
        <w:tc>
          <w:tcPr>
            <w:tcW w:w="3144" w:type="pct"/>
            <w:tcBorders>
              <w:top w:val="outset" w:sz="6" w:space="0" w:color="000000"/>
              <w:left w:val="single" w:sz="4" w:space="0" w:color="auto"/>
              <w:bottom w:val="outset" w:sz="6" w:space="0" w:color="000000"/>
              <w:right w:val="outset" w:sz="6" w:space="0" w:color="000000"/>
            </w:tcBorders>
          </w:tcPr>
          <w:p w14:paraId="6293FB95" w14:textId="77777777" w:rsidR="00196665" w:rsidRPr="00AF3704" w:rsidRDefault="00196665" w:rsidP="009160CE">
            <w:pPr>
              <w:spacing w:before="100" w:beforeAutospacing="1" w:after="100" w:afterAutospacing="1"/>
              <w:jc w:val="both"/>
            </w:pPr>
            <w:r w:rsidRPr="00AF3704">
              <w:rPr>
                <w:color w:val="000000" w:themeColor="text1"/>
              </w:rPr>
              <w:t>VID</w:t>
            </w:r>
          </w:p>
        </w:tc>
      </w:tr>
      <w:tr w:rsidR="00196665" w:rsidRPr="00AF3704" w14:paraId="39027AD4" w14:textId="77777777" w:rsidTr="009160CE">
        <w:tc>
          <w:tcPr>
            <w:tcW w:w="298" w:type="pct"/>
            <w:tcBorders>
              <w:top w:val="outset" w:sz="6" w:space="0" w:color="000000"/>
              <w:left w:val="outset" w:sz="6" w:space="0" w:color="000000"/>
              <w:bottom w:val="outset" w:sz="6" w:space="0" w:color="000000"/>
              <w:right w:val="single" w:sz="4" w:space="0" w:color="auto"/>
            </w:tcBorders>
          </w:tcPr>
          <w:p w14:paraId="1BB9012C" w14:textId="77777777" w:rsidR="00196665" w:rsidRPr="00AF3704" w:rsidRDefault="00196665" w:rsidP="009160CE">
            <w:pPr>
              <w:spacing w:before="100" w:beforeAutospacing="1" w:after="100" w:afterAutospacing="1"/>
              <w:jc w:val="center"/>
            </w:pPr>
            <w:r w:rsidRPr="00AF3704">
              <w:t>2.</w:t>
            </w:r>
          </w:p>
        </w:tc>
        <w:tc>
          <w:tcPr>
            <w:tcW w:w="1558" w:type="pct"/>
            <w:tcBorders>
              <w:top w:val="outset" w:sz="6" w:space="0" w:color="000000"/>
              <w:left w:val="single" w:sz="4" w:space="0" w:color="auto"/>
              <w:bottom w:val="outset" w:sz="6" w:space="0" w:color="000000"/>
              <w:right w:val="single" w:sz="4" w:space="0" w:color="auto"/>
            </w:tcBorders>
          </w:tcPr>
          <w:p w14:paraId="236EBC05" w14:textId="77777777" w:rsidR="00196665" w:rsidRPr="00AF3704" w:rsidRDefault="00196665" w:rsidP="009160CE">
            <w:r w:rsidRPr="00AF3704">
              <w:t>Projekta izpildes ietekme uz pārvaldes funkcijām un institucionālo struktūru. Jaunu institūciju izveide, esošo institūciju likvidācija vai reorganizācija, to ietekme uz institūcijas cilvēkresursiem</w:t>
            </w:r>
          </w:p>
        </w:tc>
        <w:tc>
          <w:tcPr>
            <w:tcW w:w="3144" w:type="pct"/>
            <w:tcBorders>
              <w:top w:val="outset" w:sz="6" w:space="0" w:color="000000"/>
              <w:left w:val="single" w:sz="4" w:space="0" w:color="auto"/>
              <w:bottom w:val="outset" w:sz="6" w:space="0" w:color="000000"/>
              <w:right w:val="outset" w:sz="6" w:space="0" w:color="000000"/>
            </w:tcBorders>
          </w:tcPr>
          <w:p w14:paraId="6A2FC6C8" w14:textId="77777777" w:rsidR="00196665" w:rsidRPr="00AF3704" w:rsidRDefault="00196665" w:rsidP="009160CE">
            <w:pPr>
              <w:jc w:val="both"/>
              <w:rPr>
                <w:color w:val="000000" w:themeColor="text1"/>
              </w:rPr>
            </w:pPr>
            <w:r w:rsidRPr="00AF3704">
              <w:rPr>
                <w:color w:val="000000" w:themeColor="text1"/>
              </w:rPr>
              <w:t xml:space="preserve">Normatīvā akta izpilde tiks nodrošināta esošo institūciju līdzšinējo funkciju un cilvēkresursu ietvaros. </w:t>
            </w:r>
          </w:p>
          <w:p w14:paraId="45E9E4FC" w14:textId="77777777" w:rsidR="00196665" w:rsidRPr="00AF3704" w:rsidRDefault="00196665" w:rsidP="009160CE">
            <w:pPr>
              <w:spacing w:before="100" w:beforeAutospacing="1" w:after="100" w:afterAutospacing="1"/>
              <w:jc w:val="both"/>
            </w:pPr>
            <w:r w:rsidRPr="00AF3704">
              <w:rPr>
                <w:color w:val="000000" w:themeColor="text1"/>
              </w:rPr>
              <w:t>Jaunu valsts institūciju izveidošana nav nepieciešama. Papildu finansējums nav nepieciešams.</w:t>
            </w:r>
          </w:p>
        </w:tc>
      </w:tr>
      <w:tr w:rsidR="00196665" w:rsidRPr="00AF3704" w14:paraId="0FFBB605" w14:textId="77777777" w:rsidTr="009160CE">
        <w:tc>
          <w:tcPr>
            <w:tcW w:w="298" w:type="pct"/>
            <w:tcBorders>
              <w:top w:val="outset" w:sz="6" w:space="0" w:color="000000"/>
              <w:left w:val="outset" w:sz="6" w:space="0" w:color="000000"/>
              <w:bottom w:val="outset" w:sz="6" w:space="0" w:color="000000"/>
              <w:right w:val="single" w:sz="4" w:space="0" w:color="auto"/>
            </w:tcBorders>
          </w:tcPr>
          <w:p w14:paraId="2F2EE458" w14:textId="77777777" w:rsidR="00196665" w:rsidRPr="00AF3704" w:rsidRDefault="00196665" w:rsidP="009160CE">
            <w:pPr>
              <w:spacing w:before="100" w:beforeAutospacing="1" w:after="100" w:afterAutospacing="1"/>
              <w:jc w:val="center"/>
            </w:pPr>
            <w:r w:rsidRPr="00AF3704">
              <w:t>3.</w:t>
            </w:r>
          </w:p>
        </w:tc>
        <w:tc>
          <w:tcPr>
            <w:tcW w:w="1558" w:type="pct"/>
            <w:tcBorders>
              <w:top w:val="outset" w:sz="6" w:space="0" w:color="000000"/>
              <w:left w:val="single" w:sz="4" w:space="0" w:color="auto"/>
              <w:bottom w:val="outset" w:sz="6" w:space="0" w:color="000000"/>
              <w:right w:val="single" w:sz="4" w:space="0" w:color="auto"/>
            </w:tcBorders>
          </w:tcPr>
          <w:p w14:paraId="34FAC8D4" w14:textId="77777777" w:rsidR="00196665" w:rsidRPr="00AF3704" w:rsidRDefault="00196665" w:rsidP="009160CE">
            <w:pPr>
              <w:jc w:val="both"/>
            </w:pPr>
            <w:r w:rsidRPr="00AF3704">
              <w:t>Cita informācija</w:t>
            </w:r>
          </w:p>
        </w:tc>
        <w:tc>
          <w:tcPr>
            <w:tcW w:w="3144" w:type="pct"/>
            <w:tcBorders>
              <w:top w:val="outset" w:sz="6" w:space="0" w:color="000000"/>
              <w:left w:val="single" w:sz="4" w:space="0" w:color="auto"/>
              <w:bottom w:val="outset" w:sz="6" w:space="0" w:color="000000"/>
              <w:right w:val="outset" w:sz="6" w:space="0" w:color="000000"/>
            </w:tcBorders>
          </w:tcPr>
          <w:p w14:paraId="13F74416" w14:textId="77777777" w:rsidR="00196665" w:rsidRPr="00AF3704" w:rsidRDefault="00196665" w:rsidP="009160CE">
            <w:pPr>
              <w:spacing w:before="100" w:beforeAutospacing="1" w:after="100" w:afterAutospacing="1"/>
              <w:jc w:val="both"/>
            </w:pPr>
            <w:r w:rsidRPr="00AF3704">
              <w:t>Nav.</w:t>
            </w:r>
          </w:p>
        </w:tc>
      </w:tr>
    </w:tbl>
    <w:p w14:paraId="46828FDE" w14:textId="77777777" w:rsidR="00196665" w:rsidRPr="00AF3704" w:rsidRDefault="00196665" w:rsidP="00196665"/>
    <w:p w14:paraId="19D61E61" w14:textId="77777777" w:rsidR="00196665" w:rsidRPr="00A066EF" w:rsidRDefault="00196665" w:rsidP="00196665">
      <w:pPr>
        <w:rPr>
          <w:sz w:val="28"/>
          <w:szCs w:val="28"/>
        </w:rPr>
      </w:pPr>
    </w:p>
    <w:p w14:paraId="465823D6" w14:textId="77777777" w:rsidR="00196665" w:rsidRPr="00A066EF" w:rsidRDefault="00196665" w:rsidP="00196665">
      <w:pPr>
        <w:rPr>
          <w:sz w:val="28"/>
          <w:szCs w:val="28"/>
        </w:rPr>
      </w:pPr>
    </w:p>
    <w:p w14:paraId="3E63B636" w14:textId="77777777" w:rsidR="00196665" w:rsidRPr="00A066EF" w:rsidRDefault="00196665" w:rsidP="00196665">
      <w:pPr>
        <w:rPr>
          <w:sz w:val="28"/>
          <w:szCs w:val="28"/>
        </w:rPr>
      </w:pPr>
      <w:r w:rsidRPr="00A066EF">
        <w:rPr>
          <w:sz w:val="28"/>
          <w:szCs w:val="28"/>
        </w:rPr>
        <w:t>Finanšu ministrs</w:t>
      </w:r>
      <w:r w:rsidRPr="00A066EF">
        <w:rPr>
          <w:sz w:val="28"/>
          <w:szCs w:val="28"/>
        </w:rPr>
        <w:tab/>
      </w:r>
      <w:r w:rsidRPr="00A066EF">
        <w:rPr>
          <w:sz w:val="28"/>
          <w:szCs w:val="28"/>
        </w:rPr>
        <w:tab/>
      </w:r>
      <w:r w:rsidRPr="00A066EF">
        <w:rPr>
          <w:sz w:val="28"/>
          <w:szCs w:val="28"/>
        </w:rPr>
        <w:tab/>
      </w:r>
      <w:r w:rsidRPr="00A066EF">
        <w:rPr>
          <w:sz w:val="28"/>
          <w:szCs w:val="28"/>
        </w:rPr>
        <w:tab/>
      </w:r>
      <w:r w:rsidRPr="00A066EF">
        <w:rPr>
          <w:sz w:val="28"/>
          <w:szCs w:val="28"/>
        </w:rPr>
        <w:tab/>
      </w:r>
      <w:r w:rsidRPr="00A066EF">
        <w:rPr>
          <w:sz w:val="28"/>
          <w:szCs w:val="28"/>
        </w:rPr>
        <w:tab/>
      </w:r>
      <w:r w:rsidRPr="00A066EF">
        <w:rPr>
          <w:sz w:val="28"/>
          <w:szCs w:val="28"/>
        </w:rPr>
        <w:tab/>
      </w:r>
      <w:r w:rsidRPr="00A066EF">
        <w:rPr>
          <w:sz w:val="28"/>
          <w:szCs w:val="28"/>
        </w:rPr>
        <w:tab/>
      </w:r>
      <w:proofErr w:type="spellStart"/>
      <w:r w:rsidRPr="00A066EF">
        <w:rPr>
          <w:sz w:val="28"/>
          <w:szCs w:val="28"/>
        </w:rPr>
        <w:t>J.Reirs</w:t>
      </w:r>
      <w:proofErr w:type="spellEnd"/>
    </w:p>
    <w:p w14:paraId="12521DEC" w14:textId="77777777" w:rsidR="00196665" w:rsidRDefault="00196665" w:rsidP="00196665">
      <w:pPr>
        <w:rPr>
          <w:sz w:val="22"/>
          <w:szCs w:val="20"/>
        </w:rPr>
      </w:pPr>
    </w:p>
    <w:p w14:paraId="73529437" w14:textId="77777777" w:rsidR="00196665" w:rsidRPr="004D45CB" w:rsidRDefault="00196665" w:rsidP="00196665">
      <w:pPr>
        <w:rPr>
          <w:sz w:val="22"/>
          <w:szCs w:val="20"/>
        </w:rPr>
      </w:pPr>
    </w:p>
    <w:p w14:paraId="420CE5A3" w14:textId="77777777" w:rsidR="00196665" w:rsidRPr="00BE0B9A" w:rsidRDefault="00196665" w:rsidP="00196665">
      <w:pPr>
        <w:rPr>
          <w:sz w:val="20"/>
          <w:szCs w:val="20"/>
        </w:rPr>
      </w:pPr>
      <w:proofErr w:type="spellStart"/>
      <w:r w:rsidRPr="00BE0B9A">
        <w:rPr>
          <w:sz w:val="20"/>
          <w:szCs w:val="20"/>
        </w:rPr>
        <w:t>E.Kriviša</w:t>
      </w:r>
      <w:proofErr w:type="spellEnd"/>
      <w:r w:rsidRPr="00BE0B9A">
        <w:rPr>
          <w:sz w:val="20"/>
          <w:szCs w:val="20"/>
        </w:rPr>
        <w:t>, 67095519</w:t>
      </w:r>
    </w:p>
    <w:p w14:paraId="03D2682C" w14:textId="77777777" w:rsidR="00196665" w:rsidRPr="00BE0B9A" w:rsidRDefault="00D742ED" w:rsidP="00196665">
      <w:pPr>
        <w:rPr>
          <w:sz w:val="20"/>
          <w:szCs w:val="20"/>
        </w:rPr>
      </w:pPr>
      <w:hyperlink r:id="rId11" w:history="1">
        <w:r w:rsidR="00196665" w:rsidRPr="00BE0B9A">
          <w:rPr>
            <w:sz w:val="20"/>
            <w:szCs w:val="20"/>
          </w:rPr>
          <w:t>Edite.Krivisa@fm.gov.lv</w:t>
        </w:r>
      </w:hyperlink>
    </w:p>
    <w:p w14:paraId="39F31E2D" w14:textId="77777777" w:rsidR="00196665" w:rsidRPr="00BE0B9A" w:rsidRDefault="00196665" w:rsidP="00196665">
      <w:pPr>
        <w:rPr>
          <w:sz w:val="20"/>
          <w:szCs w:val="20"/>
        </w:rPr>
      </w:pPr>
    </w:p>
    <w:p w14:paraId="3ED9750C" w14:textId="77777777" w:rsidR="00196665" w:rsidRPr="00BE0B9A" w:rsidRDefault="00196665" w:rsidP="00196665">
      <w:pPr>
        <w:rPr>
          <w:sz w:val="20"/>
          <w:szCs w:val="20"/>
        </w:rPr>
      </w:pPr>
      <w:proofErr w:type="spellStart"/>
      <w:r w:rsidRPr="00BE0B9A">
        <w:rPr>
          <w:sz w:val="20"/>
          <w:szCs w:val="20"/>
        </w:rPr>
        <w:t>A.Senatova</w:t>
      </w:r>
      <w:proofErr w:type="spellEnd"/>
      <w:r w:rsidRPr="00BE0B9A">
        <w:rPr>
          <w:sz w:val="20"/>
          <w:szCs w:val="20"/>
        </w:rPr>
        <w:t xml:space="preserve"> 67121918</w:t>
      </w:r>
    </w:p>
    <w:p w14:paraId="376C18E3" w14:textId="77777777" w:rsidR="00196665" w:rsidRPr="00BE0B9A" w:rsidRDefault="00196665" w:rsidP="00196665">
      <w:pPr>
        <w:rPr>
          <w:sz w:val="20"/>
          <w:szCs w:val="20"/>
        </w:rPr>
      </w:pPr>
      <w:r w:rsidRPr="00BE0B9A">
        <w:rPr>
          <w:sz w:val="20"/>
          <w:szCs w:val="20"/>
        </w:rPr>
        <w:t xml:space="preserve">Anna.Senatova@vid.gov.lv </w:t>
      </w:r>
    </w:p>
    <w:p w14:paraId="490399E6" w14:textId="77777777" w:rsidR="00196665" w:rsidRPr="00BE0B9A" w:rsidRDefault="00196665" w:rsidP="00196665">
      <w:pPr>
        <w:rPr>
          <w:sz w:val="20"/>
          <w:szCs w:val="20"/>
        </w:rPr>
      </w:pPr>
    </w:p>
    <w:p w14:paraId="2A33F9CD" w14:textId="77777777" w:rsidR="00196665" w:rsidRPr="00E055FC" w:rsidRDefault="00196665" w:rsidP="00196665">
      <w:pPr>
        <w:rPr>
          <w:sz w:val="20"/>
          <w:szCs w:val="20"/>
        </w:rPr>
      </w:pPr>
      <w:proofErr w:type="spellStart"/>
      <w:r w:rsidRPr="00E055FC">
        <w:rPr>
          <w:sz w:val="20"/>
          <w:szCs w:val="20"/>
        </w:rPr>
        <w:t>E.Urbanoviča</w:t>
      </w:r>
      <w:proofErr w:type="spellEnd"/>
      <w:r w:rsidRPr="00E055FC">
        <w:rPr>
          <w:sz w:val="20"/>
          <w:szCs w:val="20"/>
        </w:rPr>
        <w:t>, 67121960</w:t>
      </w:r>
    </w:p>
    <w:p w14:paraId="270300DF" w14:textId="77777777" w:rsidR="00196665" w:rsidRPr="00BE0B9A" w:rsidRDefault="00D742ED" w:rsidP="00196665">
      <w:pPr>
        <w:rPr>
          <w:rStyle w:val="Hyperlink"/>
          <w:sz w:val="20"/>
          <w:szCs w:val="20"/>
        </w:rPr>
      </w:pPr>
      <w:hyperlink r:id="rId12" w:history="1">
        <w:r w:rsidR="00196665" w:rsidRPr="00BE0B9A">
          <w:rPr>
            <w:sz w:val="20"/>
            <w:szCs w:val="20"/>
          </w:rPr>
          <w:t>Eliza.Urbanovica@vid.gov.lv</w:t>
        </w:r>
      </w:hyperlink>
    </w:p>
    <w:p w14:paraId="394524DB" w14:textId="77777777" w:rsidR="00476D72" w:rsidRDefault="00476D72"/>
    <w:sectPr w:rsidR="00476D7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13FAC" w14:textId="77777777" w:rsidR="00D742ED" w:rsidRDefault="00D742ED" w:rsidP="005C078A">
      <w:r>
        <w:separator/>
      </w:r>
    </w:p>
  </w:endnote>
  <w:endnote w:type="continuationSeparator" w:id="0">
    <w:p w14:paraId="3E7565D0" w14:textId="77777777" w:rsidR="00D742ED" w:rsidRDefault="00D742ED" w:rsidP="005C0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119BE" w14:textId="77777777" w:rsidR="005C078A" w:rsidRDefault="005C078A" w:rsidP="005C078A">
    <w:pPr>
      <w:pStyle w:val="Footer"/>
    </w:pPr>
  </w:p>
  <w:p w14:paraId="6B857905" w14:textId="77777777" w:rsidR="005C078A" w:rsidRDefault="005C078A" w:rsidP="005C078A">
    <w:pPr>
      <w:pStyle w:val="Footer"/>
    </w:pPr>
  </w:p>
  <w:p w14:paraId="7A809D57" w14:textId="02CE2CE5" w:rsidR="005C078A" w:rsidRPr="005C078A" w:rsidRDefault="00350C12" w:rsidP="005C078A">
    <w:pPr>
      <w:pStyle w:val="Footer"/>
    </w:pPr>
    <w:r>
      <w:t>FMAnot_3006</w:t>
    </w:r>
    <w:r w:rsidR="0010230D">
      <w:t>20_MK_178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C0F4F" w14:textId="77777777" w:rsidR="00D742ED" w:rsidRDefault="00D742ED" w:rsidP="005C078A">
      <w:r>
        <w:separator/>
      </w:r>
    </w:p>
  </w:footnote>
  <w:footnote w:type="continuationSeparator" w:id="0">
    <w:p w14:paraId="568D73E7" w14:textId="77777777" w:rsidR="00D742ED" w:rsidRDefault="00D742ED" w:rsidP="005C0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53E52"/>
    <w:multiLevelType w:val="hybridMultilevel"/>
    <w:tmpl w:val="4456ED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B2C3A4B"/>
    <w:multiLevelType w:val="hybridMultilevel"/>
    <w:tmpl w:val="D8C21B5A"/>
    <w:lvl w:ilvl="0" w:tplc="E8DCFCF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19C49E0"/>
    <w:multiLevelType w:val="hybridMultilevel"/>
    <w:tmpl w:val="DFCAF0D2"/>
    <w:lvl w:ilvl="0" w:tplc="CEDA0F1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32F7BCD"/>
    <w:multiLevelType w:val="hybridMultilevel"/>
    <w:tmpl w:val="74D0B9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C901C3C"/>
    <w:multiLevelType w:val="hybridMultilevel"/>
    <w:tmpl w:val="644297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5312EB6"/>
    <w:multiLevelType w:val="hybridMultilevel"/>
    <w:tmpl w:val="5F7A5E4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665"/>
    <w:rsid w:val="00055E17"/>
    <w:rsid w:val="00061A37"/>
    <w:rsid w:val="000865F5"/>
    <w:rsid w:val="000A7A88"/>
    <w:rsid w:val="000A7D86"/>
    <w:rsid w:val="000C1362"/>
    <w:rsid w:val="000F6188"/>
    <w:rsid w:val="0010230D"/>
    <w:rsid w:val="00137DF1"/>
    <w:rsid w:val="00157653"/>
    <w:rsid w:val="00196665"/>
    <w:rsid w:val="001A7182"/>
    <w:rsid w:val="001B147D"/>
    <w:rsid w:val="0021006D"/>
    <w:rsid w:val="00214266"/>
    <w:rsid w:val="002313AB"/>
    <w:rsid w:val="0023711A"/>
    <w:rsid w:val="00242D03"/>
    <w:rsid w:val="002726E9"/>
    <w:rsid w:val="002D7383"/>
    <w:rsid w:val="002F2202"/>
    <w:rsid w:val="003211EC"/>
    <w:rsid w:val="00350C12"/>
    <w:rsid w:val="0039140B"/>
    <w:rsid w:val="003A6A1F"/>
    <w:rsid w:val="003B1FE4"/>
    <w:rsid w:val="003B6D4E"/>
    <w:rsid w:val="003E703C"/>
    <w:rsid w:val="003F74B2"/>
    <w:rsid w:val="00400E06"/>
    <w:rsid w:val="00421760"/>
    <w:rsid w:val="00444A1C"/>
    <w:rsid w:val="00452C43"/>
    <w:rsid w:val="00465F25"/>
    <w:rsid w:val="00476D72"/>
    <w:rsid w:val="00481BBC"/>
    <w:rsid w:val="004A3A3B"/>
    <w:rsid w:val="00501F65"/>
    <w:rsid w:val="005060DF"/>
    <w:rsid w:val="005220B1"/>
    <w:rsid w:val="00523A52"/>
    <w:rsid w:val="005C078A"/>
    <w:rsid w:val="005D63CB"/>
    <w:rsid w:val="005F44F6"/>
    <w:rsid w:val="00617BC3"/>
    <w:rsid w:val="006272B9"/>
    <w:rsid w:val="0067298B"/>
    <w:rsid w:val="0067553B"/>
    <w:rsid w:val="00677583"/>
    <w:rsid w:val="006B42C9"/>
    <w:rsid w:val="006B6919"/>
    <w:rsid w:val="006E2E38"/>
    <w:rsid w:val="0074080E"/>
    <w:rsid w:val="0076209D"/>
    <w:rsid w:val="00763BF5"/>
    <w:rsid w:val="0076737D"/>
    <w:rsid w:val="007A6EDB"/>
    <w:rsid w:val="007C7A9A"/>
    <w:rsid w:val="007F0F39"/>
    <w:rsid w:val="007F22BA"/>
    <w:rsid w:val="008576A2"/>
    <w:rsid w:val="00857D10"/>
    <w:rsid w:val="00892A73"/>
    <w:rsid w:val="008B283C"/>
    <w:rsid w:val="008D142E"/>
    <w:rsid w:val="009061E5"/>
    <w:rsid w:val="00937FD8"/>
    <w:rsid w:val="00994F3D"/>
    <w:rsid w:val="00A066EF"/>
    <w:rsid w:val="00A56ABA"/>
    <w:rsid w:val="00A70861"/>
    <w:rsid w:val="00A766B7"/>
    <w:rsid w:val="00AA75C5"/>
    <w:rsid w:val="00AA7916"/>
    <w:rsid w:val="00B1643A"/>
    <w:rsid w:val="00B61BFA"/>
    <w:rsid w:val="00BC129A"/>
    <w:rsid w:val="00BE0B9A"/>
    <w:rsid w:val="00C042AE"/>
    <w:rsid w:val="00C63E9A"/>
    <w:rsid w:val="00CB41C6"/>
    <w:rsid w:val="00D566F6"/>
    <w:rsid w:val="00D60607"/>
    <w:rsid w:val="00D742ED"/>
    <w:rsid w:val="00D818CC"/>
    <w:rsid w:val="00D85A90"/>
    <w:rsid w:val="00E03A7C"/>
    <w:rsid w:val="00E055FC"/>
    <w:rsid w:val="00E21045"/>
    <w:rsid w:val="00E34247"/>
    <w:rsid w:val="00E4431A"/>
    <w:rsid w:val="00E55D43"/>
    <w:rsid w:val="00ED3284"/>
    <w:rsid w:val="00ED6801"/>
    <w:rsid w:val="00F23B2D"/>
    <w:rsid w:val="00FF0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BC7C5"/>
  <w15:chartTrackingRefBased/>
  <w15:docId w15:val="{FA97C415-54E3-4347-9654-BF7E473C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665"/>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lab">
    <w:name w:val="naislab"/>
    <w:basedOn w:val="Normal"/>
    <w:rsid w:val="00196665"/>
    <w:pPr>
      <w:spacing w:before="75" w:after="75"/>
      <w:jc w:val="right"/>
    </w:pPr>
  </w:style>
  <w:style w:type="character" w:customStyle="1" w:styleId="apple-style-span">
    <w:name w:val="apple-style-span"/>
    <w:basedOn w:val="DefaultParagraphFont"/>
    <w:rsid w:val="00196665"/>
  </w:style>
  <w:style w:type="paragraph" w:styleId="NormalWeb">
    <w:name w:val="Normal (Web)"/>
    <w:basedOn w:val="Normal"/>
    <w:uiPriority w:val="99"/>
    <w:rsid w:val="00196665"/>
    <w:pPr>
      <w:spacing w:before="100" w:beforeAutospacing="1" w:after="100" w:afterAutospacing="1"/>
    </w:pPr>
  </w:style>
  <w:style w:type="character" w:styleId="Hyperlink">
    <w:name w:val="Hyperlink"/>
    <w:basedOn w:val="DefaultParagraphFont"/>
    <w:rsid w:val="00196665"/>
    <w:rPr>
      <w:color w:val="0000FF"/>
      <w:u w:val="single"/>
    </w:rPr>
  </w:style>
  <w:style w:type="paragraph" w:styleId="ListParagraph">
    <w:name w:val="List Paragraph"/>
    <w:basedOn w:val="Normal"/>
    <w:link w:val="ListParagraphChar"/>
    <w:uiPriority w:val="34"/>
    <w:qFormat/>
    <w:rsid w:val="00196665"/>
    <w:pPr>
      <w:ind w:left="720"/>
      <w:contextualSpacing/>
    </w:pPr>
  </w:style>
  <w:style w:type="table" w:styleId="TableGrid">
    <w:name w:val="Table Grid"/>
    <w:basedOn w:val="TableNormal"/>
    <w:uiPriority w:val="39"/>
    <w:rsid w:val="0019666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196665"/>
    <w:rPr>
      <w:rFonts w:ascii="Times New Roman" w:eastAsia="Times New Roman" w:hAnsi="Times New Roman" w:cs="Times New Roman"/>
      <w:sz w:val="24"/>
      <w:szCs w:val="24"/>
      <w:lang w:val="lv-LV" w:eastAsia="lv-LV"/>
    </w:rPr>
  </w:style>
  <w:style w:type="paragraph" w:styleId="NoSpacing">
    <w:name w:val="No Spacing"/>
    <w:uiPriority w:val="1"/>
    <w:qFormat/>
    <w:rsid w:val="00196665"/>
    <w:pPr>
      <w:widowControl w:val="0"/>
      <w:spacing w:after="0" w:line="240" w:lineRule="auto"/>
    </w:pPr>
    <w:rPr>
      <w:rFonts w:ascii="Calibri" w:eastAsia="Calibri" w:hAnsi="Calibri" w:cs="Times New Roman"/>
      <w:lang w:val="lv-LV"/>
    </w:rPr>
  </w:style>
  <w:style w:type="paragraph" w:styleId="Header">
    <w:name w:val="header"/>
    <w:basedOn w:val="Normal"/>
    <w:link w:val="HeaderChar"/>
    <w:uiPriority w:val="99"/>
    <w:unhideWhenUsed/>
    <w:rsid w:val="005C078A"/>
    <w:pPr>
      <w:tabs>
        <w:tab w:val="center" w:pos="4153"/>
        <w:tab w:val="right" w:pos="8306"/>
      </w:tabs>
    </w:pPr>
  </w:style>
  <w:style w:type="character" w:customStyle="1" w:styleId="HeaderChar">
    <w:name w:val="Header Char"/>
    <w:basedOn w:val="DefaultParagraphFont"/>
    <w:link w:val="Header"/>
    <w:uiPriority w:val="99"/>
    <w:rsid w:val="005C078A"/>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unhideWhenUsed/>
    <w:rsid w:val="005C078A"/>
    <w:pPr>
      <w:tabs>
        <w:tab w:val="center" w:pos="4153"/>
        <w:tab w:val="right" w:pos="8306"/>
      </w:tabs>
    </w:pPr>
  </w:style>
  <w:style w:type="character" w:customStyle="1" w:styleId="FooterChar">
    <w:name w:val="Footer Char"/>
    <w:basedOn w:val="DefaultParagraphFont"/>
    <w:link w:val="Footer"/>
    <w:uiPriority w:val="99"/>
    <w:rsid w:val="005C078A"/>
    <w:rPr>
      <w:rFonts w:ascii="Times New Roman" w:eastAsia="Times New Roman" w:hAnsi="Times New Roman" w:cs="Times New Roman"/>
      <w:sz w:val="24"/>
      <w:szCs w:val="24"/>
      <w:lang w:val="lv-LV" w:eastAsia="lv-LV"/>
    </w:rPr>
  </w:style>
  <w:style w:type="character" w:styleId="CommentReference">
    <w:name w:val="annotation reference"/>
    <w:basedOn w:val="DefaultParagraphFont"/>
    <w:uiPriority w:val="99"/>
    <w:semiHidden/>
    <w:unhideWhenUsed/>
    <w:rsid w:val="00A56ABA"/>
    <w:rPr>
      <w:sz w:val="16"/>
      <w:szCs w:val="16"/>
    </w:rPr>
  </w:style>
  <w:style w:type="paragraph" w:styleId="CommentText">
    <w:name w:val="annotation text"/>
    <w:basedOn w:val="Normal"/>
    <w:link w:val="CommentTextChar"/>
    <w:uiPriority w:val="99"/>
    <w:semiHidden/>
    <w:unhideWhenUsed/>
    <w:rsid w:val="00A56ABA"/>
    <w:rPr>
      <w:sz w:val="20"/>
      <w:szCs w:val="20"/>
    </w:rPr>
  </w:style>
  <w:style w:type="character" w:customStyle="1" w:styleId="CommentTextChar">
    <w:name w:val="Comment Text Char"/>
    <w:basedOn w:val="DefaultParagraphFont"/>
    <w:link w:val="CommentText"/>
    <w:uiPriority w:val="99"/>
    <w:semiHidden/>
    <w:rsid w:val="00A56ABA"/>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A56ABA"/>
    <w:rPr>
      <w:b/>
      <w:bCs/>
    </w:rPr>
  </w:style>
  <w:style w:type="character" w:customStyle="1" w:styleId="CommentSubjectChar">
    <w:name w:val="Comment Subject Char"/>
    <w:basedOn w:val="CommentTextChar"/>
    <w:link w:val="CommentSubject"/>
    <w:uiPriority w:val="99"/>
    <w:semiHidden/>
    <w:rsid w:val="00A56ABA"/>
    <w:rPr>
      <w:rFonts w:ascii="Times New Roman" w:eastAsia="Times New Roman" w:hAnsi="Times New Roman" w:cs="Times New Roman"/>
      <w:b/>
      <w:bCs/>
      <w:sz w:val="20"/>
      <w:szCs w:val="20"/>
      <w:lang w:val="lv-LV" w:eastAsia="lv-LV"/>
    </w:rPr>
  </w:style>
  <w:style w:type="paragraph" w:styleId="BalloonText">
    <w:name w:val="Balloon Text"/>
    <w:basedOn w:val="Normal"/>
    <w:link w:val="BalloonTextChar"/>
    <w:uiPriority w:val="99"/>
    <w:semiHidden/>
    <w:unhideWhenUsed/>
    <w:rsid w:val="00A56A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ABA"/>
    <w:rPr>
      <w:rFonts w:ascii="Segoe UI" w:eastAsia="Times New Roman" w:hAnsi="Segoe UI" w:cs="Segoe UI"/>
      <w:sz w:val="18"/>
      <w:szCs w:val="18"/>
      <w:lang w:val="lv-LV" w:eastAsia="lv-LV"/>
    </w:rPr>
  </w:style>
  <w:style w:type="paragraph" w:customStyle="1" w:styleId="DefaultParagraphFont1">
    <w:name w:val="Default Paragraph Font1"/>
    <w:basedOn w:val="Normal"/>
    <w:rsid w:val="0076209D"/>
    <w:rPr>
      <w:rFonts w:ascii="CG Times (W1)" w:hAnsi="CG Times (W1)"/>
      <w:sz w:val="20"/>
      <w:szCs w:val="20"/>
      <w:lang w:eastAsia="en-US"/>
    </w:rPr>
  </w:style>
  <w:style w:type="character" w:styleId="FollowedHyperlink">
    <w:name w:val="FollowedHyperlink"/>
    <w:basedOn w:val="DefaultParagraphFont"/>
    <w:uiPriority w:val="99"/>
    <w:semiHidden/>
    <w:unhideWhenUsed/>
    <w:rsid w:val="007673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8571">
      <w:bodyDiv w:val="1"/>
      <w:marLeft w:val="0"/>
      <w:marRight w:val="0"/>
      <w:marTop w:val="0"/>
      <w:marBottom w:val="0"/>
      <w:divBdr>
        <w:top w:val="none" w:sz="0" w:space="0" w:color="auto"/>
        <w:left w:val="none" w:sz="0" w:space="0" w:color="auto"/>
        <w:bottom w:val="none" w:sz="0" w:space="0" w:color="auto"/>
        <w:right w:val="none" w:sz="0" w:space="0" w:color="auto"/>
      </w:divBdr>
    </w:div>
    <w:div w:id="43706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liza.Urbanovica@vid.gov.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ite.Krivisa@fm.gov.l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fm.gov.lv/lv/sabiedribas_lidzdaliba/tiesibu_aktu_projekti/nodoklu_politik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17988F63A5FCA4E91EBEA3C7CBABFE1" ma:contentTypeVersion="" ma:contentTypeDescription="Izveidot jaunu dokumentu." ma:contentTypeScope="" ma:versionID="6c8debf7d97d146b07bd57b2379dd27b">
  <xsd:schema xmlns:xsd="http://www.w3.org/2001/XMLSchema" xmlns:xs="http://www.w3.org/2001/XMLSchema" xmlns:p="http://schemas.microsoft.com/office/2006/metadata/properties" xmlns:ns2="2e5bb04e-596e-45bd-9003-43ca78b1ba16" xmlns:ns4="8a8406e0-fd3e-4c97-9c6b-df4e1c510b77" targetNamespace="http://schemas.microsoft.com/office/2006/metadata/properties" ma:root="true" ma:fieldsID="a6d35000c1b877c8c067825bd36ec356" ns2:_="" ns4:_="">
    <xsd:import namespace="2e5bb04e-596e-45bd-9003-43ca78b1ba16"/>
    <xsd:import namespace="8a8406e0-fd3e-4c97-9c6b-df4e1c510b77"/>
    <xsd:element name="properties">
      <xsd:complexType>
        <xsd:sequence>
          <xsd:element name="documentManagement">
            <xsd:complexType>
              <xsd:all>
                <xsd:element ref="ns2:Kategorija"/>
                <xsd:element ref="ns2:Vad_x012b_t_x0101_js" minOccurs="0"/>
                <xsd:element ref="ns4:TA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Kategorija" ma:index="2"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3"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406e0-fd3e-4c97-9c6b-df4e1c510b77" elementFormDefault="qualified">
    <xsd:import namespace="http://schemas.microsoft.com/office/2006/documentManagement/types"/>
    <xsd:import namespace="http://schemas.microsoft.com/office/infopath/2007/PartnerControls"/>
    <xsd:element name="TAP" ma:index="11" nillable="true" ma:displayName="TAP" ma:list="{9c6ff9f6-2768-44f6-a5f2-1a7b9b3481ad}" ma:internalName="TAP" ma:showField="NPK">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ors"/>
        <xsd:element ref="dcterms:created" minOccurs="0" maxOccurs="1"/>
        <xsd:element ref="dc:identifier" minOccurs="0" maxOccurs="1"/>
        <xsd:element name="contentType" minOccurs="0" maxOccurs="1" type="xsd:string" ma:index="7" ma:displayName="Satura tips"/>
        <xsd:element ref="dc:title" minOccurs="0" maxOccurs="1" ma:index="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A. Birums (TND)</Vad_x012b_t_x0101_js>
    <TAP xmlns="8a8406e0-fd3e-4c97-9c6b-df4e1c510b77">67</TAP>
    <Kategorija xmlns="2e5bb04e-596e-45bd-9003-43ca78b1ba16">Anotācija</Kategorij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EB6F13-5088-430E-8F66-025E2AB1B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8a8406e0-fd3e-4c97-9c6b-df4e1c510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BF58EE-623D-449B-AB08-8AF10CC4BB88}">
  <ds:schemaRefs>
    <ds:schemaRef ds:uri="http://schemas.microsoft.com/office/2006/metadata/properties"/>
    <ds:schemaRef ds:uri="http://schemas.microsoft.com/office/infopath/2007/PartnerControls"/>
    <ds:schemaRef ds:uri="2e5bb04e-596e-45bd-9003-43ca78b1ba16"/>
    <ds:schemaRef ds:uri="8a8406e0-fd3e-4c97-9c6b-df4e1c510b77"/>
  </ds:schemaRefs>
</ds:datastoreItem>
</file>

<file path=customXml/itemProps3.xml><?xml version="1.0" encoding="utf-8"?>
<ds:datastoreItem xmlns:ds="http://schemas.openxmlformats.org/officeDocument/2006/customXml" ds:itemID="{624A5DEE-2DA4-44B3-A7BB-C39D17859A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13062</Words>
  <Characters>7446</Characters>
  <Application>Microsoft Office Word</Application>
  <DocSecurity>0</DocSecurity>
  <Lines>62</Lines>
  <Paragraphs>40</Paragraphs>
  <ScaleCrop>false</ScaleCrop>
  <HeadingPairs>
    <vt:vector size="2" baseType="variant">
      <vt:variant>
        <vt:lpstr>Title</vt:lpstr>
      </vt:variant>
      <vt:variant>
        <vt:i4>1</vt:i4>
      </vt:variant>
    </vt:vector>
  </HeadingPairs>
  <TitlesOfParts>
    <vt:vector size="1" baseType="lpstr">
      <vt:lpstr>MK noteikumu projekta “Grozījumi Ministru kabineta 2001.gada 30.aprīļa noteikumos Nr.178 “Kārtība, kādā piemērojami starptautiskajos līgumos par nodokļu dubultās uzlikšanas un nodokļu nemaksāšanas novēršanu noteiktie nodokļu atvieglojumi”” anotācija</vt:lpstr>
    </vt:vector>
  </TitlesOfParts>
  <Manager>Andrejs Birums</Manager>
  <Company>Finanšu ministrija</Company>
  <LinksUpToDate>false</LinksUpToDate>
  <CharactersWithSpaces>20468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“Grozījumi Ministru kabineta 2001.gada 30.aprīļa noteikumos Nr.178 “Kārtība, kādā piemērojami starptautiskajos līgumos par nodokļu dubultās uzlikšanas un nodokļu nemaksāšanas novēršanu noteiktie nodokļu atvieglojumi”” anotācija</dc:title>
  <dc:subject>Anotācija</dc:subject>
  <dc:creator>Ed. Kriviša (TND)</dc:creator>
  <cp:keywords/>
  <dc:description>Edīte Kriviša_x000d_
Edite.Krivisa@fm.gov.lv_x000d_
67095519</dc:description>
  <cp:lastModifiedBy>Inguna Dancīte</cp:lastModifiedBy>
  <cp:revision>2</cp:revision>
  <dcterms:created xsi:type="dcterms:W3CDTF">2020-07-06T08:06:00Z</dcterms:created>
  <dcterms:modified xsi:type="dcterms:W3CDTF">2020-07-06T08:06:00Z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0x010100717988F63A5FCA4E91EBEA3C7CBABFE1</vt:lpwstr>
  </property>
</Properties>
</file>