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C951E" w14:textId="77777777" w:rsidR="009231F0" w:rsidRPr="00B630FA" w:rsidRDefault="0069077D" w:rsidP="00B630FA">
      <w:pPr>
        <w:shd w:val="clear" w:color="auto" w:fill="FFFFFF"/>
        <w:spacing w:after="0" w:line="240" w:lineRule="auto"/>
        <w:ind w:firstLine="720"/>
        <w:jc w:val="right"/>
        <w:rPr>
          <w:rFonts w:ascii="Times New Roman" w:eastAsia="Times New Roman" w:hAnsi="Times New Roman" w:cs="Times New Roman"/>
          <w:i/>
          <w:color w:val="000000"/>
        </w:rPr>
      </w:pPr>
      <w:bookmarkStart w:id="0" w:name="_GoBack"/>
      <w:bookmarkEnd w:id="0"/>
      <w:r w:rsidRPr="00B630FA">
        <w:rPr>
          <w:rFonts w:ascii="Times New Roman" w:eastAsia="Times New Roman" w:hAnsi="Times New Roman" w:cs="Times New Roman"/>
          <w:i/>
          <w:color w:val="000000"/>
          <w:sz w:val="28"/>
          <w:szCs w:val="28"/>
        </w:rPr>
        <w:t>Likumprojekts</w:t>
      </w:r>
    </w:p>
    <w:p w14:paraId="48C18BF2" w14:textId="77777777" w:rsidR="009231F0" w:rsidRPr="00B630FA" w:rsidRDefault="009231F0" w:rsidP="00B630FA">
      <w:pPr>
        <w:shd w:val="clear" w:color="auto" w:fill="FFFFFF"/>
        <w:spacing w:after="0" w:line="240" w:lineRule="auto"/>
        <w:ind w:firstLine="720"/>
        <w:jc w:val="both"/>
        <w:rPr>
          <w:rFonts w:ascii="Times New Roman" w:eastAsia="Times New Roman" w:hAnsi="Times New Roman" w:cs="Times New Roman"/>
          <w:color w:val="000000"/>
        </w:rPr>
      </w:pPr>
    </w:p>
    <w:p w14:paraId="442299E8" w14:textId="77777777" w:rsidR="008A0A8F" w:rsidRPr="00B630FA" w:rsidRDefault="008A0A8F" w:rsidP="00B630FA">
      <w:pPr>
        <w:spacing w:after="0" w:line="240" w:lineRule="auto"/>
        <w:jc w:val="center"/>
        <w:rPr>
          <w:rFonts w:ascii="Times New Roman" w:eastAsia="Times New Roman" w:hAnsi="Times New Roman" w:cs="Times New Roman"/>
          <w:sz w:val="24"/>
          <w:szCs w:val="24"/>
          <w:lang w:val="en-US" w:eastAsia="en-US"/>
        </w:rPr>
      </w:pPr>
      <w:r w:rsidRPr="00B630FA">
        <w:rPr>
          <w:rFonts w:ascii="Times New Roman" w:eastAsia="Times New Roman" w:hAnsi="Times New Roman" w:cs="Times New Roman"/>
          <w:b/>
          <w:color w:val="000000"/>
          <w:sz w:val="28"/>
          <w:szCs w:val="28"/>
        </w:rPr>
        <w:t>Grozījumi Kredītiestāžu likumā</w:t>
      </w:r>
    </w:p>
    <w:p w14:paraId="7E772EB2" w14:textId="77777777" w:rsidR="008A0A8F" w:rsidRPr="00B630FA" w:rsidRDefault="008A0A8F" w:rsidP="00B630FA">
      <w:pPr>
        <w:spacing w:after="0" w:line="240" w:lineRule="auto"/>
        <w:jc w:val="both"/>
        <w:rPr>
          <w:rFonts w:ascii="Times New Roman" w:eastAsia="Times New Roman" w:hAnsi="Times New Roman" w:cs="Times New Roman"/>
          <w:sz w:val="24"/>
          <w:szCs w:val="24"/>
          <w:lang w:val="en-US" w:eastAsia="en-US"/>
        </w:rPr>
      </w:pPr>
    </w:p>
    <w:p w14:paraId="3D476590" w14:textId="77777777" w:rsidR="009231F0" w:rsidRPr="008A0A8F" w:rsidRDefault="008A0A8F" w:rsidP="00B630FA">
      <w:pPr>
        <w:spacing w:after="0" w:line="240" w:lineRule="auto"/>
        <w:ind w:firstLine="709"/>
        <w:jc w:val="both"/>
        <w:rPr>
          <w:rFonts w:ascii="Times New Roman" w:eastAsia="Times New Roman" w:hAnsi="Times New Roman" w:cs="Times New Roman"/>
          <w:sz w:val="24"/>
          <w:szCs w:val="24"/>
          <w:lang w:val="en-US" w:eastAsia="en-US"/>
        </w:rPr>
      </w:pPr>
      <w:r w:rsidRPr="00B630FA">
        <w:rPr>
          <w:rFonts w:ascii="Times New Roman" w:eastAsia="Times New Roman" w:hAnsi="Times New Roman" w:cs="Times New Roman"/>
          <w:color w:val="000000"/>
          <w:sz w:val="28"/>
          <w:szCs w:val="28"/>
        </w:rPr>
        <w:t>Izdarīt</w:t>
      </w:r>
      <w:r w:rsidRPr="008A0A8F">
        <w:rPr>
          <w:rFonts w:ascii="Times New Roman" w:eastAsia="Times New Roman" w:hAnsi="Times New Roman" w:cs="Times New Roman"/>
          <w:color w:val="000000"/>
          <w:sz w:val="28"/>
          <w:szCs w:val="28"/>
        </w:rPr>
        <w:t xml:space="preserve"> Kredītiestāžu likumā (Latvijas Republikas Saeimas un Ministru Kabineta Ziņotājs, 1995, 23. nr.; 1996, 9., 14., 23. nr.; 1997, 23. nr.; 1998, 13. nr.; 2000, 13. nr.; 2002, 10., 23. nr.; 2003, 14. nr.; 2004, 2., 12., 23. nr.; 2005, 13., 14. nr.; 2006, 15. nr.; 2007, 7., 12. nr.; 2008, 14., 23. nr.; 2009, 6., 7., 17., 22. nr.; Latvijas Vēstnesis, 2010, 23., 51./52., 160. nr.; 2011, 4. nr.; 2012, 50., 56., 92. nr.; 2013, 61., 106., 193. nr.; 2014, 92. nr.; 2015, 29., 97., 124., 140., 248., 251. nr.; 2016, 117., 241. nr.; 2017, 152., 222. nr.; 2018, 45., 225. nr.; 2019, 52., 129., 259A. nr.) šādu</w:t>
      </w:r>
      <w:r>
        <w:rPr>
          <w:rFonts w:ascii="Times New Roman" w:eastAsia="Times New Roman" w:hAnsi="Times New Roman" w:cs="Times New Roman"/>
          <w:color w:val="000000"/>
          <w:sz w:val="28"/>
          <w:szCs w:val="28"/>
        </w:rPr>
        <w:t>s</w:t>
      </w:r>
      <w:r w:rsidRPr="008A0A8F">
        <w:rPr>
          <w:rFonts w:ascii="Times New Roman" w:eastAsia="Times New Roman" w:hAnsi="Times New Roman" w:cs="Times New Roman"/>
          <w:color w:val="000000"/>
          <w:sz w:val="28"/>
          <w:szCs w:val="28"/>
        </w:rPr>
        <w:t xml:space="preserve"> grozījumu</w:t>
      </w:r>
      <w:r>
        <w:rPr>
          <w:rFonts w:ascii="Times New Roman" w:eastAsia="Times New Roman" w:hAnsi="Times New Roman" w:cs="Times New Roman"/>
          <w:color w:val="000000"/>
          <w:sz w:val="28"/>
          <w:szCs w:val="28"/>
        </w:rPr>
        <w:t>s</w:t>
      </w:r>
      <w:r w:rsidRPr="008A0A8F">
        <w:rPr>
          <w:rFonts w:ascii="Times New Roman" w:eastAsia="Times New Roman" w:hAnsi="Times New Roman" w:cs="Times New Roman"/>
          <w:color w:val="000000"/>
          <w:sz w:val="28"/>
          <w:szCs w:val="28"/>
        </w:rPr>
        <w:t>:</w:t>
      </w:r>
    </w:p>
    <w:p w14:paraId="426AD71D" w14:textId="77777777" w:rsidR="005739F0" w:rsidRPr="00B630FA" w:rsidRDefault="005739F0" w:rsidP="002D0CC8">
      <w:pPr>
        <w:shd w:val="clear" w:color="auto" w:fill="FFFFFF"/>
        <w:spacing w:after="0" w:line="240" w:lineRule="auto"/>
        <w:jc w:val="both"/>
        <w:rPr>
          <w:rFonts w:ascii="Times New Roman" w:hAnsi="Times New Roman" w:cs="Times New Roman"/>
          <w:sz w:val="28"/>
          <w:szCs w:val="28"/>
        </w:rPr>
      </w:pPr>
    </w:p>
    <w:p w14:paraId="17CB4B47" w14:textId="60E07F02" w:rsidR="0050120E" w:rsidRPr="0050120E" w:rsidRDefault="0050120E" w:rsidP="00B630FA">
      <w:pPr>
        <w:pStyle w:val="ListParagraph"/>
        <w:spacing w:after="0" w:line="240" w:lineRule="auto"/>
        <w:ind w:left="0" w:firstLine="72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1. Papildināt 59.</w:t>
      </w:r>
      <w:r w:rsidRPr="0050120E">
        <w:rPr>
          <w:rFonts w:ascii="Times New Roman" w:eastAsia="Times New Roman" w:hAnsi="Times New Roman" w:cs="Times New Roman"/>
          <w:color w:val="000000"/>
          <w:sz w:val="28"/>
          <w:szCs w:val="28"/>
          <w:vertAlign w:val="superscript"/>
          <w:lang w:eastAsia="en-US"/>
        </w:rPr>
        <w:t>2</w:t>
      </w:r>
      <w:r>
        <w:rPr>
          <w:rFonts w:ascii="Times New Roman" w:eastAsia="Times New Roman" w:hAnsi="Times New Roman" w:cs="Times New Roman"/>
          <w:color w:val="000000"/>
          <w:sz w:val="28"/>
          <w:szCs w:val="28"/>
          <w:lang w:eastAsia="en-US"/>
        </w:rPr>
        <w:t>panta pirmās daļas pirmo teikumu pēc vārda „atļauja” ar vārdiem „izņemot Segto obligāciju likumā paredzētos gadījumus.”</w:t>
      </w:r>
      <w:r w:rsidR="0069077D">
        <w:rPr>
          <w:rFonts w:ascii="Times New Roman" w:eastAsia="Times New Roman" w:hAnsi="Times New Roman" w:cs="Times New Roman"/>
          <w:color w:val="000000"/>
          <w:sz w:val="28"/>
          <w:szCs w:val="28"/>
          <w:lang w:eastAsia="en-US"/>
        </w:rPr>
        <w:t>.</w:t>
      </w:r>
    </w:p>
    <w:p w14:paraId="6D13B12A" w14:textId="77777777" w:rsidR="004E0F0F" w:rsidRDefault="004E0F0F" w:rsidP="00B630FA">
      <w:pPr>
        <w:spacing w:after="0" w:line="240" w:lineRule="auto"/>
        <w:ind w:firstLine="720"/>
        <w:jc w:val="both"/>
        <w:rPr>
          <w:rFonts w:ascii="Times New Roman" w:eastAsia="Times New Roman" w:hAnsi="Times New Roman" w:cs="Times New Roman"/>
          <w:color w:val="000000"/>
          <w:sz w:val="28"/>
          <w:szCs w:val="28"/>
          <w:lang w:eastAsia="en-US"/>
        </w:rPr>
      </w:pPr>
    </w:p>
    <w:p w14:paraId="27809850" w14:textId="77777777" w:rsidR="004E0F0F" w:rsidRPr="004E0F0F" w:rsidRDefault="006C2F7B" w:rsidP="00B630FA">
      <w:pPr>
        <w:spacing w:after="0" w:line="240" w:lineRule="auto"/>
        <w:ind w:firstLine="720"/>
        <w:jc w:val="both"/>
        <w:rPr>
          <w:rFonts w:ascii="Times New Roman" w:eastAsia="Times New Roman" w:hAnsi="Times New Roman" w:cs="Times New Roman"/>
          <w:color w:val="000000"/>
          <w:sz w:val="28"/>
          <w:szCs w:val="28"/>
          <w:lang w:val="en-US" w:eastAsia="en-US"/>
        </w:rPr>
      </w:pPr>
      <w:r>
        <w:rPr>
          <w:rFonts w:ascii="Times New Roman" w:eastAsia="Times New Roman" w:hAnsi="Times New Roman" w:cs="Times New Roman"/>
          <w:color w:val="000000"/>
          <w:sz w:val="28"/>
          <w:szCs w:val="28"/>
          <w:lang w:eastAsia="en-US"/>
        </w:rPr>
        <w:t xml:space="preserve">2. </w:t>
      </w:r>
      <w:r w:rsidR="004E0F0F" w:rsidRPr="004E0F0F">
        <w:rPr>
          <w:rFonts w:ascii="Times New Roman" w:eastAsia="Times New Roman" w:hAnsi="Times New Roman" w:cs="Times New Roman"/>
          <w:color w:val="000000"/>
          <w:sz w:val="28"/>
          <w:szCs w:val="28"/>
          <w:lang w:eastAsia="en-US"/>
        </w:rPr>
        <w:t>Papildināt 62.pantu ar vienpadsmito daļu šādā redakcijā:</w:t>
      </w:r>
    </w:p>
    <w:p w14:paraId="0B5FF8E0" w14:textId="77777777" w:rsidR="004E0F0F" w:rsidRPr="004E0F0F" w:rsidRDefault="004E0F0F" w:rsidP="00B630FA">
      <w:pPr>
        <w:spacing w:after="0" w:line="240" w:lineRule="auto"/>
        <w:ind w:firstLine="720"/>
        <w:jc w:val="both"/>
        <w:rPr>
          <w:rFonts w:ascii="Times New Roman" w:eastAsia="Times New Roman" w:hAnsi="Times New Roman" w:cs="Times New Roman"/>
          <w:color w:val="000000"/>
          <w:sz w:val="28"/>
          <w:szCs w:val="28"/>
          <w:lang w:val="en-US" w:eastAsia="en-US"/>
        </w:rPr>
      </w:pPr>
      <w:r w:rsidRPr="004E0F0F">
        <w:rPr>
          <w:rFonts w:ascii="Times New Roman" w:eastAsia="Times New Roman" w:hAnsi="Times New Roman" w:cs="Times New Roman"/>
          <w:color w:val="000000"/>
          <w:sz w:val="28"/>
          <w:szCs w:val="28"/>
          <w:lang w:eastAsia="en-US"/>
        </w:rPr>
        <w:t xml:space="preserve">„(11) </w:t>
      </w:r>
      <w:r w:rsidR="0069077D" w:rsidRPr="0069077D">
        <w:rPr>
          <w:rFonts w:ascii="Times New Roman" w:hAnsi="Times New Roman" w:cs="Times New Roman"/>
          <w:color w:val="000000"/>
          <w:sz w:val="28"/>
          <w:szCs w:val="28"/>
          <w:shd w:val="clear" w:color="auto" w:fill="FFFFFF"/>
        </w:rPr>
        <w:t>Kredītiestādes rīcībā esošās neizpaužamās ziņas var tikt izpaustas citām personām saskaņā ar Segto obligāciju likumu</w:t>
      </w:r>
      <w:r w:rsidRPr="0069077D">
        <w:rPr>
          <w:rFonts w:ascii="Times New Roman" w:eastAsia="Times New Roman" w:hAnsi="Times New Roman" w:cs="Times New Roman"/>
          <w:color w:val="000000"/>
          <w:sz w:val="28"/>
          <w:szCs w:val="28"/>
          <w:lang w:val="en-US" w:eastAsia="en-US"/>
        </w:rPr>
        <w:t>.”</w:t>
      </w:r>
      <w:r w:rsidR="0069077D">
        <w:rPr>
          <w:rFonts w:ascii="Times New Roman" w:eastAsia="Times New Roman" w:hAnsi="Times New Roman" w:cs="Times New Roman"/>
          <w:color w:val="000000"/>
          <w:sz w:val="28"/>
          <w:szCs w:val="28"/>
          <w:lang w:val="en-US" w:eastAsia="en-US"/>
        </w:rPr>
        <w:t>.</w:t>
      </w:r>
    </w:p>
    <w:p w14:paraId="7BDB6B9C" w14:textId="77777777" w:rsidR="004E0F0F" w:rsidRPr="004E0F0F" w:rsidRDefault="004E0F0F" w:rsidP="00B630FA">
      <w:pPr>
        <w:spacing w:after="0" w:line="240" w:lineRule="auto"/>
        <w:ind w:firstLine="720"/>
        <w:jc w:val="both"/>
        <w:rPr>
          <w:rFonts w:ascii="Times New Roman" w:eastAsia="Times New Roman" w:hAnsi="Times New Roman" w:cs="Times New Roman"/>
          <w:color w:val="000000"/>
          <w:sz w:val="28"/>
          <w:szCs w:val="28"/>
          <w:lang w:val="en-US" w:eastAsia="en-US"/>
        </w:rPr>
      </w:pPr>
    </w:p>
    <w:p w14:paraId="2BBC2F64" w14:textId="77777777" w:rsidR="004E0F0F" w:rsidRPr="004E0F0F" w:rsidRDefault="006C2F7B" w:rsidP="00B630FA">
      <w:pPr>
        <w:spacing w:after="0" w:line="240" w:lineRule="auto"/>
        <w:ind w:firstLine="720"/>
        <w:jc w:val="both"/>
        <w:rPr>
          <w:rFonts w:ascii="Times New Roman" w:eastAsia="Times New Roman" w:hAnsi="Times New Roman" w:cs="Times New Roman"/>
          <w:color w:val="000000"/>
          <w:sz w:val="28"/>
          <w:szCs w:val="28"/>
          <w:lang w:val="en-US" w:eastAsia="en-US"/>
        </w:rPr>
      </w:pPr>
      <w:r>
        <w:rPr>
          <w:rFonts w:ascii="Times New Roman" w:eastAsia="Times New Roman" w:hAnsi="Times New Roman" w:cs="Times New Roman"/>
          <w:color w:val="000000"/>
          <w:sz w:val="28"/>
          <w:szCs w:val="28"/>
          <w:lang w:eastAsia="en-US"/>
        </w:rPr>
        <w:t xml:space="preserve">3. </w:t>
      </w:r>
      <w:r w:rsidR="004E0F0F" w:rsidRPr="004E0F0F">
        <w:rPr>
          <w:rFonts w:ascii="Times New Roman" w:eastAsia="Times New Roman" w:hAnsi="Times New Roman" w:cs="Times New Roman"/>
          <w:color w:val="000000"/>
          <w:sz w:val="28"/>
          <w:szCs w:val="28"/>
          <w:lang w:eastAsia="en-US"/>
        </w:rPr>
        <w:t>Papildināt 149.pantu ar otro daļu šādā redakcijā:</w:t>
      </w:r>
    </w:p>
    <w:p w14:paraId="6D72E292" w14:textId="77777777" w:rsidR="004E0F0F" w:rsidRPr="004E0F0F" w:rsidRDefault="004E0F0F" w:rsidP="00B630FA">
      <w:pPr>
        <w:spacing w:after="0" w:line="240" w:lineRule="auto"/>
        <w:ind w:firstLine="720"/>
        <w:jc w:val="both"/>
        <w:rPr>
          <w:rFonts w:ascii="Times New Roman" w:eastAsia="Times New Roman" w:hAnsi="Times New Roman" w:cs="Times New Roman"/>
          <w:color w:val="000000"/>
          <w:sz w:val="28"/>
          <w:szCs w:val="28"/>
          <w:lang w:val="en-US" w:eastAsia="en-US"/>
        </w:rPr>
      </w:pPr>
      <w:r w:rsidRPr="004E0F0F">
        <w:rPr>
          <w:rFonts w:ascii="Times New Roman" w:eastAsia="Times New Roman" w:hAnsi="Times New Roman" w:cs="Times New Roman"/>
          <w:color w:val="000000"/>
          <w:sz w:val="28"/>
          <w:szCs w:val="28"/>
          <w:lang w:eastAsia="en-US"/>
        </w:rPr>
        <w:t> „(2) Kredītiestādes, kas veikusi segto obligāciju emisiju, maksātnespējas gadījumā šajā likumā iekļautās tiesību normas, kas regulē kredītiestādes tiesības uz seguma aktīviem un ar to saistītajiem prasījumiem (tostarp attiecībā uz seguma aktīvu saņemšanu un uzturēšanu, nokavējuma naudas un procentu pieaugumu kreditoru prasījumiem) piemēro tiktāl, ciktāl tās nav pretrunā ar Segto obligāciju likuma normām.”</w:t>
      </w:r>
      <w:r w:rsidR="0069077D">
        <w:rPr>
          <w:rFonts w:ascii="Times New Roman" w:eastAsia="Times New Roman" w:hAnsi="Times New Roman" w:cs="Times New Roman"/>
          <w:color w:val="000000"/>
          <w:sz w:val="28"/>
          <w:szCs w:val="28"/>
          <w:lang w:eastAsia="en-US"/>
        </w:rPr>
        <w:t>.</w:t>
      </w:r>
    </w:p>
    <w:p w14:paraId="6B6AF3AC" w14:textId="77777777" w:rsidR="00CA2562" w:rsidRDefault="00CA2562" w:rsidP="00B630FA">
      <w:pPr>
        <w:pStyle w:val="tv213"/>
        <w:shd w:val="clear" w:color="auto" w:fill="FFFFFF"/>
        <w:spacing w:before="0" w:beforeAutospacing="0" w:after="0" w:afterAutospacing="0"/>
        <w:ind w:firstLine="709"/>
        <w:jc w:val="both"/>
        <w:rPr>
          <w:sz w:val="28"/>
          <w:szCs w:val="28"/>
        </w:rPr>
      </w:pPr>
    </w:p>
    <w:p w14:paraId="0112F869" w14:textId="3DFD3065" w:rsidR="00E91956" w:rsidRPr="00E91956" w:rsidRDefault="006C2F7B" w:rsidP="00E91956">
      <w:pPr>
        <w:spacing w:after="0" w:line="240" w:lineRule="auto"/>
        <w:ind w:firstLine="720"/>
        <w:jc w:val="both"/>
        <w:rPr>
          <w:rFonts w:ascii="Times New Roman" w:eastAsia="Times New Roman" w:hAnsi="Times New Roman" w:cs="Times New Roman"/>
          <w:sz w:val="28"/>
          <w:szCs w:val="28"/>
          <w:lang w:val="en-US" w:eastAsia="en-US"/>
        </w:rPr>
      </w:pPr>
      <w:r w:rsidRPr="00E91956">
        <w:rPr>
          <w:rFonts w:ascii="Times New Roman" w:hAnsi="Times New Roman" w:cs="Times New Roman"/>
          <w:sz w:val="28"/>
          <w:szCs w:val="28"/>
        </w:rPr>
        <w:t xml:space="preserve">4. </w:t>
      </w:r>
      <w:r w:rsidR="00E91956" w:rsidRPr="00E91956">
        <w:rPr>
          <w:rFonts w:ascii="Times New Roman" w:hAnsi="Times New Roman" w:cs="Times New Roman"/>
          <w:sz w:val="28"/>
          <w:szCs w:val="28"/>
        </w:rPr>
        <w:t xml:space="preserve">Papildināt 158. pantu ar </w:t>
      </w:r>
      <w:r w:rsidR="003948B0">
        <w:rPr>
          <w:rFonts w:ascii="Times New Roman" w:hAnsi="Times New Roman" w:cs="Times New Roman"/>
          <w:sz w:val="28"/>
          <w:szCs w:val="28"/>
        </w:rPr>
        <w:t>3.</w:t>
      </w:r>
      <w:r w:rsidR="003948B0" w:rsidRPr="00E91956">
        <w:rPr>
          <w:rFonts w:ascii="Times New Roman" w:hAnsi="Times New Roman" w:cs="Times New Roman"/>
          <w:sz w:val="28"/>
          <w:szCs w:val="28"/>
          <w:vertAlign w:val="superscript"/>
        </w:rPr>
        <w:t>3</w:t>
      </w:r>
      <w:r w:rsidR="003948B0" w:rsidRPr="00E91956">
        <w:rPr>
          <w:rFonts w:ascii="Times New Roman" w:hAnsi="Times New Roman" w:cs="Times New Roman"/>
          <w:sz w:val="28"/>
          <w:szCs w:val="28"/>
        </w:rPr>
        <w:t xml:space="preserve"> </w:t>
      </w:r>
      <w:r w:rsidR="00E91956" w:rsidRPr="00E91956">
        <w:rPr>
          <w:rFonts w:ascii="Times New Roman" w:hAnsi="Times New Roman" w:cs="Times New Roman"/>
          <w:sz w:val="28"/>
          <w:szCs w:val="28"/>
        </w:rPr>
        <w:t>daļu</w:t>
      </w:r>
      <w:r w:rsidR="00E91956" w:rsidRPr="00E91956">
        <w:rPr>
          <w:rFonts w:ascii="Times New Roman" w:eastAsia="Times New Roman" w:hAnsi="Times New Roman" w:cs="Times New Roman"/>
          <w:sz w:val="28"/>
          <w:szCs w:val="28"/>
          <w:lang w:eastAsia="en-US"/>
        </w:rPr>
        <w:t xml:space="preserve"> šādā redakcijā:</w:t>
      </w:r>
    </w:p>
    <w:p w14:paraId="4FD08F6A" w14:textId="77777777" w:rsidR="00E91956" w:rsidRPr="00E91956" w:rsidRDefault="00E91956" w:rsidP="00B630FA">
      <w:pPr>
        <w:spacing w:after="0" w:line="240" w:lineRule="auto"/>
        <w:ind w:firstLine="709"/>
        <w:jc w:val="both"/>
        <w:rPr>
          <w:rFonts w:ascii="Times New Roman" w:hAnsi="Times New Roman" w:cs="Times New Roman"/>
          <w:sz w:val="28"/>
          <w:szCs w:val="28"/>
        </w:rPr>
      </w:pPr>
      <w:r w:rsidRPr="00E91956">
        <w:rPr>
          <w:rFonts w:ascii="Times New Roman" w:hAnsi="Times New Roman" w:cs="Times New Roman"/>
          <w:sz w:val="28"/>
          <w:szCs w:val="28"/>
        </w:rPr>
        <w:t>“(3</w:t>
      </w:r>
      <w:r w:rsidRPr="00E91956">
        <w:rPr>
          <w:rFonts w:ascii="Times New Roman" w:hAnsi="Times New Roman" w:cs="Times New Roman"/>
          <w:sz w:val="28"/>
          <w:szCs w:val="28"/>
          <w:vertAlign w:val="superscript"/>
        </w:rPr>
        <w:t>3</w:t>
      </w:r>
      <w:r w:rsidRPr="00E91956">
        <w:rPr>
          <w:rFonts w:ascii="Times New Roman" w:hAnsi="Times New Roman" w:cs="Times New Roman"/>
          <w:sz w:val="28"/>
          <w:szCs w:val="28"/>
        </w:rPr>
        <w:t>) Segto obligāciju emisijas gadījumā kredītiestādes prasījumu un saistību dzēšana var tikt veikta, ievērojot Segto obligāciju likumā noteiktos ierobežojumus un aizliegumus.”.</w:t>
      </w:r>
    </w:p>
    <w:p w14:paraId="0F1AA2FD" w14:textId="77777777" w:rsidR="00E91956" w:rsidRDefault="00E91956" w:rsidP="00B630FA">
      <w:pPr>
        <w:spacing w:after="0" w:line="240" w:lineRule="auto"/>
        <w:ind w:firstLine="709"/>
        <w:jc w:val="both"/>
        <w:rPr>
          <w:rFonts w:ascii="Times New Roman" w:hAnsi="Times New Roman" w:cs="Times New Roman"/>
          <w:sz w:val="28"/>
          <w:szCs w:val="28"/>
        </w:rPr>
      </w:pPr>
    </w:p>
    <w:p w14:paraId="0BEB7BCF" w14:textId="77777777" w:rsidR="00A26BCA" w:rsidRDefault="00E91956" w:rsidP="00B630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A26BCA">
        <w:rPr>
          <w:rFonts w:ascii="Times New Roman" w:hAnsi="Times New Roman" w:cs="Times New Roman"/>
          <w:sz w:val="28"/>
          <w:szCs w:val="28"/>
        </w:rPr>
        <w:t>Iz</w:t>
      </w:r>
      <w:r w:rsidR="006C2F7B">
        <w:rPr>
          <w:rFonts w:ascii="Times New Roman" w:hAnsi="Times New Roman" w:cs="Times New Roman"/>
          <w:sz w:val="28"/>
          <w:szCs w:val="28"/>
        </w:rPr>
        <w:t>teikt</w:t>
      </w:r>
      <w:r w:rsidR="00A26BCA">
        <w:rPr>
          <w:rFonts w:ascii="Times New Roman" w:hAnsi="Times New Roman" w:cs="Times New Roman"/>
          <w:sz w:val="28"/>
          <w:szCs w:val="28"/>
        </w:rPr>
        <w:t xml:space="preserve"> 172.pant</w:t>
      </w:r>
      <w:r w:rsidR="006C2F7B">
        <w:rPr>
          <w:rFonts w:ascii="Times New Roman" w:hAnsi="Times New Roman" w:cs="Times New Roman"/>
          <w:sz w:val="28"/>
          <w:szCs w:val="28"/>
        </w:rPr>
        <w:t>a pirmo daļu</w:t>
      </w:r>
      <w:r w:rsidR="00A26BCA">
        <w:rPr>
          <w:rFonts w:ascii="Times New Roman" w:hAnsi="Times New Roman" w:cs="Times New Roman"/>
          <w:sz w:val="28"/>
          <w:szCs w:val="28"/>
        </w:rPr>
        <w:t xml:space="preserve"> šādā redakcijā:</w:t>
      </w:r>
    </w:p>
    <w:p w14:paraId="63F97B01" w14:textId="77777777" w:rsidR="00A26BCA" w:rsidRPr="00A26BCA" w:rsidRDefault="00A26BCA" w:rsidP="00B630FA">
      <w:pPr>
        <w:pStyle w:val="tv213"/>
        <w:spacing w:before="0" w:beforeAutospacing="0" w:after="0" w:afterAutospacing="0"/>
        <w:ind w:firstLine="720"/>
        <w:jc w:val="both"/>
        <w:rPr>
          <w:sz w:val="28"/>
          <w:szCs w:val="28"/>
        </w:rPr>
      </w:pPr>
      <w:r w:rsidRPr="00A26BCA">
        <w:rPr>
          <w:sz w:val="28"/>
          <w:szCs w:val="28"/>
        </w:rPr>
        <w:t xml:space="preserve">„(1) Kredītiestādes mantas sarakstā iekļauj noguldījumus un procentus par tiem, bet neiekļauj citu kredītiestādes turējumā esošo trešajām personām piederošo mantu un valsts fondēto pensiju shēmas ieguldījumu plānu līdzekļus, privāto pensiju fondu pensiju plānu līdzekļus, pensiju plānos un apdrošināšanas līgumos noteikto saistību izpildei paredzētos līdzekļus, ja šis nosacījums minēts noguldījumu līgumā, </w:t>
      </w:r>
      <w:r w:rsidRPr="00A26BCA">
        <w:rPr>
          <w:sz w:val="28"/>
          <w:szCs w:val="28"/>
        </w:rPr>
        <w:lastRenderedPageBreak/>
        <w:t>sauszemes transportlīdzekļu īpašnieku civiltiesiskās atbildības obligātās apdrošināšanas garantijas fonda līdzekļus. Par kredītiestādes turējumā esošu trešajām personām piederošo mantu uzskatāmi arī:</w:t>
      </w:r>
    </w:p>
    <w:p w14:paraId="74F0C827" w14:textId="77777777" w:rsidR="00A26BCA" w:rsidRPr="00A26BCA" w:rsidRDefault="00A26BCA" w:rsidP="00B630FA">
      <w:pPr>
        <w:pStyle w:val="tv213"/>
        <w:spacing w:before="0" w:beforeAutospacing="0" w:after="0" w:afterAutospacing="0"/>
        <w:ind w:firstLine="720"/>
        <w:jc w:val="both"/>
        <w:rPr>
          <w:sz w:val="28"/>
          <w:szCs w:val="28"/>
        </w:rPr>
      </w:pPr>
      <w:r w:rsidRPr="00A26BCA">
        <w:rPr>
          <w:sz w:val="28"/>
          <w:szCs w:val="28"/>
        </w:rPr>
        <w:t>1) kredītiestādē uz privāto pensiju fonda vārda atvērtā kontā esoši līdzekļi, ja līgums starp privāto pensiju fondu un kredītiestādi paredz, ka šo kontu drīkst izmantot tikai iemaksu veikšanai privāto pensiju fondu pensiju plānos vai izmaksu veikšanai papildpensijas saņēmējiem Privāto pensiju fondu likuma izpratnē;</w:t>
      </w:r>
    </w:p>
    <w:p w14:paraId="543B647F" w14:textId="77777777" w:rsidR="00A26BCA" w:rsidRPr="00A26BCA" w:rsidRDefault="00A26BCA" w:rsidP="00B630FA">
      <w:pPr>
        <w:pStyle w:val="tv213"/>
        <w:spacing w:before="0" w:beforeAutospacing="0" w:after="0" w:afterAutospacing="0"/>
        <w:ind w:firstLine="720"/>
        <w:jc w:val="both"/>
        <w:rPr>
          <w:sz w:val="28"/>
          <w:szCs w:val="28"/>
        </w:rPr>
      </w:pPr>
      <w:r w:rsidRPr="00A26BCA">
        <w:rPr>
          <w:sz w:val="28"/>
          <w:szCs w:val="28"/>
        </w:rPr>
        <w:t xml:space="preserve">2) kredītiestādē uz segto obligāciju sabiedrības </w:t>
      </w:r>
      <w:r w:rsidR="0069077D">
        <w:rPr>
          <w:sz w:val="28"/>
          <w:szCs w:val="28"/>
        </w:rPr>
        <w:t xml:space="preserve">vai dalībvalsts emitenta </w:t>
      </w:r>
      <w:r w:rsidRPr="00A26BCA">
        <w:rPr>
          <w:sz w:val="28"/>
          <w:szCs w:val="28"/>
        </w:rPr>
        <w:t xml:space="preserve">vārda atvērtā kontā esoši līdzekļi, ja līgums starp segto obligāciju sabiedrību </w:t>
      </w:r>
      <w:r w:rsidR="0069077D">
        <w:rPr>
          <w:sz w:val="28"/>
          <w:szCs w:val="28"/>
        </w:rPr>
        <w:t xml:space="preserve">vai dalībvalsts emitentu </w:t>
      </w:r>
      <w:r w:rsidRPr="00A26BCA">
        <w:rPr>
          <w:sz w:val="28"/>
          <w:szCs w:val="28"/>
        </w:rPr>
        <w:t xml:space="preserve">un kredītiestādi paredz, ka šo kontu drīkst izmantot tikai </w:t>
      </w:r>
      <w:r w:rsidR="0069077D">
        <w:rPr>
          <w:sz w:val="28"/>
          <w:szCs w:val="28"/>
        </w:rPr>
        <w:t xml:space="preserve">iemaksām, kas izriet no prasījumiem, kuri iekļauti seguma aktīvos, un </w:t>
      </w:r>
      <w:r w:rsidRPr="00A26BCA">
        <w:rPr>
          <w:sz w:val="28"/>
          <w:szCs w:val="28"/>
        </w:rPr>
        <w:t>izmaksu veikšanai ieguldītājiem un segto obligāciju kreditoriem Segto obligāciju likuma izpratnē.”</w:t>
      </w:r>
      <w:r w:rsidR="0069077D">
        <w:rPr>
          <w:sz w:val="28"/>
          <w:szCs w:val="28"/>
        </w:rPr>
        <w:t>.</w:t>
      </w:r>
    </w:p>
    <w:p w14:paraId="058B3E5F" w14:textId="77777777" w:rsidR="00B630FA" w:rsidRDefault="00B630FA" w:rsidP="00B630FA">
      <w:pPr>
        <w:shd w:val="clear" w:color="auto" w:fill="FFFFFF"/>
        <w:tabs>
          <w:tab w:val="left" w:pos="6096"/>
        </w:tabs>
        <w:spacing w:after="0" w:line="240" w:lineRule="auto"/>
        <w:ind w:firstLine="709"/>
        <w:jc w:val="both"/>
        <w:rPr>
          <w:rFonts w:ascii="Times New Roman" w:hAnsi="Times New Roman" w:cs="Times New Roman"/>
          <w:sz w:val="28"/>
          <w:szCs w:val="28"/>
        </w:rPr>
      </w:pPr>
    </w:p>
    <w:p w14:paraId="49E47B02" w14:textId="77777777" w:rsidR="00B630FA" w:rsidRDefault="00B630FA" w:rsidP="00B630FA">
      <w:pPr>
        <w:shd w:val="clear" w:color="auto" w:fill="FFFFFF"/>
        <w:tabs>
          <w:tab w:val="left" w:pos="6096"/>
        </w:tabs>
        <w:spacing w:after="0" w:line="240" w:lineRule="auto"/>
        <w:ind w:firstLine="709"/>
        <w:jc w:val="both"/>
        <w:rPr>
          <w:rFonts w:ascii="Times New Roman" w:hAnsi="Times New Roman" w:cs="Times New Roman"/>
          <w:sz w:val="28"/>
          <w:szCs w:val="28"/>
        </w:rPr>
      </w:pPr>
    </w:p>
    <w:p w14:paraId="5D4FD3EA" w14:textId="77777777" w:rsidR="00BF639D" w:rsidRDefault="00BF639D" w:rsidP="00B630FA">
      <w:pPr>
        <w:shd w:val="clear" w:color="auto" w:fill="FFFFFF"/>
        <w:tabs>
          <w:tab w:val="left" w:pos="6096"/>
        </w:tabs>
        <w:spacing w:after="0" w:line="240" w:lineRule="auto"/>
        <w:ind w:firstLine="709"/>
        <w:jc w:val="both"/>
        <w:rPr>
          <w:rFonts w:ascii="Times New Roman" w:eastAsia="Times New Roman" w:hAnsi="Times New Roman" w:cs="Times New Roman"/>
          <w:color w:val="000000"/>
          <w:sz w:val="28"/>
          <w:szCs w:val="28"/>
        </w:rPr>
      </w:pPr>
      <w:r w:rsidRPr="00BF639D">
        <w:rPr>
          <w:rFonts w:ascii="Times New Roman" w:eastAsia="Times New Roman" w:hAnsi="Times New Roman" w:cs="Times New Roman"/>
          <w:color w:val="000000"/>
          <w:sz w:val="28"/>
          <w:szCs w:val="28"/>
        </w:rPr>
        <w:t>Finanšu ministr</w:t>
      </w:r>
      <w:r>
        <w:rPr>
          <w:rFonts w:ascii="Times New Roman" w:eastAsia="Times New Roman" w:hAnsi="Times New Roman" w:cs="Times New Roman"/>
          <w:color w:val="000000"/>
          <w:sz w:val="28"/>
          <w:szCs w:val="28"/>
        </w:rPr>
        <w:t xml:space="preserve">s </w:t>
      </w:r>
      <w:r>
        <w:rPr>
          <w:rFonts w:ascii="Times New Roman" w:eastAsia="Times New Roman" w:hAnsi="Times New Roman" w:cs="Times New Roman"/>
          <w:color w:val="000000"/>
          <w:sz w:val="28"/>
          <w:szCs w:val="28"/>
        </w:rPr>
        <w:tab/>
        <w:t>J.Reirs</w:t>
      </w:r>
    </w:p>
    <w:p w14:paraId="5A81B031" w14:textId="77777777" w:rsidR="00B630FA" w:rsidRDefault="00B630FA" w:rsidP="00B630FA">
      <w:pPr>
        <w:tabs>
          <w:tab w:val="left" w:pos="6237"/>
        </w:tabs>
        <w:spacing w:after="0" w:line="240" w:lineRule="auto"/>
        <w:rPr>
          <w:sz w:val="28"/>
          <w:szCs w:val="28"/>
        </w:rPr>
      </w:pPr>
    </w:p>
    <w:p w14:paraId="3C512F21" w14:textId="77777777" w:rsidR="00B630FA" w:rsidRDefault="00B630FA" w:rsidP="00B630FA">
      <w:pPr>
        <w:tabs>
          <w:tab w:val="left" w:pos="6237"/>
        </w:tabs>
        <w:spacing w:after="0" w:line="240" w:lineRule="auto"/>
        <w:rPr>
          <w:sz w:val="28"/>
          <w:szCs w:val="28"/>
        </w:rPr>
      </w:pPr>
    </w:p>
    <w:p w14:paraId="1189CAF9" w14:textId="77777777" w:rsidR="00B630FA" w:rsidRDefault="00B630FA" w:rsidP="00B630FA">
      <w:pPr>
        <w:tabs>
          <w:tab w:val="left" w:pos="6237"/>
        </w:tabs>
        <w:spacing w:after="0" w:line="240" w:lineRule="auto"/>
        <w:rPr>
          <w:sz w:val="28"/>
          <w:szCs w:val="28"/>
        </w:rPr>
      </w:pPr>
    </w:p>
    <w:p w14:paraId="6E3C7EF5" w14:textId="77777777" w:rsidR="00B630FA" w:rsidRDefault="00B630FA" w:rsidP="00B630FA">
      <w:pPr>
        <w:tabs>
          <w:tab w:val="left" w:pos="6237"/>
        </w:tabs>
        <w:spacing w:after="0" w:line="240" w:lineRule="auto"/>
        <w:rPr>
          <w:sz w:val="28"/>
          <w:szCs w:val="28"/>
        </w:rPr>
      </w:pPr>
    </w:p>
    <w:p w14:paraId="21DF684E" w14:textId="77777777" w:rsidR="0069077D" w:rsidRPr="00185EF1" w:rsidRDefault="0069077D" w:rsidP="00B630FA">
      <w:pPr>
        <w:tabs>
          <w:tab w:val="left" w:pos="6237"/>
        </w:tabs>
        <w:spacing w:after="0" w:line="240" w:lineRule="auto"/>
        <w:rPr>
          <w:rFonts w:ascii="Times New Roman" w:hAnsi="Times New Roman" w:cs="Times New Roman"/>
          <w:sz w:val="20"/>
          <w:szCs w:val="20"/>
        </w:rPr>
      </w:pPr>
      <w:r>
        <w:rPr>
          <w:rFonts w:ascii="Times New Roman" w:hAnsi="Times New Roman" w:cs="Times New Roman"/>
          <w:sz w:val="20"/>
          <w:szCs w:val="20"/>
        </w:rPr>
        <w:t>Tiesnieks</w:t>
      </w:r>
      <w:r w:rsidRPr="00FB237F">
        <w:rPr>
          <w:rFonts w:ascii="Times New Roman" w:hAnsi="Times New Roman" w:cs="Times New Roman"/>
          <w:sz w:val="20"/>
          <w:szCs w:val="20"/>
        </w:rPr>
        <w:t xml:space="preserve"> </w:t>
      </w:r>
      <w:r w:rsidRPr="00FB237F">
        <w:rPr>
          <w:rFonts w:ascii="Times New Roman" w:hAnsi="Times New Roman" w:cs="Times New Roman"/>
          <w:color w:val="0D3051"/>
          <w:sz w:val="20"/>
          <w:szCs w:val="20"/>
          <w:shd w:val="clear" w:color="auto" w:fill="FFFFFF"/>
        </w:rPr>
        <w:t>67095667</w:t>
      </w:r>
    </w:p>
    <w:p w14:paraId="12B13003" w14:textId="77777777" w:rsidR="0069077D" w:rsidRPr="0069077D" w:rsidRDefault="0069077D" w:rsidP="00B630FA">
      <w:pPr>
        <w:tabs>
          <w:tab w:val="left" w:pos="6237"/>
        </w:tabs>
        <w:spacing w:after="0" w:line="240" w:lineRule="auto"/>
        <w:rPr>
          <w:rFonts w:ascii="Times New Roman" w:hAnsi="Times New Roman" w:cs="Times New Roman"/>
          <w:sz w:val="20"/>
          <w:szCs w:val="20"/>
          <w:lang w:val="en-US"/>
        </w:rPr>
      </w:pPr>
      <w:r>
        <w:rPr>
          <w:rFonts w:ascii="Times New Roman" w:hAnsi="Times New Roman" w:cs="Times New Roman"/>
          <w:sz w:val="20"/>
          <w:szCs w:val="20"/>
        </w:rPr>
        <w:t>imants.tiesnieks@fm.gov.lv</w:t>
      </w:r>
    </w:p>
    <w:sectPr w:rsidR="0069077D" w:rsidRPr="0069077D" w:rsidSect="000A1873">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9F96E" w14:textId="77777777" w:rsidR="00042C49" w:rsidRDefault="00042C49" w:rsidP="00F36BD0">
      <w:pPr>
        <w:spacing w:after="0" w:line="240" w:lineRule="auto"/>
      </w:pPr>
      <w:r>
        <w:separator/>
      </w:r>
    </w:p>
  </w:endnote>
  <w:endnote w:type="continuationSeparator" w:id="0">
    <w:p w14:paraId="176955FA" w14:textId="77777777" w:rsidR="00042C49" w:rsidRDefault="00042C49" w:rsidP="00F36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C2292" w14:textId="024065EB" w:rsidR="00CD6070" w:rsidRDefault="00CD6070">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AE357C">
      <w:rPr>
        <w:caps/>
        <w:noProof/>
        <w:color w:val="5B9BD5" w:themeColor="accent1"/>
      </w:rPr>
      <w:t>1</w:t>
    </w:r>
    <w:r>
      <w:rPr>
        <w:caps/>
        <w:noProof/>
        <w:color w:val="5B9BD5" w:themeColor="accent1"/>
      </w:rPr>
      <w:fldChar w:fldCharType="end"/>
    </w:r>
  </w:p>
  <w:p w14:paraId="7DBF0DBE" w14:textId="53358E67" w:rsidR="00F36BD0" w:rsidRPr="00CD6070" w:rsidRDefault="00CD6070">
    <w:pPr>
      <w:pStyle w:val="Footer"/>
      <w:rPr>
        <w:rFonts w:ascii="Times New Roman" w:hAnsi="Times New Roman" w:cs="Times New Roman"/>
        <w:sz w:val="24"/>
        <w:szCs w:val="24"/>
      </w:rPr>
    </w:pPr>
    <w:r w:rsidRPr="00CD6070">
      <w:rPr>
        <w:rFonts w:ascii="Times New Roman" w:hAnsi="Times New Roman" w:cs="Times New Roman"/>
        <w:sz w:val="24"/>
        <w:szCs w:val="24"/>
      </w:rPr>
      <w:t>FMLik_050520_KIL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0273F" w14:textId="77777777" w:rsidR="00042C49" w:rsidRDefault="00042C49" w:rsidP="00F36BD0">
      <w:pPr>
        <w:spacing w:after="0" w:line="240" w:lineRule="auto"/>
      </w:pPr>
      <w:r>
        <w:separator/>
      </w:r>
    </w:p>
  </w:footnote>
  <w:footnote w:type="continuationSeparator" w:id="0">
    <w:p w14:paraId="16E55BB0" w14:textId="77777777" w:rsidR="00042C49" w:rsidRDefault="00042C49" w:rsidP="00F36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43FAE"/>
    <w:multiLevelType w:val="hybridMultilevel"/>
    <w:tmpl w:val="7C2E8268"/>
    <w:lvl w:ilvl="0" w:tplc="E0246ACC">
      <w:start w:val="1"/>
      <w:numFmt w:val="decimal"/>
      <w:lvlText w:val="%1."/>
      <w:lvlJc w:val="left"/>
      <w:pPr>
        <w:ind w:left="1080" w:hanging="360"/>
      </w:pPr>
      <w:rPr>
        <w:rFonts w:eastAsia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97"/>
    <w:rsid w:val="000329BC"/>
    <w:rsid w:val="00042C49"/>
    <w:rsid w:val="000434DA"/>
    <w:rsid w:val="00055C42"/>
    <w:rsid w:val="00084C35"/>
    <w:rsid w:val="000A1873"/>
    <w:rsid w:val="000C4E5E"/>
    <w:rsid w:val="000E5B61"/>
    <w:rsid w:val="00223A86"/>
    <w:rsid w:val="002B5581"/>
    <w:rsid w:val="002D0CC8"/>
    <w:rsid w:val="003948B0"/>
    <w:rsid w:val="003C4388"/>
    <w:rsid w:val="00412FE9"/>
    <w:rsid w:val="00426342"/>
    <w:rsid w:val="004E0F0F"/>
    <w:rsid w:val="0050120E"/>
    <w:rsid w:val="0050172F"/>
    <w:rsid w:val="00530134"/>
    <w:rsid w:val="005739F0"/>
    <w:rsid w:val="005837A4"/>
    <w:rsid w:val="005B4DFF"/>
    <w:rsid w:val="005C2471"/>
    <w:rsid w:val="005D0F59"/>
    <w:rsid w:val="0069077D"/>
    <w:rsid w:val="006C2F7B"/>
    <w:rsid w:val="006C4943"/>
    <w:rsid w:val="006D7237"/>
    <w:rsid w:val="007110CB"/>
    <w:rsid w:val="00732814"/>
    <w:rsid w:val="007B456A"/>
    <w:rsid w:val="007D2F2D"/>
    <w:rsid w:val="00812CBF"/>
    <w:rsid w:val="00857F02"/>
    <w:rsid w:val="008A0A8F"/>
    <w:rsid w:val="008C79D6"/>
    <w:rsid w:val="009231F0"/>
    <w:rsid w:val="00923377"/>
    <w:rsid w:val="009650DE"/>
    <w:rsid w:val="00A26BCA"/>
    <w:rsid w:val="00A8185F"/>
    <w:rsid w:val="00AB5988"/>
    <w:rsid w:val="00AC1AAE"/>
    <w:rsid w:val="00AD6C97"/>
    <w:rsid w:val="00AE357C"/>
    <w:rsid w:val="00AE6D16"/>
    <w:rsid w:val="00B630FA"/>
    <w:rsid w:val="00B9559E"/>
    <w:rsid w:val="00BA4B3A"/>
    <w:rsid w:val="00BE415C"/>
    <w:rsid w:val="00BF639D"/>
    <w:rsid w:val="00C7689D"/>
    <w:rsid w:val="00CA2562"/>
    <w:rsid w:val="00CD6070"/>
    <w:rsid w:val="00CE49C5"/>
    <w:rsid w:val="00D303C6"/>
    <w:rsid w:val="00E20EA4"/>
    <w:rsid w:val="00E44C66"/>
    <w:rsid w:val="00E56AE2"/>
    <w:rsid w:val="00E91956"/>
    <w:rsid w:val="00EE2C9B"/>
    <w:rsid w:val="00EF2433"/>
    <w:rsid w:val="00F014A7"/>
    <w:rsid w:val="00F3416F"/>
    <w:rsid w:val="00F36BD0"/>
    <w:rsid w:val="00F51D35"/>
    <w:rsid w:val="00F6246C"/>
    <w:rsid w:val="00F94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F422"/>
  <w15:docId w15:val="{F1969B16-0579-429C-80ED-577DC04C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8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AD6C9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36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BD0"/>
  </w:style>
  <w:style w:type="paragraph" w:styleId="Footer">
    <w:name w:val="footer"/>
    <w:basedOn w:val="Normal"/>
    <w:link w:val="FooterChar"/>
    <w:uiPriority w:val="99"/>
    <w:unhideWhenUsed/>
    <w:rsid w:val="00F36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BD0"/>
  </w:style>
  <w:style w:type="paragraph" w:styleId="BalloonText">
    <w:name w:val="Balloon Text"/>
    <w:basedOn w:val="Normal"/>
    <w:link w:val="BalloonTextChar"/>
    <w:uiPriority w:val="99"/>
    <w:semiHidden/>
    <w:unhideWhenUsed/>
    <w:rsid w:val="00F36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BD0"/>
    <w:rPr>
      <w:rFonts w:ascii="Tahoma" w:hAnsi="Tahoma" w:cs="Tahoma"/>
      <w:sz w:val="16"/>
      <w:szCs w:val="16"/>
    </w:rPr>
  </w:style>
  <w:style w:type="paragraph" w:styleId="ListParagraph">
    <w:name w:val="List Paragraph"/>
    <w:basedOn w:val="Normal"/>
    <w:uiPriority w:val="34"/>
    <w:qFormat/>
    <w:rsid w:val="00501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73563">
      <w:bodyDiv w:val="1"/>
      <w:marLeft w:val="0"/>
      <w:marRight w:val="0"/>
      <w:marTop w:val="0"/>
      <w:marBottom w:val="0"/>
      <w:divBdr>
        <w:top w:val="none" w:sz="0" w:space="0" w:color="auto"/>
        <w:left w:val="none" w:sz="0" w:space="0" w:color="auto"/>
        <w:bottom w:val="none" w:sz="0" w:space="0" w:color="auto"/>
        <w:right w:val="none" w:sz="0" w:space="0" w:color="auto"/>
      </w:divBdr>
      <w:divsChild>
        <w:div w:id="752044291">
          <w:marLeft w:val="0"/>
          <w:marRight w:val="0"/>
          <w:marTop w:val="0"/>
          <w:marBottom w:val="0"/>
          <w:divBdr>
            <w:top w:val="none" w:sz="0" w:space="0" w:color="auto"/>
            <w:left w:val="none" w:sz="0" w:space="0" w:color="auto"/>
            <w:bottom w:val="none" w:sz="0" w:space="0" w:color="auto"/>
            <w:right w:val="none" w:sz="0" w:space="0" w:color="auto"/>
          </w:divBdr>
          <w:divsChild>
            <w:div w:id="1583560620">
              <w:marLeft w:val="0"/>
              <w:marRight w:val="0"/>
              <w:marTop w:val="0"/>
              <w:marBottom w:val="0"/>
              <w:divBdr>
                <w:top w:val="none" w:sz="0" w:space="0" w:color="auto"/>
                <w:left w:val="none" w:sz="0" w:space="0" w:color="auto"/>
                <w:bottom w:val="none" w:sz="0" w:space="0" w:color="auto"/>
                <w:right w:val="none" w:sz="0" w:space="0" w:color="auto"/>
              </w:divBdr>
            </w:div>
            <w:div w:id="1220216000">
              <w:marLeft w:val="0"/>
              <w:marRight w:val="0"/>
              <w:marTop w:val="0"/>
              <w:marBottom w:val="0"/>
              <w:divBdr>
                <w:top w:val="none" w:sz="0" w:space="0" w:color="auto"/>
                <w:left w:val="none" w:sz="0" w:space="0" w:color="auto"/>
                <w:bottom w:val="none" w:sz="0" w:space="0" w:color="auto"/>
                <w:right w:val="none" w:sz="0" w:space="0" w:color="auto"/>
              </w:divBdr>
            </w:div>
            <w:div w:id="920875393">
              <w:marLeft w:val="0"/>
              <w:marRight w:val="0"/>
              <w:marTop w:val="0"/>
              <w:marBottom w:val="0"/>
              <w:divBdr>
                <w:top w:val="none" w:sz="0" w:space="0" w:color="auto"/>
                <w:left w:val="none" w:sz="0" w:space="0" w:color="auto"/>
                <w:bottom w:val="none" w:sz="0" w:space="0" w:color="auto"/>
                <w:right w:val="none" w:sz="0" w:space="0" w:color="auto"/>
              </w:divBdr>
            </w:div>
            <w:div w:id="74329265">
              <w:marLeft w:val="0"/>
              <w:marRight w:val="0"/>
              <w:marTop w:val="0"/>
              <w:marBottom w:val="0"/>
              <w:divBdr>
                <w:top w:val="none" w:sz="0" w:space="0" w:color="auto"/>
                <w:left w:val="none" w:sz="0" w:space="0" w:color="auto"/>
                <w:bottom w:val="none" w:sz="0" w:space="0" w:color="auto"/>
                <w:right w:val="none" w:sz="0" w:space="0" w:color="auto"/>
              </w:divBdr>
            </w:div>
            <w:div w:id="674460034">
              <w:marLeft w:val="0"/>
              <w:marRight w:val="0"/>
              <w:marTop w:val="0"/>
              <w:marBottom w:val="0"/>
              <w:divBdr>
                <w:top w:val="none" w:sz="0" w:space="0" w:color="auto"/>
                <w:left w:val="none" w:sz="0" w:space="0" w:color="auto"/>
                <w:bottom w:val="none" w:sz="0" w:space="0" w:color="auto"/>
                <w:right w:val="none" w:sz="0" w:space="0" w:color="auto"/>
              </w:divBdr>
            </w:div>
            <w:div w:id="10824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4804">
      <w:bodyDiv w:val="1"/>
      <w:marLeft w:val="0"/>
      <w:marRight w:val="0"/>
      <w:marTop w:val="0"/>
      <w:marBottom w:val="0"/>
      <w:divBdr>
        <w:top w:val="none" w:sz="0" w:space="0" w:color="auto"/>
        <w:left w:val="none" w:sz="0" w:space="0" w:color="auto"/>
        <w:bottom w:val="none" w:sz="0" w:space="0" w:color="auto"/>
        <w:right w:val="none" w:sz="0" w:space="0" w:color="auto"/>
      </w:divBdr>
    </w:div>
    <w:div w:id="868762393">
      <w:bodyDiv w:val="1"/>
      <w:marLeft w:val="0"/>
      <w:marRight w:val="0"/>
      <w:marTop w:val="0"/>
      <w:marBottom w:val="0"/>
      <w:divBdr>
        <w:top w:val="none" w:sz="0" w:space="0" w:color="auto"/>
        <w:left w:val="none" w:sz="0" w:space="0" w:color="auto"/>
        <w:bottom w:val="none" w:sz="0" w:space="0" w:color="auto"/>
        <w:right w:val="none" w:sz="0" w:space="0" w:color="auto"/>
      </w:divBdr>
    </w:div>
    <w:div w:id="1399981571">
      <w:bodyDiv w:val="1"/>
      <w:marLeft w:val="0"/>
      <w:marRight w:val="0"/>
      <w:marTop w:val="0"/>
      <w:marBottom w:val="0"/>
      <w:divBdr>
        <w:top w:val="none" w:sz="0" w:space="0" w:color="auto"/>
        <w:left w:val="none" w:sz="0" w:space="0" w:color="auto"/>
        <w:bottom w:val="none" w:sz="0" w:space="0" w:color="auto"/>
        <w:right w:val="none" w:sz="0" w:space="0" w:color="auto"/>
      </w:divBdr>
    </w:div>
    <w:div w:id="1707565588">
      <w:bodyDiv w:val="1"/>
      <w:marLeft w:val="0"/>
      <w:marRight w:val="0"/>
      <w:marTop w:val="0"/>
      <w:marBottom w:val="0"/>
      <w:divBdr>
        <w:top w:val="none" w:sz="0" w:space="0" w:color="auto"/>
        <w:left w:val="none" w:sz="0" w:space="0" w:color="auto"/>
        <w:bottom w:val="none" w:sz="0" w:space="0" w:color="auto"/>
        <w:right w:val="none" w:sz="0" w:space="0" w:color="auto"/>
      </w:divBdr>
    </w:div>
    <w:div w:id="199675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 Zitcere (FTPD)</Vad_x012b_t_x0101_js>
    <TAP xmlns="8a8406e0-fd3e-4c97-9c6b-df4e1c510b77">40</TAP>
    <Kategorija xmlns="2e5bb04e-596e-45bd-9003-43ca78b1ba16">Likumprojekts</Kategorij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17988F63A5FCA4E91EBEA3C7CBABFE1" ma:contentTypeVersion="" ma:contentTypeDescription="Izveidot jaunu dokumentu." ma:contentTypeScope="" ma:versionID="6c8debf7d97d146b07bd57b2379dd27b">
  <xsd:schema xmlns:xsd="http://www.w3.org/2001/XMLSchema" xmlns:xs="http://www.w3.org/2001/XMLSchema" xmlns:p="http://schemas.microsoft.com/office/2006/metadata/properties" xmlns:ns2="2e5bb04e-596e-45bd-9003-43ca78b1ba16" xmlns:ns4="8a8406e0-fd3e-4c97-9c6b-df4e1c510b77" targetNamespace="http://schemas.microsoft.com/office/2006/metadata/properties" ma:root="true" ma:fieldsID="a6d35000c1b877c8c067825bd36ec356" ns2:_="" ns4:_="">
    <xsd:import namespace="2e5bb04e-596e-45bd-9003-43ca78b1ba16"/>
    <xsd:import namespace="8a8406e0-fd3e-4c97-9c6b-df4e1c510b77"/>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406e0-fd3e-4c97-9c6b-df4e1c510b77" elementFormDefault="qualified">
    <xsd:import namespace="http://schemas.microsoft.com/office/2006/documentManagement/types"/>
    <xsd:import namespace="http://schemas.microsoft.com/office/infopath/2007/PartnerControls"/>
    <xsd:element name="TAP" ma:index="11" nillable="true" ma:displayName="TAP" ma:list="{9c6ff9f6-2768-44f6-a5f2-1a7b9b3481ad}"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23183-3A7B-4C23-BC24-305AB15F84D3}">
  <ds:schemaRefs>
    <ds:schemaRef ds:uri="http://schemas.microsoft.com/office/2006/metadata/properties"/>
    <ds:schemaRef ds:uri="http://schemas.microsoft.com/office/infopath/2007/PartnerControls"/>
    <ds:schemaRef ds:uri="2e5bb04e-596e-45bd-9003-43ca78b1ba16"/>
    <ds:schemaRef ds:uri="8a8406e0-fd3e-4c97-9c6b-df4e1c510b77"/>
  </ds:schemaRefs>
</ds:datastoreItem>
</file>

<file path=customXml/itemProps2.xml><?xml version="1.0" encoding="utf-8"?>
<ds:datastoreItem xmlns:ds="http://schemas.openxmlformats.org/officeDocument/2006/customXml" ds:itemID="{32C025BB-AC7B-45D9-B7E3-2B4B9BC7EE83}">
  <ds:schemaRefs>
    <ds:schemaRef ds:uri="http://schemas.microsoft.com/sharepoint/v3/contenttype/forms"/>
  </ds:schemaRefs>
</ds:datastoreItem>
</file>

<file path=customXml/itemProps3.xml><?xml version="1.0" encoding="utf-8"?>
<ds:datastoreItem xmlns:ds="http://schemas.openxmlformats.org/officeDocument/2006/customXml" ds:itemID="{A6679AF6-C4DE-4A73-BD1A-872343CBA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8a8406e0-fd3e-4c97-9c6b-df4e1c510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2007</Words>
  <Characters>1144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Likumprojekts "Grozījumi Kredītiestāžu likumā"</vt:lpstr>
    </vt:vector>
  </TitlesOfParts>
  <Company>Coast United</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Kredītiestāžu likumā"</dc:title>
  <dc:creator>I. Tiesnieks, G. DAvidovičs (FTPD)</dc:creator>
  <dc:description>Tiesnieks, 67095667
Imants.Tiesnieks@fm.gov.lv</dc:description>
  <cp:lastModifiedBy>Inguna Dancīte</cp:lastModifiedBy>
  <cp:revision>2</cp:revision>
  <dcterms:created xsi:type="dcterms:W3CDTF">2020-05-18T07:17:00Z</dcterms:created>
  <dcterms:modified xsi:type="dcterms:W3CDTF">2020-05-18T07:17:00Z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0x010100717988F63A5FCA4E91EBEA3C7CBABFE1</vt:lpwstr>
  </property>
</Properties>
</file>