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AF" w:rsidRPr="00D8468E" w:rsidRDefault="00786DAF" w:rsidP="002C22B9">
      <w:pPr>
        <w:jc w:val="center"/>
        <w:rPr>
          <w:sz w:val="20"/>
        </w:rPr>
      </w:pPr>
      <w:bookmarkStart w:id="0" w:name="_GoBack"/>
      <w:bookmarkEnd w:id="0"/>
    </w:p>
    <w:p w:rsidR="002C22B9" w:rsidRPr="00D8468E" w:rsidRDefault="002C22B9" w:rsidP="002C22B9">
      <w:pPr>
        <w:jc w:val="center"/>
        <w:rPr>
          <w:sz w:val="20"/>
        </w:rPr>
      </w:pPr>
      <w:r w:rsidRPr="00D8468E">
        <w:rPr>
          <w:sz w:val="20"/>
        </w:rPr>
        <w:t>Rīgā</w:t>
      </w:r>
    </w:p>
    <w:p w:rsidR="002C22B9" w:rsidRPr="00D8468E" w:rsidRDefault="002C22B9" w:rsidP="007F3771">
      <w:pPr>
        <w:rPr>
          <w:spacing w:val="4"/>
          <w:sz w:val="20"/>
        </w:rPr>
      </w:pPr>
    </w:p>
    <w:tbl>
      <w:tblPr>
        <w:tblW w:w="0" w:type="auto"/>
        <w:tblLook w:val="0000" w:firstRow="0" w:lastRow="0" w:firstColumn="0" w:lastColumn="0" w:noHBand="0" w:noVBand="0"/>
      </w:tblPr>
      <w:tblGrid>
        <w:gridCol w:w="450"/>
        <w:gridCol w:w="1785"/>
        <w:gridCol w:w="708"/>
        <w:gridCol w:w="2727"/>
      </w:tblGrid>
      <w:tr w:rsidR="002C22B9" w:rsidRPr="00D8468E" w:rsidTr="009F77B9">
        <w:tc>
          <w:tcPr>
            <w:tcW w:w="450" w:type="dxa"/>
            <w:tcBorders>
              <w:top w:val="nil"/>
              <w:left w:val="nil"/>
              <w:bottom w:val="nil"/>
              <w:right w:val="nil"/>
            </w:tcBorders>
          </w:tcPr>
          <w:p w:rsidR="002C22B9" w:rsidRPr="00D8468E" w:rsidRDefault="002C22B9" w:rsidP="002C22B9">
            <w:pPr>
              <w:tabs>
                <w:tab w:val="left" w:pos="360"/>
                <w:tab w:val="left" w:pos="3960"/>
              </w:tabs>
              <w:rPr>
                <w:sz w:val="20"/>
              </w:rPr>
            </w:pPr>
          </w:p>
        </w:tc>
        <w:bookmarkStart w:id="1" w:name="reg_dat"/>
        <w:tc>
          <w:tcPr>
            <w:tcW w:w="1785" w:type="dxa"/>
            <w:tcBorders>
              <w:top w:val="nil"/>
              <w:left w:val="nil"/>
              <w:bottom w:val="single" w:sz="4" w:space="0" w:color="auto"/>
              <w:right w:val="nil"/>
            </w:tcBorders>
          </w:tcPr>
          <w:p w:rsidR="002C22B9" w:rsidRPr="00D8468E" w:rsidRDefault="002C22B9" w:rsidP="002C22B9">
            <w:pPr>
              <w:tabs>
                <w:tab w:val="left" w:pos="3960"/>
              </w:tabs>
              <w:rPr>
                <w:szCs w:val="24"/>
              </w:rPr>
            </w:pPr>
            <w:r w:rsidRPr="00D8468E">
              <w:rPr>
                <w:szCs w:val="24"/>
              </w:rPr>
              <w:fldChar w:fldCharType="begin">
                <w:ffData>
                  <w:name w:val="reg_dat"/>
                  <w:enabled/>
                  <w:calcOnExit w:val="0"/>
                  <w:textInput>
                    <w:default w:val="                      "/>
                  </w:textInput>
                </w:ffData>
              </w:fldChar>
            </w:r>
            <w:r w:rsidRPr="00D8468E">
              <w:rPr>
                <w:szCs w:val="24"/>
              </w:rPr>
              <w:instrText xml:space="preserve"> FORMTEXT </w:instrText>
            </w:r>
            <w:r w:rsidRPr="00D8468E">
              <w:rPr>
                <w:szCs w:val="24"/>
              </w:rPr>
            </w:r>
            <w:r w:rsidRPr="00D8468E">
              <w:rPr>
                <w:szCs w:val="24"/>
              </w:rPr>
              <w:fldChar w:fldCharType="separate"/>
            </w:r>
            <w:r w:rsidR="00D27F4F">
              <w:rPr>
                <w:szCs w:val="24"/>
              </w:rPr>
              <w:t>01.06.2016</w:t>
            </w:r>
            <w:r w:rsidRPr="00D8468E">
              <w:rPr>
                <w:szCs w:val="24"/>
              </w:rPr>
              <w:fldChar w:fldCharType="end"/>
            </w:r>
            <w:bookmarkEnd w:id="1"/>
          </w:p>
        </w:tc>
        <w:tc>
          <w:tcPr>
            <w:tcW w:w="708" w:type="dxa"/>
            <w:tcBorders>
              <w:top w:val="nil"/>
              <w:left w:val="nil"/>
              <w:bottom w:val="nil"/>
              <w:right w:val="nil"/>
            </w:tcBorders>
          </w:tcPr>
          <w:p w:rsidR="002C22B9" w:rsidRPr="00D8468E" w:rsidRDefault="002C22B9" w:rsidP="002C22B9">
            <w:pPr>
              <w:tabs>
                <w:tab w:val="left" w:pos="360"/>
                <w:tab w:val="left" w:pos="3960"/>
              </w:tabs>
              <w:jc w:val="center"/>
              <w:rPr>
                <w:sz w:val="20"/>
              </w:rPr>
            </w:pPr>
            <w:r w:rsidRPr="00D8468E">
              <w:rPr>
                <w:sz w:val="20"/>
              </w:rPr>
              <w:t>Nr.</w:t>
            </w:r>
          </w:p>
        </w:tc>
        <w:bookmarkStart w:id="2" w:name="lietas_nr"/>
        <w:tc>
          <w:tcPr>
            <w:tcW w:w="2727" w:type="dxa"/>
            <w:tcBorders>
              <w:top w:val="nil"/>
              <w:left w:val="nil"/>
              <w:bottom w:val="single" w:sz="4" w:space="0" w:color="auto"/>
              <w:right w:val="nil"/>
            </w:tcBorders>
          </w:tcPr>
          <w:p w:rsidR="002C22B9" w:rsidRPr="00D8468E" w:rsidRDefault="002C22B9" w:rsidP="002C22B9">
            <w:pPr>
              <w:tabs>
                <w:tab w:val="left" w:pos="360"/>
                <w:tab w:val="left" w:pos="3960"/>
              </w:tabs>
              <w:rPr>
                <w:szCs w:val="24"/>
              </w:rPr>
            </w:pPr>
            <w:r w:rsidRPr="00D8468E">
              <w:rPr>
                <w:szCs w:val="24"/>
              </w:rPr>
              <w:fldChar w:fldCharType="begin">
                <w:ffData>
                  <w:name w:val="lietas_nr"/>
                  <w:enabled/>
                  <w:calcOnExit w:val="0"/>
                  <w:textInput>
                    <w:default w:val="                "/>
                  </w:textInput>
                </w:ffData>
              </w:fldChar>
            </w:r>
            <w:r w:rsidRPr="00D8468E">
              <w:rPr>
                <w:szCs w:val="24"/>
              </w:rPr>
              <w:instrText xml:space="preserve"> FORMTEXT </w:instrText>
            </w:r>
            <w:r w:rsidRPr="00D8468E">
              <w:rPr>
                <w:szCs w:val="24"/>
              </w:rPr>
            </w:r>
            <w:r w:rsidRPr="00D8468E">
              <w:rPr>
                <w:szCs w:val="24"/>
              </w:rPr>
              <w:fldChar w:fldCharType="separate"/>
            </w:r>
            <w:r w:rsidR="00BC4777" w:rsidRPr="00D8468E">
              <w:rPr>
                <w:szCs w:val="24"/>
              </w:rPr>
              <w:t>20-05</w:t>
            </w:r>
            <w:r w:rsidRPr="00D8468E">
              <w:rPr>
                <w:szCs w:val="24"/>
              </w:rPr>
              <w:fldChar w:fldCharType="end"/>
            </w:r>
            <w:bookmarkEnd w:id="2"/>
            <w:r w:rsidRPr="00D8468E">
              <w:rPr>
                <w:szCs w:val="24"/>
              </w:rPr>
              <w:t>/</w:t>
            </w:r>
            <w:bookmarkStart w:id="3" w:name="reg_num"/>
            <w:r w:rsidRPr="00D8468E">
              <w:rPr>
                <w:szCs w:val="24"/>
              </w:rPr>
              <w:fldChar w:fldCharType="begin">
                <w:ffData>
                  <w:name w:val="reg_num"/>
                  <w:enabled/>
                  <w:calcOnExit w:val="0"/>
                  <w:textInput>
                    <w:default w:val="            "/>
                  </w:textInput>
                </w:ffData>
              </w:fldChar>
            </w:r>
            <w:r w:rsidRPr="00D8468E">
              <w:rPr>
                <w:szCs w:val="24"/>
              </w:rPr>
              <w:instrText xml:space="preserve"> FORMTEXT </w:instrText>
            </w:r>
            <w:r w:rsidRPr="00D8468E">
              <w:rPr>
                <w:szCs w:val="24"/>
              </w:rPr>
            </w:r>
            <w:r w:rsidRPr="00D8468E">
              <w:rPr>
                <w:szCs w:val="24"/>
              </w:rPr>
              <w:fldChar w:fldCharType="separate"/>
            </w:r>
            <w:r w:rsidR="00D27F4F">
              <w:rPr>
                <w:szCs w:val="24"/>
              </w:rPr>
              <w:t>2928</w:t>
            </w:r>
            <w:r w:rsidRPr="00D8468E">
              <w:rPr>
                <w:szCs w:val="24"/>
              </w:rPr>
              <w:fldChar w:fldCharType="end"/>
            </w:r>
            <w:bookmarkEnd w:id="3"/>
          </w:p>
        </w:tc>
      </w:tr>
      <w:tr w:rsidR="002C22B9" w:rsidRPr="00D8468E" w:rsidTr="009F77B9">
        <w:trPr>
          <w:trHeight w:val="188"/>
        </w:trPr>
        <w:tc>
          <w:tcPr>
            <w:tcW w:w="450" w:type="dxa"/>
            <w:tcBorders>
              <w:top w:val="nil"/>
              <w:left w:val="nil"/>
              <w:bottom w:val="nil"/>
              <w:right w:val="nil"/>
            </w:tcBorders>
          </w:tcPr>
          <w:p w:rsidR="002C22B9" w:rsidRPr="00D8468E" w:rsidRDefault="002C22B9" w:rsidP="002C22B9">
            <w:pPr>
              <w:tabs>
                <w:tab w:val="left" w:pos="360"/>
                <w:tab w:val="left" w:pos="3960"/>
              </w:tabs>
              <w:rPr>
                <w:sz w:val="20"/>
              </w:rPr>
            </w:pPr>
          </w:p>
        </w:tc>
        <w:tc>
          <w:tcPr>
            <w:tcW w:w="1785" w:type="dxa"/>
            <w:tcBorders>
              <w:top w:val="single" w:sz="4" w:space="0" w:color="auto"/>
              <w:left w:val="nil"/>
              <w:bottom w:val="nil"/>
              <w:right w:val="nil"/>
            </w:tcBorders>
          </w:tcPr>
          <w:p w:rsidR="002C22B9" w:rsidRPr="00D8468E" w:rsidRDefault="002C22B9" w:rsidP="002C22B9">
            <w:pPr>
              <w:tabs>
                <w:tab w:val="left" w:pos="360"/>
                <w:tab w:val="left" w:pos="3960"/>
              </w:tabs>
              <w:rPr>
                <w:sz w:val="20"/>
              </w:rPr>
            </w:pPr>
          </w:p>
        </w:tc>
        <w:tc>
          <w:tcPr>
            <w:tcW w:w="708" w:type="dxa"/>
            <w:tcBorders>
              <w:top w:val="nil"/>
              <w:left w:val="nil"/>
              <w:bottom w:val="nil"/>
              <w:right w:val="nil"/>
            </w:tcBorders>
          </w:tcPr>
          <w:p w:rsidR="002C22B9" w:rsidRPr="00D8468E" w:rsidRDefault="002C22B9" w:rsidP="002C22B9">
            <w:pPr>
              <w:tabs>
                <w:tab w:val="left" w:pos="360"/>
                <w:tab w:val="left" w:pos="3960"/>
              </w:tabs>
              <w:jc w:val="center"/>
              <w:rPr>
                <w:sz w:val="20"/>
              </w:rPr>
            </w:pPr>
          </w:p>
        </w:tc>
        <w:tc>
          <w:tcPr>
            <w:tcW w:w="2727" w:type="dxa"/>
            <w:tcBorders>
              <w:top w:val="single" w:sz="4" w:space="0" w:color="auto"/>
              <w:left w:val="nil"/>
              <w:bottom w:val="nil"/>
              <w:right w:val="nil"/>
            </w:tcBorders>
          </w:tcPr>
          <w:p w:rsidR="002C22B9" w:rsidRPr="00D8468E" w:rsidRDefault="002C22B9" w:rsidP="002C22B9">
            <w:pPr>
              <w:tabs>
                <w:tab w:val="left" w:pos="360"/>
                <w:tab w:val="left" w:pos="3960"/>
              </w:tabs>
              <w:rPr>
                <w:sz w:val="20"/>
              </w:rPr>
            </w:pPr>
          </w:p>
        </w:tc>
      </w:tr>
      <w:tr w:rsidR="002C22B9" w:rsidRPr="00D8468E" w:rsidTr="009F77B9">
        <w:tc>
          <w:tcPr>
            <w:tcW w:w="450" w:type="dxa"/>
            <w:tcBorders>
              <w:top w:val="nil"/>
              <w:left w:val="nil"/>
              <w:bottom w:val="nil"/>
              <w:right w:val="nil"/>
            </w:tcBorders>
          </w:tcPr>
          <w:p w:rsidR="002C22B9" w:rsidRPr="00D8468E" w:rsidRDefault="002C22B9" w:rsidP="002C22B9">
            <w:pPr>
              <w:tabs>
                <w:tab w:val="left" w:pos="360"/>
                <w:tab w:val="left" w:pos="3960"/>
              </w:tabs>
              <w:rPr>
                <w:sz w:val="20"/>
              </w:rPr>
            </w:pPr>
            <w:r w:rsidRPr="00D8468E">
              <w:rPr>
                <w:sz w:val="20"/>
              </w:rPr>
              <w:t>Uz</w:t>
            </w:r>
          </w:p>
        </w:tc>
        <w:bookmarkStart w:id="4" w:name="san_dat"/>
        <w:tc>
          <w:tcPr>
            <w:tcW w:w="1785" w:type="dxa"/>
            <w:tcBorders>
              <w:top w:val="nil"/>
              <w:left w:val="nil"/>
              <w:bottom w:val="single" w:sz="4" w:space="0" w:color="auto"/>
              <w:right w:val="nil"/>
            </w:tcBorders>
          </w:tcPr>
          <w:p w:rsidR="002C22B9" w:rsidRPr="00D8468E" w:rsidRDefault="002C22B9" w:rsidP="002C22B9">
            <w:pPr>
              <w:tabs>
                <w:tab w:val="left" w:pos="360"/>
                <w:tab w:val="left" w:pos="3960"/>
              </w:tabs>
              <w:rPr>
                <w:szCs w:val="24"/>
              </w:rPr>
            </w:pPr>
            <w:r w:rsidRPr="00D8468E">
              <w:rPr>
                <w:szCs w:val="24"/>
              </w:rPr>
              <w:fldChar w:fldCharType="begin">
                <w:ffData>
                  <w:name w:val="san_dat"/>
                  <w:enabled/>
                  <w:calcOnExit w:val="0"/>
                  <w:textInput>
                    <w:default w:val="                      "/>
                  </w:textInput>
                </w:ffData>
              </w:fldChar>
            </w:r>
            <w:r w:rsidRPr="00D8468E">
              <w:rPr>
                <w:szCs w:val="24"/>
              </w:rPr>
              <w:instrText xml:space="preserve"> FORMTEXT </w:instrText>
            </w:r>
            <w:r w:rsidRPr="00D8468E">
              <w:rPr>
                <w:szCs w:val="24"/>
              </w:rPr>
            </w:r>
            <w:r w:rsidRPr="00D8468E">
              <w:rPr>
                <w:szCs w:val="24"/>
              </w:rPr>
              <w:fldChar w:fldCharType="separate"/>
            </w:r>
            <w:r w:rsidRPr="00D8468E">
              <w:rPr>
                <w:noProof/>
                <w:szCs w:val="24"/>
              </w:rPr>
              <w:t xml:space="preserve">                      </w:t>
            </w:r>
            <w:r w:rsidRPr="00D8468E">
              <w:rPr>
                <w:szCs w:val="24"/>
              </w:rPr>
              <w:fldChar w:fldCharType="end"/>
            </w:r>
            <w:bookmarkEnd w:id="4"/>
          </w:p>
        </w:tc>
        <w:tc>
          <w:tcPr>
            <w:tcW w:w="708" w:type="dxa"/>
            <w:tcBorders>
              <w:top w:val="nil"/>
              <w:left w:val="nil"/>
              <w:bottom w:val="nil"/>
              <w:right w:val="nil"/>
            </w:tcBorders>
          </w:tcPr>
          <w:p w:rsidR="002C22B9" w:rsidRPr="00D8468E" w:rsidRDefault="002C22B9" w:rsidP="002C22B9">
            <w:pPr>
              <w:tabs>
                <w:tab w:val="left" w:pos="360"/>
                <w:tab w:val="left" w:pos="3960"/>
              </w:tabs>
              <w:jc w:val="center"/>
              <w:rPr>
                <w:sz w:val="20"/>
              </w:rPr>
            </w:pPr>
            <w:r w:rsidRPr="00D8468E">
              <w:rPr>
                <w:sz w:val="20"/>
              </w:rPr>
              <w:t>Nr.</w:t>
            </w:r>
          </w:p>
        </w:tc>
        <w:bookmarkStart w:id="5" w:name="san_num"/>
        <w:tc>
          <w:tcPr>
            <w:tcW w:w="2727" w:type="dxa"/>
            <w:tcBorders>
              <w:top w:val="nil"/>
              <w:left w:val="nil"/>
              <w:bottom w:val="single" w:sz="4" w:space="0" w:color="auto"/>
              <w:right w:val="nil"/>
            </w:tcBorders>
          </w:tcPr>
          <w:p w:rsidR="002C22B9" w:rsidRPr="00D8468E" w:rsidRDefault="002C22B9" w:rsidP="002C22B9">
            <w:pPr>
              <w:tabs>
                <w:tab w:val="left" w:pos="360"/>
                <w:tab w:val="left" w:pos="3960"/>
              </w:tabs>
              <w:rPr>
                <w:szCs w:val="24"/>
              </w:rPr>
            </w:pPr>
            <w:r w:rsidRPr="00D8468E">
              <w:rPr>
                <w:szCs w:val="24"/>
              </w:rPr>
              <w:fldChar w:fldCharType="begin">
                <w:ffData>
                  <w:name w:val="san_num"/>
                  <w:enabled/>
                  <w:calcOnExit w:val="0"/>
                  <w:textInput>
                    <w:default w:val="                             "/>
                  </w:textInput>
                </w:ffData>
              </w:fldChar>
            </w:r>
            <w:r w:rsidRPr="00D8468E">
              <w:rPr>
                <w:szCs w:val="24"/>
              </w:rPr>
              <w:instrText xml:space="preserve"> FORMTEXT </w:instrText>
            </w:r>
            <w:r w:rsidRPr="00D8468E">
              <w:rPr>
                <w:szCs w:val="24"/>
              </w:rPr>
            </w:r>
            <w:r w:rsidRPr="00D8468E">
              <w:rPr>
                <w:szCs w:val="24"/>
              </w:rPr>
              <w:fldChar w:fldCharType="separate"/>
            </w:r>
            <w:r w:rsidRPr="00D8468E">
              <w:rPr>
                <w:noProof/>
                <w:szCs w:val="24"/>
              </w:rPr>
              <w:t xml:space="preserve">                             </w:t>
            </w:r>
            <w:r w:rsidRPr="00D8468E">
              <w:rPr>
                <w:szCs w:val="24"/>
              </w:rPr>
              <w:fldChar w:fldCharType="end"/>
            </w:r>
            <w:bookmarkEnd w:id="5"/>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C0DD4" w:rsidRPr="00D8468E" w:rsidTr="000C0DD4">
        <w:trPr>
          <w:jc w:val="right"/>
        </w:trPr>
        <w:tc>
          <w:tcPr>
            <w:tcW w:w="4644" w:type="dxa"/>
          </w:tcPr>
          <w:p w:rsidR="000C0DD4" w:rsidRPr="00D8468E" w:rsidRDefault="00BC4777" w:rsidP="000C0DD4">
            <w:pPr>
              <w:jc w:val="right"/>
              <w:rPr>
                <w:b/>
                <w:bCs/>
                <w:sz w:val="28"/>
                <w:szCs w:val="24"/>
                <w:lang w:eastAsia="lv-LV"/>
              </w:rPr>
            </w:pPr>
            <w:bookmarkStart w:id="6" w:name="org_nos"/>
            <w:r w:rsidRPr="00D8468E">
              <w:rPr>
                <w:b/>
                <w:bCs/>
                <w:sz w:val="28"/>
                <w:szCs w:val="24"/>
                <w:lang w:eastAsia="lv-LV"/>
              </w:rPr>
              <w:t>Pēc pievienotā saraksta</w:t>
            </w:r>
          </w:p>
        </w:tc>
      </w:tr>
      <w:bookmarkEnd w:id="6"/>
    </w:tbl>
    <w:p w:rsidR="001F53D9" w:rsidRPr="00D8468E" w:rsidRDefault="001F53D9" w:rsidP="004F32A1">
      <w:pPr>
        <w:rPr>
          <w:spacing w:val="4"/>
        </w:rPr>
      </w:pPr>
    </w:p>
    <w:tbl>
      <w:tblPr>
        <w:tblStyle w:val="TableGrid"/>
        <w:tblW w:w="0" w:type="auto"/>
        <w:tblLook w:val="04A0" w:firstRow="1" w:lastRow="0" w:firstColumn="1" w:lastColumn="0" w:noHBand="0" w:noVBand="1"/>
      </w:tblPr>
      <w:tblGrid>
        <w:gridCol w:w="5529"/>
      </w:tblGrid>
      <w:tr w:rsidR="000C0DD4" w:rsidRPr="00D8468E" w:rsidTr="006B0215">
        <w:tc>
          <w:tcPr>
            <w:tcW w:w="5529" w:type="dxa"/>
            <w:tcBorders>
              <w:top w:val="nil"/>
              <w:left w:val="nil"/>
              <w:bottom w:val="nil"/>
              <w:right w:val="nil"/>
            </w:tcBorders>
          </w:tcPr>
          <w:p w:rsidR="006B0215" w:rsidRDefault="00BC4777" w:rsidP="004536F5">
            <w:pPr>
              <w:ind w:right="-708"/>
              <w:jc w:val="left"/>
              <w:rPr>
                <w:i/>
                <w:iCs/>
                <w:szCs w:val="24"/>
                <w:lang w:eastAsia="lv-LV"/>
              </w:rPr>
            </w:pPr>
            <w:r w:rsidRPr="006B0215">
              <w:rPr>
                <w:i/>
                <w:iCs/>
                <w:szCs w:val="24"/>
                <w:lang w:eastAsia="lv-LV"/>
              </w:rPr>
              <w:t xml:space="preserve">Par publiskajām konsultācijām plānotajiem </w:t>
            </w:r>
          </w:p>
          <w:p w:rsidR="000C0DD4" w:rsidRPr="006B0215" w:rsidRDefault="00BC4777" w:rsidP="004536F5">
            <w:pPr>
              <w:ind w:right="-708"/>
              <w:jc w:val="left"/>
              <w:rPr>
                <w:i/>
                <w:iCs/>
                <w:szCs w:val="24"/>
                <w:lang w:eastAsia="lv-LV"/>
              </w:rPr>
            </w:pPr>
            <w:r w:rsidRPr="006B0215">
              <w:rPr>
                <w:i/>
                <w:iCs/>
                <w:szCs w:val="24"/>
                <w:lang w:eastAsia="lv-LV"/>
              </w:rPr>
              <w:t>grozījumiem transfertcenu tiesiskajā regulējumā</w:t>
            </w:r>
          </w:p>
        </w:tc>
      </w:tr>
    </w:tbl>
    <w:p w:rsidR="006D6710" w:rsidRPr="00D8468E" w:rsidRDefault="006D6710" w:rsidP="007F3771">
      <w:pPr>
        <w:rPr>
          <w:sz w:val="28"/>
          <w:szCs w:val="24"/>
        </w:rPr>
      </w:pPr>
    </w:p>
    <w:p w:rsidR="00133D25" w:rsidRPr="00D8468E" w:rsidRDefault="00133D25" w:rsidP="00133D25">
      <w:pPr>
        <w:ind w:firstLine="709"/>
        <w:rPr>
          <w:sz w:val="28"/>
          <w:szCs w:val="24"/>
        </w:rPr>
      </w:pPr>
      <w:r w:rsidRPr="00D8468E">
        <w:rPr>
          <w:sz w:val="28"/>
          <w:szCs w:val="24"/>
        </w:rPr>
        <w:t>Finanšu ministrija sadarbībā ar Valsts ieņēmumu dienestu (turpmāk – VID) veic darbu pie normatīvo aktu grozījumu izstrādes transfertcenu jomā (turpmāk – Plānotie grozījumi).</w:t>
      </w:r>
    </w:p>
    <w:p w:rsidR="00133D25" w:rsidRPr="00D8468E" w:rsidRDefault="00133D25" w:rsidP="00133D25">
      <w:pPr>
        <w:ind w:firstLine="709"/>
        <w:rPr>
          <w:sz w:val="28"/>
          <w:szCs w:val="24"/>
        </w:rPr>
      </w:pPr>
      <w:r w:rsidRPr="00D8468E">
        <w:rPr>
          <w:sz w:val="28"/>
          <w:szCs w:val="24"/>
        </w:rPr>
        <w:t>Plānoto grozījumu mērķis ir gan saskaņot Latvijas normatīvos aktus ar jaunākajām atziņām, kas ietvertas Bāzes erozijas un peļņas novirzīšanas (turpmāk – BEPS) projekta ietvaros pārskatītajās Ekonomiskās sadarbības un attīstības organizācijas (turpmāk – OECD) Transfertcenu noteikšanas vadlīnijās daudznacionāliem uzņēmumiem un nodokļu administrācijām (turpmāk – Transfertcenu vadlīnijas), gan arī veikt citus grozījumus, tajā skaitā, pielāgojot tiesisko regulējumu šodienas situācijai, arī ņemot vērā tiesību normu piemērošanas rezultātā identificētās problēmas.</w:t>
      </w:r>
    </w:p>
    <w:p w:rsidR="00133D25" w:rsidRPr="00D8468E" w:rsidRDefault="00133D25" w:rsidP="00133D25">
      <w:pPr>
        <w:ind w:firstLine="709"/>
        <w:rPr>
          <w:sz w:val="28"/>
          <w:szCs w:val="24"/>
        </w:rPr>
      </w:pPr>
      <w:r w:rsidRPr="00D8468E">
        <w:rPr>
          <w:sz w:val="28"/>
          <w:szCs w:val="24"/>
        </w:rPr>
        <w:t>Ņemot vērā Plānoto grozījumu iespējamo ietekmi uz nodokļu maksātājiem, kā arī ievērojot ieinteresēto pušu, tajā skaitā, nodokļu maksātāju, nevalstisko organizāciju un konsultāciju pakalpojumu sniedzēju uzkrāto pieredzi transfertcenu jomā, izstrādājot un virzot Plānotos grozījumus, ir svarīgi uzklausīt iesaistīto pušu viedokli par to, kādā veidā būtu uzlabojams transfertcenu tiesiskais regulējums Latvijā.</w:t>
      </w:r>
    </w:p>
    <w:p w:rsidR="00133D25" w:rsidRPr="00D8468E" w:rsidRDefault="00133D25" w:rsidP="00133D25">
      <w:pPr>
        <w:ind w:firstLine="709"/>
        <w:rPr>
          <w:sz w:val="28"/>
          <w:szCs w:val="24"/>
        </w:rPr>
      </w:pPr>
    </w:p>
    <w:p w:rsidR="00133D25" w:rsidRPr="00D8468E" w:rsidRDefault="00133D25" w:rsidP="00133D25">
      <w:pPr>
        <w:ind w:firstLine="709"/>
        <w:rPr>
          <w:sz w:val="28"/>
          <w:szCs w:val="24"/>
          <w:u w:val="single"/>
        </w:rPr>
      </w:pPr>
      <w:r w:rsidRPr="00D8468E">
        <w:rPr>
          <w:sz w:val="28"/>
          <w:szCs w:val="24"/>
          <w:u w:val="single"/>
        </w:rPr>
        <w:t>Jautājumi, uz kuriem tiek lūgts sniegt atbildi</w:t>
      </w:r>
    </w:p>
    <w:p w:rsidR="00133D25" w:rsidRPr="00D8468E" w:rsidRDefault="00133D25" w:rsidP="00133D25">
      <w:pPr>
        <w:ind w:firstLine="709"/>
        <w:rPr>
          <w:sz w:val="28"/>
          <w:szCs w:val="24"/>
        </w:rPr>
      </w:pPr>
    </w:p>
    <w:p w:rsidR="00133D25" w:rsidRPr="00D8468E" w:rsidRDefault="00133D25" w:rsidP="00133D25">
      <w:pPr>
        <w:ind w:firstLine="709"/>
        <w:rPr>
          <w:sz w:val="28"/>
          <w:szCs w:val="24"/>
        </w:rPr>
      </w:pPr>
      <w:r w:rsidRPr="00D8468E">
        <w:rPr>
          <w:sz w:val="28"/>
          <w:szCs w:val="24"/>
        </w:rPr>
        <w:lastRenderedPageBreak/>
        <w:t>1. Aicinām sniegt viedokli par jautājumiem, kurus Plānotajiem grozījumiem būtu jāregulē.</w:t>
      </w:r>
    </w:p>
    <w:p w:rsidR="00133D25" w:rsidRPr="00D8468E" w:rsidRDefault="00133D25" w:rsidP="00133D25">
      <w:pPr>
        <w:ind w:firstLine="709"/>
        <w:rPr>
          <w:sz w:val="28"/>
          <w:szCs w:val="24"/>
        </w:rPr>
      </w:pPr>
      <w:r w:rsidRPr="00D8468E">
        <w:rPr>
          <w:sz w:val="28"/>
          <w:szCs w:val="24"/>
        </w:rPr>
        <w:t>Tādējādi lūdzam sniegt viedokli, vai Plānotajiem grozījumiem būtu jāskar šādi jautājumi:</w:t>
      </w:r>
    </w:p>
    <w:p w:rsidR="00133D25" w:rsidRPr="00D8468E" w:rsidRDefault="00133D25" w:rsidP="00133D25">
      <w:pPr>
        <w:numPr>
          <w:ilvl w:val="0"/>
          <w:numId w:val="1"/>
        </w:numPr>
        <w:rPr>
          <w:sz w:val="28"/>
          <w:szCs w:val="24"/>
        </w:rPr>
      </w:pPr>
      <w:r w:rsidRPr="00D8468E">
        <w:rPr>
          <w:sz w:val="28"/>
          <w:szCs w:val="24"/>
        </w:rPr>
        <w:t>transfertcenu dokumentācijas regulējums (BEPS projekta 13.pasākuma rezultātā sagatavotais dokuments);</w:t>
      </w:r>
    </w:p>
    <w:p w:rsidR="00133D25" w:rsidRPr="00D8468E" w:rsidRDefault="00133D25" w:rsidP="00133D25">
      <w:pPr>
        <w:numPr>
          <w:ilvl w:val="0"/>
          <w:numId w:val="1"/>
        </w:numPr>
        <w:rPr>
          <w:sz w:val="28"/>
          <w:szCs w:val="24"/>
        </w:rPr>
      </w:pPr>
      <w:r w:rsidRPr="00D8468E">
        <w:rPr>
          <w:sz w:val="28"/>
          <w:szCs w:val="24"/>
        </w:rPr>
        <w:t>izmaksu ieguldījuma vienošanās ietveršana (</w:t>
      </w:r>
      <w:r w:rsidRPr="00D8468E">
        <w:rPr>
          <w:i/>
          <w:sz w:val="28"/>
          <w:szCs w:val="24"/>
        </w:rPr>
        <w:t>cost contribution arrangements</w:t>
      </w:r>
      <w:r w:rsidRPr="00D8468E">
        <w:rPr>
          <w:sz w:val="28"/>
          <w:szCs w:val="24"/>
        </w:rPr>
        <w:t>) Latvijas Republikas transfertcenu tiesiskajā regulējumā (OECD Transfertcenu vadlīniju 8.nodaļa, tajā skaitā BEPS projekta ietvaros 8.-10.pasākuma rezultātā sagatavotais dokuments);</w:t>
      </w:r>
    </w:p>
    <w:p w:rsidR="00133D25" w:rsidRPr="00D8468E" w:rsidRDefault="00133D25" w:rsidP="00133D25">
      <w:pPr>
        <w:numPr>
          <w:ilvl w:val="0"/>
          <w:numId w:val="1"/>
        </w:numPr>
        <w:rPr>
          <w:sz w:val="28"/>
          <w:szCs w:val="24"/>
        </w:rPr>
      </w:pPr>
      <w:r w:rsidRPr="00D8468E">
        <w:rPr>
          <w:sz w:val="28"/>
          <w:szCs w:val="24"/>
        </w:rPr>
        <w:t>pastāvīgās pārstāvniecības tiesības slēgt nodokļu maksātāja un nodokļu administrācijas iepriekšēju vienošanos par tirgus cenas (vērtības) noteikšanu darījumam vai darījumu veidam  un peļņas attiecināšanu uz patstāvīgo pārstāvniecību (turpmāk – APA);</w:t>
      </w:r>
    </w:p>
    <w:p w:rsidR="00133D25" w:rsidRPr="00D8468E" w:rsidRDefault="00133D25" w:rsidP="00133D25">
      <w:pPr>
        <w:numPr>
          <w:ilvl w:val="0"/>
          <w:numId w:val="1"/>
        </w:numPr>
        <w:rPr>
          <w:sz w:val="28"/>
          <w:szCs w:val="24"/>
        </w:rPr>
      </w:pPr>
      <w:r w:rsidRPr="00D8468E">
        <w:rPr>
          <w:sz w:val="28"/>
          <w:szCs w:val="24"/>
        </w:rPr>
        <w:t>savstarpējas saskaņošanas procedūras aspekti:</w:t>
      </w:r>
    </w:p>
    <w:p w:rsidR="00133D25" w:rsidRPr="00D8468E" w:rsidRDefault="00133D25" w:rsidP="00133D25">
      <w:pPr>
        <w:numPr>
          <w:ilvl w:val="1"/>
          <w:numId w:val="1"/>
        </w:numPr>
        <w:rPr>
          <w:sz w:val="28"/>
          <w:szCs w:val="24"/>
        </w:rPr>
      </w:pPr>
      <w:r w:rsidRPr="00D8468E">
        <w:rPr>
          <w:sz w:val="28"/>
          <w:szCs w:val="24"/>
        </w:rPr>
        <w:t>VID vadlīnijas Latvijas nodokļu maksātājiem;</w:t>
      </w:r>
    </w:p>
    <w:p w:rsidR="00133D25" w:rsidRPr="00D8468E" w:rsidRDefault="006B0215" w:rsidP="00133D25">
      <w:pPr>
        <w:numPr>
          <w:ilvl w:val="1"/>
          <w:numId w:val="1"/>
        </w:numPr>
        <w:rPr>
          <w:sz w:val="28"/>
          <w:szCs w:val="24"/>
        </w:rPr>
      </w:pPr>
      <w:r>
        <w:rPr>
          <w:sz w:val="28"/>
          <w:szCs w:val="24"/>
        </w:rPr>
        <w:t>i</w:t>
      </w:r>
      <w:r w:rsidR="00133D25" w:rsidRPr="00D8468E">
        <w:rPr>
          <w:sz w:val="28"/>
          <w:szCs w:val="24"/>
        </w:rPr>
        <w:t>espēja apturēt administratīvā akta izpildi savstarpējas saskaņošanas procesa laikā, ja izpildās noteikti kritēriji;</w:t>
      </w:r>
    </w:p>
    <w:p w:rsidR="00133D25" w:rsidRPr="00D8468E" w:rsidRDefault="00133D25" w:rsidP="00133D25">
      <w:pPr>
        <w:numPr>
          <w:ilvl w:val="0"/>
          <w:numId w:val="1"/>
        </w:numPr>
        <w:rPr>
          <w:sz w:val="28"/>
          <w:szCs w:val="24"/>
        </w:rPr>
      </w:pPr>
      <w:r w:rsidRPr="00D8468E">
        <w:rPr>
          <w:sz w:val="28"/>
          <w:szCs w:val="24"/>
        </w:rPr>
        <w:t>atvieglotas prasības zemas vērtības pakalpojumiem (BEPS projekta ietvaros 8.-10.pasākuma rezultātā sagatavotajā dokumentā ietvertā OECD Transfertcenu vadlīniju pārskatītā 7.nodaļa);</w:t>
      </w:r>
    </w:p>
    <w:p w:rsidR="00133D25" w:rsidRPr="00D8468E" w:rsidRDefault="00133D25" w:rsidP="00133D25">
      <w:pPr>
        <w:numPr>
          <w:ilvl w:val="0"/>
          <w:numId w:val="1"/>
        </w:numPr>
        <w:rPr>
          <w:sz w:val="28"/>
          <w:szCs w:val="24"/>
        </w:rPr>
      </w:pPr>
      <w:r w:rsidRPr="00D8468E">
        <w:rPr>
          <w:sz w:val="28"/>
          <w:szCs w:val="24"/>
        </w:rPr>
        <w:t>APA regulējuma pārskatīšana, pielāgojot to jaunajām transfertcenu dokumentāciju prasībām (iespējams vienlaikus vai pēc grozījumu veikšanas transfertcenu dokumentāciju prasībās);</w:t>
      </w:r>
    </w:p>
    <w:p w:rsidR="00133D25" w:rsidRPr="00D8468E" w:rsidRDefault="00133D25" w:rsidP="00133D25">
      <w:pPr>
        <w:numPr>
          <w:ilvl w:val="0"/>
          <w:numId w:val="1"/>
        </w:numPr>
        <w:rPr>
          <w:sz w:val="28"/>
          <w:szCs w:val="24"/>
        </w:rPr>
      </w:pPr>
      <w:r w:rsidRPr="00D8468E">
        <w:rPr>
          <w:sz w:val="28"/>
          <w:szCs w:val="24"/>
        </w:rPr>
        <w:lastRenderedPageBreak/>
        <w:t>ar darījumu saistīto risku tiesisks regulējums un darījuma pārstrukturēšana (</w:t>
      </w:r>
      <w:r w:rsidRPr="00D8468E">
        <w:rPr>
          <w:i/>
          <w:sz w:val="28"/>
          <w:szCs w:val="24"/>
        </w:rPr>
        <w:t>recharacterisation</w:t>
      </w:r>
      <w:r w:rsidRPr="00D8468E">
        <w:rPr>
          <w:sz w:val="28"/>
          <w:szCs w:val="24"/>
        </w:rPr>
        <w:t>), grūti novērtējamā nemateriālā īpašuma regulējums, ņemot vērā BEPS projekta ietvaros 8.-10.pasākuma rezultātā sagatavoto dokumentu;</w:t>
      </w:r>
    </w:p>
    <w:p w:rsidR="00133D25" w:rsidRPr="00D8468E" w:rsidRDefault="00133D25" w:rsidP="00133D25">
      <w:pPr>
        <w:numPr>
          <w:ilvl w:val="0"/>
          <w:numId w:val="1"/>
        </w:numPr>
        <w:rPr>
          <w:sz w:val="28"/>
          <w:szCs w:val="24"/>
        </w:rPr>
      </w:pPr>
      <w:r w:rsidRPr="00D8468E">
        <w:rPr>
          <w:sz w:val="28"/>
          <w:szCs w:val="24"/>
        </w:rPr>
        <w:t>citi jautājumi (tajā skaitā kotēto cenu režīma ieviešana Latvijā, restrukturizācija).</w:t>
      </w:r>
    </w:p>
    <w:p w:rsidR="00133D25" w:rsidRPr="00D8468E" w:rsidRDefault="00133D25" w:rsidP="00133D25">
      <w:pPr>
        <w:ind w:firstLine="709"/>
        <w:rPr>
          <w:sz w:val="28"/>
          <w:szCs w:val="24"/>
        </w:rPr>
      </w:pPr>
    </w:p>
    <w:p w:rsidR="00133D25" w:rsidRPr="00D8468E" w:rsidRDefault="00133D25" w:rsidP="00133D25">
      <w:pPr>
        <w:ind w:firstLine="709"/>
        <w:rPr>
          <w:sz w:val="28"/>
          <w:szCs w:val="24"/>
        </w:rPr>
      </w:pPr>
      <w:r w:rsidRPr="00D8468E">
        <w:rPr>
          <w:sz w:val="28"/>
          <w:szCs w:val="24"/>
        </w:rPr>
        <w:t>2. Jautājumus, kurus uzskatāt par tādiem, kurus būtu jāskar Plānotajiem grozījumiem, lūgums sakārtot tabulā prioritārā secībā, ņemot vērā katra jautājuma būtiskumu un steidzamību, visbūtiskākajam (vissteidzamākajam) jautājumam piešķirot numuru 1, nākamajam būtiskākajam (steidzamākajam) – numuru 2 utt.</w:t>
      </w:r>
    </w:p>
    <w:tbl>
      <w:tblPr>
        <w:tblStyle w:val="TableGrid"/>
        <w:tblW w:w="0" w:type="auto"/>
        <w:tblLook w:val="04A0" w:firstRow="1" w:lastRow="0" w:firstColumn="1" w:lastColumn="0" w:noHBand="0" w:noVBand="1"/>
      </w:tblPr>
      <w:tblGrid>
        <w:gridCol w:w="2268"/>
        <w:gridCol w:w="2269"/>
        <w:gridCol w:w="2269"/>
        <w:gridCol w:w="2269"/>
      </w:tblGrid>
      <w:tr w:rsidR="00133D25" w:rsidRPr="00D8468E" w:rsidTr="00F36DB6">
        <w:tc>
          <w:tcPr>
            <w:tcW w:w="2268" w:type="dxa"/>
          </w:tcPr>
          <w:p w:rsidR="00133D25" w:rsidRPr="00D8468E" w:rsidRDefault="00133D25" w:rsidP="00133D25">
            <w:pPr>
              <w:ind w:firstLine="709"/>
              <w:rPr>
                <w:sz w:val="28"/>
                <w:szCs w:val="24"/>
              </w:rPr>
            </w:pPr>
            <w:r w:rsidRPr="00D8468E">
              <w:rPr>
                <w:sz w:val="28"/>
                <w:szCs w:val="24"/>
              </w:rPr>
              <w:t>Jautājums</w:t>
            </w:r>
          </w:p>
        </w:tc>
        <w:tc>
          <w:tcPr>
            <w:tcW w:w="2269" w:type="dxa"/>
          </w:tcPr>
          <w:p w:rsidR="00133D25" w:rsidRPr="00D8468E" w:rsidRDefault="00133D25" w:rsidP="00133D25">
            <w:pPr>
              <w:ind w:firstLine="709"/>
              <w:rPr>
                <w:sz w:val="28"/>
                <w:szCs w:val="24"/>
              </w:rPr>
            </w:pPr>
            <w:r w:rsidRPr="00D8468E">
              <w:rPr>
                <w:sz w:val="28"/>
                <w:szCs w:val="24"/>
              </w:rPr>
              <w:t>Jautājuma būtiskums</w:t>
            </w:r>
          </w:p>
        </w:tc>
        <w:tc>
          <w:tcPr>
            <w:tcW w:w="2269" w:type="dxa"/>
          </w:tcPr>
          <w:p w:rsidR="00133D25" w:rsidRPr="00D8468E" w:rsidRDefault="00133D25" w:rsidP="00133D25">
            <w:pPr>
              <w:ind w:firstLine="709"/>
              <w:rPr>
                <w:sz w:val="28"/>
                <w:szCs w:val="24"/>
              </w:rPr>
            </w:pPr>
            <w:r w:rsidRPr="00D8468E">
              <w:rPr>
                <w:sz w:val="28"/>
                <w:szCs w:val="24"/>
              </w:rPr>
              <w:t>Jautājuma steidzamība</w:t>
            </w:r>
          </w:p>
        </w:tc>
        <w:tc>
          <w:tcPr>
            <w:tcW w:w="2269" w:type="dxa"/>
          </w:tcPr>
          <w:p w:rsidR="00133D25" w:rsidRPr="00D8468E" w:rsidRDefault="00133D25" w:rsidP="00133D25">
            <w:pPr>
              <w:ind w:firstLine="709"/>
              <w:rPr>
                <w:sz w:val="28"/>
                <w:szCs w:val="24"/>
              </w:rPr>
            </w:pPr>
            <w:r w:rsidRPr="00D8468E">
              <w:rPr>
                <w:sz w:val="28"/>
                <w:szCs w:val="24"/>
              </w:rPr>
              <w:t>Vispārīgs pamatojums (pēc izvēles)</w:t>
            </w:r>
          </w:p>
        </w:tc>
      </w:tr>
      <w:tr w:rsidR="00133D25" w:rsidRPr="00D8468E" w:rsidTr="00F36DB6">
        <w:tc>
          <w:tcPr>
            <w:tcW w:w="2268" w:type="dxa"/>
          </w:tcPr>
          <w:p w:rsidR="00133D25" w:rsidRPr="00D8468E" w:rsidRDefault="00133D25" w:rsidP="00133D25">
            <w:pPr>
              <w:ind w:firstLine="709"/>
              <w:rPr>
                <w:sz w:val="28"/>
                <w:szCs w:val="24"/>
              </w:rPr>
            </w:pPr>
          </w:p>
        </w:tc>
        <w:tc>
          <w:tcPr>
            <w:tcW w:w="2269" w:type="dxa"/>
          </w:tcPr>
          <w:p w:rsidR="00133D25" w:rsidRPr="00D8468E" w:rsidRDefault="00133D25" w:rsidP="00133D25">
            <w:pPr>
              <w:ind w:firstLine="709"/>
              <w:rPr>
                <w:sz w:val="28"/>
                <w:szCs w:val="24"/>
              </w:rPr>
            </w:pPr>
          </w:p>
        </w:tc>
        <w:tc>
          <w:tcPr>
            <w:tcW w:w="2269" w:type="dxa"/>
          </w:tcPr>
          <w:p w:rsidR="00133D25" w:rsidRPr="00D8468E" w:rsidRDefault="00133D25" w:rsidP="00133D25">
            <w:pPr>
              <w:ind w:firstLine="709"/>
              <w:rPr>
                <w:sz w:val="28"/>
                <w:szCs w:val="24"/>
              </w:rPr>
            </w:pPr>
          </w:p>
        </w:tc>
        <w:tc>
          <w:tcPr>
            <w:tcW w:w="2269" w:type="dxa"/>
          </w:tcPr>
          <w:p w:rsidR="00133D25" w:rsidRPr="00D8468E" w:rsidRDefault="00133D25" w:rsidP="00133D25">
            <w:pPr>
              <w:ind w:firstLine="709"/>
              <w:rPr>
                <w:sz w:val="28"/>
                <w:szCs w:val="24"/>
              </w:rPr>
            </w:pPr>
          </w:p>
        </w:tc>
      </w:tr>
    </w:tbl>
    <w:p w:rsidR="00133D25" w:rsidRPr="00D8468E" w:rsidRDefault="00133D25" w:rsidP="00133D25">
      <w:pPr>
        <w:ind w:firstLine="709"/>
        <w:rPr>
          <w:sz w:val="28"/>
          <w:szCs w:val="24"/>
        </w:rPr>
      </w:pPr>
    </w:p>
    <w:p w:rsidR="00133D25" w:rsidRPr="00D8468E" w:rsidRDefault="00133D25" w:rsidP="00133D25">
      <w:pPr>
        <w:ind w:firstLine="709"/>
        <w:rPr>
          <w:sz w:val="28"/>
          <w:szCs w:val="24"/>
        </w:rPr>
      </w:pPr>
      <w:r w:rsidRPr="00D8468E">
        <w:rPr>
          <w:sz w:val="28"/>
          <w:szCs w:val="24"/>
        </w:rPr>
        <w:t>3. (pēc izvēles) Lūgums sniegt detalizētu pamatojumu viedoklim par jautājumiem, kurus būtu jāskar Plānotajiem grozījumiem.</w:t>
      </w:r>
    </w:p>
    <w:p w:rsidR="00133D25" w:rsidRPr="00D8468E" w:rsidRDefault="00133D25" w:rsidP="00133D25">
      <w:pPr>
        <w:ind w:firstLine="709"/>
        <w:rPr>
          <w:sz w:val="28"/>
          <w:szCs w:val="24"/>
        </w:rPr>
      </w:pPr>
    </w:p>
    <w:p w:rsidR="00133D25" w:rsidRPr="00D8468E" w:rsidRDefault="00133D25" w:rsidP="00133D25">
      <w:pPr>
        <w:ind w:firstLine="709"/>
        <w:rPr>
          <w:sz w:val="28"/>
          <w:szCs w:val="24"/>
        </w:rPr>
      </w:pPr>
      <w:r w:rsidRPr="00D8468E">
        <w:rPr>
          <w:sz w:val="28"/>
          <w:szCs w:val="24"/>
        </w:rPr>
        <w:t>4. (pēc izvēles) Citi priekšlikumi vai komentāri saistībā ar Plānotajiem grozījumiem.</w:t>
      </w:r>
    </w:p>
    <w:p w:rsidR="00133D25" w:rsidRPr="00D8468E" w:rsidRDefault="00133D25" w:rsidP="00133D25">
      <w:pPr>
        <w:ind w:firstLine="709"/>
        <w:rPr>
          <w:sz w:val="28"/>
          <w:szCs w:val="24"/>
        </w:rPr>
      </w:pPr>
    </w:p>
    <w:p w:rsidR="00133D25" w:rsidRPr="00D8468E" w:rsidRDefault="00133D25" w:rsidP="00133D25">
      <w:pPr>
        <w:ind w:firstLine="709"/>
        <w:rPr>
          <w:sz w:val="28"/>
          <w:szCs w:val="24"/>
        </w:rPr>
      </w:pPr>
      <w:r w:rsidRPr="00D8468E">
        <w:rPr>
          <w:sz w:val="28"/>
          <w:szCs w:val="24"/>
        </w:rPr>
        <w:t>5. (pēc izvēles) Lūgums norādīt, vai vēlaties piedalīties turpmākā Plānoto grozījumu saskaņošanas procesā. Ja atbilde ir apstiprinoša, lūgums norādīt kontaktpersonas.</w:t>
      </w:r>
    </w:p>
    <w:p w:rsidR="00133D25" w:rsidRPr="00D8468E" w:rsidRDefault="00133D25" w:rsidP="00133D25">
      <w:pPr>
        <w:ind w:firstLine="709"/>
        <w:rPr>
          <w:sz w:val="28"/>
          <w:szCs w:val="24"/>
        </w:rPr>
      </w:pPr>
    </w:p>
    <w:p w:rsidR="00133D25" w:rsidRPr="00D8468E" w:rsidRDefault="00133D25" w:rsidP="004536F5">
      <w:pPr>
        <w:keepNext/>
        <w:ind w:firstLine="709"/>
        <w:rPr>
          <w:sz w:val="28"/>
          <w:szCs w:val="24"/>
          <w:u w:val="single"/>
        </w:rPr>
      </w:pPr>
      <w:r w:rsidRPr="00D8468E">
        <w:rPr>
          <w:sz w:val="28"/>
          <w:szCs w:val="24"/>
          <w:u w:val="single"/>
        </w:rPr>
        <w:lastRenderedPageBreak/>
        <w:t>Atbilžu sniegšanas termiņš un turpmākā rīcība</w:t>
      </w:r>
    </w:p>
    <w:p w:rsidR="00133D25" w:rsidRPr="00D8468E" w:rsidRDefault="00133D25" w:rsidP="00133D25">
      <w:pPr>
        <w:ind w:firstLine="709"/>
        <w:rPr>
          <w:sz w:val="28"/>
          <w:szCs w:val="24"/>
        </w:rPr>
      </w:pPr>
      <w:r w:rsidRPr="00D8468E">
        <w:rPr>
          <w:sz w:val="28"/>
          <w:szCs w:val="24"/>
        </w:rPr>
        <w:t xml:space="preserve">Atbildes uz jautājumiem, lūdzam informāciju sniegt līdz </w:t>
      </w:r>
      <w:r w:rsidRPr="00D8468E">
        <w:rPr>
          <w:b/>
          <w:sz w:val="28"/>
          <w:szCs w:val="24"/>
        </w:rPr>
        <w:t>2016.gada 1.jūlijam</w:t>
      </w:r>
      <w:r w:rsidRPr="00D8468E">
        <w:rPr>
          <w:sz w:val="28"/>
          <w:szCs w:val="24"/>
        </w:rPr>
        <w:t>. Par turpmāko rīcību un Plānoto grozījumu iespējamo saturu un provizoriskiem izstrādāšanas termiņiem informēsim pēc jautājumu saņemšanas un izvērtēšanas.</w:t>
      </w:r>
    </w:p>
    <w:p w:rsidR="00133D25" w:rsidRPr="00D8468E" w:rsidRDefault="00133D25" w:rsidP="00133D25">
      <w:pPr>
        <w:ind w:firstLine="709"/>
        <w:rPr>
          <w:sz w:val="28"/>
          <w:szCs w:val="24"/>
        </w:rPr>
      </w:pPr>
      <w:r w:rsidRPr="00D8468E">
        <w:rPr>
          <w:sz w:val="28"/>
          <w:szCs w:val="24"/>
        </w:rPr>
        <w:t>Papildus norādām, ka tie viedokļi un ieteikumi transfertcenu tiesiskā regulējuma uzlabošanai, kas saņemti no ieinteresētajām pusēm iepriekš, tiks vērtēti arī gadījumā, ja konkrētā ieinteresētā persona nesniegs viedokli uz šo vēstuli.</w:t>
      </w:r>
    </w:p>
    <w:p w:rsidR="00133D25" w:rsidRPr="00D8468E" w:rsidRDefault="00133D25" w:rsidP="00133D25">
      <w:pPr>
        <w:ind w:firstLine="709"/>
        <w:rPr>
          <w:sz w:val="28"/>
          <w:szCs w:val="24"/>
        </w:rPr>
      </w:pPr>
      <w:r w:rsidRPr="00D8468E">
        <w:rPr>
          <w:sz w:val="28"/>
          <w:szCs w:val="24"/>
        </w:rPr>
        <w:t>Jautājumi, kuri neatbilst šīs vēstules sākumā definētajam Plānoto grozījumu mērķim, netiks iekļauti Plānotajos grozījumos.</w:t>
      </w:r>
    </w:p>
    <w:p w:rsidR="00133D25" w:rsidRPr="00D8468E" w:rsidRDefault="00133D25" w:rsidP="00133D25">
      <w:pPr>
        <w:ind w:firstLine="709"/>
        <w:rPr>
          <w:sz w:val="28"/>
          <w:szCs w:val="24"/>
        </w:rPr>
      </w:pPr>
    </w:p>
    <w:p w:rsidR="00133D25" w:rsidRPr="00D8468E" w:rsidRDefault="00133D25" w:rsidP="00133D25">
      <w:pPr>
        <w:ind w:firstLine="709"/>
        <w:rPr>
          <w:sz w:val="28"/>
          <w:szCs w:val="24"/>
          <w:u w:val="single"/>
        </w:rPr>
      </w:pPr>
      <w:r w:rsidRPr="00D8468E">
        <w:rPr>
          <w:sz w:val="28"/>
          <w:szCs w:val="24"/>
          <w:u w:val="single"/>
        </w:rPr>
        <w:t>Kurš var sniegt viedokli</w:t>
      </w:r>
    </w:p>
    <w:p w:rsidR="006D6710" w:rsidRPr="00D8468E" w:rsidRDefault="00133D25" w:rsidP="00133D25">
      <w:pPr>
        <w:ind w:firstLine="709"/>
        <w:rPr>
          <w:sz w:val="28"/>
          <w:szCs w:val="24"/>
        </w:rPr>
      </w:pPr>
      <w:r w:rsidRPr="00D8468E">
        <w:rPr>
          <w:sz w:val="28"/>
          <w:szCs w:val="24"/>
        </w:rPr>
        <w:t>Viedokli var sniegt jebkura ieinteresētā persona arī gadījumā, ja šī vēstule tai nebija nosūtīta. Ņemot vērā minēto, šī vēstule ir ievietota Finanšu ministrijas mājaslapā.</w:t>
      </w:r>
    </w:p>
    <w:p w:rsidR="006D6710" w:rsidRPr="00D8468E" w:rsidRDefault="006D6710" w:rsidP="007F3771">
      <w:pPr>
        <w:rPr>
          <w:szCs w:val="24"/>
        </w:rPr>
      </w:pPr>
    </w:p>
    <w:p w:rsidR="00557B49" w:rsidRPr="00D8468E" w:rsidRDefault="00557B49" w:rsidP="007F3771">
      <w:pPr>
        <w:rPr>
          <w:szCs w:val="24"/>
        </w:rPr>
      </w:pPr>
    </w:p>
    <w:p w:rsidR="00557B49" w:rsidRPr="00D8468E" w:rsidRDefault="00557B49" w:rsidP="007F3771">
      <w:pPr>
        <w:rPr>
          <w:szCs w:val="24"/>
        </w:rPr>
      </w:pPr>
    </w:p>
    <w:p w:rsidR="003F2252" w:rsidRPr="00D8468E" w:rsidRDefault="003F2252" w:rsidP="007F3771">
      <w:pPr>
        <w:rPr>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2977"/>
      </w:tblGrid>
      <w:tr w:rsidR="00AA6DC1" w:rsidRPr="00D8468E" w:rsidTr="00AA6DC1">
        <w:tc>
          <w:tcPr>
            <w:tcW w:w="4395" w:type="dxa"/>
          </w:tcPr>
          <w:p w:rsidR="00AA6DC1" w:rsidRPr="00D8468E" w:rsidRDefault="00BC4777" w:rsidP="007F3771">
            <w:pPr>
              <w:rPr>
                <w:sz w:val="28"/>
                <w:szCs w:val="24"/>
              </w:rPr>
            </w:pPr>
            <w:r w:rsidRPr="00D8468E">
              <w:rPr>
                <w:sz w:val="28"/>
                <w:szCs w:val="24"/>
              </w:rPr>
              <w:t>Valsts sekretāre</w:t>
            </w:r>
          </w:p>
        </w:tc>
        <w:tc>
          <w:tcPr>
            <w:tcW w:w="1984" w:type="dxa"/>
          </w:tcPr>
          <w:p w:rsidR="00AA6DC1" w:rsidRPr="00D8468E" w:rsidRDefault="00AA6DC1" w:rsidP="00AA6DC1">
            <w:pPr>
              <w:jc w:val="center"/>
              <w:rPr>
                <w:sz w:val="28"/>
                <w:szCs w:val="24"/>
              </w:rPr>
            </w:pPr>
            <w:bookmarkStart w:id="7" w:name="edoc_info2"/>
            <w:r w:rsidRPr="00D8468E">
              <w:rPr>
                <w:sz w:val="28"/>
                <w:szCs w:val="24"/>
              </w:rPr>
              <w:t>(paraksts*)</w:t>
            </w:r>
            <w:bookmarkEnd w:id="7"/>
          </w:p>
        </w:tc>
        <w:tc>
          <w:tcPr>
            <w:tcW w:w="2977" w:type="dxa"/>
            <w:vAlign w:val="bottom"/>
          </w:tcPr>
          <w:p w:rsidR="00AA6DC1" w:rsidRPr="00D8468E" w:rsidRDefault="00BC4777" w:rsidP="00483407">
            <w:pPr>
              <w:jc w:val="right"/>
              <w:rPr>
                <w:sz w:val="28"/>
                <w:szCs w:val="24"/>
              </w:rPr>
            </w:pPr>
            <w:r w:rsidRPr="00D8468E">
              <w:rPr>
                <w:sz w:val="28"/>
                <w:szCs w:val="24"/>
              </w:rPr>
              <w:t>B.Bāne</w:t>
            </w:r>
          </w:p>
        </w:tc>
      </w:tr>
      <w:tr w:rsidR="00AA6DC1" w:rsidRPr="00D8468E" w:rsidTr="00AA6DC1">
        <w:tc>
          <w:tcPr>
            <w:tcW w:w="4395" w:type="dxa"/>
          </w:tcPr>
          <w:p w:rsidR="00AA6DC1" w:rsidRPr="00D8468E" w:rsidRDefault="00AA6DC1" w:rsidP="007F3771">
            <w:pPr>
              <w:rPr>
                <w:sz w:val="28"/>
                <w:szCs w:val="24"/>
              </w:rPr>
            </w:pPr>
          </w:p>
        </w:tc>
        <w:tc>
          <w:tcPr>
            <w:tcW w:w="1984" w:type="dxa"/>
          </w:tcPr>
          <w:p w:rsidR="00AA6DC1" w:rsidRPr="00D8468E" w:rsidRDefault="00AA6DC1" w:rsidP="000C0DD4">
            <w:pPr>
              <w:jc w:val="right"/>
              <w:rPr>
                <w:sz w:val="28"/>
                <w:szCs w:val="24"/>
              </w:rPr>
            </w:pPr>
          </w:p>
        </w:tc>
        <w:tc>
          <w:tcPr>
            <w:tcW w:w="2977" w:type="dxa"/>
            <w:vAlign w:val="bottom"/>
          </w:tcPr>
          <w:p w:rsidR="00AA6DC1" w:rsidRPr="00D8468E" w:rsidRDefault="00AA6DC1" w:rsidP="000C0DD4">
            <w:pPr>
              <w:jc w:val="right"/>
              <w:rPr>
                <w:sz w:val="28"/>
                <w:szCs w:val="24"/>
              </w:rPr>
            </w:pPr>
          </w:p>
        </w:tc>
      </w:tr>
    </w:tbl>
    <w:tbl>
      <w:tblPr>
        <w:tblW w:w="8647" w:type="dxa"/>
        <w:tblLook w:val="04A0" w:firstRow="1" w:lastRow="0" w:firstColumn="1" w:lastColumn="0" w:noHBand="0" w:noVBand="1"/>
      </w:tblPr>
      <w:tblGrid>
        <w:gridCol w:w="8647"/>
      </w:tblGrid>
      <w:tr w:rsidR="002D6CB4" w:rsidRPr="00D8468E" w:rsidTr="00AA6DC1">
        <w:trPr>
          <w:cantSplit/>
          <w:trHeight w:val="615"/>
        </w:trPr>
        <w:tc>
          <w:tcPr>
            <w:tcW w:w="8647" w:type="dxa"/>
          </w:tcPr>
          <w:p w:rsidR="002D6CB4" w:rsidRPr="00D8468E" w:rsidRDefault="00AA6DC1" w:rsidP="00AA6DC1">
            <w:pPr>
              <w:pStyle w:val="BodyTextIndent"/>
              <w:tabs>
                <w:tab w:val="left" w:pos="8397"/>
              </w:tabs>
              <w:ind w:left="0"/>
              <w:rPr>
                <w:sz w:val="28"/>
                <w:szCs w:val="24"/>
              </w:rPr>
            </w:pPr>
            <w:bookmarkStart w:id="8" w:name="edoc_info" w:colFirst="0" w:colLast="0"/>
            <w:r w:rsidRPr="00D8468E">
              <w:rPr>
                <w:sz w:val="28"/>
                <w:szCs w:val="24"/>
              </w:rPr>
              <w:t>*Dokuments ir parakstīts ar drošu elektronisko parakstu</w:t>
            </w:r>
          </w:p>
        </w:tc>
      </w:tr>
      <w:bookmarkEnd w:id="8"/>
    </w:tbl>
    <w:p w:rsidR="00826D51" w:rsidRPr="00D8468E" w:rsidRDefault="00826D51" w:rsidP="007F3771"/>
    <w:p w:rsidR="00BC4777" w:rsidRPr="00D8468E" w:rsidRDefault="00BC4777" w:rsidP="00550BA5">
      <w:pPr>
        <w:ind w:firstLine="142"/>
      </w:pPr>
      <w:r w:rsidRPr="00D8468E">
        <w:t xml:space="preserve">Auziņš 67 083 919 </w:t>
      </w:r>
    </w:p>
    <w:p w:rsidR="000C0DD4" w:rsidRPr="00D8468E" w:rsidRDefault="00BC4777" w:rsidP="00550BA5">
      <w:pPr>
        <w:ind w:firstLine="142"/>
      </w:pPr>
      <w:r w:rsidRPr="00D8468E">
        <w:t>Roberts.Auzins@fm.gov.lv</w:t>
      </w:r>
    </w:p>
    <w:p w:rsidR="009C19FD" w:rsidRPr="00D8468E" w:rsidRDefault="009C19FD">
      <w:pPr>
        <w:jc w:val="left"/>
      </w:pPr>
      <w:r w:rsidRPr="00D8468E">
        <w:br w:type="page"/>
      </w:r>
    </w:p>
    <w:p w:rsidR="00D2314C" w:rsidRPr="00D8468E" w:rsidRDefault="00D2314C" w:rsidP="00D2314C">
      <w:pPr>
        <w:tabs>
          <w:tab w:val="left" w:pos="6740"/>
        </w:tabs>
        <w:ind w:firstLine="720"/>
        <w:jc w:val="right"/>
        <w:rPr>
          <w:sz w:val="26"/>
          <w:szCs w:val="24"/>
        </w:rPr>
      </w:pPr>
      <w:r w:rsidRPr="00D8468E">
        <w:rPr>
          <w:sz w:val="26"/>
          <w:szCs w:val="24"/>
        </w:rPr>
        <w:lastRenderedPageBreak/>
        <w:t>Adresāti:</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Ārvalstu investoru padome</w:t>
      </w:r>
    </w:p>
    <w:p w:rsidR="00D2314C" w:rsidRPr="00D8468E" w:rsidRDefault="00D2314C" w:rsidP="00D2314C">
      <w:pPr>
        <w:tabs>
          <w:tab w:val="left" w:pos="6740"/>
        </w:tabs>
        <w:ind w:firstLine="720"/>
        <w:jc w:val="right"/>
        <w:rPr>
          <w:sz w:val="26"/>
          <w:szCs w:val="24"/>
        </w:rPr>
      </w:pPr>
      <w:r w:rsidRPr="00D8468E">
        <w:rPr>
          <w:sz w:val="26"/>
          <w:szCs w:val="24"/>
        </w:rPr>
        <w:t>ficil@ficil.lv</w:t>
      </w:r>
    </w:p>
    <w:p w:rsidR="00D2314C" w:rsidRPr="00D8468E" w:rsidRDefault="00D2314C" w:rsidP="00D2314C">
      <w:pPr>
        <w:tabs>
          <w:tab w:val="left" w:pos="6740"/>
        </w:tabs>
        <w:ind w:firstLine="720"/>
        <w:jc w:val="right"/>
        <w:rPr>
          <w:sz w:val="26"/>
          <w:szCs w:val="24"/>
        </w:rPr>
      </w:pPr>
      <w:r w:rsidRPr="00D8468E">
        <w:rPr>
          <w:sz w:val="26"/>
          <w:szCs w:val="24"/>
        </w:rPr>
        <w:t>CC:</w:t>
      </w:r>
      <w:r w:rsidRPr="00D8468E">
        <w:rPr>
          <w:sz w:val="20"/>
        </w:rPr>
        <w:t xml:space="preserve"> </w:t>
      </w:r>
      <w:r w:rsidRPr="00D8468E">
        <w:rPr>
          <w:sz w:val="26"/>
          <w:szCs w:val="24"/>
        </w:rPr>
        <w:t>julija.sausa@eversheds.lv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Latvijas Tirdzniecības un rūpniecības kamera</w:t>
      </w:r>
    </w:p>
    <w:p w:rsidR="00D2314C" w:rsidRPr="00D8468E" w:rsidRDefault="00D2314C" w:rsidP="00D2314C">
      <w:pPr>
        <w:tabs>
          <w:tab w:val="left" w:pos="6740"/>
        </w:tabs>
        <w:ind w:firstLine="720"/>
        <w:jc w:val="right"/>
        <w:rPr>
          <w:sz w:val="26"/>
          <w:szCs w:val="24"/>
        </w:rPr>
      </w:pPr>
      <w:r w:rsidRPr="00D8468E">
        <w:rPr>
          <w:sz w:val="26"/>
          <w:szCs w:val="24"/>
        </w:rPr>
        <w:t>info@chamber.lv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Latvijas Darba devēju konfederācija</w:t>
      </w:r>
    </w:p>
    <w:p w:rsidR="00D2314C" w:rsidRPr="00D8468E" w:rsidRDefault="00D2314C" w:rsidP="00D2314C">
      <w:pPr>
        <w:tabs>
          <w:tab w:val="left" w:pos="6740"/>
        </w:tabs>
        <w:ind w:firstLine="720"/>
        <w:jc w:val="right"/>
        <w:rPr>
          <w:sz w:val="26"/>
          <w:szCs w:val="24"/>
        </w:rPr>
      </w:pPr>
      <w:r w:rsidRPr="00D8468E">
        <w:rPr>
          <w:sz w:val="26"/>
          <w:szCs w:val="24"/>
        </w:rPr>
        <w:t>lddk@lddk.lv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Latvijas nodokļu konsultantu asociācija</w:t>
      </w:r>
    </w:p>
    <w:p w:rsidR="00D2314C" w:rsidRPr="00D8468E" w:rsidRDefault="00D2314C" w:rsidP="00D2314C">
      <w:pPr>
        <w:tabs>
          <w:tab w:val="left" w:pos="6740"/>
        </w:tabs>
        <w:ind w:firstLine="720"/>
        <w:jc w:val="right"/>
        <w:rPr>
          <w:sz w:val="26"/>
          <w:szCs w:val="24"/>
        </w:rPr>
      </w:pPr>
      <w:r w:rsidRPr="00D8468E">
        <w:rPr>
          <w:sz w:val="26"/>
          <w:szCs w:val="24"/>
        </w:rPr>
        <w:t>lnka@lnka.lv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Latvijas Komercbanku asociācija</w:t>
      </w:r>
    </w:p>
    <w:p w:rsidR="00D2314C" w:rsidRPr="00D8468E" w:rsidRDefault="00D2314C" w:rsidP="00D2314C">
      <w:pPr>
        <w:tabs>
          <w:tab w:val="left" w:pos="6740"/>
        </w:tabs>
        <w:ind w:firstLine="720"/>
        <w:jc w:val="right"/>
        <w:rPr>
          <w:sz w:val="26"/>
          <w:szCs w:val="24"/>
        </w:rPr>
      </w:pPr>
      <w:r w:rsidRPr="00D8468E">
        <w:rPr>
          <w:sz w:val="26"/>
          <w:szCs w:val="24"/>
        </w:rPr>
        <w:t>info@lka.org.lv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Latvijas platforma attīstības sadarbībai</w:t>
      </w:r>
    </w:p>
    <w:p w:rsidR="00D2314C" w:rsidRPr="00D8468E" w:rsidRDefault="00D2314C" w:rsidP="00D2314C">
      <w:pPr>
        <w:tabs>
          <w:tab w:val="left" w:pos="6740"/>
        </w:tabs>
        <w:ind w:firstLine="720"/>
        <w:jc w:val="right"/>
        <w:rPr>
          <w:sz w:val="26"/>
          <w:szCs w:val="24"/>
        </w:rPr>
      </w:pPr>
      <w:r w:rsidRPr="00D8468E">
        <w:rPr>
          <w:sz w:val="26"/>
          <w:szCs w:val="24"/>
        </w:rPr>
        <w:t>info@lapas.lv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SIA Ernst &amp; Young Baltic</w:t>
      </w:r>
    </w:p>
    <w:p w:rsidR="00D2314C" w:rsidRPr="00D8468E" w:rsidRDefault="00D2314C" w:rsidP="00D2314C">
      <w:pPr>
        <w:tabs>
          <w:tab w:val="left" w:pos="6740"/>
        </w:tabs>
        <w:ind w:firstLine="720"/>
        <w:jc w:val="right"/>
        <w:rPr>
          <w:sz w:val="26"/>
          <w:szCs w:val="24"/>
        </w:rPr>
      </w:pPr>
      <w:r w:rsidRPr="00D8468E">
        <w:rPr>
          <w:sz w:val="26"/>
          <w:szCs w:val="24"/>
        </w:rPr>
        <w:t>riga@lv.ey.com</w:t>
      </w:r>
    </w:p>
    <w:p w:rsidR="00D2314C" w:rsidRPr="00D8468E" w:rsidRDefault="00D2314C" w:rsidP="00D2314C">
      <w:pPr>
        <w:tabs>
          <w:tab w:val="left" w:pos="6740"/>
        </w:tabs>
        <w:ind w:firstLine="720"/>
        <w:jc w:val="right"/>
        <w:rPr>
          <w:sz w:val="26"/>
          <w:szCs w:val="24"/>
        </w:rPr>
      </w:pPr>
      <w:r w:rsidRPr="00D8468E">
        <w:rPr>
          <w:sz w:val="26"/>
          <w:szCs w:val="24"/>
        </w:rPr>
        <w:t>CC: sandra.rusane@lv.ey.com</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KPMG Baltics SIA</w:t>
      </w:r>
    </w:p>
    <w:p w:rsidR="00D2314C" w:rsidRPr="00D8468E" w:rsidRDefault="00AB7F2D" w:rsidP="00D2314C">
      <w:pPr>
        <w:tabs>
          <w:tab w:val="left" w:pos="6740"/>
        </w:tabs>
        <w:ind w:firstLine="720"/>
        <w:jc w:val="right"/>
        <w:rPr>
          <w:sz w:val="26"/>
          <w:szCs w:val="24"/>
        </w:rPr>
      </w:pPr>
      <w:hyperlink r:id="rId8" w:history="1">
        <w:r w:rsidR="00D2314C" w:rsidRPr="00D8468E">
          <w:rPr>
            <w:rStyle w:val="Hyperlink"/>
            <w:sz w:val="26"/>
            <w:szCs w:val="24"/>
          </w:rPr>
          <w:t>kpmg@kpmg.lv</w:t>
        </w:r>
      </w:hyperlink>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PricewaterhouseCoopers SIA</w:t>
      </w:r>
    </w:p>
    <w:p w:rsidR="00D2314C" w:rsidRPr="00D8468E" w:rsidRDefault="00D2314C" w:rsidP="00D2314C">
      <w:pPr>
        <w:tabs>
          <w:tab w:val="left" w:pos="6740"/>
        </w:tabs>
        <w:ind w:firstLine="720"/>
        <w:jc w:val="right"/>
        <w:rPr>
          <w:sz w:val="26"/>
          <w:szCs w:val="24"/>
        </w:rPr>
      </w:pPr>
      <w:r w:rsidRPr="00D8468E">
        <w:rPr>
          <w:sz w:val="26"/>
          <w:szCs w:val="24"/>
        </w:rPr>
        <w:t>pwc.riga@lv.pwc.com</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SIA “Deloitte Latvia”</w:t>
      </w:r>
    </w:p>
    <w:p w:rsidR="00D2314C" w:rsidRPr="00D8468E" w:rsidRDefault="00D2314C" w:rsidP="00D2314C">
      <w:pPr>
        <w:tabs>
          <w:tab w:val="left" w:pos="6740"/>
        </w:tabs>
        <w:ind w:firstLine="720"/>
        <w:jc w:val="right"/>
        <w:rPr>
          <w:sz w:val="26"/>
          <w:szCs w:val="24"/>
        </w:rPr>
      </w:pPr>
      <w:r w:rsidRPr="00D8468E">
        <w:rPr>
          <w:sz w:val="26"/>
          <w:szCs w:val="24"/>
        </w:rPr>
        <w:lastRenderedPageBreak/>
        <w:t>Latvia@deloitteCE.com</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ZAB "SORAINEN"</w:t>
      </w:r>
    </w:p>
    <w:p w:rsidR="00D2314C" w:rsidRPr="00D8468E" w:rsidRDefault="00D2314C" w:rsidP="00D2314C">
      <w:pPr>
        <w:tabs>
          <w:tab w:val="left" w:pos="6740"/>
        </w:tabs>
        <w:ind w:firstLine="720"/>
        <w:jc w:val="right"/>
        <w:rPr>
          <w:sz w:val="26"/>
          <w:szCs w:val="24"/>
        </w:rPr>
      </w:pPr>
      <w:r w:rsidRPr="00D8468E">
        <w:rPr>
          <w:sz w:val="26"/>
          <w:szCs w:val="24"/>
        </w:rPr>
        <w:t>latvia@sorainen.com</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SIA „AAT”</w:t>
      </w:r>
    </w:p>
    <w:p w:rsidR="00D2314C" w:rsidRPr="00D8468E" w:rsidRDefault="00D2314C" w:rsidP="00D2314C">
      <w:pPr>
        <w:tabs>
          <w:tab w:val="left" w:pos="6740"/>
        </w:tabs>
        <w:ind w:firstLine="720"/>
        <w:jc w:val="right"/>
        <w:rPr>
          <w:sz w:val="26"/>
          <w:szCs w:val="24"/>
        </w:rPr>
      </w:pPr>
      <w:r w:rsidRPr="00D8468E">
        <w:rPr>
          <w:sz w:val="26"/>
          <w:szCs w:val="24"/>
        </w:rPr>
        <w:t>arturs.breicis@aat.lv</w:t>
      </w:r>
    </w:p>
    <w:p w:rsidR="00D2314C" w:rsidRPr="00D8468E" w:rsidRDefault="00D2314C" w:rsidP="00D2314C">
      <w:pPr>
        <w:tabs>
          <w:tab w:val="left" w:pos="6740"/>
        </w:tabs>
        <w:ind w:firstLine="720"/>
        <w:jc w:val="right"/>
        <w:rPr>
          <w:sz w:val="26"/>
          <w:szCs w:val="24"/>
        </w:rPr>
      </w:pPr>
    </w:p>
    <w:p w:rsidR="00D2314C" w:rsidRPr="00D8468E" w:rsidRDefault="00D2314C" w:rsidP="00D2314C">
      <w:pPr>
        <w:tabs>
          <w:tab w:val="left" w:pos="6740"/>
        </w:tabs>
        <w:ind w:firstLine="720"/>
        <w:jc w:val="right"/>
        <w:rPr>
          <w:b/>
          <w:sz w:val="26"/>
          <w:szCs w:val="24"/>
        </w:rPr>
      </w:pPr>
      <w:r w:rsidRPr="00D8468E">
        <w:rPr>
          <w:b/>
          <w:sz w:val="26"/>
          <w:szCs w:val="24"/>
        </w:rPr>
        <w:t>Grant Thornton Baltic SIA</w:t>
      </w:r>
    </w:p>
    <w:p w:rsidR="00D2314C" w:rsidRPr="00D8468E" w:rsidRDefault="00D2314C" w:rsidP="00D2314C">
      <w:pPr>
        <w:tabs>
          <w:tab w:val="left" w:pos="6740"/>
        </w:tabs>
        <w:ind w:firstLine="720"/>
        <w:jc w:val="right"/>
        <w:rPr>
          <w:sz w:val="26"/>
          <w:szCs w:val="24"/>
        </w:rPr>
      </w:pPr>
      <w:r w:rsidRPr="00D8468E">
        <w:rPr>
          <w:sz w:val="26"/>
          <w:szCs w:val="24"/>
        </w:rPr>
        <w:t>info@lv.gt.com</w:t>
      </w:r>
    </w:p>
    <w:p w:rsidR="000C0DD4" w:rsidRPr="00D8468E" w:rsidRDefault="00D2314C" w:rsidP="00AB0B37">
      <w:pPr>
        <w:tabs>
          <w:tab w:val="left" w:pos="6740"/>
        </w:tabs>
        <w:ind w:firstLine="720"/>
        <w:jc w:val="right"/>
      </w:pPr>
      <w:r w:rsidRPr="00D8468E">
        <w:rPr>
          <w:sz w:val="26"/>
          <w:szCs w:val="24"/>
        </w:rPr>
        <w:t>CC: ilze.palmbaha@lv.gt.com</w:t>
      </w:r>
    </w:p>
    <w:sectPr w:rsidR="000C0DD4" w:rsidRPr="00D8468E" w:rsidSect="002C22B9">
      <w:headerReference w:type="even" r:id="rId9"/>
      <w:headerReference w:type="default" r:id="rId10"/>
      <w:footerReference w:type="default" r:id="rId11"/>
      <w:headerReference w:type="first" r:id="rId12"/>
      <w:footerReference w:type="first" r:id="rId13"/>
      <w:pgSz w:w="11907" w:h="16840" w:code="9"/>
      <w:pgMar w:top="567"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2D" w:rsidRDefault="00AB7F2D">
      <w:r>
        <w:separator/>
      </w:r>
    </w:p>
  </w:endnote>
  <w:endnote w:type="continuationSeparator" w:id="0">
    <w:p w:rsidR="00AB7F2D" w:rsidRDefault="00AB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2951"/>
      <w:docPartObj>
        <w:docPartGallery w:val="Page Numbers (Bottom of Page)"/>
        <w:docPartUnique/>
      </w:docPartObj>
    </w:sdtPr>
    <w:sdtEndPr/>
    <w:sdtContent>
      <w:p w:rsidR="0015384D" w:rsidRDefault="00DC1310">
        <w:pPr>
          <w:pStyle w:val="Footer"/>
          <w:jc w:val="center"/>
        </w:pPr>
        <w:r w:rsidRPr="00557B49">
          <w:rPr>
            <w:sz w:val="24"/>
            <w:szCs w:val="24"/>
          </w:rPr>
          <w:fldChar w:fldCharType="begin"/>
        </w:r>
        <w:r w:rsidR="009E200C" w:rsidRPr="00557B49">
          <w:rPr>
            <w:sz w:val="24"/>
            <w:szCs w:val="24"/>
          </w:rPr>
          <w:instrText xml:space="preserve"> PAGE   \* MERGEFORMAT </w:instrText>
        </w:r>
        <w:r w:rsidRPr="00557B49">
          <w:rPr>
            <w:sz w:val="24"/>
            <w:szCs w:val="24"/>
          </w:rPr>
          <w:fldChar w:fldCharType="separate"/>
        </w:r>
        <w:r w:rsidR="0043494D">
          <w:rPr>
            <w:noProof/>
            <w:sz w:val="24"/>
            <w:szCs w:val="24"/>
          </w:rPr>
          <w:t>2</w:t>
        </w:r>
        <w:r w:rsidRPr="00557B49">
          <w:rPr>
            <w:sz w:val="24"/>
            <w:szCs w:val="24"/>
          </w:rPr>
          <w:fldChar w:fldCharType="end"/>
        </w:r>
      </w:p>
    </w:sdtContent>
  </w:sdt>
  <w:p w:rsidR="0015384D" w:rsidRDefault="00153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4D" w:rsidRDefault="0015384D">
    <w:pPr>
      <w:pStyle w:val="Footer"/>
      <w:jc w:val="center"/>
    </w:pPr>
  </w:p>
  <w:p w:rsidR="0015384D" w:rsidRDefault="0015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2D" w:rsidRDefault="00AB7F2D">
      <w:r>
        <w:separator/>
      </w:r>
    </w:p>
  </w:footnote>
  <w:footnote w:type="continuationSeparator" w:id="0">
    <w:p w:rsidR="00AB7F2D" w:rsidRDefault="00AB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BE" w:rsidRDefault="00DC1310">
    <w:pPr>
      <w:pStyle w:val="Header"/>
      <w:framePr w:wrap="around" w:vAnchor="text" w:hAnchor="margin" w:xAlign="center" w:y="1"/>
      <w:rPr>
        <w:rStyle w:val="PageNumber"/>
      </w:rPr>
    </w:pPr>
    <w:r>
      <w:rPr>
        <w:rStyle w:val="PageNumber"/>
      </w:rPr>
      <w:fldChar w:fldCharType="begin"/>
    </w:r>
    <w:r w:rsidR="00F33DBE">
      <w:rPr>
        <w:rStyle w:val="PageNumber"/>
      </w:rPr>
      <w:instrText xml:space="preserve">PAGE  </w:instrText>
    </w:r>
    <w:r>
      <w:rPr>
        <w:rStyle w:val="PageNumber"/>
      </w:rPr>
      <w:fldChar w:fldCharType="separate"/>
    </w:r>
    <w:r w:rsidR="0015384D">
      <w:rPr>
        <w:rStyle w:val="PageNumber"/>
        <w:noProof/>
      </w:rPr>
      <w:t>2</w:t>
    </w:r>
    <w:r>
      <w:rPr>
        <w:rStyle w:val="PageNumber"/>
      </w:rPr>
      <w:fldChar w:fldCharType="end"/>
    </w:r>
  </w:p>
  <w:p w:rsidR="00F33DBE" w:rsidRDefault="00F33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BE" w:rsidRDefault="00F33DBE" w:rsidP="008C508E">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B9" w:rsidRDefault="002C22B9">
    <w:pPr>
      <w:pStyle w:val="Header"/>
    </w:pPr>
  </w:p>
  <w:p w:rsidR="002C22B9" w:rsidRDefault="002C22B9">
    <w:pPr>
      <w:pStyle w:val="Header"/>
    </w:pPr>
  </w:p>
  <w:p w:rsidR="002C22B9" w:rsidRDefault="002C22B9">
    <w:pPr>
      <w:pStyle w:val="Header"/>
    </w:pPr>
  </w:p>
  <w:p w:rsidR="002C22B9" w:rsidRDefault="0037045B" w:rsidP="002C22B9">
    <w:pPr>
      <w:pStyle w:val="Header"/>
      <w:tabs>
        <w:tab w:val="clear" w:pos="4153"/>
        <w:tab w:val="clear" w:pos="8306"/>
      </w:tabs>
    </w:pP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2030730</wp:posOffset>
              </wp:positionV>
              <wp:extent cx="5943600" cy="314325"/>
              <wp:effectExtent l="0" t="0" r="0" b="952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84pt;margin-top:159.9pt;width:468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" filled="f" stroked="f">
              <v:textbox inset="0,0,0,0">
                <w:txbxContent>
                  <w:p w:rsidR="002C22B9" w:rsidRDefault="002C22B9" w:rsidP="002C22B9">
                    <w:pPr>
                      <w:spacing w:line="194" w:lineRule="exact"/>
                      <w:ind w:left="20" w:right="-45"/>
                      <w:jc w:val="center"/>
                      <w:rPr>
                        <w:sz w:val="17"/>
                        <w:szCs w:val="17"/>
                      </w:rPr>
                    </w:pPr>
                    <w:r w:rsidRPr="00A41446">
                      <w:rPr>
                        <w:color w:val="231F20"/>
                        <w:sz w:val="17"/>
                        <w:szCs w:val="17"/>
                      </w:rPr>
                      <w:t>Smilšu iela 1, Rīga, LV-1919, tālr. 67095</w:t>
                    </w:r>
                    <w:r>
                      <w:rPr>
                        <w:color w:val="231F20"/>
                        <w:sz w:val="17"/>
                        <w:szCs w:val="17"/>
                      </w:rPr>
                      <w:t>689</w:t>
                    </w:r>
                    <w:r w:rsidRPr="00A41446">
                      <w:rPr>
                        <w:color w:val="231F20"/>
                        <w:sz w:val="17"/>
                        <w:szCs w:val="17"/>
                      </w:rPr>
                      <w:t xml:space="preserve">, </w:t>
                    </w:r>
                    <w:r>
                      <w:rPr>
                        <w:color w:val="231F20"/>
                        <w:sz w:val="17"/>
                        <w:szCs w:val="17"/>
                      </w:rPr>
                      <w:t xml:space="preserve">67095578, </w:t>
                    </w:r>
                    <w:r w:rsidRPr="00A41446">
                      <w:rPr>
                        <w:color w:val="231F20"/>
                        <w:sz w:val="17"/>
                        <w:szCs w:val="17"/>
                      </w:rPr>
                      <w:t>fakss 67095503, e-pasts pasts@fm.gov.lv, www.fm.gov.lv</w:t>
                    </w:r>
                  </w:p>
                </w:txbxContent>
              </v:textbox>
              <w10:wrap anchorx="page" anchory="page"/>
            </v:shape>
          </w:pict>
        </mc:Fallback>
      </mc:AlternateContent>
    </w:r>
    <w:r w:rsidR="002C22B9" w:rsidRPr="002C22B9">
      <w:rPr>
        <w:noProof/>
        <w:lang w:eastAsia="lv-LV"/>
      </w:rPr>
      <w:drawing>
        <wp:anchor distT="0" distB="0" distL="114300" distR="114300" simplePos="0" relativeHeight="251661312" behindDoc="1" locked="0" layoutInCell="1" allowOverlap="1" wp14:anchorId="2F0F1E84" wp14:editId="721281F2">
          <wp:simplePos x="0" y="0"/>
          <wp:positionH relativeFrom="margin">
            <wp:posOffset>75565</wp:posOffset>
          </wp:positionH>
          <wp:positionV relativeFrom="page">
            <wp:posOffset>711200</wp:posOffset>
          </wp:positionV>
          <wp:extent cx="5914390" cy="1065600"/>
          <wp:effectExtent l="0" t="0" r="0" b="0"/>
          <wp:wrapNone/>
          <wp:docPr id="8" name="Picture 8"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krod\Desktop\veidlapas_jaunas\paraugi\vienkrasu_header_veidlapa_22.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contrast="100000"/>
                            </a14:imgEffect>
                          </a14:imgLayer>
                        </a14:imgProps>
                      </a:ext>
                      <a:ext uri="{28A0092B-C50C-407E-A947-70E740481C1C}">
                        <a14:useLocalDpi xmlns:a14="http://schemas.microsoft.com/office/drawing/2010/main" val="0"/>
                      </a:ext>
                    </a:extLst>
                  </a:blip>
                  <a:srcRect l="1249" t="1374" r="-1249" b="-1372"/>
                  <a:stretch/>
                </pic:blipFill>
                <pic:spPr bwMode="auto">
                  <a:xfrm>
                    <a:off x="0" y="0"/>
                    <a:ext cx="5914390" cy="106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2C22B9">
    <w:pPr>
      <w:pStyle w:val="Header"/>
    </w:pPr>
  </w:p>
  <w:p w:rsidR="002C22B9" w:rsidRDefault="0037045B">
    <w:pPr>
      <w:pStyle w:val="Header"/>
    </w:pPr>
    <w:r>
      <w:rPr>
        <w:noProof/>
        <w:lang w:eastAsia="lv-LV"/>
      </w:rPr>
      <mc:AlternateContent>
        <mc:Choice Requires="wpg">
          <w:drawing>
            <wp:anchor distT="0" distB="0" distL="114300" distR="114300" simplePos="0" relativeHeight="251659264" behindDoc="1" locked="0" layoutInCell="1" allowOverlap="1">
              <wp:simplePos x="0" y="0"/>
              <wp:positionH relativeFrom="margin">
                <wp:posOffset>-34290</wp:posOffset>
              </wp:positionH>
              <wp:positionV relativeFrom="page">
                <wp:posOffset>1903095</wp:posOffset>
              </wp:positionV>
              <wp:extent cx="5937250" cy="45085"/>
              <wp:effectExtent l="0" t="0" r="25400" b="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45085"/>
                        <a:chOff x="2915" y="2998"/>
                        <a:chExt cx="6926" cy="2"/>
                      </a:xfrm>
                    </wpg:grpSpPr>
                    <wps:wsp>
                      <wps:cNvPr id="10"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1329D" id="Group 41" o:spid="_x0000_s1026" style="position:absolute;margin-left:-2.7pt;margin-top:149.85pt;width:467.5pt;height:3.55pt;z-index:-251657216;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nmMYA&#10;AADbAAAADwAAAGRycy9kb3ducmV2LnhtbESPQUvDQBCF70L/wzKCF7GbWio27bYUsdB6MwribcxO&#10;k2B2Nu6uadpf7xwK3mZ4b977ZrkeXKt6CrHxbGAyzkARl942XBl4f9vePYKKCdli65kMnCjCejW6&#10;WmJu/ZFfqS9SpSSEY44G6pS6XOtY1uQwjn1HLNrBB4dJ1lBpG/Ao4a7V91n2oB02LA01dvRUU/ld&#10;/DoDL9l0Pvv4muh5oW9/bNj3n8/n3pib62GzAJVoSP/my/XOCr7Qyy8y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cnmMYAAADbAAAADwAAAAAAAAAAAAAAAACYAgAAZHJz&#10;L2Rvd25yZXYueG1sUEsFBgAAAAAEAAQA9QAAAIsDAAAAAA==&#10;" path="m,l6926,e" filled="f" strokecolor="#231f20" strokeweight=".25pt">
                <v:path arrowok="t" o:connecttype="custom" o:connectlocs="0,0;6926,0" o:connectangles="0,0"/>
              </v:shape>
              <w10:wrap anchorx="margin" anchory="page"/>
            </v:group>
          </w:pict>
        </mc:Fallback>
      </mc:AlternateContent>
    </w:r>
  </w:p>
  <w:p w:rsidR="002C22B9" w:rsidRDefault="002C22B9">
    <w:pPr>
      <w:pStyle w:val="Header"/>
    </w:pPr>
  </w:p>
  <w:p w:rsidR="002C22B9" w:rsidRDefault="002C22B9">
    <w:pPr>
      <w:pStyle w:val="Header"/>
    </w:pPr>
  </w:p>
  <w:p w:rsidR="002C22B9" w:rsidRDefault="002C2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E03F4"/>
    <w:multiLevelType w:val="hybridMultilevel"/>
    <w:tmpl w:val="E5BCF20C"/>
    <w:lvl w:ilvl="0" w:tplc="6ADABE66">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51"/>
    <w:rsid w:val="0002005E"/>
    <w:rsid w:val="00025906"/>
    <w:rsid w:val="00051BDB"/>
    <w:rsid w:val="00054277"/>
    <w:rsid w:val="00062D32"/>
    <w:rsid w:val="00063804"/>
    <w:rsid w:val="000704C8"/>
    <w:rsid w:val="00072A98"/>
    <w:rsid w:val="0008360A"/>
    <w:rsid w:val="000859B0"/>
    <w:rsid w:val="00086189"/>
    <w:rsid w:val="000A0A49"/>
    <w:rsid w:val="000A2273"/>
    <w:rsid w:val="000A4A49"/>
    <w:rsid w:val="000B5E98"/>
    <w:rsid w:val="000B75CE"/>
    <w:rsid w:val="000C0DD4"/>
    <w:rsid w:val="000C1481"/>
    <w:rsid w:val="000E05A4"/>
    <w:rsid w:val="000E5EF0"/>
    <w:rsid w:val="000E7902"/>
    <w:rsid w:val="00101EF2"/>
    <w:rsid w:val="00102247"/>
    <w:rsid w:val="001042A3"/>
    <w:rsid w:val="00114955"/>
    <w:rsid w:val="00130802"/>
    <w:rsid w:val="00133D25"/>
    <w:rsid w:val="001421E1"/>
    <w:rsid w:val="001428D4"/>
    <w:rsid w:val="001459C6"/>
    <w:rsid w:val="00146475"/>
    <w:rsid w:val="00146FE3"/>
    <w:rsid w:val="0015384D"/>
    <w:rsid w:val="00156874"/>
    <w:rsid w:val="00160F55"/>
    <w:rsid w:val="0017402C"/>
    <w:rsid w:val="00176F63"/>
    <w:rsid w:val="00184AB5"/>
    <w:rsid w:val="001943EE"/>
    <w:rsid w:val="001D78A7"/>
    <w:rsid w:val="001F53D9"/>
    <w:rsid w:val="00203705"/>
    <w:rsid w:val="0021300E"/>
    <w:rsid w:val="00220CEE"/>
    <w:rsid w:val="00224396"/>
    <w:rsid w:val="00227D91"/>
    <w:rsid w:val="0023013F"/>
    <w:rsid w:val="00235349"/>
    <w:rsid w:val="00244390"/>
    <w:rsid w:val="00260557"/>
    <w:rsid w:val="00261352"/>
    <w:rsid w:val="002644F0"/>
    <w:rsid w:val="00266CF2"/>
    <w:rsid w:val="00267E3D"/>
    <w:rsid w:val="00292E11"/>
    <w:rsid w:val="0029448D"/>
    <w:rsid w:val="002A20A3"/>
    <w:rsid w:val="002B2B9A"/>
    <w:rsid w:val="002C22B9"/>
    <w:rsid w:val="002D0DAE"/>
    <w:rsid w:val="002D2EFD"/>
    <w:rsid w:val="002D6CB4"/>
    <w:rsid w:val="002E06CD"/>
    <w:rsid w:val="002E288C"/>
    <w:rsid w:val="002F5D59"/>
    <w:rsid w:val="003026CE"/>
    <w:rsid w:val="00302D28"/>
    <w:rsid w:val="00304112"/>
    <w:rsid w:val="003043C9"/>
    <w:rsid w:val="00314B6D"/>
    <w:rsid w:val="0031519D"/>
    <w:rsid w:val="00325CE2"/>
    <w:rsid w:val="00330C2A"/>
    <w:rsid w:val="00332AF9"/>
    <w:rsid w:val="00341839"/>
    <w:rsid w:val="0037045B"/>
    <w:rsid w:val="00370E9E"/>
    <w:rsid w:val="00374C0D"/>
    <w:rsid w:val="00380855"/>
    <w:rsid w:val="00383D87"/>
    <w:rsid w:val="00386F28"/>
    <w:rsid w:val="00392EBE"/>
    <w:rsid w:val="00393EB9"/>
    <w:rsid w:val="00396BF4"/>
    <w:rsid w:val="003A324A"/>
    <w:rsid w:val="003B329B"/>
    <w:rsid w:val="003B4764"/>
    <w:rsid w:val="003D09AE"/>
    <w:rsid w:val="003D179D"/>
    <w:rsid w:val="003F2252"/>
    <w:rsid w:val="003F2673"/>
    <w:rsid w:val="003F4635"/>
    <w:rsid w:val="003F79A5"/>
    <w:rsid w:val="004059A7"/>
    <w:rsid w:val="004218E7"/>
    <w:rsid w:val="004241B4"/>
    <w:rsid w:val="0043494D"/>
    <w:rsid w:val="00434A02"/>
    <w:rsid w:val="0043643E"/>
    <w:rsid w:val="004478B9"/>
    <w:rsid w:val="004536F5"/>
    <w:rsid w:val="00474D18"/>
    <w:rsid w:val="00483407"/>
    <w:rsid w:val="004C6C8D"/>
    <w:rsid w:val="004E2880"/>
    <w:rsid w:val="004E45F2"/>
    <w:rsid w:val="004E4C3B"/>
    <w:rsid w:val="004F221F"/>
    <w:rsid w:val="004F32A1"/>
    <w:rsid w:val="004F671B"/>
    <w:rsid w:val="004F7DFD"/>
    <w:rsid w:val="005053F3"/>
    <w:rsid w:val="00513B65"/>
    <w:rsid w:val="00526E86"/>
    <w:rsid w:val="0053353D"/>
    <w:rsid w:val="00546FDE"/>
    <w:rsid w:val="00550841"/>
    <w:rsid w:val="00550BA5"/>
    <w:rsid w:val="00557B49"/>
    <w:rsid w:val="0056044A"/>
    <w:rsid w:val="00566B07"/>
    <w:rsid w:val="00583887"/>
    <w:rsid w:val="00583F38"/>
    <w:rsid w:val="005846CE"/>
    <w:rsid w:val="00584ED6"/>
    <w:rsid w:val="005910E7"/>
    <w:rsid w:val="005A0BBB"/>
    <w:rsid w:val="005D7171"/>
    <w:rsid w:val="005E3D1E"/>
    <w:rsid w:val="005F3139"/>
    <w:rsid w:val="00613984"/>
    <w:rsid w:val="00615936"/>
    <w:rsid w:val="006205B8"/>
    <w:rsid w:val="00622CFD"/>
    <w:rsid w:val="006240D2"/>
    <w:rsid w:val="00636996"/>
    <w:rsid w:val="00642EE6"/>
    <w:rsid w:val="00643F3C"/>
    <w:rsid w:val="006610B8"/>
    <w:rsid w:val="00667635"/>
    <w:rsid w:val="00683E8B"/>
    <w:rsid w:val="00697AB8"/>
    <w:rsid w:val="006A05F7"/>
    <w:rsid w:val="006A3594"/>
    <w:rsid w:val="006A707B"/>
    <w:rsid w:val="006B0215"/>
    <w:rsid w:val="006B33CB"/>
    <w:rsid w:val="006B42A2"/>
    <w:rsid w:val="006D24EC"/>
    <w:rsid w:val="006D6710"/>
    <w:rsid w:val="006E45DD"/>
    <w:rsid w:val="006E689E"/>
    <w:rsid w:val="006E6DBE"/>
    <w:rsid w:val="00701105"/>
    <w:rsid w:val="0070258A"/>
    <w:rsid w:val="00706C69"/>
    <w:rsid w:val="0070718E"/>
    <w:rsid w:val="0071276C"/>
    <w:rsid w:val="00730E2D"/>
    <w:rsid w:val="00733696"/>
    <w:rsid w:val="00733C31"/>
    <w:rsid w:val="007523B6"/>
    <w:rsid w:val="00765592"/>
    <w:rsid w:val="00786DAF"/>
    <w:rsid w:val="00792DE6"/>
    <w:rsid w:val="007A5BA9"/>
    <w:rsid w:val="007A73EC"/>
    <w:rsid w:val="007B32A0"/>
    <w:rsid w:val="007C5B7E"/>
    <w:rsid w:val="007E021E"/>
    <w:rsid w:val="007E7EA0"/>
    <w:rsid w:val="007F3771"/>
    <w:rsid w:val="007F6888"/>
    <w:rsid w:val="00812E64"/>
    <w:rsid w:val="008237C6"/>
    <w:rsid w:val="00826D51"/>
    <w:rsid w:val="008360BD"/>
    <w:rsid w:val="00837277"/>
    <w:rsid w:val="0086567E"/>
    <w:rsid w:val="00866595"/>
    <w:rsid w:val="00875EF1"/>
    <w:rsid w:val="00884446"/>
    <w:rsid w:val="00886C8A"/>
    <w:rsid w:val="008A5EC1"/>
    <w:rsid w:val="008C508E"/>
    <w:rsid w:val="008C65E9"/>
    <w:rsid w:val="008D22AE"/>
    <w:rsid w:val="008E472A"/>
    <w:rsid w:val="008E4EA4"/>
    <w:rsid w:val="008E4FE5"/>
    <w:rsid w:val="008F1369"/>
    <w:rsid w:val="008F15DF"/>
    <w:rsid w:val="008F2376"/>
    <w:rsid w:val="00903B9C"/>
    <w:rsid w:val="00911470"/>
    <w:rsid w:val="00920076"/>
    <w:rsid w:val="009212D8"/>
    <w:rsid w:val="009328EF"/>
    <w:rsid w:val="00963ACC"/>
    <w:rsid w:val="00973529"/>
    <w:rsid w:val="009819D5"/>
    <w:rsid w:val="0098433C"/>
    <w:rsid w:val="00996DC8"/>
    <w:rsid w:val="009B2296"/>
    <w:rsid w:val="009B7929"/>
    <w:rsid w:val="009C19FD"/>
    <w:rsid w:val="009C643F"/>
    <w:rsid w:val="009E200C"/>
    <w:rsid w:val="009F3293"/>
    <w:rsid w:val="009F77B9"/>
    <w:rsid w:val="00A03231"/>
    <w:rsid w:val="00A17946"/>
    <w:rsid w:val="00A21D44"/>
    <w:rsid w:val="00A30AED"/>
    <w:rsid w:val="00A318B0"/>
    <w:rsid w:val="00A4004D"/>
    <w:rsid w:val="00A54546"/>
    <w:rsid w:val="00A87DFA"/>
    <w:rsid w:val="00A94030"/>
    <w:rsid w:val="00AA21A4"/>
    <w:rsid w:val="00AA6DC1"/>
    <w:rsid w:val="00AA74E7"/>
    <w:rsid w:val="00AB0B37"/>
    <w:rsid w:val="00AB2288"/>
    <w:rsid w:val="00AB278E"/>
    <w:rsid w:val="00AB7F2D"/>
    <w:rsid w:val="00AC60C1"/>
    <w:rsid w:val="00AD576B"/>
    <w:rsid w:val="00AE2200"/>
    <w:rsid w:val="00AF21C7"/>
    <w:rsid w:val="00B26E48"/>
    <w:rsid w:val="00B30E51"/>
    <w:rsid w:val="00B45C16"/>
    <w:rsid w:val="00B9570C"/>
    <w:rsid w:val="00BB4400"/>
    <w:rsid w:val="00BC4777"/>
    <w:rsid w:val="00BD24E4"/>
    <w:rsid w:val="00BE3E7A"/>
    <w:rsid w:val="00BE5011"/>
    <w:rsid w:val="00BE78C7"/>
    <w:rsid w:val="00BF11EB"/>
    <w:rsid w:val="00BF233C"/>
    <w:rsid w:val="00C038B7"/>
    <w:rsid w:val="00C041F7"/>
    <w:rsid w:val="00C04DED"/>
    <w:rsid w:val="00C21975"/>
    <w:rsid w:val="00C345B8"/>
    <w:rsid w:val="00C375DF"/>
    <w:rsid w:val="00C44804"/>
    <w:rsid w:val="00C45100"/>
    <w:rsid w:val="00C50C30"/>
    <w:rsid w:val="00C53A90"/>
    <w:rsid w:val="00C54CFF"/>
    <w:rsid w:val="00C56C1D"/>
    <w:rsid w:val="00C6145F"/>
    <w:rsid w:val="00C640B7"/>
    <w:rsid w:val="00C81055"/>
    <w:rsid w:val="00C87CD4"/>
    <w:rsid w:val="00CD3BB8"/>
    <w:rsid w:val="00CE0655"/>
    <w:rsid w:val="00CF7CC2"/>
    <w:rsid w:val="00D0332A"/>
    <w:rsid w:val="00D06A60"/>
    <w:rsid w:val="00D1142D"/>
    <w:rsid w:val="00D149A6"/>
    <w:rsid w:val="00D2314C"/>
    <w:rsid w:val="00D27F4F"/>
    <w:rsid w:val="00D3049B"/>
    <w:rsid w:val="00D4070C"/>
    <w:rsid w:val="00D462B6"/>
    <w:rsid w:val="00D51CC7"/>
    <w:rsid w:val="00D57801"/>
    <w:rsid w:val="00D65123"/>
    <w:rsid w:val="00D70A7C"/>
    <w:rsid w:val="00D73652"/>
    <w:rsid w:val="00D8468E"/>
    <w:rsid w:val="00D873B0"/>
    <w:rsid w:val="00DA3EAF"/>
    <w:rsid w:val="00DA7256"/>
    <w:rsid w:val="00DA7D9E"/>
    <w:rsid w:val="00DB1E3A"/>
    <w:rsid w:val="00DB5AB6"/>
    <w:rsid w:val="00DC1310"/>
    <w:rsid w:val="00DC1600"/>
    <w:rsid w:val="00DC461E"/>
    <w:rsid w:val="00DD4524"/>
    <w:rsid w:val="00DD56CC"/>
    <w:rsid w:val="00DD5E25"/>
    <w:rsid w:val="00DE7EC9"/>
    <w:rsid w:val="00DF1EC1"/>
    <w:rsid w:val="00DF75CE"/>
    <w:rsid w:val="00E04F00"/>
    <w:rsid w:val="00E0527A"/>
    <w:rsid w:val="00E13483"/>
    <w:rsid w:val="00E15F9B"/>
    <w:rsid w:val="00E25982"/>
    <w:rsid w:val="00E3743F"/>
    <w:rsid w:val="00E44ADB"/>
    <w:rsid w:val="00E71316"/>
    <w:rsid w:val="00E95294"/>
    <w:rsid w:val="00EA7310"/>
    <w:rsid w:val="00EB1825"/>
    <w:rsid w:val="00EB2C30"/>
    <w:rsid w:val="00ED59D7"/>
    <w:rsid w:val="00EE1908"/>
    <w:rsid w:val="00EF2339"/>
    <w:rsid w:val="00F06A13"/>
    <w:rsid w:val="00F14918"/>
    <w:rsid w:val="00F220D5"/>
    <w:rsid w:val="00F33DBE"/>
    <w:rsid w:val="00F33E54"/>
    <w:rsid w:val="00F35615"/>
    <w:rsid w:val="00F365B1"/>
    <w:rsid w:val="00F37820"/>
    <w:rsid w:val="00F462A6"/>
    <w:rsid w:val="00F62E54"/>
    <w:rsid w:val="00F84ADE"/>
    <w:rsid w:val="00F949B7"/>
    <w:rsid w:val="00F952BC"/>
    <w:rsid w:val="00FB1DB2"/>
    <w:rsid w:val="00FB225E"/>
    <w:rsid w:val="00FE2AC9"/>
    <w:rsid w:val="00FE7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99BFC-0B14-4ABE-B442-61A8F77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A4"/>
    <w:pPr>
      <w:jc w:val="both"/>
    </w:pPr>
    <w:rPr>
      <w:sz w:val="24"/>
      <w:lang w:eastAsia="en-US"/>
    </w:rPr>
  </w:style>
  <w:style w:type="paragraph" w:styleId="Heading1">
    <w:name w:val="heading 1"/>
    <w:basedOn w:val="Normal"/>
    <w:next w:val="Normal"/>
    <w:qFormat/>
    <w:rsid w:val="00903B9C"/>
    <w:pPr>
      <w:keepNext/>
      <w:spacing w:before="240" w:after="60"/>
      <w:outlineLvl w:val="0"/>
    </w:pPr>
    <w:rPr>
      <w:b/>
      <w:kern w:val="28"/>
      <w:sz w:val="28"/>
    </w:rPr>
  </w:style>
  <w:style w:type="paragraph" w:styleId="Heading2">
    <w:name w:val="heading 2"/>
    <w:basedOn w:val="Normal"/>
    <w:next w:val="Normal"/>
    <w:qFormat/>
    <w:rsid w:val="00903B9C"/>
    <w:pPr>
      <w:keepNext/>
      <w:spacing w:before="240" w:after="60"/>
      <w:outlineLvl w:val="1"/>
    </w:pPr>
    <w:rPr>
      <w:b/>
      <w:sz w:val="26"/>
    </w:rPr>
  </w:style>
  <w:style w:type="paragraph" w:styleId="Heading3">
    <w:name w:val="heading 3"/>
    <w:basedOn w:val="Normal"/>
    <w:next w:val="Normal"/>
    <w:qFormat/>
    <w:rsid w:val="00903B9C"/>
    <w:pPr>
      <w:keepNext/>
      <w:spacing w:before="240" w:after="60"/>
      <w:outlineLvl w:val="2"/>
    </w:pPr>
    <w:rPr>
      <w:b/>
    </w:rPr>
  </w:style>
  <w:style w:type="paragraph" w:styleId="Heading4">
    <w:name w:val="heading 4"/>
    <w:basedOn w:val="Normal"/>
    <w:next w:val="Normal"/>
    <w:qFormat/>
    <w:rsid w:val="00903B9C"/>
    <w:pPr>
      <w:keepNext/>
      <w:jc w:val="center"/>
      <w:outlineLvl w:val="3"/>
    </w:pPr>
    <w:rPr>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B9C"/>
    <w:pPr>
      <w:tabs>
        <w:tab w:val="center" w:pos="4153"/>
        <w:tab w:val="right" w:pos="8306"/>
      </w:tabs>
    </w:pPr>
    <w:rPr>
      <w:sz w:val="18"/>
    </w:rPr>
  </w:style>
  <w:style w:type="paragraph" w:styleId="Footer">
    <w:name w:val="footer"/>
    <w:basedOn w:val="Normal"/>
    <w:link w:val="FooterChar"/>
    <w:uiPriority w:val="99"/>
    <w:rsid w:val="00903B9C"/>
    <w:pPr>
      <w:tabs>
        <w:tab w:val="center" w:pos="4153"/>
        <w:tab w:val="right" w:pos="8306"/>
      </w:tabs>
    </w:pPr>
    <w:rPr>
      <w:sz w:val="18"/>
    </w:rPr>
  </w:style>
  <w:style w:type="character" w:styleId="PageNumber">
    <w:name w:val="page number"/>
    <w:rsid w:val="00903B9C"/>
    <w:rPr>
      <w:rFonts w:ascii="Times New Roman" w:hAnsi="Times New Roman"/>
    </w:rPr>
  </w:style>
  <w:style w:type="paragraph" w:styleId="Caption">
    <w:name w:val="caption"/>
    <w:basedOn w:val="Normal"/>
    <w:next w:val="Normal"/>
    <w:qFormat/>
    <w:rsid w:val="00903B9C"/>
    <w:pPr>
      <w:framePr w:w="9083" w:hSpace="181" w:wrap="around" w:vAnchor="page" w:hAnchor="page" w:x="1702" w:y="579" w:anchorLock="1"/>
      <w:pBdr>
        <w:bottom w:val="single" w:sz="6" w:space="4" w:color="auto"/>
      </w:pBdr>
      <w:jc w:val="center"/>
    </w:pPr>
    <w:rPr>
      <w:spacing w:val="2"/>
      <w:sz w:val="28"/>
    </w:rPr>
  </w:style>
  <w:style w:type="paragraph" w:styleId="FootnoteText">
    <w:name w:val="footnote text"/>
    <w:basedOn w:val="Normal"/>
    <w:link w:val="FootnoteTextChar"/>
    <w:semiHidden/>
    <w:rsid w:val="00903B9C"/>
    <w:rPr>
      <w:sz w:val="20"/>
    </w:rPr>
  </w:style>
  <w:style w:type="character" w:styleId="FootnoteReference">
    <w:name w:val="footnote reference"/>
    <w:semiHidden/>
    <w:rsid w:val="00903B9C"/>
    <w:rPr>
      <w:rFonts w:ascii="Times New Roman" w:hAnsi="Times New Roman"/>
      <w:vertAlign w:val="superscript"/>
    </w:rPr>
  </w:style>
  <w:style w:type="paragraph" w:styleId="DocumentMap">
    <w:name w:val="Document Map"/>
    <w:basedOn w:val="Normal"/>
    <w:semiHidden/>
    <w:rsid w:val="00903B9C"/>
    <w:pPr>
      <w:shd w:val="clear" w:color="auto" w:fill="000080"/>
    </w:pPr>
    <w:rPr>
      <w:rFonts w:ascii="Tahoma" w:hAnsi="Tahoma" w:cs="Tahoma"/>
    </w:rPr>
  </w:style>
  <w:style w:type="character" w:styleId="Hyperlink">
    <w:name w:val="Hyperlink"/>
    <w:uiPriority w:val="99"/>
    <w:rsid w:val="00101EF2"/>
    <w:rPr>
      <w:color w:val="0000FF"/>
      <w:u w:val="single"/>
    </w:rPr>
  </w:style>
  <w:style w:type="paragraph" w:styleId="BalloonText">
    <w:name w:val="Balloon Text"/>
    <w:basedOn w:val="Normal"/>
    <w:semiHidden/>
    <w:rsid w:val="00884446"/>
    <w:rPr>
      <w:rFonts w:ascii="Tahoma" w:hAnsi="Tahoma" w:cs="Tahoma"/>
      <w:sz w:val="16"/>
      <w:szCs w:val="16"/>
    </w:rPr>
  </w:style>
  <w:style w:type="character" w:customStyle="1" w:styleId="FootnoteTextChar">
    <w:name w:val="Footnote Text Char"/>
    <w:link w:val="FootnoteText"/>
    <w:semiHidden/>
    <w:rsid w:val="008F15DF"/>
    <w:rPr>
      <w:lang w:eastAsia="en-US"/>
    </w:rPr>
  </w:style>
  <w:style w:type="character" w:customStyle="1" w:styleId="FooterChar">
    <w:name w:val="Footer Char"/>
    <w:basedOn w:val="DefaultParagraphFont"/>
    <w:link w:val="Footer"/>
    <w:uiPriority w:val="99"/>
    <w:rsid w:val="006D6710"/>
    <w:rPr>
      <w:sz w:val="18"/>
      <w:lang w:eastAsia="en-US"/>
    </w:rPr>
  </w:style>
  <w:style w:type="paragraph" w:styleId="BodyTextIndent">
    <w:name w:val="Body Text Indent"/>
    <w:basedOn w:val="Normal"/>
    <w:link w:val="BodyTextIndentChar"/>
    <w:uiPriority w:val="99"/>
    <w:unhideWhenUsed/>
    <w:rsid w:val="002D6CB4"/>
    <w:pPr>
      <w:spacing w:before="120" w:after="120"/>
      <w:ind w:left="283"/>
      <w:jc w:val="left"/>
    </w:pPr>
    <w:rPr>
      <w:sz w:val="20"/>
    </w:rPr>
  </w:style>
  <w:style w:type="character" w:customStyle="1" w:styleId="BodyTextIndentChar">
    <w:name w:val="Body Text Indent Char"/>
    <w:basedOn w:val="DefaultParagraphFont"/>
    <w:link w:val="BodyTextIndent"/>
    <w:uiPriority w:val="99"/>
    <w:rsid w:val="002D6CB4"/>
    <w:rPr>
      <w:lang w:eastAsia="en-US"/>
    </w:rPr>
  </w:style>
  <w:style w:type="character" w:styleId="PlaceholderText">
    <w:name w:val="Placeholder Text"/>
    <w:basedOn w:val="DefaultParagraphFont"/>
    <w:uiPriority w:val="99"/>
    <w:semiHidden/>
    <w:rsid w:val="00826D51"/>
    <w:rPr>
      <w:color w:val="808080"/>
    </w:rPr>
  </w:style>
  <w:style w:type="table" w:styleId="TableGrid">
    <w:name w:val="Table Grid"/>
    <w:basedOn w:val="TableNormal"/>
    <w:uiPriority w:val="59"/>
    <w:rsid w:val="004E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3217">
      <w:bodyDiv w:val="1"/>
      <w:marLeft w:val="0"/>
      <w:marRight w:val="0"/>
      <w:marTop w:val="0"/>
      <w:marBottom w:val="0"/>
      <w:divBdr>
        <w:top w:val="none" w:sz="0" w:space="0" w:color="auto"/>
        <w:left w:val="none" w:sz="0" w:space="0" w:color="auto"/>
        <w:bottom w:val="none" w:sz="0" w:space="0" w:color="auto"/>
        <w:right w:val="none" w:sz="0" w:space="0" w:color="auto"/>
      </w:divBdr>
    </w:div>
    <w:div w:id="163015375">
      <w:bodyDiv w:val="1"/>
      <w:marLeft w:val="0"/>
      <w:marRight w:val="0"/>
      <w:marTop w:val="0"/>
      <w:marBottom w:val="0"/>
      <w:divBdr>
        <w:top w:val="none" w:sz="0" w:space="0" w:color="auto"/>
        <w:left w:val="none" w:sz="0" w:space="0" w:color="auto"/>
        <w:bottom w:val="none" w:sz="0" w:space="0" w:color="auto"/>
        <w:right w:val="none" w:sz="0" w:space="0" w:color="auto"/>
      </w:divBdr>
    </w:div>
    <w:div w:id="253784472">
      <w:bodyDiv w:val="1"/>
      <w:marLeft w:val="0"/>
      <w:marRight w:val="0"/>
      <w:marTop w:val="0"/>
      <w:marBottom w:val="0"/>
      <w:divBdr>
        <w:top w:val="none" w:sz="0" w:space="0" w:color="auto"/>
        <w:left w:val="none" w:sz="0" w:space="0" w:color="auto"/>
        <w:bottom w:val="none" w:sz="0" w:space="0" w:color="auto"/>
        <w:right w:val="none" w:sz="0" w:space="0" w:color="auto"/>
      </w:divBdr>
    </w:div>
    <w:div w:id="557320575">
      <w:bodyDiv w:val="1"/>
      <w:marLeft w:val="0"/>
      <w:marRight w:val="0"/>
      <w:marTop w:val="0"/>
      <w:marBottom w:val="0"/>
      <w:divBdr>
        <w:top w:val="none" w:sz="0" w:space="0" w:color="auto"/>
        <w:left w:val="none" w:sz="0" w:space="0" w:color="auto"/>
        <w:bottom w:val="none" w:sz="0" w:space="0" w:color="auto"/>
        <w:right w:val="none" w:sz="0" w:space="0" w:color="auto"/>
      </w:divBdr>
    </w:div>
    <w:div w:id="566110072">
      <w:bodyDiv w:val="1"/>
      <w:marLeft w:val="0"/>
      <w:marRight w:val="0"/>
      <w:marTop w:val="0"/>
      <w:marBottom w:val="0"/>
      <w:divBdr>
        <w:top w:val="none" w:sz="0" w:space="0" w:color="auto"/>
        <w:left w:val="none" w:sz="0" w:space="0" w:color="auto"/>
        <w:bottom w:val="none" w:sz="0" w:space="0" w:color="auto"/>
        <w:right w:val="none" w:sz="0" w:space="0" w:color="auto"/>
      </w:divBdr>
    </w:div>
    <w:div w:id="844393798">
      <w:bodyDiv w:val="1"/>
      <w:marLeft w:val="0"/>
      <w:marRight w:val="0"/>
      <w:marTop w:val="0"/>
      <w:marBottom w:val="0"/>
      <w:divBdr>
        <w:top w:val="none" w:sz="0" w:space="0" w:color="auto"/>
        <w:left w:val="none" w:sz="0" w:space="0" w:color="auto"/>
        <w:bottom w:val="none" w:sz="0" w:space="0" w:color="auto"/>
        <w:right w:val="none" w:sz="0" w:space="0" w:color="auto"/>
      </w:divBdr>
    </w:div>
    <w:div w:id="960914943">
      <w:bodyDiv w:val="1"/>
      <w:marLeft w:val="0"/>
      <w:marRight w:val="0"/>
      <w:marTop w:val="0"/>
      <w:marBottom w:val="0"/>
      <w:divBdr>
        <w:top w:val="none" w:sz="0" w:space="0" w:color="auto"/>
        <w:left w:val="none" w:sz="0" w:space="0" w:color="auto"/>
        <w:bottom w:val="none" w:sz="0" w:space="0" w:color="auto"/>
        <w:right w:val="none" w:sz="0" w:space="0" w:color="auto"/>
      </w:divBdr>
    </w:div>
    <w:div w:id="982393156">
      <w:bodyDiv w:val="1"/>
      <w:marLeft w:val="0"/>
      <w:marRight w:val="0"/>
      <w:marTop w:val="0"/>
      <w:marBottom w:val="0"/>
      <w:divBdr>
        <w:top w:val="none" w:sz="0" w:space="0" w:color="auto"/>
        <w:left w:val="none" w:sz="0" w:space="0" w:color="auto"/>
        <w:bottom w:val="none" w:sz="0" w:space="0" w:color="auto"/>
        <w:right w:val="none" w:sz="0" w:space="0" w:color="auto"/>
      </w:divBdr>
    </w:div>
    <w:div w:id="1021977085">
      <w:bodyDiv w:val="1"/>
      <w:marLeft w:val="0"/>
      <w:marRight w:val="0"/>
      <w:marTop w:val="0"/>
      <w:marBottom w:val="0"/>
      <w:divBdr>
        <w:top w:val="none" w:sz="0" w:space="0" w:color="auto"/>
        <w:left w:val="none" w:sz="0" w:space="0" w:color="auto"/>
        <w:bottom w:val="none" w:sz="0" w:space="0" w:color="auto"/>
        <w:right w:val="none" w:sz="0" w:space="0" w:color="auto"/>
      </w:divBdr>
    </w:div>
    <w:div w:id="1057512489">
      <w:bodyDiv w:val="1"/>
      <w:marLeft w:val="0"/>
      <w:marRight w:val="0"/>
      <w:marTop w:val="0"/>
      <w:marBottom w:val="0"/>
      <w:divBdr>
        <w:top w:val="none" w:sz="0" w:space="0" w:color="auto"/>
        <w:left w:val="none" w:sz="0" w:space="0" w:color="auto"/>
        <w:bottom w:val="none" w:sz="0" w:space="0" w:color="auto"/>
        <w:right w:val="none" w:sz="0" w:space="0" w:color="auto"/>
      </w:divBdr>
    </w:div>
    <w:div w:id="1175221815">
      <w:bodyDiv w:val="1"/>
      <w:marLeft w:val="0"/>
      <w:marRight w:val="0"/>
      <w:marTop w:val="0"/>
      <w:marBottom w:val="0"/>
      <w:divBdr>
        <w:top w:val="none" w:sz="0" w:space="0" w:color="auto"/>
        <w:left w:val="none" w:sz="0" w:space="0" w:color="auto"/>
        <w:bottom w:val="none" w:sz="0" w:space="0" w:color="auto"/>
        <w:right w:val="none" w:sz="0" w:space="0" w:color="auto"/>
      </w:divBdr>
    </w:div>
    <w:div w:id="1204176316">
      <w:bodyDiv w:val="1"/>
      <w:marLeft w:val="0"/>
      <w:marRight w:val="0"/>
      <w:marTop w:val="0"/>
      <w:marBottom w:val="0"/>
      <w:divBdr>
        <w:top w:val="none" w:sz="0" w:space="0" w:color="auto"/>
        <w:left w:val="none" w:sz="0" w:space="0" w:color="auto"/>
        <w:bottom w:val="none" w:sz="0" w:space="0" w:color="auto"/>
        <w:right w:val="none" w:sz="0" w:space="0" w:color="auto"/>
      </w:divBdr>
    </w:div>
    <w:div w:id="1238594022">
      <w:bodyDiv w:val="1"/>
      <w:marLeft w:val="0"/>
      <w:marRight w:val="0"/>
      <w:marTop w:val="0"/>
      <w:marBottom w:val="0"/>
      <w:divBdr>
        <w:top w:val="none" w:sz="0" w:space="0" w:color="auto"/>
        <w:left w:val="none" w:sz="0" w:space="0" w:color="auto"/>
        <w:bottom w:val="none" w:sz="0" w:space="0" w:color="auto"/>
        <w:right w:val="none" w:sz="0" w:space="0" w:color="auto"/>
      </w:divBdr>
    </w:div>
    <w:div w:id="1246501274">
      <w:bodyDiv w:val="1"/>
      <w:marLeft w:val="0"/>
      <w:marRight w:val="0"/>
      <w:marTop w:val="0"/>
      <w:marBottom w:val="0"/>
      <w:divBdr>
        <w:top w:val="none" w:sz="0" w:space="0" w:color="auto"/>
        <w:left w:val="none" w:sz="0" w:space="0" w:color="auto"/>
        <w:bottom w:val="none" w:sz="0" w:space="0" w:color="auto"/>
        <w:right w:val="none" w:sz="0" w:space="0" w:color="auto"/>
      </w:divBdr>
    </w:div>
    <w:div w:id="1285967147">
      <w:bodyDiv w:val="1"/>
      <w:marLeft w:val="0"/>
      <w:marRight w:val="0"/>
      <w:marTop w:val="0"/>
      <w:marBottom w:val="0"/>
      <w:divBdr>
        <w:top w:val="none" w:sz="0" w:space="0" w:color="auto"/>
        <w:left w:val="none" w:sz="0" w:space="0" w:color="auto"/>
        <w:bottom w:val="none" w:sz="0" w:space="0" w:color="auto"/>
        <w:right w:val="none" w:sz="0" w:space="0" w:color="auto"/>
      </w:divBdr>
    </w:div>
    <w:div w:id="1457871076">
      <w:bodyDiv w:val="1"/>
      <w:marLeft w:val="0"/>
      <w:marRight w:val="0"/>
      <w:marTop w:val="0"/>
      <w:marBottom w:val="0"/>
      <w:divBdr>
        <w:top w:val="none" w:sz="0" w:space="0" w:color="auto"/>
        <w:left w:val="none" w:sz="0" w:space="0" w:color="auto"/>
        <w:bottom w:val="none" w:sz="0" w:space="0" w:color="auto"/>
        <w:right w:val="none" w:sz="0" w:space="0" w:color="auto"/>
      </w:divBdr>
    </w:div>
    <w:div w:id="1486314849">
      <w:bodyDiv w:val="1"/>
      <w:marLeft w:val="0"/>
      <w:marRight w:val="0"/>
      <w:marTop w:val="0"/>
      <w:marBottom w:val="0"/>
      <w:divBdr>
        <w:top w:val="none" w:sz="0" w:space="0" w:color="auto"/>
        <w:left w:val="none" w:sz="0" w:space="0" w:color="auto"/>
        <w:bottom w:val="none" w:sz="0" w:space="0" w:color="auto"/>
        <w:right w:val="none" w:sz="0" w:space="0" w:color="auto"/>
      </w:divBdr>
    </w:div>
    <w:div w:id="1535315218">
      <w:bodyDiv w:val="1"/>
      <w:marLeft w:val="0"/>
      <w:marRight w:val="0"/>
      <w:marTop w:val="0"/>
      <w:marBottom w:val="0"/>
      <w:divBdr>
        <w:top w:val="none" w:sz="0" w:space="0" w:color="auto"/>
        <w:left w:val="none" w:sz="0" w:space="0" w:color="auto"/>
        <w:bottom w:val="none" w:sz="0" w:space="0" w:color="auto"/>
        <w:right w:val="none" w:sz="0" w:space="0" w:color="auto"/>
      </w:divBdr>
    </w:div>
    <w:div w:id="1540359254">
      <w:bodyDiv w:val="1"/>
      <w:marLeft w:val="0"/>
      <w:marRight w:val="0"/>
      <w:marTop w:val="0"/>
      <w:marBottom w:val="0"/>
      <w:divBdr>
        <w:top w:val="none" w:sz="0" w:space="0" w:color="auto"/>
        <w:left w:val="none" w:sz="0" w:space="0" w:color="auto"/>
        <w:bottom w:val="none" w:sz="0" w:space="0" w:color="auto"/>
        <w:right w:val="none" w:sz="0" w:space="0" w:color="auto"/>
      </w:divBdr>
    </w:div>
    <w:div w:id="1555892873">
      <w:bodyDiv w:val="1"/>
      <w:marLeft w:val="0"/>
      <w:marRight w:val="0"/>
      <w:marTop w:val="0"/>
      <w:marBottom w:val="0"/>
      <w:divBdr>
        <w:top w:val="none" w:sz="0" w:space="0" w:color="auto"/>
        <w:left w:val="none" w:sz="0" w:space="0" w:color="auto"/>
        <w:bottom w:val="none" w:sz="0" w:space="0" w:color="auto"/>
        <w:right w:val="none" w:sz="0" w:space="0" w:color="auto"/>
      </w:divBdr>
    </w:div>
    <w:div w:id="1643736012">
      <w:bodyDiv w:val="1"/>
      <w:marLeft w:val="0"/>
      <w:marRight w:val="0"/>
      <w:marTop w:val="0"/>
      <w:marBottom w:val="0"/>
      <w:divBdr>
        <w:top w:val="none" w:sz="0" w:space="0" w:color="auto"/>
        <w:left w:val="none" w:sz="0" w:space="0" w:color="auto"/>
        <w:bottom w:val="none" w:sz="0" w:space="0" w:color="auto"/>
        <w:right w:val="none" w:sz="0" w:space="0" w:color="auto"/>
      </w:divBdr>
    </w:div>
    <w:div w:id="1921406743">
      <w:bodyDiv w:val="1"/>
      <w:marLeft w:val="0"/>
      <w:marRight w:val="0"/>
      <w:marTop w:val="0"/>
      <w:marBottom w:val="0"/>
      <w:divBdr>
        <w:top w:val="none" w:sz="0" w:space="0" w:color="auto"/>
        <w:left w:val="none" w:sz="0" w:space="0" w:color="auto"/>
        <w:bottom w:val="none" w:sz="0" w:space="0" w:color="auto"/>
        <w:right w:val="none" w:sz="0" w:space="0" w:color="auto"/>
      </w:divBdr>
    </w:div>
    <w:div w:id="1926528303">
      <w:bodyDiv w:val="1"/>
      <w:marLeft w:val="0"/>
      <w:marRight w:val="0"/>
      <w:marTop w:val="0"/>
      <w:marBottom w:val="0"/>
      <w:divBdr>
        <w:top w:val="none" w:sz="0" w:space="0" w:color="auto"/>
        <w:left w:val="none" w:sz="0" w:space="0" w:color="auto"/>
        <w:bottom w:val="none" w:sz="0" w:space="0" w:color="auto"/>
        <w:right w:val="none" w:sz="0" w:space="0" w:color="auto"/>
      </w:divBdr>
    </w:div>
    <w:div w:id="2068872610">
      <w:bodyDiv w:val="1"/>
      <w:marLeft w:val="0"/>
      <w:marRight w:val="0"/>
      <w:marTop w:val="0"/>
      <w:marBottom w:val="0"/>
      <w:divBdr>
        <w:top w:val="none" w:sz="0" w:space="0" w:color="auto"/>
        <w:left w:val="none" w:sz="0" w:space="0" w:color="auto"/>
        <w:bottom w:val="none" w:sz="0" w:space="0" w:color="auto"/>
        <w:right w:val="none" w:sz="0" w:space="0" w:color="auto"/>
      </w:divBdr>
    </w:div>
    <w:div w:id="21376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mg@kpmg.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95833-74CB-4922-9543-785F9B7F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3586</Words>
  <Characters>2045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Finanšu ministrija</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publiskajām konsultācijām plānotajiem grozījum</dc:subject>
  <dc:creator>Auziņš R.</dc:creator>
  <dc:description>Sagatavots ALS E-aprites vidē.</dc:description>
  <cp:lastModifiedBy>Lauma Silakaktiņa</cp:lastModifiedBy>
  <cp:revision>2</cp:revision>
  <cp:lastPrinted>2007-06-25T10:49:00Z</cp:lastPrinted>
  <dcterms:created xsi:type="dcterms:W3CDTF">2016-06-01T12:35:00Z</dcterms:created>
  <dcterms:modified xsi:type="dcterms:W3CDTF">2016-06-01T12:35:00Z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