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782F" w14:textId="77777777" w:rsidR="004B2C7D" w:rsidRDefault="002E6246" w:rsidP="004B2C7D">
      <w:pPr>
        <w:tabs>
          <w:tab w:val="left" w:pos="810"/>
        </w:tabs>
        <w:jc w:val="center"/>
        <w:rPr>
          <w:rFonts w:eastAsia="Times New Roman" w:cs="Times New Roman"/>
          <w:b/>
          <w:iCs/>
          <w:szCs w:val="24"/>
        </w:rPr>
      </w:pPr>
      <w:bookmarkStart w:id="0" w:name="_GoBack"/>
      <w:bookmarkEnd w:id="0"/>
      <w:r w:rsidRPr="002D7758">
        <w:rPr>
          <w:rFonts w:eastAsia="Times New Roman" w:cs="Times New Roman"/>
          <w:b/>
          <w:iCs/>
          <w:szCs w:val="24"/>
        </w:rPr>
        <w:t>Uzziņa par tiesību</w:t>
      </w:r>
      <w:r w:rsidR="004B2C7D">
        <w:rPr>
          <w:rFonts w:eastAsia="Times New Roman" w:cs="Times New Roman"/>
          <w:b/>
          <w:iCs/>
          <w:szCs w:val="24"/>
        </w:rPr>
        <w:t xml:space="preserve"> akta projektu Vadības komitejas sēdei</w:t>
      </w:r>
    </w:p>
    <w:p w14:paraId="6477A76B" w14:textId="1FCC3935" w:rsidR="002E6246" w:rsidRPr="004B2C7D" w:rsidRDefault="00343C30" w:rsidP="004B2C7D">
      <w:pPr>
        <w:tabs>
          <w:tab w:val="left" w:pos="810"/>
        </w:tabs>
        <w:jc w:val="center"/>
        <w:rPr>
          <w:rFonts w:eastAsia="Times New Roman" w:cs="Times New Roman"/>
          <w:b/>
          <w:iCs/>
          <w:szCs w:val="24"/>
        </w:rPr>
      </w:pPr>
      <w:r>
        <w:rPr>
          <w:rFonts w:eastAsia="Times New Roman" w:cs="Times New Roman"/>
          <w:i/>
          <w:iCs/>
          <w:szCs w:val="24"/>
        </w:rPr>
        <w:t>23</w:t>
      </w:r>
      <w:r w:rsidR="00226CF4" w:rsidRPr="002D7758">
        <w:rPr>
          <w:rFonts w:eastAsia="Times New Roman" w:cs="Times New Roman"/>
          <w:i/>
          <w:iCs/>
          <w:szCs w:val="24"/>
        </w:rPr>
        <w:t>.</w:t>
      </w:r>
      <w:r>
        <w:rPr>
          <w:rFonts w:eastAsia="Times New Roman" w:cs="Times New Roman"/>
          <w:i/>
          <w:iCs/>
          <w:szCs w:val="24"/>
        </w:rPr>
        <w:t>02.2020</w:t>
      </w:r>
      <w:r w:rsidR="00BB618A" w:rsidRPr="002D7758">
        <w:rPr>
          <w:rFonts w:eastAsia="Times New Roman" w:cs="Times New Roman"/>
          <w:i/>
          <w:iCs/>
          <w:szCs w:val="24"/>
        </w:rPr>
        <w:t>.</w:t>
      </w:r>
    </w:p>
    <w:p w14:paraId="14D01441" w14:textId="77777777" w:rsidR="002E6246" w:rsidRPr="002D7758" w:rsidRDefault="002E6246" w:rsidP="002E6246">
      <w:pPr>
        <w:rPr>
          <w:rFonts w:eastAsia="Times New Roman" w:cs="Times New Roman"/>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005"/>
        <w:gridCol w:w="6350"/>
      </w:tblGrid>
      <w:tr w:rsidR="002E6246" w:rsidRPr="002D7758" w14:paraId="0A680686" w14:textId="77777777" w:rsidTr="2A45E688">
        <w:tc>
          <w:tcPr>
            <w:tcW w:w="710" w:type="dxa"/>
          </w:tcPr>
          <w:p w14:paraId="11A88137" w14:textId="77777777" w:rsidR="002E6246" w:rsidRPr="002D7758" w:rsidRDefault="002E6246" w:rsidP="002E6246">
            <w:pPr>
              <w:spacing w:before="60" w:after="60"/>
              <w:jc w:val="center"/>
              <w:rPr>
                <w:rFonts w:eastAsia="Times New Roman" w:cs="Times New Roman"/>
                <w:szCs w:val="24"/>
              </w:rPr>
            </w:pPr>
            <w:r w:rsidRPr="002D7758">
              <w:rPr>
                <w:rFonts w:eastAsia="Times New Roman" w:cs="Times New Roman"/>
                <w:szCs w:val="24"/>
              </w:rPr>
              <w:t>№</w:t>
            </w:r>
          </w:p>
        </w:tc>
        <w:tc>
          <w:tcPr>
            <w:tcW w:w="3005" w:type="dxa"/>
            <w:vAlign w:val="center"/>
          </w:tcPr>
          <w:p w14:paraId="1456EB21" w14:textId="77777777" w:rsidR="002E6246" w:rsidRPr="002D7758" w:rsidRDefault="002E6246" w:rsidP="002E6246">
            <w:pPr>
              <w:spacing w:before="60" w:after="60"/>
              <w:jc w:val="center"/>
              <w:rPr>
                <w:rFonts w:eastAsia="Times New Roman" w:cs="Times New Roman"/>
                <w:szCs w:val="24"/>
              </w:rPr>
            </w:pPr>
            <w:r w:rsidRPr="002D7758">
              <w:rPr>
                <w:rFonts w:eastAsia="Times New Roman" w:cs="Times New Roman"/>
                <w:szCs w:val="24"/>
              </w:rPr>
              <w:t>Sniedzamā informācija</w:t>
            </w:r>
          </w:p>
        </w:tc>
        <w:tc>
          <w:tcPr>
            <w:tcW w:w="6350" w:type="dxa"/>
            <w:vAlign w:val="center"/>
          </w:tcPr>
          <w:p w14:paraId="4EA2AF69" w14:textId="77777777" w:rsidR="002E6246" w:rsidRPr="002D7758" w:rsidRDefault="00791E04" w:rsidP="00AA3403">
            <w:pPr>
              <w:spacing w:before="60" w:after="60"/>
              <w:jc w:val="center"/>
              <w:rPr>
                <w:rFonts w:eastAsia="Times New Roman" w:cs="Times New Roman"/>
                <w:szCs w:val="24"/>
              </w:rPr>
            </w:pPr>
            <w:r w:rsidRPr="002D7758">
              <w:rPr>
                <w:rFonts w:eastAsia="Times New Roman" w:cs="Times New Roman"/>
                <w:szCs w:val="24"/>
              </w:rPr>
              <w:t>Informācija par projektu</w:t>
            </w:r>
          </w:p>
        </w:tc>
      </w:tr>
      <w:tr w:rsidR="002E6246" w:rsidRPr="002D7758" w14:paraId="038F4CF4" w14:textId="77777777" w:rsidTr="2A45E688">
        <w:tc>
          <w:tcPr>
            <w:tcW w:w="710" w:type="dxa"/>
          </w:tcPr>
          <w:p w14:paraId="649C7D6B" w14:textId="77777777" w:rsidR="002E6246" w:rsidRPr="002D7758" w:rsidRDefault="002E6246" w:rsidP="002E6246">
            <w:pPr>
              <w:spacing w:before="60" w:after="60"/>
              <w:rPr>
                <w:rFonts w:eastAsia="Times New Roman" w:cs="Times New Roman"/>
                <w:szCs w:val="24"/>
              </w:rPr>
            </w:pPr>
          </w:p>
        </w:tc>
        <w:tc>
          <w:tcPr>
            <w:tcW w:w="9355" w:type="dxa"/>
            <w:gridSpan w:val="2"/>
          </w:tcPr>
          <w:p w14:paraId="5FD324EE" w14:textId="077D6C15" w:rsidR="002E6246" w:rsidRPr="00FA4E76" w:rsidRDefault="000E2704" w:rsidP="00C93B17">
            <w:pPr>
              <w:shd w:val="clear" w:color="auto" w:fill="FFFFFF"/>
              <w:jc w:val="center"/>
              <w:rPr>
                <w:rFonts w:eastAsia="Calibri" w:cs="Times New Roman"/>
                <w:b/>
                <w:bCs/>
                <w:szCs w:val="24"/>
              </w:rPr>
            </w:pPr>
            <w:sdt>
              <w:sdtPr>
                <w:id w:val="882755678"/>
                <w:placeholder>
                  <w:docPart w:val="9634D5CA8E494EBFA5370DD0F326997B"/>
                </w:placeholder>
              </w:sdtPr>
              <w:sdtEndPr>
                <w:rPr>
                  <w:rFonts w:eastAsia="Times New Roman" w:cs="Times New Roman"/>
                  <w:b/>
                  <w:bCs/>
                  <w:color w:val="000000" w:themeColor="text1"/>
                  <w:szCs w:val="24"/>
                  <w:lang w:eastAsia="lv-LV"/>
                </w:rPr>
              </w:sdtEndPr>
              <w:sdtContent>
                <w:r w:rsidR="00B11F6B" w:rsidRPr="003A07AE">
                  <w:t>Likumprojekts “</w:t>
                </w:r>
                <w:r w:rsidR="00C93B17">
                  <w:t>Akciju atpirkšanas likums</w:t>
                </w:r>
                <w:r w:rsidR="00B11F6B" w:rsidRPr="003A07AE">
                  <w:t>”</w:t>
                </w:r>
                <w:r w:rsidR="003A07AE" w:rsidRPr="003A07AE">
                  <w:t xml:space="preserve"> un likumprojekts “Grozījumi </w:t>
                </w:r>
                <w:r w:rsidR="00C93B17">
                  <w:t xml:space="preserve">Finanšu instrumentu tirgus </w:t>
                </w:r>
                <w:r w:rsidR="003A07AE" w:rsidRPr="003A07AE">
                  <w:t>likumā”</w:t>
                </w:r>
              </w:sdtContent>
            </w:sdt>
          </w:p>
        </w:tc>
      </w:tr>
      <w:tr w:rsidR="002E6246" w:rsidRPr="002D7758" w14:paraId="1B6154FB" w14:textId="77777777" w:rsidTr="2A45E688">
        <w:trPr>
          <w:trHeight w:val="725"/>
        </w:trPr>
        <w:tc>
          <w:tcPr>
            <w:tcW w:w="710" w:type="dxa"/>
          </w:tcPr>
          <w:p w14:paraId="03AF8BF1"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649A217" w14:textId="77777777" w:rsidR="002E6246" w:rsidRPr="002D7758" w:rsidRDefault="002E6246" w:rsidP="002E6246">
            <w:pPr>
              <w:rPr>
                <w:rFonts w:eastAsia="Times New Roman" w:cs="Times New Roman"/>
                <w:szCs w:val="24"/>
              </w:rPr>
            </w:pPr>
            <w:r w:rsidRPr="002D7758">
              <w:rPr>
                <w:rFonts w:eastAsia="Times New Roman" w:cs="Times New Roman"/>
                <w:szCs w:val="24"/>
              </w:rPr>
              <w:t>Projekta izstrādes nepieciešamības pamatojums</w:t>
            </w:r>
          </w:p>
        </w:tc>
        <w:tc>
          <w:tcPr>
            <w:tcW w:w="6350" w:type="dxa"/>
          </w:tcPr>
          <w:p w14:paraId="249A7BA6" w14:textId="5407C36E" w:rsidR="004300A9" w:rsidRPr="002D7758" w:rsidRDefault="00226CF4" w:rsidP="00C93B17">
            <w:pPr>
              <w:rPr>
                <w:rFonts w:eastAsia="Calibri" w:cs="Times New Roman"/>
                <w:szCs w:val="24"/>
              </w:rPr>
            </w:pPr>
            <w:r w:rsidRPr="003A07AE">
              <w:rPr>
                <w:rFonts w:cs="Times New Roman"/>
                <w:szCs w:val="24"/>
              </w:rPr>
              <w:t>Likumprojekta</w:t>
            </w:r>
            <w:r w:rsidR="00BB618A" w:rsidRPr="003A07AE">
              <w:rPr>
                <w:rFonts w:cs="Times New Roman"/>
                <w:szCs w:val="24"/>
              </w:rPr>
              <w:t xml:space="preserve"> “</w:t>
            </w:r>
            <w:r w:rsidR="00C93B17">
              <w:rPr>
                <w:rFonts w:cs="Times New Roman"/>
                <w:szCs w:val="24"/>
              </w:rPr>
              <w:t>Akciju atpirkšanas likums</w:t>
            </w:r>
            <w:r w:rsidR="00BB618A" w:rsidRPr="003A07AE">
              <w:rPr>
                <w:rFonts w:cs="Times New Roman"/>
                <w:szCs w:val="24"/>
              </w:rPr>
              <w:t>”</w:t>
            </w:r>
            <w:r w:rsidRPr="003A07AE">
              <w:rPr>
                <w:rFonts w:cs="Times New Roman"/>
                <w:szCs w:val="24"/>
              </w:rPr>
              <w:t xml:space="preserve"> </w:t>
            </w:r>
            <w:r w:rsidR="003A07AE" w:rsidRPr="003A07AE">
              <w:rPr>
                <w:rFonts w:cs="Times New Roman"/>
                <w:szCs w:val="24"/>
              </w:rPr>
              <w:t xml:space="preserve">un likumprojekta “Grozījumi </w:t>
            </w:r>
            <w:r w:rsidR="00C93B17">
              <w:rPr>
                <w:rFonts w:cs="Times New Roman"/>
                <w:szCs w:val="24"/>
              </w:rPr>
              <w:t xml:space="preserve">Finanšu instrumentu tirgus </w:t>
            </w:r>
            <w:r w:rsidR="003A07AE" w:rsidRPr="003A07AE">
              <w:rPr>
                <w:rFonts w:cs="Times New Roman"/>
                <w:szCs w:val="24"/>
              </w:rPr>
              <w:t xml:space="preserve">likumā” </w:t>
            </w:r>
            <w:r w:rsidR="00E92E45">
              <w:rPr>
                <w:rFonts w:cs="Times New Roman"/>
                <w:szCs w:val="24"/>
              </w:rPr>
              <w:t xml:space="preserve">izstrādes mērķis ir </w:t>
            </w:r>
            <w:r w:rsidR="00C93B17">
              <w:rPr>
                <w:rFonts w:eastAsiaTheme="minorEastAsia"/>
                <w:color w:val="000000" w:themeColor="text1"/>
              </w:rPr>
              <w:t>pārskatīt un padarīt tiesību normu piemērotājiem saprotamāku šobrīd Finanšu instrumentu tirgus likumā (turpmāk – FITL) esošo regulējumu par akciju atpirkšanas piedāvājumiem un novērst neatbilstības Eiropas Parlamenta un Padomes 21.04.2004. direktīvai 2004/25/EK par pārņemšanas piedāvājumiem.</w:t>
            </w:r>
          </w:p>
        </w:tc>
      </w:tr>
      <w:tr w:rsidR="002E6246" w:rsidRPr="002D7758" w14:paraId="3D8E39E8" w14:textId="77777777" w:rsidTr="2A45E688">
        <w:tc>
          <w:tcPr>
            <w:tcW w:w="710" w:type="dxa"/>
          </w:tcPr>
          <w:p w14:paraId="45A28F15"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4495A350" w14:textId="77777777" w:rsidR="002E6246" w:rsidRPr="002D7758" w:rsidRDefault="002E6246" w:rsidP="002E6246">
            <w:pPr>
              <w:rPr>
                <w:rFonts w:eastAsia="Times New Roman" w:cs="Times New Roman"/>
                <w:szCs w:val="24"/>
              </w:rPr>
            </w:pPr>
            <w:r w:rsidRPr="002D7758">
              <w:rPr>
                <w:rFonts w:eastAsia="Times New Roman" w:cs="Times New Roman"/>
                <w:szCs w:val="24"/>
              </w:rPr>
              <w:t>Vadības darba plāna uzdevuma numurs un tā izpildes termiņš (ja nepieciešams)</w:t>
            </w:r>
          </w:p>
        </w:tc>
        <w:tc>
          <w:tcPr>
            <w:tcW w:w="6350" w:type="dxa"/>
          </w:tcPr>
          <w:p w14:paraId="2EC5A015" w14:textId="622C4C73" w:rsidR="00C93B17" w:rsidRDefault="00C93B17" w:rsidP="00C93B17">
            <w:pPr>
              <w:pStyle w:val="doc-ti"/>
              <w:jc w:val="left"/>
              <w:rPr>
                <w:b w:val="0"/>
                <w:iCs/>
              </w:rPr>
            </w:pPr>
            <w:r>
              <w:rPr>
                <w:b w:val="0"/>
                <w:iCs/>
              </w:rPr>
              <w:t>Uzdevums Nr. 1.18. papildināt 2.sadaļas 3.punkta 3.3.apakšpunktu ar 3.3.5.uzdevumu: Mazākuma akcionāru tiesību aizsardzības pilnveidošana (Nr. 2018-UZD-1168).</w:t>
            </w:r>
          </w:p>
          <w:p w14:paraId="75FFFEEF" w14:textId="40660EA2" w:rsidR="00C93B17" w:rsidRPr="002D7758" w:rsidRDefault="00C93B17" w:rsidP="00C93B17">
            <w:pPr>
              <w:pStyle w:val="doc-ti"/>
              <w:jc w:val="left"/>
              <w:rPr>
                <w:b w:val="0"/>
                <w:iCs/>
              </w:rPr>
            </w:pPr>
            <w:r>
              <w:rPr>
                <w:b w:val="0"/>
                <w:iCs/>
              </w:rPr>
              <w:t>Uzdevuma izpildes termiņš: 2019.gada 31.decembris.</w:t>
            </w:r>
          </w:p>
        </w:tc>
      </w:tr>
      <w:tr w:rsidR="002E6246" w:rsidRPr="002D7758" w14:paraId="18ADF702" w14:textId="77777777" w:rsidTr="2A45E688">
        <w:tc>
          <w:tcPr>
            <w:tcW w:w="710" w:type="dxa"/>
          </w:tcPr>
          <w:p w14:paraId="166D11E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E4E51FE" w14:textId="77777777" w:rsidR="002E6246" w:rsidRPr="002D7758" w:rsidRDefault="002E6246" w:rsidP="002E6246">
            <w:pPr>
              <w:rPr>
                <w:rFonts w:eastAsia="Times New Roman" w:cs="Times New Roman"/>
                <w:szCs w:val="24"/>
                <w:highlight w:val="yellow"/>
              </w:rPr>
            </w:pPr>
            <w:r w:rsidRPr="002D7758">
              <w:rPr>
                <w:rFonts w:eastAsia="Times New Roman" w:cs="Times New Roman"/>
                <w:szCs w:val="24"/>
              </w:rPr>
              <w:t>Projekta īss saturs</w:t>
            </w:r>
          </w:p>
        </w:tc>
        <w:tc>
          <w:tcPr>
            <w:tcW w:w="6350" w:type="dxa"/>
          </w:tcPr>
          <w:p w14:paraId="069E4BF3" w14:textId="4953C164" w:rsidR="00C93B17" w:rsidRDefault="00C93B17" w:rsidP="00C93B17">
            <w:pPr>
              <w:spacing w:before="120" w:after="120"/>
              <w:jc w:val="both"/>
              <w:rPr>
                <w:rFonts w:eastAsia="Times New Roman" w:cs="Times New Roman"/>
                <w:color w:val="000000" w:themeColor="text1"/>
                <w:szCs w:val="24"/>
              </w:rPr>
            </w:pPr>
            <w:r>
              <w:rPr>
                <w:rFonts w:eastAsia="Times New Roman" w:cs="Times New Roman"/>
                <w:color w:val="000000" w:themeColor="text1"/>
                <w:szCs w:val="24"/>
              </w:rPr>
              <w:t xml:space="preserve">FITL D sadaļas V nodaļā </w:t>
            </w:r>
            <w:r w:rsidR="00E92E45">
              <w:rPr>
                <w:rFonts w:eastAsia="Times New Roman" w:cs="Times New Roman"/>
                <w:color w:val="000000" w:themeColor="text1"/>
                <w:szCs w:val="24"/>
              </w:rPr>
              <w:t xml:space="preserve">pašlaik tiek </w:t>
            </w:r>
            <w:r>
              <w:rPr>
                <w:rFonts w:eastAsia="Times New Roman" w:cs="Times New Roman"/>
                <w:color w:val="000000" w:themeColor="text1"/>
                <w:szCs w:val="24"/>
              </w:rPr>
              <w:t xml:space="preserve">regulēts jautājums par piedāvājumiem un galīgo akciju atpirkšanu sabiedrībās, kuru akcijas iekļautas regulētajā tirgū (turpmāk – sabiedrība). Minētais regulējums balstās uz Pārņemšanas direktīvu. </w:t>
            </w:r>
            <w:r w:rsidRPr="00996786">
              <w:rPr>
                <w:rFonts w:eastAsia="Times New Roman" w:cs="Times New Roman"/>
                <w:color w:val="000000" w:themeColor="text1"/>
                <w:szCs w:val="24"/>
              </w:rPr>
              <w:t xml:space="preserve">Praksē konstatētas vairākas </w:t>
            </w:r>
            <w:r>
              <w:rPr>
                <w:rFonts w:eastAsia="Times New Roman" w:cs="Times New Roman"/>
                <w:color w:val="000000" w:themeColor="text1"/>
                <w:szCs w:val="24"/>
              </w:rPr>
              <w:t>FITL esošā regulējuma neatbilstības Pārņemšanas direktīvai un citas nepilnības. Pārskatot FITL iekļauto regulējumu par piedāvājumiem un galīgo akciju atpirkšanu, konstatēta lietderība šo regulējumu nodalīt atsevišķā likumā.</w:t>
            </w:r>
          </w:p>
          <w:p w14:paraId="0F0149A7" w14:textId="37151D5F" w:rsidR="006E190E" w:rsidRPr="0066015C" w:rsidRDefault="006E190E" w:rsidP="006E190E">
            <w:pPr>
              <w:spacing w:before="120" w:after="120"/>
              <w:jc w:val="both"/>
              <w:rPr>
                <w:bCs/>
                <w:color w:val="000000"/>
                <w:szCs w:val="24"/>
              </w:rPr>
            </w:pPr>
            <w:r>
              <w:rPr>
                <w:rFonts w:eastAsia="Times New Roman"/>
                <w:color w:val="000000"/>
                <w:szCs w:val="24"/>
              </w:rPr>
              <w:t>Tiesiskais regulējums attiecas uz</w:t>
            </w:r>
            <w:r>
              <w:rPr>
                <w:bCs/>
                <w:color w:val="000000"/>
                <w:szCs w:val="24"/>
              </w:rPr>
              <w:t xml:space="preserve"> sabiedrībām, kuru akcijas iekļautas regulētajā tirgū Latvijā </w:t>
            </w:r>
            <w:r w:rsidRPr="0066015C">
              <w:rPr>
                <w:bCs/>
                <w:color w:val="000000"/>
                <w:szCs w:val="24"/>
              </w:rPr>
              <w:t>neatkarīgi no tā</w:t>
            </w:r>
            <w:r>
              <w:rPr>
                <w:bCs/>
                <w:color w:val="000000"/>
                <w:szCs w:val="24"/>
              </w:rPr>
              <w:t>,</w:t>
            </w:r>
            <w:r w:rsidRPr="0066015C">
              <w:rPr>
                <w:bCs/>
                <w:color w:val="000000"/>
                <w:szCs w:val="24"/>
              </w:rPr>
              <w:t xml:space="preserve"> vai šīs sabiedrības juridiskā adrese ir Latvijā vai citā </w:t>
            </w:r>
            <w:r>
              <w:rPr>
                <w:bCs/>
                <w:color w:val="000000"/>
                <w:szCs w:val="24"/>
              </w:rPr>
              <w:t xml:space="preserve">Eiropas Savienības dalībvalstī vai Eiropas Ekonomikas zonas valstī (turpmāk – dalībvalsts). </w:t>
            </w:r>
            <w:r w:rsidRPr="0066015C">
              <w:rPr>
                <w:bCs/>
                <w:color w:val="000000"/>
                <w:szCs w:val="24"/>
              </w:rPr>
              <w:t>Ja akcijas iekļautas vairāku dalībvalstu regulētajos tirgos, tad piemēro tās valsts normatīvos aktus, kuras regulētajā tirgū akcijas iekļautas vispirms. Ja akcijas iekļautas vismaz divu dalībvalstu regulētajos tirgos vienlaicīgi, tad sabiedrība pati nosaka piemērojamās valsts likumu, izvēloties tās valsts uzraudzības iestādi, kur</w:t>
            </w:r>
            <w:r>
              <w:rPr>
                <w:bCs/>
                <w:color w:val="000000"/>
                <w:szCs w:val="24"/>
              </w:rPr>
              <w:t>a</w:t>
            </w:r>
            <w:r w:rsidRPr="0066015C">
              <w:rPr>
                <w:bCs/>
                <w:color w:val="000000"/>
                <w:szCs w:val="24"/>
              </w:rPr>
              <w:t xml:space="preserve"> uzraudzī</w:t>
            </w:r>
            <w:r>
              <w:rPr>
                <w:bCs/>
                <w:color w:val="000000"/>
                <w:szCs w:val="24"/>
              </w:rPr>
              <w:t>s</w:t>
            </w:r>
            <w:r w:rsidRPr="0066015C">
              <w:rPr>
                <w:bCs/>
                <w:color w:val="000000"/>
                <w:szCs w:val="24"/>
              </w:rPr>
              <w:t xml:space="preserve"> piedāvājuma norisi.</w:t>
            </w:r>
          </w:p>
          <w:p w14:paraId="110869CD" w14:textId="77777777" w:rsidR="00C93B17" w:rsidRDefault="00C93B17" w:rsidP="00C93B17">
            <w:pPr>
              <w:autoSpaceDE w:val="0"/>
              <w:autoSpaceDN w:val="0"/>
              <w:adjustRightInd w:val="0"/>
              <w:jc w:val="both"/>
              <w:rPr>
                <w:rFonts w:eastAsia="Times New Roman" w:cs="Times New Roman"/>
                <w:iCs/>
                <w:color w:val="000000" w:themeColor="text1"/>
                <w:szCs w:val="24"/>
                <w:lang w:eastAsia="lv-LV"/>
              </w:rPr>
            </w:pPr>
          </w:p>
          <w:p w14:paraId="50BBA4D1" w14:textId="17B0C3DF" w:rsidR="00BB618A" w:rsidRDefault="00312282" w:rsidP="00BB618A">
            <w:pPr>
              <w:autoSpaceDE w:val="0"/>
              <w:autoSpaceDN w:val="0"/>
              <w:adjustRightInd w:val="0"/>
              <w:jc w:val="both"/>
              <w:rPr>
                <w:rFonts w:eastAsia="Times New Roman" w:cs="Times New Roman"/>
                <w:iCs/>
                <w:color w:val="000000" w:themeColor="text1"/>
                <w:szCs w:val="24"/>
                <w:lang w:eastAsia="lv-LV"/>
              </w:rPr>
            </w:pPr>
            <w:r w:rsidRPr="00170D32">
              <w:rPr>
                <w:rFonts w:eastAsia="Times New Roman" w:cs="Times New Roman"/>
                <w:iCs/>
                <w:color w:val="000000" w:themeColor="text1"/>
                <w:szCs w:val="24"/>
                <w:lang w:eastAsia="lv-LV"/>
              </w:rPr>
              <w:t>Likumprojekt</w:t>
            </w:r>
            <w:r w:rsidR="00C93B17">
              <w:rPr>
                <w:rFonts w:eastAsia="Times New Roman" w:cs="Times New Roman"/>
                <w:iCs/>
                <w:color w:val="000000" w:themeColor="text1"/>
                <w:szCs w:val="24"/>
                <w:lang w:eastAsia="lv-LV"/>
              </w:rPr>
              <w:t>i</w:t>
            </w:r>
            <w:r w:rsidRPr="00170D32">
              <w:rPr>
                <w:rFonts w:eastAsia="Times New Roman" w:cs="Times New Roman"/>
                <w:iCs/>
                <w:color w:val="000000" w:themeColor="text1"/>
                <w:szCs w:val="24"/>
                <w:lang w:eastAsia="lv-LV"/>
              </w:rPr>
              <w:t xml:space="preserve"> </w:t>
            </w:r>
            <w:r w:rsidR="006E190E">
              <w:rPr>
                <w:rFonts w:eastAsia="Times New Roman" w:cs="Times New Roman"/>
                <w:iCs/>
                <w:color w:val="000000" w:themeColor="text1"/>
                <w:szCs w:val="24"/>
                <w:lang w:eastAsia="lv-LV"/>
              </w:rPr>
              <w:t>regulē šādus jautājumus:</w:t>
            </w:r>
          </w:p>
          <w:p w14:paraId="0AA97593" w14:textId="7443A126" w:rsidR="006E190E" w:rsidRPr="006E190E" w:rsidRDefault="006E190E" w:rsidP="006E190E">
            <w:pPr>
              <w:autoSpaceDE w:val="0"/>
              <w:autoSpaceDN w:val="0"/>
              <w:adjustRightInd w:val="0"/>
              <w:jc w:val="both"/>
              <w:rPr>
                <w:rFonts w:eastAsia="Times New Roman"/>
                <w:b/>
                <w:color w:val="000000"/>
                <w:szCs w:val="24"/>
              </w:rPr>
            </w:pPr>
            <w:r w:rsidRPr="006E190E">
              <w:rPr>
                <w:rFonts w:eastAsia="Times New Roman"/>
                <w:b/>
                <w:color w:val="000000"/>
                <w:szCs w:val="24"/>
              </w:rPr>
              <w:t xml:space="preserve"> </w:t>
            </w:r>
          </w:p>
          <w:p w14:paraId="44708166" w14:textId="5B2D21AF" w:rsidR="00C93B17" w:rsidRDefault="006E190E" w:rsidP="00BB618A">
            <w:pPr>
              <w:autoSpaceDE w:val="0"/>
              <w:autoSpaceDN w:val="0"/>
              <w:adjustRightInd w:val="0"/>
              <w:jc w:val="both"/>
              <w:rPr>
                <w:rFonts w:eastAsia="Times New Roman"/>
                <w:b/>
                <w:color w:val="000000"/>
                <w:szCs w:val="24"/>
              </w:rPr>
            </w:pPr>
            <w:r>
              <w:rPr>
                <w:rFonts w:eastAsia="Times New Roman"/>
                <w:b/>
                <w:color w:val="000000"/>
                <w:szCs w:val="24"/>
              </w:rPr>
              <w:t xml:space="preserve">I. </w:t>
            </w:r>
            <w:r w:rsidR="00C93B17" w:rsidRPr="0066015C">
              <w:rPr>
                <w:rFonts w:eastAsia="Times New Roman"/>
                <w:b/>
                <w:color w:val="000000"/>
                <w:szCs w:val="24"/>
              </w:rPr>
              <w:t>Obligātais piedāvājums kontroles iegūšanas gadījumā</w:t>
            </w:r>
          </w:p>
          <w:p w14:paraId="5F582BDA" w14:textId="4E8BA9D1" w:rsidR="00C93B17" w:rsidRDefault="00C93B17" w:rsidP="00C93B17">
            <w:pPr>
              <w:spacing w:before="120" w:after="120"/>
              <w:jc w:val="both"/>
              <w:rPr>
                <w:bCs/>
                <w:i/>
                <w:color w:val="000000"/>
                <w:szCs w:val="24"/>
              </w:rPr>
            </w:pPr>
            <w:r>
              <w:rPr>
                <w:bCs/>
                <w:i/>
                <w:color w:val="000000"/>
                <w:szCs w:val="24"/>
              </w:rPr>
              <w:t>1. Balsstiesību daudzums o</w:t>
            </w:r>
            <w:r w:rsidR="006E190E">
              <w:rPr>
                <w:bCs/>
                <w:i/>
                <w:color w:val="000000"/>
                <w:szCs w:val="24"/>
              </w:rPr>
              <w:t>bligātā piedāvājuma izteikšanai</w:t>
            </w:r>
          </w:p>
          <w:p w14:paraId="422103F7" w14:textId="194F412A" w:rsidR="00C93B17" w:rsidRPr="005830F0" w:rsidRDefault="00C93B17" w:rsidP="00C93B17">
            <w:pPr>
              <w:shd w:val="clear" w:color="auto" w:fill="FFFFFF"/>
              <w:spacing w:before="120" w:after="120"/>
              <w:jc w:val="both"/>
              <w:rPr>
                <w:bCs/>
                <w:i/>
                <w:color w:val="000000"/>
                <w:szCs w:val="24"/>
              </w:rPr>
            </w:pPr>
            <w:r>
              <w:rPr>
                <w:bCs/>
                <w:i/>
                <w:color w:val="000000"/>
                <w:szCs w:val="24"/>
              </w:rPr>
              <w:t>2. </w:t>
            </w:r>
            <w:r w:rsidRPr="005830F0">
              <w:rPr>
                <w:bCs/>
                <w:i/>
                <w:color w:val="000000"/>
                <w:szCs w:val="24"/>
              </w:rPr>
              <w:t>Personas, kuras rīkojas saskaņoti</w:t>
            </w:r>
          </w:p>
          <w:p w14:paraId="10432959" w14:textId="07F328B2" w:rsidR="00C93B17" w:rsidRPr="005830F0" w:rsidRDefault="00C93B17" w:rsidP="00C93B17">
            <w:pPr>
              <w:shd w:val="clear" w:color="auto" w:fill="FFFFFF"/>
              <w:spacing w:before="120" w:after="120"/>
              <w:jc w:val="both"/>
              <w:rPr>
                <w:bCs/>
                <w:i/>
                <w:color w:val="000000"/>
                <w:szCs w:val="24"/>
              </w:rPr>
            </w:pPr>
            <w:r w:rsidRPr="005830F0">
              <w:rPr>
                <w:bCs/>
                <w:i/>
                <w:color w:val="000000"/>
                <w:szCs w:val="24"/>
              </w:rPr>
              <w:lastRenderedPageBreak/>
              <w:t>3. Atbrīvojum</w:t>
            </w:r>
            <w:r>
              <w:rPr>
                <w:bCs/>
                <w:i/>
                <w:color w:val="000000"/>
                <w:szCs w:val="24"/>
              </w:rPr>
              <w:t>s</w:t>
            </w:r>
            <w:r w:rsidRPr="005830F0">
              <w:rPr>
                <w:bCs/>
                <w:i/>
                <w:color w:val="000000"/>
                <w:szCs w:val="24"/>
              </w:rPr>
              <w:t xml:space="preserve"> no obligātā piedāvājuma izteikšanas</w:t>
            </w:r>
          </w:p>
          <w:p w14:paraId="26936546" w14:textId="77777777" w:rsidR="00C93B17" w:rsidRDefault="00C93B17" w:rsidP="00C93B17">
            <w:pPr>
              <w:spacing w:before="120" w:after="120"/>
              <w:jc w:val="both"/>
              <w:rPr>
                <w:bCs/>
                <w:i/>
                <w:color w:val="000000"/>
                <w:szCs w:val="24"/>
              </w:rPr>
            </w:pPr>
            <w:r w:rsidRPr="00E26769">
              <w:rPr>
                <w:bCs/>
                <w:i/>
                <w:color w:val="000000"/>
                <w:szCs w:val="24"/>
              </w:rPr>
              <w:t>4. Ierobežojumi obligātā piedāvājuma neizteikšanas gadījumā</w:t>
            </w:r>
          </w:p>
          <w:p w14:paraId="2678B89D" w14:textId="0D3669BC" w:rsidR="00C93B17" w:rsidRPr="0066015C" w:rsidRDefault="006E190E" w:rsidP="00C93B17">
            <w:pPr>
              <w:spacing w:before="120" w:after="120"/>
              <w:jc w:val="both"/>
              <w:rPr>
                <w:rFonts w:eastAsia="Times New Roman"/>
                <w:b/>
                <w:color w:val="000000"/>
                <w:szCs w:val="24"/>
              </w:rPr>
            </w:pPr>
            <w:r>
              <w:rPr>
                <w:rFonts w:eastAsia="Times New Roman"/>
                <w:b/>
                <w:color w:val="000000"/>
                <w:szCs w:val="24"/>
              </w:rPr>
              <w:t>I</w:t>
            </w:r>
            <w:r w:rsidR="00C93B17">
              <w:rPr>
                <w:rFonts w:eastAsia="Times New Roman"/>
                <w:b/>
                <w:color w:val="000000"/>
                <w:szCs w:val="24"/>
              </w:rPr>
              <w:t>I. P</w:t>
            </w:r>
            <w:r w:rsidR="00C93B17" w:rsidRPr="0066015C">
              <w:rPr>
                <w:rFonts w:eastAsia="Times New Roman"/>
                <w:b/>
                <w:color w:val="000000"/>
                <w:szCs w:val="24"/>
              </w:rPr>
              <w:t>iedāvājums, ja akcionāru sapulce pieņēmusi lēmumu par akciju izslēgšanu no regulētā tirgus</w:t>
            </w:r>
          </w:p>
          <w:p w14:paraId="3BBC035E" w14:textId="77777777" w:rsidR="00C93B17" w:rsidRPr="001B1BC0" w:rsidRDefault="00C93B17" w:rsidP="00C93B17">
            <w:pPr>
              <w:spacing w:before="120" w:after="120"/>
              <w:jc w:val="both"/>
              <w:rPr>
                <w:rFonts w:eastAsia="Arial"/>
                <w:i/>
                <w:szCs w:val="24"/>
              </w:rPr>
            </w:pPr>
            <w:r>
              <w:rPr>
                <w:rFonts w:eastAsia="Arial"/>
                <w:i/>
                <w:szCs w:val="24"/>
              </w:rPr>
              <w:t>1. Atbildīgais par piedāvājuma izteikšanu</w:t>
            </w:r>
          </w:p>
          <w:p w14:paraId="6583DD26" w14:textId="77777777" w:rsidR="00C93B17" w:rsidRPr="001B1BC0" w:rsidRDefault="00C93B17" w:rsidP="00C93B17">
            <w:pPr>
              <w:spacing w:before="120" w:after="120"/>
              <w:jc w:val="both"/>
              <w:rPr>
                <w:rFonts w:eastAsia="Arial"/>
                <w:i/>
                <w:szCs w:val="24"/>
              </w:rPr>
            </w:pPr>
            <w:r w:rsidRPr="001B1BC0">
              <w:rPr>
                <w:rFonts w:eastAsia="Arial"/>
                <w:i/>
                <w:szCs w:val="24"/>
              </w:rPr>
              <w:t xml:space="preserve">2. </w:t>
            </w:r>
            <w:r>
              <w:rPr>
                <w:rFonts w:eastAsia="Arial"/>
                <w:i/>
                <w:szCs w:val="24"/>
              </w:rPr>
              <w:t>Piedāvājuma ietvaros atsavināmās akcijas</w:t>
            </w:r>
          </w:p>
          <w:p w14:paraId="019077FA" w14:textId="77777777" w:rsidR="00C93B17" w:rsidRPr="003A1C8F" w:rsidRDefault="00C93B17" w:rsidP="00C93B17">
            <w:pPr>
              <w:spacing w:before="120" w:after="120"/>
              <w:jc w:val="both"/>
              <w:rPr>
                <w:rFonts w:eastAsia="Arial"/>
                <w:i/>
                <w:szCs w:val="24"/>
              </w:rPr>
            </w:pPr>
            <w:r w:rsidRPr="003A1C8F">
              <w:rPr>
                <w:rFonts w:eastAsia="Arial"/>
                <w:i/>
                <w:szCs w:val="24"/>
              </w:rPr>
              <w:t>3. </w:t>
            </w:r>
            <w:r>
              <w:rPr>
                <w:rFonts w:eastAsia="Arial"/>
                <w:i/>
                <w:szCs w:val="24"/>
              </w:rPr>
              <w:t>Akcionāri, kuri ir tiesīgi atsaukties uz piedāvājumu</w:t>
            </w:r>
          </w:p>
          <w:p w14:paraId="6FAF49B2" w14:textId="77777777" w:rsidR="00C93B17" w:rsidRPr="003A1C8F" w:rsidRDefault="00C93B17" w:rsidP="00C93B17">
            <w:pPr>
              <w:spacing w:before="120" w:after="120"/>
              <w:jc w:val="both"/>
              <w:rPr>
                <w:rFonts w:eastAsia="Arial"/>
                <w:i/>
                <w:szCs w:val="24"/>
              </w:rPr>
            </w:pPr>
            <w:r w:rsidRPr="003A1C8F">
              <w:rPr>
                <w:rFonts w:eastAsia="Arial"/>
                <w:i/>
                <w:szCs w:val="24"/>
              </w:rPr>
              <w:t>4. Termiņš piedāvājuma izteikšanai</w:t>
            </w:r>
          </w:p>
          <w:p w14:paraId="18142736" w14:textId="77777777" w:rsidR="00C93B17" w:rsidRPr="003A1C8F" w:rsidRDefault="00C93B17" w:rsidP="00C93B17">
            <w:pPr>
              <w:spacing w:before="120" w:after="120"/>
              <w:jc w:val="both"/>
              <w:rPr>
                <w:rFonts w:eastAsia="Arial"/>
                <w:i/>
                <w:szCs w:val="24"/>
              </w:rPr>
            </w:pPr>
            <w:r>
              <w:rPr>
                <w:rFonts w:eastAsia="Arial"/>
                <w:i/>
                <w:szCs w:val="24"/>
              </w:rPr>
              <w:t>5. Akciju izslēgšana no regulētā tirgus sabiedrības reorganizācijas rezultātā</w:t>
            </w:r>
          </w:p>
          <w:p w14:paraId="167AB913" w14:textId="77777777" w:rsidR="00C93B17" w:rsidRPr="003A1C8F" w:rsidRDefault="00C93B17" w:rsidP="00C93B17">
            <w:pPr>
              <w:spacing w:before="120" w:after="120"/>
              <w:jc w:val="both"/>
              <w:rPr>
                <w:rFonts w:eastAsia="Arial"/>
                <w:i/>
                <w:szCs w:val="24"/>
              </w:rPr>
            </w:pPr>
            <w:r>
              <w:rPr>
                <w:rFonts w:eastAsia="Arial"/>
                <w:i/>
                <w:szCs w:val="24"/>
              </w:rPr>
              <w:t>6. Kārtība akciju izslēgšanai no regulētā tirgus</w:t>
            </w:r>
          </w:p>
          <w:p w14:paraId="4DF613D9" w14:textId="5EA1A4F5" w:rsidR="00C93B17" w:rsidRPr="0066015C" w:rsidRDefault="00C93B17" w:rsidP="00C93B17">
            <w:pPr>
              <w:spacing w:before="120" w:after="120"/>
              <w:jc w:val="both"/>
              <w:rPr>
                <w:b/>
                <w:color w:val="000000"/>
                <w:szCs w:val="24"/>
              </w:rPr>
            </w:pPr>
            <w:r>
              <w:rPr>
                <w:b/>
                <w:color w:val="000000"/>
                <w:szCs w:val="24"/>
              </w:rPr>
              <w:t>I</w:t>
            </w:r>
            <w:r w:rsidR="006E190E">
              <w:rPr>
                <w:b/>
                <w:color w:val="000000"/>
                <w:szCs w:val="24"/>
              </w:rPr>
              <w:t>II</w:t>
            </w:r>
            <w:r>
              <w:rPr>
                <w:b/>
                <w:color w:val="000000"/>
                <w:szCs w:val="24"/>
              </w:rPr>
              <w:t>. </w:t>
            </w:r>
            <w:r w:rsidRPr="0066015C">
              <w:rPr>
                <w:b/>
                <w:color w:val="000000"/>
                <w:szCs w:val="24"/>
              </w:rPr>
              <w:t>Atlīdzība par akcijām</w:t>
            </w:r>
          </w:p>
          <w:p w14:paraId="1C5B0D86" w14:textId="677BA0E3" w:rsidR="00C93B17" w:rsidRDefault="00C93B17" w:rsidP="00C93B17">
            <w:pPr>
              <w:spacing w:before="120" w:after="120"/>
              <w:jc w:val="both"/>
              <w:rPr>
                <w:i/>
                <w:color w:val="000000"/>
                <w:szCs w:val="24"/>
              </w:rPr>
            </w:pPr>
            <w:r>
              <w:rPr>
                <w:i/>
                <w:color w:val="000000"/>
                <w:szCs w:val="24"/>
              </w:rPr>
              <w:t>1. </w:t>
            </w:r>
            <w:r w:rsidR="00E92E45">
              <w:rPr>
                <w:i/>
                <w:color w:val="000000"/>
                <w:szCs w:val="24"/>
              </w:rPr>
              <w:t>Atlīdzības veidi piedāvājumā</w:t>
            </w:r>
          </w:p>
          <w:p w14:paraId="257B00A9" w14:textId="5B0FDE40" w:rsidR="00C93B17" w:rsidRDefault="00C93B17" w:rsidP="00BB618A">
            <w:pPr>
              <w:autoSpaceDE w:val="0"/>
              <w:autoSpaceDN w:val="0"/>
              <w:adjustRightInd w:val="0"/>
              <w:jc w:val="both"/>
              <w:rPr>
                <w:rFonts w:eastAsia="Arial"/>
                <w:color w:val="000000"/>
                <w:szCs w:val="24"/>
              </w:rPr>
            </w:pPr>
            <w:r>
              <w:rPr>
                <w:rFonts w:eastAsia="Arial"/>
                <w:i/>
                <w:color w:val="000000"/>
                <w:szCs w:val="24"/>
              </w:rPr>
              <w:t>2. </w:t>
            </w:r>
            <w:r w:rsidRPr="0066015C">
              <w:rPr>
                <w:rFonts w:eastAsia="Arial"/>
                <w:i/>
                <w:color w:val="000000"/>
                <w:szCs w:val="24"/>
              </w:rPr>
              <w:t>Termiņš akcijas atpirkšanas cenas noteikšanai</w:t>
            </w:r>
          </w:p>
          <w:p w14:paraId="6080B4D6" w14:textId="77777777" w:rsidR="00C93B17" w:rsidRDefault="00C93B17" w:rsidP="00C93B17">
            <w:pPr>
              <w:spacing w:before="120" w:after="120"/>
              <w:jc w:val="both"/>
              <w:rPr>
                <w:rFonts w:eastAsia="Arial"/>
                <w:i/>
                <w:color w:val="000000"/>
                <w:szCs w:val="24"/>
              </w:rPr>
            </w:pPr>
            <w:r>
              <w:rPr>
                <w:rFonts w:eastAsia="Arial"/>
                <w:i/>
                <w:color w:val="000000"/>
                <w:szCs w:val="24"/>
              </w:rPr>
              <w:t>3. Akcijas atpirkšanas cenas noteikšanas metodes</w:t>
            </w:r>
          </w:p>
          <w:p w14:paraId="4FB4A057" w14:textId="277C57A6" w:rsidR="000B7551" w:rsidRPr="006F45FB" w:rsidRDefault="006E190E" w:rsidP="000B7551">
            <w:pPr>
              <w:spacing w:before="120" w:after="120"/>
              <w:jc w:val="both"/>
              <w:rPr>
                <w:rFonts w:eastAsia="Times New Roman"/>
                <w:b/>
                <w:color w:val="000000"/>
                <w:szCs w:val="24"/>
              </w:rPr>
            </w:pPr>
            <w:r>
              <w:rPr>
                <w:rFonts w:eastAsia="Times New Roman"/>
                <w:b/>
                <w:color w:val="000000"/>
                <w:szCs w:val="24"/>
              </w:rPr>
              <w:t>I</w:t>
            </w:r>
            <w:r w:rsidR="000B7551" w:rsidRPr="006F45FB">
              <w:rPr>
                <w:rFonts w:eastAsia="Times New Roman"/>
                <w:b/>
                <w:color w:val="000000"/>
                <w:szCs w:val="24"/>
              </w:rPr>
              <w:t>V. Brīvprātīgais akciju atpirkšanas piedāvājums</w:t>
            </w:r>
          </w:p>
          <w:p w14:paraId="5F781354" w14:textId="77777777" w:rsidR="000B7551" w:rsidRPr="006F45FB" w:rsidRDefault="000B7551" w:rsidP="000B7551">
            <w:pPr>
              <w:spacing w:before="120" w:after="120"/>
              <w:jc w:val="both"/>
              <w:rPr>
                <w:rFonts w:eastAsia="Times New Roman"/>
                <w:color w:val="000000"/>
                <w:szCs w:val="24"/>
              </w:rPr>
            </w:pPr>
            <w:r>
              <w:rPr>
                <w:rFonts w:eastAsia="Times New Roman"/>
                <w:i/>
                <w:color w:val="000000"/>
                <w:szCs w:val="24"/>
              </w:rPr>
              <w:t>1. </w:t>
            </w:r>
            <w:r w:rsidRPr="006F45FB">
              <w:rPr>
                <w:rFonts w:eastAsia="Times New Roman"/>
                <w:i/>
                <w:color w:val="000000"/>
                <w:szCs w:val="24"/>
              </w:rPr>
              <w:t xml:space="preserve">Minimālais akciju skaits, </w:t>
            </w:r>
            <w:r>
              <w:rPr>
                <w:rFonts w:eastAsia="Times New Roman"/>
                <w:i/>
                <w:color w:val="000000"/>
                <w:szCs w:val="24"/>
              </w:rPr>
              <w:t>uz kuru attiecināms</w:t>
            </w:r>
            <w:r w:rsidRPr="006F45FB">
              <w:rPr>
                <w:rFonts w:eastAsia="Times New Roman"/>
                <w:i/>
                <w:color w:val="000000"/>
                <w:szCs w:val="24"/>
              </w:rPr>
              <w:t xml:space="preserve"> </w:t>
            </w:r>
            <w:r>
              <w:rPr>
                <w:rFonts w:eastAsia="Times New Roman"/>
                <w:i/>
                <w:color w:val="000000"/>
                <w:szCs w:val="24"/>
              </w:rPr>
              <w:t>piedāvājums</w:t>
            </w:r>
            <w:r w:rsidRPr="006F45FB">
              <w:rPr>
                <w:rFonts w:eastAsia="Times New Roman"/>
                <w:color w:val="000000"/>
                <w:szCs w:val="24"/>
              </w:rPr>
              <w:t xml:space="preserve"> </w:t>
            </w:r>
          </w:p>
          <w:p w14:paraId="2EBE50D7" w14:textId="77777777" w:rsidR="000B7551" w:rsidRPr="00F549B4" w:rsidRDefault="000B7551" w:rsidP="000B7551">
            <w:pPr>
              <w:spacing w:before="120" w:after="120"/>
              <w:jc w:val="both"/>
              <w:rPr>
                <w:rFonts w:eastAsia="Times New Roman"/>
                <w:color w:val="000000" w:themeColor="text1"/>
                <w:szCs w:val="24"/>
              </w:rPr>
            </w:pPr>
            <w:r w:rsidRPr="00F549B4">
              <w:rPr>
                <w:rFonts w:eastAsia="Times New Roman"/>
                <w:i/>
                <w:color w:val="000000" w:themeColor="text1"/>
                <w:szCs w:val="24"/>
              </w:rPr>
              <w:t>2. Minimālais un maksimālais akciju skaits, kas iegūstams piedāvājuma rezultātā.</w:t>
            </w:r>
            <w:r w:rsidRPr="00F549B4">
              <w:rPr>
                <w:rFonts w:eastAsia="Times New Roman"/>
                <w:color w:val="000000" w:themeColor="text1"/>
                <w:szCs w:val="24"/>
              </w:rPr>
              <w:t xml:space="preserve"> </w:t>
            </w:r>
          </w:p>
          <w:p w14:paraId="2987AD43" w14:textId="5A9C9376" w:rsidR="000B7551" w:rsidRPr="0066015C" w:rsidRDefault="000B7551" w:rsidP="000B7551">
            <w:pPr>
              <w:spacing w:before="120" w:after="120"/>
              <w:rPr>
                <w:b/>
                <w:color w:val="000000"/>
                <w:szCs w:val="24"/>
              </w:rPr>
            </w:pPr>
            <w:r w:rsidRPr="002B5CD7">
              <w:rPr>
                <w:b/>
                <w:color w:val="000000"/>
                <w:szCs w:val="24"/>
              </w:rPr>
              <w:t xml:space="preserve">V. </w:t>
            </w:r>
            <w:r w:rsidRPr="0066015C">
              <w:rPr>
                <w:b/>
                <w:color w:val="000000"/>
                <w:szCs w:val="24"/>
              </w:rPr>
              <w:t>Konkurējošais piedāvājums</w:t>
            </w:r>
          </w:p>
          <w:p w14:paraId="50450052" w14:textId="39FD3727" w:rsidR="000B7551" w:rsidRDefault="006E190E" w:rsidP="000B7551">
            <w:pPr>
              <w:spacing w:before="120" w:after="120"/>
              <w:jc w:val="both"/>
              <w:rPr>
                <w:b/>
                <w:color w:val="000000"/>
                <w:szCs w:val="24"/>
              </w:rPr>
            </w:pPr>
            <w:r>
              <w:rPr>
                <w:b/>
                <w:color w:val="000000"/>
                <w:szCs w:val="24"/>
              </w:rPr>
              <w:t>V</w:t>
            </w:r>
            <w:r w:rsidR="000B7551" w:rsidRPr="006F45FB">
              <w:rPr>
                <w:b/>
                <w:color w:val="000000"/>
                <w:szCs w:val="24"/>
              </w:rPr>
              <w:t xml:space="preserve">I. Aizliegums traucēt piedāvājuma norisi </w:t>
            </w:r>
          </w:p>
          <w:p w14:paraId="022A3085" w14:textId="77777777" w:rsidR="000B7551" w:rsidRPr="006D6BAA" w:rsidRDefault="000B7551" w:rsidP="000B7551">
            <w:pPr>
              <w:spacing w:before="120" w:after="120"/>
              <w:jc w:val="both"/>
              <w:rPr>
                <w:i/>
                <w:color w:val="000000"/>
                <w:szCs w:val="24"/>
              </w:rPr>
            </w:pPr>
            <w:r w:rsidRPr="006D6BAA">
              <w:rPr>
                <w:i/>
                <w:color w:val="000000"/>
                <w:szCs w:val="24"/>
              </w:rPr>
              <w:t xml:space="preserve">1. Sabiedrības </w:t>
            </w:r>
            <w:r>
              <w:rPr>
                <w:i/>
                <w:color w:val="000000"/>
                <w:szCs w:val="24"/>
              </w:rPr>
              <w:t xml:space="preserve">vadības </w:t>
            </w:r>
            <w:r w:rsidRPr="006D6BAA">
              <w:rPr>
                <w:i/>
                <w:color w:val="000000"/>
                <w:szCs w:val="24"/>
              </w:rPr>
              <w:t>neitralitātes princips</w:t>
            </w:r>
          </w:p>
          <w:p w14:paraId="26C046B8" w14:textId="77777777" w:rsidR="000B7551" w:rsidRPr="00911451" w:rsidRDefault="000B7551" w:rsidP="000B7551">
            <w:pPr>
              <w:spacing w:before="120" w:after="120"/>
              <w:jc w:val="both"/>
              <w:rPr>
                <w:rFonts w:cs="Times New Roman"/>
                <w:i/>
                <w:szCs w:val="24"/>
              </w:rPr>
            </w:pPr>
            <w:r w:rsidRPr="00911451">
              <w:rPr>
                <w:rFonts w:cs="Times New Roman"/>
                <w:i/>
                <w:szCs w:val="24"/>
              </w:rPr>
              <w:t>2. Aizliegums īstenot korporatīvos notikumus</w:t>
            </w:r>
          </w:p>
          <w:p w14:paraId="124FD88D" w14:textId="7FC77D0E" w:rsidR="000B7551" w:rsidRPr="0066015C" w:rsidRDefault="006E190E" w:rsidP="000B7551">
            <w:pPr>
              <w:spacing w:before="120" w:after="120"/>
              <w:jc w:val="both"/>
              <w:rPr>
                <w:b/>
                <w:color w:val="000000"/>
                <w:szCs w:val="24"/>
              </w:rPr>
            </w:pPr>
            <w:r>
              <w:rPr>
                <w:b/>
                <w:color w:val="000000"/>
                <w:szCs w:val="24"/>
              </w:rPr>
              <w:t>VI</w:t>
            </w:r>
            <w:r w:rsidR="000B7551">
              <w:rPr>
                <w:b/>
                <w:color w:val="000000"/>
                <w:szCs w:val="24"/>
              </w:rPr>
              <w:t>I. </w:t>
            </w:r>
            <w:r w:rsidR="000B7551" w:rsidRPr="0066015C">
              <w:rPr>
                <w:b/>
                <w:color w:val="000000"/>
                <w:szCs w:val="24"/>
              </w:rPr>
              <w:t xml:space="preserve">Akciju atsavināšanas un balsstiesību ierobežojumu neattiecināšana uz piedāvājumu </w:t>
            </w:r>
          </w:p>
          <w:p w14:paraId="47DA0BD0" w14:textId="77777777" w:rsidR="000B7551" w:rsidRPr="00006AD6" w:rsidRDefault="000B7551" w:rsidP="000B7551">
            <w:pPr>
              <w:spacing w:before="120" w:after="120"/>
              <w:jc w:val="both"/>
              <w:rPr>
                <w:rFonts w:eastAsia="Times New Roman"/>
                <w:bCs/>
                <w:i/>
                <w:color w:val="000000"/>
                <w:szCs w:val="24"/>
              </w:rPr>
            </w:pPr>
            <w:r>
              <w:rPr>
                <w:rFonts w:eastAsia="Times New Roman"/>
                <w:bCs/>
                <w:i/>
                <w:color w:val="000000"/>
                <w:szCs w:val="24"/>
              </w:rPr>
              <w:t>1. Ierobežojumi, kurus nepiemēro piedāvājuma ietvaros</w:t>
            </w:r>
          </w:p>
          <w:p w14:paraId="192AA2DC" w14:textId="77777777" w:rsidR="000B7551" w:rsidRDefault="000B7551" w:rsidP="000B7551">
            <w:pPr>
              <w:spacing w:before="120" w:after="120"/>
              <w:jc w:val="both"/>
              <w:rPr>
                <w:b/>
                <w:color w:val="365F91"/>
                <w:szCs w:val="24"/>
              </w:rPr>
            </w:pPr>
            <w:r>
              <w:rPr>
                <w:i/>
                <w:color w:val="000000"/>
                <w:szCs w:val="24"/>
              </w:rPr>
              <w:t xml:space="preserve">2. Atlīdzība </w:t>
            </w:r>
            <w:r w:rsidRPr="006F45FB">
              <w:rPr>
                <w:i/>
                <w:color w:val="000000"/>
                <w:szCs w:val="24"/>
              </w:rPr>
              <w:t>akcionāriem, kuru tiesības aizskartas ierobežojumu neatt</w:t>
            </w:r>
            <w:r>
              <w:rPr>
                <w:i/>
                <w:color w:val="000000"/>
                <w:szCs w:val="24"/>
              </w:rPr>
              <w:t>i</w:t>
            </w:r>
            <w:r w:rsidRPr="006F45FB">
              <w:rPr>
                <w:i/>
                <w:color w:val="000000"/>
                <w:szCs w:val="24"/>
              </w:rPr>
              <w:t>ecināšanas principa rezultātā</w:t>
            </w:r>
            <w:r w:rsidRPr="0066015C">
              <w:rPr>
                <w:b/>
                <w:color w:val="365F91"/>
                <w:szCs w:val="24"/>
              </w:rPr>
              <w:t xml:space="preserve"> </w:t>
            </w:r>
          </w:p>
          <w:p w14:paraId="202846A1" w14:textId="77777777" w:rsidR="000B7551" w:rsidRPr="00400695" w:rsidRDefault="000B7551" w:rsidP="000B7551">
            <w:pPr>
              <w:spacing w:before="120" w:after="120"/>
              <w:jc w:val="both"/>
              <w:rPr>
                <w:i/>
              </w:rPr>
            </w:pPr>
            <w:r>
              <w:rPr>
                <w:i/>
                <w:color w:val="000000"/>
                <w:szCs w:val="24"/>
              </w:rPr>
              <w:t>3</w:t>
            </w:r>
            <w:r w:rsidRPr="00400695">
              <w:rPr>
                <w:i/>
                <w:color w:val="000000"/>
                <w:szCs w:val="24"/>
              </w:rPr>
              <w:t>.</w:t>
            </w:r>
            <w:r>
              <w:rPr>
                <w:i/>
                <w:color w:val="000000"/>
                <w:szCs w:val="24"/>
              </w:rPr>
              <w:t xml:space="preserve"> Principa neattiecināšana uz piedāvājumu akciju no regulētā tirgus izslēgšanas gadījumā</w:t>
            </w:r>
          </w:p>
          <w:p w14:paraId="08913B72" w14:textId="16B9A11A" w:rsidR="000B7551" w:rsidRDefault="006E190E" w:rsidP="000B7551">
            <w:pPr>
              <w:spacing w:before="120" w:after="120"/>
              <w:jc w:val="both"/>
              <w:rPr>
                <w:b/>
                <w:color w:val="000000"/>
                <w:szCs w:val="24"/>
              </w:rPr>
            </w:pPr>
            <w:r>
              <w:rPr>
                <w:b/>
                <w:color w:val="000000"/>
                <w:szCs w:val="24"/>
              </w:rPr>
              <w:t>VIII</w:t>
            </w:r>
            <w:r w:rsidR="000B7551">
              <w:rPr>
                <w:b/>
                <w:color w:val="000000"/>
                <w:szCs w:val="24"/>
              </w:rPr>
              <w:t>. Piedāvājuma izteikšanas kārtība</w:t>
            </w:r>
          </w:p>
          <w:p w14:paraId="46A22F20" w14:textId="77777777" w:rsidR="000B7551" w:rsidRDefault="000B7551" w:rsidP="000B7551">
            <w:pPr>
              <w:spacing w:before="120" w:after="120"/>
              <w:jc w:val="both"/>
              <w:rPr>
                <w:i/>
                <w:color w:val="000000"/>
                <w:szCs w:val="24"/>
              </w:rPr>
            </w:pPr>
            <w:r w:rsidRPr="00420A8E">
              <w:rPr>
                <w:i/>
                <w:color w:val="000000"/>
                <w:szCs w:val="24"/>
              </w:rPr>
              <w:t>1. Piedāvājuma termiņš</w:t>
            </w:r>
          </w:p>
          <w:p w14:paraId="7B84B5FB" w14:textId="77777777" w:rsidR="000B7551" w:rsidRDefault="000B7551" w:rsidP="000B7551">
            <w:pPr>
              <w:pStyle w:val="Heading1"/>
              <w:spacing w:before="120" w:after="120" w:line="240" w:lineRule="auto"/>
              <w:rPr>
                <w:rFonts w:ascii="Times New Roman" w:eastAsia="Arial" w:hAnsi="Times New Roman"/>
                <w:b w:val="0"/>
                <w:i/>
                <w:sz w:val="24"/>
                <w:szCs w:val="24"/>
                <w:lang w:val="lv-LV"/>
              </w:rPr>
            </w:pPr>
            <w:bookmarkStart w:id="1" w:name="_Toc26191591"/>
            <w:r w:rsidRPr="00164CC5">
              <w:rPr>
                <w:rFonts w:ascii="Times New Roman" w:eastAsia="Arial" w:hAnsi="Times New Roman"/>
                <w:b w:val="0"/>
                <w:i/>
                <w:sz w:val="24"/>
                <w:szCs w:val="24"/>
                <w:lang w:val="lv-LV"/>
              </w:rPr>
              <w:t xml:space="preserve">2. Informācijas </w:t>
            </w:r>
            <w:r w:rsidRPr="00164CC5">
              <w:rPr>
                <w:rFonts w:ascii="Times New Roman" w:eastAsiaTheme="minorHAnsi" w:hAnsi="Times New Roman" w:cstheme="minorBidi"/>
                <w:b w:val="0"/>
                <w:bCs w:val="0"/>
                <w:i/>
                <w:color w:val="000000"/>
                <w:kern w:val="0"/>
                <w:sz w:val="24"/>
                <w:szCs w:val="24"/>
                <w:lang w:val="lv-LV"/>
              </w:rPr>
              <w:t>atklāšana par piedāvājumu</w:t>
            </w:r>
            <w:bookmarkEnd w:id="1"/>
          </w:p>
          <w:p w14:paraId="67A3F2CA" w14:textId="77777777" w:rsidR="000B7551" w:rsidRPr="000F335C" w:rsidRDefault="000B7551" w:rsidP="000B7551">
            <w:pPr>
              <w:spacing w:before="120" w:after="120"/>
              <w:jc w:val="both"/>
              <w:rPr>
                <w:i/>
                <w:color w:val="000000"/>
                <w:szCs w:val="24"/>
              </w:rPr>
            </w:pPr>
            <w:r w:rsidRPr="000F335C">
              <w:rPr>
                <w:i/>
                <w:color w:val="000000"/>
                <w:szCs w:val="24"/>
              </w:rPr>
              <w:t>3. Dokumenti atļaujai izteikt piedāvājumu</w:t>
            </w:r>
          </w:p>
          <w:p w14:paraId="1FD15BF2" w14:textId="77777777" w:rsidR="000B7551" w:rsidRDefault="000B7551" w:rsidP="000B7551">
            <w:pPr>
              <w:spacing w:before="120" w:after="120"/>
              <w:jc w:val="both"/>
              <w:rPr>
                <w:i/>
                <w:color w:val="000000"/>
                <w:szCs w:val="24"/>
              </w:rPr>
            </w:pPr>
            <w:r>
              <w:rPr>
                <w:i/>
                <w:color w:val="000000"/>
                <w:szCs w:val="24"/>
              </w:rPr>
              <w:t>4. </w:t>
            </w:r>
            <w:r w:rsidRPr="003763D5">
              <w:rPr>
                <w:i/>
                <w:color w:val="000000"/>
                <w:szCs w:val="24"/>
              </w:rPr>
              <w:t xml:space="preserve">Citā dalībvalstī apspirināta prospekta atzīšana Latvijā </w:t>
            </w:r>
          </w:p>
          <w:p w14:paraId="6CA21937" w14:textId="77777777" w:rsidR="000B7551" w:rsidRDefault="000B7551" w:rsidP="000B7551">
            <w:pPr>
              <w:spacing w:before="120" w:after="120"/>
              <w:jc w:val="both"/>
              <w:rPr>
                <w:rFonts w:cs="Times New Roman"/>
                <w:i/>
                <w:szCs w:val="24"/>
              </w:rPr>
            </w:pPr>
            <w:r>
              <w:rPr>
                <w:rFonts w:cs="Times New Roman"/>
                <w:i/>
                <w:szCs w:val="24"/>
              </w:rPr>
              <w:t>5. Lēmums par atļauju izteikt piedāvājumu</w:t>
            </w:r>
          </w:p>
          <w:p w14:paraId="42DF8570" w14:textId="77777777" w:rsidR="000B7551" w:rsidRPr="003763D5" w:rsidRDefault="000B7551" w:rsidP="000B7551">
            <w:pPr>
              <w:spacing w:before="120" w:after="120"/>
              <w:jc w:val="both"/>
              <w:rPr>
                <w:i/>
                <w:color w:val="000000"/>
                <w:szCs w:val="24"/>
              </w:rPr>
            </w:pPr>
            <w:r>
              <w:rPr>
                <w:i/>
                <w:color w:val="000000"/>
                <w:szCs w:val="24"/>
              </w:rPr>
              <w:t>6. </w:t>
            </w:r>
            <w:r w:rsidRPr="003763D5">
              <w:rPr>
                <w:i/>
                <w:color w:val="000000"/>
                <w:szCs w:val="24"/>
              </w:rPr>
              <w:t>Piedāvājuma noteikumu grozīšanas kārtība</w:t>
            </w:r>
          </w:p>
          <w:p w14:paraId="58FE6769" w14:textId="77777777" w:rsidR="000B7551" w:rsidRPr="00215FB6" w:rsidRDefault="000B7551" w:rsidP="000B7551">
            <w:pPr>
              <w:spacing w:before="120" w:after="120"/>
              <w:jc w:val="both"/>
              <w:rPr>
                <w:rFonts w:cs="Times New Roman"/>
                <w:i/>
                <w:szCs w:val="24"/>
              </w:rPr>
            </w:pPr>
            <w:r>
              <w:rPr>
                <w:rFonts w:cs="Times New Roman"/>
                <w:i/>
                <w:szCs w:val="24"/>
              </w:rPr>
              <w:lastRenderedPageBreak/>
              <w:t>7. </w:t>
            </w:r>
            <w:r w:rsidRPr="00215FB6">
              <w:rPr>
                <w:rFonts w:cs="Times New Roman"/>
                <w:i/>
                <w:szCs w:val="24"/>
              </w:rPr>
              <w:t>Piedāvājuma atcelšana</w:t>
            </w:r>
          </w:p>
          <w:p w14:paraId="0BBEF107" w14:textId="318C5D09" w:rsidR="000B7551" w:rsidRDefault="006E190E" w:rsidP="000B7551">
            <w:pPr>
              <w:spacing w:before="120" w:after="120"/>
              <w:jc w:val="both"/>
              <w:rPr>
                <w:rFonts w:eastAsia="Arial"/>
                <w:b/>
                <w:color w:val="000000"/>
                <w:szCs w:val="24"/>
              </w:rPr>
            </w:pPr>
            <w:r>
              <w:rPr>
                <w:rFonts w:eastAsia="Arial"/>
                <w:b/>
                <w:color w:val="000000"/>
                <w:szCs w:val="24"/>
              </w:rPr>
              <w:t>I</w:t>
            </w:r>
            <w:r w:rsidR="000B7551">
              <w:rPr>
                <w:rFonts w:eastAsia="Arial"/>
                <w:b/>
                <w:color w:val="000000"/>
                <w:szCs w:val="24"/>
              </w:rPr>
              <w:t>X. </w:t>
            </w:r>
            <w:r w:rsidR="000B7551" w:rsidRPr="0066015C">
              <w:rPr>
                <w:rFonts w:eastAsia="Arial"/>
                <w:b/>
                <w:color w:val="000000"/>
                <w:szCs w:val="24"/>
              </w:rPr>
              <w:t>Galīgā akciju atpirkšana</w:t>
            </w:r>
          </w:p>
          <w:p w14:paraId="3731447A" w14:textId="77777777" w:rsidR="000B7551" w:rsidRPr="00B31A40" w:rsidRDefault="000B7551" w:rsidP="000B7551">
            <w:pPr>
              <w:spacing w:before="120" w:after="120"/>
              <w:jc w:val="both"/>
              <w:rPr>
                <w:rFonts w:eastAsia="Arial"/>
                <w:i/>
                <w:color w:val="000000"/>
                <w:szCs w:val="24"/>
              </w:rPr>
            </w:pPr>
            <w:r w:rsidRPr="00B31A40">
              <w:rPr>
                <w:rFonts w:eastAsia="Arial"/>
                <w:i/>
                <w:color w:val="000000"/>
                <w:szCs w:val="24"/>
              </w:rPr>
              <w:t xml:space="preserve">1. </w:t>
            </w:r>
            <w:r>
              <w:rPr>
                <w:rFonts w:eastAsia="Arial"/>
                <w:i/>
                <w:color w:val="000000"/>
                <w:szCs w:val="24"/>
              </w:rPr>
              <w:t>Nosacījumi galīgās akciju atpirkšanas tiesību īstenošanai</w:t>
            </w:r>
          </w:p>
          <w:p w14:paraId="2C2C5129" w14:textId="77777777" w:rsidR="000B7551" w:rsidRDefault="000B7551" w:rsidP="000B7551">
            <w:pPr>
              <w:spacing w:before="120" w:after="120"/>
              <w:jc w:val="both"/>
              <w:rPr>
                <w:rFonts w:eastAsia="Arial"/>
                <w:i/>
                <w:color w:val="000000"/>
                <w:szCs w:val="24"/>
              </w:rPr>
            </w:pPr>
            <w:r>
              <w:rPr>
                <w:rFonts w:eastAsia="Arial"/>
                <w:i/>
                <w:color w:val="000000"/>
                <w:szCs w:val="24"/>
              </w:rPr>
              <w:t xml:space="preserve">2. Balsstiesību slieksnis galīgās akciju atpirkšanas veikšanai. </w:t>
            </w:r>
          </w:p>
          <w:p w14:paraId="67EFED6E" w14:textId="77777777" w:rsidR="000B7551" w:rsidRPr="00984697" w:rsidRDefault="000B7551" w:rsidP="000B7551">
            <w:pPr>
              <w:spacing w:before="120" w:after="120"/>
              <w:jc w:val="both"/>
              <w:rPr>
                <w:rFonts w:eastAsia="Arial"/>
                <w:i/>
                <w:color w:val="000000"/>
                <w:szCs w:val="24"/>
              </w:rPr>
            </w:pPr>
            <w:r>
              <w:rPr>
                <w:rFonts w:eastAsia="Arial"/>
                <w:i/>
                <w:color w:val="000000"/>
                <w:szCs w:val="24"/>
              </w:rPr>
              <w:t>3. Termiņš galīgās akciju atpirkšanas tiesību īstenošanai</w:t>
            </w:r>
          </w:p>
          <w:p w14:paraId="0B53824E" w14:textId="77777777" w:rsidR="000B7551" w:rsidRDefault="000B7551" w:rsidP="000B7551">
            <w:pPr>
              <w:spacing w:before="120" w:after="120"/>
              <w:jc w:val="both"/>
              <w:rPr>
                <w:rFonts w:eastAsia="Arial"/>
                <w:color w:val="000000"/>
                <w:szCs w:val="24"/>
              </w:rPr>
            </w:pPr>
            <w:r>
              <w:rPr>
                <w:rFonts w:eastAsia="Arial"/>
                <w:i/>
                <w:color w:val="000000"/>
                <w:szCs w:val="24"/>
              </w:rPr>
              <w:t>4. Akcijas atpirkšanas cena</w:t>
            </w:r>
            <w:r w:rsidRPr="00E010FC">
              <w:rPr>
                <w:rFonts w:eastAsia="Arial"/>
                <w:i/>
                <w:color w:val="000000"/>
                <w:szCs w:val="24"/>
              </w:rPr>
              <w:t>.</w:t>
            </w:r>
            <w:r w:rsidRPr="0066015C">
              <w:rPr>
                <w:rFonts w:eastAsia="Arial"/>
                <w:color w:val="000000"/>
                <w:szCs w:val="24"/>
              </w:rPr>
              <w:t xml:space="preserve"> </w:t>
            </w:r>
          </w:p>
          <w:p w14:paraId="40324483" w14:textId="77777777" w:rsidR="000B7551" w:rsidRPr="00B11E8F" w:rsidRDefault="000B7551" w:rsidP="000B7551">
            <w:pPr>
              <w:spacing w:before="120" w:after="120"/>
              <w:jc w:val="both"/>
              <w:rPr>
                <w:rFonts w:eastAsia="Arial"/>
                <w:i/>
                <w:color w:val="000000"/>
                <w:szCs w:val="24"/>
              </w:rPr>
            </w:pPr>
            <w:r>
              <w:rPr>
                <w:rFonts w:eastAsia="Arial"/>
                <w:i/>
                <w:color w:val="000000"/>
                <w:szCs w:val="24"/>
              </w:rPr>
              <w:t>5. </w:t>
            </w:r>
            <w:r w:rsidRPr="00B11E8F">
              <w:rPr>
                <w:rFonts w:eastAsia="Arial"/>
                <w:i/>
                <w:color w:val="000000"/>
                <w:szCs w:val="24"/>
              </w:rPr>
              <w:t>Akciju izslēgšana no regulētā tirgus</w:t>
            </w:r>
          </w:p>
          <w:p w14:paraId="0BB4D291" w14:textId="77777777" w:rsidR="000B7551" w:rsidRPr="00F001EF" w:rsidRDefault="000B7551" w:rsidP="000B7551">
            <w:pPr>
              <w:spacing w:before="120" w:after="120"/>
              <w:jc w:val="both"/>
              <w:rPr>
                <w:rFonts w:eastAsia="Arial"/>
                <w:i/>
                <w:color w:val="000000"/>
                <w:szCs w:val="24"/>
              </w:rPr>
            </w:pPr>
            <w:r>
              <w:rPr>
                <w:rFonts w:eastAsia="Arial"/>
                <w:color w:val="000000"/>
                <w:szCs w:val="24"/>
              </w:rPr>
              <w:t xml:space="preserve">6. </w:t>
            </w:r>
            <w:r>
              <w:rPr>
                <w:rFonts w:eastAsia="Arial"/>
                <w:i/>
                <w:color w:val="000000"/>
                <w:szCs w:val="24"/>
              </w:rPr>
              <w:t>Informācijas atklāšana</w:t>
            </w:r>
          </w:p>
          <w:p w14:paraId="74DEBE54" w14:textId="77777777" w:rsidR="000B7551" w:rsidRDefault="000B7551" w:rsidP="000B7551">
            <w:pPr>
              <w:spacing w:before="120" w:after="120"/>
              <w:jc w:val="both"/>
              <w:rPr>
                <w:rFonts w:eastAsia="Arial"/>
                <w:i/>
                <w:color w:val="000000"/>
                <w:szCs w:val="24"/>
              </w:rPr>
            </w:pPr>
            <w:r w:rsidRPr="00F001EF">
              <w:rPr>
                <w:rFonts w:eastAsia="Arial"/>
                <w:i/>
                <w:color w:val="000000"/>
                <w:szCs w:val="24"/>
              </w:rPr>
              <w:t xml:space="preserve">7. Lēmuma pieņemšanas process </w:t>
            </w:r>
          </w:p>
          <w:p w14:paraId="4783CC5D" w14:textId="2B86E840" w:rsidR="000B7551" w:rsidRPr="004D138B" w:rsidRDefault="006E190E" w:rsidP="000B7551">
            <w:pPr>
              <w:spacing w:before="120" w:after="120"/>
              <w:jc w:val="both"/>
              <w:rPr>
                <w:rFonts w:eastAsia="Arial"/>
                <w:b/>
                <w:color w:val="000000"/>
                <w:szCs w:val="24"/>
              </w:rPr>
            </w:pPr>
            <w:r>
              <w:rPr>
                <w:rFonts w:eastAsia="Arial"/>
                <w:b/>
                <w:color w:val="000000"/>
                <w:szCs w:val="24"/>
              </w:rPr>
              <w:t>X</w:t>
            </w:r>
            <w:r w:rsidR="000B7551">
              <w:rPr>
                <w:rFonts w:eastAsia="Arial"/>
                <w:b/>
                <w:color w:val="000000"/>
                <w:szCs w:val="24"/>
              </w:rPr>
              <w:t>. Mazākuma a</w:t>
            </w:r>
            <w:r w:rsidR="000B7551" w:rsidRPr="004D138B">
              <w:rPr>
                <w:rFonts w:eastAsia="Arial"/>
                <w:b/>
                <w:color w:val="000000"/>
                <w:szCs w:val="24"/>
              </w:rPr>
              <w:t xml:space="preserve">kcionāra </w:t>
            </w:r>
            <w:r w:rsidR="000B7551">
              <w:rPr>
                <w:rFonts w:eastAsia="Arial"/>
                <w:b/>
                <w:color w:val="000000"/>
                <w:szCs w:val="24"/>
              </w:rPr>
              <w:t>pieprasījums atpirkt akcijas</w:t>
            </w:r>
          </w:p>
          <w:p w14:paraId="0143E096" w14:textId="77777777" w:rsidR="006E190E" w:rsidRPr="004C64EB" w:rsidRDefault="006E190E" w:rsidP="006E190E">
            <w:pPr>
              <w:spacing w:before="120" w:after="120"/>
              <w:jc w:val="both"/>
              <w:rPr>
                <w:rFonts w:eastAsia="Arial"/>
                <w:i/>
                <w:color w:val="000000"/>
                <w:szCs w:val="24"/>
              </w:rPr>
            </w:pPr>
            <w:r>
              <w:rPr>
                <w:rFonts w:eastAsia="Arial"/>
                <w:i/>
                <w:color w:val="000000"/>
                <w:szCs w:val="24"/>
              </w:rPr>
              <w:t>1. Ierobežojumi tiesību īstenošanai</w:t>
            </w:r>
          </w:p>
          <w:p w14:paraId="3C4512FD" w14:textId="77777777" w:rsidR="006E190E" w:rsidRPr="00420DF1" w:rsidRDefault="006E190E" w:rsidP="006E190E">
            <w:pPr>
              <w:spacing w:before="120" w:after="120"/>
              <w:jc w:val="both"/>
              <w:rPr>
                <w:rFonts w:eastAsia="Arial"/>
                <w:i/>
                <w:color w:val="000000"/>
                <w:szCs w:val="24"/>
              </w:rPr>
            </w:pPr>
            <w:r>
              <w:rPr>
                <w:rFonts w:eastAsia="Arial"/>
                <w:i/>
                <w:color w:val="000000"/>
                <w:szCs w:val="24"/>
              </w:rPr>
              <w:t>2. Termiņš tiesību īstenošanai</w:t>
            </w:r>
          </w:p>
          <w:p w14:paraId="485E5361" w14:textId="77777777" w:rsidR="006E190E" w:rsidRDefault="006E190E" w:rsidP="006E190E">
            <w:pPr>
              <w:spacing w:before="120" w:after="120"/>
              <w:jc w:val="both"/>
              <w:rPr>
                <w:rFonts w:eastAsia="Arial"/>
                <w:color w:val="000000"/>
                <w:szCs w:val="24"/>
              </w:rPr>
            </w:pPr>
            <w:r>
              <w:rPr>
                <w:rFonts w:eastAsia="Arial"/>
                <w:i/>
                <w:color w:val="000000"/>
                <w:szCs w:val="24"/>
              </w:rPr>
              <w:t>3. </w:t>
            </w:r>
            <w:r w:rsidRPr="0086651D">
              <w:rPr>
                <w:rFonts w:eastAsia="Arial"/>
                <w:i/>
                <w:color w:val="000000"/>
                <w:szCs w:val="24"/>
              </w:rPr>
              <w:t>Akcija</w:t>
            </w:r>
            <w:r>
              <w:rPr>
                <w:rFonts w:eastAsia="Arial"/>
                <w:i/>
                <w:color w:val="000000"/>
                <w:szCs w:val="24"/>
              </w:rPr>
              <w:t>s atpirkšanas cenas noteikšana</w:t>
            </w:r>
          </w:p>
          <w:p w14:paraId="16751375" w14:textId="7024B5A9" w:rsidR="00BB618A" w:rsidRPr="006E190E" w:rsidRDefault="006E190E" w:rsidP="006E190E">
            <w:pPr>
              <w:spacing w:before="120" w:after="120"/>
              <w:jc w:val="both"/>
              <w:rPr>
                <w:rFonts w:eastAsia="Arial"/>
                <w:b/>
                <w:color w:val="000000"/>
                <w:szCs w:val="24"/>
              </w:rPr>
            </w:pPr>
            <w:r>
              <w:rPr>
                <w:rFonts w:eastAsia="Arial"/>
                <w:b/>
                <w:color w:val="000000"/>
                <w:szCs w:val="24"/>
              </w:rPr>
              <w:t>XI. Piedāvājuma un galīgās akciju atpirkšanas uzraudzība</w:t>
            </w:r>
          </w:p>
        </w:tc>
      </w:tr>
      <w:tr w:rsidR="002E6246" w:rsidRPr="002D7758" w14:paraId="12E3A7C9" w14:textId="77777777" w:rsidTr="2A45E688">
        <w:tc>
          <w:tcPr>
            <w:tcW w:w="710" w:type="dxa"/>
          </w:tcPr>
          <w:p w14:paraId="6524DD2E"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71B625FF" w14:textId="77777777" w:rsidR="002E6246" w:rsidRPr="002D7758" w:rsidRDefault="002E6246" w:rsidP="002E6246">
            <w:pPr>
              <w:rPr>
                <w:rFonts w:eastAsia="Times New Roman" w:cs="Times New Roman"/>
                <w:szCs w:val="24"/>
              </w:rPr>
            </w:pPr>
            <w:r w:rsidRPr="002D7758">
              <w:rPr>
                <w:rFonts w:eastAsia="Times New Roman" w:cs="Times New Roman"/>
                <w:szCs w:val="24"/>
              </w:rPr>
              <w:t>Iespējamie risinājuma varianti (ja nepieciešams)</w:t>
            </w:r>
          </w:p>
        </w:tc>
        <w:tc>
          <w:tcPr>
            <w:tcW w:w="6350" w:type="dxa"/>
          </w:tcPr>
          <w:p w14:paraId="6E2820A1" w14:textId="0A766804" w:rsidR="002E6246" w:rsidRPr="002D7758" w:rsidRDefault="006E190E" w:rsidP="002E6246">
            <w:pPr>
              <w:spacing w:after="60"/>
              <w:jc w:val="both"/>
              <w:rPr>
                <w:rFonts w:eastAsia="Times New Roman" w:cs="Times New Roman"/>
                <w:szCs w:val="24"/>
              </w:rPr>
            </w:pPr>
            <w:r>
              <w:rPr>
                <w:rFonts w:eastAsia="Times New Roman" w:cs="Times New Roman"/>
                <w:color w:val="000000" w:themeColor="text1"/>
                <w:szCs w:val="24"/>
              </w:rPr>
              <w:t xml:space="preserve">Likumprojekta “Akciju atpirkšanas likums” </w:t>
            </w:r>
            <w:r w:rsidR="00210B6B">
              <w:rPr>
                <w:rFonts w:eastAsia="Times New Roman" w:cs="Times New Roman"/>
                <w:color w:val="000000" w:themeColor="text1"/>
                <w:szCs w:val="24"/>
              </w:rPr>
              <w:t>vietā ir iespējams grozīt FITL D sadaļas V nodaļu</w:t>
            </w:r>
          </w:p>
        </w:tc>
      </w:tr>
      <w:tr w:rsidR="002E6246" w:rsidRPr="002D7758" w14:paraId="12BB06A4" w14:textId="77777777" w:rsidTr="2A45E688">
        <w:tc>
          <w:tcPr>
            <w:tcW w:w="710" w:type="dxa"/>
          </w:tcPr>
          <w:p w14:paraId="4810C09E"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23E8DF96" w14:textId="77777777" w:rsidR="002E6246" w:rsidRPr="002D7758" w:rsidRDefault="002E6246" w:rsidP="002E6246">
            <w:pPr>
              <w:rPr>
                <w:rFonts w:eastAsia="Times New Roman" w:cs="Times New Roman"/>
                <w:szCs w:val="24"/>
              </w:rPr>
            </w:pPr>
            <w:r w:rsidRPr="002D7758">
              <w:rPr>
                <w:rFonts w:eastAsia="Times New Roman" w:cs="Times New Roman"/>
                <w:szCs w:val="24"/>
              </w:rPr>
              <w:t>Par projektu nosakāmā atbildīgā amatpersona</w:t>
            </w:r>
          </w:p>
        </w:tc>
        <w:tc>
          <w:tcPr>
            <w:tcW w:w="6350" w:type="dxa"/>
          </w:tcPr>
          <w:p w14:paraId="36224F76" w14:textId="77777777" w:rsidR="002E6246" w:rsidRPr="002D7758" w:rsidRDefault="002E6246" w:rsidP="00C72F1A">
            <w:pPr>
              <w:spacing w:after="60"/>
              <w:jc w:val="both"/>
              <w:rPr>
                <w:rFonts w:eastAsia="Times New Roman" w:cs="Times New Roman"/>
                <w:szCs w:val="24"/>
              </w:rPr>
            </w:pPr>
            <w:r w:rsidRPr="002D7758">
              <w:rPr>
                <w:rFonts w:eastAsia="Times New Roman" w:cs="Times New Roman"/>
                <w:szCs w:val="24"/>
              </w:rPr>
              <w:t xml:space="preserve">Finanšu ministrijas Finanšu tirgus politikas departamenta direktore </w:t>
            </w:r>
            <w:r w:rsidR="00C72F1A" w:rsidRPr="002D7758">
              <w:rPr>
                <w:rFonts w:eastAsia="Times New Roman" w:cs="Times New Roman"/>
                <w:szCs w:val="24"/>
              </w:rPr>
              <w:t>Aija Zitcere</w:t>
            </w:r>
          </w:p>
        </w:tc>
      </w:tr>
      <w:tr w:rsidR="002E6246" w:rsidRPr="002D7758" w14:paraId="461FE1A3" w14:textId="77777777" w:rsidTr="2A45E688">
        <w:tc>
          <w:tcPr>
            <w:tcW w:w="710" w:type="dxa"/>
          </w:tcPr>
          <w:p w14:paraId="479A9CF7"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543BA5B4" w14:textId="77777777" w:rsidR="002E6246" w:rsidRPr="002D7758" w:rsidRDefault="002E6246" w:rsidP="002E6246">
            <w:pPr>
              <w:rPr>
                <w:rFonts w:eastAsia="Times New Roman" w:cs="Times New Roman"/>
                <w:szCs w:val="24"/>
              </w:rPr>
            </w:pPr>
            <w:r w:rsidRPr="002D7758">
              <w:rPr>
                <w:rFonts w:eastAsia="Times New Roman" w:cs="Times New Roman"/>
                <w:szCs w:val="24"/>
              </w:rPr>
              <w:t>Nosakāmais projekta sagatavotājs (ja nepieciešams)</w:t>
            </w:r>
          </w:p>
        </w:tc>
        <w:tc>
          <w:tcPr>
            <w:tcW w:w="6350" w:type="dxa"/>
          </w:tcPr>
          <w:p w14:paraId="20D17DDF" w14:textId="781A88BD" w:rsidR="002E6246" w:rsidRPr="002D7758" w:rsidRDefault="002E6246" w:rsidP="002D1B5B">
            <w:pPr>
              <w:spacing w:after="60"/>
              <w:jc w:val="both"/>
              <w:rPr>
                <w:rFonts w:eastAsia="Calibri" w:cs="Times New Roman"/>
                <w:szCs w:val="24"/>
              </w:rPr>
            </w:pPr>
            <w:r w:rsidRPr="002D7758">
              <w:rPr>
                <w:rFonts w:eastAsia="Times New Roman" w:cs="Times New Roman"/>
                <w:szCs w:val="24"/>
              </w:rPr>
              <w:t>Finanšu ministrijas Finanšu tirgus politikas departamenta</w:t>
            </w:r>
            <w:r w:rsidR="00E91330" w:rsidRPr="002D7758">
              <w:rPr>
                <w:rFonts w:eastAsia="Times New Roman" w:cs="Times New Roman"/>
                <w:szCs w:val="24"/>
              </w:rPr>
              <w:t xml:space="preserve"> </w:t>
            </w:r>
            <w:r w:rsidR="00226CF4" w:rsidRPr="002D7758">
              <w:rPr>
                <w:rFonts w:eastAsia="Times New Roman" w:cs="Times New Roman"/>
                <w:szCs w:val="24"/>
              </w:rPr>
              <w:t>Kapitāla tirgus un apdrošināšanas politikas nodaļas juris</w:t>
            </w:r>
            <w:r w:rsidR="002D1B5B">
              <w:rPr>
                <w:rFonts w:eastAsia="Times New Roman" w:cs="Times New Roman"/>
                <w:szCs w:val="24"/>
              </w:rPr>
              <w:t>ts</w:t>
            </w:r>
            <w:r w:rsidR="00226CF4" w:rsidRPr="002D7758">
              <w:rPr>
                <w:rFonts w:eastAsia="Times New Roman" w:cs="Times New Roman"/>
                <w:szCs w:val="24"/>
              </w:rPr>
              <w:t xml:space="preserve"> </w:t>
            </w:r>
            <w:r w:rsidR="002D1B5B">
              <w:rPr>
                <w:rFonts w:eastAsia="Times New Roman" w:cs="Times New Roman"/>
                <w:szCs w:val="24"/>
              </w:rPr>
              <w:t>Gunvaldis Davidovičs</w:t>
            </w:r>
          </w:p>
        </w:tc>
      </w:tr>
      <w:tr w:rsidR="002E6246" w:rsidRPr="002D7758" w14:paraId="787539A1" w14:textId="77777777" w:rsidTr="2A45E688">
        <w:tc>
          <w:tcPr>
            <w:tcW w:w="710" w:type="dxa"/>
          </w:tcPr>
          <w:p w14:paraId="7FC6FE2B"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51C7635C" w14:textId="77777777" w:rsidR="002E6246" w:rsidRPr="002D7758" w:rsidRDefault="002E6246" w:rsidP="002E6246">
            <w:pPr>
              <w:rPr>
                <w:rFonts w:eastAsia="Times New Roman" w:cs="Times New Roman"/>
                <w:szCs w:val="24"/>
              </w:rPr>
            </w:pPr>
            <w:r w:rsidRPr="002D7758">
              <w:rPr>
                <w:rFonts w:eastAsia="Times New Roman" w:cs="Times New Roman"/>
                <w:szCs w:val="24"/>
              </w:rPr>
              <w:t>Darba grupas vadītājs un iespējamais sastāvs (ja nepieciešams)</w:t>
            </w:r>
          </w:p>
        </w:tc>
        <w:tc>
          <w:tcPr>
            <w:tcW w:w="6350" w:type="dxa"/>
          </w:tcPr>
          <w:p w14:paraId="7741757F" w14:textId="77777777" w:rsidR="002E6246" w:rsidRPr="002D7758" w:rsidRDefault="002E6246" w:rsidP="002E6246">
            <w:pPr>
              <w:spacing w:after="60"/>
              <w:jc w:val="both"/>
              <w:rPr>
                <w:rFonts w:eastAsia="Calibri" w:cs="Times New Roman"/>
                <w:szCs w:val="24"/>
                <w:lang w:eastAsia="lv-LV"/>
              </w:rPr>
            </w:pPr>
            <w:r w:rsidRPr="002D7758">
              <w:rPr>
                <w:rFonts w:eastAsia="Calibri" w:cs="Times New Roman"/>
                <w:szCs w:val="24"/>
              </w:rPr>
              <w:t>Darba grupa nav nepieciešama</w:t>
            </w:r>
            <w:r w:rsidR="00C72F1A" w:rsidRPr="002D7758">
              <w:rPr>
                <w:rFonts w:eastAsia="Calibri" w:cs="Times New Roman"/>
                <w:szCs w:val="24"/>
              </w:rPr>
              <w:t>.</w:t>
            </w:r>
          </w:p>
        </w:tc>
      </w:tr>
      <w:tr w:rsidR="002E6246" w:rsidRPr="002D7758" w14:paraId="1863AA7C" w14:textId="77777777" w:rsidTr="2A45E688">
        <w:tc>
          <w:tcPr>
            <w:tcW w:w="710" w:type="dxa"/>
          </w:tcPr>
          <w:p w14:paraId="67CDCA75"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37B619D2" w14:textId="77777777" w:rsidR="002E6246" w:rsidRPr="002D7758" w:rsidRDefault="002E6246" w:rsidP="002E6246">
            <w:pPr>
              <w:rPr>
                <w:rFonts w:eastAsia="Times New Roman" w:cs="Times New Roman"/>
                <w:szCs w:val="24"/>
              </w:rPr>
            </w:pPr>
            <w:r w:rsidRPr="002D7758">
              <w:rPr>
                <w:rFonts w:eastAsia="Calibri" w:cs="Times New Roman"/>
                <w:szCs w:val="24"/>
              </w:rPr>
              <w:t>Sabiedrības līdzdalība</w:t>
            </w:r>
          </w:p>
        </w:tc>
        <w:tc>
          <w:tcPr>
            <w:tcW w:w="6350" w:type="dxa"/>
          </w:tcPr>
          <w:p w14:paraId="237148F2" w14:textId="474FC433" w:rsidR="002E6246" w:rsidRPr="002D7758" w:rsidRDefault="2A45E688" w:rsidP="00210B6B">
            <w:pPr>
              <w:spacing w:after="60"/>
              <w:jc w:val="both"/>
              <w:rPr>
                <w:rFonts w:eastAsia="Calibri" w:cs="Times New Roman"/>
                <w:szCs w:val="24"/>
              </w:rPr>
            </w:pPr>
            <w:r w:rsidRPr="002D7758">
              <w:rPr>
                <w:rFonts w:ascii="Times New Roman,Calibri" w:eastAsia="Times New Roman,Calibri" w:hAnsi="Times New Roman,Calibri" w:cs="Times New Roman,Calibri"/>
                <w:szCs w:val="24"/>
              </w:rPr>
              <w:t xml:space="preserve">Uzziņa </w:t>
            </w:r>
            <w:r w:rsidR="00516CB9" w:rsidRPr="002D7758">
              <w:rPr>
                <w:rFonts w:ascii="Times New Roman,Calibri" w:eastAsia="Times New Roman,Calibri" w:hAnsi="Times New Roman,Calibri" w:cs="Times New Roman,Calibri"/>
                <w:szCs w:val="24"/>
              </w:rPr>
              <w:t>tiks publicēt</w:t>
            </w:r>
            <w:r w:rsidRPr="002D7758">
              <w:rPr>
                <w:rFonts w:ascii="Times New Roman,Calibri" w:eastAsia="Times New Roman,Calibri" w:hAnsi="Times New Roman,Calibri" w:cs="Times New Roman,Calibri"/>
                <w:szCs w:val="24"/>
              </w:rPr>
              <w:t>a</w:t>
            </w:r>
            <w:r w:rsidR="00516CB9" w:rsidRPr="002D7758">
              <w:rPr>
                <w:rFonts w:ascii="Times New Roman,Calibri" w:eastAsia="Times New Roman,Calibri" w:hAnsi="Times New Roman,Calibri" w:cs="Times New Roman,Calibri"/>
                <w:szCs w:val="24"/>
              </w:rPr>
              <w:t xml:space="preserve"> Finanšu ministrijas tīmekļa vietnē </w:t>
            </w:r>
            <w:r w:rsidR="00D815A4" w:rsidRPr="002D7758">
              <w:rPr>
                <w:rFonts w:eastAsia="Calibri" w:cs="Times New Roman"/>
                <w:szCs w:val="24"/>
              </w:rPr>
              <w:t xml:space="preserve">sadaļā “Sabiedrības </w:t>
            </w:r>
            <w:r w:rsidR="00D815A4" w:rsidRPr="00D271D5">
              <w:rPr>
                <w:rFonts w:eastAsia="Calibri" w:cs="Times New Roman"/>
                <w:szCs w:val="24"/>
              </w:rPr>
              <w:t xml:space="preserve">līdzdalība”, kurā noteiktais termiņš sabiedrības līdzdalībai ir </w:t>
            </w:r>
            <w:r w:rsidR="00210B6B">
              <w:rPr>
                <w:rFonts w:ascii="Times New Roman,Calibri" w:eastAsia="Times New Roman,Calibri" w:hAnsi="Times New Roman,Calibri" w:cs="Times New Roman,Calibri"/>
                <w:szCs w:val="24"/>
              </w:rPr>
              <w:t>10</w:t>
            </w:r>
            <w:r w:rsidR="00AC4C8B" w:rsidRPr="00996D39">
              <w:rPr>
                <w:rFonts w:ascii="Times New Roman,Calibri" w:eastAsia="Times New Roman,Calibri" w:hAnsi="Times New Roman,Calibri" w:cs="Times New Roman,Calibri"/>
                <w:szCs w:val="24"/>
              </w:rPr>
              <w:t>.</w:t>
            </w:r>
            <w:r w:rsidR="00210B6B">
              <w:rPr>
                <w:rFonts w:ascii="Times New Roman,Calibri" w:eastAsia="Times New Roman,Calibri" w:hAnsi="Times New Roman,Calibri" w:cs="Times New Roman,Calibri"/>
                <w:szCs w:val="24"/>
              </w:rPr>
              <w:t>03</w:t>
            </w:r>
            <w:r w:rsidR="00AC4C8B" w:rsidRPr="00996D39">
              <w:rPr>
                <w:rFonts w:ascii="Times New Roman,Calibri" w:eastAsia="Times New Roman,Calibri" w:hAnsi="Times New Roman,Calibri" w:cs="Times New Roman,Calibri"/>
                <w:szCs w:val="24"/>
              </w:rPr>
              <w:t>.20</w:t>
            </w:r>
            <w:r w:rsidR="00AC4C8B">
              <w:rPr>
                <w:rFonts w:ascii="Times New Roman,Calibri" w:eastAsia="Times New Roman,Calibri" w:hAnsi="Times New Roman,Calibri" w:cs="Times New Roman,Calibri"/>
                <w:szCs w:val="24"/>
              </w:rPr>
              <w:t>20</w:t>
            </w:r>
            <w:r w:rsidR="00AC4C8B" w:rsidRPr="00996D39">
              <w:rPr>
                <w:rFonts w:ascii="Times New Roman,Calibri" w:eastAsia="Times New Roman,Calibri" w:hAnsi="Times New Roman,Calibri" w:cs="Times New Roman,Calibri"/>
                <w:szCs w:val="24"/>
              </w:rPr>
              <w:t>.</w:t>
            </w:r>
            <w:r w:rsidRPr="00D271D5">
              <w:rPr>
                <w:rFonts w:ascii="Times New Roman,Calibri" w:eastAsia="Times New Roman,Calibri" w:hAnsi="Times New Roman,Calibri" w:cs="Times New Roman,Calibri"/>
                <w:szCs w:val="24"/>
              </w:rPr>
              <w:t xml:space="preserve"> </w:t>
            </w:r>
            <w:r w:rsidRPr="00D271D5">
              <w:rPr>
                <w:rFonts w:eastAsia="Times New Roman" w:cs="Times New Roman"/>
                <w:szCs w:val="24"/>
              </w:rPr>
              <w:t>Sabiedrības pārstāvji varēs līdz</w:t>
            </w:r>
            <w:r w:rsidR="000C4905" w:rsidRPr="00D271D5">
              <w:rPr>
                <w:rFonts w:eastAsia="Times New Roman" w:cs="Times New Roman"/>
                <w:szCs w:val="24"/>
              </w:rPr>
              <w:t>darboties likumprojekta izstrādē</w:t>
            </w:r>
            <w:r w:rsidRPr="00D271D5">
              <w:rPr>
                <w:rFonts w:eastAsia="Times New Roman" w:cs="Times New Roman"/>
                <w:szCs w:val="24"/>
              </w:rPr>
              <w:t>, sniedzot</w:t>
            </w:r>
            <w:r w:rsidRPr="002D7758">
              <w:rPr>
                <w:rFonts w:eastAsia="Times New Roman" w:cs="Times New Roman"/>
                <w:szCs w:val="24"/>
              </w:rPr>
              <w:t xml:space="preserve"> atzinumu par to pēc izsludināš</w:t>
            </w:r>
            <w:r w:rsidR="002D1B5B">
              <w:rPr>
                <w:rFonts w:eastAsia="Times New Roman" w:cs="Times New Roman"/>
                <w:szCs w:val="24"/>
              </w:rPr>
              <w:t>anas Valsts sekretāru sanāksmē.</w:t>
            </w:r>
          </w:p>
        </w:tc>
      </w:tr>
      <w:tr w:rsidR="002E6246" w:rsidRPr="002D7758" w14:paraId="6CF3A075" w14:textId="77777777" w:rsidTr="2A45E688">
        <w:tc>
          <w:tcPr>
            <w:tcW w:w="710" w:type="dxa"/>
          </w:tcPr>
          <w:p w14:paraId="5FCE7A86"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72A154C6" w14:textId="77777777" w:rsidR="002E6246" w:rsidRPr="002D7758" w:rsidRDefault="002E6246" w:rsidP="002E6246">
            <w:pPr>
              <w:rPr>
                <w:rFonts w:eastAsia="Times New Roman" w:cs="Times New Roman"/>
                <w:szCs w:val="24"/>
              </w:rPr>
            </w:pPr>
            <w:r w:rsidRPr="002D7758">
              <w:rPr>
                <w:rFonts w:eastAsia="Times New Roman" w:cs="Times New Roman"/>
                <w:szCs w:val="24"/>
              </w:rPr>
              <w:t>Ministrijas struktūrvienības un padotības iestādēm ar kurām projekts jāsaskaņo</w:t>
            </w:r>
          </w:p>
        </w:tc>
        <w:tc>
          <w:tcPr>
            <w:tcW w:w="6350" w:type="dxa"/>
          </w:tcPr>
          <w:p w14:paraId="0C9A81D3" w14:textId="1ADB18F0" w:rsidR="002E6246" w:rsidRPr="000048F9" w:rsidRDefault="004712BA" w:rsidP="006C0DC6">
            <w:pPr>
              <w:widowControl w:val="0"/>
              <w:tabs>
                <w:tab w:val="left" w:pos="851"/>
                <w:tab w:val="right" w:pos="9356"/>
              </w:tabs>
              <w:adjustRightInd w:val="0"/>
              <w:spacing w:after="60"/>
              <w:jc w:val="both"/>
              <w:rPr>
                <w:rFonts w:eastAsia="Calibri" w:cs="Times New Roman"/>
                <w:szCs w:val="24"/>
                <w:lang w:eastAsia="en-GB"/>
              </w:rPr>
            </w:pPr>
            <w:r w:rsidRPr="000048F9">
              <w:rPr>
                <w:rFonts w:eastAsia="Times New Roman" w:cs="Times New Roman"/>
                <w:szCs w:val="24"/>
              </w:rPr>
              <w:t xml:space="preserve">Finanšu ministrijas </w:t>
            </w:r>
            <w:r w:rsidR="00A71199" w:rsidRPr="000048F9">
              <w:rPr>
                <w:rFonts w:eastAsia="Calibri" w:cs="Times New Roman"/>
                <w:szCs w:val="24"/>
                <w:lang w:eastAsia="en-GB"/>
              </w:rPr>
              <w:t>Juridiskais</w:t>
            </w:r>
            <w:r w:rsidR="000A1913" w:rsidRPr="000048F9">
              <w:rPr>
                <w:rFonts w:eastAsia="Calibri" w:cs="Times New Roman"/>
                <w:szCs w:val="24"/>
                <w:lang w:eastAsia="en-GB"/>
              </w:rPr>
              <w:t xml:space="preserve"> departaments</w:t>
            </w:r>
            <w:r w:rsidR="006C0DC6" w:rsidRPr="000048F9">
              <w:rPr>
                <w:rFonts w:eastAsia="Calibri" w:cs="Times New Roman"/>
                <w:szCs w:val="24"/>
                <w:lang w:eastAsia="en-GB"/>
              </w:rPr>
              <w:t xml:space="preserve">, </w:t>
            </w:r>
            <w:r w:rsidR="006C0DC6" w:rsidRPr="000048F9">
              <w:rPr>
                <w:rFonts w:eastAsia="Calibri" w:cs="Times New Roman"/>
                <w:szCs w:val="24"/>
              </w:rPr>
              <w:t>Finanšu un kapitāla tirgus komisija</w:t>
            </w:r>
            <w:r w:rsidR="002E3996" w:rsidRPr="000048F9">
              <w:rPr>
                <w:rFonts w:eastAsia="Calibri" w:cs="Times New Roman"/>
                <w:szCs w:val="24"/>
              </w:rPr>
              <w:t>.</w:t>
            </w:r>
          </w:p>
        </w:tc>
      </w:tr>
      <w:tr w:rsidR="002E6246" w:rsidRPr="002D7758" w14:paraId="454CF805" w14:textId="77777777" w:rsidTr="2A45E688">
        <w:tc>
          <w:tcPr>
            <w:tcW w:w="710" w:type="dxa"/>
          </w:tcPr>
          <w:p w14:paraId="72D3DDE7"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324AF56B" w14:textId="77777777" w:rsidR="002E6246" w:rsidRPr="002D7758" w:rsidRDefault="002E6246" w:rsidP="002E6246">
            <w:pPr>
              <w:rPr>
                <w:rFonts w:eastAsia="Times New Roman" w:cs="Times New Roman"/>
                <w:szCs w:val="24"/>
              </w:rPr>
            </w:pPr>
            <w:r w:rsidRPr="002D7758">
              <w:rPr>
                <w:rFonts w:eastAsia="Times New Roman" w:cs="Times New Roman"/>
                <w:szCs w:val="24"/>
              </w:rPr>
              <w:t>Saskaņošanas termiņš</w:t>
            </w:r>
          </w:p>
        </w:tc>
        <w:tc>
          <w:tcPr>
            <w:tcW w:w="6350" w:type="dxa"/>
          </w:tcPr>
          <w:p w14:paraId="012A856E" w14:textId="58D39D4E" w:rsidR="00A71199" w:rsidRPr="000048F9" w:rsidRDefault="00A71199" w:rsidP="00A71199">
            <w:pPr>
              <w:spacing w:after="60"/>
              <w:jc w:val="both"/>
              <w:rPr>
                <w:rFonts w:eastAsia="Times New Roman" w:cs="Times New Roman"/>
                <w:szCs w:val="24"/>
              </w:rPr>
            </w:pPr>
            <w:r w:rsidRPr="000048F9">
              <w:rPr>
                <w:rFonts w:eastAsia="Times New Roman" w:cs="Times New Roman"/>
                <w:szCs w:val="24"/>
              </w:rPr>
              <w:t xml:space="preserve">Nosūtīt iekšējai saskaņošanai: </w:t>
            </w:r>
            <w:r w:rsidR="00DA7F6A">
              <w:rPr>
                <w:rFonts w:eastAsia="Times New Roman" w:cs="Times New Roman"/>
                <w:szCs w:val="24"/>
              </w:rPr>
              <w:t>20</w:t>
            </w:r>
            <w:r w:rsidR="007813AA" w:rsidRPr="000048F9">
              <w:rPr>
                <w:rFonts w:eastAsia="Times New Roman" w:cs="Times New Roman"/>
                <w:szCs w:val="24"/>
              </w:rPr>
              <w:t>.0</w:t>
            </w:r>
            <w:r w:rsidR="00210B6B">
              <w:rPr>
                <w:rFonts w:eastAsia="Times New Roman" w:cs="Times New Roman"/>
                <w:szCs w:val="24"/>
              </w:rPr>
              <w:t>2</w:t>
            </w:r>
            <w:r w:rsidR="007813AA" w:rsidRPr="000048F9">
              <w:rPr>
                <w:rFonts w:eastAsia="Times New Roman" w:cs="Times New Roman"/>
                <w:szCs w:val="24"/>
              </w:rPr>
              <w:t>.2020</w:t>
            </w:r>
            <w:r w:rsidR="004600A0" w:rsidRPr="000048F9">
              <w:rPr>
                <w:rFonts w:eastAsia="Times New Roman" w:cs="Times New Roman"/>
                <w:szCs w:val="24"/>
              </w:rPr>
              <w:t>.</w:t>
            </w:r>
          </w:p>
          <w:p w14:paraId="1CBDB43D" w14:textId="63D3ACCE" w:rsidR="006C0DC6" w:rsidRPr="000048F9" w:rsidRDefault="006C0DC6" w:rsidP="00CA7C00">
            <w:pPr>
              <w:spacing w:after="60"/>
              <w:jc w:val="both"/>
              <w:rPr>
                <w:rFonts w:eastAsia="Times New Roman" w:cs="Times New Roman"/>
                <w:szCs w:val="24"/>
              </w:rPr>
            </w:pPr>
            <w:r w:rsidRPr="000048F9">
              <w:rPr>
                <w:rFonts w:eastAsia="Times New Roman" w:cs="Times New Roman"/>
                <w:szCs w:val="24"/>
              </w:rPr>
              <w:t>Saskaņošanas termiņš</w:t>
            </w:r>
            <w:r w:rsidR="00184875" w:rsidRPr="000048F9">
              <w:rPr>
                <w:rFonts w:eastAsia="Times New Roman" w:cs="Times New Roman"/>
                <w:szCs w:val="24"/>
              </w:rPr>
              <w:t>:</w:t>
            </w:r>
            <w:r w:rsidRPr="000048F9">
              <w:rPr>
                <w:rFonts w:eastAsia="Times New Roman" w:cs="Times New Roman"/>
                <w:szCs w:val="24"/>
              </w:rPr>
              <w:t xml:space="preserve"> </w:t>
            </w:r>
            <w:r w:rsidR="00DA7F6A">
              <w:rPr>
                <w:rFonts w:eastAsia="Times New Roman" w:cs="Times New Roman"/>
                <w:szCs w:val="24"/>
              </w:rPr>
              <w:t>05.03</w:t>
            </w:r>
            <w:r w:rsidR="007813AA" w:rsidRPr="000048F9">
              <w:rPr>
                <w:rFonts w:eastAsia="Times New Roman" w:cs="Times New Roman"/>
                <w:szCs w:val="24"/>
              </w:rPr>
              <w:t>.2020</w:t>
            </w:r>
            <w:r w:rsidR="004600A0" w:rsidRPr="000048F9">
              <w:rPr>
                <w:rFonts w:eastAsia="Times New Roman" w:cs="Times New Roman"/>
                <w:szCs w:val="24"/>
              </w:rPr>
              <w:t>.</w:t>
            </w:r>
          </w:p>
          <w:p w14:paraId="1F4C9D4A" w14:textId="77777777" w:rsidR="006C0DC6" w:rsidRPr="000048F9" w:rsidRDefault="006C0DC6" w:rsidP="00CA7C00">
            <w:pPr>
              <w:spacing w:after="60"/>
              <w:jc w:val="both"/>
              <w:rPr>
                <w:rFonts w:eastAsia="Times New Roman" w:cs="Times New Roman"/>
                <w:szCs w:val="24"/>
              </w:rPr>
            </w:pPr>
          </w:p>
        </w:tc>
      </w:tr>
      <w:tr w:rsidR="002E6246" w:rsidRPr="002D7758" w14:paraId="3D048E97" w14:textId="77777777" w:rsidTr="2A45E688">
        <w:tc>
          <w:tcPr>
            <w:tcW w:w="710" w:type="dxa"/>
          </w:tcPr>
          <w:p w14:paraId="4FF9EC8A"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A60437E" w14:textId="77777777" w:rsidR="002E6246" w:rsidRPr="002D7758" w:rsidRDefault="002E6246" w:rsidP="002E6246">
            <w:pPr>
              <w:rPr>
                <w:rFonts w:eastAsia="Times New Roman" w:cs="Times New Roman"/>
                <w:szCs w:val="24"/>
              </w:rPr>
            </w:pPr>
            <w:r w:rsidRPr="002D7758">
              <w:rPr>
                <w:rFonts w:eastAsia="Times New Roman" w:cs="Times New Roman"/>
                <w:szCs w:val="24"/>
              </w:rPr>
              <w:t>Prognozējamā projekta finansiālā ietekme uz valsts budžetu</w:t>
            </w:r>
          </w:p>
        </w:tc>
        <w:tc>
          <w:tcPr>
            <w:tcW w:w="6350" w:type="dxa"/>
          </w:tcPr>
          <w:p w14:paraId="7E5B00CB" w14:textId="4F17AAC6" w:rsidR="002E6246" w:rsidRPr="002D7758" w:rsidRDefault="002E6246" w:rsidP="00B22B1D">
            <w:pPr>
              <w:tabs>
                <w:tab w:val="num" w:pos="1440"/>
              </w:tabs>
              <w:spacing w:after="60"/>
              <w:jc w:val="both"/>
              <w:rPr>
                <w:rFonts w:eastAsia="Times New Roman" w:cs="Times New Roman"/>
                <w:szCs w:val="24"/>
              </w:rPr>
            </w:pPr>
            <w:r w:rsidRPr="002D7758">
              <w:rPr>
                <w:rFonts w:eastAsia="Times New Roman" w:cs="Times New Roman"/>
                <w:szCs w:val="24"/>
              </w:rPr>
              <w:t xml:space="preserve">Projektā noteiktais regulējums </w:t>
            </w:r>
            <w:r w:rsidR="00E06AB5" w:rsidRPr="002D7758">
              <w:rPr>
                <w:rFonts w:eastAsia="Times New Roman" w:cs="Times New Roman"/>
                <w:szCs w:val="24"/>
              </w:rPr>
              <w:t>ne</w:t>
            </w:r>
            <w:r w:rsidRPr="002D7758">
              <w:rPr>
                <w:rFonts w:eastAsia="Times New Roman" w:cs="Times New Roman"/>
                <w:szCs w:val="24"/>
              </w:rPr>
              <w:t xml:space="preserve">radīs  ietekmi uz valsts budžetu. </w:t>
            </w:r>
          </w:p>
        </w:tc>
      </w:tr>
      <w:tr w:rsidR="002E6246" w:rsidRPr="002D7758" w14:paraId="77845EBC" w14:textId="77777777" w:rsidTr="2A45E688">
        <w:tc>
          <w:tcPr>
            <w:tcW w:w="710" w:type="dxa"/>
          </w:tcPr>
          <w:p w14:paraId="2C83A40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22A0C521" w14:textId="77777777" w:rsidR="002E6246" w:rsidRPr="002D7758" w:rsidRDefault="002E6246" w:rsidP="002E6246">
            <w:pPr>
              <w:rPr>
                <w:rFonts w:eastAsia="Times New Roman" w:cs="Times New Roman"/>
                <w:szCs w:val="24"/>
              </w:rPr>
            </w:pPr>
            <w:r w:rsidRPr="002D7758">
              <w:rPr>
                <w:rFonts w:eastAsia="Times New Roman" w:cs="Times New Roman"/>
                <w:szCs w:val="24"/>
              </w:rPr>
              <w:t>Tiesību akta pieņemšanas kalendārais plāns</w:t>
            </w:r>
          </w:p>
        </w:tc>
        <w:tc>
          <w:tcPr>
            <w:tcW w:w="6350" w:type="dxa"/>
          </w:tcPr>
          <w:p w14:paraId="607A8EC7" w14:textId="719B9B99" w:rsidR="006C0DC6" w:rsidRPr="002D7758" w:rsidRDefault="00184875" w:rsidP="002E6246">
            <w:pPr>
              <w:spacing w:after="60"/>
              <w:jc w:val="both"/>
              <w:rPr>
                <w:rFonts w:eastAsia="Times New Roman" w:cs="Times New Roman"/>
                <w:szCs w:val="24"/>
              </w:rPr>
            </w:pPr>
            <w:r w:rsidRPr="002D7758">
              <w:rPr>
                <w:rFonts w:eastAsia="Times New Roman" w:cs="Times New Roman"/>
                <w:szCs w:val="24"/>
              </w:rPr>
              <w:t>Izsludināt VSS līdz:</w:t>
            </w:r>
            <w:r w:rsidR="004600A0" w:rsidRPr="002D7758">
              <w:rPr>
                <w:rFonts w:eastAsia="Times New Roman" w:cs="Times New Roman"/>
                <w:szCs w:val="24"/>
              </w:rPr>
              <w:t xml:space="preserve"> </w:t>
            </w:r>
            <w:r w:rsidR="00DA7F6A">
              <w:rPr>
                <w:rFonts w:eastAsia="Times New Roman" w:cs="Times New Roman"/>
                <w:szCs w:val="24"/>
              </w:rPr>
              <w:t>19</w:t>
            </w:r>
            <w:r w:rsidR="003175B5">
              <w:rPr>
                <w:rFonts w:eastAsia="Times New Roman" w:cs="Times New Roman"/>
                <w:szCs w:val="24"/>
              </w:rPr>
              <w:t>.</w:t>
            </w:r>
            <w:r w:rsidR="00630D59">
              <w:rPr>
                <w:rFonts w:eastAsia="Times New Roman" w:cs="Times New Roman"/>
                <w:szCs w:val="24"/>
              </w:rPr>
              <w:t>0</w:t>
            </w:r>
            <w:r w:rsidR="00210B6B">
              <w:rPr>
                <w:rFonts w:eastAsia="Times New Roman" w:cs="Times New Roman"/>
                <w:szCs w:val="24"/>
              </w:rPr>
              <w:t>3</w:t>
            </w:r>
            <w:r w:rsidR="003E61C1">
              <w:rPr>
                <w:rFonts w:eastAsia="Times New Roman" w:cs="Times New Roman"/>
                <w:szCs w:val="24"/>
              </w:rPr>
              <w:t>.2020</w:t>
            </w:r>
            <w:r w:rsidR="002D1B5B">
              <w:rPr>
                <w:rFonts w:eastAsia="Times New Roman" w:cs="Times New Roman"/>
                <w:szCs w:val="24"/>
              </w:rPr>
              <w:t>.</w:t>
            </w:r>
          </w:p>
          <w:p w14:paraId="70D4464F" w14:textId="0DAECAD7" w:rsidR="002E6246" w:rsidRPr="002D7758" w:rsidRDefault="00E06AB5" w:rsidP="00210B6B">
            <w:pPr>
              <w:spacing w:after="60"/>
              <w:jc w:val="both"/>
              <w:rPr>
                <w:rFonts w:eastAsia="Times New Roman" w:cs="Times New Roman"/>
                <w:szCs w:val="24"/>
              </w:rPr>
            </w:pPr>
            <w:r w:rsidRPr="002D7758">
              <w:rPr>
                <w:rFonts w:eastAsia="Times New Roman" w:cs="Times New Roman"/>
                <w:szCs w:val="24"/>
              </w:rPr>
              <w:t>I</w:t>
            </w:r>
            <w:r w:rsidR="00A71199" w:rsidRPr="002D7758">
              <w:rPr>
                <w:rFonts w:eastAsia="Times New Roman" w:cs="Times New Roman"/>
                <w:szCs w:val="24"/>
              </w:rPr>
              <w:t>esniegt</w:t>
            </w:r>
            <w:r w:rsidR="002C2709">
              <w:rPr>
                <w:rFonts w:eastAsia="Times New Roman" w:cs="Times New Roman"/>
                <w:szCs w:val="24"/>
              </w:rPr>
              <w:t xml:space="preserve"> MK </w:t>
            </w:r>
            <w:r w:rsidR="003A07AE">
              <w:rPr>
                <w:rFonts w:eastAsia="Times New Roman" w:cs="Times New Roman"/>
                <w:szCs w:val="24"/>
              </w:rPr>
              <w:t xml:space="preserve">līdz: </w:t>
            </w:r>
            <w:r w:rsidR="00210B6B">
              <w:rPr>
                <w:rFonts w:eastAsia="Times New Roman" w:cs="Times New Roman"/>
                <w:szCs w:val="24"/>
              </w:rPr>
              <w:t>01</w:t>
            </w:r>
            <w:r w:rsidR="003E61C1">
              <w:rPr>
                <w:rFonts w:eastAsia="Times New Roman" w:cs="Times New Roman"/>
                <w:szCs w:val="24"/>
              </w:rPr>
              <w:t>.</w:t>
            </w:r>
            <w:r w:rsidR="00210B6B">
              <w:rPr>
                <w:rFonts w:eastAsia="Times New Roman" w:cs="Times New Roman"/>
                <w:szCs w:val="24"/>
              </w:rPr>
              <w:t>05</w:t>
            </w:r>
            <w:r w:rsidR="003E61C1">
              <w:rPr>
                <w:rFonts w:eastAsia="Times New Roman" w:cs="Times New Roman"/>
                <w:szCs w:val="24"/>
              </w:rPr>
              <w:t>.2020</w:t>
            </w:r>
            <w:r w:rsidR="003A6626" w:rsidRPr="002D7758">
              <w:rPr>
                <w:rFonts w:eastAsia="Times New Roman" w:cs="Times New Roman"/>
                <w:szCs w:val="24"/>
              </w:rPr>
              <w:t>.</w:t>
            </w:r>
          </w:p>
        </w:tc>
      </w:tr>
      <w:tr w:rsidR="002E6246" w:rsidRPr="002D7758" w14:paraId="1C8BBCCD" w14:textId="77777777" w:rsidTr="2A45E688">
        <w:tc>
          <w:tcPr>
            <w:tcW w:w="710" w:type="dxa"/>
            <w:tcBorders>
              <w:bottom w:val="single" w:sz="4" w:space="0" w:color="000000"/>
            </w:tcBorders>
          </w:tcPr>
          <w:p w14:paraId="3BEA455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Borders>
              <w:bottom w:val="single" w:sz="4" w:space="0" w:color="000000"/>
            </w:tcBorders>
          </w:tcPr>
          <w:p w14:paraId="653F0584" w14:textId="0F225909" w:rsidR="002E6246" w:rsidRPr="002D7758" w:rsidRDefault="003E61C1" w:rsidP="002E6246">
            <w:pPr>
              <w:rPr>
                <w:rFonts w:eastAsia="Times New Roman" w:cs="Times New Roman"/>
                <w:szCs w:val="24"/>
              </w:rPr>
            </w:pPr>
            <w:r>
              <w:rPr>
                <w:rFonts w:eastAsia="Times New Roman" w:cs="Times New Roman"/>
                <w:szCs w:val="24"/>
              </w:rPr>
              <w:t>Uzziņas sagatavotāja</w:t>
            </w:r>
          </w:p>
        </w:tc>
        <w:tc>
          <w:tcPr>
            <w:tcW w:w="6350" w:type="dxa"/>
            <w:tcBorders>
              <w:bottom w:val="single" w:sz="4" w:space="0" w:color="000000"/>
            </w:tcBorders>
          </w:tcPr>
          <w:p w14:paraId="6AF6184A" w14:textId="77777777" w:rsidR="002D1B5B" w:rsidRDefault="00E91330" w:rsidP="002D1B5B">
            <w:pPr>
              <w:spacing w:after="160"/>
              <w:jc w:val="both"/>
              <w:rPr>
                <w:rFonts w:eastAsia="Times New Roman" w:cs="Times New Roman"/>
                <w:szCs w:val="24"/>
              </w:rPr>
            </w:pPr>
            <w:r w:rsidRPr="002D7758">
              <w:rPr>
                <w:rFonts w:eastAsia="Times New Roman" w:cs="Times New Roman"/>
                <w:szCs w:val="24"/>
              </w:rPr>
              <w:t>Finanšu ministrijas Finanšu tirgus politikas departamenta Kapitāla tirgus un apdrošināšanas politikas nodaļas juris</w:t>
            </w:r>
            <w:r w:rsidR="002D1B5B">
              <w:rPr>
                <w:rFonts w:eastAsia="Times New Roman" w:cs="Times New Roman"/>
                <w:szCs w:val="24"/>
              </w:rPr>
              <w:t>ts</w:t>
            </w:r>
            <w:r w:rsidRPr="002D7758">
              <w:rPr>
                <w:rFonts w:eastAsia="Times New Roman" w:cs="Times New Roman"/>
                <w:szCs w:val="24"/>
              </w:rPr>
              <w:t xml:space="preserve"> </w:t>
            </w:r>
            <w:r w:rsidR="002D1B5B">
              <w:rPr>
                <w:rFonts w:eastAsia="Times New Roman" w:cs="Times New Roman"/>
                <w:szCs w:val="24"/>
              </w:rPr>
              <w:t>Gunvaldis Davidovičs</w:t>
            </w:r>
          </w:p>
          <w:p w14:paraId="505ED5F1" w14:textId="2C505D4F" w:rsidR="002E6246" w:rsidRPr="00AA1A40" w:rsidRDefault="002E6246" w:rsidP="003A07AE">
            <w:pPr>
              <w:spacing w:after="160"/>
              <w:jc w:val="both"/>
              <w:rPr>
                <w:rFonts w:eastAsia="Times New Roman" w:cs="Times New Roman"/>
                <w:szCs w:val="24"/>
              </w:rPr>
            </w:pPr>
            <w:r w:rsidRPr="002D7758">
              <w:rPr>
                <w:rFonts w:eastAsia="Times New Roman" w:cs="Times New Roman"/>
                <w:szCs w:val="24"/>
              </w:rPr>
              <w:t xml:space="preserve">Tālrunis, e-pasts: </w:t>
            </w:r>
            <w:r w:rsidR="00226CF4" w:rsidRPr="002D7758">
              <w:rPr>
                <w:rFonts w:eastAsia="Times New Roman" w:cs="Times New Roman"/>
                <w:szCs w:val="24"/>
              </w:rPr>
              <w:t>67083</w:t>
            </w:r>
            <w:r w:rsidR="003A07AE">
              <w:rPr>
                <w:rFonts w:eastAsia="Times New Roman" w:cs="Times New Roman"/>
                <w:szCs w:val="24"/>
              </w:rPr>
              <w:t>931</w:t>
            </w:r>
            <w:r w:rsidR="00226CF4" w:rsidRPr="002D7758">
              <w:rPr>
                <w:rFonts w:eastAsia="Times New Roman" w:cs="Times New Roman"/>
                <w:szCs w:val="24"/>
              </w:rPr>
              <w:t xml:space="preserve">, </w:t>
            </w:r>
            <w:r w:rsidR="003A07AE">
              <w:rPr>
                <w:rFonts w:eastAsia="Times New Roman" w:cs="Times New Roman"/>
                <w:szCs w:val="24"/>
              </w:rPr>
              <w:t>gunvaldis</w:t>
            </w:r>
            <w:r w:rsidR="00226CF4" w:rsidRPr="002D7758">
              <w:rPr>
                <w:rFonts w:eastAsia="Times New Roman" w:cs="Times New Roman"/>
                <w:szCs w:val="24"/>
              </w:rPr>
              <w:t>.</w:t>
            </w:r>
            <w:r w:rsidR="003A07AE">
              <w:rPr>
                <w:rFonts w:eastAsia="Times New Roman" w:cs="Times New Roman"/>
                <w:szCs w:val="24"/>
              </w:rPr>
              <w:t>davidovics</w:t>
            </w:r>
            <w:r w:rsidR="00226CF4" w:rsidRPr="002D7758">
              <w:rPr>
                <w:rFonts w:eastAsia="Times New Roman" w:cs="Times New Roman"/>
                <w:szCs w:val="24"/>
              </w:rPr>
              <w:t>@fm.gov.lv</w:t>
            </w:r>
          </w:p>
        </w:tc>
      </w:tr>
      <w:tr w:rsidR="002E6246" w:rsidRPr="002D7758" w14:paraId="1CBCBC09" w14:textId="77777777" w:rsidTr="2A45E688">
        <w:tc>
          <w:tcPr>
            <w:tcW w:w="10065" w:type="dxa"/>
            <w:gridSpan w:val="3"/>
            <w:tcBorders>
              <w:left w:val="nil"/>
              <w:bottom w:val="nil"/>
              <w:right w:val="nil"/>
            </w:tcBorders>
          </w:tcPr>
          <w:p w14:paraId="4D2D5573" w14:textId="77777777" w:rsidR="002E6246" w:rsidRPr="002D7758" w:rsidRDefault="002E6246" w:rsidP="002E6246">
            <w:pPr>
              <w:rPr>
                <w:rFonts w:eastAsia="Times New Roman" w:cs="Times New Roman"/>
                <w:szCs w:val="24"/>
                <w:highlight w:val="yellow"/>
              </w:rPr>
            </w:pPr>
          </w:p>
        </w:tc>
      </w:tr>
    </w:tbl>
    <w:p w14:paraId="55EAE7D2" w14:textId="1E1D16CD" w:rsidR="00247FF4" w:rsidRPr="00247FF4" w:rsidRDefault="00247FF4" w:rsidP="005C3B11">
      <w:pPr>
        <w:spacing w:after="160"/>
        <w:jc w:val="both"/>
        <w:rPr>
          <w:rFonts w:eastAsia="Times New Roman" w:cs="Times New Roman"/>
          <w:szCs w:val="24"/>
        </w:rPr>
      </w:pPr>
      <w:r w:rsidRPr="00247FF4">
        <w:rPr>
          <w:rFonts w:eastAsia="Times New Roman" w:cs="Times New Roman"/>
          <w:szCs w:val="24"/>
        </w:rPr>
        <w:t>Uzzi</w:t>
      </w:r>
      <w:r w:rsidRPr="00247FF4">
        <w:rPr>
          <w:rFonts w:eastAsia="Times New Roman" w:cs="Times New Roman" w:hint="eastAsia"/>
          <w:szCs w:val="24"/>
        </w:rPr>
        <w:t>ņ</w:t>
      </w:r>
      <w:r w:rsidRPr="00247FF4">
        <w:rPr>
          <w:rFonts w:eastAsia="Times New Roman" w:cs="Times New Roman"/>
          <w:szCs w:val="24"/>
        </w:rPr>
        <w:t xml:space="preserve">u iesniedza: </w:t>
      </w:r>
      <w:r w:rsidR="00561E8F" w:rsidRPr="002D7758">
        <w:rPr>
          <w:rFonts w:eastAsia="Times New Roman" w:cs="Times New Roman"/>
          <w:szCs w:val="24"/>
        </w:rPr>
        <w:t>Finanšu ministrijas Finanšu tirgus politikas departamenta Kapitāla tirgus un apdrošināšanas politikas nodaļas juris</w:t>
      </w:r>
      <w:r w:rsidR="003A07AE">
        <w:rPr>
          <w:rFonts w:eastAsia="Times New Roman" w:cs="Times New Roman"/>
          <w:szCs w:val="24"/>
        </w:rPr>
        <w:t>ts</w:t>
      </w:r>
      <w:r w:rsidR="00561E8F" w:rsidRPr="002D7758">
        <w:rPr>
          <w:rFonts w:eastAsia="Times New Roman" w:cs="Times New Roman"/>
          <w:szCs w:val="24"/>
        </w:rPr>
        <w:t xml:space="preserve"> </w:t>
      </w:r>
      <w:r w:rsidR="003A07AE">
        <w:rPr>
          <w:rFonts w:eastAsia="Times New Roman" w:cs="Times New Roman"/>
          <w:szCs w:val="24"/>
        </w:rPr>
        <w:t>Gunvaldis Davidovičs</w:t>
      </w:r>
      <w:r w:rsidR="000C4905">
        <w:rPr>
          <w:rFonts w:eastAsia="Times New Roman" w:cs="Times New Roman"/>
          <w:szCs w:val="24"/>
        </w:rPr>
        <w:t xml:space="preserve"> (t</w:t>
      </w:r>
      <w:r w:rsidRPr="00247FF4">
        <w:rPr>
          <w:rFonts w:eastAsia="Times New Roman" w:cs="Times New Roman" w:hint="eastAsia"/>
          <w:szCs w:val="24"/>
        </w:rPr>
        <w:t>ā</w:t>
      </w:r>
      <w:r w:rsidRPr="00247FF4">
        <w:rPr>
          <w:rFonts w:eastAsia="Times New Roman" w:cs="Times New Roman"/>
          <w:szCs w:val="24"/>
        </w:rPr>
        <w:t xml:space="preserve">lrunis, e-pasts: </w:t>
      </w:r>
      <w:r w:rsidR="00561E8F" w:rsidRPr="002D7758">
        <w:rPr>
          <w:rFonts w:eastAsia="Times New Roman" w:cs="Times New Roman"/>
          <w:szCs w:val="24"/>
        </w:rPr>
        <w:t>67083</w:t>
      </w:r>
      <w:r w:rsidR="003A07AE">
        <w:rPr>
          <w:rFonts w:eastAsia="Times New Roman" w:cs="Times New Roman"/>
          <w:szCs w:val="24"/>
        </w:rPr>
        <w:t>931</w:t>
      </w:r>
      <w:r w:rsidR="00561E8F" w:rsidRPr="002D7758">
        <w:rPr>
          <w:rFonts w:eastAsia="Times New Roman" w:cs="Times New Roman"/>
          <w:szCs w:val="24"/>
        </w:rPr>
        <w:t xml:space="preserve">, </w:t>
      </w:r>
      <w:r w:rsidR="008C314C">
        <w:rPr>
          <w:rFonts w:eastAsia="Times New Roman" w:cs="Times New Roman"/>
          <w:szCs w:val="24"/>
        </w:rPr>
        <w:t>gunvaldis.davidovics</w:t>
      </w:r>
      <w:r w:rsidR="00561E8F" w:rsidRPr="002D7758">
        <w:rPr>
          <w:rFonts w:eastAsia="Times New Roman" w:cs="Times New Roman"/>
          <w:szCs w:val="24"/>
        </w:rPr>
        <w:t>@fm.gov.lv</w:t>
      </w:r>
      <w:r w:rsidR="005C3B11">
        <w:rPr>
          <w:rFonts w:eastAsia="Times New Roman" w:cs="Times New Roman"/>
          <w:szCs w:val="24"/>
        </w:rPr>
        <w:t>)</w:t>
      </w:r>
    </w:p>
    <w:p w14:paraId="44CEA524" w14:textId="0EF52B4B" w:rsidR="002E6246" w:rsidRPr="002D7758" w:rsidRDefault="00247FF4" w:rsidP="00247FF4">
      <w:pPr>
        <w:spacing w:after="160" w:line="259" w:lineRule="auto"/>
        <w:rPr>
          <w:rFonts w:eastAsia="Times New Roman" w:cs="Times New Roman"/>
          <w:szCs w:val="24"/>
        </w:rPr>
      </w:pPr>
      <w:r w:rsidRPr="00247FF4">
        <w:rPr>
          <w:rFonts w:eastAsia="Times New Roman" w:cs="Times New Roman"/>
          <w:szCs w:val="24"/>
        </w:rPr>
        <w:t>Uzzi</w:t>
      </w:r>
      <w:r w:rsidRPr="00247FF4">
        <w:rPr>
          <w:rFonts w:eastAsia="Times New Roman" w:cs="Times New Roman" w:hint="eastAsia"/>
          <w:szCs w:val="24"/>
        </w:rPr>
        <w:t>ņ</w:t>
      </w:r>
      <w:r w:rsidRPr="00247FF4">
        <w:rPr>
          <w:rFonts w:eastAsia="Times New Roman" w:cs="Times New Roman"/>
          <w:szCs w:val="24"/>
        </w:rPr>
        <w:t>a iesniegta</w:t>
      </w:r>
      <w:r w:rsidR="003A07AE">
        <w:rPr>
          <w:rFonts w:eastAsia="Times New Roman" w:cs="Times New Roman"/>
          <w:szCs w:val="24"/>
        </w:rPr>
        <w:t xml:space="preserve">: </w:t>
      </w:r>
      <w:r w:rsidR="00210B6B">
        <w:rPr>
          <w:rFonts w:eastAsia="Times New Roman" w:cs="Times New Roman"/>
          <w:szCs w:val="24"/>
        </w:rPr>
        <w:t>20</w:t>
      </w:r>
      <w:r w:rsidR="003A07AE">
        <w:rPr>
          <w:rFonts w:eastAsia="Times New Roman" w:cs="Times New Roman"/>
          <w:szCs w:val="24"/>
        </w:rPr>
        <w:t>.0</w:t>
      </w:r>
      <w:r w:rsidR="00210B6B">
        <w:rPr>
          <w:rFonts w:eastAsia="Times New Roman" w:cs="Times New Roman"/>
          <w:szCs w:val="24"/>
        </w:rPr>
        <w:t>2</w:t>
      </w:r>
      <w:r w:rsidRPr="00247FF4">
        <w:rPr>
          <w:rFonts w:eastAsia="Times New Roman" w:cs="Times New Roman"/>
          <w:szCs w:val="24"/>
        </w:rPr>
        <w:t>.20</w:t>
      </w:r>
      <w:r w:rsidR="00210B6B">
        <w:rPr>
          <w:rFonts w:eastAsia="Times New Roman" w:cs="Times New Roman"/>
          <w:szCs w:val="24"/>
        </w:rPr>
        <w:t>20</w:t>
      </w:r>
      <w:r w:rsidRPr="00247FF4">
        <w:rPr>
          <w:rFonts w:eastAsia="Times New Roman" w:cs="Times New Roman"/>
          <w:szCs w:val="24"/>
        </w:rPr>
        <w:t>.</w:t>
      </w:r>
    </w:p>
    <w:sectPr w:rsidR="002E6246" w:rsidRPr="002D7758" w:rsidSect="004444EB">
      <w:headerReference w:type="default" r:id="rId10"/>
      <w:footerReference w:type="default" r:id="rId11"/>
      <w:footerReference w:type="firs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0750" w14:textId="77777777" w:rsidR="000E2704" w:rsidRDefault="000E2704">
      <w:r>
        <w:separator/>
      </w:r>
    </w:p>
  </w:endnote>
  <w:endnote w:type="continuationSeparator" w:id="0">
    <w:p w14:paraId="5CE67EF4" w14:textId="77777777" w:rsidR="000E2704" w:rsidRDefault="000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8182" w14:textId="77777777" w:rsidR="0088019C" w:rsidRPr="002D1EE0" w:rsidRDefault="0088019C" w:rsidP="0088019C">
    <w:pPr>
      <w:pStyle w:val="Footer"/>
      <w:rPr>
        <w:rFonts w:cs="Times New Roman"/>
        <w:sz w:val="20"/>
        <w:szCs w:val="20"/>
      </w:rPr>
    </w:pPr>
  </w:p>
  <w:p w14:paraId="7E09676B" w14:textId="77777777" w:rsidR="0093064E" w:rsidRDefault="0088019C" w:rsidP="0088019C">
    <w:pPr>
      <w:pStyle w:val="Footer"/>
      <w:rPr>
        <w:rFonts w:cs="Times New Roman"/>
        <w:sz w:val="20"/>
        <w:szCs w:val="20"/>
      </w:rPr>
    </w:pPr>
    <w:r>
      <w:rPr>
        <w:rFonts w:cs="Times New Roman"/>
        <w:sz w:val="20"/>
        <w:szCs w:val="20"/>
      </w:rPr>
      <w:tab/>
    </w:r>
  </w:p>
  <w:p w14:paraId="36808788" w14:textId="77777777" w:rsidR="004444EB" w:rsidRPr="00B7651E" w:rsidRDefault="000E2704" w:rsidP="00B7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2277"/>
      <w:docPartObj>
        <w:docPartGallery w:val="Page Numbers (Top of Page)"/>
        <w:docPartUnique/>
      </w:docPartObj>
    </w:sdtPr>
    <w:sdtEndPr>
      <w:rPr>
        <w:noProof/>
        <w:szCs w:val="24"/>
      </w:rPr>
    </w:sdtEndPr>
    <w:sdtContent>
      <w:p w14:paraId="651BA42C" w14:textId="0345BB57" w:rsidR="00066DE9" w:rsidRPr="004444EB" w:rsidRDefault="00066DE9" w:rsidP="00066DE9">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491DB0">
          <w:rPr>
            <w:noProof/>
            <w:szCs w:val="24"/>
          </w:rPr>
          <w:t>1</w:t>
        </w:r>
        <w:r w:rsidRPr="004444EB">
          <w:rPr>
            <w:noProof/>
            <w:szCs w:val="24"/>
          </w:rPr>
          <w:fldChar w:fldCharType="end"/>
        </w:r>
      </w:p>
    </w:sdtContent>
  </w:sdt>
  <w:p w14:paraId="28DB289C" w14:textId="77777777" w:rsidR="00066DE9" w:rsidRDefault="00066DE9" w:rsidP="00066DE9"/>
  <w:p w14:paraId="1FE728BC" w14:textId="77777777" w:rsidR="00066DE9" w:rsidRDefault="00066DE9" w:rsidP="00066DE9">
    <w:pPr>
      <w:pStyle w:val="Footer"/>
    </w:pPr>
  </w:p>
  <w:p w14:paraId="15C5CB33" w14:textId="77777777" w:rsidR="00066DE9" w:rsidRDefault="00066DE9" w:rsidP="00066DE9"/>
  <w:p w14:paraId="19649B39" w14:textId="77777777" w:rsidR="002B3839" w:rsidRPr="00806A94" w:rsidRDefault="000E2704" w:rsidP="0080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AF73" w14:textId="77777777" w:rsidR="000E2704" w:rsidRDefault="000E2704">
      <w:r>
        <w:separator/>
      </w:r>
    </w:p>
  </w:footnote>
  <w:footnote w:type="continuationSeparator" w:id="0">
    <w:p w14:paraId="221F4DF1" w14:textId="77777777" w:rsidR="000E2704" w:rsidRDefault="000E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62592"/>
      <w:docPartObj>
        <w:docPartGallery w:val="Page Numbers (Top of Page)"/>
        <w:docPartUnique/>
      </w:docPartObj>
    </w:sdtPr>
    <w:sdtEndPr>
      <w:rPr>
        <w:noProof/>
        <w:szCs w:val="24"/>
      </w:rPr>
    </w:sdtEndPr>
    <w:sdtContent>
      <w:p w14:paraId="19058AFF" w14:textId="78021321" w:rsidR="004444EB" w:rsidRPr="004444EB" w:rsidRDefault="002E6246" w:rsidP="004444EB">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491DB0">
          <w:rPr>
            <w:noProof/>
            <w:szCs w:val="24"/>
          </w:rPr>
          <w:t>4</w:t>
        </w:r>
        <w:r w:rsidRPr="004444EB">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650F"/>
    <w:multiLevelType w:val="hybridMultilevel"/>
    <w:tmpl w:val="EC146774"/>
    <w:lvl w:ilvl="0" w:tplc="DD687132">
      <w:start w:val="2019"/>
      <w:numFmt w:val="bullet"/>
      <w:lvlText w:val="-"/>
      <w:lvlJc w:val="left"/>
      <w:pPr>
        <w:ind w:left="1080" w:hanging="360"/>
      </w:pPr>
      <w:rPr>
        <w:rFonts w:ascii="Times New Roman" w:eastAsiaTheme="minorHAnsi" w:hAnsi="Times New Roman" w:cs="Times New Roman" w:hint="default"/>
        <w:color w:val="auto"/>
        <w:sz w:val="19"/>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6160A0"/>
    <w:multiLevelType w:val="hybridMultilevel"/>
    <w:tmpl w:val="8B2A445E"/>
    <w:lvl w:ilvl="0" w:tplc="07F235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47B83"/>
    <w:multiLevelType w:val="hybridMultilevel"/>
    <w:tmpl w:val="D0666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96010D"/>
    <w:multiLevelType w:val="hybridMultilevel"/>
    <w:tmpl w:val="A7B0B35C"/>
    <w:lvl w:ilvl="0" w:tplc="B20E7450">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CD00C9"/>
    <w:multiLevelType w:val="hybridMultilevel"/>
    <w:tmpl w:val="F1945C04"/>
    <w:lvl w:ilvl="0" w:tplc="6E088B4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055C5"/>
    <w:multiLevelType w:val="hybridMultilevel"/>
    <w:tmpl w:val="BFB63A24"/>
    <w:lvl w:ilvl="0" w:tplc="0C36D4F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0F6DA5"/>
    <w:multiLevelType w:val="hybridMultilevel"/>
    <w:tmpl w:val="64466F56"/>
    <w:lvl w:ilvl="0" w:tplc="E6DABDCA">
      <w:start w:val="1"/>
      <w:numFmt w:val="decimal"/>
      <w:lvlText w:val="%1."/>
      <w:lvlJc w:val="left"/>
      <w:pPr>
        <w:ind w:left="720" w:hanging="360"/>
      </w:pPr>
      <w:rPr>
        <w:rFonts w:eastAsia="Times New Roman" w:cs="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A1033D"/>
    <w:multiLevelType w:val="hybridMultilevel"/>
    <w:tmpl w:val="1CAEA7B0"/>
    <w:lvl w:ilvl="0" w:tplc="A61AB5F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E83250"/>
    <w:multiLevelType w:val="hybridMultilevel"/>
    <w:tmpl w:val="ED14C984"/>
    <w:lvl w:ilvl="0" w:tplc="D80A9BD0">
      <w:start w:val="1"/>
      <w:numFmt w:val="decimal"/>
      <w:lvlText w:val="%1)"/>
      <w:lvlJc w:val="left"/>
      <w:pPr>
        <w:ind w:left="872" w:hanging="645"/>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num w:numId="1">
    <w:abstractNumId w:val="4"/>
  </w:num>
  <w:num w:numId="2">
    <w:abstractNumId w:val="6"/>
  </w:num>
  <w:num w:numId="3">
    <w:abstractNumId w:val="2"/>
  </w:num>
  <w:num w:numId="4">
    <w:abstractNumId w:val="8"/>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6B"/>
    <w:rsid w:val="000048F9"/>
    <w:rsid w:val="00016046"/>
    <w:rsid w:val="00043853"/>
    <w:rsid w:val="00066DE9"/>
    <w:rsid w:val="00076811"/>
    <w:rsid w:val="00077145"/>
    <w:rsid w:val="000879D7"/>
    <w:rsid w:val="0009446B"/>
    <w:rsid w:val="000A1913"/>
    <w:rsid w:val="000B3084"/>
    <w:rsid w:val="000B7551"/>
    <w:rsid w:val="000C4905"/>
    <w:rsid w:val="000E0B0D"/>
    <w:rsid w:val="000E2704"/>
    <w:rsid w:val="00132A20"/>
    <w:rsid w:val="00164B07"/>
    <w:rsid w:val="00170D32"/>
    <w:rsid w:val="0017144A"/>
    <w:rsid w:val="00184875"/>
    <w:rsid w:val="001D5F0F"/>
    <w:rsid w:val="00200781"/>
    <w:rsid w:val="00210B6B"/>
    <w:rsid w:val="00223137"/>
    <w:rsid w:val="00226CF4"/>
    <w:rsid w:val="00243A0C"/>
    <w:rsid w:val="00247FF4"/>
    <w:rsid w:val="002C2709"/>
    <w:rsid w:val="002D1B5B"/>
    <w:rsid w:val="002D1EE0"/>
    <w:rsid w:val="002D7758"/>
    <w:rsid w:val="002E3996"/>
    <w:rsid w:val="002E6246"/>
    <w:rsid w:val="002E6EA6"/>
    <w:rsid w:val="002F5AE0"/>
    <w:rsid w:val="00312282"/>
    <w:rsid w:val="00313E4D"/>
    <w:rsid w:val="003175B5"/>
    <w:rsid w:val="00343C30"/>
    <w:rsid w:val="00344601"/>
    <w:rsid w:val="00380E97"/>
    <w:rsid w:val="003A07AE"/>
    <w:rsid w:val="003A35C5"/>
    <w:rsid w:val="003A6626"/>
    <w:rsid w:val="003B249A"/>
    <w:rsid w:val="003C540E"/>
    <w:rsid w:val="003E61C1"/>
    <w:rsid w:val="00404133"/>
    <w:rsid w:val="004120CB"/>
    <w:rsid w:val="004300A9"/>
    <w:rsid w:val="00434C1D"/>
    <w:rsid w:val="004600A0"/>
    <w:rsid w:val="004600F7"/>
    <w:rsid w:val="004712BA"/>
    <w:rsid w:val="00491DB0"/>
    <w:rsid w:val="004B2C7D"/>
    <w:rsid w:val="004B7D21"/>
    <w:rsid w:val="004D750A"/>
    <w:rsid w:val="004E3530"/>
    <w:rsid w:val="005152AB"/>
    <w:rsid w:val="00516CB9"/>
    <w:rsid w:val="00556033"/>
    <w:rsid w:val="00561E8F"/>
    <w:rsid w:val="005803E4"/>
    <w:rsid w:val="005C3B11"/>
    <w:rsid w:val="005C4A42"/>
    <w:rsid w:val="005C6304"/>
    <w:rsid w:val="005C723D"/>
    <w:rsid w:val="005D4BBE"/>
    <w:rsid w:val="005D503F"/>
    <w:rsid w:val="006003C1"/>
    <w:rsid w:val="00630D59"/>
    <w:rsid w:val="00650BED"/>
    <w:rsid w:val="00650DEE"/>
    <w:rsid w:val="00665606"/>
    <w:rsid w:val="00697968"/>
    <w:rsid w:val="006C0DC6"/>
    <w:rsid w:val="006D0189"/>
    <w:rsid w:val="006D2E84"/>
    <w:rsid w:val="006E190E"/>
    <w:rsid w:val="007255BD"/>
    <w:rsid w:val="007259D2"/>
    <w:rsid w:val="00726735"/>
    <w:rsid w:val="00743A4E"/>
    <w:rsid w:val="0075197E"/>
    <w:rsid w:val="007813AA"/>
    <w:rsid w:val="00784075"/>
    <w:rsid w:val="00787181"/>
    <w:rsid w:val="00791E04"/>
    <w:rsid w:val="00796271"/>
    <w:rsid w:val="007A65DA"/>
    <w:rsid w:val="007C6AE5"/>
    <w:rsid w:val="00801699"/>
    <w:rsid w:val="008105BE"/>
    <w:rsid w:val="008106F2"/>
    <w:rsid w:val="00831722"/>
    <w:rsid w:val="00864618"/>
    <w:rsid w:val="0088019C"/>
    <w:rsid w:val="00880578"/>
    <w:rsid w:val="008B702F"/>
    <w:rsid w:val="008C314C"/>
    <w:rsid w:val="008C5CB7"/>
    <w:rsid w:val="008E55BA"/>
    <w:rsid w:val="008F7D64"/>
    <w:rsid w:val="00924982"/>
    <w:rsid w:val="00946034"/>
    <w:rsid w:val="009558E5"/>
    <w:rsid w:val="009A6D72"/>
    <w:rsid w:val="009D1299"/>
    <w:rsid w:val="009D1FE6"/>
    <w:rsid w:val="009E42E1"/>
    <w:rsid w:val="00A12E65"/>
    <w:rsid w:val="00A56385"/>
    <w:rsid w:val="00A64733"/>
    <w:rsid w:val="00A65CD2"/>
    <w:rsid w:val="00A71199"/>
    <w:rsid w:val="00A72E34"/>
    <w:rsid w:val="00A8079C"/>
    <w:rsid w:val="00A84242"/>
    <w:rsid w:val="00AA1A40"/>
    <w:rsid w:val="00AA3403"/>
    <w:rsid w:val="00AC4C8B"/>
    <w:rsid w:val="00B06E03"/>
    <w:rsid w:val="00B11F6B"/>
    <w:rsid w:val="00B13012"/>
    <w:rsid w:val="00B1619C"/>
    <w:rsid w:val="00B22B1D"/>
    <w:rsid w:val="00B2384F"/>
    <w:rsid w:val="00B74A30"/>
    <w:rsid w:val="00BA63A4"/>
    <w:rsid w:val="00BB618A"/>
    <w:rsid w:val="00BD0D8B"/>
    <w:rsid w:val="00BD49EE"/>
    <w:rsid w:val="00BE1989"/>
    <w:rsid w:val="00BE3C8F"/>
    <w:rsid w:val="00C00FD4"/>
    <w:rsid w:val="00C34AA0"/>
    <w:rsid w:val="00C515BE"/>
    <w:rsid w:val="00C5364E"/>
    <w:rsid w:val="00C72F1A"/>
    <w:rsid w:val="00C76390"/>
    <w:rsid w:val="00C8280A"/>
    <w:rsid w:val="00C90AB0"/>
    <w:rsid w:val="00C93B17"/>
    <w:rsid w:val="00CA7C00"/>
    <w:rsid w:val="00CF46E6"/>
    <w:rsid w:val="00CF5188"/>
    <w:rsid w:val="00D10731"/>
    <w:rsid w:val="00D13C0D"/>
    <w:rsid w:val="00D271D5"/>
    <w:rsid w:val="00D54831"/>
    <w:rsid w:val="00D65424"/>
    <w:rsid w:val="00D707A8"/>
    <w:rsid w:val="00D815A4"/>
    <w:rsid w:val="00D958B1"/>
    <w:rsid w:val="00DA7F6A"/>
    <w:rsid w:val="00DD14DA"/>
    <w:rsid w:val="00DE191D"/>
    <w:rsid w:val="00DF22CE"/>
    <w:rsid w:val="00E06AB5"/>
    <w:rsid w:val="00E101E9"/>
    <w:rsid w:val="00E14E21"/>
    <w:rsid w:val="00E42110"/>
    <w:rsid w:val="00E54503"/>
    <w:rsid w:val="00E643B2"/>
    <w:rsid w:val="00E67EDE"/>
    <w:rsid w:val="00E91330"/>
    <w:rsid w:val="00E92E45"/>
    <w:rsid w:val="00E96814"/>
    <w:rsid w:val="00EB23E6"/>
    <w:rsid w:val="00EB6B15"/>
    <w:rsid w:val="00EE4B3C"/>
    <w:rsid w:val="00F068E3"/>
    <w:rsid w:val="00F23258"/>
    <w:rsid w:val="00F726F8"/>
    <w:rsid w:val="00FA4E76"/>
    <w:rsid w:val="00FB6FD8"/>
    <w:rsid w:val="00FD67EC"/>
    <w:rsid w:val="2A45E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133E"/>
  <w15:chartTrackingRefBased/>
  <w15:docId w15:val="{7E513FFA-3385-41A2-9949-AF16A05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51"/>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46"/>
    <w:pPr>
      <w:tabs>
        <w:tab w:val="center" w:pos="4153"/>
        <w:tab w:val="right" w:pos="8306"/>
      </w:tabs>
    </w:pPr>
  </w:style>
  <w:style w:type="character" w:customStyle="1" w:styleId="HeaderChar">
    <w:name w:val="Header Char"/>
    <w:basedOn w:val="DefaultParagraphFont"/>
    <w:link w:val="Header"/>
    <w:uiPriority w:val="99"/>
    <w:rsid w:val="002E6246"/>
  </w:style>
  <w:style w:type="paragraph" w:styleId="Footer">
    <w:name w:val="footer"/>
    <w:basedOn w:val="Normal"/>
    <w:link w:val="FooterChar"/>
    <w:uiPriority w:val="99"/>
    <w:unhideWhenUsed/>
    <w:rsid w:val="002E6246"/>
    <w:pPr>
      <w:tabs>
        <w:tab w:val="center" w:pos="4153"/>
        <w:tab w:val="right" w:pos="8306"/>
      </w:tabs>
    </w:pPr>
  </w:style>
  <w:style w:type="character" w:customStyle="1" w:styleId="FooterChar">
    <w:name w:val="Footer Char"/>
    <w:basedOn w:val="DefaultParagraphFont"/>
    <w:link w:val="Footer"/>
    <w:uiPriority w:val="99"/>
    <w:rsid w:val="002E6246"/>
  </w:style>
  <w:style w:type="character" w:styleId="Strong">
    <w:name w:val="Strong"/>
    <w:basedOn w:val="DefaultParagraphFont"/>
    <w:uiPriority w:val="22"/>
    <w:qFormat/>
    <w:rsid w:val="00CA7C00"/>
    <w:rPr>
      <w:b/>
      <w:bCs/>
    </w:rPr>
  </w:style>
  <w:style w:type="paragraph" w:styleId="BalloonText">
    <w:name w:val="Balloon Text"/>
    <w:basedOn w:val="Normal"/>
    <w:link w:val="BalloonTextChar"/>
    <w:uiPriority w:val="99"/>
    <w:semiHidden/>
    <w:unhideWhenUsed/>
    <w:rsid w:val="006C0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C6"/>
    <w:rPr>
      <w:rFonts w:ascii="Segoe UI" w:hAnsi="Segoe UI" w:cs="Segoe UI"/>
      <w:sz w:val="18"/>
      <w:szCs w:val="18"/>
    </w:rPr>
  </w:style>
  <w:style w:type="paragraph" w:customStyle="1" w:styleId="doc-ti">
    <w:name w:val="doc-ti"/>
    <w:basedOn w:val="Normal"/>
    <w:rsid w:val="005D4BBE"/>
    <w:pPr>
      <w:spacing w:before="240" w:after="120"/>
      <w:jc w:val="center"/>
    </w:pPr>
    <w:rPr>
      <w:rFonts w:eastAsia="Times New Roman" w:cs="Times New Roman"/>
      <w:b/>
      <w:bCs/>
      <w:szCs w:val="24"/>
      <w:lang w:eastAsia="lv-LV"/>
    </w:rPr>
  </w:style>
  <w:style w:type="paragraph" w:customStyle="1" w:styleId="naiskr">
    <w:name w:val="naiskr"/>
    <w:basedOn w:val="Normal"/>
    <w:rsid w:val="00E54503"/>
    <w:pPr>
      <w:spacing w:before="75" w:after="75"/>
    </w:pPr>
    <w:rPr>
      <w:rFonts w:eastAsia="Times New Roman" w:cs="Times New Roman"/>
      <w:szCs w:val="24"/>
      <w:lang w:eastAsia="lv-LV"/>
    </w:rPr>
  </w:style>
  <w:style w:type="paragraph" w:customStyle="1" w:styleId="Default">
    <w:name w:val="Default"/>
    <w:rsid w:val="00E54503"/>
    <w:pPr>
      <w:autoSpaceDE w:val="0"/>
      <w:autoSpaceDN w:val="0"/>
      <w:adjustRightInd w:val="0"/>
    </w:pPr>
    <w:rPr>
      <w:rFonts w:ascii="EUAlbertina" w:eastAsia="Times New Roman" w:hAnsi="EUAlbertina" w:cs="EUAlbertina"/>
      <w:color w:val="000000"/>
      <w:szCs w:val="24"/>
      <w:lang w:eastAsia="lv-LV"/>
    </w:rPr>
  </w:style>
  <w:style w:type="paragraph" w:styleId="ListParagraph">
    <w:name w:val="List Paragraph"/>
    <w:basedOn w:val="Normal"/>
    <w:uiPriority w:val="34"/>
    <w:qFormat/>
    <w:rsid w:val="00BB618A"/>
    <w:pPr>
      <w:ind w:left="720"/>
      <w:contextualSpacing/>
    </w:pPr>
  </w:style>
  <w:style w:type="character" w:styleId="Hyperlink">
    <w:name w:val="Hyperlink"/>
    <w:basedOn w:val="DefaultParagraphFont"/>
    <w:uiPriority w:val="99"/>
    <w:unhideWhenUsed/>
    <w:rsid w:val="00226CF4"/>
    <w:rPr>
      <w:color w:val="0563C1" w:themeColor="hyperlink"/>
      <w:u w:val="single"/>
    </w:rPr>
  </w:style>
  <w:style w:type="character" w:styleId="FootnoteReference">
    <w:name w:val="footnote reference"/>
    <w:aliases w:val="Footnote Reference Number,Footnote symbol,SUPERS"/>
    <w:uiPriority w:val="99"/>
    <w:unhideWhenUsed/>
    <w:rsid w:val="00312282"/>
    <w:rPr>
      <w:vertAlign w:val="superscript"/>
    </w:rPr>
  </w:style>
  <w:style w:type="character" w:styleId="Emphasis">
    <w:name w:val="Emphasis"/>
    <w:basedOn w:val="DefaultParagraphFont"/>
    <w:uiPriority w:val="20"/>
    <w:qFormat/>
    <w:rsid w:val="005C4A42"/>
    <w:rPr>
      <w:i/>
      <w:iCs/>
    </w:rPr>
  </w:style>
  <w:style w:type="character" w:customStyle="1" w:styleId="Heading1Char">
    <w:name w:val="Heading 1 Char"/>
    <w:basedOn w:val="DefaultParagraphFont"/>
    <w:link w:val="Heading1"/>
    <w:uiPriority w:val="9"/>
    <w:rsid w:val="000B7551"/>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6415">
      <w:bodyDiv w:val="1"/>
      <w:marLeft w:val="390"/>
      <w:marRight w:val="390"/>
      <w:marTop w:val="0"/>
      <w:marBottom w:val="0"/>
      <w:divBdr>
        <w:top w:val="none" w:sz="0" w:space="0" w:color="auto"/>
        <w:left w:val="none" w:sz="0" w:space="0" w:color="auto"/>
        <w:bottom w:val="none" w:sz="0" w:space="0" w:color="auto"/>
        <w:right w:val="none" w:sz="0" w:space="0" w:color="auto"/>
      </w:divBdr>
    </w:div>
    <w:div w:id="609319992">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4D5CA8E494EBFA5370DD0F326997B"/>
        <w:category>
          <w:name w:val="General"/>
          <w:gallery w:val="placeholder"/>
        </w:category>
        <w:types>
          <w:type w:val="bbPlcHdr"/>
        </w:types>
        <w:behaviors>
          <w:behavior w:val="content"/>
        </w:behaviors>
        <w:guid w:val="{36ACCA41-5913-431F-A3D2-E1E1CDB8F7EA}"/>
      </w:docPartPr>
      <w:docPartBody>
        <w:p w:rsidR="00E16436" w:rsidRDefault="006938F3" w:rsidP="006938F3">
          <w:pPr>
            <w:pStyle w:val="9634D5CA8E494EBFA5370DD0F326997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3"/>
    <w:rsid w:val="000960A6"/>
    <w:rsid w:val="000F06FB"/>
    <w:rsid w:val="00231477"/>
    <w:rsid w:val="00465AFD"/>
    <w:rsid w:val="006938F3"/>
    <w:rsid w:val="006E5207"/>
    <w:rsid w:val="007E4942"/>
    <w:rsid w:val="00912070"/>
    <w:rsid w:val="00920AFA"/>
    <w:rsid w:val="00A17131"/>
    <w:rsid w:val="00A7145B"/>
    <w:rsid w:val="00D07E29"/>
    <w:rsid w:val="00E14B08"/>
    <w:rsid w:val="00E16436"/>
    <w:rsid w:val="00F05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8F3"/>
    <w:rPr>
      <w:color w:val="808080"/>
    </w:rPr>
  </w:style>
  <w:style w:type="paragraph" w:customStyle="1" w:styleId="E4F0C85C5FEA48148B7C9EEDA5322F00">
    <w:name w:val="E4F0C85C5FEA48148B7C9EEDA5322F00"/>
    <w:rsid w:val="006938F3"/>
  </w:style>
  <w:style w:type="paragraph" w:customStyle="1" w:styleId="9634D5CA8E494EBFA5370DD0F326997B">
    <w:name w:val="9634D5CA8E494EBFA5370DD0F326997B"/>
    <w:rsid w:val="0069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inotajs xmlns="076bee50-7a25-411a-a5a6-8097026bde27">A. Zitcere (FTPD)</Zinotajs>
    <NPK xmlns="bf0a44d4-cc3b-414c-aa68-884178465e3a">1.</NPK>
    <VK_x0020_l_x0113_mums xmlns="bf0a44d4-cc3b-414c-aa68-884178465e3a">Nav</VK_x0020_l_x0113_mu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38E04-5F5B-4B50-A20A-48831558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99F53-BD9C-4A08-9D65-EB063C557B8E}">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3B082BA5-BF2C-4DC2-857F-E2E8AABB6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4064</Words>
  <Characters>2318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Uzziņa par likumprojektiem “Akciju atpirkšanas likums” un “Grozījumi Finanšu instrumentu tirgus likumā”</vt:lpstr>
    </vt:vector>
  </TitlesOfParts>
  <Company>Finanšu ministrija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likumprojektiem “Akciju atpirkšanas likums” un “Grozījumi Finanšu instrumentu tirgus likumā”</dc:title>
  <dc:subject>Uzziņa</dc:subject>
  <dc:creator>G. Davidovičs (FTPD)</dc:creator>
  <cp:keywords/>
  <cp:lastModifiedBy>Inguna Dancīte</cp:lastModifiedBy>
  <cp:revision>2</cp:revision>
  <cp:lastPrinted>2019-08-22T07:54:00Z</cp:lastPrinted>
  <dcterms:created xsi:type="dcterms:W3CDTF">2020-02-21T12:03:00Z</dcterms:created>
  <dcterms:modified xsi:type="dcterms:W3CDTF">2020-02-21T12:03:00Z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