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24" w:rsidRDefault="00616824" w:rsidP="008E0E72">
      <w:pPr>
        <w:spacing w:after="120" w:line="240" w:lineRule="auto"/>
        <w:jc w:val="center"/>
        <w:rPr>
          <w:rFonts w:ascii="Times New Roman" w:hAnsi="Times New Roman"/>
          <w:b/>
          <w:caps/>
          <w:sz w:val="24"/>
          <w:szCs w:val="24"/>
        </w:rPr>
      </w:pPr>
    </w:p>
    <w:p w:rsidR="00616824" w:rsidRDefault="00616824" w:rsidP="008E0E72">
      <w:pPr>
        <w:spacing w:after="120" w:line="240" w:lineRule="auto"/>
        <w:jc w:val="center"/>
        <w:rPr>
          <w:rFonts w:ascii="Times New Roman" w:hAnsi="Times New Roman"/>
          <w:b/>
          <w:caps/>
          <w:sz w:val="24"/>
          <w:szCs w:val="24"/>
        </w:rPr>
      </w:pPr>
    </w:p>
    <w:p w:rsidR="008E0E72" w:rsidRPr="00F159DF" w:rsidRDefault="008E0E72" w:rsidP="008E0E72">
      <w:pPr>
        <w:spacing w:after="120" w:line="240" w:lineRule="auto"/>
        <w:jc w:val="center"/>
        <w:rPr>
          <w:rFonts w:ascii="Times New Roman" w:hAnsi="Times New Roman"/>
          <w:b/>
          <w:caps/>
          <w:sz w:val="24"/>
          <w:szCs w:val="24"/>
        </w:rPr>
      </w:pPr>
      <w:r w:rsidRPr="00F159DF">
        <w:rPr>
          <w:rFonts w:ascii="Times New Roman" w:hAnsi="Times New Roman"/>
          <w:b/>
          <w:caps/>
          <w:sz w:val="24"/>
          <w:szCs w:val="24"/>
        </w:rPr>
        <w:t>Revīzijas konsultatīvās padomes sēdeS</w:t>
      </w:r>
    </w:p>
    <w:p w:rsidR="008E0E72" w:rsidRPr="00F159DF" w:rsidRDefault="008E0E72" w:rsidP="008E0E72">
      <w:pPr>
        <w:spacing w:after="120" w:line="240" w:lineRule="auto"/>
        <w:jc w:val="center"/>
        <w:rPr>
          <w:rFonts w:ascii="Times New Roman" w:hAnsi="Times New Roman"/>
          <w:b/>
          <w:sz w:val="24"/>
          <w:szCs w:val="24"/>
        </w:rPr>
      </w:pPr>
      <w:smartTag w:uri="schemas-tilde-lv/tildestengine" w:element="veidnes">
        <w:smartTagPr>
          <w:attr w:name="text" w:val="PROTOKOLS"/>
          <w:attr w:name="baseform" w:val="protokol|s"/>
          <w:attr w:name="id" w:val="-1"/>
        </w:smartTagPr>
        <w:r w:rsidRPr="00F159DF">
          <w:rPr>
            <w:rFonts w:ascii="Times New Roman" w:hAnsi="Times New Roman"/>
            <w:b/>
            <w:sz w:val="24"/>
            <w:szCs w:val="24"/>
          </w:rPr>
          <w:t>PROTOKOLS</w:t>
        </w:r>
      </w:smartTag>
    </w:p>
    <w:p w:rsidR="008E0E72" w:rsidRPr="00F159DF" w:rsidRDefault="008E0E72" w:rsidP="008E0E72">
      <w:pPr>
        <w:spacing w:after="120"/>
        <w:jc w:val="center"/>
        <w:rPr>
          <w:rFonts w:ascii="Times New Roman" w:hAnsi="Times New Roman"/>
          <w:sz w:val="24"/>
          <w:szCs w:val="24"/>
        </w:rPr>
      </w:pPr>
      <w:r w:rsidRPr="00F159DF">
        <w:rPr>
          <w:rFonts w:ascii="Times New Roman" w:hAnsi="Times New Roman"/>
          <w:sz w:val="24"/>
          <w:szCs w:val="24"/>
        </w:rPr>
        <w:t>Rīgā</w:t>
      </w:r>
    </w:p>
    <w:p w:rsidR="00616824" w:rsidRDefault="00616824" w:rsidP="008E0E72">
      <w:pPr>
        <w:tabs>
          <w:tab w:val="right" w:pos="9071"/>
        </w:tabs>
        <w:spacing w:line="360" w:lineRule="auto"/>
        <w:rPr>
          <w:rFonts w:ascii="Times New Roman" w:hAnsi="Times New Roman"/>
          <w:sz w:val="24"/>
          <w:szCs w:val="24"/>
        </w:rPr>
      </w:pPr>
    </w:p>
    <w:p w:rsidR="008E0E72" w:rsidRDefault="008E0E72" w:rsidP="008E0E72">
      <w:pPr>
        <w:tabs>
          <w:tab w:val="right" w:pos="9071"/>
        </w:tabs>
        <w:spacing w:line="360" w:lineRule="auto"/>
        <w:rPr>
          <w:rFonts w:ascii="Times New Roman" w:hAnsi="Times New Roman"/>
          <w:sz w:val="24"/>
          <w:szCs w:val="24"/>
        </w:rPr>
      </w:pPr>
      <w:r w:rsidRPr="00F159DF">
        <w:rPr>
          <w:rFonts w:ascii="Times New Roman" w:hAnsi="Times New Roman"/>
          <w:sz w:val="24"/>
          <w:szCs w:val="24"/>
        </w:rPr>
        <w:t>201</w:t>
      </w:r>
      <w:r w:rsidR="00907AE5">
        <w:rPr>
          <w:rFonts w:ascii="Times New Roman" w:hAnsi="Times New Roman"/>
          <w:sz w:val="24"/>
          <w:szCs w:val="24"/>
        </w:rPr>
        <w:t>7</w:t>
      </w:r>
      <w:r w:rsidRPr="00F159DF">
        <w:rPr>
          <w:rFonts w:ascii="Times New Roman" w:hAnsi="Times New Roman"/>
          <w:sz w:val="24"/>
          <w:szCs w:val="24"/>
        </w:rPr>
        <w:t xml:space="preserve">.gada </w:t>
      </w:r>
      <w:r w:rsidR="00907AE5">
        <w:rPr>
          <w:rFonts w:ascii="Times New Roman" w:hAnsi="Times New Roman"/>
          <w:sz w:val="24"/>
          <w:szCs w:val="24"/>
        </w:rPr>
        <w:t>3</w:t>
      </w:r>
      <w:r w:rsidR="00F80DFE">
        <w:rPr>
          <w:rFonts w:ascii="Times New Roman" w:hAnsi="Times New Roman"/>
          <w:sz w:val="24"/>
          <w:szCs w:val="24"/>
        </w:rPr>
        <w:t>0</w:t>
      </w:r>
      <w:r w:rsidRPr="00F159DF">
        <w:rPr>
          <w:rFonts w:ascii="Times New Roman" w:hAnsi="Times New Roman"/>
          <w:sz w:val="24"/>
          <w:szCs w:val="24"/>
        </w:rPr>
        <w:t>.</w:t>
      </w:r>
      <w:r w:rsidR="00907AE5">
        <w:rPr>
          <w:rFonts w:ascii="Times New Roman" w:hAnsi="Times New Roman"/>
          <w:sz w:val="24"/>
          <w:szCs w:val="24"/>
        </w:rPr>
        <w:t>janvāris</w:t>
      </w:r>
      <w:r w:rsidRPr="00F159DF">
        <w:rPr>
          <w:rFonts w:ascii="Times New Roman" w:hAnsi="Times New Roman"/>
          <w:sz w:val="24"/>
          <w:szCs w:val="24"/>
        </w:rPr>
        <w:t xml:space="preserve"> </w:t>
      </w:r>
      <w:r w:rsidRPr="00F159DF">
        <w:rPr>
          <w:rFonts w:ascii="Times New Roman" w:hAnsi="Times New Roman"/>
          <w:b/>
          <w:sz w:val="24"/>
          <w:szCs w:val="24"/>
        </w:rPr>
        <w:tab/>
      </w:r>
      <w:r w:rsidRPr="00F159DF">
        <w:rPr>
          <w:rFonts w:ascii="Times New Roman" w:hAnsi="Times New Roman"/>
          <w:sz w:val="24"/>
          <w:szCs w:val="24"/>
        </w:rPr>
        <w:t>Nr.</w:t>
      </w:r>
      <w:r w:rsidR="003B5AAD">
        <w:rPr>
          <w:rFonts w:ascii="Times New Roman" w:hAnsi="Times New Roman"/>
          <w:sz w:val="24"/>
          <w:szCs w:val="24"/>
        </w:rPr>
        <w:t xml:space="preserve"> </w:t>
      </w:r>
      <w:r w:rsidR="00907AE5">
        <w:rPr>
          <w:rFonts w:ascii="Times New Roman" w:hAnsi="Times New Roman"/>
          <w:sz w:val="24"/>
          <w:szCs w:val="24"/>
        </w:rPr>
        <w:t>1</w:t>
      </w:r>
    </w:p>
    <w:p w:rsidR="00C402A8" w:rsidRPr="00F159DF" w:rsidRDefault="00C402A8" w:rsidP="008E0E72">
      <w:pPr>
        <w:tabs>
          <w:tab w:val="right" w:pos="9071"/>
        </w:tabs>
        <w:spacing w:line="360" w:lineRule="auto"/>
        <w:rPr>
          <w:rFonts w:ascii="Times New Roman" w:hAnsi="Times New Roman"/>
          <w:b/>
          <w:sz w:val="24"/>
          <w:szCs w:val="24"/>
        </w:rPr>
      </w:pPr>
    </w:p>
    <w:p w:rsidR="008E0E72" w:rsidRPr="00F159DF" w:rsidRDefault="008E0E72" w:rsidP="008E0E72">
      <w:pPr>
        <w:tabs>
          <w:tab w:val="right" w:pos="9000"/>
        </w:tabs>
        <w:spacing w:after="120"/>
        <w:ind w:firstLine="709"/>
        <w:jc w:val="both"/>
        <w:rPr>
          <w:rFonts w:ascii="Times New Roman" w:hAnsi="Times New Roman"/>
          <w:b/>
          <w:sz w:val="24"/>
          <w:szCs w:val="24"/>
        </w:rPr>
      </w:pPr>
      <w:r w:rsidRPr="00F159DF">
        <w:rPr>
          <w:rFonts w:ascii="Times New Roman" w:hAnsi="Times New Roman"/>
          <w:b/>
          <w:sz w:val="24"/>
          <w:szCs w:val="24"/>
        </w:rPr>
        <w:t>Sēdi vada</w:t>
      </w:r>
    </w:p>
    <w:tbl>
      <w:tblPr>
        <w:tblW w:w="9214" w:type="dxa"/>
        <w:tblLook w:val="04A0" w:firstRow="1" w:lastRow="0" w:firstColumn="1" w:lastColumn="0" w:noHBand="0" w:noVBand="1"/>
      </w:tblPr>
      <w:tblGrid>
        <w:gridCol w:w="6663"/>
        <w:gridCol w:w="2551"/>
      </w:tblGrid>
      <w:tr w:rsidR="008E0E72" w:rsidRPr="00F159DF" w:rsidTr="00BA2900">
        <w:tc>
          <w:tcPr>
            <w:tcW w:w="6663" w:type="dxa"/>
          </w:tcPr>
          <w:p w:rsidR="008E0E72" w:rsidRPr="00F159DF" w:rsidRDefault="008E0E72" w:rsidP="008B23D3">
            <w:pPr>
              <w:spacing w:after="120"/>
              <w:jc w:val="both"/>
              <w:rPr>
                <w:rFonts w:ascii="Times New Roman" w:eastAsia="Times New Roman" w:hAnsi="Times New Roman"/>
                <w:sz w:val="24"/>
                <w:szCs w:val="24"/>
                <w:lang w:eastAsia="lv-LV"/>
              </w:rPr>
            </w:pPr>
            <w:r w:rsidRPr="00F159DF">
              <w:rPr>
                <w:rFonts w:ascii="Times New Roman" w:eastAsia="Times New Roman" w:hAnsi="Times New Roman"/>
                <w:sz w:val="24"/>
                <w:szCs w:val="24"/>
                <w:lang w:eastAsia="lv-LV"/>
              </w:rPr>
              <w:t xml:space="preserve">Revīzijas konsultatīvās padomes priekšsēdētājs, akciju sabiedrības </w:t>
            </w:r>
            <w:proofErr w:type="spellStart"/>
            <w:r w:rsidR="008B23D3">
              <w:rPr>
                <w:rFonts w:ascii="Times New Roman" w:eastAsia="Times New Roman" w:hAnsi="Times New Roman"/>
                <w:sz w:val="24"/>
                <w:szCs w:val="24"/>
                <w:lang w:eastAsia="lv-LV"/>
              </w:rPr>
              <w:t>Nasdaq</w:t>
            </w:r>
            <w:proofErr w:type="spellEnd"/>
            <w:r w:rsidRPr="00F159DF">
              <w:rPr>
                <w:rFonts w:ascii="Times New Roman" w:eastAsia="Times New Roman" w:hAnsi="Times New Roman"/>
                <w:sz w:val="24"/>
                <w:szCs w:val="24"/>
                <w:lang w:eastAsia="lv-LV"/>
              </w:rPr>
              <w:t xml:space="preserve"> </w:t>
            </w:r>
            <w:proofErr w:type="spellStart"/>
            <w:r w:rsidRPr="00F159DF">
              <w:rPr>
                <w:rFonts w:ascii="Times New Roman" w:eastAsia="Times New Roman" w:hAnsi="Times New Roman"/>
                <w:sz w:val="24"/>
                <w:szCs w:val="24"/>
                <w:lang w:eastAsia="lv-LV"/>
              </w:rPr>
              <w:t>R</w:t>
            </w:r>
            <w:r w:rsidR="00F80DFE">
              <w:rPr>
                <w:rFonts w:ascii="Times New Roman" w:eastAsia="Times New Roman" w:hAnsi="Times New Roman"/>
                <w:sz w:val="24"/>
                <w:szCs w:val="24"/>
                <w:lang w:eastAsia="lv-LV"/>
              </w:rPr>
              <w:t>iga</w:t>
            </w:r>
            <w:proofErr w:type="spellEnd"/>
            <w:r w:rsidR="00F80DFE">
              <w:rPr>
                <w:rFonts w:ascii="Times New Roman" w:eastAsia="Times New Roman" w:hAnsi="Times New Roman"/>
                <w:sz w:val="24"/>
                <w:szCs w:val="24"/>
                <w:lang w:eastAsia="lv-LV"/>
              </w:rPr>
              <w:t xml:space="preserve"> pārstāvis, </w:t>
            </w:r>
            <w:proofErr w:type="spellStart"/>
            <w:r w:rsidR="008B23D3">
              <w:rPr>
                <w:rFonts w:ascii="Times New Roman" w:eastAsia="Times New Roman" w:hAnsi="Times New Roman"/>
                <w:sz w:val="24"/>
                <w:szCs w:val="24"/>
                <w:lang w:eastAsia="lv-LV"/>
              </w:rPr>
              <w:t>Nexia</w:t>
            </w:r>
            <w:proofErr w:type="spellEnd"/>
            <w:r w:rsidR="008B23D3">
              <w:rPr>
                <w:rFonts w:ascii="Times New Roman" w:eastAsia="Times New Roman" w:hAnsi="Times New Roman"/>
                <w:sz w:val="24"/>
                <w:szCs w:val="24"/>
                <w:lang w:eastAsia="lv-LV"/>
              </w:rPr>
              <w:t xml:space="preserve"> Audit Advice</w:t>
            </w:r>
            <w:r w:rsidR="00F80DFE">
              <w:rPr>
                <w:rFonts w:ascii="Times New Roman" w:eastAsia="Times New Roman" w:hAnsi="Times New Roman"/>
                <w:sz w:val="24"/>
                <w:szCs w:val="24"/>
                <w:lang w:eastAsia="lv-LV"/>
              </w:rPr>
              <w:t xml:space="preserve"> SIA</w:t>
            </w:r>
            <w:r w:rsidRPr="00F159DF">
              <w:rPr>
                <w:rFonts w:ascii="Times New Roman" w:eastAsia="Times New Roman" w:hAnsi="Times New Roman"/>
                <w:sz w:val="24"/>
                <w:szCs w:val="24"/>
                <w:lang w:eastAsia="lv-LV"/>
              </w:rPr>
              <w:t xml:space="preserve"> partneris, valdes priekšsēdētājs, Latvijas Republikas Grāmatvežu asociācijas valdes priekšsēdētājs</w:t>
            </w:r>
          </w:p>
        </w:tc>
        <w:tc>
          <w:tcPr>
            <w:tcW w:w="2551" w:type="dxa"/>
            <w:vAlign w:val="bottom"/>
          </w:tcPr>
          <w:p w:rsidR="008E0E72" w:rsidRPr="00F159DF" w:rsidRDefault="008E0E72" w:rsidP="00BA2900">
            <w:pPr>
              <w:spacing w:after="120"/>
              <w:jc w:val="right"/>
              <w:rPr>
                <w:rFonts w:ascii="Times New Roman" w:eastAsia="Times New Roman" w:hAnsi="Times New Roman"/>
                <w:sz w:val="24"/>
                <w:szCs w:val="24"/>
                <w:lang w:eastAsia="lv-LV"/>
              </w:rPr>
            </w:pPr>
            <w:r w:rsidRPr="00F159DF">
              <w:rPr>
                <w:rFonts w:ascii="Times New Roman" w:eastAsia="Times New Roman" w:hAnsi="Times New Roman"/>
                <w:sz w:val="24"/>
                <w:szCs w:val="24"/>
                <w:lang w:eastAsia="lv-LV"/>
              </w:rPr>
              <w:t>-Andrejs Ponomarjovs</w:t>
            </w:r>
          </w:p>
        </w:tc>
      </w:tr>
    </w:tbl>
    <w:p w:rsidR="00C402A8" w:rsidRDefault="00C402A8" w:rsidP="00907AE5">
      <w:pPr>
        <w:tabs>
          <w:tab w:val="right" w:pos="9000"/>
        </w:tabs>
        <w:spacing w:after="120"/>
        <w:ind w:firstLine="709"/>
        <w:jc w:val="both"/>
        <w:rPr>
          <w:rFonts w:ascii="Times New Roman" w:hAnsi="Times New Roman"/>
          <w:b/>
          <w:sz w:val="24"/>
          <w:szCs w:val="24"/>
        </w:rPr>
      </w:pPr>
    </w:p>
    <w:p w:rsidR="00907AE5" w:rsidRDefault="00907AE5" w:rsidP="00907AE5">
      <w:pPr>
        <w:tabs>
          <w:tab w:val="right" w:pos="9000"/>
        </w:tabs>
        <w:spacing w:after="120"/>
        <w:ind w:firstLine="709"/>
        <w:jc w:val="both"/>
        <w:rPr>
          <w:rFonts w:ascii="Times New Roman" w:hAnsi="Times New Roman"/>
          <w:b/>
          <w:sz w:val="24"/>
          <w:szCs w:val="24"/>
        </w:rPr>
      </w:pPr>
    </w:p>
    <w:p w:rsidR="008E0E72" w:rsidRPr="00F159DF" w:rsidRDefault="00190DF7" w:rsidP="00616824">
      <w:pPr>
        <w:tabs>
          <w:tab w:val="right" w:pos="9000"/>
        </w:tabs>
        <w:spacing w:after="120"/>
        <w:ind w:firstLine="709"/>
        <w:jc w:val="both"/>
        <w:rPr>
          <w:rFonts w:ascii="Times New Roman" w:hAnsi="Times New Roman"/>
          <w:b/>
          <w:sz w:val="24"/>
          <w:szCs w:val="24"/>
        </w:rPr>
      </w:pPr>
      <w:r>
        <w:rPr>
          <w:rFonts w:ascii="Times New Roman" w:hAnsi="Times New Roman"/>
          <w:b/>
          <w:sz w:val="24"/>
          <w:szCs w:val="24"/>
        </w:rPr>
        <w:t>Sēdē piedalās p</w:t>
      </w:r>
      <w:r w:rsidR="008E0E72" w:rsidRPr="00F159DF">
        <w:rPr>
          <w:rFonts w:ascii="Times New Roman" w:hAnsi="Times New Roman"/>
          <w:b/>
          <w:sz w:val="24"/>
          <w:szCs w:val="24"/>
        </w:rPr>
        <w:t>adomes locekļi:</w:t>
      </w:r>
    </w:p>
    <w:tbl>
      <w:tblPr>
        <w:tblW w:w="9213" w:type="dxa"/>
        <w:tblLook w:val="04A0" w:firstRow="1" w:lastRow="0" w:firstColumn="1" w:lastColumn="0" w:noHBand="0" w:noVBand="1"/>
      </w:tblPr>
      <w:tblGrid>
        <w:gridCol w:w="6521"/>
        <w:gridCol w:w="108"/>
        <w:gridCol w:w="2443"/>
        <w:gridCol w:w="141"/>
      </w:tblGrid>
      <w:tr w:rsidR="008E0E72" w:rsidRPr="00F159DF" w:rsidTr="003A05DD">
        <w:trPr>
          <w:gridAfter w:val="1"/>
          <w:wAfter w:w="141" w:type="dxa"/>
        </w:trPr>
        <w:tc>
          <w:tcPr>
            <w:tcW w:w="6521" w:type="dxa"/>
          </w:tcPr>
          <w:p w:rsidR="008E0E72" w:rsidRPr="00F159DF" w:rsidRDefault="00907AE5" w:rsidP="00616824">
            <w:pPr>
              <w:spacing w:after="1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Banku augstskolas profesore</w:t>
            </w:r>
          </w:p>
        </w:tc>
        <w:tc>
          <w:tcPr>
            <w:tcW w:w="2551" w:type="dxa"/>
            <w:gridSpan w:val="2"/>
            <w:vAlign w:val="bottom"/>
          </w:tcPr>
          <w:p w:rsidR="008E0E72" w:rsidRPr="00907AE5" w:rsidRDefault="00907AE5" w:rsidP="00616824">
            <w:pPr>
              <w:spacing w:after="120"/>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907AE5">
              <w:rPr>
                <w:rFonts w:ascii="Times New Roman" w:eastAsia="Times New Roman" w:hAnsi="Times New Roman"/>
                <w:sz w:val="24"/>
                <w:szCs w:val="24"/>
                <w:lang w:eastAsia="lv-LV"/>
              </w:rPr>
              <w:t xml:space="preserve">Tatjana </w:t>
            </w:r>
            <w:proofErr w:type="spellStart"/>
            <w:r w:rsidRPr="00907AE5">
              <w:rPr>
                <w:rFonts w:ascii="Times New Roman" w:eastAsia="Times New Roman" w:hAnsi="Times New Roman"/>
                <w:sz w:val="24"/>
                <w:szCs w:val="24"/>
                <w:lang w:eastAsia="lv-LV"/>
              </w:rPr>
              <w:t>Volkova</w:t>
            </w:r>
            <w:proofErr w:type="spellEnd"/>
          </w:p>
        </w:tc>
      </w:tr>
      <w:tr w:rsidR="008E0E72" w:rsidRPr="00F159DF" w:rsidTr="003A05DD">
        <w:tc>
          <w:tcPr>
            <w:tcW w:w="6629" w:type="dxa"/>
            <w:gridSpan w:val="2"/>
          </w:tcPr>
          <w:p w:rsidR="008E0E72" w:rsidRPr="00F159DF" w:rsidRDefault="008E0E72" w:rsidP="00616824">
            <w:pPr>
              <w:spacing w:after="120"/>
              <w:jc w:val="both"/>
              <w:rPr>
                <w:rFonts w:ascii="Times New Roman" w:eastAsia="Times New Roman" w:hAnsi="Times New Roman"/>
                <w:sz w:val="24"/>
                <w:szCs w:val="24"/>
                <w:lang w:eastAsia="lv-LV"/>
              </w:rPr>
            </w:pPr>
            <w:r w:rsidRPr="00F159DF">
              <w:rPr>
                <w:rFonts w:ascii="Times New Roman" w:eastAsia="Times New Roman" w:hAnsi="Times New Roman"/>
                <w:sz w:val="24"/>
                <w:szCs w:val="24"/>
                <w:lang w:eastAsia="lv-LV"/>
              </w:rPr>
              <w:t>Finanšu un kapitāla tirgus komisijas Regulējošo prasību daļas galvenā metodikas eksperte</w:t>
            </w:r>
          </w:p>
        </w:tc>
        <w:tc>
          <w:tcPr>
            <w:tcW w:w="2584" w:type="dxa"/>
            <w:gridSpan w:val="2"/>
            <w:vAlign w:val="bottom"/>
          </w:tcPr>
          <w:p w:rsidR="008E0E72" w:rsidRPr="00F159DF" w:rsidRDefault="003A05DD" w:rsidP="00616824">
            <w:pPr>
              <w:spacing w:after="12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8E0E72" w:rsidRPr="00F159DF">
              <w:rPr>
                <w:rFonts w:ascii="Times New Roman" w:eastAsia="Times New Roman" w:hAnsi="Times New Roman"/>
                <w:sz w:val="24"/>
                <w:szCs w:val="24"/>
                <w:lang w:eastAsia="lv-LV"/>
              </w:rPr>
              <w:t>-Sarmīte Glāzere</w:t>
            </w:r>
          </w:p>
        </w:tc>
      </w:tr>
      <w:tr w:rsidR="008E0E72" w:rsidRPr="00F159DF" w:rsidTr="003A05DD">
        <w:tc>
          <w:tcPr>
            <w:tcW w:w="6629" w:type="dxa"/>
            <w:gridSpan w:val="2"/>
          </w:tcPr>
          <w:p w:rsidR="008E0E72" w:rsidRPr="00F159DF" w:rsidRDefault="008E0E72" w:rsidP="00616824">
            <w:pPr>
              <w:spacing w:after="120"/>
              <w:jc w:val="both"/>
              <w:rPr>
                <w:rFonts w:ascii="Times New Roman" w:hAnsi="Times New Roman"/>
                <w:sz w:val="24"/>
                <w:szCs w:val="24"/>
                <w:lang w:eastAsia="lv-LV"/>
              </w:rPr>
            </w:pPr>
            <w:r w:rsidRPr="00F159DF">
              <w:rPr>
                <w:rFonts w:ascii="Times New Roman" w:hAnsi="Times New Roman"/>
                <w:sz w:val="24"/>
                <w:szCs w:val="24"/>
                <w:lang w:eastAsia="lv-LV"/>
              </w:rPr>
              <w:t xml:space="preserve">Finanšu ministrijas Nodokļu administrēšanas un grāmatvedības politikas departamenta </w:t>
            </w:r>
            <w:r w:rsidR="002752A2">
              <w:rPr>
                <w:rFonts w:ascii="Times New Roman" w:hAnsi="Times New Roman"/>
                <w:sz w:val="24"/>
                <w:szCs w:val="24"/>
                <w:lang w:eastAsia="lv-LV"/>
              </w:rPr>
              <w:t>v</w:t>
            </w:r>
            <w:r w:rsidRPr="00F159DF">
              <w:rPr>
                <w:rFonts w:ascii="Times New Roman" w:hAnsi="Times New Roman"/>
                <w:sz w:val="24"/>
                <w:szCs w:val="24"/>
                <w:lang w:eastAsia="lv-LV"/>
              </w:rPr>
              <w:t>ecākā eksperte revīzijas jautājumos – revīzijas uzrau</w:t>
            </w:r>
            <w:r w:rsidRPr="00F159DF">
              <w:rPr>
                <w:rFonts w:ascii="Times New Roman" w:hAnsi="Times New Roman"/>
                <w:sz w:val="24"/>
                <w:szCs w:val="24"/>
                <w:lang w:eastAsia="lv-LV"/>
              </w:rPr>
              <w:softHyphen/>
              <w:t>dzības komisijas vadītāja</w:t>
            </w:r>
          </w:p>
        </w:tc>
        <w:tc>
          <w:tcPr>
            <w:tcW w:w="2584" w:type="dxa"/>
            <w:gridSpan w:val="2"/>
            <w:vAlign w:val="bottom"/>
          </w:tcPr>
          <w:p w:rsidR="008E0E72" w:rsidRPr="00F159DF" w:rsidRDefault="008E0E72" w:rsidP="00616824">
            <w:pPr>
              <w:spacing w:after="120"/>
              <w:jc w:val="center"/>
              <w:rPr>
                <w:rFonts w:ascii="Times New Roman" w:hAnsi="Times New Roman"/>
                <w:sz w:val="24"/>
                <w:szCs w:val="24"/>
              </w:rPr>
            </w:pPr>
            <w:r w:rsidRPr="00F159DF">
              <w:rPr>
                <w:rFonts w:ascii="Times New Roman" w:hAnsi="Times New Roman"/>
                <w:sz w:val="24"/>
                <w:szCs w:val="24"/>
              </w:rPr>
              <w:t>-Dace Šodnaka</w:t>
            </w:r>
          </w:p>
        </w:tc>
      </w:tr>
      <w:tr w:rsidR="00616824" w:rsidRPr="00F159DF" w:rsidTr="003A05DD">
        <w:tc>
          <w:tcPr>
            <w:tcW w:w="6629" w:type="dxa"/>
            <w:gridSpan w:val="2"/>
          </w:tcPr>
          <w:p w:rsidR="00616824" w:rsidRPr="00F159DF" w:rsidRDefault="00616824" w:rsidP="00616824">
            <w:pPr>
              <w:spacing w:after="120"/>
              <w:jc w:val="both"/>
              <w:rPr>
                <w:rFonts w:ascii="Times New Roman" w:hAnsi="Times New Roman"/>
                <w:sz w:val="24"/>
                <w:szCs w:val="24"/>
                <w:lang w:eastAsia="lv-LV"/>
              </w:rPr>
            </w:pPr>
            <w:r>
              <w:rPr>
                <w:rFonts w:ascii="Times New Roman" w:hAnsi="Times New Roman"/>
                <w:sz w:val="24"/>
                <w:szCs w:val="24"/>
                <w:lang w:eastAsia="lv-LV"/>
              </w:rPr>
              <w:t>Latvijas Zvērinātu revidentu asociācijas pārstāve</w:t>
            </w:r>
            <w:r w:rsidR="00942399">
              <w:rPr>
                <w:rFonts w:ascii="Times New Roman" w:hAnsi="Times New Roman"/>
                <w:sz w:val="24"/>
                <w:szCs w:val="24"/>
                <w:lang w:eastAsia="lv-LV"/>
              </w:rPr>
              <w:t xml:space="preserve"> zvērināta revidente</w:t>
            </w:r>
          </w:p>
        </w:tc>
        <w:tc>
          <w:tcPr>
            <w:tcW w:w="2584" w:type="dxa"/>
            <w:gridSpan w:val="2"/>
            <w:vAlign w:val="bottom"/>
          </w:tcPr>
          <w:p w:rsidR="00616824" w:rsidRPr="00616824" w:rsidRDefault="00616824" w:rsidP="00CA6CD0">
            <w:pPr>
              <w:spacing w:after="120"/>
              <w:rPr>
                <w:rFonts w:ascii="Times New Roman" w:hAnsi="Times New Roman"/>
                <w:sz w:val="24"/>
                <w:szCs w:val="24"/>
              </w:rPr>
            </w:pPr>
            <w:r>
              <w:rPr>
                <w:rFonts w:ascii="Times New Roman" w:hAnsi="Times New Roman"/>
                <w:sz w:val="24"/>
                <w:szCs w:val="24"/>
              </w:rPr>
              <w:t xml:space="preserve">        -</w:t>
            </w:r>
            <w:r w:rsidRPr="00616824">
              <w:rPr>
                <w:rFonts w:ascii="Times New Roman" w:hAnsi="Times New Roman"/>
                <w:sz w:val="24"/>
                <w:szCs w:val="24"/>
              </w:rPr>
              <w:t>A</w:t>
            </w:r>
            <w:r w:rsidR="00CA6CD0">
              <w:rPr>
                <w:rFonts w:ascii="Times New Roman" w:hAnsi="Times New Roman"/>
                <w:sz w:val="24"/>
                <w:szCs w:val="24"/>
              </w:rPr>
              <w:t xml:space="preserve">ija </w:t>
            </w:r>
            <w:proofErr w:type="spellStart"/>
            <w:r w:rsidRPr="00616824">
              <w:rPr>
                <w:rFonts w:ascii="Times New Roman" w:hAnsi="Times New Roman"/>
                <w:sz w:val="24"/>
                <w:szCs w:val="24"/>
              </w:rPr>
              <w:t>Punāne</w:t>
            </w:r>
            <w:proofErr w:type="spellEnd"/>
          </w:p>
        </w:tc>
      </w:tr>
    </w:tbl>
    <w:p w:rsidR="00C402A8" w:rsidRDefault="00C402A8" w:rsidP="00907AE5">
      <w:pPr>
        <w:spacing w:after="120"/>
        <w:ind w:firstLine="709"/>
        <w:jc w:val="both"/>
        <w:rPr>
          <w:rFonts w:ascii="Times New Roman" w:hAnsi="Times New Roman"/>
          <w:b/>
          <w:sz w:val="24"/>
          <w:szCs w:val="24"/>
        </w:rPr>
      </w:pPr>
    </w:p>
    <w:p w:rsidR="00907AE5" w:rsidRDefault="00907AE5" w:rsidP="00907AE5">
      <w:pPr>
        <w:spacing w:after="120"/>
        <w:ind w:firstLine="709"/>
        <w:jc w:val="both"/>
        <w:rPr>
          <w:rFonts w:ascii="Times New Roman" w:hAnsi="Times New Roman"/>
          <w:b/>
          <w:sz w:val="24"/>
          <w:szCs w:val="24"/>
        </w:rPr>
      </w:pPr>
    </w:p>
    <w:p w:rsidR="008E0E72" w:rsidRPr="00F159DF" w:rsidRDefault="00534355" w:rsidP="00907AE5">
      <w:pPr>
        <w:spacing w:after="120"/>
        <w:ind w:firstLine="709"/>
        <w:jc w:val="both"/>
        <w:rPr>
          <w:rFonts w:ascii="Times New Roman" w:hAnsi="Times New Roman"/>
          <w:b/>
          <w:sz w:val="24"/>
          <w:szCs w:val="24"/>
        </w:rPr>
      </w:pPr>
      <w:r>
        <w:rPr>
          <w:rFonts w:ascii="Times New Roman" w:hAnsi="Times New Roman"/>
          <w:b/>
          <w:sz w:val="24"/>
          <w:szCs w:val="24"/>
        </w:rPr>
        <w:t>Sēdi protokolē</w:t>
      </w:r>
    </w:p>
    <w:tbl>
      <w:tblPr>
        <w:tblW w:w="9214" w:type="dxa"/>
        <w:tblLook w:val="04A0" w:firstRow="1" w:lastRow="0" w:firstColumn="1" w:lastColumn="0" w:noHBand="0" w:noVBand="1"/>
      </w:tblPr>
      <w:tblGrid>
        <w:gridCol w:w="6521"/>
        <w:gridCol w:w="2693"/>
      </w:tblGrid>
      <w:tr w:rsidR="008E0E72" w:rsidRPr="00F159DF" w:rsidTr="00BA2900">
        <w:tc>
          <w:tcPr>
            <w:tcW w:w="6521" w:type="dxa"/>
            <w:shd w:val="clear" w:color="auto" w:fill="auto"/>
          </w:tcPr>
          <w:p w:rsidR="008E0E72" w:rsidRPr="00F159DF" w:rsidRDefault="008E0E72" w:rsidP="00907AE5">
            <w:pPr>
              <w:jc w:val="both"/>
              <w:rPr>
                <w:rFonts w:ascii="Times New Roman" w:hAnsi="Times New Roman"/>
                <w:b/>
                <w:sz w:val="24"/>
                <w:szCs w:val="24"/>
              </w:rPr>
            </w:pPr>
            <w:r w:rsidRPr="00F159DF">
              <w:rPr>
                <w:rFonts w:ascii="Times New Roman" w:hAnsi="Times New Roman"/>
                <w:sz w:val="24"/>
                <w:szCs w:val="24"/>
              </w:rPr>
              <w:t xml:space="preserve">Finanšu ministrijas Nodokļu administrēšanas un grāmatvedības politikas departamenta Metodoloģijas un grāmatvedības politikas nodaļas </w:t>
            </w:r>
            <w:r w:rsidR="002752A2">
              <w:rPr>
                <w:rFonts w:ascii="Times New Roman" w:hAnsi="Times New Roman"/>
                <w:sz w:val="24"/>
                <w:szCs w:val="24"/>
              </w:rPr>
              <w:t>juriskonsulte</w:t>
            </w:r>
            <w:r w:rsidR="00551260">
              <w:rPr>
                <w:rFonts w:ascii="Times New Roman" w:hAnsi="Times New Roman"/>
                <w:sz w:val="24"/>
                <w:szCs w:val="24"/>
              </w:rPr>
              <w:t>, Revīzijas uzraudzības komisijas locekle</w:t>
            </w:r>
          </w:p>
        </w:tc>
        <w:tc>
          <w:tcPr>
            <w:tcW w:w="2693" w:type="dxa"/>
            <w:shd w:val="clear" w:color="auto" w:fill="auto"/>
            <w:vAlign w:val="bottom"/>
          </w:tcPr>
          <w:p w:rsidR="008E0E72" w:rsidRPr="00F159DF" w:rsidRDefault="008E0E72" w:rsidP="00907AE5">
            <w:pPr>
              <w:jc w:val="center"/>
              <w:rPr>
                <w:rFonts w:ascii="Times New Roman" w:hAnsi="Times New Roman"/>
                <w:sz w:val="24"/>
                <w:szCs w:val="24"/>
              </w:rPr>
            </w:pPr>
            <w:r w:rsidRPr="00F159DF">
              <w:rPr>
                <w:rFonts w:ascii="Times New Roman" w:hAnsi="Times New Roman"/>
                <w:sz w:val="24"/>
                <w:szCs w:val="24"/>
              </w:rPr>
              <w:t>-</w:t>
            </w:r>
            <w:r w:rsidR="002752A2">
              <w:rPr>
                <w:rFonts w:ascii="Times New Roman" w:hAnsi="Times New Roman"/>
                <w:sz w:val="24"/>
                <w:szCs w:val="24"/>
              </w:rPr>
              <w:t>Ieva Purviņa</w:t>
            </w:r>
          </w:p>
        </w:tc>
      </w:tr>
    </w:tbl>
    <w:p w:rsidR="00BA2900" w:rsidRPr="00F159DF" w:rsidRDefault="00BA2900">
      <w:pPr>
        <w:rPr>
          <w:sz w:val="24"/>
          <w:szCs w:val="24"/>
        </w:rPr>
      </w:pPr>
    </w:p>
    <w:p w:rsidR="003A05DD" w:rsidRDefault="003A05DD">
      <w:pPr>
        <w:rPr>
          <w:sz w:val="24"/>
          <w:szCs w:val="24"/>
        </w:rPr>
      </w:pPr>
    </w:p>
    <w:p w:rsidR="003A05DD" w:rsidRDefault="003A05DD">
      <w:pPr>
        <w:rPr>
          <w:sz w:val="24"/>
          <w:szCs w:val="24"/>
        </w:rPr>
      </w:pPr>
    </w:p>
    <w:p w:rsidR="00907AE5" w:rsidRDefault="00907AE5">
      <w:pPr>
        <w:rPr>
          <w:sz w:val="24"/>
          <w:szCs w:val="24"/>
        </w:rPr>
      </w:pPr>
    </w:p>
    <w:p w:rsidR="00907AE5" w:rsidRDefault="00907AE5">
      <w:pPr>
        <w:rPr>
          <w:sz w:val="24"/>
          <w:szCs w:val="24"/>
        </w:rPr>
      </w:pPr>
    </w:p>
    <w:p w:rsidR="007414AF" w:rsidRDefault="007414AF" w:rsidP="007414AF">
      <w:pPr>
        <w:spacing w:after="0" w:line="240" w:lineRule="auto"/>
        <w:jc w:val="center"/>
        <w:rPr>
          <w:rFonts w:ascii="Times New Roman" w:hAnsi="Times New Roman"/>
          <w:b/>
          <w:sz w:val="24"/>
          <w:szCs w:val="24"/>
        </w:rPr>
      </w:pPr>
    </w:p>
    <w:p w:rsidR="00F159DF" w:rsidRPr="00C86CF0" w:rsidRDefault="00616824" w:rsidP="007414AF">
      <w:pPr>
        <w:spacing w:after="0" w:line="240" w:lineRule="auto"/>
        <w:jc w:val="center"/>
        <w:rPr>
          <w:rFonts w:ascii="Times New Roman" w:hAnsi="Times New Roman"/>
          <w:b/>
          <w:sz w:val="24"/>
          <w:szCs w:val="24"/>
        </w:rPr>
      </w:pPr>
      <w:r>
        <w:rPr>
          <w:rFonts w:ascii="Times New Roman" w:hAnsi="Times New Roman"/>
          <w:b/>
          <w:sz w:val="24"/>
          <w:szCs w:val="24"/>
        </w:rPr>
        <w:lastRenderedPageBreak/>
        <w:t>1</w:t>
      </w:r>
      <w:r w:rsidR="00F159DF" w:rsidRPr="00C86CF0">
        <w:rPr>
          <w:rFonts w:ascii="Times New Roman" w:hAnsi="Times New Roman"/>
          <w:b/>
          <w:sz w:val="24"/>
          <w:szCs w:val="24"/>
        </w:rPr>
        <w:t>.</w:t>
      </w:r>
    </w:p>
    <w:p w:rsidR="009E42D1" w:rsidRPr="009E42D1" w:rsidRDefault="00907AE5" w:rsidP="007414AF">
      <w:pPr>
        <w:pBdr>
          <w:bottom w:val="single" w:sz="12" w:space="1" w:color="auto"/>
        </w:pBdr>
        <w:spacing w:after="0" w:line="240" w:lineRule="auto"/>
        <w:jc w:val="center"/>
        <w:rPr>
          <w:rFonts w:ascii="Times New Roman" w:hAnsi="Times New Roman"/>
          <w:b/>
          <w:sz w:val="24"/>
          <w:szCs w:val="24"/>
        </w:rPr>
      </w:pPr>
      <w:r w:rsidRPr="00907AE5">
        <w:rPr>
          <w:rFonts w:ascii="Times New Roman" w:hAnsi="Times New Roman"/>
          <w:b/>
          <w:sz w:val="24"/>
          <w:szCs w:val="24"/>
        </w:rPr>
        <w:t xml:space="preserve">Latvijas Zvērinātu revidentu asociācijas </w:t>
      </w:r>
      <w:r w:rsidR="00A73589">
        <w:rPr>
          <w:rFonts w:ascii="Times New Roman" w:hAnsi="Times New Roman"/>
          <w:b/>
          <w:sz w:val="24"/>
          <w:szCs w:val="24"/>
        </w:rPr>
        <w:t xml:space="preserve">(LZRA) </w:t>
      </w:r>
      <w:r w:rsidRPr="00907AE5">
        <w:rPr>
          <w:rFonts w:ascii="Times New Roman" w:hAnsi="Times New Roman"/>
          <w:b/>
          <w:sz w:val="24"/>
          <w:szCs w:val="24"/>
        </w:rPr>
        <w:t>aktivitātes 2014.-2016.gadā, LZRA darbības virzieni un aktivitātes 2017</w:t>
      </w:r>
      <w:r w:rsidR="007867DD">
        <w:rPr>
          <w:rFonts w:ascii="Times New Roman" w:hAnsi="Times New Roman"/>
          <w:b/>
          <w:sz w:val="24"/>
          <w:szCs w:val="24"/>
        </w:rPr>
        <w:t>.</w:t>
      </w:r>
      <w:r w:rsidRPr="00907AE5">
        <w:rPr>
          <w:rFonts w:ascii="Times New Roman" w:hAnsi="Times New Roman"/>
          <w:b/>
          <w:sz w:val="24"/>
          <w:szCs w:val="24"/>
        </w:rPr>
        <w:t xml:space="preserve"> gadam.</w:t>
      </w:r>
      <w:r>
        <w:rPr>
          <w:rFonts w:ascii="Times New Roman" w:hAnsi="Times New Roman"/>
          <w:b/>
          <w:sz w:val="24"/>
          <w:szCs w:val="24"/>
        </w:rPr>
        <w:t xml:space="preserve"> </w:t>
      </w:r>
      <w:r w:rsidRPr="00907AE5">
        <w:rPr>
          <w:rFonts w:ascii="Times New Roman" w:hAnsi="Times New Roman"/>
          <w:b/>
          <w:sz w:val="24"/>
          <w:szCs w:val="24"/>
        </w:rPr>
        <w:t>Iekšējās komunikācijas uzlabošana LZRA ietvaros, reputācijas atgūšana sabiedrībā.</w:t>
      </w:r>
      <w:r>
        <w:rPr>
          <w:rFonts w:ascii="Times New Roman" w:hAnsi="Times New Roman"/>
          <w:b/>
          <w:sz w:val="24"/>
          <w:szCs w:val="24"/>
        </w:rPr>
        <w:t xml:space="preserve"> </w:t>
      </w:r>
      <w:r w:rsidRPr="00907AE5">
        <w:rPr>
          <w:rFonts w:ascii="Times New Roman" w:hAnsi="Times New Roman"/>
          <w:b/>
          <w:sz w:val="24"/>
          <w:szCs w:val="24"/>
        </w:rPr>
        <w:t>LZRA plāni iekšējo nolikumu pilnveidošanā, komiteju funkciju precizēšanā.</w:t>
      </w:r>
      <w:r>
        <w:rPr>
          <w:rFonts w:ascii="Times New Roman" w:hAnsi="Times New Roman"/>
          <w:b/>
          <w:sz w:val="24"/>
          <w:szCs w:val="24"/>
        </w:rPr>
        <w:t xml:space="preserve"> </w:t>
      </w:r>
      <w:r w:rsidRPr="00907AE5">
        <w:rPr>
          <w:rFonts w:ascii="Times New Roman" w:hAnsi="Times New Roman"/>
          <w:b/>
          <w:sz w:val="24"/>
          <w:szCs w:val="24"/>
        </w:rPr>
        <w:t>LZRA kvalitātes procesa pilnveidošana.</w:t>
      </w:r>
    </w:p>
    <w:p w:rsidR="0022108A" w:rsidRDefault="0022108A" w:rsidP="007414AF">
      <w:pPr>
        <w:spacing w:after="0" w:line="240" w:lineRule="auto"/>
        <w:jc w:val="both"/>
        <w:rPr>
          <w:rFonts w:ascii="Times New Roman" w:hAnsi="Times New Roman"/>
          <w:sz w:val="24"/>
          <w:szCs w:val="24"/>
        </w:rPr>
      </w:pPr>
    </w:p>
    <w:p w:rsidR="00907AE5" w:rsidRPr="007414AF" w:rsidRDefault="00907AE5" w:rsidP="00870D9C">
      <w:pPr>
        <w:spacing w:after="0" w:line="240" w:lineRule="auto"/>
        <w:jc w:val="both"/>
        <w:rPr>
          <w:rFonts w:ascii="Times New Roman" w:hAnsi="Times New Roman"/>
          <w:sz w:val="2"/>
          <w:szCs w:val="24"/>
        </w:rPr>
      </w:pPr>
    </w:p>
    <w:p w:rsidR="00907AE5" w:rsidRDefault="00A73589" w:rsidP="00A73589">
      <w:pPr>
        <w:spacing w:after="0" w:line="240" w:lineRule="auto"/>
        <w:ind w:firstLine="720"/>
        <w:jc w:val="both"/>
        <w:rPr>
          <w:rFonts w:ascii="Times New Roman" w:hAnsi="Times New Roman"/>
          <w:sz w:val="24"/>
          <w:szCs w:val="24"/>
        </w:rPr>
      </w:pPr>
      <w:proofErr w:type="spellStart"/>
      <w:r w:rsidRPr="00E56803">
        <w:rPr>
          <w:rFonts w:ascii="Times New Roman" w:hAnsi="Times New Roman"/>
          <w:sz w:val="24"/>
          <w:szCs w:val="24"/>
        </w:rPr>
        <w:t>A.Ponomarjovs</w:t>
      </w:r>
      <w:proofErr w:type="spellEnd"/>
      <w:r>
        <w:rPr>
          <w:rFonts w:ascii="Times New Roman" w:hAnsi="Times New Roman"/>
          <w:sz w:val="24"/>
          <w:szCs w:val="24"/>
        </w:rPr>
        <w:t xml:space="preserve"> </w:t>
      </w:r>
      <w:r w:rsidR="004F4FC0">
        <w:rPr>
          <w:rFonts w:ascii="Times New Roman" w:hAnsi="Times New Roman"/>
          <w:sz w:val="24"/>
          <w:szCs w:val="24"/>
        </w:rPr>
        <w:t>norāda, ka jau no 2016.gada 17.jūnija ir stājušies spēkā jaunie ES tiesību akti revīzijas jomā</w:t>
      </w:r>
      <w:r w:rsidR="004F4FC0">
        <w:rPr>
          <w:rStyle w:val="FootnoteReference"/>
          <w:rFonts w:ascii="Times New Roman" w:hAnsi="Times New Roman"/>
          <w:sz w:val="24"/>
          <w:szCs w:val="24"/>
        </w:rPr>
        <w:footnoteReference w:id="1"/>
      </w:r>
      <w:r w:rsidR="00D2136A">
        <w:rPr>
          <w:rFonts w:ascii="Times New Roman" w:hAnsi="Times New Roman"/>
          <w:sz w:val="24"/>
          <w:szCs w:val="24"/>
        </w:rPr>
        <w:t xml:space="preserve"> un LZRA būtu nepieciešams pārskatīt visus tās nolikumus, kuri ir izdoti, pamatojoties uz LZRA ar Revīzijas pakalpojumu likumu deleģētajiem valsts </w:t>
      </w:r>
      <w:r w:rsidR="001510AA">
        <w:rPr>
          <w:rFonts w:ascii="Times New Roman" w:hAnsi="Times New Roman"/>
          <w:sz w:val="24"/>
          <w:szCs w:val="24"/>
        </w:rPr>
        <w:t xml:space="preserve">pārvaldes </w:t>
      </w:r>
      <w:r w:rsidR="00D2136A">
        <w:rPr>
          <w:rFonts w:ascii="Times New Roman" w:hAnsi="Times New Roman"/>
          <w:sz w:val="24"/>
          <w:szCs w:val="24"/>
        </w:rPr>
        <w:t xml:space="preserve">uzdevumiem, lai </w:t>
      </w:r>
      <w:r w:rsidR="001510AA">
        <w:rPr>
          <w:rFonts w:ascii="Times New Roman" w:hAnsi="Times New Roman"/>
          <w:sz w:val="24"/>
          <w:szCs w:val="24"/>
        </w:rPr>
        <w:t xml:space="preserve">LZRA nolikumos nepieciešamības gadījumā </w:t>
      </w:r>
      <w:r w:rsidR="00D2136A">
        <w:rPr>
          <w:rFonts w:ascii="Times New Roman" w:hAnsi="Times New Roman"/>
          <w:sz w:val="24"/>
          <w:szCs w:val="24"/>
        </w:rPr>
        <w:t>veiktu attiecīgus grozījumus un tie atbilstu jauno ES tiesību aktu revīzijas jomā prasībām.</w:t>
      </w:r>
    </w:p>
    <w:p w:rsidR="00DA05D8" w:rsidRDefault="00DA05D8" w:rsidP="00870D9C">
      <w:pPr>
        <w:spacing w:after="0" w:line="240" w:lineRule="auto"/>
        <w:jc w:val="both"/>
        <w:rPr>
          <w:rFonts w:ascii="Times New Roman" w:hAnsi="Times New Roman"/>
          <w:sz w:val="24"/>
          <w:szCs w:val="24"/>
        </w:rPr>
      </w:pPr>
    </w:p>
    <w:p w:rsidR="00907AE5" w:rsidRDefault="00DA05D8" w:rsidP="00DA05D8">
      <w:pPr>
        <w:spacing w:after="0" w:line="240" w:lineRule="auto"/>
        <w:ind w:firstLine="720"/>
        <w:jc w:val="both"/>
        <w:rPr>
          <w:rFonts w:ascii="Times New Roman" w:hAnsi="Times New Roman"/>
          <w:sz w:val="24"/>
          <w:szCs w:val="24"/>
        </w:rPr>
      </w:pPr>
      <w:r w:rsidRPr="00114971">
        <w:rPr>
          <w:rFonts w:ascii="Times New Roman" w:hAnsi="Times New Roman"/>
          <w:sz w:val="24"/>
          <w:szCs w:val="24"/>
        </w:rPr>
        <w:t>Revīzijas konsultatīvās padomes locekļi diskut</w:t>
      </w:r>
      <w:r>
        <w:rPr>
          <w:rFonts w:ascii="Times New Roman" w:hAnsi="Times New Roman"/>
          <w:sz w:val="24"/>
          <w:szCs w:val="24"/>
        </w:rPr>
        <w:t>ē par pasākumiem, kādi varētu tikt veikti, lai sabiedrībā tiktu radīta lielāka interese par zvērināta revidenta profesiju un tādējādi iespējams tiktu veicināta arī zvērinātu revidentu skaita palielināšanās.</w:t>
      </w:r>
    </w:p>
    <w:p w:rsidR="00907AE5" w:rsidRDefault="00907AE5" w:rsidP="00870D9C">
      <w:pPr>
        <w:spacing w:after="0" w:line="240" w:lineRule="auto"/>
        <w:jc w:val="both"/>
        <w:rPr>
          <w:rFonts w:ascii="Times New Roman" w:hAnsi="Times New Roman"/>
          <w:sz w:val="24"/>
          <w:szCs w:val="24"/>
        </w:rPr>
      </w:pPr>
    </w:p>
    <w:p w:rsidR="00DA05D8" w:rsidRDefault="00DA05D8"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A.Punāne</w:t>
      </w:r>
      <w:proofErr w:type="spellEnd"/>
      <w:r>
        <w:rPr>
          <w:rFonts w:ascii="Times New Roman" w:hAnsi="Times New Roman"/>
          <w:sz w:val="24"/>
          <w:szCs w:val="24"/>
        </w:rPr>
        <w:t xml:space="preserve"> informē, ka pēdējos gados daudzi zvērināti revidenti uz laiku ir apturējuši sava zvērināta revidenta sertifikāta darbību. Jauni zvērinātu revidentu sertifikāti arī tiek izsniegti, bet tomēr praksē jauno zvērinātu revidentu skaits strauji nepalielinās. Vidēji gadā tiek sniegti ap 7000 atzinumi. Pēdējos gados šis skaitlis daudz nav mainījies.</w:t>
      </w:r>
    </w:p>
    <w:p w:rsidR="00907AE5" w:rsidRDefault="00907AE5" w:rsidP="00870D9C">
      <w:pPr>
        <w:spacing w:after="0" w:line="240" w:lineRule="auto"/>
        <w:jc w:val="both"/>
        <w:rPr>
          <w:rFonts w:ascii="Times New Roman" w:hAnsi="Times New Roman"/>
          <w:sz w:val="24"/>
          <w:szCs w:val="24"/>
        </w:rPr>
      </w:pPr>
    </w:p>
    <w:p w:rsidR="00E7059E" w:rsidRDefault="00DA05D8"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A.Ponomarjovs</w:t>
      </w:r>
      <w:proofErr w:type="spellEnd"/>
      <w:r>
        <w:rPr>
          <w:rFonts w:ascii="Times New Roman" w:hAnsi="Times New Roman"/>
          <w:sz w:val="24"/>
          <w:szCs w:val="24"/>
        </w:rPr>
        <w:t xml:space="preserve"> uzsver, ka ir būtiski piesaistīt jaunus </w:t>
      </w:r>
      <w:r w:rsidR="009015B9">
        <w:rPr>
          <w:rFonts w:ascii="Times New Roman" w:hAnsi="Times New Roman"/>
          <w:sz w:val="24"/>
          <w:szCs w:val="24"/>
        </w:rPr>
        <w:t xml:space="preserve">interesentus, kas iegūtu zvērināta revidenta sertifikātu. Vidēji gadā tiek izsniegti tikai 2 jauni zvērinātu revidentu sertifikāti, kas ir par maz, lai varētu runāt par </w:t>
      </w:r>
      <w:r w:rsidR="00D6146F">
        <w:rPr>
          <w:rFonts w:ascii="Times New Roman" w:hAnsi="Times New Roman"/>
          <w:sz w:val="24"/>
          <w:szCs w:val="24"/>
        </w:rPr>
        <w:t>vērā ņemamu zvērinātu revidentu skaita palielināšanos.</w:t>
      </w:r>
      <w:r w:rsidR="004E1A48">
        <w:rPr>
          <w:rFonts w:ascii="Times New Roman" w:hAnsi="Times New Roman"/>
          <w:sz w:val="24"/>
          <w:szCs w:val="24"/>
        </w:rPr>
        <w:t xml:space="preserve"> </w:t>
      </w:r>
      <w:r w:rsidR="00FF63C0">
        <w:rPr>
          <w:rFonts w:ascii="Times New Roman" w:hAnsi="Times New Roman"/>
          <w:sz w:val="24"/>
          <w:szCs w:val="24"/>
        </w:rPr>
        <w:t xml:space="preserve">Būtu </w:t>
      </w:r>
      <w:r w:rsidR="004E1A48">
        <w:rPr>
          <w:rFonts w:ascii="Times New Roman" w:hAnsi="Times New Roman"/>
          <w:sz w:val="24"/>
          <w:szCs w:val="24"/>
        </w:rPr>
        <w:t>lietderīgi, ja Latvijas augstskolas piedāvātu padziļinātāku studentu apmācību (izstrādātu integrētu pieeju), lai radītu studentu interesi par revīzijas jomu un arī nodrošinātu atbilstošāku studentu sagatavotību</w:t>
      </w:r>
      <w:r w:rsidR="00FF63C0">
        <w:rPr>
          <w:rFonts w:ascii="Times New Roman" w:hAnsi="Times New Roman"/>
          <w:sz w:val="24"/>
          <w:szCs w:val="24"/>
        </w:rPr>
        <w:t xml:space="preserve"> </w:t>
      </w:r>
      <w:r w:rsidR="004E1A48">
        <w:rPr>
          <w:rFonts w:ascii="Times New Roman" w:hAnsi="Times New Roman"/>
          <w:sz w:val="24"/>
          <w:szCs w:val="24"/>
        </w:rPr>
        <w:t>prakses iziešanai zvērinātu revidentu komercsabiedrīb</w:t>
      </w:r>
      <w:r w:rsidR="00E7059E">
        <w:rPr>
          <w:rFonts w:ascii="Times New Roman" w:hAnsi="Times New Roman"/>
          <w:sz w:val="24"/>
          <w:szCs w:val="24"/>
        </w:rPr>
        <w:t>ās.</w:t>
      </w:r>
    </w:p>
    <w:p w:rsidR="00E7059E" w:rsidRDefault="00E7059E" w:rsidP="00870D9C">
      <w:pPr>
        <w:spacing w:after="0" w:line="240" w:lineRule="auto"/>
        <w:jc w:val="both"/>
        <w:rPr>
          <w:rFonts w:ascii="Times New Roman" w:hAnsi="Times New Roman"/>
          <w:sz w:val="24"/>
          <w:szCs w:val="24"/>
        </w:rPr>
      </w:pPr>
    </w:p>
    <w:p w:rsidR="004E1A48" w:rsidRDefault="00E7059E" w:rsidP="00E7059E">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A.Punāne</w:t>
      </w:r>
      <w:proofErr w:type="spellEnd"/>
      <w:r>
        <w:rPr>
          <w:rFonts w:ascii="Times New Roman" w:hAnsi="Times New Roman"/>
          <w:sz w:val="24"/>
          <w:szCs w:val="24"/>
        </w:rPr>
        <w:t xml:space="preserve"> norāda, ka zvērinātu revidentu komercsabiedrības labprāt piesaista uz prakses laiku studentus.</w:t>
      </w:r>
    </w:p>
    <w:p w:rsidR="00E7059E" w:rsidRDefault="00E7059E" w:rsidP="00E7059E">
      <w:pPr>
        <w:spacing w:after="0" w:line="240" w:lineRule="auto"/>
        <w:jc w:val="both"/>
        <w:rPr>
          <w:rFonts w:ascii="Times New Roman" w:hAnsi="Times New Roman"/>
          <w:sz w:val="24"/>
          <w:szCs w:val="24"/>
        </w:rPr>
      </w:pPr>
    </w:p>
    <w:p w:rsidR="00E7059E" w:rsidRDefault="00E7059E" w:rsidP="00E7059E">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T.Volkova</w:t>
      </w:r>
      <w:proofErr w:type="spellEnd"/>
      <w:r>
        <w:rPr>
          <w:rFonts w:ascii="Times New Roman" w:hAnsi="Times New Roman"/>
          <w:sz w:val="24"/>
          <w:szCs w:val="24"/>
        </w:rPr>
        <w:t xml:space="preserve"> ierosina, ka būtu lietderīgi slēgt sadarbības līgumus ar </w:t>
      </w:r>
      <w:r w:rsidR="00D02B33">
        <w:rPr>
          <w:rFonts w:ascii="Times New Roman" w:hAnsi="Times New Roman"/>
          <w:sz w:val="24"/>
          <w:szCs w:val="24"/>
        </w:rPr>
        <w:t xml:space="preserve">Latvijas </w:t>
      </w:r>
      <w:r>
        <w:rPr>
          <w:rFonts w:ascii="Times New Roman" w:hAnsi="Times New Roman"/>
          <w:sz w:val="24"/>
          <w:szCs w:val="24"/>
        </w:rPr>
        <w:t xml:space="preserve">augstskolām par studentu sagatavošanu un nosūtīšanu praksēs uz zvērinātu revidentu komercsabiedrībām. Tāpat arī pie augstskolām varētu griezties un pasūtīt tām veikt dažādus pētījumus. </w:t>
      </w:r>
    </w:p>
    <w:p w:rsidR="00E7059E" w:rsidRDefault="00E7059E" w:rsidP="00E7059E">
      <w:pPr>
        <w:spacing w:after="0" w:line="240" w:lineRule="auto"/>
        <w:jc w:val="both"/>
        <w:rPr>
          <w:rFonts w:ascii="Times New Roman" w:hAnsi="Times New Roman"/>
          <w:sz w:val="24"/>
          <w:szCs w:val="24"/>
        </w:rPr>
      </w:pPr>
    </w:p>
    <w:p w:rsidR="00E7059E" w:rsidRDefault="00E7059E" w:rsidP="00E7059E">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A.Ponomarjovs</w:t>
      </w:r>
      <w:proofErr w:type="spellEnd"/>
      <w:r>
        <w:rPr>
          <w:rFonts w:ascii="Times New Roman" w:hAnsi="Times New Roman"/>
          <w:sz w:val="24"/>
          <w:szCs w:val="24"/>
        </w:rPr>
        <w:t xml:space="preserve"> </w:t>
      </w:r>
      <w:r w:rsidR="00D02B33">
        <w:rPr>
          <w:rFonts w:ascii="Times New Roman" w:hAnsi="Times New Roman"/>
          <w:sz w:val="24"/>
          <w:szCs w:val="24"/>
        </w:rPr>
        <w:t>piedāvā ierosināt LZRA kā profesionālai biedrībai, kurā ir apvienoti visi Latvijas zvērināti revidenti un zvērinātu revidentu komercsabiedrības, uzsākt pārrunas ar Latvijas augstskolām par iespējamo sadarbību starp Latvijas augstskolām un zvērinātu revidentu komercsabiedrībām.</w:t>
      </w:r>
    </w:p>
    <w:p w:rsidR="00721B4F" w:rsidRDefault="00721B4F" w:rsidP="00E7059E">
      <w:pPr>
        <w:spacing w:after="0" w:line="240" w:lineRule="auto"/>
        <w:jc w:val="both"/>
        <w:rPr>
          <w:rFonts w:ascii="Times New Roman" w:hAnsi="Times New Roman"/>
          <w:sz w:val="24"/>
          <w:szCs w:val="24"/>
        </w:rPr>
      </w:pPr>
    </w:p>
    <w:p w:rsidR="00721B4F" w:rsidRDefault="00721B4F" w:rsidP="00E7059E">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D.Šodnaka</w:t>
      </w:r>
      <w:proofErr w:type="spellEnd"/>
      <w:r>
        <w:rPr>
          <w:rFonts w:ascii="Times New Roman" w:hAnsi="Times New Roman"/>
          <w:sz w:val="24"/>
          <w:szCs w:val="24"/>
        </w:rPr>
        <w:t xml:space="preserve"> norāda, ka varētu organizēt </w:t>
      </w:r>
      <w:r w:rsidR="00F062DF">
        <w:rPr>
          <w:rFonts w:ascii="Times New Roman" w:hAnsi="Times New Roman"/>
          <w:sz w:val="24"/>
          <w:szCs w:val="24"/>
        </w:rPr>
        <w:t>gadskārtēju uz sadarbību vērstu forumu, kuru</w:t>
      </w:r>
      <w:r>
        <w:rPr>
          <w:rFonts w:ascii="Times New Roman" w:hAnsi="Times New Roman"/>
          <w:sz w:val="24"/>
          <w:szCs w:val="24"/>
        </w:rPr>
        <w:t xml:space="preserve"> apmeklēt tiktu aicināti visi interesenti, lai sniegtu prezentācijas un dalītos viedokļos par revīzijas nozares aktuāliem jautājumiem.</w:t>
      </w:r>
    </w:p>
    <w:p w:rsidR="007414AF" w:rsidRDefault="001B3230" w:rsidP="00E7059E">
      <w:pPr>
        <w:spacing w:after="0" w:line="240" w:lineRule="auto"/>
        <w:jc w:val="both"/>
        <w:rPr>
          <w:rFonts w:ascii="Times New Roman" w:hAnsi="Times New Roman"/>
          <w:sz w:val="24"/>
          <w:szCs w:val="24"/>
        </w:rPr>
      </w:pPr>
      <w:r>
        <w:rPr>
          <w:rFonts w:ascii="Times New Roman" w:hAnsi="Times New Roman"/>
          <w:sz w:val="24"/>
          <w:szCs w:val="24"/>
        </w:rPr>
        <w:tab/>
      </w:r>
    </w:p>
    <w:p w:rsidR="001B3230" w:rsidRDefault="001B3230" w:rsidP="00E7059E">
      <w:pPr>
        <w:spacing w:after="0" w:line="240" w:lineRule="auto"/>
        <w:jc w:val="both"/>
        <w:rPr>
          <w:rFonts w:ascii="Times New Roman" w:hAnsi="Times New Roman"/>
          <w:sz w:val="24"/>
          <w:szCs w:val="24"/>
        </w:rPr>
      </w:pPr>
      <w:r>
        <w:rPr>
          <w:rFonts w:ascii="Times New Roman" w:hAnsi="Times New Roman"/>
          <w:sz w:val="24"/>
          <w:szCs w:val="24"/>
        </w:rPr>
        <w:lastRenderedPageBreak/>
        <w:tab/>
      </w:r>
      <w:r w:rsidRPr="00114971">
        <w:rPr>
          <w:rFonts w:ascii="Times New Roman" w:hAnsi="Times New Roman"/>
          <w:sz w:val="24"/>
          <w:szCs w:val="24"/>
        </w:rPr>
        <w:t>Revīzijas konsultatīvās padomes locekļi diskut</w:t>
      </w:r>
      <w:r>
        <w:rPr>
          <w:rFonts w:ascii="Times New Roman" w:hAnsi="Times New Roman"/>
          <w:sz w:val="24"/>
          <w:szCs w:val="24"/>
        </w:rPr>
        <w:t>ē par revīzijas pakalpojumu kvalitātes kontroles jautājumiem.</w:t>
      </w:r>
    </w:p>
    <w:p w:rsidR="00DF20BD" w:rsidRDefault="00DF20BD" w:rsidP="00E7059E">
      <w:pPr>
        <w:spacing w:after="0" w:line="240" w:lineRule="auto"/>
        <w:jc w:val="both"/>
        <w:rPr>
          <w:rFonts w:ascii="Times New Roman" w:hAnsi="Times New Roman"/>
          <w:sz w:val="24"/>
          <w:szCs w:val="24"/>
        </w:rPr>
      </w:pPr>
    </w:p>
    <w:p w:rsidR="00DF20BD" w:rsidRPr="00DF20BD" w:rsidRDefault="00DF20BD" w:rsidP="00E7059E">
      <w:pPr>
        <w:spacing w:after="0" w:line="240" w:lineRule="auto"/>
        <w:jc w:val="both"/>
        <w:rPr>
          <w:rFonts w:ascii="Times New Roman" w:hAnsi="Times New Roman"/>
          <w:sz w:val="24"/>
          <w:szCs w:val="24"/>
        </w:rPr>
      </w:pPr>
      <w:r>
        <w:rPr>
          <w:rFonts w:ascii="Times New Roman" w:hAnsi="Times New Roman"/>
          <w:sz w:val="24"/>
          <w:szCs w:val="24"/>
        </w:rPr>
        <w:tab/>
      </w:r>
      <w:proofErr w:type="spellStart"/>
      <w:r w:rsidRPr="00DF20BD">
        <w:rPr>
          <w:rFonts w:ascii="Times New Roman" w:hAnsi="Times New Roman"/>
          <w:sz w:val="24"/>
          <w:szCs w:val="24"/>
        </w:rPr>
        <w:t>A.Punāne</w:t>
      </w:r>
      <w:proofErr w:type="spellEnd"/>
      <w:r w:rsidRPr="00DF20BD">
        <w:rPr>
          <w:rFonts w:ascii="Times New Roman" w:hAnsi="Times New Roman"/>
          <w:sz w:val="24"/>
          <w:szCs w:val="24"/>
        </w:rPr>
        <w:t xml:space="preserve"> norāda, ka zvērinātu revidentu vidū tomēr būtu nepieciešams uzlabot izpratni par </w:t>
      </w:r>
      <w:r w:rsidRPr="00DF20BD">
        <w:rPr>
          <w:rFonts w:ascii="Times New Roman" w:hAnsi="Times New Roman"/>
          <w:sz w:val="24"/>
          <w:szCs w:val="24"/>
          <w:lang w:eastAsia="lv-LV"/>
        </w:rPr>
        <w:t xml:space="preserve">1.Starptautiskā Kvalitātes kontroles standarta “Kvalitātes kontroles firmās, kas revidē un pārbauda finanšu pārskatus un sniedz citus apliecinājuma un saistītos pakalpojumus” </w:t>
      </w:r>
      <w:r w:rsidRPr="00DF20BD">
        <w:rPr>
          <w:rFonts w:ascii="Times New Roman" w:hAnsi="Times New Roman"/>
          <w:sz w:val="24"/>
          <w:szCs w:val="24"/>
        </w:rPr>
        <w:t>prasībām un to piemērošanu praksē</w:t>
      </w:r>
      <w:r w:rsidR="00752E2E">
        <w:rPr>
          <w:rFonts w:ascii="Times New Roman" w:hAnsi="Times New Roman"/>
          <w:sz w:val="24"/>
          <w:szCs w:val="24"/>
        </w:rPr>
        <w:t>, jo iekšējās kvalitātes kontroles sistēmai jābūt jebkurā zvērinātu revidentu komercsabiedrībā, pat mazā.</w:t>
      </w:r>
    </w:p>
    <w:p w:rsidR="00907AE5" w:rsidRPr="00DF20BD" w:rsidRDefault="00907AE5" w:rsidP="00870D9C">
      <w:pPr>
        <w:spacing w:after="0" w:line="240" w:lineRule="auto"/>
        <w:jc w:val="both"/>
        <w:rPr>
          <w:rFonts w:ascii="Times New Roman" w:hAnsi="Times New Roman"/>
          <w:sz w:val="24"/>
          <w:szCs w:val="24"/>
        </w:rPr>
      </w:pPr>
    </w:p>
    <w:p w:rsidR="00907AE5" w:rsidRDefault="00752E2E"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sidR="00894A9E">
        <w:rPr>
          <w:rFonts w:ascii="Times New Roman" w:hAnsi="Times New Roman"/>
          <w:sz w:val="24"/>
          <w:szCs w:val="24"/>
        </w:rPr>
        <w:t>D.Šodnaka</w:t>
      </w:r>
      <w:proofErr w:type="spellEnd"/>
      <w:r w:rsidR="00894A9E">
        <w:rPr>
          <w:rFonts w:ascii="Times New Roman" w:hAnsi="Times New Roman"/>
          <w:sz w:val="24"/>
          <w:szCs w:val="24"/>
        </w:rPr>
        <w:t xml:space="preserve"> uzsver, ka veikt revīzijas</w:t>
      </w:r>
      <w:r w:rsidR="00F062DF">
        <w:rPr>
          <w:rFonts w:ascii="Times New Roman" w:hAnsi="Times New Roman"/>
          <w:sz w:val="24"/>
          <w:szCs w:val="24"/>
        </w:rPr>
        <w:t xml:space="preserve"> pakalpojumu kvalitātes kontroles pārbaudi tajās zvērinātu revidentu praksēs, kuras nesniedz revīzijas pakalpojumus sabiedriskas nozīmes struktūrām</w:t>
      </w:r>
      <w:r w:rsidR="00734F2D">
        <w:rPr>
          <w:rFonts w:ascii="Times New Roman" w:hAnsi="Times New Roman"/>
          <w:sz w:val="24"/>
          <w:szCs w:val="24"/>
        </w:rPr>
        <w:t xml:space="preserve"> un ir pakļautas LZRA kvalitātes kontroles pārbaudei ne retāk kā reizi sešos gados</w:t>
      </w:r>
      <w:r w:rsidR="00F062DF">
        <w:rPr>
          <w:rFonts w:ascii="Times New Roman" w:hAnsi="Times New Roman"/>
          <w:sz w:val="24"/>
          <w:szCs w:val="24"/>
        </w:rPr>
        <w:t xml:space="preserve">, </w:t>
      </w:r>
      <w:r w:rsidR="00894A9E">
        <w:rPr>
          <w:rFonts w:ascii="Times New Roman" w:hAnsi="Times New Roman"/>
          <w:sz w:val="24"/>
          <w:szCs w:val="24"/>
        </w:rPr>
        <w:t>tajā skaitā, arī pārliecināties, vai visās zvērinātu revidentu komercsabiedrībās ir ieviesta iekšējā kvalitātes kontroles sistēma, ir LZRA ar Revīzijas pakalpojumu likumu deleģētais valsts pārvaldes uzdevums.</w:t>
      </w:r>
      <w:r w:rsidR="00792C4A">
        <w:rPr>
          <w:rFonts w:ascii="Times New Roman" w:hAnsi="Times New Roman"/>
          <w:sz w:val="24"/>
          <w:szCs w:val="24"/>
        </w:rPr>
        <w:t xml:space="preserve"> Tomēr, lai veicinātu lielāku zvērinātu revidentu izpratni par šādas sistēmas nepieciešamību un darbību, Finanšu ministrijas pilnvarotie pārstāvji </w:t>
      </w:r>
      <w:r w:rsidR="00EB7C19">
        <w:rPr>
          <w:rFonts w:ascii="Times New Roman" w:hAnsi="Times New Roman"/>
          <w:sz w:val="24"/>
          <w:szCs w:val="24"/>
        </w:rPr>
        <w:t xml:space="preserve">arī </w:t>
      </w:r>
      <w:r w:rsidR="00792C4A">
        <w:rPr>
          <w:rFonts w:ascii="Times New Roman" w:hAnsi="Times New Roman"/>
          <w:sz w:val="24"/>
          <w:szCs w:val="24"/>
        </w:rPr>
        <w:t>varētu piedalīties LZRA kvalitātes kontroles pārbaud</w:t>
      </w:r>
      <w:r w:rsidR="00EB7C19">
        <w:rPr>
          <w:rFonts w:ascii="Times New Roman" w:hAnsi="Times New Roman"/>
          <w:sz w:val="24"/>
          <w:szCs w:val="24"/>
        </w:rPr>
        <w:t>ēs kopā ar LZRA kvalitātes kontrolieriem</w:t>
      </w:r>
      <w:r w:rsidR="008975F6">
        <w:rPr>
          <w:rFonts w:ascii="Times New Roman" w:hAnsi="Times New Roman"/>
          <w:sz w:val="24"/>
          <w:szCs w:val="24"/>
        </w:rPr>
        <w:t>, tomēr šobrīd tas nav iespējams ierobežotu resursu dēļ.</w:t>
      </w:r>
      <w:r w:rsidR="00CE0B1E">
        <w:rPr>
          <w:rFonts w:ascii="Times New Roman" w:hAnsi="Times New Roman"/>
          <w:sz w:val="24"/>
          <w:szCs w:val="24"/>
        </w:rPr>
        <w:t xml:space="preserve"> </w:t>
      </w:r>
      <w:proofErr w:type="spellStart"/>
      <w:r w:rsidR="00CE0B1E">
        <w:rPr>
          <w:rFonts w:ascii="Times New Roman" w:hAnsi="Times New Roman"/>
          <w:sz w:val="24"/>
          <w:szCs w:val="24"/>
        </w:rPr>
        <w:t>D.Šodnaka</w:t>
      </w:r>
      <w:proofErr w:type="spellEnd"/>
      <w:r w:rsidR="00CE0B1E">
        <w:rPr>
          <w:rFonts w:ascii="Times New Roman" w:hAnsi="Times New Roman"/>
          <w:sz w:val="24"/>
          <w:szCs w:val="24"/>
        </w:rPr>
        <w:t xml:space="preserve"> tāpat norāda, ka LZRA kvalitātes kontroles </w:t>
      </w:r>
      <w:r w:rsidR="00A5771E">
        <w:rPr>
          <w:rFonts w:ascii="Times New Roman" w:hAnsi="Times New Roman"/>
          <w:sz w:val="24"/>
          <w:szCs w:val="24"/>
        </w:rPr>
        <w:t xml:space="preserve">pārbaudes </w:t>
      </w:r>
      <w:r w:rsidR="00CE0B1E">
        <w:rPr>
          <w:rFonts w:ascii="Times New Roman" w:hAnsi="Times New Roman"/>
          <w:sz w:val="24"/>
          <w:szCs w:val="24"/>
        </w:rPr>
        <w:t xml:space="preserve">vērtējumi un secinājumi </w:t>
      </w:r>
      <w:r w:rsidR="00765BBC">
        <w:rPr>
          <w:rFonts w:ascii="Times New Roman" w:hAnsi="Times New Roman"/>
          <w:sz w:val="24"/>
          <w:szCs w:val="24"/>
        </w:rPr>
        <w:t xml:space="preserve">par zvērinātu revidentu prakšu darbību </w:t>
      </w:r>
      <w:r w:rsidR="00CE0B1E">
        <w:rPr>
          <w:rFonts w:ascii="Times New Roman" w:hAnsi="Times New Roman"/>
          <w:sz w:val="24"/>
          <w:szCs w:val="24"/>
        </w:rPr>
        <w:t>netiek</w:t>
      </w:r>
      <w:r w:rsidR="00A5771E">
        <w:rPr>
          <w:rFonts w:ascii="Times New Roman" w:hAnsi="Times New Roman"/>
          <w:sz w:val="24"/>
          <w:szCs w:val="24"/>
        </w:rPr>
        <w:t xml:space="preserve"> publicēti, savukārt informāciju</w:t>
      </w:r>
      <w:r w:rsidR="00CE0B1E">
        <w:rPr>
          <w:rFonts w:ascii="Times New Roman" w:hAnsi="Times New Roman"/>
          <w:sz w:val="24"/>
          <w:szCs w:val="24"/>
        </w:rPr>
        <w:t xml:space="preserve"> par Finanšu ministrijas veikto revīzijas pakalpojumu kvalitātes kontroles prasību i</w:t>
      </w:r>
      <w:r w:rsidR="00A5771E">
        <w:rPr>
          <w:rFonts w:ascii="Times New Roman" w:hAnsi="Times New Roman"/>
          <w:sz w:val="24"/>
          <w:szCs w:val="24"/>
        </w:rPr>
        <w:t>evērošanas pārbaudēs sniegtajiem ieteikumiem un ar tiem saistītajiem plānotajiem pasākumiem</w:t>
      </w:r>
      <w:r w:rsidR="00CE0B1E">
        <w:rPr>
          <w:rFonts w:ascii="Times New Roman" w:hAnsi="Times New Roman"/>
          <w:sz w:val="24"/>
          <w:szCs w:val="24"/>
        </w:rPr>
        <w:t xml:space="preserve">, kā arī </w:t>
      </w:r>
      <w:r w:rsidR="00A5771E">
        <w:rPr>
          <w:rFonts w:ascii="Times New Roman" w:hAnsi="Times New Roman"/>
          <w:sz w:val="24"/>
          <w:szCs w:val="24"/>
        </w:rPr>
        <w:t>informāciju p</w:t>
      </w:r>
      <w:r w:rsidR="00CE0B1E">
        <w:rPr>
          <w:rFonts w:ascii="Times New Roman" w:hAnsi="Times New Roman"/>
          <w:sz w:val="24"/>
          <w:szCs w:val="24"/>
        </w:rPr>
        <w:t xml:space="preserve">ar kvalitātes kontroles nodrošināšanas efektivitāti un lietderību attiecībā uz pārbaudāmo zvērinātu revidentu un zvērinātu revidentu komercsabiedrību, ir </w:t>
      </w:r>
      <w:r w:rsidR="00A5771E">
        <w:rPr>
          <w:rFonts w:ascii="Times New Roman" w:hAnsi="Times New Roman"/>
          <w:sz w:val="24"/>
          <w:szCs w:val="24"/>
        </w:rPr>
        <w:t>plānots iekļaut</w:t>
      </w:r>
      <w:r w:rsidR="00CE0B1E">
        <w:rPr>
          <w:rFonts w:ascii="Times New Roman" w:hAnsi="Times New Roman"/>
          <w:sz w:val="24"/>
          <w:szCs w:val="24"/>
        </w:rPr>
        <w:t xml:space="preserve"> Finanšu ministrijas ikgadējā ziņojumā, kurš </w:t>
      </w:r>
      <w:r w:rsidR="00A5771E">
        <w:rPr>
          <w:rFonts w:ascii="Times New Roman" w:hAnsi="Times New Roman"/>
          <w:sz w:val="24"/>
          <w:szCs w:val="24"/>
        </w:rPr>
        <w:t>būs publiski pieejams saskaņā ar Revīzijas regulas prasībām.</w:t>
      </w:r>
    </w:p>
    <w:p w:rsidR="007867DD" w:rsidRDefault="007867DD" w:rsidP="00870D9C">
      <w:pPr>
        <w:spacing w:after="0" w:line="240" w:lineRule="auto"/>
        <w:jc w:val="both"/>
        <w:rPr>
          <w:rFonts w:ascii="Times New Roman" w:hAnsi="Times New Roman"/>
          <w:sz w:val="24"/>
          <w:szCs w:val="24"/>
        </w:rPr>
      </w:pPr>
    </w:p>
    <w:p w:rsidR="007867DD" w:rsidRDefault="007867DD"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A.Ponomarjovs</w:t>
      </w:r>
      <w:proofErr w:type="spellEnd"/>
      <w:r>
        <w:rPr>
          <w:rFonts w:ascii="Times New Roman" w:hAnsi="Times New Roman"/>
          <w:sz w:val="24"/>
          <w:szCs w:val="24"/>
        </w:rPr>
        <w:t xml:space="preserve"> norāda, ka LZRA joprojām ir komitejas, kuru locekļi vienlaicīgi ir arī LZRA valdes locekļi, piemēram, LZRA Izglītības un Eksaminācijas komitejas. Līdz šim LZRA praksē ir bijis tā, ka valdes loceklis vada vismaz vienu no komitejām. Tomēr tas var novest pie tieša interešu konflikta, jo, ja piemēram Ētikas komiteja lemj par disciplinārsoda piemērošanu zvērinātam revidentam un šīs lēmums tiek apstrīdēts LZRA valdē, tad var būt situācija, ka Ētikas komitejas loceklis, kurš ir arī valdes loceklis nedrīkst lemt par šo apstrīdēto lēmumu, kura sagatavošanā pats ir piedalījies. Un ja šādi locekļi ir vairāki, tad valdei var nebūt kvorums, lai pieņemtu attiecīgu valdes lēmumu.</w:t>
      </w:r>
      <w:r w:rsidR="00954EB3">
        <w:rPr>
          <w:rFonts w:ascii="Times New Roman" w:hAnsi="Times New Roman"/>
          <w:sz w:val="24"/>
          <w:szCs w:val="24"/>
        </w:rPr>
        <w:t xml:space="preserve"> Saskaņā ar IFAC, kuras biedrs ir arī LZRA, </w:t>
      </w:r>
      <w:r w:rsidR="008657AA">
        <w:rPr>
          <w:rFonts w:ascii="Times New Roman" w:hAnsi="Times New Roman"/>
          <w:sz w:val="24"/>
          <w:szCs w:val="24"/>
        </w:rPr>
        <w:t xml:space="preserve">noteikumiem, ja apelācijas kārtībā tiek izskatīts apstrīdētais lēmums, tad apelācijas instancei jābūt pēc iespējas ar lielāku locekļu skaitu no dažādām sfērām. Līdz ar to, izskatot apstrīdēšanas iesniegumu, LZRA valdei būtu lietderīgi piesaistīt kādu ekspertu, piemēram, no Latvijas augstskolām. </w:t>
      </w:r>
    </w:p>
    <w:p w:rsidR="008657AA" w:rsidRDefault="008657AA" w:rsidP="00870D9C">
      <w:pPr>
        <w:spacing w:after="0" w:line="240" w:lineRule="auto"/>
        <w:jc w:val="both"/>
        <w:rPr>
          <w:rFonts w:ascii="Times New Roman" w:hAnsi="Times New Roman"/>
          <w:sz w:val="24"/>
          <w:szCs w:val="24"/>
        </w:rPr>
      </w:pPr>
    </w:p>
    <w:p w:rsidR="008657AA" w:rsidRDefault="008657AA"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sidRPr="004054D9">
        <w:rPr>
          <w:rFonts w:ascii="Times New Roman" w:hAnsi="Times New Roman"/>
          <w:sz w:val="24"/>
          <w:szCs w:val="24"/>
        </w:rPr>
        <w:t>D.Šodnaka</w:t>
      </w:r>
      <w:proofErr w:type="spellEnd"/>
      <w:r w:rsidRPr="004054D9">
        <w:rPr>
          <w:rFonts w:ascii="Times New Roman" w:hAnsi="Times New Roman"/>
          <w:sz w:val="24"/>
          <w:szCs w:val="24"/>
        </w:rPr>
        <w:t xml:space="preserve"> informē, ka pašlaik LZRA izstrādes stadijā ir grozījumi LZRA statūtos, kuros ir p</w:t>
      </w:r>
      <w:r w:rsidR="00A5771E">
        <w:rPr>
          <w:rFonts w:ascii="Times New Roman" w:hAnsi="Times New Roman"/>
          <w:sz w:val="24"/>
          <w:szCs w:val="24"/>
        </w:rPr>
        <w:t>lānots</w:t>
      </w:r>
      <w:r w:rsidRPr="004054D9">
        <w:rPr>
          <w:rFonts w:ascii="Times New Roman" w:hAnsi="Times New Roman"/>
          <w:sz w:val="24"/>
          <w:szCs w:val="24"/>
        </w:rPr>
        <w:t xml:space="preserve"> noteikt, ka </w:t>
      </w:r>
      <w:r w:rsidR="004054D9" w:rsidRPr="004054D9">
        <w:rPr>
          <w:rFonts w:ascii="Times New Roman" w:hAnsi="Times New Roman"/>
          <w:sz w:val="24"/>
          <w:szCs w:val="24"/>
        </w:rPr>
        <w:t>LZRA p</w:t>
      </w:r>
      <w:r w:rsidR="004054D9">
        <w:rPr>
          <w:rFonts w:ascii="Times New Roman" w:hAnsi="Times New Roman"/>
          <w:sz w:val="24"/>
          <w:szCs w:val="24"/>
        </w:rPr>
        <w:t>astāvīgo</w:t>
      </w:r>
      <w:r w:rsidR="004054D9" w:rsidRPr="004054D9">
        <w:rPr>
          <w:rFonts w:ascii="Times New Roman" w:hAnsi="Times New Roman"/>
          <w:sz w:val="24"/>
          <w:szCs w:val="24"/>
        </w:rPr>
        <w:t xml:space="preserve"> komitej</w:t>
      </w:r>
      <w:r w:rsidR="004054D9">
        <w:rPr>
          <w:rFonts w:ascii="Times New Roman" w:hAnsi="Times New Roman"/>
          <w:sz w:val="24"/>
          <w:szCs w:val="24"/>
        </w:rPr>
        <w:t>u</w:t>
      </w:r>
      <w:r w:rsidR="004054D9" w:rsidRPr="004054D9">
        <w:rPr>
          <w:rFonts w:ascii="Times New Roman" w:hAnsi="Times New Roman"/>
          <w:sz w:val="24"/>
          <w:szCs w:val="24"/>
        </w:rPr>
        <w:t xml:space="preserve"> locekļi, izņemot past</w:t>
      </w:r>
      <w:r w:rsidR="004054D9">
        <w:rPr>
          <w:rFonts w:ascii="Times New Roman" w:hAnsi="Times New Roman"/>
          <w:sz w:val="24"/>
          <w:szCs w:val="24"/>
        </w:rPr>
        <w:t>āvīgo</w:t>
      </w:r>
      <w:r w:rsidR="004054D9" w:rsidRPr="004054D9">
        <w:rPr>
          <w:rFonts w:ascii="Times New Roman" w:hAnsi="Times New Roman"/>
          <w:sz w:val="24"/>
          <w:szCs w:val="24"/>
        </w:rPr>
        <w:t xml:space="preserve"> komitej</w:t>
      </w:r>
      <w:r w:rsidR="004054D9">
        <w:rPr>
          <w:rFonts w:ascii="Times New Roman" w:hAnsi="Times New Roman"/>
          <w:sz w:val="24"/>
          <w:szCs w:val="24"/>
        </w:rPr>
        <w:t>u</w:t>
      </w:r>
      <w:r w:rsidR="004054D9" w:rsidRPr="004054D9">
        <w:rPr>
          <w:rFonts w:ascii="Times New Roman" w:hAnsi="Times New Roman"/>
          <w:sz w:val="24"/>
          <w:szCs w:val="24"/>
        </w:rPr>
        <w:t xml:space="preserve"> vadītāji, nevarēs būt LZRA valdes locekļi.</w:t>
      </w:r>
    </w:p>
    <w:p w:rsidR="004F67D7" w:rsidRDefault="004F67D7" w:rsidP="00870D9C">
      <w:pPr>
        <w:spacing w:after="0" w:line="240" w:lineRule="auto"/>
        <w:jc w:val="both"/>
        <w:rPr>
          <w:rFonts w:ascii="Times New Roman" w:hAnsi="Times New Roman"/>
          <w:sz w:val="24"/>
          <w:szCs w:val="24"/>
        </w:rPr>
      </w:pPr>
    </w:p>
    <w:p w:rsidR="004F67D7" w:rsidRPr="004054D9" w:rsidRDefault="004F67D7"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A.Punāne</w:t>
      </w:r>
      <w:proofErr w:type="spellEnd"/>
      <w:r>
        <w:rPr>
          <w:rFonts w:ascii="Times New Roman" w:hAnsi="Times New Roman"/>
          <w:sz w:val="24"/>
          <w:szCs w:val="24"/>
        </w:rPr>
        <w:t xml:space="preserve"> norāda, ka diezgan problemātiski nokomplektēt komitejas, jo zvērināti revidenti nepiesakās uz dalību komitejās tik aktīvi kā būtu nepieciešams. Tas iespējams skaidrojams ar to, ka, piemēram, LZRA Ētikas komitejas pienākumos ir pieņemt lēmumus par  disciplinārsodu piemērošanu. Darbs pie šāda lēmuma pieņemšanas ir darbietilpīgs un ļoti atbildīgs.</w:t>
      </w:r>
    </w:p>
    <w:p w:rsidR="00EB7C19" w:rsidRDefault="00CE0B1E" w:rsidP="00870D9C">
      <w:pPr>
        <w:spacing w:after="0" w:line="240" w:lineRule="auto"/>
        <w:jc w:val="both"/>
        <w:rPr>
          <w:rFonts w:ascii="Times New Roman" w:hAnsi="Times New Roman"/>
          <w:sz w:val="24"/>
          <w:szCs w:val="24"/>
        </w:rPr>
      </w:pPr>
      <w:r>
        <w:rPr>
          <w:rFonts w:ascii="Times New Roman" w:hAnsi="Times New Roman"/>
          <w:sz w:val="24"/>
          <w:szCs w:val="24"/>
        </w:rPr>
        <w:tab/>
      </w:r>
    </w:p>
    <w:p w:rsidR="009D0724" w:rsidRDefault="009D0724"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D.Šodnaka</w:t>
      </w:r>
      <w:proofErr w:type="spellEnd"/>
      <w:r>
        <w:rPr>
          <w:rFonts w:ascii="Times New Roman" w:hAnsi="Times New Roman"/>
          <w:sz w:val="24"/>
          <w:szCs w:val="24"/>
        </w:rPr>
        <w:t xml:space="preserve"> min, ka LZRA valdes kā augstākās LZRA apelācijas institūcijas pienākums tomēr nav iedziļināties un izskatīt lietu tik detalizēti kā to veic Kvalitātes un Ētikas komitejas, tomēr ierosina, ka LZRA varētu pakonsultēties ar </w:t>
      </w:r>
      <w:r w:rsidR="00A5771E">
        <w:rPr>
          <w:rFonts w:ascii="Times New Roman" w:hAnsi="Times New Roman"/>
          <w:sz w:val="24"/>
          <w:szCs w:val="24"/>
        </w:rPr>
        <w:t>Latvijas Zvērinātu a</w:t>
      </w:r>
      <w:r>
        <w:rPr>
          <w:rFonts w:ascii="Times New Roman" w:hAnsi="Times New Roman"/>
          <w:sz w:val="24"/>
          <w:szCs w:val="24"/>
        </w:rPr>
        <w:t xml:space="preserve">dvokātu kolēģiju par to, kā tā organizē un praktiski veic </w:t>
      </w:r>
      <w:proofErr w:type="spellStart"/>
      <w:r>
        <w:rPr>
          <w:rFonts w:ascii="Times New Roman" w:hAnsi="Times New Roman"/>
          <w:sz w:val="24"/>
          <w:szCs w:val="24"/>
        </w:rPr>
        <w:t>disciplinārprocesu</w:t>
      </w:r>
      <w:proofErr w:type="spellEnd"/>
      <w:r>
        <w:rPr>
          <w:rFonts w:ascii="Times New Roman" w:hAnsi="Times New Roman"/>
          <w:sz w:val="24"/>
          <w:szCs w:val="24"/>
        </w:rPr>
        <w:t>.</w:t>
      </w:r>
    </w:p>
    <w:p w:rsidR="009254F7" w:rsidRDefault="009254F7" w:rsidP="00870D9C">
      <w:pPr>
        <w:spacing w:after="0" w:line="240" w:lineRule="auto"/>
        <w:jc w:val="both"/>
        <w:rPr>
          <w:rFonts w:ascii="Times New Roman" w:hAnsi="Times New Roman"/>
          <w:sz w:val="24"/>
          <w:szCs w:val="24"/>
        </w:rPr>
      </w:pPr>
    </w:p>
    <w:p w:rsidR="009254F7" w:rsidRDefault="009254F7"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T.Volkova</w:t>
      </w:r>
      <w:proofErr w:type="spellEnd"/>
      <w:r>
        <w:rPr>
          <w:rFonts w:ascii="Times New Roman" w:hAnsi="Times New Roman"/>
          <w:sz w:val="24"/>
          <w:szCs w:val="24"/>
        </w:rPr>
        <w:t xml:space="preserve"> uzskata, ka būtu ļoti lietderīgi, ja LZRA apsvērtu iespēju piesaistīt valdē uz apelācijas sūdzību izskatīšanu ekspertus no ārpuses. Tas palīdzētu novērst arī iespējamo interešu konfliktu, ar ko pašlaik varētu saskarties LZRA valdes locekļi, kas ir vienlaicīgi arī kādas no komiteju locekļiem.</w:t>
      </w:r>
    </w:p>
    <w:p w:rsidR="00E57DA9" w:rsidRDefault="00E57DA9" w:rsidP="00870D9C">
      <w:pPr>
        <w:spacing w:after="0" w:line="240" w:lineRule="auto"/>
        <w:jc w:val="both"/>
        <w:rPr>
          <w:rFonts w:ascii="Times New Roman" w:hAnsi="Times New Roman"/>
          <w:sz w:val="24"/>
          <w:szCs w:val="24"/>
        </w:rPr>
      </w:pPr>
    </w:p>
    <w:p w:rsidR="00E57DA9" w:rsidRDefault="00E57DA9"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D.Šodnaka</w:t>
      </w:r>
      <w:proofErr w:type="spellEnd"/>
      <w:r>
        <w:rPr>
          <w:rFonts w:ascii="Times New Roman" w:hAnsi="Times New Roman"/>
          <w:sz w:val="24"/>
          <w:szCs w:val="24"/>
        </w:rPr>
        <w:t xml:space="preserve"> norāda, ka, izskatot apelācijas sūdzības, LZRA valdei </w:t>
      </w:r>
      <w:r w:rsidR="00734F2D">
        <w:rPr>
          <w:rFonts w:ascii="Times New Roman" w:hAnsi="Times New Roman"/>
          <w:sz w:val="24"/>
          <w:szCs w:val="24"/>
        </w:rPr>
        <w:t xml:space="preserve">vairāk </w:t>
      </w:r>
      <w:r>
        <w:rPr>
          <w:rFonts w:ascii="Times New Roman" w:hAnsi="Times New Roman"/>
          <w:sz w:val="24"/>
          <w:szCs w:val="24"/>
        </w:rPr>
        <w:t>noderīgs</w:t>
      </w:r>
      <w:r w:rsidR="00734F2D">
        <w:rPr>
          <w:rFonts w:ascii="Times New Roman" w:hAnsi="Times New Roman"/>
          <w:sz w:val="24"/>
          <w:szCs w:val="24"/>
        </w:rPr>
        <w:t xml:space="preserve"> būtu arī juridiskais atbalsts.</w:t>
      </w:r>
    </w:p>
    <w:p w:rsidR="00164F24" w:rsidRDefault="00164F24" w:rsidP="00870D9C">
      <w:pPr>
        <w:spacing w:after="0" w:line="240" w:lineRule="auto"/>
        <w:jc w:val="both"/>
        <w:rPr>
          <w:rFonts w:ascii="Times New Roman" w:hAnsi="Times New Roman"/>
          <w:sz w:val="24"/>
          <w:szCs w:val="24"/>
        </w:rPr>
      </w:pPr>
    </w:p>
    <w:p w:rsidR="00164F24" w:rsidRDefault="00164F24" w:rsidP="00870D9C">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T.Volkova</w:t>
      </w:r>
      <w:proofErr w:type="spellEnd"/>
      <w:r>
        <w:rPr>
          <w:rFonts w:ascii="Times New Roman" w:hAnsi="Times New Roman"/>
          <w:sz w:val="24"/>
          <w:szCs w:val="24"/>
        </w:rPr>
        <w:t xml:space="preserve"> atzīmē, ka arī diskusiju forumus varētu izmantot, lai pārrunātu šādus aktuālus jautājumus kā ētikas normu ievērošana un interešu konflikta novēršana.</w:t>
      </w:r>
    </w:p>
    <w:p w:rsidR="00EB7C19" w:rsidRDefault="00EB7C19" w:rsidP="00870D9C">
      <w:pPr>
        <w:spacing w:after="0" w:line="240" w:lineRule="auto"/>
        <w:jc w:val="both"/>
        <w:rPr>
          <w:rFonts w:ascii="Times New Roman" w:hAnsi="Times New Roman"/>
          <w:sz w:val="24"/>
          <w:szCs w:val="24"/>
        </w:rPr>
      </w:pPr>
      <w:r>
        <w:rPr>
          <w:rFonts w:ascii="Times New Roman" w:hAnsi="Times New Roman"/>
          <w:sz w:val="24"/>
          <w:szCs w:val="24"/>
        </w:rPr>
        <w:tab/>
      </w:r>
    </w:p>
    <w:p w:rsidR="00F159DF" w:rsidRPr="00C86CF0" w:rsidRDefault="00F159DF" w:rsidP="007414AF">
      <w:pPr>
        <w:spacing w:after="0" w:line="240" w:lineRule="auto"/>
        <w:jc w:val="center"/>
        <w:rPr>
          <w:rFonts w:ascii="Times New Roman" w:hAnsi="Times New Roman"/>
          <w:b/>
          <w:sz w:val="24"/>
          <w:szCs w:val="24"/>
        </w:rPr>
      </w:pPr>
      <w:r w:rsidRPr="00C86CF0">
        <w:rPr>
          <w:rFonts w:ascii="Times New Roman" w:hAnsi="Times New Roman"/>
          <w:b/>
          <w:sz w:val="24"/>
          <w:szCs w:val="24"/>
        </w:rPr>
        <w:t>2.</w:t>
      </w:r>
    </w:p>
    <w:p w:rsidR="00F159DF" w:rsidRPr="002E1393" w:rsidRDefault="002E1393" w:rsidP="007414AF">
      <w:pPr>
        <w:pBdr>
          <w:bottom w:val="single" w:sz="12" w:space="1" w:color="auto"/>
        </w:pBdr>
        <w:spacing w:after="0" w:line="240" w:lineRule="auto"/>
        <w:jc w:val="center"/>
        <w:rPr>
          <w:rFonts w:ascii="Times New Roman" w:hAnsi="Times New Roman"/>
          <w:b/>
          <w:sz w:val="24"/>
          <w:szCs w:val="24"/>
        </w:rPr>
      </w:pPr>
      <w:r w:rsidRPr="002E1393">
        <w:rPr>
          <w:rFonts w:ascii="Times New Roman" w:hAnsi="Times New Roman"/>
          <w:b/>
          <w:sz w:val="24"/>
          <w:szCs w:val="24"/>
        </w:rPr>
        <w:t>Gada pārskatu un konsolidēto gada pārskatu likuma prasību ietekme uz mazo, vidējo, lielo un sabiedriskās nozares struktūras uzņēmumu finanšu pārskatu kvalitāti un to verificēšanas sistēmas turpmāko attīstību: obligātās revīzijas un ierobežotās pārbaudes.</w:t>
      </w:r>
    </w:p>
    <w:p w:rsidR="0022108A" w:rsidRDefault="0022108A" w:rsidP="00E468A1">
      <w:pPr>
        <w:spacing w:after="0" w:line="240" w:lineRule="auto"/>
        <w:jc w:val="both"/>
        <w:rPr>
          <w:rFonts w:ascii="Times New Roman" w:hAnsi="Times New Roman"/>
          <w:sz w:val="24"/>
          <w:szCs w:val="24"/>
        </w:rPr>
      </w:pPr>
    </w:p>
    <w:p w:rsidR="002E1393" w:rsidRDefault="00813303" w:rsidP="00813303">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A.Punāne</w:t>
      </w:r>
      <w:proofErr w:type="spellEnd"/>
      <w:r w:rsidR="00307EB2">
        <w:rPr>
          <w:rFonts w:ascii="Times New Roman" w:hAnsi="Times New Roman"/>
          <w:sz w:val="24"/>
          <w:szCs w:val="24"/>
        </w:rPr>
        <w:t xml:space="preserve"> norāda, ka pēdējā laikā zvērināti revidenti aizvien biežāk pirms profesionālo pakalpojumu sniegšanas uzsākšanas informē savus klientus arī par iespēju izvēlēties (ja klients atbilst attiecīgajiem Gada pārskatu un konsolidēto gada pārskatu likumā noteiktajiem kritērijiem) Gada pārskatu un konsolidēto gada pārskatu likumā noteikto gada pārskatu ierobežoto pārbaudi. Praksē tomēr lielāki starptautiski uzņēmumi izvēlas obligāto revīziju.</w:t>
      </w:r>
    </w:p>
    <w:p w:rsidR="00307EB2" w:rsidRDefault="00307EB2" w:rsidP="00813303">
      <w:pPr>
        <w:spacing w:after="0" w:line="240" w:lineRule="auto"/>
        <w:ind w:firstLine="720"/>
        <w:jc w:val="both"/>
        <w:rPr>
          <w:rFonts w:ascii="Times New Roman" w:hAnsi="Times New Roman"/>
          <w:sz w:val="24"/>
          <w:szCs w:val="24"/>
        </w:rPr>
      </w:pPr>
    </w:p>
    <w:p w:rsidR="001E4540" w:rsidRDefault="00307EB2" w:rsidP="000239CF">
      <w:pPr>
        <w:spacing w:after="0" w:line="240" w:lineRule="auto"/>
        <w:jc w:val="both"/>
        <w:rPr>
          <w:rFonts w:ascii="Times New Roman" w:hAnsi="Times New Roman"/>
          <w:sz w:val="24"/>
          <w:szCs w:val="24"/>
        </w:rPr>
      </w:pPr>
      <w:r>
        <w:rPr>
          <w:rFonts w:ascii="Times New Roman" w:hAnsi="Times New Roman"/>
          <w:sz w:val="24"/>
          <w:szCs w:val="24"/>
        </w:rPr>
        <w:tab/>
      </w:r>
      <w:r w:rsidR="000239CF" w:rsidRPr="00114971">
        <w:rPr>
          <w:rFonts w:ascii="Times New Roman" w:hAnsi="Times New Roman"/>
          <w:sz w:val="24"/>
          <w:szCs w:val="24"/>
        </w:rPr>
        <w:t>Revīzijas konsultatīvās padomes locekļi</w:t>
      </w:r>
      <w:r w:rsidR="000239CF">
        <w:rPr>
          <w:rFonts w:ascii="Times New Roman" w:hAnsi="Times New Roman"/>
          <w:sz w:val="24"/>
          <w:szCs w:val="24"/>
        </w:rPr>
        <w:t xml:space="preserve"> diskutē par Gada pārskatu un konsolidēto gada pārskatu likumā noteiktajiem kritērijiem, kādiem jāatbilst</w:t>
      </w:r>
      <w:r w:rsidR="001E0057">
        <w:rPr>
          <w:rFonts w:ascii="Times New Roman" w:hAnsi="Times New Roman"/>
          <w:sz w:val="24"/>
          <w:szCs w:val="24"/>
        </w:rPr>
        <w:t xml:space="preserve"> </w:t>
      </w:r>
      <w:r w:rsidR="001E0057" w:rsidRPr="001E0057">
        <w:rPr>
          <w:rFonts w:ascii="Times New Roman" w:hAnsi="Times New Roman"/>
          <w:sz w:val="24"/>
          <w:szCs w:val="24"/>
        </w:rPr>
        <w:t>mazai sabiedrībai</w:t>
      </w:r>
      <w:r w:rsidR="000239CF" w:rsidRPr="001E0057">
        <w:rPr>
          <w:rFonts w:ascii="Times New Roman" w:hAnsi="Times New Roman"/>
          <w:sz w:val="24"/>
          <w:szCs w:val="24"/>
        </w:rPr>
        <w:t xml:space="preserve">, </w:t>
      </w:r>
      <w:r w:rsidR="000239CF">
        <w:rPr>
          <w:rFonts w:ascii="Times New Roman" w:hAnsi="Times New Roman"/>
          <w:sz w:val="24"/>
          <w:szCs w:val="24"/>
        </w:rPr>
        <w:t xml:space="preserve">lai </w:t>
      </w:r>
      <w:r w:rsidR="001E0057">
        <w:rPr>
          <w:rFonts w:ascii="Times New Roman" w:hAnsi="Times New Roman"/>
          <w:sz w:val="24"/>
          <w:szCs w:val="24"/>
        </w:rPr>
        <w:t xml:space="preserve">tā </w:t>
      </w:r>
      <w:r w:rsidR="000239CF">
        <w:rPr>
          <w:rFonts w:ascii="Times New Roman" w:hAnsi="Times New Roman"/>
          <w:sz w:val="24"/>
          <w:szCs w:val="24"/>
        </w:rPr>
        <w:t>varētu izvēlēties ierobežoto pārbaudi.</w:t>
      </w:r>
    </w:p>
    <w:p w:rsidR="009B3CFC" w:rsidRDefault="009B3CFC" w:rsidP="000239CF">
      <w:pPr>
        <w:spacing w:after="0" w:line="240" w:lineRule="auto"/>
        <w:jc w:val="both"/>
        <w:rPr>
          <w:rFonts w:ascii="Times New Roman" w:hAnsi="Times New Roman"/>
          <w:sz w:val="24"/>
          <w:szCs w:val="24"/>
        </w:rPr>
      </w:pPr>
    </w:p>
    <w:p w:rsidR="009B3CFC" w:rsidRDefault="009B3CFC" w:rsidP="000239CF">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T.Vokolva</w:t>
      </w:r>
      <w:proofErr w:type="spellEnd"/>
      <w:r>
        <w:rPr>
          <w:rFonts w:ascii="Times New Roman" w:hAnsi="Times New Roman"/>
          <w:sz w:val="24"/>
          <w:szCs w:val="24"/>
        </w:rPr>
        <w:t xml:space="preserve"> norāda, ka pašlaik daudzas mazas sabiedrības neatbilst Gada pārskatu un konsolidēto gada pārskatu likumā noteiktajiem kritērijiem, un līdz ar to tām ir nepieciešama obligātā revīzija. Tomēr būtu nepieciešams pārskatīt minētajā likumā noteiktos kritērijus un vēlreiz izvērtēt to atbilstību reālajai situācijai valstī attiecībā uz mazajām sabiedrībām.</w:t>
      </w:r>
    </w:p>
    <w:p w:rsidR="009B3CFC" w:rsidRDefault="009B3CFC" w:rsidP="000239CF">
      <w:pPr>
        <w:spacing w:after="0" w:line="240" w:lineRule="auto"/>
        <w:jc w:val="both"/>
        <w:rPr>
          <w:rFonts w:ascii="Times New Roman" w:hAnsi="Times New Roman"/>
          <w:sz w:val="24"/>
          <w:szCs w:val="24"/>
        </w:rPr>
      </w:pPr>
    </w:p>
    <w:p w:rsidR="009B3CFC" w:rsidRDefault="009B3CFC" w:rsidP="000239CF">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D.Šodnaka</w:t>
      </w:r>
      <w:proofErr w:type="spellEnd"/>
      <w:r>
        <w:rPr>
          <w:rFonts w:ascii="Times New Roman" w:hAnsi="Times New Roman"/>
          <w:sz w:val="24"/>
          <w:szCs w:val="24"/>
        </w:rPr>
        <w:t xml:space="preserve"> min, ka šobrīd spēkā ir esošās Gada pārskatu un konsolidēto gada pārskatu likuma normas attiecībā uz kritērijiem, un vēl šogad nepieciešams novērot, kā ierobežotās pārbaudes tiek realizētas praksē. Tikai pēc tam būtu lietderīgi lemt par to, vai ir nepieciešams mainīt kādu no Gada pārskatu un konsolidēto gada pārskatu likumā noteiktajiem kritērijiem.    </w:t>
      </w:r>
    </w:p>
    <w:p w:rsidR="009B3CFC" w:rsidRDefault="009B3CFC" w:rsidP="009B3CFC">
      <w:pPr>
        <w:spacing w:after="0" w:line="240" w:lineRule="auto"/>
        <w:jc w:val="both"/>
        <w:rPr>
          <w:rFonts w:ascii="Times New Roman" w:hAnsi="Times New Roman"/>
          <w:sz w:val="24"/>
          <w:szCs w:val="24"/>
        </w:rPr>
      </w:pPr>
    </w:p>
    <w:p w:rsidR="009B3CFC" w:rsidRPr="007867DD" w:rsidRDefault="009B3CFC" w:rsidP="007867DD">
      <w:pPr>
        <w:spacing w:after="0" w:line="240" w:lineRule="auto"/>
        <w:jc w:val="center"/>
        <w:rPr>
          <w:rFonts w:ascii="Times New Roman" w:hAnsi="Times New Roman"/>
          <w:b/>
          <w:sz w:val="24"/>
          <w:szCs w:val="24"/>
        </w:rPr>
      </w:pPr>
      <w:r w:rsidRPr="007867DD">
        <w:rPr>
          <w:rFonts w:ascii="Times New Roman" w:hAnsi="Times New Roman"/>
          <w:b/>
          <w:sz w:val="24"/>
          <w:szCs w:val="24"/>
        </w:rPr>
        <w:t>3.</w:t>
      </w:r>
    </w:p>
    <w:p w:rsidR="009B3CFC" w:rsidRPr="007867DD" w:rsidRDefault="009B3CFC" w:rsidP="007867DD">
      <w:pPr>
        <w:spacing w:after="0" w:line="240" w:lineRule="auto"/>
        <w:jc w:val="center"/>
        <w:rPr>
          <w:rFonts w:ascii="Times New Roman" w:hAnsi="Times New Roman"/>
          <w:b/>
          <w:sz w:val="24"/>
          <w:szCs w:val="24"/>
        </w:rPr>
      </w:pPr>
      <w:r w:rsidRPr="007867DD">
        <w:rPr>
          <w:rFonts w:ascii="Times New Roman" w:hAnsi="Times New Roman"/>
          <w:b/>
          <w:sz w:val="24"/>
          <w:szCs w:val="24"/>
        </w:rPr>
        <w:t>Revīzijas pakalpojumu likuma prasību piemērošana zvērinātu revidentu un zvērinātu revidentu komercsabiedrību profesionālajā darbā.</w:t>
      </w:r>
    </w:p>
    <w:p w:rsidR="009B3CFC" w:rsidRPr="007867DD" w:rsidRDefault="007867DD" w:rsidP="007867DD">
      <w:pPr>
        <w:pBdr>
          <w:bottom w:val="single" w:sz="12" w:space="1" w:color="auto"/>
        </w:pBdr>
        <w:spacing w:after="0" w:line="240" w:lineRule="auto"/>
        <w:jc w:val="center"/>
        <w:rPr>
          <w:rFonts w:ascii="Times New Roman" w:hAnsi="Times New Roman"/>
          <w:b/>
          <w:sz w:val="24"/>
          <w:szCs w:val="24"/>
        </w:rPr>
      </w:pPr>
      <w:r w:rsidRPr="007867DD">
        <w:rPr>
          <w:rFonts w:ascii="Times New Roman" w:hAnsi="Times New Roman"/>
          <w:b/>
          <w:sz w:val="24"/>
          <w:szCs w:val="24"/>
        </w:rPr>
        <w:t>Izmaiņas zvērinātu revidentu ziņojumos, jaunie un pārstrādātie IFAC SKKS</w:t>
      </w:r>
      <w:r>
        <w:rPr>
          <w:rFonts w:ascii="Times New Roman" w:hAnsi="Times New Roman"/>
          <w:b/>
          <w:sz w:val="24"/>
          <w:szCs w:val="24"/>
        </w:rPr>
        <w:t>,</w:t>
      </w:r>
      <w:r w:rsidRPr="007867DD">
        <w:rPr>
          <w:rFonts w:ascii="Times New Roman" w:hAnsi="Times New Roman"/>
          <w:b/>
          <w:sz w:val="24"/>
          <w:szCs w:val="24"/>
        </w:rPr>
        <w:t xml:space="preserve"> SRS un SAUS standarti</w:t>
      </w:r>
      <w:r>
        <w:rPr>
          <w:rFonts w:ascii="Times New Roman" w:hAnsi="Times New Roman"/>
          <w:b/>
          <w:sz w:val="24"/>
          <w:szCs w:val="24"/>
        </w:rPr>
        <w:t>.</w:t>
      </w:r>
    </w:p>
    <w:p w:rsidR="001E4540" w:rsidRPr="00942399" w:rsidRDefault="001E4540" w:rsidP="007867DD">
      <w:pPr>
        <w:spacing w:after="0" w:line="240" w:lineRule="auto"/>
        <w:jc w:val="center"/>
        <w:rPr>
          <w:rFonts w:ascii="Times New Roman" w:hAnsi="Times New Roman"/>
          <w:sz w:val="10"/>
          <w:szCs w:val="24"/>
        </w:rPr>
      </w:pPr>
    </w:p>
    <w:p w:rsidR="001E4540" w:rsidRPr="007414AF" w:rsidRDefault="001E4540" w:rsidP="00E468A1">
      <w:pPr>
        <w:spacing w:after="0" w:line="240" w:lineRule="auto"/>
        <w:jc w:val="both"/>
        <w:rPr>
          <w:rFonts w:ascii="Times New Roman" w:hAnsi="Times New Roman"/>
          <w:sz w:val="16"/>
          <w:szCs w:val="24"/>
        </w:rPr>
      </w:pPr>
    </w:p>
    <w:p w:rsidR="002E1393" w:rsidRDefault="00E003F0" w:rsidP="00E003F0">
      <w:pPr>
        <w:spacing w:after="0" w:line="240" w:lineRule="auto"/>
        <w:ind w:firstLine="720"/>
        <w:jc w:val="both"/>
        <w:rPr>
          <w:rFonts w:ascii="Times New Roman" w:hAnsi="Times New Roman"/>
          <w:b/>
          <w:sz w:val="24"/>
          <w:szCs w:val="24"/>
        </w:rPr>
      </w:pPr>
      <w:r w:rsidRPr="00114971">
        <w:rPr>
          <w:rFonts w:ascii="Times New Roman" w:hAnsi="Times New Roman"/>
          <w:sz w:val="24"/>
          <w:szCs w:val="24"/>
        </w:rPr>
        <w:t>Revīzijas konsultatīvās padomes locekļi</w:t>
      </w:r>
      <w:r>
        <w:rPr>
          <w:rFonts w:ascii="Times New Roman" w:hAnsi="Times New Roman"/>
          <w:sz w:val="24"/>
          <w:szCs w:val="24"/>
        </w:rPr>
        <w:t xml:space="preserve"> diskutē par to, ka būtu vairāk jāpievērš uzmanība tam, lai gada pārskati tiktu noformēti atbilstoši normatīvo aktu prasībām un LZRA būtu jāseko līdzi, lai arī zvērināti revidenti tam pievērstu pastiprinātu uzman</w:t>
      </w:r>
      <w:r w:rsidR="001716DC">
        <w:rPr>
          <w:rFonts w:ascii="Times New Roman" w:hAnsi="Times New Roman"/>
          <w:sz w:val="24"/>
          <w:szCs w:val="24"/>
        </w:rPr>
        <w:t>ību, arī prasībām, kādas noteic Starptautiskie finanšu pārskatu</w:t>
      </w:r>
      <w:r w:rsidR="00BE475B">
        <w:rPr>
          <w:rFonts w:ascii="Times New Roman" w:hAnsi="Times New Roman"/>
          <w:sz w:val="24"/>
          <w:szCs w:val="24"/>
        </w:rPr>
        <w:t xml:space="preserve"> standarti, jo katram uzņēmuma atkarībā no tā lieluma, tagad ir atšķirīgas gada pārskatu sagatavošanas prasības. </w:t>
      </w:r>
      <w:proofErr w:type="spellStart"/>
      <w:r w:rsidR="00BE475B">
        <w:rPr>
          <w:rFonts w:ascii="Times New Roman" w:hAnsi="Times New Roman"/>
          <w:sz w:val="24"/>
          <w:szCs w:val="24"/>
        </w:rPr>
        <w:t>A.Ponomarjovs</w:t>
      </w:r>
      <w:proofErr w:type="spellEnd"/>
      <w:r w:rsidR="00BE475B">
        <w:rPr>
          <w:rFonts w:ascii="Times New Roman" w:hAnsi="Times New Roman"/>
          <w:sz w:val="24"/>
          <w:szCs w:val="24"/>
        </w:rPr>
        <w:t xml:space="preserve"> ierosina šo noformēt kā Revīzijas konsultatīvās padomes ierosinājumu LZRA.</w:t>
      </w:r>
    </w:p>
    <w:p w:rsidR="007867DD" w:rsidRDefault="007867DD" w:rsidP="00E468A1">
      <w:pPr>
        <w:spacing w:after="0" w:line="240" w:lineRule="auto"/>
        <w:jc w:val="both"/>
        <w:rPr>
          <w:rFonts w:ascii="Times New Roman" w:hAnsi="Times New Roman"/>
          <w:b/>
          <w:sz w:val="24"/>
          <w:szCs w:val="24"/>
        </w:rPr>
      </w:pPr>
    </w:p>
    <w:p w:rsidR="001716DC" w:rsidRDefault="001716DC" w:rsidP="00E468A1">
      <w:pPr>
        <w:spacing w:after="0" w:line="240" w:lineRule="auto"/>
        <w:jc w:val="both"/>
        <w:rPr>
          <w:rFonts w:ascii="Times New Roman" w:hAnsi="Times New Roman"/>
          <w:sz w:val="24"/>
          <w:szCs w:val="24"/>
        </w:rPr>
      </w:pPr>
      <w:r>
        <w:rPr>
          <w:rFonts w:ascii="Times New Roman" w:hAnsi="Times New Roman"/>
          <w:b/>
          <w:sz w:val="24"/>
          <w:szCs w:val="24"/>
        </w:rPr>
        <w:lastRenderedPageBreak/>
        <w:tab/>
      </w:r>
      <w:proofErr w:type="spellStart"/>
      <w:r>
        <w:rPr>
          <w:rFonts w:ascii="Times New Roman" w:hAnsi="Times New Roman"/>
          <w:sz w:val="24"/>
          <w:szCs w:val="24"/>
        </w:rPr>
        <w:t>S.G</w:t>
      </w:r>
      <w:r w:rsidRPr="001716DC">
        <w:rPr>
          <w:rFonts w:ascii="Times New Roman" w:hAnsi="Times New Roman"/>
          <w:sz w:val="24"/>
          <w:szCs w:val="24"/>
        </w:rPr>
        <w:t>lāzere</w:t>
      </w:r>
      <w:proofErr w:type="spellEnd"/>
      <w:r w:rsidRPr="001716DC">
        <w:rPr>
          <w:rFonts w:ascii="Times New Roman" w:hAnsi="Times New Roman"/>
          <w:sz w:val="24"/>
          <w:szCs w:val="24"/>
        </w:rPr>
        <w:t xml:space="preserve"> informē, ka, ja notiek kādi būtiski starptautisko </w:t>
      </w:r>
      <w:r w:rsidR="00F27CB0">
        <w:rPr>
          <w:rFonts w:ascii="Times New Roman" w:hAnsi="Times New Roman"/>
          <w:sz w:val="24"/>
          <w:szCs w:val="24"/>
        </w:rPr>
        <w:t xml:space="preserve">grāmatvedības </w:t>
      </w:r>
      <w:r w:rsidRPr="001716DC">
        <w:rPr>
          <w:rFonts w:ascii="Times New Roman" w:hAnsi="Times New Roman"/>
          <w:sz w:val="24"/>
          <w:szCs w:val="24"/>
        </w:rPr>
        <w:t xml:space="preserve">standartu grozījumi, tad </w:t>
      </w:r>
      <w:r w:rsidR="00F27CB0">
        <w:rPr>
          <w:rFonts w:ascii="Times New Roman" w:hAnsi="Times New Roman"/>
          <w:sz w:val="24"/>
          <w:szCs w:val="24"/>
        </w:rPr>
        <w:t xml:space="preserve">finanšu un kapitāla </w:t>
      </w:r>
      <w:r>
        <w:rPr>
          <w:rFonts w:ascii="Times New Roman" w:hAnsi="Times New Roman"/>
          <w:sz w:val="24"/>
          <w:szCs w:val="24"/>
        </w:rPr>
        <w:t xml:space="preserve">tirgus dalībniekiem ir </w:t>
      </w:r>
      <w:r w:rsidR="00F27CB0">
        <w:rPr>
          <w:rFonts w:ascii="Times New Roman" w:hAnsi="Times New Roman"/>
          <w:sz w:val="24"/>
          <w:szCs w:val="24"/>
        </w:rPr>
        <w:t xml:space="preserve">pašiem </w:t>
      </w:r>
      <w:r>
        <w:rPr>
          <w:rFonts w:ascii="Times New Roman" w:hAnsi="Times New Roman"/>
          <w:sz w:val="24"/>
          <w:szCs w:val="24"/>
        </w:rPr>
        <w:t xml:space="preserve">jāseko tam līdzi, jo visi šie standarti </w:t>
      </w:r>
      <w:r w:rsidR="00F27CB0">
        <w:rPr>
          <w:rFonts w:ascii="Times New Roman" w:hAnsi="Times New Roman"/>
          <w:sz w:val="24"/>
          <w:szCs w:val="24"/>
        </w:rPr>
        <w:t>un to grozījumi tiek</w:t>
      </w:r>
      <w:r>
        <w:rPr>
          <w:rFonts w:ascii="Times New Roman" w:hAnsi="Times New Roman"/>
          <w:sz w:val="24"/>
          <w:szCs w:val="24"/>
        </w:rPr>
        <w:t xml:space="preserve"> pieņemti ar </w:t>
      </w:r>
      <w:r w:rsidR="00F27CB0">
        <w:rPr>
          <w:rFonts w:ascii="Times New Roman" w:hAnsi="Times New Roman"/>
          <w:sz w:val="24"/>
          <w:szCs w:val="24"/>
        </w:rPr>
        <w:t xml:space="preserve">EK </w:t>
      </w:r>
      <w:r>
        <w:rPr>
          <w:rFonts w:ascii="Times New Roman" w:hAnsi="Times New Roman"/>
          <w:sz w:val="24"/>
          <w:szCs w:val="24"/>
        </w:rPr>
        <w:t>regulu un regulas ir tieši piemērojami tiesību akti. FKTK neorganizē speciālus apmācības kursus</w:t>
      </w:r>
      <w:r w:rsidR="00F27CB0">
        <w:rPr>
          <w:rFonts w:ascii="Times New Roman" w:hAnsi="Times New Roman"/>
          <w:sz w:val="24"/>
          <w:szCs w:val="24"/>
        </w:rPr>
        <w:t xml:space="preserve"> </w:t>
      </w:r>
      <w:r w:rsidR="00F27CB0">
        <w:rPr>
          <w:rFonts w:ascii="Times New Roman" w:hAnsi="Times New Roman"/>
          <w:sz w:val="24"/>
          <w:szCs w:val="24"/>
        </w:rPr>
        <w:t xml:space="preserve">par starptautisko grāmatvedības standartu piemērošanu. Finanšu un kapitāla </w:t>
      </w:r>
      <w:r w:rsidR="00F27CB0">
        <w:rPr>
          <w:rFonts w:ascii="Times New Roman" w:hAnsi="Times New Roman"/>
          <w:sz w:val="24"/>
          <w:szCs w:val="24"/>
        </w:rPr>
        <w:t>ti</w:t>
      </w:r>
      <w:r>
        <w:rPr>
          <w:rFonts w:ascii="Times New Roman" w:hAnsi="Times New Roman"/>
          <w:sz w:val="24"/>
          <w:szCs w:val="24"/>
        </w:rPr>
        <w:t xml:space="preserve">rgus dalībnieki pamatā apmeklē lielo auditorfirmu organizētos </w:t>
      </w:r>
      <w:r w:rsidR="00F27CB0">
        <w:rPr>
          <w:rFonts w:ascii="Times New Roman" w:hAnsi="Times New Roman"/>
          <w:sz w:val="24"/>
          <w:szCs w:val="24"/>
        </w:rPr>
        <w:t>apmācību</w:t>
      </w:r>
      <w:r>
        <w:rPr>
          <w:rFonts w:ascii="Times New Roman" w:hAnsi="Times New Roman"/>
          <w:sz w:val="24"/>
          <w:szCs w:val="24"/>
        </w:rPr>
        <w:t xml:space="preserve"> kursus. Šīm auditorfirmām ir arī vairāk resursu, lai šādus kvalitatīvus kursus organizētu un sagatavotu atbilstošas prezentācijas par standartiem un to grozījumiem.</w:t>
      </w:r>
    </w:p>
    <w:p w:rsidR="001716DC" w:rsidRDefault="001716DC" w:rsidP="00E468A1">
      <w:pPr>
        <w:spacing w:after="0" w:line="240" w:lineRule="auto"/>
        <w:jc w:val="both"/>
        <w:rPr>
          <w:rFonts w:ascii="Times New Roman" w:hAnsi="Times New Roman"/>
          <w:sz w:val="24"/>
          <w:szCs w:val="24"/>
        </w:rPr>
      </w:pPr>
    </w:p>
    <w:p w:rsidR="007867DD" w:rsidRDefault="001716DC" w:rsidP="00E468A1">
      <w:pPr>
        <w:spacing w:after="0" w:line="240" w:lineRule="auto"/>
        <w:jc w:val="both"/>
        <w:rPr>
          <w:rFonts w:ascii="Times New Roman" w:hAnsi="Times New Roman"/>
          <w:sz w:val="24"/>
          <w:szCs w:val="24"/>
        </w:rPr>
      </w:pPr>
      <w:r>
        <w:rPr>
          <w:rFonts w:ascii="Times New Roman" w:hAnsi="Times New Roman"/>
          <w:sz w:val="24"/>
          <w:szCs w:val="24"/>
        </w:rPr>
        <w:tab/>
      </w:r>
      <w:proofErr w:type="spellStart"/>
      <w:r w:rsidR="00B3282D">
        <w:rPr>
          <w:rFonts w:ascii="Times New Roman" w:hAnsi="Times New Roman"/>
          <w:sz w:val="24"/>
          <w:szCs w:val="24"/>
        </w:rPr>
        <w:t>A.Ponomarjovs</w:t>
      </w:r>
      <w:proofErr w:type="spellEnd"/>
      <w:r w:rsidR="00B3282D">
        <w:rPr>
          <w:rFonts w:ascii="Times New Roman" w:hAnsi="Times New Roman"/>
          <w:sz w:val="24"/>
          <w:szCs w:val="24"/>
        </w:rPr>
        <w:t xml:space="preserve"> vērš uzmanību uz to, ka ir mainījušies arī Starptautiskie revīzijas standarti, un attiecībā uz revidentu ziņojumiem par pirmā gada revīziju biržā kotētajiem uzņēmumiem, šajos ziņojumos būs speciāla rindkopa, kurā būs jāapraksta kā zvērināts revidents risinājis revīzijas laikā atklātās problēmas uzņēmumā. Būtu lietderīgi pēc šīs sezonas apkopot tipiskākās problēmas, kādas būs atklātas biržas klientiem</w:t>
      </w:r>
      <w:r w:rsidR="00A73A88">
        <w:rPr>
          <w:rFonts w:ascii="Times New Roman" w:hAnsi="Times New Roman"/>
          <w:sz w:val="24"/>
          <w:szCs w:val="24"/>
        </w:rPr>
        <w:t>. Šogad atbilstoši minēto standartu grozījumiem papildu prasības attiecībā uz revidenta ziņojuma aizpildīšanu ir tikai par biržā kotēto uzņēmumu revīziju. No nākamā gada šādas prasības būs attiecībā uz visu sabiedriskas nozīmes struktūru revīzijām, arī banku.</w:t>
      </w:r>
    </w:p>
    <w:p w:rsidR="00DF1101" w:rsidRDefault="00DF1101" w:rsidP="00E468A1">
      <w:pPr>
        <w:spacing w:after="0" w:line="240" w:lineRule="auto"/>
        <w:jc w:val="both"/>
        <w:rPr>
          <w:rFonts w:ascii="Times New Roman" w:hAnsi="Times New Roman"/>
          <w:sz w:val="24"/>
          <w:szCs w:val="24"/>
        </w:rPr>
      </w:pPr>
    </w:p>
    <w:p w:rsidR="00DF1101" w:rsidRPr="001716DC" w:rsidRDefault="00DF1101" w:rsidP="00E468A1">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D.Šodnaka</w:t>
      </w:r>
      <w:proofErr w:type="spellEnd"/>
      <w:r>
        <w:rPr>
          <w:rFonts w:ascii="Times New Roman" w:hAnsi="Times New Roman"/>
          <w:sz w:val="24"/>
          <w:szCs w:val="24"/>
        </w:rPr>
        <w:t xml:space="preserve"> vērš uzmanību uz to, ka jaunā Revīzijas</w:t>
      </w:r>
      <w:r w:rsidR="00C17F0D">
        <w:rPr>
          <w:rFonts w:ascii="Times New Roman" w:hAnsi="Times New Roman"/>
          <w:sz w:val="24"/>
          <w:szCs w:val="24"/>
        </w:rPr>
        <w:t xml:space="preserve"> regula jau stājās spēkā no 2016</w:t>
      </w:r>
      <w:r>
        <w:rPr>
          <w:rFonts w:ascii="Times New Roman" w:hAnsi="Times New Roman"/>
          <w:sz w:val="24"/>
          <w:szCs w:val="24"/>
        </w:rPr>
        <w:t>.gada 17.jūnija, un līdz ar to tajā prasītais, piemēram, papildu ziņojums revīzijas komitejai  zvērinātam revidentam un zvērinātu revidentu komercsabiedrībai ir jau jāiesniedz šogad.</w:t>
      </w:r>
    </w:p>
    <w:p w:rsidR="001716DC" w:rsidRDefault="001716DC" w:rsidP="00E468A1">
      <w:pPr>
        <w:spacing w:after="0" w:line="240" w:lineRule="auto"/>
        <w:jc w:val="both"/>
        <w:rPr>
          <w:rFonts w:ascii="Times New Roman" w:hAnsi="Times New Roman"/>
          <w:b/>
          <w:sz w:val="24"/>
          <w:szCs w:val="24"/>
        </w:rPr>
      </w:pPr>
    </w:p>
    <w:p w:rsidR="00C54BC5" w:rsidRPr="00C54BC5" w:rsidRDefault="00C54BC5" w:rsidP="00E468A1">
      <w:pPr>
        <w:spacing w:after="0" w:line="240" w:lineRule="auto"/>
        <w:jc w:val="both"/>
        <w:rPr>
          <w:rFonts w:ascii="Times New Roman" w:hAnsi="Times New Roman"/>
          <w:sz w:val="24"/>
          <w:szCs w:val="24"/>
        </w:rPr>
      </w:pPr>
      <w:r>
        <w:rPr>
          <w:rFonts w:ascii="Times New Roman" w:hAnsi="Times New Roman"/>
          <w:b/>
          <w:sz w:val="24"/>
          <w:szCs w:val="24"/>
        </w:rPr>
        <w:tab/>
      </w:r>
      <w:proofErr w:type="spellStart"/>
      <w:r w:rsidRPr="00C54BC5">
        <w:rPr>
          <w:rFonts w:ascii="Times New Roman" w:hAnsi="Times New Roman"/>
          <w:sz w:val="24"/>
          <w:szCs w:val="24"/>
        </w:rPr>
        <w:t>S.Glāzere</w:t>
      </w:r>
      <w:proofErr w:type="spellEnd"/>
      <w:r w:rsidRPr="00C54BC5">
        <w:rPr>
          <w:rFonts w:ascii="Times New Roman" w:hAnsi="Times New Roman"/>
          <w:sz w:val="24"/>
          <w:szCs w:val="24"/>
        </w:rPr>
        <w:t xml:space="preserve"> informē, ka tie, kuri ir</w:t>
      </w:r>
      <w:r>
        <w:rPr>
          <w:rFonts w:ascii="Times New Roman" w:hAnsi="Times New Roman"/>
          <w:sz w:val="24"/>
          <w:szCs w:val="24"/>
        </w:rPr>
        <w:t xml:space="preserve"> </w:t>
      </w:r>
      <w:r w:rsidRPr="00C54BC5">
        <w:rPr>
          <w:rFonts w:ascii="Times New Roman" w:hAnsi="Times New Roman"/>
          <w:sz w:val="24"/>
          <w:szCs w:val="24"/>
        </w:rPr>
        <w:t>bir</w:t>
      </w:r>
      <w:r>
        <w:rPr>
          <w:rFonts w:ascii="Times New Roman" w:hAnsi="Times New Roman"/>
          <w:sz w:val="24"/>
          <w:szCs w:val="24"/>
        </w:rPr>
        <w:t>žā</w:t>
      </w:r>
      <w:r w:rsidRPr="00C54BC5">
        <w:rPr>
          <w:rFonts w:ascii="Times New Roman" w:hAnsi="Times New Roman"/>
          <w:sz w:val="24"/>
          <w:szCs w:val="24"/>
        </w:rPr>
        <w:t xml:space="preserve"> kotēti uzņēmum</w:t>
      </w:r>
      <w:r>
        <w:rPr>
          <w:rFonts w:ascii="Times New Roman" w:hAnsi="Times New Roman"/>
          <w:sz w:val="24"/>
          <w:szCs w:val="24"/>
        </w:rPr>
        <w:t>i</w:t>
      </w:r>
      <w:r w:rsidRPr="00C54BC5">
        <w:rPr>
          <w:rFonts w:ascii="Times New Roman" w:hAnsi="Times New Roman"/>
          <w:sz w:val="24"/>
          <w:szCs w:val="24"/>
        </w:rPr>
        <w:t>, tiem ir jāievēro šī prasība, jo tiem jau bija izveidota revīzijas komiteja.</w:t>
      </w:r>
      <w:r>
        <w:rPr>
          <w:rFonts w:ascii="Times New Roman" w:hAnsi="Times New Roman"/>
          <w:sz w:val="24"/>
          <w:szCs w:val="24"/>
        </w:rPr>
        <w:t xml:space="preserve"> Ja zvērinātam revidentam jāsniedz šāds ziņojums par 2016.pārskata gadu, tad jāņem vērā, ka saskaņā ar normatīvo aktu prasībām </w:t>
      </w:r>
      <w:r w:rsidR="00F27CB0">
        <w:rPr>
          <w:rFonts w:ascii="Times New Roman" w:hAnsi="Times New Roman"/>
          <w:sz w:val="24"/>
          <w:szCs w:val="24"/>
        </w:rPr>
        <w:t>sabiedriskas nozīmes struktūrām</w:t>
      </w:r>
      <w:r w:rsidR="00F27CB0">
        <w:rPr>
          <w:rFonts w:ascii="Times New Roman" w:hAnsi="Times New Roman"/>
          <w:sz w:val="24"/>
          <w:szCs w:val="24"/>
        </w:rPr>
        <w:t xml:space="preserve">, kas ir finanšu iestādes, </w:t>
      </w:r>
      <w:r>
        <w:rPr>
          <w:rFonts w:ascii="Times New Roman" w:hAnsi="Times New Roman"/>
          <w:sz w:val="24"/>
          <w:szCs w:val="24"/>
        </w:rPr>
        <w:t>revīzijas komitejas vēl tikai var būs izveidošanas stadij</w:t>
      </w:r>
      <w:r w:rsidR="00B8716D">
        <w:rPr>
          <w:rFonts w:ascii="Times New Roman" w:hAnsi="Times New Roman"/>
          <w:sz w:val="24"/>
          <w:szCs w:val="24"/>
        </w:rPr>
        <w:t xml:space="preserve">ā, tas ir, </w:t>
      </w:r>
      <w:r w:rsidR="000213D6">
        <w:rPr>
          <w:rFonts w:ascii="Times New Roman" w:hAnsi="Times New Roman"/>
          <w:sz w:val="24"/>
          <w:szCs w:val="24"/>
        </w:rPr>
        <w:t xml:space="preserve">lēmumam par </w:t>
      </w:r>
      <w:r w:rsidR="00B8716D">
        <w:rPr>
          <w:rFonts w:ascii="Times New Roman" w:hAnsi="Times New Roman"/>
          <w:sz w:val="24"/>
          <w:szCs w:val="24"/>
        </w:rPr>
        <w:t>revīzijas kom</w:t>
      </w:r>
      <w:r w:rsidR="000213D6">
        <w:rPr>
          <w:rFonts w:ascii="Times New Roman" w:hAnsi="Times New Roman"/>
          <w:sz w:val="24"/>
          <w:szCs w:val="24"/>
        </w:rPr>
        <w:t>itejas izveidošanu</w:t>
      </w:r>
      <w:r w:rsidR="00B8716D">
        <w:rPr>
          <w:rFonts w:ascii="Times New Roman" w:hAnsi="Times New Roman"/>
          <w:sz w:val="24"/>
          <w:szCs w:val="24"/>
        </w:rPr>
        <w:t xml:space="preserve"> jābūt </w:t>
      </w:r>
      <w:r w:rsidR="000213D6">
        <w:rPr>
          <w:rFonts w:ascii="Times New Roman" w:hAnsi="Times New Roman"/>
          <w:sz w:val="24"/>
          <w:szCs w:val="24"/>
        </w:rPr>
        <w:t>pieņemtam</w:t>
      </w:r>
      <w:r w:rsidR="00B8716D">
        <w:rPr>
          <w:rFonts w:ascii="Times New Roman" w:hAnsi="Times New Roman"/>
          <w:sz w:val="24"/>
          <w:szCs w:val="24"/>
        </w:rPr>
        <w:t xml:space="preserve"> ne ātrāk kā tuvākajā akcionāru sapulcē.</w:t>
      </w:r>
      <w:r w:rsidR="00673AC3">
        <w:rPr>
          <w:rFonts w:ascii="Times New Roman" w:hAnsi="Times New Roman"/>
          <w:sz w:val="24"/>
          <w:szCs w:val="24"/>
        </w:rPr>
        <w:t xml:space="preserve"> Visticamāk, ka tas varētu notikt sapulcē, kur apstiprinās gada pārskatu.</w:t>
      </w:r>
    </w:p>
    <w:p w:rsidR="001716DC" w:rsidRDefault="001716DC" w:rsidP="00E468A1">
      <w:pPr>
        <w:spacing w:after="0" w:line="240" w:lineRule="auto"/>
        <w:jc w:val="both"/>
        <w:rPr>
          <w:rFonts w:ascii="Times New Roman" w:hAnsi="Times New Roman"/>
          <w:sz w:val="24"/>
          <w:szCs w:val="24"/>
        </w:rPr>
      </w:pPr>
    </w:p>
    <w:p w:rsidR="00926F7C" w:rsidRPr="00C54BC5" w:rsidRDefault="00926F7C" w:rsidP="00E468A1">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D.Šodnaka</w:t>
      </w:r>
      <w:proofErr w:type="spellEnd"/>
      <w:r>
        <w:rPr>
          <w:rFonts w:ascii="Times New Roman" w:hAnsi="Times New Roman"/>
          <w:sz w:val="24"/>
          <w:szCs w:val="24"/>
        </w:rPr>
        <w:t xml:space="preserve"> norāda, ka šādu papildu ziņojumu zvērināts revidents var iesniegt arī akcionāru sapulcei</w:t>
      </w:r>
      <w:r w:rsidR="00DD4807">
        <w:rPr>
          <w:rFonts w:ascii="Times New Roman" w:hAnsi="Times New Roman"/>
          <w:sz w:val="24"/>
          <w:szCs w:val="24"/>
        </w:rPr>
        <w:t xml:space="preserve"> vai padomei, jo revīzijas komiteja ir padomes funkciju izpildītāja, un arī regula noteic, ka uzņēmumā var būt revīzijas komitejai līdzvērtīga struktūra, un ja vēl nav izveidota revīzijas komiteja, tad līdzvērtīga struktūra ir tikai padome</w:t>
      </w:r>
      <w:r w:rsidR="00734F2D">
        <w:rPr>
          <w:rFonts w:ascii="Times New Roman" w:hAnsi="Times New Roman"/>
          <w:sz w:val="24"/>
          <w:szCs w:val="24"/>
        </w:rPr>
        <w:t xml:space="preserve"> (ja tāda ir izveidota)</w:t>
      </w:r>
      <w:r w:rsidR="00DD4807">
        <w:rPr>
          <w:rFonts w:ascii="Times New Roman" w:hAnsi="Times New Roman"/>
          <w:sz w:val="24"/>
          <w:szCs w:val="24"/>
        </w:rPr>
        <w:t>.</w:t>
      </w:r>
      <w:r w:rsidR="00BE475B">
        <w:rPr>
          <w:rFonts w:ascii="Times New Roman" w:hAnsi="Times New Roman"/>
          <w:sz w:val="24"/>
          <w:szCs w:val="24"/>
        </w:rPr>
        <w:t xml:space="preserve"> Padome saskaņā ar Komercliku</w:t>
      </w:r>
      <w:r w:rsidR="00734F2D">
        <w:rPr>
          <w:rFonts w:ascii="Times New Roman" w:hAnsi="Times New Roman"/>
          <w:sz w:val="24"/>
          <w:szCs w:val="24"/>
        </w:rPr>
        <w:t>mu ir atbildīga par valdes darba pārraudzību</w:t>
      </w:r>
      <w:r w:rsidR="00BE475B">
        <w:rPr>
          <w:rFonts w:ascii="Times New Roman" w:hAnsi="Times New Roman"/>
          <w:sz w:val="24"/>
          <w:szCs w:val="24"/>
        </w:rPr>
        <w:t>.</w:t>
      </w:r>
    </w:p>
    <w:p w:rsidR="001716DC" w:rsidRDefault="001716DC" w:rsidP="00E468A1">
      <w:pPr>
        <w:spacing w:after="0" w:line="240" w:lineRule="auto"/>
        <w:jc w:val="both"/>
        <w:rPr>
          <w:rFonts w:ascii="Times New Roman" w:hAnsi="Times New Roman"/>
          <w:b/>
          <w:sz w:val="24"/>
          <w:szCs w:val="24"/>
        </w:rPr>
      </w:pPr>
    </w:p>
    <w:p w:rsidR="001716DC" w:rsidRDefault="00BE475B" w:rsidP="00BE475B">
      <w:pPr>
        <w:spacing w:after="0" w:line="240" w:lineRule="auto"/>
        <w:ind w:firstLine="720"/>
        <w:jc w:val="both"/>
        <w:rPr>
          <w:rFonts w:ascii="Times New Roman" w:hAnsi="Times New Roman"/>
          <w:sz w:val="24"/>
          <w:szCs w:val="24"/>
        </w:rPr>
      </w:pPr>
      <w:r w:rsidRPr="00114971">
        <w:rPr>
          <w:rFonts w:ascii="Times New Roman" w:hAnsi="Times New Roman"/>
          <w:sz w:val="24"/>
          <w:szCs w:val="24"/>
        </w:rPr>
        <w:t>Revīzijas konsultatīvās padomes locekļi</w:t>
      </w:r>
      <w:r>
        <w:rPr>
          <w:rFonts w:ascii="Times New Roman" w:hAnsi="Times New Roman"/>
          <w:sz w:val="24"/>
          <w:szCs w:val="24"/>
        </w:rPr>
        <w:t xml:space="preserve"> diskutē arī par LZRA izstrādātajām zvērinātu revidentu ziņojumu formām.</w:t>
      </w:r>
    </w:p>
    <w:p w:rsidR="00BE475B" w:rsidRDefault="00BE475B" w:rsidP="00BE475B">
      <w:pPr>
        <w:spacing w:after="0" w:line="240" w:lineRule="auto"/>
        <w:ind w:firstLine="720"/>
        <w:jc w:val="both"/>
        <w:rPr>
          <w:rFonts w:ascii="Times New Roman" w:hAnsi="Times New Roman"/>
          <w:sz w:val="24"/>
          <w:szCs w:val="24"/>
        </w:rPr>
      </w:pPr>
    </w:p>
    <w:p w:rsidR="00BE475B" w:rsidRDefault="00BE475B" w:rsidP="00BE475B">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A.Ponomarjovs</w:t>
      </w:r>
      <w:proofErr w:type="spellEnd"/>
      <w:r>
        <w:rPr>
          <w:rFonts w:ascii="Times New Roman" w:hAnsi="Times New Roman"/>
          <w:sz w:val="24"/>
          <w:szCs w:val="24"/>
        </w:rPr>
        <w:t xml:space="preserve"> </w:t>
      </w:r>
      <w:r w:rsidR="00796DFD">
        <w:rPr>
          <w:rFonts w:ascii="Times New Roman" w:hAnsi="Times New Roman"/>
          <w:sz w:val="24"/>
          <w:szCs w:val="24"/>
        </w:rPr>
        <w:t xml:space="preserve">norāda, ka ziņojuma formā, kas tiek sniegts par pārskatiem, kuri ir sagatavoti saskaņā ar Starptautiskajiem finanšu pārskatu standartiem, kuri ir apstiprināti Eiropas Savienībā, ir viena neprecizitāte, kur runa ir par finanšu pārskatu apjomu. Kļūda ir rindā par pielikumu, un tieši formulējumā kā tas ir LZRA izstrādātajā ziņojuma formā, tas ir, “Pielikumu, kas ietver nozīmīgu grāmatvedības </w:t>
      </w:r>
      <w:r w:rsidR="002F4128">
        <w:rPr>
          <w:rFonts w:ascii="Times New Roman" w:hAnsi="Times New Roman"/>
          <w:sz w:val="24"/>
          <w:szCs w:val="24"/>
        </w:rPr>
        <w:t xml:space="preserve">uzskaites </w:t>
      </w:r>
      <w:r w:rsidR="00796DFD">
        <w:rPr>
          <w:rFonts w:ascii="Times New Roman" w:hAnsi="Times New Roman"/>
          <w:sz w:val="24"/>
          <w:szCs w:val="24"/>
        </w:rPr>
        <w:t>principu kopsavilkumu”. 2016.gadā ir jau stājušies spēkā jaunie Starptautisk</w:t>
      </w:r>
      <w:r w:rsidR="002F4128">
        <w:rPr>
          <w:rFonts w:ascii="Times New Roman" w:hAnsi="Times New Roman"/>
          <w:sz w:val="24"/>
          <w:szCs w:val="24"/>
        </w:rPr>
        <w:t>ie</w:t>
      </w:r>
      <w:r w:rsidR="00796DFD">
        <w:rPr>
          <w:rFonts w:ascii="Times New Roman" w:hAnsi="Times New Roman"/>
          <w:sz w:val="24"/>
          <w:szCs w:val="24"/>
        </w:rPr>
        <w:t xml:space="preserve"> finanšu pārskatu standarti, kuros tiek lietots cits formulējums – </w:t>
      </w:r>
      <w:r w:rsidR="002F4128">
        <w:rPr>
          <w:rFonts w:ascii="Times New Roman" w:hAnsi="Times New Roman"/>
          <w:sz w:val="24"/>
          <w:szCs w:val="24"/>
        </w:rPr>
        <w:t>“P</w:t>
      </w:r>
      <w:r w:rsidR="00796DFD">
        <w:rPr>
          <w:rFonts w:ascii="Times New Roman" w:hAnsi="Times New Roman"/>
          <w:sz w:val="24"/>
          <w:szCs w:val="24"/>
        </w:rPr>
        <w:t xml:space="preserve">ielikums ar būtiskāko grāmatvedības </w:t>
      </w:r>
      <w:r w:rsidR="002F4128">
        <w:rPr>
          <w:rFonts w:ascii="Times New Roman" w:hAnsi="Times New Roman"/>
          <w:sz w:val="24"/>
          <w:szCs w:val="24"/>
        </w:rPr>
        <w:t>politiku</w:t>
      </w:r>
      <w:r w:rsidR="00796DFD">
        <w:rPr>
          <w:rFonts w:ascii="Times New Roman" w:hAnsi="Times New Roman"/>
          <w:sz w:val="24"/>
          <w:szCs w:val="24"/>
        </w:rPr>
        <w:t xml:space="preserve"> aprakstu</w:t>
      </w:r>
      <w:r w:rsidR="002F4128">
        <w:rPr>
          <w:rFonts w:ascii="Times New Roman" w:hAnsi="Times New Roman"/>
          <w:sz w:val="24"/>
          <w:szCs w:val="24"/>
        </w:rPr>
        <w:t xml:space="preserve"> un citu paskaidrojošu informāciju”</w:t>
      </w:r>
      <w:r w:rsidR="00796DFD">
        <w:rPr>
          <w:rFonts w:ascii="Times New Roman" w:hAnsi="Times New Roman"/>
          <w:sz w:val="24"/>
          <w:szCs w:val="24"/>
        </w:rPr>
        <w:t>. Nav runa par kopsavilkumu.</w:t>
      </w:r>
      <w:r w:rsidR="002F4128">
        <w:rPr>
          <w:rFonts w:ascii="Times New Roman" w:hAnsi="Times New Roman"/>
          <w:sz w:val="24"/>
          <w:szCs w:val="24"/>
        </w:rPr>
        <w:t xml:space="preserve"> </w:t>
      </w:r>
      <w:r w:rsidR="00C7293E">
        <w:rPr>
          <w:rFonts w:ascii="Times New Roman" w:hAnsi="Times New Roman"/>
          <w:sz w:val="24"/>
          <w:szCs w:val="24"/>
        </w:rPr>
        <w:t>Tulkojums ir iestrādāts arī 700. standarta tulkojumā. Un jau 2016.gadā stājās spēkā jaunā terminoloģija, tajā skaitā, arī attiecībā uz pielikuma nosaukumu. Līdz ar to pēc iespējas ātrāk būtu jāinformē par minēto neprecizitāti LZRA, lai tā tiktu izlabota.</w:t>
      </w:r>
    </w:p>
    <w:p w:rsidR="00FD39A8" w:rsidRDefault="00FD39A8" w:rsidP="00FD39A8">
      <w:pPr>
        <w:spacing w:after="0" w:line="240" w:lineRule="auto"/>
        <w:jc w:val="both"/>
        <w:rPr>
          <w:rFonts w:ascii="Times New Roman" w:hAnsi="Times New Roman"/>
          <w:sz w:val="24"/>
          <w:szCs w:val="24"/>
        </w:rPr>
      </w:pPr>
      <w:r>
        <w:rPr>
          <w:rFonts w:ascii="Times New Roman" w:hAnsi="Times New Roman"/>
          <w:sz w:val="24"/>
          <w:szCs w:val="24"/>
        </w:rPr>
        <w:t xml:space="preserve">Tāpat arī būtu lietderīgi informēt par šādiem </w:t>
      </w:r>
      <w:r w:rsidR="003B6AED">
        <w:rPr>
          <w:rFonts w:ascii="Times New Roman" w:hAnsi="Times New Roman"/>
          <w:sz w:val="24"/>
          <w:szCs w:val="24"/>
        </w:rPr>
        <w:t>būtiskiem un visaptverošiem</w:t>
      </w:r>
      <w:r>
        <w:rPr>
          <w:rFonts w:ascii="Times New Roman" w:hAnsi="Times New Roman"/>
          <w:sz w:val="24"/>
          <w:szCs w:val="24"/>
        </w:rPr>
        <w:t xml:space="preserve"> standartu grozījumiem augstskolu pasniedzējus.</w:t>
      </w:r>
    </w:p>
    <w:p w:rsidR="00FD39A8" w:rsidRDefault="00FD39A8" w:rsidP="00FD39A8">
      <w:pPr>
        <w:spacing w:after="0" w:line="240" w:lineRule="auto"/>
        <w:jc w:val="both"/>
        <w:rPr>
          <w:rFonts w:ascii="Times New Roman" w:hAnsi="Times New Roman"/>
          <w:sz w:val="24"/>
          <w:szCs w:val="24"/>
        </w:rPr>
      </w:pPr>
    </w:p>
    <w:p w:rsidR="00FD39A8" w:rsidRDefault="00FD39A8" w:rsidP="00FD39A8">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T.Volkova</w:t>
      </w:r>
      <w:proofErr w:type="spellEnd"/>
      <w:r>
        <w:rPr>
          <w:rFonts w:ascii="Times New Roman" w:hAnsi="Times New Roman"/>
          <w:sz w:val="24"/>
          <w:szCs w:val="24"/>
        </w:rPr>
        <w:t xml:space="preserve"> norāda, ka vislabāk to izdarīt varētu, kontaktējoties ar katedru vadītājiem, un novadot pasniedzējiem attiecīgu semināru.</w:t>
      </w:r>
    </w:p>
    <w:p w:rsidR="00BE475B" w:rsidRDefault="00BE475B" w:rsidP="00BE475B">
      <w:pPr>
        <w:spacing w:after="0" w:line="240" w:lineRule="auto"/>
        <w:ind w:firstLine="720"/>
        <w:jc w:val="both"/>
        <w:rPr>
          <w:rFonts w:ascii="Times New Roman" w:hAnsi="Times New Roman"/>
          <w:sz w:val="24"/>
          <w:szCs w:val="24"/>
        </w:rPr>
      </w:pPr>
    </w:p>
    <w:p w:rsidR="00FD39A8" w:rsidRDefault="00FD39A8" w:rsidP="00BE475B">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A.Ponomarjovs</w:t>
      </w:r>
      <w:proofErr w:type="spellEnd"/>
      <w:r>
        <w:rPr>
          <w:rFonts w:ascii="Times New Roman" w:hAnsi="Times New Roman"/>
          <w:sz w:val="24"/>
          <w:szCs w:val="24"/>
        </w:rPr>
        <w:t xml:space="preserve"> informē, ka standartu latviešu valodas tulkojuma autortiesības pieder LZRA, bet angļu valodas – IFAC. Līdz ar to būtu nepieciešams augstskolām griezties pie LZRA vēstules veidā un lūgt atsūtīt šos standartu</w:t>
      </w:r>
      <w:r w:rsidR="003B6AED">
        <w:rPr>
          <w:rFonts w:ascii="Times New Roman" w:hAnsi="Times New Roman"/>
          <w:sz w:val="24"/>
          <w:szCs w:val="24"/>
        </w:rPr>
        <w:t xml:space="preserve"> latviešu valodas tulkojumu</w:t>
      </w:r>
      <w:r>
        <w:rPr>
          <w:rFonts w:ascii="Times New Roman" w:hAnsi="Times New Roman"/>
          <w:sz w:val="24"/>
          <w:szCs w:val="24"/>
        </w:rPr>
        <w:t xml:space="preserve"> mācību nolūkiem. Standartu izmantošana būtu bezmaksas, ja no LZRA tiktu saņemta šāda atļauja.</w:t>
      </w:r>
    </w:p>
    <w:p w:rsidR="00BE475B" w:rsidRDefault="00BE475B" w:rsidP="00BE475B">
      <w:pPr>
        <w:spacing w:after="0" w:line="240" w:lineRule="auto"/>
        <w:ind w:firstLine="720"/>
        <w:jc w:val="both"/>
        <w:rPr>
          <w:rFonts w:ascii="Times New Roman" w:hAnsi="Times New Roman"/>
          <w:b/>
          <w:sz w:val="24"/>
          <w:szCs w:val="24"/>
        </w:rPr>
      </w:pPr>
    </w:p>
    <w:p w:rsidR="00FD39A8" w:rsidRPr="003B6AED" w:rsidRDefault="003B6AED" w:rsidP="00BE475B">
      <w:pPr>
        <w:spacing w:after="0" w:line="240" w:lineRule="auto"/>
        <w:ind w:firstLine="720"/>
        <w:jc w:val="both"/>
        <w:rPr>
          <w:rFonts w:ascii="Times New Roman" w:hAnsi="Times New Roman"/>
          <w:sz w:val="24"/>
          <w:szCs w:val="24"/>
        </w:rPr>
      </w:pPr>
      <w:proofErr w:type="spellStart"/>
      <w:r w:rsidRPr="003B6AED">
        <w:rPr>
          <w:rFonts w:ascii="Times New Roman" w:hAnsi="Times New Roman"/>
          <w:sz w:val="24"/>
          <w:szCs w:val="24"/>
        </w:rPr>
        <w:t>T.Vo</w:t>
      </w:r>
      <w:r>
        <w:rPr>
          <w:rFonts w:ascii="Times New Roman" w:hAnsi="Times New Roman"/>
          <w:sz w:val="24"/>
          <w:szCs w:val="24"/>
        </w:rPr>
        <w:t>lk</w:t>
      </w:r>
      <w:r w:rsidRPr="003B6AED">
        <w:rPr>
          <w:rFonts w:ascii="Times New Roman" w:hAnsi="Times New Roman"/>
          <w:sz w:val="24"/>
          <w:szCs w:val="24"/>
        </w:rPr>
        <w:t>ova</w:t>
      </w:r>
      <w:proofErr w:type="spellEnd"/>
      <w:r w:rsidRPr="003B6AED">
        <w:rPr>
          <w:rFonts w:ascii="Times New Roman" w:hAnsi="Times New Roman"/>
          <w:sz w:val="24"/>
          <w:szCs w:val="24"/>
        </w:rPr>
        <w:t xml:space="preserve"> apņemas </w:t>
      </w:r>
      <w:r>
        <w:rPr>
          <w:rFonts w:ascii="Times New Roman" w:hAnsi="Times New Roman"/>
          <w:sz w:val="24"/>
          <w:szCs w:val="24"/>
        </w:rPr>
        <w:t xml:space="preserve">iesaistīties </w:t>
      </w:r>
      <w:r w:rsidRPr="003B6AED">
        <w:rPr>
          <w:rFonts w:ascii="Times New Roman" w:hAnsi="Times New Roman"/>
          <w:sz w:val="24"/>
          <w:szCs w:val="24"/>
        </w:rPr>
        <w:t>no</w:t>
      </w:r>
      <w:r>
        <w:rPr>
          <w:rFonts w:ascii="Times New Roman" w:hAnsi="Times New Roman"/>
          <w:sz w:val="24"/>
          <w:szCs w:val="24"/>
        </w:rPr>
        <w:t xml:space="preserve">organizēt rīcību </w:t>
      </w:r>
      <w:r w:rsidRPr="003B6AED">
        <w:rPr>
          <w:rFonts w:ascii="Times New Roman" w:hAnsi="Times New Roman"/>
          <w:sz w:val="24"/>
          <w:szCs w:val="24"/>
        </w:rPr>
        <w:t>no augstskolu puses.</w:t>
      </w:r>
    </w:p>
    <w:p w:rsidR="00FD39A8" w:rsidRDefault="00FD39A8" w:rsidP="00BE475B">
      <w:pPr>
        <w:spacing w:after="0" w:line="240" w:lineRule="auto"/>
        <w:ind w:firstLine="720"/>
        <w:jc w:val="both"/>
        <w:rPr>
          <w:rFonts w:ascii="Times New Roman" w:hAnsi="Times New Roman"/>
          <w:b/>
          <w:sz w:val="24"/>
          <w:szCs w:val="24"/>
        </w:rPr>
      </w:pPr>
    </w:p>
    <w:p w:rsidR="007867DD" w:rsidRPr="00135CE2" w:rsidRDefault="003B6AED" w:rsidP="00E468A1">
      <w:pPr>
        <w:spacing w:after="0" w:line="240" w:lineRule="auto"/>
        <w:jc w:val="both"/>
        <w:rPr>
          <w:rFonts w:ascii="Times New Roman" w:hAnsi="Times New Roman"/>
          <w:sz w:val="24"/>
          <w:szCs w:val="24"/>
        </w:rPr>
      </w:pPr>
      <w:r>
        <w:rPr>
          <w:rFonts w:ascii="Times New Roman" w:hAnsi="Times New Roman"/>
          <w:b/>
          <w:sz w:val="24"/>
          <w:szCs w:val="24"/>
        </w:rPr>
        <w:tab/>
      </w:r>
      <w:proofErr w:type="spellStart"/>
      <w:r w:rsidRPr="003B6AED">
        <w:rPr>
          <w:rFonts w:ascii="Times New Roman" w:hAnsi="Times New Roman"/>
          <w:sz w:val="24"/>
          <w:szCs w:val="24"/>
        </w:rPr>
        <w:t>D.Šodnaka</w:t>
      </w:r>
      <w:proofErr w:type="spellEnd"/>
      <w:r w:rsidRPr="003B6AED">
        <w:rPr>
          <w:rFonts w:ascii="Times New Roman" w:hAnsi="Times New Roman"/>
          <w:sz w:val="24"/>
          <w:szCs w:val="24"/>
        </w:rPr>
        <w:t xml:space="preserve"> </w:t>
      </w:r>
      <w:r>
        <w:rPr>
          <w:rFonts w:ascii="Times New Roman" w:hAnsi="Times New Roman"/>
          <w:sz w:val="24"/>
          <w:szCs w:val="24"/>
        </w:rPr>
        <w:t xml:space="preserve">norāda, ka LZRA sagatavoto revidentu ziņojumu paraugos sadaļā revidenta atbildība arī ir nepieciešams precizējums. Pašlaik ir norādīts, ka </w:t>
      </w:r>
      <w:r w:rsidR="00D33C50">
        <w:rPr>
          <w:rFonts w:ascii="Times New Roman" w:hAnsi="Times New Roman"/>
          <w:sz w:val="24"/>
          <w:szCs w:val="24"/>
        </w:rPr>
        <w:t xml:space="preserve">zvērināts </w:t>
      </w:r>
      <w:r>
        <w:rPr>
          <w:rFonts w:ascii="Times New Roman" w:hAnsi="Times New Roman"/>
          <w:sz w:val="24"/>
          <w:szCs w:val="24"/>
        </w:rPr>
        <w:t>revidents veic revīziju saskaņā ar Starptautiskajiem revīzijas standartiem. Tomēr Revīzijas pakalpojumu likums noteic, ka revīzijas pakalpojumus zvērināts revidents sniedz atbilstoši šim likumam un ievērojot Latvijā atzīto starptautisko revīzija standartu prasības, profesionālās ētikas normas. Līdz ar to attiecīgi ir jāprecizē ziņojuma formas un jālieto arī atbilstoša terminoloģija, norādot -</w:t>
      </w:r>
      <w:r w:rsidRPr="003B6AED">
        <w:rPr>
          <w:rFonts w:ascii="Times New Roman" w:hAnsi="Times New Roman"/>
          <w:sz w:val="24"/>
          <w:szCs w:val="24"/>
        </w:rPr>
        <w:t xml:space="preserve"> </w:t>
      </w:r>
      <w:r>
        <w:rPr>
          <w:rFonts w:ascii="Times New Roman" w:hAnsi="Times New Roman"/>
          <w:sz w:val="24"/>
          <w:szCs w:val="24"/>
        </w:rPr>
        <w:t xml:space="preserve">Latvijā atzīto starptautisko revīzija standartu prasības. Primāri tas ir Revīzijas pakalpojumu likums, kurš atļauj revīziju veikt saskaņā ar </w:t>
      </w:r>
      <w:r w:rsidR="00FA1683">
        <w:rPr>
          <w:rFonts w:ascii="Times New Roman" w:hAnsi="Times New Roman"/>
          <w:sz w:val="24"/>
          <w:szCs w:val="24"/>
        </w:rPr>
        <w:t>Latvijā atzītajiem s</w:t>
      </w:r>
      <w:r>
        <w:rPr>
          <w:rFonts w:ascii="Times New Roman" w:hAnsi="Times New Roman"/>
          <w:sz w:val="24"/>
          <w:szCs w:val="24"/>
        </w:rPr>
        <w:t xml:space="preserve">tarptautiskajiem revīzija standartiem, tāpēc šai atsaucei uz likumu obligāti ir jābūt. </w:t>
      </w:r>
      <w:r w:rsidR="00135CE2" w:rsidRPr="00135CE2">
        <w:rPr>
          <w:rFonts w:ascii="Times New Roman" w:hAnsi="Times New Roman"/>
          <w:sz w:val="24"/>
          <w:szCs w:val="24"/>
        </w:rPr>
        <w:t>Ja klients ir</w:t>
      </w:r>
      <w:r w:rsidRPr="00135CE2">
        <w:rPr>
          <w:rFonts w:ascii="Times New Roman" w:hAnsi="Times New Roman"/>
          <w:sz w:val="24"/>
          <w:szCs w:val="24"/>
        </w:rPr>
        <w:t xml:space="preserve"> </w:t>
      </w:r>
      <w:r w:rsidR="00135CE2" w:rsidRPr="00135CE2">
        <w:rPr>
          <w:rFonts w:ascii="Times New Roman" w:hAnsi="Times New Roman"/>
          <w:sz w:val="24"/>
          <w:szCs w:val="24"/>
        </w:rPr>
        <w:t>valsts vai pašvaldības institūcija, tad zvērināts revidents un zvērinātu revidentu komercsabiedrība revīzijas pakalpojumus sniedz atbilstoši normatīvo aktu prasībām, ievērojot Valsts kontroles kā grupas revidenta norādījumus, kā arī Latvijā atzītos starptautiskos publiskā sektora revīzijas standartus.</w:t>
      </w:r>
      <w:r w:rsidR="00135CE2">
        <w:rPr>
          <w:rFonts w:ascii="Times New Roman" w:hAnsi="Times New Roman"/>
          <w:sz w:val="24"/>
          <w:szCs w:val="24"/>
        </w:rPr>
        <w:t xml:space="preserve"> Ja Finanšu ministrija savās </w:t>
      </w:r>
      <w:r w:rsidR="00F511DA">
        <w:rPr>
          <w:rFonts w:ascii="Times New Roman" w:hAnsi="Times New Roman"/>
          <w:sz w:val="24"/>
          <w:szCs w:val="24"/>
        </w:rPr>
        <w:t xml:space="preserve">revīzijas pakalpojumu kvalitātes kontroles prasību ievērošanas pārbaudēs </w:t>
      </w:r>
      <w:r w:rsidR="00135CE2">
        <w:rPr>
          <w:rFonts w:ascii="Times New Roman" w:hAnsi="Times New Roman"/>
          <w:sz w:val="24"/>
          <w:szCs w:val="24"/>
        </w:rPr>
        <w:t xml:space="preserve">(inspekcijās) </w:t>
      </w:r>
      <w:r w:rsidR="00F511DA">
        <w:rPr>
          <w:rFonts w:ascii="Times New Roman" w:hAnsi="Times New Roman"/>
          <w:sz w:val="24"/>
          <w:szCs w:val="24"/>
        </w:rPr>
        <w:t xml:space="preserve">konstatēs šīs </w:t>
      </w:r>
      <w:r w:rsidR="00FA1683">
        <w:rPr>
          <w:rFonts w:ascii="Times New Roman" w:hAnsi="Times New Roman"/>
          <w:sz w:val="24"/>
          <w:szCs w:val="24"/>
        </w:rPr>
        <w:t>nepilnības zvērinātu revidentu ziņojumos, tad tā</w:t>
      </w:r>
      <w:r w:rsidR="00F511DA">
        <w:rPr>
          <w:rFonts w:ascii="Times New Roman" w:hAnsi="Times New Roman"/>
          <w:sz w:val="24"/>
          <w:szCs w:val="24"/>
        </w:rPr>
        <w:t>s tiks uzskatīt</w:t>
      </w:r>
      <w:r w:rsidR="00FA1683">
        <w:rPr>
          <w:rFonts w:ascii="Times New Roman" w:hAnsi="Times New Roman"/>
          <w:sz w:val="24"/>
          <w:szCs w:val="24"/>
        </w:rPr>
        <w:t>a</w:t>
      </w:r>
      <w:r w:rsidR="00F511DA">
        <w:rPr>
          <w:rFonts w:ascii="Times New Roman" w:hAnsi="Times New Roman"/>
          <w:sz w:val="24"/>
          <w:szCs w:val="24"/>
        </w:rPr>
        <w:t xml:space="preserve">s par </w:t>
      </w:r>
      <w:r w:rsidR="00FA1683">
        <w:rPr>
          <w:rFonts w:ascii="Times New Roman" w:hAnsi="Times New Roman"/>
          <w:sz w:val="24"/>
          <w:szCs w:val="24"/>
        </w:rPr>
        <w:t>neatbilstībām</w:t>
      </w:r>
      <w:r w:rsidR="00F511DA">
        <w:rPr>
          <w:rFonts w:ascii="Times New Roman" w:hAnsi="Times New Roman"/>
          <w:sz w:val="24"/>
          <w:szCs w:val="24"/>
        </w:rPr>
        <w:t>.</w:t>
      </w:r>
      <w:r w:rsidR="00F01DD7">
        <w:rPr>
          <w:rFonts w:ascii="Times New Roman" w:hAnsi="Times New Roman"/>
          <w:sz w:val="24"/>
          <w:szCs w:val="24"/>
        </w:rPr>
        <w:t xml:space="preserve"> Revidenta ziņojumam jābūt pareizi noformētam, jo tas ir pieejams sabiedrībai.</w:t>
      </w:r>
    </w:p>
    <w:p w:rsidR="005C0BE1" w:rsidRPr="00942399" w:rsidRDefault="005C0BE1" w:rsidP="007414AF">
      <w:pPr>
        <w:spacing w:after="0" w:line="240" w:lineRule="auto"/>
        <w:jc w:val="both"/>
        <w:rPr>
          <w:rFonts w:ascii="Times New Roman" w:hAnsi="Times New Roman"/>
          <w:b/>
          <w:sz w:val="8"/>
          <w:szCs w:val="24"/>
        </w:rPr>
      </w:pPr>
    </w:p>
    <w:p w:rsidR="005C0BE1" w:rsidRPr="007867DD" w:rsidRDefault="005C0BE1" w:rsidP="007414AF">
      <w:pPr>
        <w:spacing w:after="0" w:line="240" w:lineRule="auto"/>
        <w:jc w:val="center"/>
        <w:rPr>
          <w:rFonts w:ascii="Times New Roman" w:hAnsi="Times New Roman"/>
          <w:b/>
          <w:sz w:val="24"/>
          <w:szCs w:val="24"/>
        </w:rPr>
      </w:pPr>
      <w:r>
        <w:rPr>
          <w:rFonts w:ascii="Times New Roman" w:hAnsi="Times New Roman"/>
          <w:b/>
          <w:sz w:val="24"/>
          <w:szCs w:val="24"/>
        </w:rPr>
        <w:t>4</w:t>
      </w:r>
      <w:r w:rsidRPr="007867DD">
        <w:rPr>
          <w:rFonts w:ascii="Times New Roman" w:hAnsi="Times New Roman"/>
          <w:b/>
          <w:sz w:val="24"/>
          <w:szCs w:val="24"/>
        </w:rPr>
        <w:t>.</w:t>
      </w:r>
    </w:p>
    <w:p w:rsidR="005C0BE1" w:rsidRPr="005C0BE1" w:rsidRDefault="005C0BE1" w:rsidP="007414AF">
      <w:pPr>
        <w:spacing w:after="0" w:line="240" w:lineRule="auto"/>
        <w:jc w:val="center"/>
        <w:rPr>
          <w:rFonts w:ascii="Times New Roman" w:hAnsi="Times New Roman"/>
          <w:b/>
          <w:sz w:val="24"/>
          <w:szCs w:val="24"/>
        </w:rPr>
      </w:pPr>
      <w:r w:rsidRPr="005C0BE1">
        <w:rPr>
          <w:rFonts w:ascii="Times New Roman" w:hAnsi="Times New Roman"/>
          <w:b/>
          <w:sz w:val="24"/>
          <w:szCs w:val="24"/>
        </w:rPr>
        <w:t>Jauns profesionālās darbības regulējums pār zvērinātu revidentu un zvērinātu revidentu</w:t>
      </w:r>
    </w:p>
    <w:p w:rsidR="005C0BE1" w:rsidRPr="005C0BE1" w:rsidRDefault="005C0BE1" w:rsidP="007414AF">
      <w:pPr>
        <w:pBdr>
          <w:bottom w:val="single" w:sz="12" w:space="1" w:color="auto"/>
        </w:pBdr>
        <w:spacing w:after="0" w:line="240" w:lineRule="auto"/>
        <w:jc w:val="center"/>
        <w:rPr>
          <w:rFonts w:ascii="Times New Roman" w:hAnsi="Times New Roman"/>
          <w:b/>
          <w:sz w:val="24"/>
          <w:szCs w:val="24"/>
        </w:rPr>
      </w:pPr>
      <w:r w:rsidRPr="005C0BE1">
        <w:rPr>
          <w:rFonts w:ascii="Times New Roman" w:hAnsi="Times New Roman"/>
          <w:b/>
          <w:sz w:val="24"/>
          <w:szCs w:val="24"/>
        </w:rPr>
        <w:t>komercsabiedrību profesionālo darbu.</w:t>
      </w:r>
    </w:p>
    <w:p w:rsidR="005C0BE1" w:rsidRPr="005C0BE1" w:rsidRDefault="005C0BE1" w:rsidP="005C0BE1">
      <w:pPr>
        <w:spacing w:after="0" w:line="240" w:lineRule="auto"/>
        <w:jc w:val="center"/>
        <w:rPr>
          <w:rFonts w:ascii="Times New Roman" w:hAnsi="Times New Roman"/>
          <w:sz w:val="24"/>
          <w:szCs w:val="24"/>
        </w:rPr>
      </w:pPr>
    </w:p>
    <w:p w:rsidR="00E2177A" w:rsidRPr="00E2177A" w:rsidRDefault="0008399A" w:rsidP="00E468A1">
      <w:pPr>
        <w:spacing w:after="0" w:line="240" w:lineRule="auto"/>
        <w:jc w:val="both"/>
        <w:rPr>
          <w:rFonts w:ascii="Times New Roman" w:hAnsi="Times New Roman"/>
          <w:sz w:val="24"/>
          <w:szCs w:val="24"/>
        </w:rPr>
      </w:pPr>
      <w:r>
        <w:rPr>
          <w:rFonts w:ascii="Times New Roman" w:hAnsi="Times New Roman"/>
          <w:sz w:val="24"/>
          <w:szCs w:val="24"/>
        </w:rPr>
        <w:tab/>
      </w:r>
      <w:proofErr w:type="spellStart"/>
      <w:r w:rsidRPr="00E2177A">
        <w:rPr>
          <w:rFonts w:ascii="Times New Roman" w:hAnsi="Times New Roman"/>
          <w:sz w:val="24"/>
          <w:szCs w:val="24"/>
        </w:rPr>
        <w:t>D.Šodnaka</w:t>
      </w:r>
      <w:proofErr w:type="spellEnd"/>
      <w:r w:rsidRPr="00E2177A">
        <w:rPr>
          <w:rFonts w:ascii="Times New Roman" w:hAnsi="Times New Roman"/>
          <w:sz w:val="24"/>
          <w:szCs w:val="24"/>
        </w:rPr>
        <w:t xml:space="preserve"> informē, ka </w:t>
      </w:r>
      <w:r w:rsidR="00E2177A" w:rsidRPr="00E2177A">
        <w:rPr>
          <w:rFonts w:ascii="Times New Roman" w:hAnsi="Times New Roman"/>
          <w:sz w:val="24"/>
          <w:szCs w:val="24"/>
        </w:rPr>
        <w:t xml:space="preserve">saskaņā ar </w:t>
      </w:r>
      <w:r w:rsidR="00287578" w:rsidRPr="00E2177A">
        <w:rPr>
          <w:rFonts w:ascii="Times New Roman" w:hAnsi="Times New Roman"/>
          <w:sz w:val="24"/>
          <w:szCs w:val="24"/>
        </w:rPr>
        <w:t xml:space="preserve">Revīzijas pakalpojumu likuma </w:t>
      </w:r>
      <w:r w:rsidR="00E2177A" w:rsidRPr="00E2177A">
        <w:rPr>
          <w:rFonts w:ascii="Times New Roman" w:hAnsi="Times New Roman"/>
          <w:sz w:val="24"/>
          <w:szCs w:val="24"/>
        </w:rPr>
        <w:t>35.</w:t>
      </w:r>
      <w:r w:rsidR="00E2177A" w:rsidRPr="00E2177A">
        <w:rPr>
          <w:rFonts w:ascii="Times New Roman" w:hAnsi="Times New Roman"/>
          <w:sz w:val="24"/>
          <w:szCs w:val="24"/>
          <w:vertAlign w:val="superscript"/>
        </w:rPr>
        <w:t xml:space="preserve">1 </w:t>
      </w:r>
      <w:r w:rsidR="00E2177A" w:rsidRPr="00E2177A">
        <w:rPr>
          <w:rFonts w:ascii="Times New Roman" w:hAnsi="Times New Roman"/>
          <w:sz w:val="24"/>
          <w:szCs w:val="24"/>
        </w:rPr>
        <w:t xml:space="preserve">panta ceturto daļu </w:t>
      </w:r>
    </w:p>
    <w:p w:rsidR="002E1393" w:rsidRDefault="00E2177A" w:rsidP="00E468A1">
      <w:pPr>
        <w:spacing w:after="0" w:line="240" w:lineRule="auto"/>
        <w:jc w:val="both"/>
        <w:rPr>
          <w:rFonts w:ascii="Times New Roman" w:hAnsi="Times New Roman"/>
          <w:sz w:val="24"/>
          <w:szCs w:val="24"/>
        </w:rPr>
      </w:pPr>
      <w:r w:rsidRPr="00E2177A">
        <w:rPr>
          <w:rFonts w:ascii="Times New Roman" w:hAnsi="Times New Roman"/>
          <w:sz w:val="24"/>
          <w:szCs w:val="24"/>
        </w:rPr>
        <w:t>Finanšu ministrijas pilnvarots pārstāvis ne retāk kā reizi trijos gados pārbauda, kā revīzijas pakalpojumu kvalitātes kontroles prasības ievēro tās zvērinātu revidentu komercsabiedrības un zvērināti revidenti, kuri sniedz revīzijas pakalpojumus sabiedriskas nozīmes struktūrām, un sastāda šīs pārbaudes protokolu. Ministru kabinets nosaka revīzijas pakalpojumu kvalitātes kontroles prasību ievērošanas pārbaudes kārtību, pilnvaroto pārstāvju kvalifikācijas prasības, pārbaudes protokolā ietveramās ziņas, kā arī pārbaužu programmas saturu.</w:t>
      </w:r>
      <w:r>
        <w:rPr>
          <w:rFonts w:ascii="Times New Roman" w:hAnsi="Times New Roman"/>
          <w:sz w:val="24"/>
          <w:szCs w:val="24"/>
        </w:rPr>
        <w:t xml:space="preserve"> </w:t>
      </w:r>
    </w:p>
    <w:p w:rsidR="009A2E3B" w:rsidRPr="00E2177A" w:rsidRDefault="009A2E3B" w:rsidP="009A2E3B">
      <w:pPr>
        <w:spacing w:after="0" w:line="240" w:lineRule="auto"/>
        <w:jc w:val="both"/>
        <w:rPr>
          <w:rFonts w:ascii="Times New Roman" w:hAnsi="Times New Roman"/>
          <w:sz w:val="24"/>
          <w:szCs w:val="24"/>
        </w:rPr>
      </w:pPr>
      <w:r w:rsidRPr="009A2E3B">
        <w:rPr>
          <w:rFonts w:ascii="Times New Roman" w:hAnsi="Times New Roman"/>
          <w:sz w:val="24"/>
          <w:szCs w:val="24"/>
        </w:rPr>
        <w:tab/>
        <w:t>Līdz ar to Finanšu ministrija ir sagatavojusi Ministru kabineta noteikumu projektu “</w:t>
      </w:r>
      <w:r w:rsidRPr="009A2E3B">
        <w:rPr>
          <w:rFonts w:ascii="Times New Roman" w:hAnsi="Times New Roman"/>
          <w:bCs/>
          <w:sz w:val="24"/>
          <w:szCs w:val="24"/>
        </w:rPr>
        <w:t>Noteikumi par revīzijas pakalpojumu kvalitātes kontroles prasību ievērošanas pārbaudes kārtību, pilnvaroto pārstāvju kvalifikāciju, pārbaudes protokolā ietveramajām ziņām un  pārbaužu programmas saturu</w:t>
      </w:r>
      <w:r>
        <w:rPr>
          <w:rFonts w:ascii="Times New Roman" w:hAnsi="Times New Roman"/>
          <w:bCs/>
          <w:sz w:val="24"/>
          <w:szCs w:val="24"/>
        </w:rPr>
        <w:t xml:space="preserve">”, kurš tika nosūtīts saskaņošanai Tieslietu ministrijai un Latvijas Zvērinātu revidentu asociācijai. Uz šo brīdi ir jau saņemts Tieslietu ministrijas atzinums. </w:t>
      </w:r>
      <w:proofErr w:type="spellStart"/>
      <w:r w:rsidR="00D33C50">
        <w:rPr>
          <w:rFonts w:ascii="Times New Roman" w:hAnsi="Times New Roman"/>
          <w:bCs/>
          <w:sz w:val="24"/>
          <w:szCs w:val="24"/>
        </w:rPr>
        <w:t>D.Šodnaka</w:t>
      </w:r>
      <w:proofErr w:type="spellEnd"/>
      <w:r w:rsidR="00D33C50">
        <w:rPr>
          <w:rFonts w:ascii="Times New Roman" w:hAnsi="Times New Roman"/>
          <w:bCs/>
          <w:sz w:val="24"/>
          <w:szCs w:val="24"/>
        </w:rPr>
        <w:t xml:space="preserve"> īsumā iepazīstin</w:t>
      </w:r>
      <w:bookmarkStart w:id="0" w:name="_GoBack"/>
      <w:bookmarkEnd w:id="0"/>
      <w:r w:rsidR="00D33C50">
        <w:rPr>
          <w:rFonts w:ascii="Times New Roman" w:hAnsi="Times New Roman"/>
          <w:bCs/>
          <w:sz w:val="24"/>
          <w:szCs w:val="24"/>
        </w:rPr>
        <w:t>a klātesošos ar Ministru kabineta noteikumu saturu, tomēr vērš uzmanību, ka Ministru kabineta noteikumi šobrīd ir saskaņošanas procesā un līdz ar to Ministru kabineta noteikumu normas</w:t>
      </w:r>
      <w:r>
        <w:rPr>
          <w:rFonts w:ascii="Times New Roman" w:hAnsi="Times New Roman"/>
          <w:bCs/>
          <w:sz w:val="24"/>
          <w:szCs w:val="24"/>
        </w:rPr>
        <w:t xml:space="preserve"> varētu mainīties.</w:t>
      </w:r>
    </w:p>
    <w:p w:rsidR="002E1393" w:rsidRPr="007414AF" w:rsidRDefault="002E1393" w:rsidP="007414AF">
      <w:pPr>
        <w:spacing w:after="0" w:line="240" w:lineRule="auto"/>
        <w:jc w:val="both"/>
        <w:rPr>
          <w:rFonts w:ascii="Times New Roman" w:hAnsi="Times New Roman"/>
          <w:sz w:val="14"/>
          <w:szCs w:val="24"/>
        </w:rPr>
      </w:pPr>
    </w:p>
    <w:p w:rsidR="009A7DEA" w:rsidRPr="00C86CF0" w:rsidRDefault="002A6FC8" w:rsidP="007414AF">
      <w:pPr>
        <w:spacing w:after="0" w:line="240" w:lineRule="auto"/>
        <w:jc w:val="center"/>
        <w:rPr>
          <w:rFonts w:ascii="Times New Roman" w:hAnsi="Times New Roman"/>
          <w:b/>
          <w:sz w:val="24"/>
          <w:szCs w:val="24"/>
        </w:rPr>
      </w:pPr>
      <w:r>
        <w:rPr>
          <w:rFonts w:ascii="Times New Roman" w:hAnsi="Times New Roman"/>
          <w:b/>
          <w:sz w:val="24"/>
          <w:szCs w:val="24"/>
        </w:rPr>
        <w:t>5</w:t>
      </w:r>
      <w:r w:rsidR="009A7DEA" w:rsidRPr="00C86CF0">
        <w:rPr>
          <w:rFonts w:ascii="Times New Roman" w:hAnsi="Times New Roman"/>
          <w:b/>
          <w:sz w:val="24"/>
          <w:szCs w:val="24"/>
        </w:rPr>
        <w:t>.</w:t>
      </w:r>
    </w:p>
    <w:p w:rsidR="009A7DEA" w:rsidRPr="003A05DD" w:rsidRDefault="009A7DEA" w:rsidP="007414AF">
      <w:pPr>
        <w:spacing w:after="0" w:line="240" w:lineRule="auto"/>
        <w:jc w:val="center"/>
        <w:rPr>
          <w:rFonts w:ascii="Times New Roman" w:hAnsi="Times New Roman"/>
          <w:b/>
          <w:sz w:val="24"/>
          <w:szCs w:val="24"/>
        </w:rPr>
      </w:pPr>
      <w:r>
        <w:rPr>
          <w:rFonts w:ascii="Times New Roman" w:hAnsi="Times New Roman"/>
          <w:b/>
          <w:sz w:val="24"/>
          <w:szCs w:val="24"/>
        </w:rPr>
        <w:t>Citi jautājumi.</w:t>
      </w:r>
    </w:p>
    <w:p w:rsidR="009A7DEA" w:rsidRPr="00942399" w:rsidRDefault="009A7DEA" w:rsidP="007414AF">
      <w:pPr>
        <w:pBdr>
          <w:bottom w:val="single" w:sz="12" w:space="1" w:color="auto"/>
        </w:pBdr>
        <w:spacing w:after="0" w:line="240" w:lineRule="auto"/>
        <w:jc w:val="center"/>
        <w:rPr>
          <w:rFonts w:ascii="Times New Roman" w:hAnsi="Times New Roman"/>
          <w:b/>
          <w:sz w:val="2"/>
          <w:szCs w:val="24"/>
        </w:rPr>
      </w:pPr>
    </w:p>
    <w:p w:rsidR="00F61A42" w:rsidRDefault="009A7DEA" w:rsidP="00EE10E0">
      <w:pPr>
        <w:spacing w:after="120" w:line="240" w:lineRule="auto"/>
        <w:rPr>
          <w:rFonts w:ascii="Times New Roman" w:hAnsi="Times New Roman"/>
          <w:sz w:val="24"/>
          <w:szCs w:val="24"/>
        </w:rPr>
      </w:pPr>
      <w:r>
        <w:rPr>
          <w:rFonts w:ascii="Times New Roman" w:hAnsi="Times New Roman"/>
          <w:sz w:val="24"/>
          <w:szCs w:val="24"/>
        </w:rPr>
        <w:t>Nav.</w:t>
      </w:r>
    </w:p>
    <w:p w:rsidR="007414AF" w:rsidRPr="007414AF" w:rsidRDefault="007414AF" w:rsidP="00EE10E0">
      <w:pPr>
        <w:pStyle w:val="naisf"/>
        <w:tabs>
          <w:tab w:val="right" w:pos="9000"/>
        </w:tabs>
        <w:spacing w:before="0" w:after="120"/>
        <w:ind w:firstLine="720"/>
        <w:rPr>
          <w:sz w:val="4"/>
        </w:rPr>
      </w:pPr>
    </w:p>
    <w:p w:rsidR="007414AF" w:rsidRPr="007414AF" w:rsidRDefault="007414AF" w:rsidP="00EE10E0">
      <w:pPr>
        <w:pStyle w:val="naisf"/>
        <w:tabs>
          <w:tab w:val="right" w:pos="9000"/>
        </w:tabs>
        <w:spacing w:before="0" w:after="120"/>
        <w:ind w:firstLine="720"/>
        <w:rPr>
          <w:sz w:val="8"/>
        </w:rPr>
      </w:pPr>
    </w:p>
    <w:p w:rsidR="00F159DF" w:rsidRPr="00F159DF" w:rsidRDefault="00F159DF" w:rsidP="00EE10E0">
      <w:pPr>
        <w:pStyle w:val="naisf"/>
        <w:tabs>
          <w:tab w:val="right" w:pos="9000"/>
        </w:tabs>
        <w:spacing w:before="0" w:after="120"/>
        <w:ind w:firstLine="720"/>
      </w:pPr>
      <w:r w:rsidRPr="00F159DF">
        <w:t>Padomes priekšsēdētājs</w:t>
      </w:r>
      <w:r w:rsidRPr="00F159DF">
        <w:tab/>
      </w:r>
      <w:proofErr w:type="spellStart"/>
      <w:r w:rsidRPr="00F159DF">
        <w:t>A.Ponomarjovs</w:t>
      </w:r>
      <w:proofErr w:type="spellEnd"/>
    </w:p>
    <w:p w:rsidR="007414AF" w:rsidRDefault="007414AF" w:rsidP="003E7EFF">
      <w:pPr>
        <w:pStyle w:val="naisf"/>
        <w:tabs>
          <w:tab w:val="right" w:pos="9000"/>
        </w:tabs>
        <w:spacing w:before="0" w:after="120"/>
        <w:ind w:firstLine="720"/>
      </w:pPr>
    </w:p>
    <w:p w:rsidR="00F159DF" w:rsidRPr="00F159DF" w:rsidRDefault="00F159DF" w:rsidP="003E7EFF">
      <w:pPr>
        <w:pStyle w:val="naisf"/>
        <w:tabs>
          <w:tab w:val="right" w:pos="9000"/>
        </w:tabs>
        <w:spacing w:before="0" w:after="120"/>
        <w:ind w:firstLine="720"/>
      </w:pPr>
      <w:r w:rsidRPr="00F159DF">
        <w:t>Protokolēja</w:t>
      </w:r>
      <w:r w:rsidRPr="00F159DF">
        <w:tab/>
      </w:r>
      <w:proofErr w:type="spellStart"/>
      <w:r w:rsidR="003048A6">
        <w:t>I</w:t>
      </w:r>
      <w:r w:rsidRPr="00F159DF">
        <w:t>.</w:t>
      </w:r>
      <w:r w:rsidR="003048A6">
        <w:t>Purviņa</w:t>
      </w:r>
      <w:proofErr w:type="spellEnd"/>
    </w:p>
    <w:sectPr w:rsidR="00F159DF" w:rsidRPr="00F159DF" w:rsidSect="007414AF">
      <w:headerReference w:type="default" r:id="rId8"/>
      <w:footerReference w:type="default" r:id="rId9"/>
      <w:pgSz w:w="11906" w:h="16838"/>
      <w:pgMar w:top="1134" w:right="992"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AED" w:rsidRDefault="003B6AED" w:rsidP="0012108D">
      <w:pPr>
        <w:spacing w:after="0" w:line="240" w:lineRule="auto"/>
      </w:pPr>
      <w:r>
        <w:separator/>
      </w:r>
    </w:p>
  </w:endnote>
  <w:endnote w:type="continuationSeparator" w:id="0">
    <w:p w:rsidR="003B6AED" w:rsidRDefault="003B6AED" w:rsidP="0012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60785"/>
      <w:docPartObj>
        <w:docPartGallery w:val="Page Numbers (Bottom of Page)"/>
        <w:docPartUnique/>
      </w:docPartObj>
    </w:sdtPr>
    <w:sdtEndPr>
      <w:rPr>
        <w:noProof/>
      </w:rPr>
    </w:sdtEndPr>
    <w:sdtContent>
      <w:p w:rsidR="003B6AED" w:rsidRDefault="003B6AED">
        <w:pPr>
          <w:pStyle w:val="Footer"/>
          <w:jc w:val="center"/>
        </w:pPr>
        <w:r>
          <w:fldChar w:fldCharType="begin"/>
        </w:r>
        <w:r>
          <w:instrText xml:space="preserve"> PAGE   \* MERGEFORMAT </w:instrText>
        </w:r>
        <w:r>
          <w:fldChar w:fldCharType="separate"/>
        </w:r>
        <w:r w:rsidR="007414AF">
          <w:rPr>
            <w:noProof/>
          </w:rPr>
          <w:t>5</w:t>
        </w:r>
        <w:r>
          <w:rPr>
            <w:noProof/>
          </w:rPr>
          <w:fldChar w:fldCharType="end"/>
        </w:r>
      </w:p>
    </w:sdtContent>
  </w:sdt>
  <w:p w:rsidR="003B6AED" w:rsidRDefault="003B6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AED" w:rsidRDefault="003B6AED" w:rsidP="0012108D">
      <w:pPr>
        <w:spacing w:after="0" w:line="240" w:lineRule="auto"/>
      </w:pPr>
      <w:r>
        <w:separator/>
      </w:r>
    </w:p>
  </w:footnote>
  <w:footnote w:type="continuationSeparator" w:id="0">
    <w:p w:rsidR="003B6AED" w:rsidRDefault="003B6AED" w:rsidP="0012108D">
      <w:pPr>
        <w:spacing w:after="0" w:line="240" w:lineRule="auto"/>
      </w:pPr>
      <w:r>
        <w:continuationSeparator/>
      </w:r>
    </w:p>
  </w:footnote>
  <w:footnote w:id="1">
    <w:p w:rsidR="003B6AED" w:rsidRPr="004F4FC0" w:rsidRDefault="003B6AED" w:rsidP="004F4FC0">
      <w:pPr>
        <w:pStyle w:val="FootnoteText"/>
        <w:jc w:val="both"/>
        <w:rPr>
          <w:rFonts w:ascii="Times New Roman" w:eastAsiaTheme="minorHAnsi" w:hAnsi="Times New Roman"/>
          <w:u w:val="single"/>
        </w:rPr>
      </w:pPr>
      <w:r>
        <w:rPr>
          <w:rStyle w:val="FootnoteReference"/>
        </w:rPr>
        <w:footnoteRef/>
      </w:r>
      <w:r>
        <w:t xml:space="preserve"> </w:t>
      </w:r>
      <w:r w:rsidRPr="004F4FC0">
        <w:rPr>
          <w:rFonts w:ascii="Times New Roman" w:eastAsiaTheme="minorHAnsi" w:hAnsi="Times New Roman"/>
          <w:szCs w:val="22"/>
        </w:rPr>
        <w:t xml:space="preserve">Eiropas Parlamenta un Padomes Regula 537/2014 (2014.gada 16.aprīlis) par īpašām prasībām attiecībā uz obligātajām revīzijām sabiedriskas nozīmes struktūrās un ar ko atceļ Komisijas lēmumu 2005/909/EK, </w:t>
      </w:r>
      <w:hyperlink r:id="rId1" w:history="1">
        <w:r w:rsidRPr="004F4FC0">
          <w:rPr>
            <w:rFonts w:ascii="Times New Roman" w:eastAsiaTheme="minorHAnsi" w:hAnsi="Times New Roman"/>
            <w:color w:val="0563C1" w:themeColor="hyperlink"/>
            <w:u w:val="single"/>
          </w:rPr>
          <w:t>http://eur-lex.europa.eu/legal-content/LV/TXT/?qid=1445002265142&amp;uri=CELEX:02014R0537-20140616</w:t>
        </w:r>
      </w:hyperlink>
    </w:p>
    <w:p w:rsidR="003B6AED" w:rsidRDefault="003B6AED" w:rsidP="004F4FC0">
      <w:pPr>
        <w:pStyle w:val="FootnoteText"/>
        <w:jc w:val="both"/>
      </w:pPr>
      <w:r w:rsidRPr="004F4FC0">
        <w:rPr>
          <w:rFonts w:ascii="Times New Roman" w:eastAsiaTheme="minorHAnsi" w:hAnsi="Times New Roman"/>
          <w:szCs w:val="22"/>
        </w:rPr>
        <w:t xml:space="preserve">Eiropas Parlamenta un Padomes Direktīva 2014/56/ES (2014. gada 16. aprīlis), ar kuru groza Direktīvu 2006/43/EK, ar ko paredz gada pārskatu un konsolidēto pārskatu obligātās revīzijas, </w:t>
      </w:r>
      <w:hyperlink r:id="rId2" w:history="1">
        <w:r w:rsidRPr="004F4FC0">
          <w:rPr>
            <w:rFonts w:ascii="Times New Roman" w:eastAsiaTheme="minorHAnsi" w:hAnsi="Times New Roman"/>
            <w:color w:val="0563C1" w:themeColor="hyperlink"/>
            <w:szCs w:val="22"/>
            <w:u w:val="single"/>
          </w:rPr>
          <w:t>http://eur-lex.europa.eu/legal-content/LV/TXT/HTML/?uri=CELEX:32014L0056&amp;qid=1449646180248&amp;from=EN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AED" w:rsidRPr="0012108D" w:rsidRDefault="003B6AED">
    <w:pPr>
      <w:pStyle w:val="Header"/>
      <w:jc w:val="center"/>
      <w:rPr>
        <w:rFonts w:ascii="Times New Roman" w:hAnsi="Times New Roman"/>
      </w:rPr>
    </w:pPr>
  </w:p>
  <w:p w:rsidR="003B6AED" w:rsidRDefault="003B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A0B9D"/>
    <w:multiLevelType w:val="hybridMultilevel"/>
    <w:tmpl w:val="524E001E"/>
    <w:lvl w:ilvl="0" w:tplc="5588AA56">
      <w:start w:val="201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A4B667E"/>
    <w:multiLevelType w:val="hybridMultilevel"/>
    <w:tmpl w:val="6C0ED392"/>
    <w:lvl w:ilvl="0" w:tplc="355A442A">
      <w:start w:val="201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587626D"/>
    <w:multiLevelType w:val="hybridMultilevel"/>
    <w:tmpl w:val="24E84952"/>
    <w:lvl w:ilvl="0" w:tplc="9166735C">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2EC4641"/>
    <w:multiLevelType w:val="hybridMultilevel"/>
    <w:tmpl w:val="5F70B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FAB40BA"/>
    <w:multiLevelType w:val="hybridMultilevel"/>
    <w:tmpl w:val="B8C29898"/>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nsid w:val="5DF974AC"/>
    <w:multiLevelType w:val="hybridMultilevel"/>
    <w:tmpl w:val="EE92FEE4"/>
    <w:lvl w:ilvl="0" w:tplc="62BE9BF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72"/>
    <w:rsid w:val="000153B0"/>
    <w:rsid w:val="000213D6"/>
    <w:rsid w:val="000239CF"/>
    <w:rsid w:val="00034ACC"/>
    <w:rsid w:val="00051B63"/>
    <w:rsid w:val="0005685A"/>
    <w:rsid w:val="0008399A"/>
    <w:rsid w:val="000B5F4D"/>
    <w:rsid w:val="00114971"/>
    <w:rsid w:val="0012108D"/>
    <w:rsid w:val="00131FDA"/>
    <w:rsid w:val="00132C18"/>
    <w:rsid w:val="00135CE2"/>
    <w:rsid w:val="00144E17"/>
    <w:rsid w:val="001510AA"/>
    <w:rsid w:val="001542FD"/>
    <w:rsid w:val="001635DA"/>
    <w:rsid w:val="00164F24"/>
    <w:rsid w:val="001716DC"/>
    <w:rsid w:val="00177159"/>
    <w:rsid w:val="00190DF7"/>
    <w:rsid w:val="00197C69"/>
    <w:rsid w:val="001B0CC9"/>
    <w:rsid w:val="001B1E0E"/>
    <w:rsid w:val="001B3230"/>
    <w:rsid w:val="001B662E"/>
    <w:rsid w:val="001C024B"/>
    <w:rsid w:val="001C5D3D"/>
    <w:rsid w:val="001D40A6"/>
    <w:rsid w:val="001E0057"/>
    <w:rsid w:val="001E4540"/>
    <w:rsid w:val="001E4FB1"/>
    <w:rsid w:val="001E74AB"/>
    <w:rsid w:val="001E7B59"/>
    <w:rsid w:val="001F0B9C"/>
    <w:rsid w:val="001F15E9"/>
    <w:rsid w:val="001F4F0F"/>
    <w:rsid w:val="0022108A"/>
    <w:rsid w:val="002305B9"/>
    <w:rsid w:val="00255332"/>
    <w:rsid w:val="002631F7"/>
    <w:rsid w:val="00267EFC"/>
    <w:rsid w:val="002752A2"/>
    <w:rsid w:val="00287578"/>
    <w:rsid w:val="002A6FC8"/>
    <w:rsid w:val="002C06AE"/>
    <w:rsid w:val="002E1393"/>
    <w:rsid w:val="002E75EB"/>
    <w:rsid w:val="002F29B5"/>
    <w:rsid w:val="002F4128"/>
    <w:rsid w:val="003048A6"/>
    <w:rsid w:val="00307EB2"/>
    <w:rsid w:val="00341C55"/>
    <w:rsid w:val="00347592"/>
    <w:rsid w:val="003542FB"/>
    <w:rsid w:val="00356187"/>
    <w:rsid w:val="003630E9"/>
    <w:rsid w:val="0036353D"/>
    <w:rsid w:val="00387C76"/>
    <w:rsid w:val="00392125"/>
    <w:rsid w:val="003A05DD"/>
    <w:rsid w:val="003A432D"/>
    <w:rsid w:val="003B5AAD"/>
    <w:rsid w:val="003B5DB3"/>
    <w:rsid w:val="003B6AED"/>
    <w:rsid w:val="003C3437"/>
    <w:rsid w:val="003D6B1D"/>
    <w:rsid w:val="003E7EFF"/>
    <w:rsid w:val="003F5292"/>
    <w:rsid w:val="003F66C8"/>
    <w:rsid w:val="004054D9"/>
    <w:rsid w:val="00406D8D"/>
    <w:rsid w:val="004309C5"/>
    <w:rsid w:val="004511FB"/>
    <w:rsid w:val="0046233F"/>
    <w:rsid w:val="00487794"/>
    <w:rsid w:val="004E1A48"/>
    <w:rsid w:val="004E3DF4"/>
    <w:rsid w:val="004F2464"/>
    <w:rsid w:val="004F4FC0"/>
    <w:rsid w:val="004F67D7"/>
    <w:rsid w:val="00503724"/>
    <w:rsid w:val="0051517F"/>
    <w:rsid w:val="00515AEF"/>
    <w:rsid w:val="0052023C"/>
    <w:rsid w:val="00521DD6"/>
    <w:rsid w:val="00524482"/>
    <w:rsid w:val="00534355"/>
    <w:rsid w:val="00541C6B"/>
    <w:rsid w:val="00551260"/>
    <w:rsid w:val="00556294"/>
    <w:rsid w:val="00573DBA"/>
    <w:rsid w:val="005A01B3"/>
    <w:rsid w:val="005A2657"/>
    <w:rsid w:val="005C0463"/>
    <w:rsid w:val="005C0BE1"/>
    <w:rsid w:val="005D159A"/>
    <w:rsid w:val="005D3A50"/>
    <w:rsid w:val="005E27F4"/>
    <w:rsid w:val="00601334"/>
    <w:rsid w:val="00616824"/>
    <w:rsid w:val="00626755"/>
    <w:rsid w:val="00640A05"/>
    <w:rsid w:val="0067228A"/>
    <w:rsid w:val="00673AC3"/>
    <w:rsid w:val="00675C28"/>
    <w:rsid w:val="00681F78"/>
    <w:rsid w:val="00691CDF"/>
    <w:rsid w:val="006A6A9B"/>
    <w:rsid w:val="006A744F"/>
    <w:rsid w:val="006C62B4"/>
    <w:rsid w:val="006E37FB"/>
    <w:rsid w:val="00703476"/>
    <w:rsid w:val="00721B4F"/>
    <w:rsid w:val="00734F2D"/>
    <w:rsid w:val="0073620D"/>
    <w:rsid w:val="007414AF"/>
    <w:rsid w:val="00752903"/>
    <w:rsid w:val="00752E2E"/>
    <w:rsid w:val="00765BBC"/>
    <w:rsid w:val="00766F01"/>
    <w:rsid w:val="0078251B"/>
    <w:rsid w:val="00783327"/>
    <w:rsid w:val="007867DD"/>
    <w:rsid w:val="00792C4A"/>
    <w:rsid w:val="00796DFD"/>
    <w:rsid w:val="00797491"/>
    <w:rsid w:val="007A05A9"/>
    <w:rsid w:val="007A4F35"/>
    <w:rsid w:val="007D5030"/>
    <w:rsid w:val="007D65AD"/>
    <w:rsid w:val="007E5341"/>
    <w:rsid w:val="007F03E0"/>
    <w:rsid w:val="007F2918"/>
    <w:rsid w:val="00806394"/>
    <w:rsid w:val="00806ABC"/>
    <w:rsid w:val="00813303"/>
    <w:rsid w:val="00850A31"/>
    <w:rsid w:val="008514ED"/>
    <w:rsid w:val="00854888"/>
    <w:rsid w:val="008657AA"/>
    <w:rsid w:val="008672F9"/>
    <w:rsid w:val="00870D9C"/>
    <w:rsid w:val="0087414E"/>
    <w:rsid w:val="00881F37"/>
    <w:rsid w:val="00894554"/>
    <w:rsid w:val="00894A9E"/>
    <w:rsid w:val="008961BC"/>
    <w:rsid w:val="008975F6"/>
    <w:rsid w:val="008A533D"/>
    <w:rsid w:val="008A7BD9"/>
    <w:rsid w:val="008B23D3"/>
    <w:rsid w:val="008C1932"/>
    <w:rsid w:val="008E0E72"/>
    <w:rsid w:val="008E5B0D"/>
    <w:rsid w:val="008E6B6C"/>
    <w:rsid w:val="009015B9"/>
    <w:rsid w:val="00907AE5"/>
    <w:rsid w:val="009137A3"/>
    <w:rsid w:val="00914549"/>
    <w:rsid w:val="009254F7"/>
    <w:rsid w:val="00926F7C"/>
    <w:rsid w:val="00927F9C"/>
    <w:rsid w:val="00942399"/>
    <w:rsid w:val="00950E04"/>
    <w:rsid w:val="009524BD"/>
    <w:rsid w:val="00952EFD"/>
    <w:rsid w:val="00954EB3"/>
    <w:rsid w:val="0096051B"/>
    <w:rsid w:val="00996EF5"/>
    <w:rsid w:val="009A2E3B"/>
    <w:rsid w:val="009A7DEA"/>
    <w:rsid w:val="009B3CFC"/>
    <w:rsid w:val="009C7055"/>
    <w:rsid w:val="009D0724"/>
    <w:rsid w:val="009E42D1"/>
    <w:rsid w:val="00A230A7"/>
    <w:rsid w:val="00A53AC5"/>
    <w:rsid w:val="00A5771E"/>
    <w:rsid w:val="00A73589"/>
    <w:rsid w:val="00A73A88"/>
    <w:rsid w:val="00A91288"/>
    <w:rsid w:val="00AA55FB"/>
    <w:rsid w:val="00AD657E"/>
    <w:rsid w:val="00AE7EEA"/>
    <w:rsid w:val="00B13542"/>
    <w:rsid w:val="00B14407"/>
    <w:rsid w:val="00B15F2D"/>
    <w:rsid w:val="00B3282D"/>
    <w:rsid w:val="00B3620B"/>
    <w:rsid w:val="00B45689"/>
    <w:rsid w:val="00B54A6B"/>
    <w:rsid w:val="00B8716D"/>
    <w:rsid w:val="00B900FF"/>
    <w:rsid w:val="00BA2900"/>
    <w:rsid w:val="00BB0E37"/>
    <w:rsid w:val="00BC3272"/>
    <w:rsid w:val="00BC69EB"/>
    <w:rsid w:val="00BD5117"/>
    <w:rsid w:val="00BE475B"/>
    <w:rsid w:val="00C17F0D"/>
    <w:rsid w:val="00C21DE3"/>
    <w:rsid w:val="00C23530"/>
    <w:rsid w:val="00C36CD2"/>
    <w:rsid w:val="00C402A8"/>
    <w:rsid w:val="00C45FA2"/>
    <w:rsid w:val="00C515FA"/>
    <w:rsid w:val="00C54BC5"/>
    <w:rsid w:val="00C57D4D"/>
    <w:rsid w:val="00C6410F"/>
    <w:rsid w:val="00C7293E"/>
    <w:rsid w:val="00C86CF0"/>
    <w:rsid w:val="00CA39FF"/>
    <w:rsid w:val="00CA58C3"/>
    <w:rsid w:val="00CA6CD0"/>
    <w:rsid w:val="00CB189E"/>
    <w:rsid w:val="00CD0B98"/>
    <w:rsid w:val="00CE0B1E"/>
    <w:rsid w:val="00CE5901"/>
    <w:rsid w:val="00D02B33"/>
    <w:rsid w:val="00D2136A"/>
    <w:rsid w:val="00D33C50"/>
    <w:rsid w:val="00D40ECF"/>
    <w:rsid w:val="00D51BCB"/>
    <w:rsid w:val="00D53821"/>
    <w:rsid w:val="00D5760E"/>
    <w:rsid w:val="00D6146F"/>
    <w:rsid w:val="00D95FDB"/>
    <w:rsid w:val="00DA05D8"/>
    <w:rsid w:val="00DB01C9"/>
    <w:rsid w:val="00DD0628"/>
    <w:rsid w:val="00DD4807"/>
    <w:rsid w:val="00DF1101"/>
    <w:rsid w:val="00DF20BD"/>
    <w:rsid w:val="00DF78C3"/>
    <w:rsid w:val="00E003F0"/>
    <w:rsid w:val="00E12ADD"/>
    <w:rsid w:val="00E2177A"/>
    <w:rsid w:val="00E25A68"/>
    <w:rsid w:val="00E27A96"/>
    <w:rsid w:val="00E414FB"/>
    <w:rsid w:val="00E468A1"/>
    <w:rsid w:val="00E5422A"/>
    <w:rsid w:val="00E56803"/>
    <w:rsid w:val="00E57DA9"/>
    <w:rsid w:val="00E63238"/>
    <w:rsid w:val="00E65831"/>
    <w:rsid w:val="00E7059E"/>
    <w:rsid w:val="00E75A93"/>
    <w:rsid w:val="00EB1241"/>
    <w:rsid w:val="00EB7C19"/>
    <w:rsid w:val="00EC5A6D"/>
    <w:rsid w:val="00ED30D4"/>
    <w:rsid w:val="00EE10E0"/>
    <w:rsid w:val="00EE6144"/>
    <w:rsid w:val="00EF2849"/>
    <w:rsid w:val="00EF55E8"/>
    <w:rsid w:val="00F01DD7"/>
    <w:rsid w:val="00F062DF"/>
    <w:rsid w:val="00F144D4"/>
    <w:rsid w:val="00F159DF"/>
    <w:rsid w:val="00F27CB0"/>
    <w:rsid w:val="00F44853"/>
    <w:rsid w:val="00F44C92"/>
    <w:rsid w:val="00F511DA"/>
    <w:rsid w:val="00F61A42"/>
    <w:rsid w:val="00F74D74"/>
    <w:rsid w:val="00F77B70"/>
    <w:rsid w:val="00F77E94"/>
    <w:rsid w:val="00F80DFE"/>
    <w:rsid w:val="00F87F7B"/>
    <w:rsid w:val="00FA1683"/>
    <w:rsid w:val="00FD39A8"/>
    <w:rsid w:val="00FE18B7"/>
    <w:rsid w:val="00FE7F6A"/>
    <w:rsid w:val="00FF5513"/>
    <w:rsid w:val="00FF63C0"/>
    <w:rsid w:val="00FF7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6B79E8A1-48EA-4D5D-AD8A-808CE615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E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F159DF"/>
    <w:pPr>
      <w:spacing w:before="75" w:after="75" w:line="240" w:lineRule="auto"/>
      <w:ind w:firstLine="375"/>
      <w:jc w:val="both"/>
    </w:pPr>
    <w:rPr>
      <w:rFonts w:ascii="Times New Roman" w:eastAsia="Times New Roman" w:hAnsi="Times New Roman"/>
      <w:sz w:val="24"/>
      <w:szCs w:val="24"/>
      <w:lang w:eastAsia="lv-LV"/>
    </w:rPr>
  </w:style>
  <w:style w:type="paragraph" w:styleId="NormalWeb">
    <w:name w:val="Normal (Web)"/>
    <w:basedOn w:val="Normal"/>
    <w:uiPriority w:val="99"/>
    <w:semiHidden/>
    <w:unhideWhenUsed/>
    <w:rsid w:val="00541C6B"/>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1210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108D"/>
    <w:rPr>
      <w:rFonts w:ascii="Calibri" w:eastAsia="Calibri" w:hAnsi="Calibri" w:cs="Times New Roman"/>
    </w:rPr>
  </w:style>
  <w:style w:type="paragraph" w:styleId="Footer">
    <w:name w:val="footer"/>
    <w:basedOn w:val="Normal"/>
    <w:link w:val="FooterChar"/>
    <w:uiPriority w:val="99"/>
    <w:unhideWhenUsed/>
    <w:rsid w:val="001210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108D"/>
    <w:rPr>
      <w:rFonts w:ascii="Calibri" w:eastAsia="Calibri" w:hAnsi="Calibri" w:cs="Times New Roman"/>
    </w:rPr>
  </w:style>
  <w:style w:type="paragraph" w:styleId="BalloonText">
    <w:name w:val="Balloon Text"/>
    <w:basedOn w:val="Normal"/>
    <w:link w:val="BalloonTextChar"/>
    <w:uiPriority w:val="99"/>
    <w:semiHidden/>
    <w:unhideWhenUsed/>
    <w:rsid w:val="001C5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3D"/>
    <w:rPr>
      <w:rFonts w:ascii="Segoe UI" w:eastAsia="Calibri" w:hAnsi="Segoe UI" w:cs="Segoe UI"/>
      <w:sz w:val="18"/>
      <w:szCs w:val="18"/>
    </w:rPr>
  </w:style>
  <w:style w:type="paragraph" w:styleId="ListParagraph">
    <w:name w:val="List Paragraph"/>
    <w:basedOn w:val="Normal"/>
    <w:uiPriority w:val="34"/>
    <w:qFormat/>
    <w:rsid w:val="002752A2"/>
    <w:pPr>
      <w:ind w:left="720"/>
      <w:contextualSpacing/>
    </w:pPr>
  </w:style>
  <w:style w:type="paragraph" w:styleId="BodyText2">
    <w:name w:val="Body Text 2"/>
    <w:basedOn w:val="Normal"/>
    <w:link w:val="BodyText2Char"/>
    <w:rsid w:val="00870D9C"/>
    <w:pPr>
      <w:spacing w:after="0" w:line="240" w:lineRule="auto"/>
      <w:ind w:firstLine="720"/>
      <w:jc w:val="both"/>
    </w:pPr>
    <w:rPr>
      <w:rFonts w:ascii="Times New Roman" w:eastAsia="Times New Roman" w:hAnsi="Times New Roman"/>
      <w:szCs w:val="20"/>
      <w:lang w:val="en-US"/>
    </w:rPr>
  </w:style>
  <w:style w:type="character" w:customStyle="1" w:styleId="BodyText2Char">
    <w:name w:val="Body Text 2 Char"/>
    <w:basedOn w:val="DefaultParagraphFont"/>
    <w:link w:val="BodyText2"/>
    <w:rsid w:val="00870D9C"/>
    <w:rPr>
      <w:rFonts w:ascii="Times New Roman" w:eastAsia="Times New Roman" w:hAnsi="Times New Roman" w:cs="Times New Roman"/>
      <w:szCs w:val="20"/>
      <w:lang w:val="en-US"/>
    </w:rPr>
  </w:style>
  <w:style w:type="character" w:styleId="Hyperlink">
    <w:name w:val="Hyperlink"/>
    <w:basedOn w:val="DefaultParagraphFont"/>
    <w:rsid w:val="00870D9C"/>
    <w:rPr>
      <w:color w:val="0000FF"/>
      <w:u w:val="single"/>
    </w:rPr>
  </w:style>
  <w:style w:type="character" w:styleId="CommentReference">
    <w:name w:val="annotation reference"/>
    <w:basedOn w:val="DefaultParagraphFont"/>
    <w:uiPriority w:val="99"/>
    <w:semiHidden/>
    <w:unhideWhenUsed/>
    <w:rsid w:val="00551260"/>
    <w:rPr>
      <w:sz w:val="16"/>
      <w:szCs w:val="16"/>
    </w:rPr>
  </w:style>
  <w:style w:type="paragraph" w:styleId="CommentText">
    <w:name w:val="annotation text"/>
    <w:basedOn w:val="Normal"/>
    <w:link w:val="CommentTextChar"/>
    <w:uiPriority w:val="99"/>
    <w:semiHidden/>
    <w:unhideWhenUsed/>
    <w:rsid w:val="00551260"/>
    <w:pPr>
      <w:spacing w:line="240" w:lineRule="auto"/>
    </w:pPr>
    <w:rPr>
      <w:sz w:val="20"/>
      <w:szCs w:val="20"/>
    </w:rPr>
  </w:style>
  <w:style w:type="character" w:customStyle="1" w:styleId="CommentTextChar">
    <w:name w:val="Comment Text Char"/>
    <w:basedOn w:val="DefaultParagraphFont"/>
    <w:link w:val="CommentText"/>
    <w:uiPriority w:val="99"/>
    <w:semiHidden/>
    <w:rsid w:val="005512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1260"/>
    <w:rPr>
      <w:b/>
      <w:bCs/>
    </w:rPr>
  </w:style>
  <w:style w:type="character" w:customStyle="1" w:styleId="CommentSubjectChar">
    <w:name w:val="Comment Subject Char"/>
    <w:basedOn w:val="CommentTextChar"/>
    <w:link w:val="CommentSubject"/>
    <w:uiPriority w:val="99"/>
    <w:semiHidden/>
    <w:rsid w:val="00551260"/>
    <w:rPr>
      <w:rFonts w:ascii="Calibri" w:eastAsia="Calibri" w:hAnsi="Calibri" w:cs="Times New Roman"/>
      <w:b/>
      <w:bCs/>
      <w:sz w:val="20"/>
      <w:szCs w:val="20"/>
    </w:rPr>
  </w:style>
  <w:style w:type="paragraph" w:customStyle="1" w:styleId="Default">
    <w:name w:val="Default"/>
    <w:rsid w:val="0052448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F4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FC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F4FC0"/>
    <w:rPr>
      <w:vertAlign w:val="superscript"/>
    </w:rPr>
  </w:style>
  <w:style w:type="table" w:styleId="TableGrid">
    <w:name w:val="Table Grid"/>
    <w:basedOn w:val="TableNormal"/>
    <w:uiPriority w:val="39"/>
    <w:rsid w:val="004F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839103">
      <w:bodyDiv w:val="1"/>
      <w:marLeft w:val="0"/>
      <w:marRight w:val="0"/>
      <w:marTop w:val="0"/>
      <w:marBottom w:val="0"/>
      <w:divBdr>
        <w:top w:val="none" w:sz="0" w:space="0" w:color="auto"/>
        <w:left w:val="none" w:sz="0" w:space="0" w:color="auto"/>
        <w:bottom w:val="none" w:sz="0" w:space="0" w:color="auto"/>
        <w:right w:val="none" w:sz="0" w:space="0" w:color="auto"/>
      </w:divBdr>
    </w:div>
    <w:div w:id="1794129355">
      <w:bodyDiv w:val="1"/>
      <w:marLeft w:val="0"/>
      <w:marRight w:val="0"/>
      <w:marTop w:val="0"/>
      <w:marBottom w:val="0"/>
      <w:divBdr>
        <w:top w:val="none" w:sz="0" w:space="0" w:color="auto"/>
        <w:left w:val="none" w:sz="0" w:space="0" w:color="auto"/>
        <w:bottom w:val="none" w:sz="0" w:space="0" w:color="auto"/>
        <w:right w:val="none" w:sz="0" w:space="0" w:color="auto"/>
      </w:divBdr>
    </w:div>
    <w:div w:id="2086876180">
      <w:bodyDiv w:val="1"/>
      <w:marLeft w:val="0"/>
      <w:marRight w:val="0"/>
      <w:marTop w:val="0"/>
      <w:marBottom w:val="0"/>
      <w:divBdr>
        <w:top w:val="none" w:sz="0" w:space="0" w:color="auto"/>
        <w:left w:val="none" w:sz="0" w:space="0" w:color="auto"/>
        <w:bottom w:val="none" w:sz="0" w:space="0" w:color="auto"/>
        <w:right w:val="none" w:sz="0" w:space="0" w:color="auto"/>
      </w:divBdr>
      <w:divsChild>
        <w:div w:id="1100415796">
          <w:marLeft w:val="0"/>
          <w:marRight w:val="0"/>
          <w:marTop w:val="100"/>
          <w:marBottom w:val="100"/>
          <w:divBdr>
            <w:top w:val="none" w:sz="0" w:space="0" w:color="auto"/>
            <w:left w:val="none" w:sz="0" w:space="0" w:color="auto"/>
            <w:bottom w:val="none" w:sz="0" w:space="0" w:color="auto"/>
            <w:right w:val="none" w:sz="0" w:space="0" w:color="auto"/>
          </w:divBdr>
          <w:divsChild>
            <w:div w:id="282461243">
              <w:marLeft w:val="0"/>
              <w:marRight w:val="0"/>
              <w:marTop w:val="0"/>
              <w:marBottom w:val="0"/>
              <w:divBdr>
                <w:top w:val="none" w:sz="0" w:space="0" w:color="auto"/>
                <w:left w:val="none" w:sz="0" w:space="0" w:color="auto"/>
                <w:bottom w:val="none" w:sz="0" w:space="0" w:color="auto"/>
                <w:right w:val="none" w:sz="0" w:space="0" w:color="auto"/>
              </w:divBdr>
              <w:divsChild>
                <w:div w:id="2131708043">
                  <w:marLeft w:val="0"/>
                  <w:marRight w:val="0"/>
                  <w:marTop w:val="0"/>
                  <w:marBottom w:val="0"/>
                  <w:divBdr>
                    <w:top w:val="none" w:sz="0" w:space="0" w:color="auto"/>
                    <w:left w:val="none" w:sz="0" w:space="0" w:color="auto"/>
                    <w:bottom w:val="none" w:sz="0" w:space="0" w:color="auto"/>
                    <w:right w:val="none" w:sz="0" w:space="0" w:color="auto"/>
                  </w:divBdr>
                  <w:divsChild>
                    <w:div w:id="1070612191">
                      <w:marLeft w:val="0"/>
                      <w:marRight w:val="0"/>
                      <w:marTop w:val="0"/>
                      <w:marBottom w:val="0"/>
                      <w:divBdr>
                        <w:top w:val="none" w:sz="0" w:space="0" w:color="auto"/>
                        <w:left w:val="none" w:sz="0" w:space="0" w:color="auto"/>
                        <w:bottom w:val="none" w:sz="0" w:space="0" w:color="auto"/>
                        <w:right w:val="none" w:sz="0" w:space="0" w:color="auto"/>
                      </w:divBdr>
                      <w:divsChild>
                        <w:div w:id="1923104207">
                          <w:marLeft w:val="0"/>
                          <w:marRight w:val="0"/>
                          <w:marTop w:val="0"/>
                          <w:marBottom w:val="0"/>
                          <w:divBdr>
                            <w:top w:val="none" w:sz="0" w:space="0" w:color="auto"/>
                            <w:left w:val="none" w:sz="0" w:space="0" w:color="auto"/>
                            <w:bottom w:val="none" w:sz="0" w:space="0" w:color="auto"/>
                            <w:right w:val="none" w:sz="0" w:space="0" w:color="auto"/>
                          </w:divBdr>
                          <w:divsChild>
                            <w:div w:id="2060979314">
                              <w:marLeft w:val="0"/>
                              <w:marRight w:val="0"/>
                              <w:marTop w:val="0"/>
                              <w:marBottom w:val="0"/>
                              <w:divBdr>
                                <w:top w:val="none" w:sz="0" w:space="0" w:color="auto"/>
                                <w:left w:val="none" w:sz="0" w:space="0" w:color="auto"/>
                                <w:bottom w:val="none" w:sz="0" w:space="0" w:color="auto"/>
                                <w:right w:val="none" w:sz="0" w:space="0" w:color="auto"/>
                              </w:divBdr>
                              <w:divsChild>
                                <w:div w:id="1919167574">
                                  <w:marLeft w:val="0"/>
                                  <w:marRight w:val="0"/>
                                  <w:marTop w:val="0"/>
                                  <w:marBottom w:val="0"/>
                                  <w:divBdr>
                                    <w:top w:val="none" w:sz="0" w:space="0" w:color="auto"/>
                                    <w:left w:val="none" w:sz="0" w:space="0" w:color="auto"/>
                                    <w:bottom w:val="none" w:sz="0" w:space="0" w:color="auto"/>
                                    <w:right w:val="none" w:sz="0" w:space="0" w:color="auto"/>
                                  </w:divBdr>
                                  <w:divsChild>
                                    <w:div w:id="1540974439">
                                      <w:marLeft w:val="0"/>
                                      <w:marRight w:val="0"/>
                                      <w:marTop w:val="0"/>
                                      <w:marBottom w:val="150"/>
                                      <w:divBdr>
                                        <w:top w:val="none" w:sz="0" w:space="0" w:color="auto"/>
                                        <w:left w:val="none" w:sz="0" w:space="0" w:color="auto"/>
                                        <w:bottom w:val="none" w:sz="0" w:space="0" w:color="auto"/>
                                        <w:right w:val="none" w:sz="0" w:space="0" w:color="auto"/>
                                      </w:divBdr>
                                      <w:divsChild>
                                        <w:div w:id="14518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LV/TXT/HTML/?uri=CELEX:32014L0056&amp;qid=1449646180248&amp;from=EN" TargetMode="External"/><Relationship Id="rId1" Type="http://schemas.openxmlformats.org/officeDocument/2006/relationships/hyperlink" Target="http://eur-lex.europa.eu/legal-content/LV/TXT/?qid=1445002265142&amp;uri=CELEX:02014R0537-20140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CF9F-4A53-4C11-ABFB-625A0C38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6</Pages>
  <Words>11392</Words>
  <Characters>6494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Paulsone</dc:creator>
  <cp:keywords/>
  <dc:description/>
  <cp:lastModifiedBy>Revīzijas uzraudzības komisija</cp:lastModifiedBy>
  <cp:revision>82</cp:revision>
  <cp:lastPrinted>2017-02-10T12:07:00Z</cp:lastPrinted>
  <dcterms:created xsi:type="dcterms:W3CDTF">2017-02-09T09:27:00Z</dcterms:created>
  <dcterms:modified xsi:type="dcterms:W3CDTF">2017-02-20T07:58:00Z</dcterms:modified>
</cp:coreProperties>
</file>