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C782F" w14:textId="77777777" w:rsidR="004B2C7D" w:rsidRDefault="002E6246" w:rsidP="004B2C7D">
      <w:pPr>
        <w:tabs>
          <w:tab w:val="left" w:pos="810"/>
        </w:tabs>
        <w:jc w:val="center"/>
        <w:rPr>
          <w:rFonts w:eastAsia="Times New Roman" w:cs="Times New Roman"/>
          <w:b/>
          <w:iCs/>
          <w:szCs w:val="24"/>
        </w:rPr>
      </w:pPr>
      <w:bookmarkStart w:id="0" w:name="_GoBack"/>
      <w:bookmarkEnd w:id="0"/>
      <w:r w:rsidRPr="002D7758">
        <w:rPr>
          <w:rFonts w:eastAsia="Times New Roman" w:cs="Times New Roman"/>
          <w:b/>
          <w:iCs/>
          <w:szCs w:val="24"/>
        </w:rPr>
        <w:t>Uzziņa par tiesību</w:t>
      </w:r>
      <w:r w:rsidR="004B2C7D">
        <w:rPr>
          <w:rFonts w:eastAsia="Times New Roman" w:cs="Times New Roman"/>
          <w:b/>
          <w:iCs/>
          <w:szCs w:val="24"/>
        </w:rPr>
        <w:t xml:space="preserve"> akta projektu Vadības komitejas sēdei</w:t>
      </w:r>
    </w:p>
    <w:p w14:paraId="6477A76B" w14:textId="1D3969A3" w:rsidR="002E6246" w:rsidRPr="004B2C7D" w:rsidRDefault="005D503F" w:rsidP="004B2C7D">
      <w:pPr>
        <w:tabs>
          <w:tab w:val="left" w:pos="810"/>
        </w:tabs>
        <w:jc w:val="center"/>
        <w:rPr>
          <w:rFonts w:eastAsia="Times New Roman" w:cs="Times New Roman"/>
          <w:b/>
          <w:iCs/>
          <w:szCs w:val="24"/>
        </w:rPr>
      </w:pPr>
      <w:r>
        <w:rPr>
          <w:rFonts w:eastAsia="Times New Roman" w:cs="Times New Roman"/>
          <w:i/>
          <w:iCs/>
          <w:szCs w:val="24"/>
        </w:rPr>
        <w:t>12</w:t>
      </w:r>
      <w:r w:rsidR="00226CF4" w:rsidRPr="002D7758">
        <w:rPr>
          <w:rFonts w:eastAsia="Times New Roman" w:cs="Times New Roman"/>
          <w:i/>
          <w:iCs/>
          <w:szCs w:val="24"/>
        </w:rPr>
        <w:t>.0</w:t>
      </w:r>
      <w:r>
        <w:rPr>
          <w:rFonts w:eastAsia="Times New Roman" w:cs="Times New Roman"/>
          <w:i/>
          <w:iCs/>
          <w:szCs w:val="24"/>
        </w:rPr>
        <w:t>9</w:t>
      </w:r>
      <w:r w:rsidR="00226CF4" w:rsidRPr="002D7758">
        <w:rPr>
          <w:rFonts w:eastAsia="Times New Roman" w:cs="Times New Roman"/>
          <w:i/>
          <w:iCs/>
          <w:szCs w:val="24"/>
        </w:rPr>
        <w:t>.2019</w:t>
      </w:r>
      <w:r w:rsidR="00BB618A" w:rsidRPr="002D7758">
        <w:rPr>
          <w:rFonts w:eastAsia="Times New Roman" w:cs="Times New Roman"/>
          <w:i/>
          <w:iCs/>
          <w:szCs w:val="24"/>
        </w:rPr>
        <w:t>.</w:t>
      </w:r>
    </w:p>
    <w:p w14:paraId="14D01441" w14:textId="77777777" w:rsidR="002E6246" w:rsidRPr="002D7758" w:rsidRDefault="002E6246" w:rsidP="002E6246">
      <w:pPr>
        <w:rPr>
          <w:rFonts w:eastAsia="Times New Roman" w:cs="Times New Roman"/>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005"/>
        <w:gridCol w:w="6350"/>
      </w:tblGrid>
      <w:tr w:rsidR="002E6246" w:rsidRPr="002D7758" w14:paraId="0A680686" w14:textId="77777777" w:rsidTr="2A45E688">
        <w:tc>
          <w:tcPr>
            <w:tcW w:w="710" w:type="dxa"/>
          </w:tcPr>
          <w:p w14:paraId="11A88137"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w:t>
            </w:r>
          </w:p>
        </w:tc>
        <w:tc>
          <w:tcPr>
            <w:tcW w:w="3005" w:type="dxa"/>
            <w:vAlign w:val="center"/>
          </w:tcPr>
          <w:p w14:paraId="1456EB21" w14:textId="77777777" w:rsidR="002E6246" w:rsidRPr="002D7758" w:rsidRDefault="002E6246" w:rsidP="002E6246">
            <w:pPr>
              <w:spacing w:before="60" w:after="60"/>
              <w:jc w:val="center"/>
              <w:rPr>
                <w:rFonts w:eastAsia="Times New Roman" w:cs="Times New Roman"/>
                <w:szCs w:val="24"/>
              </w:rPr>
            </w:pPr>
            <w:r w:rsidRPr="002D7758">
              <w:rPr>
                <w:rFonts w:eastAsia="Times New Roman" w:cs="Times New Roman"/>
                <w:szCs w:val="24"/>
              </w:rPr>
              <w:t>Sniedzamā informācija</w:t>
            </w:r>
          </w:p>
        </w:tc>
        <w:tc>
          <w:tcPr>
            <w:tcW w:w="6350" w:type="dxa"/>
            <w:vAlign w:val="center"/>
          </w:tcPr>
          <w:p w14:paraId="4EA2AF69" w14:textId="77777777" w:rsidR="002E6246" w:rsidRPr="002D7758" w:rsidRDefault="00791E04" w:rsidP="00AA3403">
            <w:pPr>
              <w:spacing w:before="60" w:after="60"/>
              <w:jc w:val="center"/>
              <w:rPr>
                <w:rFonts w:eastAsia="Times New Roman" w:cs="Times New Roman"/>
                <w:szCs w:val="24"/>
              </w:rPr>
            </w:pPr>
            <w:r w:rsidRPr="002D7758">
              <w:rPr>
                <w:rFonts w:eastAsia="Times New Roman" w:cs="Times New Roman"/>
                <w:szCs w:val="24"/>
              </w:rPr>
              <w:t>Informācija par projektu</w:t>
            </w:r>
          </w:p>
        </w:tc>
      </w:tr>
      <w:tr w:rsidR="002E6246" w:rsidRPr="002D7758" w14:paraId="038F4CF4" w14:textId="77777777" w:rsidTr="2A45E688">
        <w:tc>
          <w:tcPr>
            <w:tcW w:w="710" w:type="dxa"/>
          </w:tcPr>
          <w:p w14:paraId="649C7D6B" w14:textId="77777777" w:rsidR="002E6246" w:rsidRPr="002D7758" w:rsidRDefault="002E6246" w:rsidP="002E6246">
            <w:pPr>
              <w:spacing w:before="60" w:after="60"/>
              <w:rPr>
                <w:rFonts w:eastAsia="Times New Roman" w:cs="Times New Roman"/>
                <w:szCs w:val="24"/>
              </w:rPr>
            </w:pPr>
          </w:p>
        </w:tc>
        <w:tc>
          <w:tcPr>
            <w:tcW w:w="9355" w:type="dxa"/>
            <w:gridSpan w:val="2"/>
          </w:tcPr>
          <w:sdt>
            <w:sdtPr>
              <w:id w:val="882755678"/>
              <w:placeholder>
                <w:docPart w:val="9634D5CA8E494EBFA5370DD0F326997B"/>
              </w:placeholder>
            </w:sdtPr>
            <w:sdtEndPr>
              <w:rPr>
                <w:rFonts w:eastAsia="Times New Roman" w:cs="Times New Roman"/>
                <w:b/>
                <w:bCs/>
                <w:color w:val="000000" w:themeColor="text1"/>
                <w:szCs w:val="24"/>
                <w:lang w:eastAsia="lv-LV"/>
              </w:rPr>
            </w:sdtEndPr>
            <w:sdtContent>
              <w:p w14:paraId="6113DA95" w14:textId="0F6CEB01" w:rsidR="00D10332" w:rsidRPr="00CB53F1" w:rsidRDefault="00D10332" w:rsidP="00D10332">
                <w:pPr>
                  <w:jc w:val="center"/>
                  <w:rPr>
                    <w:b/>
                  </w:rPr>
                </w:pPr>
                <w:r>
                  <w:t xml:space="preserve">Likumprojekts </w:t>
                </w:r>
                <w:r w:rsidRPr="00D10332">
                  <w:t>„Izslēdzošā ieskaita likums”</w:t>
                </w:r>
                <w:r w:rsidRPr="00CB53F1">
                  <w:rPr>
                    <w:b/>
                  </w:rPr>
                  <w:t xml:space="preserve"> </w:t>
                </w:r>
              </w:p>
              <w:p w14:paraId="5FD324EE" w14:textId="0A675E62" w:rsidR="002E6246" w:rsidRPr="00FA4E76" w:rsidRDefault="00585BDD" w:rsidP="00D10332">
                <w:pPr>
                  <w:shd w:val="clear" w:color="auto" w:fill="FFFFFF"/>
                  <w:jc w:val="center"/>
                  <w:rPr>
                    <w:rFonts w:eastAsia="Calibri" w:cs="Times New Roman"/>
                    <w:b/>
                    <w:bCs/>
                    <w:szCs w:val="24"/>
                  </w:rPr>
                </w:pPr>
              </w:p>
            </w:sdtContent>
          </w:sdt>
        </w:tc>
      </w:tr>
      <w:tr w:rsidR="002E6246" w:rsidRPr="002D7758" w14:paraId="1B6154FB" w14:textId="77777777" w:rsidTr="2A45E688">
        <w:trPr>
          <w:trHeight w:val="725"/>
        </w:trPr>
        <w:tc>
          <w:tcPr>
            <w:tcW w:w="710" w:type="dxa"/>
          </w:tcPr>
          <w:p w14:paraId="03AF8BF1"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649A217" w14:textId="77777777" w:rsidR="002E6246" w:rsidRPr="002D7758" w:rsidRDefault="002E6246" w:rsidP="002E6246">
            <w:pPr>
              <w:rPr>
                <w:rFonts w:eastAsia="Times New Roman" w:cs="Times New Roman"/>
                <w:szCs w:val="24"/>
              </w:rPr>
            </w:pPr>
            <w:r w:rsidRPr="002D7758">
              <w:rPr>
                <w:rFonts w:eastAsia="Times New Roman" w:cs="Times New Roman"/>
                <w:szCs w:val="24"/>
              </w:rPr>
              <w:t>Projekta izstrādes nepieciešamības pamatojums</w:t>
            </w:r>
          </w:p>
        </w:tc>
        <w:tc>
          <w:tcPr>
            <w:tcW w:w="6350" w:type="dxa"/>
          </w:tcPr>
          <w:p w14:paraId="732F740B" w14:textId="7CF8A2C1" w:rsidR="004B19D2" w:rsidRPr="008D0E19" w:rsidRDefault="00D10332" w:rsidP="004B19D2">
            <w:pPr>
              <w:ind w:firstLine="346"/>
              <w:jc w:val="both"/>
            </w:pPr>
            <w:r w:rsidRPr="008D0E19">
              <w:rPr>
                <w:rFonts w:cs="Times New Roman"/>
                <w:szCs w:val="24"/>
              </w:rPr>
              <w:t xml:space="preserve">Likumprojekta </w:t>
            </w:r>
            <w:r w:rsidRPr="008D0E19">
              <w:t>„Izslēdzošā ieskaita likums”</w:t>
            </w:r>
            <w:r w:rsidRPr="008D0E19">
              <w:rPr>
                <w:b/>
              </w:rPr>
              <w:t xml:space="preserve"> </w:t>
            </w:r>
            <w:r w:rsidRPr="008D0E19">
              <w:rPr>
                <w:rFonts w:cs="Times New Roman"/>
                <w:szCs w:val="24"/>
              </w:rPr>
              <w:t>izstrādes mērķis ir</w:t>
            </w:r>
            <w:r w:rsidR="004B19D2" w:rsidRPr="008D0E19">
              <w:rPr>
                <w:rFonts w:cs="Times New Roman"/>
                <w:szCs w:val="24"/>
              </w:rPr>
              <w:t xml:space="preserve"> </w:t>
            </w:r>
            <w:r w:rsidR="004B19D2" w:rsidRPr="008D0E19">
              <w:rPr>
                <w:szCs w:val="20"/>
              </w:rPr>
              <w:t xml:space="preserve">radīt izslēdzošā ieskaita tiesisko režīmu atvasināto finanšu instrumentu un finanšu instrumentu </w:t>
            </w:r>
            <w:r w:rsidR="004B19D2" w:rsidRPr="008D0E19">
              <w:t xml:space="preserve">pirkuma ar </w:t>
            </w:r>
            <w:r w:rsidR="004B19D2" w:rsidRPr="008D0E19">
              <w:rPr>
                <w:bCs/>
              </w:rPr>
              <w:t>atpakaļpirkuma vai atpakaļpārdevuma nosacījumiem (</w:t>
            </w:r>
            <w:proofErr w:type="spellStart"/>
            <w:r w:rsidR="004B19D2" w:rsidRPr="008D0E19">
              <w:rPr>
                <w:bCs/>
                <w:i/>
              </w:rPr>
              <w:t>repo</w:t>
            </w:r>
            <w:proofErr w:type="spellEnd"/>
            <w:r w:rsidR="004B19D2" w:rsidRPr="008D0E19">
              <w:rPr>
                <w:bCs/>
              </w:rPr>
              <w:t>)</w:t>
            </w:r>
            <w:r w:rsidR="004B19D2" w:rsidRPr="008D0E19">
              <w:t xml:space="preserve"> darījumiem un nodrošināt izslēdzošā ieskaita piemērošanu, nostiprinot tā vispārīgos principus, tādējādi veicinot finanšu instrumentu tirgus attīstību Latvijā.</w:t>
            </w:r>
          </w:p>
          <w:p w14:paraId="37951050" w14:textId="5E4B1236" w:rsidR="004B19D2" w:rsidRPr="008D0E19" w:rsidRDefault="004B19D2" w:rsidP="004B19D2">
            <w:pPr>
              <w:ind w:firstLine="346"/>
              <w:jc w:val="both"/>
            </w:pPr>
            <w:r w:rsidRPr="008D0E19">
              <w:t>Likumprojekts</w:t>
            </w:r>
            <w:r w:rsidRPr="008D0E19">
              <w:rPr>
                <w:szCs w:val="20"/>
              </w:rPr>
              <w:t xml:space="preserve"> vienlaicīgi nodrošinās Latvijai lielāku iespēju saņemt pozitīvu atzinumu no </w:t>
            </w:r>
            <w:r w:rsidR="00996D39" w:rsidRPr="00CB53F1">
              <w:rPr>
                <w:szCs w:val="20"/>
              </w:rPr>
              <w:t>Starptautiskās Mijmaiņas un Atvasināto Finanšu Instrumentu Asociācijas (</w:t>
            </w:r>
            <w:proofErr w:type="spellStart"/>
            <w:r w:rsidR="00996D39" w:rsidRPr="00CB53F1">
              <w:rPr>
                <w:i/>
                <w:szCs w:val="20"/>
              </w:rPr>
              <w:t>International</w:t>
            </w:r>
            <w:proofErr w:type="spellEnd"/>
            <w:r w:rsidR="00996D39" w:rsidRPr="00CB53F1">
              <w:rPr>
                <w:i/>
                <w:szCs w:val="20"/>
              </w:rPr>
              <w:t xml:space="preserve"> </w:t>
            </w:r>
            <w:proofErr w:type="spellStart"/>
            <w:r w:rsidR="00996D39" w:rsidRPr="00CB53F1">
              <w:rPr>
                <w:i/>
                <w:szCs w:val="20"/>
              </w:rPr>
              <w:t>Swaps</w:t>
            </w:r>
            <w:proofErr w:type="spellEnd"/>
            <w:r w:rsidR="00996D39" w:rsidRPr="00CB53F1">
              <w:rPr>
                <w:i/>
                <w:szCs w:val="20"/>
              </w:rPr>
              <w:t xml:space="preserve"> </w:t>
            </w:r>
            <w:proofErr w:type="spellStart"/>
            <w:r w:rsidR="00996D39" w:rsidRPr="00CB53F1">
              <w:rPr>
                <w:i/>
                <w:szCs w:val="20"/>
              </w:rPr>
              <w:t>and</w:t>
            </w:r>
            <w:proofErr w:type="spellEnd"/>
            <w:r w:rsidR="00996D39" w:rsidRPr="00CB53F1">
              <w:rPr>
                <w:i/>
                <w:szCs w:val="20"/>
              </w:rPr>
              <w:t xml:space="preserve"> </w:t>
            </w:r>
            <w:proofErr w:type="spellStart"/>
            <w:r w:rsidR="00996D39" w:rsidRPr="00CB53F1">
              <w:rPr>
                <w:i/>
                <w:szCs w:val="20"/>
              </w:rPr>
              <w:t>Derivatives</w:t>
            </w:r>
            <w:proofErr w:type="spellEnd"/>
            <w:r w:rsidR="00996D39" w:rsidRPr="00CB53F1">
              <w:rPr>
                <w:i/>
                <w:szCs w:val="20"/>
              </w:rPr>
              <w:t xml:space="preserve"> Association</w:t>
            </w:r>
            <w:r w:rsidR="00996D39">
              <w:rPr>
                <w:i/>
                <w:szCs w:val="20"/>
              </w:rPr>
              <w:t xml:space="preserve"> </w:t>
            </w:r>
            <w:r w:rsidR="00996D39" w:rsidRPr="00996D39">
              <w:rPr>
                <w:i/>
                <w:szCs w:val="20"/>
              </w:rPr>
              <w:t xml:space="preserve">jeb </w:t>
            </w:r>
            <w:r w:rsidR="00996D39" w:rsidRPr="00996D39">
              <w:rPr>
                <w:szCs w:val="20"/>
              </w:rPr>
              <w:t>ISDA</w:t>
            </w:r>
            <w:r w:rsidR="00996D39" w:rsidRPr="00CB53F1">
              <w:rPr>
                <w:szCs w:val="20"/>
              </w:rPr>
              <w:t>)</w:t>
            </w:r>
            <w:r w:rsidRPr="008D0E19">
              <w:rPr>
                <w:szCs w:val="20"/>
              </w:rPr>
              <w:t>, kas veicinātu minētā tirgus attīstību mūsu valstī.</w:t>
            </w:r>
          </w:p>
          <w:p w14:paraId="6C9FA986" w14:textId="6228EDE0" w:rsidR="004B19D2" w:rsidRPr="008D0E19" w:rsidRDefault="008D0E19" w:rsidP="004B19D2">
            <w:pPr>
              <w:ind w:firstLine="346"/>
              <w:jc w:val="both"/>
            </w:pPr>
            <w:r>
              <w:t>No l</w:t>
            </w:r>
            <w:r w:rsidR="004B19D2" w:rsidRPr="008D0E19">
              <w:t>ikumprojekta izrietošie mērķi ir:</w:t>
            </w:r>
          </w:p>
          <w:p w14:paraId="44375910" w14:textId="4ABA6DD1" w:rsidR="004B19D2" w:rsidRPr="008D0E19" w:rsidRDefault="004B19D2" w:rsidP="004B19D2">
            <w:pPr>
              <w:pStyle w:val="ListParagraph"/>
              <w:numPr>
                <w:ilvl w:val="0"/>
                <w:numId w:val="10"/>
              </w:numPr>
              <w:jc w:val="both"/>
              <w:rPr>
                <w:szCs w:val="24"/>
              </w:rPr>
            </w:pPr>
            <w:r w:rsidRPr="008D0E19">
              <w:rPr>
                <w:szCs w:val="24"/>
              </w:rPr>
              <w:t xml:space="preserve">nodrošināt finanšu tirgus stabilitāti, ierobežojot sistēmisko risku, ko varētu radīt tiesiskās aizsardzības, maksātnespējas vai likvidācijas process pret kādu tirgus dalībnieku; </w:t>
            </w:r>
          </w:p>
          <w:p w14:paraId="1A609D7F" w14:textId="77777777" w:rsidR="004B19D2" w:rsidRPr="008D0E19" w:rsidRDefault="004B19D2" w:rsidP="004B19D2">
            <w:pPr>
              <w:pStyle w:val="ListParagraph"/>
              <w:numPr>
                <w:ilvl w:val="0"/>
                <w:numId w:val="10"/>
              </w:numPr>
              <w:jc w:val="both"/>
              <w:rPr>
                <w:szCs w:val="24"/>
              </w:rPr>
            </w:pPr>
            <w:r w:rsidRPr="008D0E19">
              <w:rPr>
                <w:szCs w:val="24"/>
              </w:rPr>
              <w:t>aizsargāt izslēdzošā ieskaita līguma puses, ja tiek veikts tiesiskās aizsardzības, maksātnespējas vai likvidācijas process attiecībā uz kādu no tām.</w:t>
            </w:r>
          </w:p>
          <w:p w14:paraId="249A7BA6" w14:textId="7AF0BAB2" w:rsidR="004300A9" w:rsidRPr="002D7758" w:rsidRDefault="004300A9" w:rsidP="004B19D2">
            <w:pPr>
              <w:rPr>
                <w:rFonts w:eastAsia="Calibri" w:cs="Times New Roman"/>
                <w:szCs w:val="24"/>
              </w:rPr>
            </w:pPr>
          </w:p>
        </w:tc>
      </w:tr>
      <w:tr w:rsidR="002E6246" w:rsidRPr="002D7758" w14:paraId="3D8E39E8" w14:textId="77777777" w:rsidTr="2A45E688">
        <w:tc>
          <w:tcPr>
            <w:tcW w:w="710" w:type="dxa"/>
          </w:tcPr>
          <w:p w14:paraId="45A28F1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4495A350" w14:textId="77777777" w:rsidR="002E6246" w:rsidRPr="002D7758" w:rsidRDefault="002E6246" w:rsidP="002E6246">
            <w:pPr>
              <w:rPr>
                <w:rFonts w:eastAsia="Times New Roman" w:cs="Times New Roman"/>
                <w:szCs w:val="24"/>
              </w:rPr>
            </w:pPr>
            <w:r w:rsidRPr="002D7758">
              <w:rPr>
                <w:rFonts w:eastAsia="Times New Roman" w:cs="Times New Roman"/>
                <w:szCs w:val="24"/>
              </w:rPr>
              <w:t>Vadības darba plāna uzdevuma numurs un tā izpildes termiņš (ja nepieciešams)</w:t>
            </w:r>
          </w:p>
        </w:tc>
        <w:tc>
          <w:tcPr>
            <w:tcW w:w="6350" w:type="dxa"/>
          </w:tcPr>
          <w:p w14:paraId="75FFFEEF" w14:textId="30BB23CE" w:rsidR="005D4BBE" w:rsidRPr="002D7758" w:rsidRDefault="00996D39" w:rsidP="00996D39">
            <w:pPr>
              <w:shd w:val="clear" w:color="auto" w:fill="FFFFFF"/>
              <w:spacing w:before="100" w:beforeAutospacing="1" w:after="100" w:afterAutospacing="1"/>
              <w:jc w:val="both"/>
              <w:outlineLvl w:val="3"/>
              <w:rPr>
                <w:b/>
                <w:iCs/>
              </w:rPr>
            </w:pPr>
            <w:r>
              <w:rPr>
                <w:rFonts w:cs="Times New Roman"/>
                <w:szCs w:val="24"/>
                <w:shd w:val="clear" w:color="auto" w:fill="FFFFFF"/>
              </w:rPr>
              <w:t xml:space="preserve">Ar </w:t>
            </w:r>
            <w:r w:rsidR="00D10332" w:rsidRPr="00D10332">
              <w:rPr>
                <w:rFonts w:cs="Times New Roman"/>
                <w:szCs w:val="24"/>
                <w:shd w:val="clear" w:color="auto" w:fill="FFFFFF"/>
              </w:rPr>
              <w:t>2019. gada 7. maija</w:t>
            </w:r>
            <w:r w:rsidR="008D0E19">
              <w:rPr>
                <w:rFonts w:cs="Times New Roman"/>
                <w:szCs w:val="24"/>
                <w:shd w:val="clear" w:color="auto" w:fill="FFFFFF"/>
              </w:rPr>
              <w:t xml:space="preserve"> </w:t>
            </w:r>
            <w:r w:rsidR="00D10332" w:rsidRPr="00D10332">
              <w:rPr>
                <w:rFonts w:cs="Times New Roman"/>
                <w:szCs w:val="24"/>
                <w:shd w:val="clear" w:color="auto" w:fill="FFFFFF"/>
              </w:rPr>
              <w:t>rīkojumu Nr. 210</w:t>
            </w:r>
            <w:r w:rsidR="00D10332" w:rsidRPr="00D10332">
              <w:rPr>
                <w:rFonts w:eastAsia="Times New Roman" w:cs="Times New Roman"/>
                <w:bCs/>
                <w:szCs w:val="24"/>
                <w:lang w:eastAsia="lv-LV"/>
              </w:rPr>
              <w:t xml:space="preserve"> apstiprinātā</w:t>
            </w:r>
            <w:r>
              <w:rPr>
                <w:rFonts w:eastAsia="Times New Roman" w:cs="Times New Roman"/>
                <w:bCs/>
                <w:szCs w:val="24"/>
                <w:lang w:eastAsia="lv-LV"/>
              </w:rPr>
              <w:t>s</w:t>
            </w:r>
            <w:r w:rsidR="00D10332" w:rsidRPr="00D10332">
              <w:rPr>
                <w:rFonts w:eastAsia="Times New Roman" w:cs="Times New Roman"/>
                <w:bCs/>
                <w:szCs w:val="24"/>
                <w:lang w:eastAsia="lv-LV"/>
              </w:rPr>
              <w:t xml:space="preserve"> “Valdības rīcības plāns Deklarācijas par Artura Krišjāņa Kariņa vadītā Ministru kabineta iecerēto darbību īstenošanai” uzdevums Nr.</w:t>
            </w:r>
            <w:r>
              <w:rPr>
                <w:rFonts w:eastAsia="Times New Roman" w:cs="Times New Roman"/>
                <w:bCs/>
                <w:szCs w:val="24"/>
                <w:lang w:eastAsia="lv-LV"/>
              </w:rPr>
              <w:t> </w:t>
            </w:r>
            <w:r w:rsidR="00D10332" w:rsidRPr="00D10332">
              <w:rPr>
                <w:rFonts w:eastAsia="Times New Roman" w:cs="Times New Roman"/>
                <w:bCs/>
                <w:szCs w:val="24"/>
                <w:lang w:eastAsia="lv-LV"/>
              </w:rPr>
              <w:t>017, pasākum</w:t>
            </w:r>
            <w:r>
              <w:rPr>
                <w:rFonts w:eastAsia="Times New Roman" w:cs="Times New Roman"/>
                <w:bCs/>
                <w:szCs w:val="24"/>
                <w:lang w:eastAsia="lv-LV"/>
              </w:rPr>
              <w:t>s</w:t>
            </w:r>
            <w:r w:rsidR="00D10332" w:rsidRPr="00D10332">
              <w:rPr>
                <w:rFonts w:eastAsia="Times New Roman" w:cs="Times New Roman"/>
                <w:bCs/>
                <w:szCs w:val="24"/>
                <w:lang w:eastAsia="lv-LV"/>
              </w:rPr>
              <w:t xml:space="preserve"> Nr.</w:t>
            </w:r>
            <w:r>
              <w:rPr>
                <w:rFonts w:eastAsia="Times New Roman" w:cs="Times New Roman"/>
                <w:bCs/>
                <w:szCs w:val="24"/>
                <w:lang w:eastAsia="lv-LV"/>
              </w:rPr>
              <w:t> </w:t>
            </w:r>
            <w:r w:rsidR="00D10332" w:rsidRPr="00D10332">
              <w:rPr>
                <w:rFonts w:eastAsia="Times New Roman" w:cs="Times New Roman"/>
                <w:bCs/>
                <w:szCs w:val="24"/>
                <w:lang w:eastAsia="lv-LV"/>
              </w:rPr>
              <w:t>17.1. rīcības plāna pasākums Nr.</w:t>
            </w:r>
            <w:r>
              <w:rPr>
                <w:rFonts w:eastAsia="Times New Roman" w:cs="Times New Roman"/>
                <w:bCs/>
                <w:szCs w:val="24"/>
                <w:lang w:eastAsia="lv-LV"/>
              </w:rPr>
              <w:t> </w:t>
            </w:r>
            <w:r w:rsidR="00D10332" w:rsidRPr="00D10332">
              <w:rPr>
                <w:rFonts w:eastAsia="Times New Roman" w:cs="Times New Roman"/>
                <w:bCs/>
                <w:szCs w:val="24"/>
                <w:lang w:eastAsia="lv-LV"/>
              </w:rPr>
              <w:t>3.a).</w:t>
            </w:r>
          </w:p>
        </w:tc>
      </w:tr>
      <w:tr w:rsidR="002E6246" w:rsidRPr="002D7758" w14:paraId="18ADF702" w14:textId="77777777" w:rsidTr="2A45E688">
        <w:tc>
          <w:tcPr>
            <w:tcW w:w="710" w:type="dxa"/>
          </w:tcPr>
          <w:p w14:paraId="166D11E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E4E51FE" w14:textId="77777777" w:rsidR="002E6246" w:rsidRPr="002D7758" w:rsidRDefault="002E6246" w:rsidP="002E6246">
            <w:pPr>
              <w:rPr>
                <w:rFonts w:eastAsia="Times New Roman" w:cs="Times New Roman"/>
                <w:szCs w:val="24"/>
                <w:highlight w:val="yellow"/>
              </w:rPr>
            </w:pPr>
            <w:r w:rsidRPr="002D7758">
              <w:rPr>
                <w:rFonts w:eastAsia="Times New Roman" w:cs="Times New Roman"/>
                <w:szCs w:val="24"/>
              </w:rPr>
              <w:t>Projekta īss saturs</w:t>
            </w:r>
          </w:p>
        </w:tc>
        <w:tc>
          <w:tcPr>
            <w:tcW w:w="6350" w:type="dxa"/>
          </w:tcPr>
          <w:p w14:paraId="61DA3E54" w14:textId="6736E403" w:rsidR="00D10332" w:rsidRPr="004B19D2" w:rsidRDefault="00312282" w:rsidP="004B19D2">
            <w:pPr>
              <w:autoSpaceDE w:val="0"/>
              <w:autoSpaceDN w:val="0"/>
              <w:adjustRightInd w:val="0"/>
              <w:jc w:val="both"/>
              <w:rPr>
                <w:rFonts w:eastAsia="Times New Roman" w:cs="Times New Roman"/>
                <w:iCs/>
                <w:color w:val="000000" w:themeColor="text1"/>
                <w:szCs w:val="24"/>
                <w:lang w:eastAsia="lv-LV"/>
              </w:rPr>
            </w:pPr>
            <w:r w:rsidRPr="00170D32">
              <w:rPr>
                <w:rFonts w:eastAsia="Times New Roman" w:cs="Times New Roman"/>
                <w:iCs/>
                <w:color w:val="000000" w:themeColor="text1"/>
                <w:szCs w:val="24"/>
                <w:lang w:eastAsia="lv-LV"/>
              </w:rPr>
              <w:t xml:space="preserve">Likumprojekts </w:t>
            </w:r>
            <w:r w:rsidR="004B19D2">
              <w:rPr>
                <w:rFonts w:eastAsia="Times New Roman" w:cs="Times New Roman"/>
                <w:iCs/>
                <w:color w:val="000000" w:themeColor="text1"/>
                <w:szCs w:val="24"/>
                <w:lang w:eastAsia="lv-LV"/>
              </w:rPr>
              <w:t xml:space="preserve">paredzēs noteikt </w:t>
            </w:r>
            <w:r w:rsidR="004B19D2" w:rsidRPr="004B19D2">
              <w:rPr>
                <w:szCs w:val="20"/>
              </w:rPr>
              <w:t>izslēdzošā ieskaita jēdzienu, subjektus, kvalificētos finanšu darījumus, kam šis regulējums piemērojams, kā arī izslēdzoš</w:t>
            </w:r>
            <w:r w:rsidR="008D0E19">
              <w:rPr>
                <w:szCs w:val="20"/>
              </w:rPr>
              <w:t>ā ieskaita piemērošanas procesu, tajā skaitā:</w:t>
            </w:r>
          </w:p>
          <w:p w14:paraId="4050A841" w14:textId="337FE4D8" w:rsidR="008D0E19" w:rsidRDefault="004B19D2" w:rsidP="00BB618A">
            <w:pPr>
              <w:pStyle w:val="ListParagraph"/>
              <w:numPr>
                <w:ilvl w:val="0"/>
                <w:numId w:val="11"/>
              </w:numPr>
              <w:autoSpaceDE w:val="0"/>
              <w:autoSpaceDN w:val="0"/>
              <w:adjustRightInd w:val="0"/>
              <w:jc w:val="both"/>
              <w:rPr>
                <w:szCs w:val="20"/>
              </w:rPr>
            </w:pPr>
            <w:r w:rsidRPr="008D0E19">
              <w:rPr>
                <w:szCs w:val="20"/>
              </w:rPr>
              <w:t xml:space="preserve">Likumprojekta aprakstīs izslēdzošā ieskaita tiesiskā regulējuma sistēmu un </w:t>
            </w:r>
            <w:r w:rsidR="00996D39">
              <w:rPr>
                <w:szCs w:val="20"/>
              </w:rPr>
              <w:t>l</w:t>
            </w:r>
            <w:r w:rsidRPr="008D0E19">
              <w:rPr>
                <w:szCs w:val="20"/>
              </w:rPr>
              <w:t>ikumprojekta attiecības ar citu likumu tiesisko regulējumu izslēdzošā ieskaita piemērošanā.</w:t>
            </w:r>
          </w:p>
          <w:p w14:paraId="58C07A81" w14:textId="77777777" w:rsidR="008D0E19" w:rsidRPr="008D0E19" w:rsidRDefault="004B19D2" w:rsidP="00BB618A">
            <w:pPr>
              <w:pStyle w:val="ListParagraph"/>
              <w:numPr>
                <w:ilvl w:val="0"/>
                <w:numId w:val="11"/>
              </w:numPr>
              <w:autoSpaceDE w:val="0"/>
              <w:autoSpaceDN w:val="0"/>
              <w:adjustRightInd w:val="0"/>
              <w:jc w:val="both"/>
              <w:rPr>
                <w:szCs w:val="20"/>
              </w:rPr>
            </w:pPr>
            <w:r>
              <w:t xml:space="preserve">Likumprojekts </w:t>
            </w:r>
            <w:r w:rsidRPr="008D0E19">
              <w:rPr>
                <w:color w:val="000000" w:themeColor="text1"/>
              </w:rPr>
              <w:t>strikti un precīzi</w:t>
            </w:r>
            <w:r>
              <w:t xml:space="preserve"> uzskaitīs subjektu loku, uz ko attiecināms izslēdzošā ieskaita režīms, </w:t>
            </w:r>
            <w:r w:rsidRPr="008D0E19">
              <w:rPr>
                <w:color w:val="000000" w:themeColor="text1"/>
              </w:rPr>
              <w:t xml:space="preserve">jo izslēdzošā ieskaita regulējums paredz atkāpes no </w:t>
            </w:r>
            <w:proofErr w:type="spellStart"/>
            <w:r w:rsidRPr="008D0E19">
              <w:rPr>
                <w:color w:val="000000" w:themeColor="text1"/>
              </w:rPr>
              <w:t>vispārpiemērojamajām</w:t>
            </w:r>
            <w:proofErr w:type="spellEnd"/>
            <w:r w:rsidRPr="008D0E19">
              <w:rPr>
                <w:color w:val="000000" w:themeColor="text1"/>
              </w:rPr>
              <w:t xml:space="preserve"> tiesiskās aizsardzības, maksātnespējas un likvidācijas procesa normām.</w:t>
            </w:r>
          </w:p>
          <w:p w14:paraId="19501B17" w14:textId="77777777" w:rsidR="008D0E19" w:rsidRDefault="004B19D2" w:rsidP="00BB618A">
            <w:pPr>
              <w:pStyle w:val="ListParagraph"/>
              <w:numPr>
                <w:ilvl w:val="0"/>
                <w:numId w:val="11"/>
              </w:numPr>
              <w:autoSpaceDE w:val="0"/>
              <w:autoSpaceDN w:val="0"/>
              <w:adjustRightInd w:val="0"/>
              <w:jc w:val="both"/>
              <w:rPr>
                <w:szCs w:val="20"/>
              </w:rPr>
            </w:pPr>
            <w:r w:rsidRPr="008D0E19">
              <w:rPr>
                <w:color w:val="000000" w:themeColor="text1"/>
              </w:rPr>
              <w:t xml:space="preserve">Likumprojekts aprakstīs </w:t>
            </w:r>
            <w:r>
              <w:t xml:space="preserve">izslēdzošā ieskaita mehānismu un </w:t>
            </w:r>
            <w:r w:rsidRPr="008D0E19">
              <w:rPr>
                <w:szCs w:val="20"/>
              </w:rPr>
              <w:t>vispārīgus izslēdzošā ieskaita pamata principus.</w:t>
            </w:r>
          </w:p>
          <w:p w14:paraId="6AA71A7E" w14:textId="093BD25F" w:rsidR="008D0E19" w:rsidRDefault="004B19D2" w:rsidP="00BB618A">
            <w:pPr>
              <w:pStyle w:val="ListParagraph"/>
              <w:numPr>
                <w:ilvl w:val="0"/>
                <w:numId w:val="11"/>
              </w:numPr>
              <w:autoSpaceDE w:val="0"/>
              <w:autoSpaceDN w:val="0"/>
              <w:adjustRightInd w:val="0"/>
              <w:jc w:val="both"/>
              <w:rPr>
                <w:szCs w:val="20"/>
              </w:rPr>
            </w:pPr>
            <w:r w:rsidRPr="008D0E19">
              <w:rPr>
                <w:color w:val="000000" w:themeColor="text1"/>
              </w:rPr>
              <w:t xml:space="preserve">Likumprojekts </w:t>
            </w:r>
            <w:r w:rsidRPr="008D0E19">
              <w:rPr>
                <w:szCs w:val="20"/>
              </w:rPr>
              <w:t xml:space="preserve">definēs kvalificētos finanšu darījumus un regulēs Finanšu un kapitāla tirgus </w:t>
            </w:r>
            <w:r w:rsidR="00625C8B" w:rsidRPr="008D0E19">
              <w:rPr>
                <w:szCs w:val="20"/>
              </w:rPr>
              <w:t xml:space="preserve">komisijas tiesības </w:t>
            </w:r>
            <w:r w:rsidR="00625C8B" w:rsidRPr="008D0E19">
              <w:rPr>
                <w:szCs w:val="20"/>
              </w:rPr>
              <w:lastRenderedPageBreak/>
              <w:t xml:space="preserve">noteikt kādu darījuma veidu par kvalificēto finanšu darījumu papildus tiem, kas noteikti </w:t>
            </w:r>
            <w:r w:rsidR="00996D39">
              <w:rPr>
                <w:szCs w:val="20"/>
              </w:rPr>
              <w:t>l</w:t>
            </w:r>
            <w:r w:rsidR="00625C8B" w:rsidRPr="008D0E19">
              <w:rPr>
                <w:szCs w:val="20"/>
              </w:rPr>
              <w:t>ikumprojektā.</w:t>
            </w:r>
          </w:p>
          <w:p w14:paraId="671F2412" w14:textId="389287AB" w:rsidR="00625C8B" w:rsidRPr="008D0E19" w:rsidRDefault="00625C8B" w:rsidP="00BB618A">
            <w:pPr>
              <w:pStyle w:val="ListParagraph"/>
              <w:numPr>
                <w:ilvl w:val="0"/>
                <w:numId w:val="11"/>
              </w:numPr>
              <w:autoSpaceDE w:val="0"/>
              <w:autoSpaceDN w:val="0"/>
              <w:adjustRightInd w:val="0"/>
              <w:jc w:val="both"/>
              <w:rPr>
                <w:szCs w:val="20"/>
              </w:rPr>
            </w:pPr>
            <w:r w:rsidRPr="00CB53F1">
              <w:t xml:space="preserve">Lai jaunais izslēdzošā ieskaita režīms nodrošinātu efektīvu izslēdzošā ieskaita līgumu piemērošanu, nacionālajā likumdošanā </w:t>
            </w:r>
            <w:r w:rsidR="00996D39">
              <w:t>l</w:t>
            </w:r>
            <w:r>
              <w:t>ikumprojekts paredz</w:t>
            </w:r>
            <w:r w:rsidR="00996D39">
              <w:t>ēs</w:t>
            </w:r>
            <w:r>
              <w:t xml:space="preserve"> atzīt tā normas</w:t>
            </w:r>
            <w:r w:rsidRPr="00CB53F1">
              <w:t xml:space="preserve"> kā prevalējošs pār spē</w:t>
            </w:r>
            <w:r>
              <w:t>k</w:t>
            </w:r>
            <w:r w:rsidRPr="00CB53F1">
              <w:t>ā esošajām tiesību normām attiecībā uz tiesiskās aizsardzības, maksātnespējas un likvidācijas procesu.</w:t>
            </w:r>
            <w:r>
              <w:t xml:space="preserve"> Tāpat </w:t>
            </w:r>
            <w:r w:rsidR="00996D39">
              <w:t>l</w:t>
            </w:r>
            <w:r w:rsidRPr="008D0E19">
              <w:rPr>
                <w:szCs w:val="20"/>
              </w:rPr>
              <w:t>ikumprojekta paredzēs atsevišķu tiesiskās aizsardzības, maksātnespējas un likvidācijas procesu regulējošo tiesību normu nepiemērošanu izslēdzošā ieskaita gadījumā.</w:t>
            </w:r>
          </w:p>
          <w:p w14:paraId="16751375" w14:textId="437706F5" w:rsidR="00BB618A" w:rsidRPr="00625C8B" w:rsidRDefault="00BB618A" w:rsidP="00625C8B">
            <w:pPr>
              <w:autoSpaceDE w:val="0"/>
              <w:autoSpaceDN w:val="0"/>
              <w:adjustRightInd w:val="0"/>
              <w:jc w:val="both"/>
              <w:rPr>
                <w:noProof/>
                <w:szCs w:val="24"/>
              </w:rPr>
            </w:pPr>
          </w:p>
        </w:tc>
      </w:tr>
      <w:tr w:rsidR="002E6246" w:rsidRPr="002D7758" w14:paraId="12E3A7C9" w14:textId="77777777" w:rsidTr="2A45E688">
        <w:tc>
          <w:tcPr>
            <w:tcW w:w="710" w:type="dxa"/>
          </w:tcPr>
          <w:p w14:paraId="6524DD2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1B625FF" w14:textId="77777777" w:rsidR="002E6246" w:rsidRPr="002D7758" w:rsidRDefault="002E6246" w:rsidP="002E6246">
            <w:pPr>
              <w:rPr>
                <w:rFonts w:eastAsia="Times New Roman" w:cs="Times New Roman"/>
                <w:szCs w:val="24"/>
              </w:rPr>
            </w:pPr>
            <w:r w:rsidRPr="002D7758">
              <w:rPr>
                <w:rFonts w:eastAsia="Times New Roman" w:cs="Times New Roman"/>
                <w:szCs w:val="24"/>
              </w:rPr>
              <w:t>Iespējamie risinājuma varianti (ja nepieciešams)</w:t>
            </w:r>
          </w:p>
        </w:tc>
        <w:tc>
          <w:tcPr>
            <w:tcW w:w="6350" w:type="dxa"/>
          </w:tcPr>
          <w:p w14:paraId="6E2820A1" w14:textId="18767435" w:rsidR="002E6246" w:rsidRPr="002D7758" w:rsidRDefault="008D0E19" w:rsidP="0093749F">
            <w:pPr>
              <w:spacing w:after="60"/>
              <w:jc w:val="both"/>
              <w:rPr>
                <w:rFonts w:eastAsia="Times New Roman" w:cs="Times New Roman"/>
                <w:szCs w:val="24"/>
              </w:rPr>
            </w:pPr>
            <w:r>
              <w:rPr>
                <w:rFonts w:eastAsia="Times New Roman" w:cs="Times New Roman"/>
                <w:szCs w:val="24"/>
              </w:rPr>
              <w:t xml:space="preserve">Neizstrādās atsevišķu likumu, bet regulējumu par izslēdzošo ieskaitu atvasinātajiem finanšu instrumentiem iekļaut kādā </w:t>
            </w:r>
            <w:r w:rsidR="0093749F">
              <w:rPr>
                <w:rFonts w:eastAsia="Times New Roman" w:cs="Times New Roman"/>
                <w:szCs w:val="24"/>
              </w:rPr>
              <w:t xml:space="preserve">no </w:t>
            </w:r>
            <w:r>
              <w:rPr>
                <w:rFonts w:eastAsia="Times New Roman" w:cs="Times New Roman"/>
                <w:szCs w:val="24"/>
              </w:rPr>
              <w:t>jau spēkā esoš</w:t>
            </w:r>
            <w:r w:rsidR="0093749F">
              <w:rPr>
                <w:rFonts w:eastAsia="Times New Roman" w:cs="Times New Roman"/>
                <w:szCs w:val="24"/>
              </w:rPr>
              <w:t>ajiem</w:t>
            </w:r>
            <w:r>
              <w:rPr>
                <w:rFonts w:eastAsia="Times New Roman" w:cs="Times New Roman"/>
                <w:szCs w:val="24"/>
              </w:rPr>
              <w:t xml:space="preserve"> tiesību akt</w:t>
            </w:r>
            <w:r w:rsidR="0093749F">
              <w:rPr>
                <w:rFonts w:eastAsia="Times New Roman" w:cs="Times New Roman"/>
                <w:szCs w:val="24"/>
              </w:rPr>
              <w:t>iem</w:t>
            </w:r>
            <w:r w:rsidR="00996D39">
              <w:rPr>
                <w:rFonts w:eastAsia="Times New Roman" w:cs="Times New Roman"/>
                <w:szCs w:val="24"/>
              </w:rPr>
              <w:t>, piemēram, Maksātnespējas likumā, Finanšu instrumentu tirgus likumā vai Finanšu nodrošinājuma likumā.</w:t>
            </w:r>
          </w:p>
        </w:tc>
      </w:tr>
      <w:tr w:rsidR="002E6246" w:rsidRPr="002D7758" w14:paraId="12BB06A4" w14:textId="77777777" w:rsidTr="2A45E688">
        <w:tc>
          <w:tcPr>
            <w:tcW w:w="710" w:type="dxa"/>
          </w:tcPr>
          <w:p w14:paraId="4810C09E"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3E8DF96" w14:textId="77777777" w:rsidR="002E6246" w:rsidRPr="002D7758" w:rsidRDefault="002E6246" w:rsidP="002E6246">
            <w:pPr>
              <w:rPr>
                <w:rFonts w:eastAsia="Times New Roman" w:cs="Times New Roman"/>
                <w:szCs w:val="24"/>
              </w:rPr>
            </w:pPr>
            <w:r w:rsidRPr="002D7758">
              <w:rPr>
                <w:rFonts w:eastAsia="Times New Roman" w:cs="Times New Roman"/>
                <w:szCs w:val="24"/>
              </w:rPr>
              <w:t>Par projektu nosakāmā atbildīgā amatpersona</w:t>
            </w:r>
          </w:p>
        </w:tc>
        <w:tc>
          <w:tcPr>
            <w:tcW w:w="6350" w:type="dxa"/>
          </w:tcPr>
          <w:p w14:paraId="36224F76" w14:textId="77777777" w:rsidR="002E6246" w:rsidRPr="002D7758" w:rsidRDefault="002E6246" w:rsidP="00C72F1A">
            <w:pPr>
              <w:spacing w:after="60"/>
              <w:jc w:val="both"/>
              <w:rPr>
                <w:rFonts w:eastAsia="Times New Roman" w:cs="Times New Roman"/>
                <w:szCs w:val="24"/>
              </w:rPr>
            </w:pPr>
            <w:r w:rsidRPr="002D7758">
              <w:rPr>
                <w:rFonts w:eastAsia="Times New Roman" w:cs="Times New Roman"/>
                <w:szCs w:val="24"/>
              </w:rPr>
              <w:t xml:space="preserve">Finanšu ministrijas Finanšu tirgus politikas departamenta direktore </w:t>
            </w:r>
            <w:r w:rsidR="00C72F1A" w:rsidRPr="002D7758">
              <w:rPr>
                <w:rFonts w:eastAsia="Times New Roman" w:cs="Times New Roman"/>
                <w:szCs w:val="24"/>
              </w:rPr>
              <w:t>Aija Zitcere</w:t>
            </w:r>
          </w:p>
        </w:tc>
      </w:tr>
      <w:tr w:rsidR="002E6246" w:rsidRPr="002D7758" w14:paraId="461FE1A3" w14:textId="77777777" w:rsidTr="2A45E688">
        <w:tc>
          <w:tcPr>
            <w:tcW w:w="710" w:type="dxa"/>
          </w:tcPr>
          <w:p w14:paraId="479A9CF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43BA5B4" w14:textId="77777777" w:rsidR="002E6246" w:rsidRPr="002D7758" w:rsidRDefault="002E6246" w:rsidP="002E6246">
            <w:pPr>
              <w:rPr>
                <w:rFonts w:eastAsia="Times New Roman" w:cs="Times New Roman"/>
                <w:szCs w:val="24"/>
              </w:rPr>
            </w:pPr>
            <w:r w:rsidRPr="002D7758">
              <w:rPr>
                <w:rFonts w:eastAsia="Times New Roman" w:cs="Times New Roman"/>
                <w:szCs w:val="24"/>
              </w:rPr>
              <w:t>Nosakāmais projekta sagatavotājs (ja nepieciešams)</w:t>
            </w:r>
          </w:p>
        </w:tc>
        <w:tc>
          <w:tcPr>
            <w:tcW w:w="6350" w:type="dxa"/>
          </w:tcPr>
          <w:p w14:paraId="20D17DDF" w14:textId="781A88BD" w:rsidR="002E6246" w:rsidRPr="002D7758" w:rsidRDefault="002E6246" w:rsidP="002D1B5B">
            <w:pPr>
              <w:spacing w:after="60"/>
              <w:jc w:val="both"/>
              <w:rPr>
                <w:rFonts w:eastAsia="Calibri" w:cs="Times New Roman"/>
                <w:szCs w:val="24"/>
              </w:rPr>
            </w:pPr>
            <w:r w:rsidRPr="002D7758">
              <w:rPr>
                <w:rFonts w:eastAsia="Times New Roman" w:cs="Times New Roman"/>
                <w:szCs w:val="24"/>
              </w:rPr>
              <w:t>Finanšu ministrijas Finanšu tirgus politikas departamenta</w:t>
            </w:r>
            <w:r w:rsidR="00E91330" w:rsidRPr="002D7758">
              <w:rPr>
                <w:rFonts w:eastAsia="Times New Roman" w:cs="Times New Roman"/>
                <w:szCs w:val="24"/>
              </w:rPr>
              <w:t xml:space="preserve"> </w:t>
            </w:r>
            <w:r w:rsidR="00226CF4" w:rsidRPr="002D7758">
              <w:rPr>
                <w:rFonts w:eastAsia="Times New Roman" w:cs="Times New Roman"/>
                <w:szCs w:val="24"/>
              </w:rPr>
              <w:t>Kapitāla tirgus un apdrošināšanas politikas nodaļas juris</w:t>
            </w:r>
            <w:r w:rsidR="002D1B5B">
              <w:rPr>
                <w:rFonts w:eastAsia="Times New Roman" w:cs="Times New Roman"/>
                <w:szCs w:val="24"/>
              </w:rPr>
              <w:t>ts</w:t>
            </w:r>
            <w:r w:rsidR="00226CF4" w:rsidRPr="002D7758">
              <w:rPr>
                <w:rFonts w:eastAsia="Times New Roman" w:cs="Times New Roman"/>
                <w:szCs w:val="24"/>
              </w:rPr>
              <w:t xml:space="preserve"> </w:t>
            </w:r>
            <w:r w:rsidR="002D1B5B">
              <w:rPr>
                <w:rFonts w:eastAsia="Times New Roman" w:cs="Times New Roman"/>
                <w:szCs w:val="24"/>
              </w:rPr>
              <w:t>Gunvaldis Davidovičs</w:t>
            </w:r>
          </w:p>
        </w:tc>
      </w:tr>
      <w:tr w:rsidR="002E6246" w:rsidRPr="002D7758" w14:paraId="787539A1" w14:textId="77777777" w:rsidTr="2A45E688">
        <w:tc>
          <w:tcPr>
            <w:tcW w:w="710" w:type="dxa"/>
          </w:tcPr>
          <w:p w14:paraId="7FC6FE2B"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51C7635C" w14:textId="77777777" w:rsidR="002E6246" w:rsidRPr="002D7758" w:rsidRDefault="002E6246" w:rsidP="002E6246">
            <w:pPr>
              <w:rPr>
                <w:rFonts w:eastAsia="Times New Roman" w:cs="Times New Roman"/>
                <w:szCs w:val="24"/>
              </w:rPr>
            </w:pPr>
            <w:r w:rsidRPr="002D7758">
              <w:rPr>
                <w:rFonts w:eastAsia="Times New Roman" w:cs="Times New Roman"/>
                <w:szCs w:val="24"/>
              </w:rPr>
              <w:t>Darba grupas vadītājs un iespējamais sastāvs (ja nepieciešams)</w:t>
            </w:r>
          </w:p>
        </w:tc>
        <w:tc>
          <w:tcPr>
            <w:tcW w:w="6350" w:type="dxa"/>
          </w:tcPr>
          <w:p w14:paraId="7741757F" w14:textId="77777777" w:rsidR="002E6246" w:rsidRPr="002D7758" w:rsidRDefault="002E6246" w:rsidP="002E6246">
            <w:pPr>
              <w:spacing w:after="60"/>
              <w:jc w:val="both"/>
              <w:rPr>
                <w:rFonts w:eastAsia="Calibri" w:cs="Times New Roman"/>
                <w:szCs w:val="24"/>
                <w:lang w:eastAsia="lv-LV"/>
              </w:rPr>
            </w:pPr>
            <w:r w:rsidRPr="002D7758">
              <w:rPr>
                <w:rFonts w:eastAsia="Calibri" w:cs="Times New Roman"/>
                <w:szCs w:val="24"/>
              </w:rPr>
              <w:t>Darba grupa nav nepieciešama</w:t>
            </w:r>
            <w:r w:rsidR="00C72F1A" w:rsidRPr="002D7758">
              <w:rPr>
                <w:rFonts w:eastAsia="Calibri" w:cs="Times New Roman"/>
                <w:szCs w:val="24"/>
              </w:rPr>
              <w:t>.</w:t>
            </w:r>
          </w:p>
        </w:tc>
      </w:tr>
      <w:tr w:rsidR="002E6246" w:rsidRPr="002D7758" w14:paraId="1863AA7C" w14:textId="77777777" w:rsidTr="2A45E688">
        <w:tc>
          <w:tcPr>
            <w:tcW w:w="710" w:type="dxa"/>
          </w:tcPr>
          <w:p w14:paraId="67CDCA75"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7B619D2" w14:textId="77777777" w:rsidR="002E6246" w:rsidRPr="002D7758" w:rsidRDefault="002E6246" w:rsidP="002E6246">
            <w:pPr>
              <w:rPr>
                <w:rFonts w:eastAsia="Times New Roman" w:cs="Times New Roman"/>
                <w:szCs w:val="24"/>
              </w:rPr>
            </w:pPr>
            <w:r w:rsidRPr="002D7758">
              <w:rPr>
                <w:rFonts w:eastAsia="Calibri" w:cs="Times New Roman"/>
                <w:szCs w:val="24"/>
              </w:rPr>
              <w:t>Sabiedrības līdzdalība</w:t>
            </w:r>
          </w:p>
        </w:tc>
        <w:tc>
          <w:tcPr>
            <w:tcW w:w="6350" w:type="dxa"/>
          </w:tcPr>
          <w:p w14:paraId="19DC98AC" w14:textId="13886477" w:rsidR="002E6246" w:rsidRDefault="2A45E688" w:rsidP="000A5448">
            <w:pPr>
              <w:spacing w:after="60"/>
              <w:jc w:val="both"/>
              <w:rPr>
                <w:rFonts w:eastAsia="Times New Roman" w:cs="Times New Roman"/>
                <w:szCs w:val="24"/>
              </w:rPr>
            </w:pPr>
            <w:r w:rsidRPr="002D7758">
              <w:rPr>
                <w:rFonts w:ascii="Times New Roman,Calibri" w:eastAsia="Times New Roman,Calibri" w:hAnsi="Times New Roman,Calibri" w:cs="Times New Roman,Calibri"/>
                <w:szCs w:val="24"/>
              </w:rPr>
              <w:t xml:space="preserve">Uzziņa </w:t>
            </w:r>
            <w:r w:rsidR="00516CB9" w:rsidRPr="002D7758">
              <w:rPr>
                <w:rFonts w:ascii="Times New Roman,Calibri" w:eastAsia="Times New Roman,Calibri" w:hAnsi="Times New Roman,Calibri" w:cs="Times New Roman,Calibri"/>
                <w:szCs w:val="24"/>
              </w:rPr>
              <w:t>tiks publicēt</w:t>
            </w:r>
            <w:r w:rsidRPr="002D7758">
              <w:rPr>
                <w:rFonts w:ascii="Times New Roman,Calibri" w:eastAsia="Times New Roman,Calibri" w:hAnsi="Times New Roman,Calibri" w:cs="Times New Roman,Calibri"/>
                <w:szCs w:val="24"/>
              </w:rPr>
              <w:t>a</w:t>
            </w:r>
            <w:r w:rsidR="00516CB9" w:rsidRPr="002D7758">
              <w:rPr>
                <w:rFonts w:ascii="Times New Roman,Calibri" w:eastAsia="Times New Roman,Calibri" w:hAnsi="Times New Roman,Calibri" w:cs="Times New Roman,Calibri"/>
                <w:szCs w:val="24"/>
              </w:rPr>
              <w:t xml:space="preserve"> Finanšu ministrijas tīmekļa vietnē </w:t>
            </w:r>
            <w:r w:rsidR="00D815A4" w:rsidRPr="002D7758">
              <w:rPr>
                <w:rFonts w:eastAsia="Calibri" w:cs="Times New Roman"/>
                <w:szCs w:val="24"/>
              </w:rPr>
              <w:t xml:space="preserve">sadaļā “Sabiedrības </w:t>
            </w:r>
            <w:r w:rsidR="00D815A4" w:rsidRPr="00D271D5">
              <w:rPr>
                <w:rFonts w:eastAsia="Calibri" w:cs="Times New Roman"/>
                <w:szCs w:val="24"/>
              </w:rPr>
              <w:t xml:space="preserve">līdzdalība”, kurā noteiktais termiņš sabiedrības līdzdalībai ir </w:t>
            </w:r>
            <w:r w:rsidR="00824152">
              <w:rPr>
                <w:rFonts w:ascii="Times New Roman,Calibri" w:eastAsia="Times New Roman,Calibri" w:hAnsi="Times New Roman,Calibri" w:cs="Times New Roman,Calibri"/>
                <w:szCs w:val="24"/>
              </w:rPr>
              <w:t>30</w:t>
            </w:r>
            <w:r w:rsidR="007813AA" w:rsidRPr="00996D39">
              <w:rPr>
                <w:rFonts w:ascii="Times New Roman,Calibri" w:eastAsia="Times New Roman,Calibri" w:hAnsi="Times New Roman,Calibri" w:cs="Times New Roman,Calibri"/>
                <w:szCs w:val="24"/>
              </w:rPr>
              <w:t>.</w:t>
            </w:r>
            <w:r w:rsidR="000A5448">
              <w:rPr>
                <w:rFonts w:ascii="Times New Roman,Calibri" w:eastAsia="Times New Roman,Calibri" w:hAnsi="Times New Roman,Calibri" w:cs="Times New Roman,Calibri"/>
                <w:szCs w:val="24"/>
              </w:rPr>
              <w:t>09</w:t>
            </w:r>
            <w:r w:rsidR="00BB618A" w:rsidRPr="00996D39">
              <w:rPr>
                <w:rFonts w:ascii="Times New Roman,Calibri" w:eastAsia="Times New Roman,Calibri" w:hAnsi="Times New Roman,Calibri" w:cs="Times New Roman,Calibri"/>
                <w:szCs w:val="24"/>
              </w:rPr>
              <w:t>.20</w:t>
            </w:r>
            <w:r w:rsidR="000A5448">
              <w:rPr>
                <w:rFonts w:ascii="Times New Roman,Calibri" w:eastAsia="Times New Roman,Calibri" w:hAnsi="Times New Roman,Calibri" w:cs="Times New Roman,Calibri"/>
                <w:szCs w:val="24"/>
              </w:rPr>
              <w:t>19</w:t>
            </w:r>
            <w:r w:rsidR="00BB618A" w:rsidRPr="00996D39">
              <w:rPr>
                <w:rFonts w:ascii="Times New Roman,Calibri" w:eastAsia="Times New Roman,Calibri" w:hAnsi="Times New Roman,Calibri" w:cs="Times New Roman,Calibri"/>
                <w:szCs w:val="24"/>
              </w:rPr>
              <w:t>.</w:t>
            </w:r>
            <w:r w:rsidRPr="00D271D5">
              <w:rPr>
                <w:rFonts w:ascii="Times New Roman,Calibri" w:eastAsia="Times New Roman,Calibri" w:hAnsi="Times New Roman,Calibri" w:cs="Times New Roman,Calibri"/>
                <w:szCs w:val="24"/>
              </w:rPr>
              <w:t xml:space="preserve"> </w:t>
            </w:r>
            <w:r w:rsidRPr="00D271D5">
              <w:rPr>
                <w:rFonts w:eastAsia="Times New Roman" w:cs="Times New Roman"/>
                <w:szCs w:val="24"/>
              </w:rPr>
              <w:t>Sabiedrības pārstāvji varēs līdz</w:t>
            </w:r>
            <w:r w:rsidR="000C4905" w:rsidRPr="00D271D5">
              <w:rPr>
                <w:rFonts w:eastAsia="Times New Roman" w:cs="Times New Roman"/>
                <w:szCs w:val="24"/>
              </w:rPr>
              <w:t>darboties likumprojekta izstrādē</w:t>
            </w:r>
            <w:r w:rsidRPr="00D271D5">
              <w:rPr>
                <w:rFonts w:eastAsia="Times New Roman" w:cs="Times New Roman"/>
                <w:szCs w:val="24"/>
              </w:rPr>
              <w:t>, sniedzot</w:t>
            </w:r>
            <w:r w:rsidRPr="002D7758">
              <w:rPr>
                <w:rFonts w:eastAsia="Times New Roman" w:cs="Times New Roman"/>
                <w:szCs w:val="24"/>
              </w:rPr>
              <w:t xml:space="preserve"> atzinumu par to pēc izsludināš</w:t>
            </w:r>
            <w:r w:rsidR="002D1B5B">
              <w:rPr>
                <w:rFonts w:eastAsia="Times New Roman" w:cs="Times New Roman"/>
                <w:szCs w:val="24"/>
              </w:rPr>
              <w:t>anas Valsts sekretāru sanāksmē.</w:t>
            </w:r>
          </w:p>
          <w:p w14:paraId="237148F2" w14:textId="20ABC0FB" w:rsidR="000A5448" w:rsidRPr="006D06BC" w:rsidRDefault="006D06BC" w:rsidP="00F30927">
            <w:pPr>
              <w:spacing w:after="60"/>
              <w:jc w:val="both"/>
              <w:rPr>
                <w:rFonts w:eastAsia="Times New Roman" w:cs="Times New Roman"/>
                <w:szCs w:val="24"/>
              </w:rPr>
            </w:pPr>
            <w:r w:rsidRPr="008D0E19">
              <w:rPr>
                <w:rFonts w:cs="Times New Roman"/>
                <w:szCs w:val="24"/>
              </w:rPr>
              <w:t xml:space="preserve">Likumprojekta </w:t>
            </w:r>
            <w:r w:rsidRPr="008D0E19">
              <w:t>„Izslēdzošā ieskaita likums”</w:t>
            </w:r>
            <w:r w:rsidRPr="008D0E19">
              <w:rPr>
                <w:b/>
              </w:rPr>
              <w:t xml:space="preserve"> </w:t>
            </w:r>
            <w:r w:rsidRPr="008D0E19">
              <w:rPr>
                <w:rFonts w:cs="Times New Roman"/>
                <w:szCs w:val="24"/>
              </w:rPr>
              <w:t>izstrādes</w:t>
            </w:r>
            <w:r>
              <w:rPr>
                <w:rFonts w:cs="Times New Roman"/>
                <w:szCs w:val="24"/>
              </w:rPr>
              <w:t xml:space="preserve"> gaitā Finanšu ministrijā 2018. un 2019. gadā tika rīkotas sanāksmes ar iesaistītajām personām un iestādēm, tajā skaitā, no Tieslietu ministrijas, Latvijas Bankas, Valsts kases, Maksātnespējas kontroles dienesta, Finanšu un kapitāla tirgus komisijas un Finanšu nozares asociācijas, kuras līdz snie</w:t>
            </w:r>
            <w:r w:rsidR="00F30927">
              <w:rPr>
                <w:rFonts w:cs="Times New Roman"/>
                <w:szCs w:val="24"/>
              </w:rPr>
              <w:t>dza</w:t>
            </w:r>
            <w:r>
              <w:rPr>
                <w:rFonts w:cs="Times New Roman"/>
                <w:szCs w:val="24"/>
              </w:rPr>
              <w:t xml:space="preserve"> savu viedokli par likumprojekta </w:t>
            </w:r>
            <w:r w:rsidR="00F30927">
              <w:rPr>
                <w:rFonts w:cs="Times New Roman"/>
                <w:szCs w:val="24"/>
              </w:rPr>
              <w:t xml:space="preserve">konceptuālo </w:t>
            </w:r>
            <w:r>
              <w:rPr>
                <w:rFonts w:cs="Times New Roman"/>
                <w:szCs w:val="24"/>
              </w:rPr>
              <w:t xml:space="preserve">ietvaru. Tāpat 2018.gada nogalē iesaistīto pušu darba grupas sanāksmē Latvijā </w:t>
            </w:r>
            <w:r w:rsidRPr="00CB53F1">
              <w:t>klātienē piedalījās ar</w:t>
            </w:r>
            <w:r>
              <w:t>ī ISDA eksperts.</w:t>
            </w:r>
          </w:p>
        </w:tc>
      </w:tr>
      <w:tr w:rsidR="002E6246" w:rsidRPr="002D7758" w14:paraId="6CF3A075" w14:textId="77777777" w:rsidTr="2A45E688">
        <w:tc>
          <w:tcPr>
            <w:tcW w:w="710" w:type="dxa"/>
          </w:tcPr>
          <w:p w14:paraId="5FCE7A86"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72A154C6" w14:textId="77777777" w:rsidR="002E6246" w:rsidRPr="002D7758" w:rsidRDefault="002E6246" w:rsidP="002E6246">
            <w:pPr>
              <w:rPr>
                <w:rFonts w:eastAsia="Times New Roman" w:cs="Times New Roman"/>
                <w:szCs w:val="24"/>
              </w:rPr>
            </w:pPr>
            <w:r w:rsidRPr="002D7758">
              <w:rPr>
                <w:rFonts w:eastAsia="Times New Roman" w:cs="Times New Roman"/>
                <w:szCs w:val="24"/>
              </w:rPr>
              <w:t>Ministrijas struktūrvienības un padotības iestādēm ar kurām projekts jāsaskaņo</w:t>
            </w:r>
          </w:p>
        </w:tc>
        <w:tc>
          <w:tcPr>
            <w:tcW w:w="6350" w:type="dxa"/>
          </w:tcPr>
          <w:p w14:paraId="0C9A81D3" w14:textId="1ADB18F0" w:rsidR="002E6246" w:rsidRPr="000048F9" w:rsidRDefault="004712BA" w:rsidP="006C0DC6">
            <w:pPr>
              <w:widowControl w:val="0"/>
              <w:tabs>
                <w:tab w:val="left" w:pos="851"/>
                <w:tab w:val="right" w:pos="9356"/>
              </w:tabs>
              <w:adjustRightInd w:val="0"/>
              <w:spacing w:after="60"/>
              <w:jc w:val="both"/>
              <w:rPr>
                <w:rFonts w:eastAsia="Calibri" w:cs="Times New Roman"/>
                <w:szCs w:val="24"/>
                <w:lang w:eastAsia="en-GB"/>
              </w:rPr>
            </w:pPr>
            <w:r w:rsidRPr="000048F9">
              <w:rPr>
                <w:rFonts w:eastAsia="Times New Roman" w:cs="Times New Roman"/>
                <w:szCs w:val="24"/>
              </w:rPr>
              <w:t xml:space="preserve">Finanšu ministrijas </w:t>
            </w:r>
            <w:r w:rsidR="00A71199" w:rsidRPr="000048F9">
              <w:rPr>
                <w:rFonts w:eastAsia="Calibri" w:cs="Times New Roman"/>
                <w:szCs w:val="24"/>
                <w:lang w:eastAsia="en-GB"/>
              </w:rPr>
              <w:t>Juridiskais</w:t>
            </w:r>
            <w:r w:rsidR="000A1913" w:rsidRPr="000048F9">
              <w:rPr>
                <w:rFonts w:eastAsia="Calibri" w:cs="Times New Roman"/>
                <w:szCs w:val="24"/>
                <w:lang w:eastAsia="en-GB"/>
              </w:rPr>
              <w:t xml:space="preserve"> departaments</w:t>
            </w:r>
            <w:r w:rsidR="006C0DC6" w:rsidRPr="000048F9">
              <w:rPr>
                <w:rFonts w:eastAsia="Calibri" w:cs="Times New Roman"/>
                <w:szCs w:val="24"/>
                <w:lang w:eastAsia="en-GB"/>
              </w:rPr>
              <w:t xml:space="preserve">, </w:t>
            </w:r>
            <w:r w:rsidR="006C0DC6" w:rsidRPr="000048F9">
              <w:rPr>
                <w:rFonts w:eastAsia="Calibri" w:cs="Times New Roman"/>
                <w:szCs w:val="24"/>
              </w:rPr>
              <w:t>Finanšu un kapitāla tirgus komisija</w:t>
            </w:r>
            <w:r w:rsidR="002E3996" w:rsidRPr="000048F9">
              <w:rPr>
                <w:rFonts w:eastAsia="Calibri" w:cs="Times New Roman"/>
                <w:szCs w:val="24"/>
              </w:rPr>
              <w:t>.</w:t>
            </w:r>
          </w:p>
        </w:tc>
      </w:tr>
      <w:tr w:rsidR="002E6246" w:rsidRPr="002D7758" w14:paraId="454CF805" w14:textId="77777777" w:rsidTr="2A45E688">
        <w:tc>
          <w:tcPr>
            <w:tcW w:w="710" w:type="dxa"/>
          </w:tcPr>
          <w:p w14:paraId="72D3DDE7"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324AF56B" w14:textId="77777777" w:rsidR="002E6246" w:rsidRPr="002D7758" w:rsidRDefault="002E6246" w:rsidP="002E6246">
            <w:pPr>
              <w:rPr>
                <w:rFonts w:eastAsia="Times New Roman" w:cs="Times New Roman"/>
                <w:szCs w:val="24"/>
              </w:rPr>
            </w:pPr>
            <w:r w:rsidRPr="002D7758">
              <w:rPr>
                <w:rFonts w:eastAsia="Times New Roman" w:cs="Times New Roman"/>
                <w:szCs w:val="24"/>
              </w:rPr>
              <w:t>Saskaņošanas termiņš</w:t>
            </w:r>
          </w:p>
        </w:tc>
        <w:tc>
          <w:tcPr>
            <w:tcW w:w="6350" w:type="dxa"/>
          </w:tcPr>
          <w:p w14:paraId="012A856E" w14:textId="54AC29CB" w:rsidR="00A71199" w:rsidRPr="000048F9" w:rsidRDefault="00A71199" w:rsidP="00A71199">
            <w:pPr>
              <w:spacing w:after="60"/>
              <w:jc w:val="both"/>
              <w:rPr>
                <w:rFonts w:eastAsia="Times New Roman" w:cs="Times New Roman"/>
                <w:szCs w:val="24"/>
              </w:rPr>
            </w:pPr>
            <w:r w:rsidRPr="000048F9">
              <w:rPr>
                <w:rFonts w:eastAsia="Times New Roman" w:cs="Times New Roman"/>
                <w:szCs w:val="24"/>
              </w:rPr>
              <w:t xml:space="preserve">Nosūtīt iekšējai saskaņošanai: </w:t>
            </w:r>
            <w:r w:rsidR="007813AA" w:rsidRPr="000048F9">
              <w:rPr>
                <w:rFonts w:eastAsia="Times New Roman" w:cs="Times New Roman"/>
                <w:szCs w:val="24"/>
              </w:rPr>
              <w:t>0</w:t>
            </w:r>
            <w:r w:rsidR="002D1B5B">
              <w:rPr>
                <w:rFonts w:eastAsia="Times New Roman" w:cs="Times New Roman"/>
                <w:szCs w:val="24"/>
              </w:rPr>
              <w:t>1</w:t>
            </w:r>
            <w:r w:rsidR="007813AA" w:rsidRPr="000048F9">
              <w:rPr>
                <w:rFonts w:eastAsia="Times New Roman" w:cs="Times New Roman"/>
                <w:szCs w:val="24"/>
              </w:rPr>
              <w:t>.0</w:t>
            </w:r>
            <w:r w:rsidR="008D0E19">
              <w:rPr>
                <w:rFonts w:eastAsia="Times New Roman" w:cs="Times New Roman"/>
                <w:szCs w:val="24"/>
              </w:rPr>
              <w:t>6</w:t>
            </w:r>
            <w:r w:rsidR="007813AA" w:rsidRPr="000048F9">
              <w:rPr>
                <w:rFonts w:eastAsia="Times New Roman" w:cs="Times New Roman"/>
                <w:szCs w:val="24"/>
              </w:rPr>
              <w:t>.2020</w:t>
            </w:r>
            <w:r w:rsidR="004600A0" w:rsidRPr="000048F9">
              <w:rPr>
                <w:rFonts w:eastAsia="Times New Roman" w:cs="Times New Roman"/>
                <w:szCs w:val="24"/>
              </w:rPr>
              <w:t>.</w:t>
            </w:r>
          </w:p>
          <w:p w14:paraId="1CBDB43D" w14:textId="7902C987" w:rsidR="006C0DC6" w:rsidRPr="000048F9" w:rsidRDefault="006C0DC6" w:rsidP="00CA7C00">
            <w:pPr>
              <w:spacing w:after="60"/>
              <w:jc w:val="both"/>
              <w:rPr>
                <w:rFonts w:eastAsia="Times New Roman" w:cs="Times New Roman"/>
                <w:szCs w:val="24"/>
              </w:rPr>
            </w:pPr>
            <w:r w:rsidRPr="000048F9">
              <w:rPr>
                <w:rFonts w:eastAsia="Times New Roman" w:cs="Times New Roman"/>
                <w:szCs w:val="24"/>
              </w:rPr>
              <w:t>Saskaņošanas termiņš</w:t>
            </w:r>
            <w:r w:rsidR="00184875" w:rsidRPr="000048F9">
              <w:rPr>
                <w:rFonts w:eastAsia="Times New Roman" w:cs="Times New Roman"/>
                <w:szCs w:val="24"/>
              </w:rPr>
              <w:t>:</w:t>
            </w:r>
            <w:r w:rsidRPr="000048F9">
              <w:rPr>
                <w:rFonts w:eastAsia="Times New Roman" w:cs="Times New Roman"/>
                <w:szCs w:val="24"/>
              </w:rPr>
              <w:t xml:space="preserve"> </w:t>
            </w:r>
            <w:r w:rsidR="007813AA" w:rsidRPr="000048F9">
              <w:rPr>
                <w:rFonts w:eastAsia="Times New Roman" w:cs="Times New Roman"/>
                <w:szCs w:val="24"/>
              </w:rPr>
              <w:t>1</w:t>
            </w:r>
            <w:r w:rsidR="002D1B5B">
              <w:rPr>
                <w:rFonts w:eastAsia="Times New Roman" w:cs="Times New Roman"/>
                <w:szCs w:val="24"/>
              </w:rPr>
              <w:t>5</w:t>
            </w:r>
            <w:r w:rsidR="007813AA" w:rsidRPr="000048F9">
              <w:rPr>
                <w:rFonts w:eastAsia="Times New Roman" w:cs="Times New Roman"/>
                <w:szCs w:val="24"/>
              </w:rPr>
              <w:t>.0</w:t>
            </w:r>
            <w:r w:rsidR="008D0E19">
              <w:rPr>
                <w:rFonts w:eastAsia="Times New Roman" w:cs="Times New Roman"/>
                <w:szCs w:val="24"/>
              </w:rPr>
              <w:t>6</w:t>
            </w:r>
            <w:r w:rsidR="007813AA" w:rsidRPr="000048F9">
              <w:rPr>
                <w:rFonts w:eastAsia="Times New Roman" w:cs="Times New Roman"/>
                <w:szCs w:val="24"/>
              </w:rPr>
              <w:t>.2020</w:t>
            </w:r>
            <w:r w:rsidR="004600A0" w:rsidRPr="000048F9">
              <w:rPr>
                <w:rFonts w:eastAsia="Times New Roman" w:cs="Times New Roman"/>
                <w:szCs w:val="24"/>
              </w:rPr>
              <w:t>.</w:t>
            </w:r>
          </w:p>
          <w:p w14:paraId="1F4C9D4A" w14:textId="77777777" w:rsidR="006C0DC6" w:rsidRPr="000048F9" w:rsidRDefault="006C0DC6" w:rsidP="00CA7C00">
            <w:pPr>
              <w:spacing w:after="60"/>
              <w:jc w:val="both"/>
              <w:rPr>
                <w:rFonts w:eastAsia="Times New Roman" w:cs="Times New Roman"/>
                <w:szCs w:val="24"/>
              </w:rPr>
            </w:pPr>
          </w:p>
        </w:tc>
      </w:tr>
      <w:tr w:rsidR="002E6246" w:rsidRPr="002D7758" w14:paraId="3D048E97" w14:textId="77777777" w:rsidTr="2A45E688">
        <w:tc>
          <w:tcPr>
            <w:tcW w:w="710" w:type="dxa"/>
          </w:tcPr>
          <w:p w14:paraId="4FF9EC8A"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1A60437E" w14:textId="77777777" w:rsidR="002E6246" w:rsidRPr="002D7758" w:rsidRDefault="002E6246" w:rsidP="002E6246">
            <w:pPr>
              <w:rPr>
                <w:rFonts w:eastAsia="Times New Roman" w:cs="Times New Roman"/>
                <w:szCs w:val="24"/>
              </w:rPr>
            </w:pPr>
            <w:r w:rsidRPr="002D7758">
              <w:rPr>
                <w:rFonts w:eastAsia="Times New Roman" w:cs="Times New Roman"/>
                <w:szCs w:val="24"/>
              </w:rPr>
              <w:t>Prognozējamā projekta finansiālā ietekme uz valsts budžetu</w:t>
            </w:r>
          </w:p>
        </w:tc>
        <w:tc>
          <w:tcPr>
            <w:tcW w:w="6350" w:type="dxa"/>
          </w:tcPr>
          <w:p w14:paraId="7E5B00CB" w14:textId="4F17AAC6" w:rsidR="002E6246" w:rsidRPr="002D7758" w:rsidRDefault="002E6246" w:rsidP="00B22B1D">
            <w:pPr>
              <w:tabs>
                <w:tab w:val="num" w:pos="1440"/>
              </w:tabs>
              <w:spacing w:after="60"/>
              <w:jc w:val="both"/>
              <w:rPr>
                <w:rFonts w:eastAsia="Times New Roman" w:cs="Times New Roman"/>
                <w:szCs w:val="24"/>
              </w:rPr>
            </w:pPr>
            <w:r w:rsidRPr="002D7758">
              <w:rPr>
                <w:rFonts w:eastAsia="Times New Roman" w:cs="Times New Roman"/>
                <w:szCs w:val="24"/>
              </w:rPr>
              <w:t xml:space="preserve">Projektā noteiktais regulējums </w:t>
            </w:r>
            <w:r w:rsidR="00E06AB5" w:rsidRPr="002D7758">
              <w:rPr>
                <w:rFonts w:eastAsia="Times New Roman" w:cs="Times New Roman"/>
                <w:szCs w:val="24"/>
              </w:rPr>
              <w:t>ne</w:t>
            </w:r>
            <w:r w:rsidRPr="002D7758">
              <w:rPr>
                <w:rFonts w:eastAsia="Times New Roman" w:cs="Times New Roman"/>
                <w:szCs w:val="24"/>
              </w:rPr>
              <w:t xml:space="preserve">radīs  ietekmi uz valsts budžetu. </w:t>
            </w:r>
          </w:p>
        </w:tc>
      </w:tr>
      <w:tr w:rsidR="002E6246" w:rsidRPr="002D7758" w14:paraId="77845EBC" w14:textId="77777777" w:rsidTr="2A45E688">
        <w:tc>
          <w:tcPr>
            <w:tcW w:w="710" w:type="dxa"/>
          </w:tcPr>
          <w:p w14:paraId="2C83A40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Pr>
          <w:p w14:paraId="22A0C521" w14:textId="77777777" w:rsidR="002E6246" w:rsidRPr="002D7758" w:rsidRDefault="002E6246" w:rsidP="002E6246">
            <w:pPr>
              <w:rPr>
                <w:rFonts w:eastAsia="Times New Roman" w:cs="Times New Roman"/>
                <w:szCs w:val="24"/>
              </w:rPr>
            </w:pPr>
            <w:r w:rsidRPr="002D7758">
              <w:rPr>
                <w:rFonts w:eastAsia="Times New Roman" w:cs="Times New Roman"/>
                <w:szCs w:val="24"/>
              </w:rPr>
              <w:t>Tiesību akta pieņemšanas kalendārais plāns</w:t>
            </w:r>
          </w:p>
        </w:tc>
        <w:tc>
          <w:tcPr>
            <w:tcW w:w="6350" w:type="dxa"/>
          </w:tcPr>
          <w:p w14:paraId="607A8EC7" w14:textId="3342472E" w:rsidR="006C0DC6" w:rsidRPr="002D7758" w:rsidRDefault="00184875" w:rsidP="002E6246">
            <w:pPr>
              <w:spacing w:after="60"/>
              <w:jc w:val="both"/>
              <w:rPr>
                <w:rFonts w:eastAsia="Times New Roman" w:cs="Times New Roman"/>
                <w:szCs w:val="24"/>
              </w:rPr>
            </w:pPr>
            <w:r w:rsidRPr="002D7758">
              <w:rPr>
                <w:rFonts w:eastAsia="Times New Roman" w:cs="Times New Roman"/>
                <w:szCs w:val="24"/>
              </w:rPr>
              <w:t>Izsludināt VSS līdz:</w:t>
            </w:r>
            <w:r w:rsidR="004600A0" w:rsidRPr="002D7758">
              <w:rPr>
                <w:rFonts w:eastAsia="Times New Roman" w:cs="Times New Roman"/>
                <w:szCs w:val="24"/>
              </w:rPr>
              <w:t xml:space="preserve"> </w:t>
            </w:r>
            <w:r w:rsidR="002D1B5B">
              <w:rPr>
                <w:rFonts w:eastAsia="Times New Roman" w:cs="Times New Roman"/>
                <w:szCs w:val="24"/>
              </w:rPr>
              <w:t>01</w:t>
            </w:r>
            <w:r w:rsidR="003175B5">
              <w:rPr>
                <w:rFonts w:eastAsia="Times New Roman" w:cs="Times New Roman"/>
                <w:szCs w:val="24"/>
              </w:rPr>
              <w:t>.</w:t>
            </w:r>
            <w:r w:rsidR="008D0E19">
              <w:rPr>
                <w:rFonts w:eastAsia="Times New Roman" w:cs="Times New Roman"/>
                <w:szCs w:val="24"/>
              </w:rPr>
              <w:t>09</w:t>
            </w:r>
            <w:r w:rsidR="003E61C1">
              <w:rPr>
                <w:rFonts w:eastAsia="Times New Roman" w:cs="Times New Roman"/>
                <w:szCs w:val="24"/>
              </w:rPr>
              <w:t>.2020</w:t>
            </w:r>
            <w:r w:rsidR="002D1B5B">
              <w:rPr>
                <w:rFonts w:eastAsia="Times New Roman" w:cs="Times New Roman"/>
                <w:szCs w:val="24"/>
              </w:rPr>
              <w:t>.</w:t>
            </w:r>
          </w:p>
          <w:p w14:paraId="70D4464F" w14:textId="6DB6A0EE" w:rsidR="002E6246" w:rsidRPr="002D7758" w:rsidRDefault="00E06AB5" w:rsidP="008D0E19">
            <w:pPr>
              <w:spacing w:after="60"/>
              <w:jc w:val="both"/>
              <w:rPr>
                <w:rFonts w:eastAsia="Times New Roman" w:cs="Times New Roman"/>
                <w:szCs w:val="24"/>
              </w:rPr>
            </w:pPr>
            <w:r w:rsidRPr="002D7758">
              <w:rPr>
                <w:rFonts w:eastAsia="Times New Roman" w:cs="Times New Roman"/>
                <w:szCs w:val="24"/>
              </w:rPr>
              <w:t>I</w:t>
            </w:r>
            <w:r w:rsidR="00A71199" w:rsidRPr="002D7758">
              <w:rPr>
                <w:rFonts w:eastAsia="Times New Roman" w:cs="Times New Roman"/>
                <w:szCs w:val="24"/>
              </w:rPr>
              <w:t>esniegt</w:t>
            </w:r>
            <w:r w:rsidR="002C2709">
              <w:rPr>
                <w:rFonts w:eastAsia="Times New Roman" w:cs="Times New Roman"/>
                <w:szCs w:val="24"/>
              </w:rPr>
              <w:t xml:space="preserve"> MK </w:t>
            </w:r>
            <w:r w:rsidR="003A07AE">
              <w:rPr>
                <w:rFonts w:eastAsia="Times New Roman" w:cs="Times New Roman"/>
                <w:szCs w:val="24"/>
              </w:rPr>
              <w:t xml:space="preserve">līdz: </w:t>
            </w:r>
            <w:r w:rsidR="008D0E19">
              <w:rPr>
                <w:rFonts w:eastAsia="Times New Roman" w:cs="Times New Roman"/>
                <w:szCs w:val="24"/>
              </w:rPr>
              <w:t>31</w:t>
            </w:r>
            <w:r w:rsidR="003E61C1">
              <w:rPr>
                <w:rFonts w:eastAsia="Times New Roman" w:cs="Times New Roman"/>
                <w:szCs w:val="24"/>
              </w:rPr>
              <w:t>.</w:t>
            </w:r>
            <w:r w:rsidR="002D1B5B">
              <w:rPr>
                <w:rFonts w:eastAsia="Times New Roman" w:cs="Times New Roman"/>
                <w:szCs w:val="24"/>
              </w:rPr>
              <w:t>12</w:t>
            </w:r>
            <w:r w:rsidR="003E61C1">
              <w:rPr>
                <w:rFonts w:eastAsia="Times New Roman" w:cs="Times New Roman"/>
                <w:szCs w:val="24"/>
              </w:rPr>
              <w:t>.2020</w:t>
            </w:r>
            <w:r w:rsidR="003A6626" w:rsidRPr="002D7758">
              <w:rPr>
                <w:rFonts w:eastAsia="Times New Roman" w:cs="Times New Roman"/>
                <w:szCs w:val="24"/>
              </w:rPr>
              <w:t>.</w:t>
            </w:r>
          </w:p>
        </w:tc>
      </w:tr>
      <w:tr w:rsidR="002E6246" w:rsidRPr="002D7758" w14:paraId="1C8BBCCD" w14:textId="77777777" w:rsidTr="2A45E688">
        <w:tc>
          <w:tcPr>
            <w:tcW w:w="710" w:type="dxa"/>
            <w:tcBorders>
              <w:bottom w:val="single" w:sz="4" w:space="0" w:color="000000"/>
            </w:tcBorders>
          </w:tcPr>
          <w:p w14:paraId="3BEA4558" w14:textId="77777777" w:rsidR="002E6246" w:rsidRPr="002D7758" w:rsidRDefault="002E6246" w:rsidP="002E6246">
            <w:pPr>
              <w:numPr>
                <w:ilvl w:val="0"/>
                <w:numId w:val="1"/>
              </w:numPr>
              <w:spacing w:after="160" w:line="259" w:lineRule="auto"/>
              <w:jc w:val="center"/>
              <w:rPr>
                <w:rFonts w:eastAsia="Calibri" w:cs="Times New Roman"/>
                <w:szCs w:val="24"/>
              </w:rPr>
            </w:pPr>
          </w:p>
        </w:tc>
        <w:tc>
          <w:tcPr>
            <w:tcW w:w="3005" w:type="dxa"/>
            <w:tcBorders>
              <w:bottom w:val="single" w:sz="4" w:space="0" w:color="000000"/>
            </w:tcBorders>
          </w:tcPr>
          <w:p w14:paraId="653F0584" w14:textId="0F225909" w:rsidR="002E6246" w:rsidRPr="002D7758" w:rsidRDefault="003E61C1" w:rsidP="002E6246">
            <w:pPr>
              <w:rPr>
                <w:rFonts w:eastAsia="Times New Roman" w:cs="Times New Roman"/>
                <w:szCs w:val="24"/>
              </w:rPr>
            </w:pPr>
            <w:r>
              <w:rPr>
                <w:rFonts w:eastAsia="Times New Roman" w:cs="Times New Roman"/>
                <w:szCs w:val="24"/>
              </w:rPr>
              <w:t>Uzziņas sagatavotāja</w:t>
            </w:r>
          </w:p>
        </w:tc>
        <w:tc>
          <w:tcPr>
            <w:tcW w:w="6350" w:type="dxa"/>
            <w:tcBorders>
              <w:bottom w:val="single" w:sz="4" w:space="0" w:color="000000"/>
            </w:tcBorders>
          </w:tcPr>
          <w:p w14:paraId="6AF6184A" w14:textId="77777777" w:rsidR="002D1B5B" w:rsidRDefault="00E91330" w:rsidP="002D1B5B">
            <w:pPr>
              <w:spacing w:after="160"/>
              <w:jc w:val="both"/>
              <w:rPr>
                <w:rFonts w:eastAsia="Times New Roman" w:cs="Times New Roman"/>
                <w:szCs w:val="24"/>
              </w:rPr>
            </w:pPr>
            <w:r w:rsidRPr="002D7758">
              <w:rPr>
                <w:rFonts w:eastAsia="Times New Roman" w:cs="Times New Roman"/>
                <w:szCs w:val="24"/>
              </w:rPr>
              <w:t>Finanšu ministrijas Finanšu tirgus politikas departamenta Kapitāla tirgus un apdrošināšanas politikas nodaļas juris</w:t>
            </w:r>
            <w:r w:rsidR="002D1B5B">
              <w:rPr>
                <w:rFonts w:eastAsia="Times New Roman" w:cs="Times New Roman"/>
                <w:szCs w:val="24"/>
              </w:rPr>
              <w:t>ts</w:t>
            </w:r>
            <w:r w:rsidRPr="002D7758">
              <w:rPr>
                <w:rFonts w:eastAsia="Times New Roman" w:cs="Times New Roman"/>
                <w:szCs w:val="24"/>
              </w:rPr>
              <w:t xml:space="preserve"> </w:t>
            </w:r>
            <w:r w:rsidR="002D1B5B">
              <w:rPr>
                <w:rFonts w:eastAsia="Times New Roman" w:cs="Times New Roman"/>
                <w:szCs w:val="24"/>
              </w:rPr>
              <w:t>Gunvaldis Davidovičs</w:t>
            </w:r>
          </w:p>
          <w:p w14:paraId="505ED5F1" w14:textId="2C505D4F" w:rsidR="002E6246" w:rsidRPr="00AA1A40" w:rsidRDefault="002E6246" w:rsidP="003A07AE">
            <w:pPr>
              <w:spacing w:after="160"/>
              <w:jc w:val="both"/>
              <w:rPr>
                <w:rFonts w:eastAsia="Times New Roman" w:cs="Times New Roman"/>
                <w:szCs w:val="24"/>
              </w:rPr>
            </w:pPr>
            <w:r w:rsidRPr="002D7758">
              <w:rPr>
                <w:rFonts w:eastAsia="Times New Roman" w:cs="Times New Roman"/>
                <w:szCs w:val="24"/>
              </w:rPr>
              <w:t xml:space="preserve">Tālrunis, e-pasts: </w:t>
            </w:r>
            <w:r w:rsidR="00226CF4" w:rsidRPr="002D7758">
              <w:rPr>
                <w:rFonts w:eastAsia="Times New Roman" w:cs="Times New Roman"/>
                <w:szCs w:val="24"/>
              </w:rPr>
              <w:t>67083</w:t>
            </w:r>
            <w:r w:rsidR="003A07AE">
              <w:rPr>
                <w:rFonts w:eastAsia="Times New Roman" w:cs="Times New Roman"/>
                <w:szCs w:val="24"/>
              </w:rPr>
              <w:t>931</w:t>
            </w:r>
            <w:r w:rsidR="00226CF4" w:rsidRPr="002D7758">
              <w:rPr>
                <w:rFonts w:eastAsia="Times New Roman" w:cs="Times New Roman"/>
                <w:szCs w:val="24"/>
              </w:rPr>
              <w:t xml:space="preserve">, </w:t>
            </w:r>
            <w:r w:rsidR="003A07AE">
              <w:rPr>
                <w:rFonts w:eastAsia="Times New Roman" w:cs="Times New Roman"/>
                <w:szCs w:val="24"/>
              </w:rPr>
              <w:t>gunvaldis</w:t>
            </w:r>
            <w:r w:rsidR="00226CF4" w:rsidRPr="002D7758">
              <w:rPr>
                <w:rFonts w:eastAsia="Times New Roman" w:cs="Times New Roman"/>
                <w:szCs w:val="24"/>
              </w:rPr>
              <w:t>.</w:t>
            </w:r>
            <w:r w:rsidR="003A07AE">
              <w:rPr>
                <w:rFonts w:eastAsia="Times New Roman" w:cs="Times New Roman"/>
                <w:szCs w:val="24"/>
              </w:rPr>
              <w:t>davidovics</w:t>
            </w:r>
            <w:r w:rsidR="00226CF4" w:rsidRPr="002D7758">
              <w:rPr>
                <w:rFonts w:eastAsia="Times New Roman" w:cs="Times New Roman"/>
                <w:szCs w:val="24"/>
              </w:rPr>
              <w:t>@fm.gov.lv</w:t>
            </w:r>
          </w:p>
        </w:tc>
      </w:tr>
      <w:tr w:rsidR="002E6246" w:rsidRPr="002D7758" w14:paraId="1CBCBC09" w14:textId="77777777" w:rsidTr="2A45E688">
        <w:tc>
          <w:tcPr>
            <w:tcW w:w="10065" w:type="dxa"/>
            <w:gridSpan w:val="3"/>
            <w:tcBorders>
              <w:left w:val="nil"/>
              <w:bottom w:val="nil"/>
              <w:right w:val="nil"/>
            </w:tcBorders>
          </w:tcPr>
          <w:p w14:paraId="4D2D5573" w14:textId="77777777" w:rsidR="002E6246" w:rsidRPr="002D7758" w:rsidRDefault="002E6246" w:rsidP="002E6246">
            <w:pPr>
              <w:rPr>
                <w:rFonts w:eastAsia="Times New Roman" w:cs="Times New Roman"/>
                <w:szCs w:val="24"/>
                <w:highlight w:val="yellow"/>
              </w:rPr>
            </w:pPr>
          </w:p>
        </w:tc>
      </w:tr>
    </w:tbl>
    <w:p w14:paraId="55EAE7D2" w14:textId="38FA591F" w:rsidR="00247FF4" w:rsidRPr="00247FF4" w:rsidRDefault="00247FF4" w:rsidP="005C3B11">
      <w:pPr>
        <w:spacing w:after="160"/>
        <w:jc w:val="both"/>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 xml:space="preserve">u iesniedza: </w:t>
      </w:r>
      <w:r w:rsidR="00561E8F" w:rsidRPr="002D7758">
        <w:rPr>
          <w:rFonts w:eastAsia="Times New Roman" w:cs="Times New Roman"/>
          <w:szCs w:val="24"/>
        </w:rPr>
        <w:t>Finanšu ministrijas Finanšu tirgus politikas departamenta Kapitāla tirgus un apdrošināšanas politikas nodaļas juris</w:t>
      </w:r>
      <w:r w:rsidR="003A07AE">
        <w:rPr>
          <w:rFonts w:eastAsia="Times New Roman" w:cs="Times New Roman"/>
          <w:szCs w:val="24"/>
        </w:rPr>
        <w:t>ts</w:t>
      </w:r>
      <w:r w:rsidR="00561E8F" w:rsidRPr="002D7758">
        <w:rPr>
          <w:rFonts w:eastAsia="Times New Roman" w:cs="Times New Roman"/>
          <w:szCs w:val="24"/>
        </w:rPr>
        <w:t xml:space="preserve"> </w:t>
      </w:r>
      <w:r w:rsidR="003A07AE">
        <w:rPr>
          <w:rFonts w:eastAsia="Times New Roman" w:cs="Times New Roman"/>
          <w:szCs w:val="24"/>
        </w:rPr>
        <w:t>Gunvaldis Davidovičs</w:t>
      </w:r>
      <w:r w:rsidR="000C4905">
        <w:rPr>
          <w:rFonts w:eastAsia="Times New Roman" w:cs="Times New Roman"/>
          <w:szCs w:val="24"/>
        </w:rPr>
        <w:t xml:space="preserve"> (t</w:t>
      </w:r>
      <w:r w:rsidRPr="00247FF4">
        <w:rPr>
          <w:rFonts w:eastAsia="Times New Roman" w:cs="Times New Roman" w:hint="eastAsia"/>
          <w:szCs w:val="24"/>
        </w:rPr>
        <w:t>ā</w:t>
      </w:r>
      <w:r w:rsidRPr="00247FF4">
        <w:rPr>
          <w:rFonts w:eastAsia="Times New Roman" w:cs="Times New Roman"/>
          <w:szCs w:val="24"/>
        </w:rPr>
        <w:t xml:space="preserve">lrunis, e-pasts: </w:t>
      </w:r>
      <w:r w:rsidR="00561E8F" w:rsidRPr="002D7758">
        <w:rPr>
          <w:rFonts w:eastAsia="Times New Roman" w:cs="Times New Roman"/>
          <w:szCs w:val="24"/>
        </w:rPr>
        <w:t>67083</w:t>
      </w:r>
      <w:r w:rsidR="003A07AE">
        <w:rPr>
          <w:rFonts w:eastAsia="Times New Roman" w:cs="Times New Roman"/>
          <w:szCs w:val="24"/>
        </w:rPr>
        <w:t>931</w:t>
      </w:r>
      <w:r w:rsidR="00561E8F" w:rsidRPr="002D7758">
        <w:rPr>
          <w:rFonts w:eastAsia="Times New Roman" w:cs="Times New Roman"/>
          <w:szCs w:val="24"/>
        </w:rPr>
        <w:t xml:space="preserve">, </w:t>
      </w:r>
      <w:r w:rsidR="00FD627A">
        <w:rPr>
          <w:rFonts w:eastAsia="Times New Roman" w:cs="Times New Roman"/>
          <w:szCs w:val="24"/>
        </w:rPr>
        <w:t>gunvaldis</w:t>
      </w:r>
      <w:r w:rsidR="00FD627A" w:rsidRPr="002D7758">
        <w:rPr>
          <w:rFonts w:eastAsia="Times New Roman" w:cs="Times New Roman"/>
          <w:szCs w:val="24"/>
        </w:rPr>
        <w:t>.</w:t>
      </w:r>
      <w:r w:rsidR="00FD627A">
        <w:rPr>
          <w:rFonts w:eastAsia="Times New Roman" w:cs="Times New Roman"/>
          <w:szCs w:val="24"/>
        </w:rPr>
        <w:t>davidovics</w:t>
      </w:r>
      <w:r w:rsidR="00FD627A" w:rsidRPr="002D7758">
        <w:rPr>
          <w:rFonts w:eastAsia="Times New Roman" w:cs="Times New Roman"/>
          <w:szCs w:val="24"/>
        </w:rPr>
        <w:t>@fm.gov.lv</w:t>
      </w:r>
      <w:r w:rsidR="005C3B11">
        <w:rPr>
          <w:rFonts w:eastAsia="Times New Roman" w:cs="Times New Roman"/>
          <w:szCs w:val="24"/>
        </w:rPr>
        <w:t>)</w:t>
      </w:r>
    </w:p>
    <w:p w14:paraId="44CEA524" w14:textId="13BC3CD3" w:rsidR="002E6246" w:rsidRPr="002D7758" w:rsidRDefault="00247FF4" w:rsidP="00247FF4">
      <w:pPr>
        <w:spacing w:after="160" w:line="259" w:lineRule="auto"/>
        <w:rPr>
          <w:rFonts w:eastAsia="Times New Roman" w:cs="Times New Roman"/>
          <w:szCs w:val="24"/>
        </w:rPr>
      </w:pPr>
      <w:r w:rsidRPr="00247FF4">
        <w:rPr>
          <w:rFonts w:eastAsia="Times New Roman" w:cs="Times New Roman"/>
          <w:szCs w:val="24"/>
        </w:rPr>
        <w:t>Uzzi</w:t>
      </w:r>
      <w:r w:rsidRPr="00247FF4">
        <w:rPr>
          <w:rFonts w:eastAsia="Times New Roman" w:cs="Times New Roman" w:hint="eastAsia"/>
          <w:szCs w:val="24"/>
        </w:rPr>
        <w:t>ņ</w:t>
      </w:r>
      <w:r w:rsidRPr="00247FF4">
        <w:rPr>
          <w:rFonts w:eastAsia="Times New Roman" w:cs="Times New Roman"/>
          <w:szCs w:val="24"/>
        </w:rPr>
        <w:t>a iesniegta</w:t>
      </w:r>
      <w:r w:rsidR="003A07AE">
        <w:rPr>
          <w:rFonts w:eastAsia="Times New Roman" w:cs="Times New Roman"/>
          <w:szCs w:val="24"/>
        </w:rPr>
        <w:t>: 12.09</w:t>
      </w:r>
      <w:r w:rsidRPr="00247FF4">
        <w:rPr>
          <w:rFonts w:eastAsia="Times New Roman" w:cs="Times New Roman"/>
          <w:szCs w:val="24"/>
        </w:rPr>
        <w:t>.2019.</w:t>
      </w:r>
    </w:p>
    <w:sectPr w:rsidR="002E6246" w:rsidRPr="002D7758" w:rsidSect="004444EB">
      <w:headerReference w:type="default" r:id="rId10"/>
      <w:footerReference w:type="default" r:id="rId11"/>
      <w:footerReference w:type="first" r:id="rId12"/>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6B72" w14:textId="77777777" w:rsidR="00585BDD" w:rsidRDefault="00585BDD">
      <w:r>
        <w:separator/>
      </w:r>
    </w:p>
  </w:endnote>
  <w:endnote w:type="continuationSeparator" w:id="0">
    <w:p w14:paraId="53A2898D" w14:textId="77777777" w:rsidR="00585BDD" w:rsidRDefault="0058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8182" w14:textId="77777777" w:rsidR="0088019C" w:rsidRPr="002D1EE0" w:rsidRDefault="0088019C" w:rsidP="0088019C">
    <w:pPr>
      <w:pStyle w:val="Footer"/>
      <w:rPr>
        <w:rFonts w:cs="Times New Roman"/>
        <w:sz w:val="20"/>
        <w:szCs w:val="20"/>
      </w:rPr>
    </w:pPr>
  </w:p>
  <w:p w14:paraId="7E09676B" w14:textId="77777777" w:rsidR="0093064E" w:rsidRDefault="0088019C" w:rsidP="0088019C">
    <w:pPr>
      <w:pStyle w:val="Footer"/>
      <w:rPr>
        <w:rFonts w:cs="Times New Roman"/>
        <w:sz w:val="20"/>
        <w:szCs w:val="20"/>
      </w:rPr>
    </w:pPr>
    <w:r>
      <w:rPr>
        <w:rFonts w:cs="Times New Roman"/>
        <w:sz w:val="20"/>
        <w:szCs w:val="20"/>
      </w:rPr>
      <w:tab/>
    </w:r>
  </w:p>
  <w:p w14:paraId="36808788" w14:textId="77777777" w:rsidR="004444EB" w:rsidRPr="00B7651E" w:rsidRDefault="00585BDD" w:rsidP="00B76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2277"/>
      <w:docPartObj>
        <w:docPartGallery w:val="Page Numbers (Top of Page)"/>
        <w:docPartUnique/>
      </w:docPartObj>
    </w:sdtPr>
    <w:sdtEndPr>
      <w:rPr>
        <w:noProof/>
        <w:szCs w:val="24"/>
      </w:rPr>
    </w:sdtEndPr>
    <w:sdtContent>
      <w:p w14:paraId="651BA42C" w14:textId="29A6ED3E" w:rsidR="00066DE9" w:rsidRPr="004444EB" w:rsidRDefault="00066DE9" w:rsidP="00066DE9">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5375F0">
          <w:rPr>
            <w:noProof/>
            <w:szCs w:val="24"/>
          </w:rPr>
          <w:t>1</w:t>
        </w:r>
        <w:r w:rsidRPr="004444EB">
          <w:rPr>
            <w:noProof/>
            <w:szCs w:val="24"/>
          </w:rPr>
          <w:fldChar w:fldCharType="end"/>
        </w:r>
      </w:p>
    </w:sdtContent>
  </w:sdt>
  <w:p w14:paraId="28DB289C" w14:textId="77777777" w:rsidR="00066DE9" w:rsidRDefault="00066DE9" w:rsidP="00066DE9"/>
  <w:p w14:paraId="1FE728BC" w14:textId="77777777" w:rsidR="00066DE9" w:rsidRDefault="00066DE9" w:rsidP="00066DE9">
    <w:pPr>
      <w:pStyle w:val="Footer"/>
    </w:pPr>
  </w:p>
  <w:p w14:paraId="15C5CB33" w14:textId="77777777" w:rsidR="00066DE9" w:rsidRDefault="00066DE9" w:rsidP="00066DE9"/>
  <w:p w14:paraId="19649B39" w14:textId="77777777" w:rsidR="002B3839" w:rsidRPr="00806A94" w:rsidRDefault="00585BDD" w:rsidP="00806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EBA9" w14:textId="77777777" w:rsidR="00585BDD" w:rsidRDefault="00585BDD">
      <w:r>
        <w:separator/>
      </w:r>
    </w:p>
  </w:footnote>
  <w:footnote w:type="continuationSeparator" w:id="0">
    <w:p w14:paraId="3B0E355B" w14:textId="77777777" w:rsidR="00585BDD" w:rsidRDefault="0058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62592"/>
      <w:docPartObj>
        <w:docPartGallery w:val="Page Numbers (Top of Page)"/>
        <w:docPartUnique/>
      </w:docPartObj>
    </w:sdtPr>
    <w:sdtEndPr>
      <w:rPr>
        <w:noProof/>
        <w:szCs w:val="24"/>
      </w:rPr>
    </w:sdtEndPr>
    <w:sdtContent>
      <w:p w14:paraId="19058AFF" w14:textId="5A192FBC" w:rsidR="004444EB" w:rsidRPr="004444EB" w:rsidRDefault="002E6246" w:rsidP="004444EB">
        <w:pPr>
          <w:pStyle w:val="Header"/>
          <w:jc w:val="center"/>
          <w:rPr>
            <w:szCs w:val="24"/>
          </w:rPr>
        </w:pPr>
        <w:r w:rsidRPr="004444EB">
          <w:rPr>
            <w:szCs w:val="24"/>
          </w:rPr>
          <w:fldChar w:fldCharType="begin"/>
        </w:r>
        <w:r w:rsidRPr="004444EB">
          <w:rPr>
            <w:szCs w:val="24"/>
          </w:rPr>
          <w:instrText xml:space="preserve"> PAGE   \* MERGEFORMAT </w:instrText>
        </w:r>
        <w:r w:rsidRPr="004444EB">
          <w:rPr>
            <w:szCs w:val="24"/>
          </w:rPr>
          <w:fldChar w:fldCharType="separate"/>
        </w:r>
        <w:r w:rsidR="005375F0">
          <w:rPr>
            <w:noProof/>
            <w:szCs w:val="24"/>
          </w:rPr>
          <w:t>3</w:t>
        </w:r>
        <w:r w:rsidRPr="004444EB">
          <w:rPr>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E03"/>
    <w:multiLevelType w:val="hybridMultilevel"/>
    <w:tmpl w:val="EA322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2650F"/>
    <w:multiLevelType w:val="hybridMultilevel"/>
    <w:tmpl w:val="EC146774"/>
    <w:lvl w:ilvl="0" w:tplc="DD687132">
      <w:start w:val="2019"/>
      <w:numFmt w:val="bullet"/>
      <w:lvlText w:val="-"/>
      <w:lvlJc w:val="left"/>
      <w:pPr>
        <w:ind w:left="1080" w:hanging="360"/>
      </w:pPr>
      <w:rPr>
        <w:rFonts w:ascii="Times New Roman" w:eastAsiaTheme="minorHAnsi" w:hAnsi="Times New Roman" w:cs="Times New Roman" w:hint="default"/>
        <w:color w:val="auto"/>
        <w:sz w:val="19"/>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D447B83"/>
    <w:multiLevelType w:val="hybridMultilevel"/>
    <w:tmpl w:val="D0666A50"/>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F052976"/>
    <w:multiLevelType w:val="hybridMultilevel"/>
    <w:tmpl w:val="DDD4A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96010D"/>
    <w:multiLevelType w:val="hybridMultilevel"/>
    <w:tmpl w:val="A7B0B35C"/>
    <w:lvl w:ilvl="0" w:tplc="B20E7450">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CD00C9"/>
    <w:multiLevelType w:val="hybridMultilevel"/>
    <w:tmpl w:val="F1945C04"/>
    <w:lvl w:ilvl="0" w:tplc="6E088B48">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055C5"/>
    <w:multiLevelType w:val="hybridMultilevel"/>
    <w:tmpl w:val="BFB63A24"/>
    <w:lvl w:ilvl="0" w:tplc="0C36D4F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8" w15:restartNumberingAfterBreak="0">
    <w:nsid w:val="600F6DA5"/>
    <w:multiLevelType w:val="hybridMultilevel"/>
    <w:tmpl w:val="64466F56"/>
    <w:lvl w:ilvl="0" w:tplc="E6DABDCA">
      <w:start w:val="1"/>
      <w:numFmt w:val="decimal"/>
      <w:lvlText w:val="%1."/>
      <w:lvlJc w:val="left"/>
      <w:pPr>
        <w:ind w:left="720" w:hanging="360"/>
      </w:pPr>
      <w:rPr>
        <w:rFonts w:eastAsia="Times New Roman" w:cs="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A1033D"/>
    <w:multiLevelType w:val="hybridMultilevel"/>
    <w:tmpl w:val="1CAEA7B0"/>
    <w:lvl w:ilvl="0" w:tplc="A61AB5F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E83250"/>
    <w:multiLevelType w:val="hybridMultilevel"/>
    <w:tmpl w:val="ED14C984"/>
    <w:lvl w:ilvl="0" w:tplc="D80A9BD0">
      <w:start w:val="1"/>
      <w:numFmt w:val="decimal"/>
      <w:lvlText w:val="%1)"/>
      <w:lvlJc w:val="left"/>
      <w:pPr>
        <w:ind w:left="872" w:hanging="645"/>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num w:numId="1">
    <w:abstractNumId w:val="5"/>
  </w:num>
  <w:num w:numId="2">
    <w:abstractNumId w:val="8"/>
  </w:num>
  <w:num w:numId="3">
    <w:abstractNumId w:val="2"/>
  </w:num>
  <w:num w:numId="4">
    <w:abstractNumId w:val="10"/>
  </w:num>
  <w:num w:numId="5">
    <w:abstractNumId w:val="9"/>
  </w:num>
  <w:num w:numId="6">
    <w:abstractNumId w:val="6"/>
  </w:num>
  <w:num w:numId="7">
    <w:abstractNumId w:val="1"/>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6B"/>
    <w:rsid w:val="000048F9"/>
    <w:rsid w:val="00016046"/>
    <w:rsid w:val="00043853"/>
    <w:rsid w:val="00066DE9"/>
    <w:rsid w:val="00076811"/>
    <w:rsid w:val="00077145"/>
    <w:rsid w:val="000879D7"/>
    <w:rsid w:val="0009446B"/>
    <w:rsid w:val="000A1913"/>
    <w:rsid w:val="000A5448"/>
    <w:rsid w:val="000B3084"/>
    <w:rsid w:val="000C4905"/>
    <w:rsid w:val="000E0B0D"/>
    <w:rsid w:val="00132A20"/>
    <w:rsid w:val="00164B07"/>
    <w:rsid w:val="00170D32"/>
    <w:rsid w:val="0017144A"/>
    <w:rsid w:val="00184875"/>
    <w:rsid w:val="00194CAB"/>
    <w:rsid w:val="001D5F0F"/>
    <w:rsid w:val="00200781"/>
    <w:rsid w:val="00223137"/>
    <w:rsid w:val="00226CF4"/>
    <w:rsid w:val="00243A0C"/>
    <w:rsid w:val="00247FF4"/>
    <w:rsid w:val="002C2709"/>
    <w:rsid w:val="002D1B5B"/>
    <w:rsid w:val="002D1EE0"/>
    <w:rsid w:val="002D7758"/>
    <w:rsid w:val="002E3996"/>
    <w:rsid w:val="002E6246"/>
    <w:rsid w:val="002E6EA6"/>
    <w:rsid w:val="002F3FE2"/>
    <w:rsid w:val="002F5AE0"/>
    <w:rsid w:val="00312282"/>
    <w:rsid w:val="00313E4D"/>
    <w:rsid w:val="003175B5"/>
    <w:rsid w:val="00344601"/>
    <w:rsid w:val="003738DB"/>
    <w:rsid w:val="00380E97"/>
    <w:rsid w:val="003A07AE"/>
    <w:rsid w:val="003A35C5"/>
    <w:rsid w:val="003A6626"/>
    <w:rsid w:val="003B249A"/>
    <w:rsid w:val="003C540E"/>
    <w:rsid w:val="003E61C1"/>
    <w:rsid w:val="004120CB"/>
    <w:rsid w:val="004300A9"/>
    <w:rsid w:val="00434C1D"/>
    <w:rsid w:val="004600A0"/>
    <w:rsid w:val="004600F7"/>
    <w:rsid w:val="004712BA"/>
    <w:rsid w:val="004B19D2"/>
    <w:rsid w:val="004B2C7D"/>
    <w:rsid w:val="004B7D21"/>
    <w:rsid w:val="004D750A"/>
    <w:rsid w:val="004E3530"/>
    <w:rsid w:val="005152AB"/>
    <w:rsid w:val="00516CB9"/>
    <w:rsid w:val="005375F0"/>
    <w:rsid w:val="00556033"/>
    <w:rsid w:val="00561E8F"/>
    <w:rsid w:val="005803E4"/>
    <w:rsid w:val="00585BDD"/>
    <w:rsid w:val="005B6C0B"/>
    <w:rsid w:val="005C3B11"/>
    <w:rsid w:val="005C4A42"/>
    <w:rsid w:val="005C6304"/>
    <w:rsid w:val="005C723D"/>
    <w:rsid w:val="005D4BBE"/>
    <w:rsid w:val="005D503F"/>
    <w:rsid w:val="006003C1"/>
    <w:rsid w:val="00625C8B"/>
    <w:rsid w:val="00650BED"/>
    <w:rsid w:val="00650DEE"/>
    <w:rsid w:val="006C0DC6"/>
    <w:rsid w:val="006D0189"/>
    <w:rsid w:val="006D06BC"/>
    <w:rsid w:val="006D2E84"/>
    <w:rsid w:val="007255BD"/>
    <w:rsid w:val="007259D2"/>
    <w:rsid w:val="00726735"/>
    <w:rsid w:val="0075197E"/>
    <w:rsid w:val="007813AA"/>
    <w:rsid w:val="00784075"/>
    <w:rsid w:val="00787181"/>
    <w:rsid w:val="00791E04"/>
    <w:rsid w:val="00796271"/>
    <w:rsid w:val="007A65DA"/>
    <w:rsid w:val="007C6AE5"/>
    <w:rsid w:val="00801699"/>
    <w:rsid w:val="008105BE"/>
    <w:rsid w:val="008106F2"/>
    <w:rsid w:val="00824152"/>
    <w:rsid w:val="00831722"/>
    <w:rsid w:val="00864618"/>
    <w:rsid w:val="0088019C"/>
    <w:rsid w:val="00880578"/>
    <w:rsid w:val="008B702F"/>
    <w:rsid w:val="008D0E19"/>
    <w:rsid w:val="008E55BA"/>
    <w:rsid w:val="008F7D64"/>
    <w:rsid w:val="00924982"/>
    <w:rsid w:val="0093749F"/>
    <w:rsid w:val="00946034"/>
    <w:rsid w:val="009558E5"/>
    <w:rsid w:val="009648DE"/>
    <w:rsid w:val="00996D39"/>
    <w:rsid w:val="009A6D72"/>
    <w:rsid w:val="009D1299"/>
    <w:rsid w:val="009D1FE6"/>
    <w:rsid w:val="009E42E1"/>
    <w:rsid w:val="00A12E65"/>
    <w:rsid w:val="00A56385"/>
    <w:rsid w:val="00A64733"/>
    <w:rsid w:val="00A65CD2"/>
    <w:rsid w:val="00A71199"/>
    <w:rsid w:val="00A72E34"/>
    <w:rsid w:val="00A8079C"/>
    <w:rsid w:val="00A84242"/>
    <w:rsid w:val="00AA1A40"/>
    <w:rsid w:val="00AA3403"/>
    <w:rsid w:val="00B06E03"/>
    <w:rsid w:val="00B11F6B"/>
    <w:rsid w:val="00B13012"/>
    <w:rsid w:val="00B1619C"/>
    <w:rsid w:val="00B22B1D"/>
    <w:rsid w:val="00B2384F"/>
    <w:rsid w:val="00B54557"/>
    <w:rsid w:val="00B74A30"/>
    <w:rsid w:val="00BA63A4"/>
    <w:rsid w:val="00BB618A"/>
    <w:rsid w:val="00BD0D8B"/>
    <w:rsid w:val="00BD49EE"/>
    <w:rsid w:val="00BD6039"/>
    <w:rsid w:val="00BE1989"/>
    <w:rsid w:val="00BE3C8F"/>
    <w:rsid w:val="00C00FD4"/>
    <w:rsid w:val="00C34AA0"/>
    <w:rsid w:val="00C515BE"/>
    <w:rsid w:val="00C5364E"/>
    <w:rsid w:val="00C72696"/>
    <w:rsid w:val="00C72F1A"/>
    <w:rsid w:val="00C76390"/>
    <w:rsid w:val="00C8280A"/>
    <w:rsid w:val="00C90AB0"/>
    <w:rsid w:val="00CA7C00"/>
    <w:rsid w:val="00CF46E6"/>
    <w:rsid w:val="00CF5188"/>
    <w:rsid w:val="00D10332"/>
    <w:rsid w:val="00D10731"/>
    <w:rsid w:val="00D13C0D"/>
    <w:rsid w:val="00D271D5"/>
    <w:rsid w:val="00D54831"/>
    <w:rsid w:val="00D65424"/>
    <w:rsid w:val="00D707A8"/>
    <w:rsid w:val="00D815A4"/>
    <w:rsid w:val="00D958B1"/>
    <w:rsid w:val="00DD14DA"/>
    <w:rsid w:val="00DE191D"/>
    <w:rsid w:val="00DF22CE"/>
    <w:rsid w:val="00E06AB5"/>
    <w:rsid w:val="00E101E9"/>
    <w:rsid w:val="00E14E21"/>
    <w:rsid w:val="00E42110"/>
    <w:rsid w:val="00E54503"/>
    <w:rsid w:val="00E643B2"/>
    <w:rsid w:val="00E67EDE"/>
    <w:rsid w:val="00E91330"/>
    <w:rsid w:val="00E96814"/>
    <w:rsid w:val="00EB23E6"/>
    <w:rsid w:val="00EB6B15"/>
    <w:rsid w:val="00F068E3"/>
    <w:rsid w:val="00F23258"/>
    <w:rsid w:val="00F30927"/>
    <w:rsid w:val="00F726F8"/>
    <w:rsid w:val="00FA4E76"/>
    <w:rsid w:val="00FB6FD8"/>
    <w:rsid w:val="00FD627A"/>
    <w:rsid w:val="00FD67EC"/>
    <w:rsid w:val="2A45E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133E"/>
  <w15:chartTrackingRefBased/>
  <w15:docId w15:val="{7E513FFA-3385-41A2-9949-AF16A05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0332"/>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46"/>
    <w:pPr>
      <w:tabs>
        <w:tab w:val="center" w:pos="4153"/>
        <w:tab w:val="right" w:pos="8306"/>
      </w:tabs>
    </w:pPr>
  </w:style>
  <w:style w:type="character" w:customStyle="1" w:styleId="HeaderChar">
    <w:name w:val="Header Char"/>
    <w:basedOn w:val="DefaultParagraphFont"/>
    <w:link w:val="Header"/>
    <w:uiPriority w:val="99"/>
    <w:rsid w:val="002E6246"/>
  </w:style>
  <w:style w:type="paragraph" w:styleId="Footer">
    <w:name w:val="footer"/>
    <w:basedOn w:val="Normal"/>
    <w:link w:val="FooterChar"/>
    <w:uiPriority w:val="99"/>
    <w:unhideWhenUsed/>
    <w:rsid w:val="002E6246"/>
    <w:pPr>
      <w:tabs>
        <w:tab w:val="center" w:pos="4153"/>
        <w:tab w:val="right" w:pos="8306"/>
      </w:tabs>
    </w:pPr>
  </w:style>
  <w:style w:type="character" w:customStyle="1" w:styleId="FooterChar">
    <w:name w:val="Footer Char"/>
    <w:basedOn w:val="DefaultParagraphFont"/>
    <w:link w:val="Footer"/>
    <w:uiPriority w:val="99"/>
    <w:rsid w:val="002E6246"/>
  </w:style>
  <w:style w:type="character" w:styleId="Strong">
    <w:name w:val="Strong"/>
    <w:basedOn w:val="DefaultParagraphFont"/>
    <w:uiPriority w:val="22"/>
    <w:qFormat/>
    <w:rsid w:val="00CA7C00"/>
    <w:rPr>
      <w:b/>
      <w:bCs/>
    </w:rPr>
  </w:style>
  <w:style w:type="paragraph" w:styleId="BalloonText">
    <w:name w:val="Balloon Text"/>
    <w:basedOn w:val="Normal"/>
    <w:link w:val="BalloonTextChar"/>
    <w:uiPriority w:val="99"/>
    <w:semiHidden/>
    <w:unhideWhenUsed/>
    <w:rsid w:val="006C0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C6"/>
    <w:rPr>
      <w:rFonts w:ascii="Segoe UI" w:hAnsi="Segoe UI" w:cs="Segoe UI"/>
      <w:sz w:val="18"/>
      <w:szCs w:val="18"/>
    </w:rPr>
  </w:style>
  <w:style w:type="paragraph" w:customStyle="1" w:styleId="doc-ti">
    <w:name w:val="doc-ti"/>
    <w:basedOn w:val="Normal"/>
    <w:rsid w:val="005D4BBE"/>
    <w:pPr>
      <w:spacing w:before="240" w:after="120"/>
      <w:jc w:val="center"/>
    </w:pPr>
    <w:rPr>
      <w:rFonts w:eastAsia="Times New Roman" w:cs="Times New Roman"/>
      <w:b/>
      <w:bCs/>
      <w:szCs w:val="24"/>
      <w:lang w:eastAsia="lv-LV"/>
    </w:rPr>
  </w:style>
  <w:style w:type="paragraph" w:customStyle="1" w:styleId="naiskr">
    <w:name w:val="naiskr"/>
    <w:basedOn w:val="Normal"/>
    <w:rsid w:val="00E54503"/>
    <w:pPr>
      <w:spacing w:before="75" w:after="75"/>
    </w:pPr>
    <w:rPr>
      <w:rFonts w:eastAsia="Times New Roman" w:cs="Times New Roman"/>
      <w:szCs w:val="24"/>
      <w:lang w:eastAsia="lv-LV"/>
    </w:rPr>
  </w:style>
  <w:style w:type="paragraph" w:customStyle="1" w:styleId="Default">
    <w:name w:val="Default"/>
    <w:rsid w:val="00E54503"/>
    <w:pPr>
      <w:autoSpaceDE w:val="0"/>
      <w:autoSpaceDN w:val="0"/>
      <w:adjustRightInd w:val="0"/>
    </w:pPr>
    <w:rPr>
      <w:rFonts w:ascii="EUAlbertina" w:eastAsia="Times New Roman" w:hAnsi="EUAlbertina" w:cs="EUAlbertina"/>
      <w:color w:val="000000"/>
      <w:szCs w:val="24"/>
      <w:lang w:eastAsia="lv-LV"/>
    </w:rPr>
  </w:style>
  <w:style w:type="paragraph" w:styleId="ListParagraph">
    <w:name w:val="List Paragraph"/>
    <w:aliases w:val="2,Strip"/>
    <w:basedOn w:val="Normal"/>
    <w:link w:val="ListParagraphChar"/>
    <w:uiPriority w:val="34"/>
    <w:qFormat/>
    <w:rsid w:val="00BB618A"/>
    <w:pPr>
      <w:ind w:left="720"/>
      <w:contextualSpacing/>
    </w:pPr>
  </w:style>
  <w:style w:type="character" w:styleId="Hyperlink">
    <w:name w:val="Hyperlink"/>
    <w:basedOn w:val="DefaultParagraphFont"/>
    <w:uiPriority w:val="99"/>
    <w:unhideWhenUsed/>
    <w:rsid w:val="00226CF4"/>
    <w:rPr>
      <w:color w:val="0563C1" w:themeColor="hyperlink"/>
      <w:u w:val="single"/>
    </w:rPr>
  </w:style>
  <w:style w:type="character" w:styleId="FootnoteReference">
    <w:name w:val="footnote reference"/>
    <w:aliases w:val="Footnote Reference Number,Footnote symbol,SUPERS"/>
    <w:uiPriority w:val="99"/>
    <w:unhideWhenUsed/>
    <w:rsid w:val="00312282"/>
    <w:rPr>
      <w:vertAlign w:val="superscript"/>
    </w:rPr>
  </w:style>
  <w:style w:type="character" w:styleId="Emphasis">
    <w:name w:val="Emphasis"/>
    <w:basedOn w:val="DefaultParagraphFont"/>
    <w:uiPriority w:val="20"/>
    <w:qFormat/>
    <w:rsid w:val="005C4A42"/>
    <w:rPr>
      <w:i/>
      <w:iCs/>
    </w:rPr>
  </w:style>
  <w:style w:type="character" w:customStyle="1" w:styleId="Heading4Char">
    <w:name w:val="Heading 4 Char"/>
    <w:basedOn w:val="DefaultParagraphFont"/>
    <w:link w:val="Heading4"/>
    <w:uiPriority w:val="9"/>
    <w:rsid w:val="00D10332"/>
    <w:rPr>
      <w:rFonts w:eastAsia="Times New Roman" w:cs="Times New Roman"/>
      <w:b/>
      <w:bCs/>
      <w:szCs w:val="24"/>
      <w:lang w:eastAsia="lv-LV"/>
    </w:rPr>
  </w:style>
  <w:style w:type="character" w:customStyle="1" w:styleId="ListParagraphChar">
    <w:name w:val="List Paragraph Char"/>
    <w:aliases w:val="2 Char,Strip Char"/>
    <w:link w:val="ListParagraph"/>
    <w:uiPriority w:val="34"/>
    <w:rsid w:val="004B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6415">
      <w:bodyDiv w:val="1"/>
      <w:marLeft w:val="390"/>
      <w:marRight w:val="390"/>
      <w:marTop w:val="0"/>
      <w:marBottom w:val="0"/>
      <w:divBdr>
        <w:top w:val="none" w:sz="0" w:space="0" w:color="auto"/>
        <w:left w:val="none" w:sz="0" w:space="0" w:color="auto"/>
        <w:bottom w:val="none" w:sz="0" w:space="0" w:color="auto"/>
        <w:right w:val="none" w:sz="0" w:space="0" w:color="auto"/>
      </w:divBdr>
    </w:div>
    <w:div w:id="609319992">
      <w:bodyDiv w:val="1"/>
      <w:marLeft w:val="390"/>
      <w:marRight w:val="390"/>
      <w:marTop w:val="0"/>
      <w:marBottom w:val="0"/>
      <w:divBdr>
        <w:top w:val="none" w:sz="0" w:space="0" w:color="auto"/>
        <w:left w:val="none" w:sz="0" w:space="0" w:color="auto"/>
        <w:bottom w:val="none" w:sz="0" w:space="0" w:color="auto"/>
        <w:right w:val="none" w:sz="0" w:space="0" w:color="auto"/>
      </w:divBdr>
    </w:div>
    <w:div w:id="11106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4D5CA8E494EBFA5370DD0F326997B"/>
        <w:category>
          <w:name w:val="General"/>
          <w:gallery w:val="placeholder"/>
        </w:category>
        <w:types>
          <w:type w:val="bbPlcHdr"/>
        </w:types>
        <w:behaviors>
          <w:behavior w:val="content"/>
        </w:behaviors>
        <w:guid w:val="{36ACCA41-5913-431F-A3D2-E1E1CDB8F7EA}"/>
      </w:docPartPr>
      <w:docPartBody>
        <w:p w:rsidR="00E16436" w:rsidRDefault="006938F3" w:rsidP="006938F3">
          <w:pPr>
            <w:pStyle w:val="9634D5CA8E494EBFA5370DD0F326997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 New Roman,Calib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3"/>
    <w:rsid w:val="000F06FB"/>
    <w:rsid w:val="005E69FA"/>
    <w:rsid w:val="006938F3"/>
    <w:rsid w:val="006E5207"/>
    <w:rsid w:val="0083657B"/>
    <w:rsid w:val="00912070"/>
    <w:rsid w:val="00920AFA"/>
    <w:rsid w:val="00A91951"/>
    <w:rsid w:val="00AA2510"/>
    <w:rsid w:val="00E14B08"/>
    <w:rsid w:val="00E16436"/>
    <w:rsid w:val="00F05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8F3"/>
    <w:rPr>
      <w:color w:val="808080"/>
    </w:rPr>
  </w:style>
  <w:style w:type="paragraph" w:customStyle="1" w:styleId="E4F0C85C5FEA48148B7C9EEDA5322F00">
    <w:name w:val="E4F0C85C5FEA48148B7C9EEDA5322F00"/>
    <w:rsid w:val="006938F3"/>
  </w:style>
  <w:style w:type="paragraph" w:customStyle="1" w:styleId="9634D5CA8E494EBFA5370DD0F326997B">
    <w:name w:val="9634D5CA8E494EBFA5370DD0F326997B"/>
    <w:rsid w:val="00693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 Zitcere (FTPD)</Zinotajs>
    <NPK xmlns="bf0a44d4-cc3b-414c-aa68-884178465e3a">1.</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B2F061D9680A048B3C59FAF1CB44B38" ma:contentTypeVersion="" ma:contentTypeDescription="Izveidot jaunu dokumentu." ma:contentTypeScope="" ma:versionID="d47a8147f25e4e6f5a4ca71067053c20">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99F53-BD9C-4A08-9D65-EB063C557B8E}">
  <ds:schemaRefs>
    <ds:schemaRef ds:uri="http://schemas.microsoft.com/office/2006/metadata/properties"/>
    <ds:schemaRef ds:uri="http://schemas.microsoft.com/office/infopath/2007/PartnerControls"/>
    <ds:schemaRef ds:uri="076bee50-7a25-411a-a5a6-8097026bde27"/>
    <ds:schemaRef ds:uri="bf0a44d4-cc3b-414c-aa68-884178465e3a"/>
  </ds:schemaRefs>
</ds:datastoreItem>
</file>

<file path=customXml/itemProps2.xml><?xml version="1.0" encoding="utf-8"?>
<ds:datastoreItem xmlns:ds="http://schemas.openxmlformats.org/officeDocument/2006/customXml" ds:itemID="{3B082BA5-BF2C-4DC2-857F-E2E8AABB657B}">
  <ds:schemaRefs>
    <ds:schemaRef ds:uri="http://schemas.microsoft.com/sharepoint/v3/contenttype/forms"/>
  </ds:schemaRefs>
</ds:datastoreItem>
</file>

<file path=customXml/itemProps3.xml><?xml version="1.0" encoding="utf-8"?>
<ds:datastoreItem xmlns:ds="http://schemas.openxmlformats.org/officeDocument/2006/customXml" ds:itemID="{434F5314-9957-4141-BC47-D2C2AD0D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3508</Words>
  <Characters>2000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Uzziņa par likumprojektu „Izslēdzošā ieskaita likums” </vt:lpstr>
    </vt:vector>
  </TitlesOfParts>
  <Company>Finanšu ministrija</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„Izslēdzošā ieskaita likums”</dc:title>
  <dc:subject>Uzziņa</dc:subject>
  <dc:creator>G. Davidovičs (FTPD)</dc:creator>
  <cp:keywords/>
  <cp:lastModifiedBy>Inguna Dancīte</cp:lastModifiedBy>
  <cp:revision>2</cp:revision>
  <cp:lastPrinted>2019-08-22T07:54:00Z</cp:lastPrinted>
  <dcterms:created xsi:type="dcterms:W3CDTF">2019-09-13T13:18:00Z</dcterms:created>
  <dcterms:modified xsi:type="dcterms:W3CDTF">2019-09-13T13:18:00Z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0x010100EB2F061D9680A048B3C59FAF1CB44B38</vt:lpwstr>
  </property>
</Properties>
</file>