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83" w:rsidRDefault="00074A83" w:rsidP="004F60B2">
      <w:pPr>
        <w:jc w:val="center"/>
        <w:rPr>
          <w:b/>
          <w:sz w:val="26"/>
          <w:szCs w:val="26"/>
        </w:rPr>
      </w:pPr>
      <w:bookmarkStart w:id="0" w:name="_GoBack"/>
      <w:bookmarkEnd w:id="0"/>
      <w:r w:rsidRPr="00A7641D">
        <w:rPr>
          <w:b/>
          <w:sz w:val="26"/>
          <w:szCs w:val="26"/>
        </w:rPr>
        <w:t xml:space="preserve">Uzziņa </w:t>
      </w:r>
      <w:r w:rsidR="00C423DF" w:rsidRPr="00A7641D">
        <w:rPr>
          <w:b/>
          <w:sz w:val="26"/>
          <w:szCs w:val="26"/>
        </w:rPr>
        <w:t xml:space="preserve">par projektu </w:t>
      </w:r>
      <w:r w:rsidRPr="00A7641D">
        <w:rPr>
          <w:b/>
          <w:sz w:val="26"/>
          <w:szCs w:val="26"/>
        </w:rPr>
        <w:t>Vadības komiteja</w:t>
      </w:r>
      <w:r w:rsidR="00C423DF" w:rsidRPr="00A7641D">
        <w:rPr>
          <w:b/>
          <w:sz w:val="26"/>
          <w:szCs w:val="26"/>
        </w:rPr>
        <w:t>s sēdei</w:t>
      </w:r>
    </w:p>
    <w:p w:rsidR="00F408FC" w:rsidRPr="00A7641D" w:rsidRDefault="00F408FC" w:rsidP="004F60B2">
      <w:pPr>
        <w:jc w:val="center"/>
        <w:rPr>
          <w:b/>
          <w:sz w:val="26"/>
          <w:szCs w:val="26"/>
        </w:rPr>
      </w:pPr>
      <w:r>
        <w:rPr>
          <w:b/>
          <w:sz w:val="26"/>
          <w:szCs w:val="26"/>
        </w:rPr>
        <w:t>19.06.2020.</w:t>
      </w:r>
    </w:p>
    <w:p w:rsidR="00074A83" w:rsidRPr="00A7641D" w:rsidRDefault="00074A83" w:rsidP="004F60B2">
      <w:pPr>
        <w:rPr>
          <w:sz w:val="26"/>
          <w:szCs w:val="26"/>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64"/>
        <w:gridCol w:w="6176"/>
        <w:gridCol w:w="35"/>
      </w:tblGrid>
      <w:tr w:rsidR="00074A83" w:rsidRPr="00A7641D" w:rsidTr="0008685E">
        <w:trPr>
          <w:gridAfter w:val="1"/>
          <w:wAfter w:w="35" w:type="dxa"/>
          <w:tblHead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74A83" w:rsidRPr="00A7641D" w:rsidRDefault="00074A83" w:rsidP="004F60B2">
            <w:pPr>
              <w:jc w:val="center"/>
              <w:rPr>
                <w:sz w:val="26"/>
                <w:szCs w:val="26"/>
              </w:rPr>
            </w:pPr>
            <w:r w:rsidRPr="00A7641D">
              <w:rPr>
                <w:sz w:val="26"/>
                <w:szCs w:val="26"/>
              </w:rPr>
              <w:t>№</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074A83" w:rsidRPr="00A7641D" w:rsidRDefault="00074A83" w:rsidP="004F60B2">
            <w:pPr>
              <w:jc w:val="center"/>
              <w:rPr>
                <w:sz w:val="26"/>
                <w:szCs w:val="26"/>
              </w:rPr>
            </w:pPr>
            <w:r w:rsidRPr="00A7641D">
              <w:rPr>
                <w:sz w:val="26"/>
                <w:szCs w:val="26"/>
              </w:rPr>
              <w:t>Sniedzamā informācija</w:t>
            </w:r>
          </w:p>
        </w:tc>
        <w:tc>
          <w:tcPr>
            <w:tcW w:w="6176" w:type="dxa"/>
            <w:tcBorders>
              <w:top w:val="single" w:sz="4" w:space="0" w:color="000000"/>
              <w:left w:val="single" w:sz="4" w:space="0" w:color="000000"/>
              <w:bottom w:val="single" w:sz="4" w:space="0" w:color="000000"/>
              <w:right w:val="single" w:sz="4" w:space="0" w:color="000000"/>
            </w:tcBorders>
            <w:vAlign w:val="center"/>
            <w:hideMark/>
          </w:tcPr>
          <w:p w:rsidR="00074A83" w:rsidRPr="00A7641D" w:rsidRDefault="00074A83" w:rsidP="004F60B2">
            <w:pPr>
              <w:jc w:val="center"/>
              <w:rPr>
                <w:sz w:val="26"/>
                <w:szCs w:val="26"/>
              </w:rPr>
            </w:pPr>
            <w:r w:rsidRPr="00A7641D">
              <w:rPr>
                <w:sz w:val="26"/>
                <w:szCs w:val="26"/>
              </w:rPr>
              <w:t>Informācija par projektu</w:t>
            </w:r>
          </w:p>
        </w:tc>
      </w:tr>
      <w:tr w:rsidR="00074A83" w:rsidRPr="00A7641D" w:rsidTr="009941D1">
        <w:trPr>
          <w:gridAfter w:val="1"/>
          <w:wAfter w:w="35" w:type="dxa"/>
        </w:trPr>
        <w:tc>
          <w:tcPr>
            <w:tcW w:w="9715" w:type="dxa"/>
            <w:gridSpan w:val="3"/>
            <w:tcBorders>
              <w:top w:val="single" w:sz="4" w:space="0" w:color="000000"/>
              <w:left w:val="single" w:sz="4" w:space="0" w:color="000000"/>
              <w:bottom w:val="single" w:sz="4" w:space="0" w:color="000000"/>
              <w:right w:val="single" w:sz="4" w:space="0" w:color="000000"/>
            </w:tcBorders>
            <w:hideMark/>
          </w:tcPr>
          <w:p w:rsidR="00074A83" w:rsidRPr="00A7641D" w:rsidRDefault="006A4632" w:rsidP="006868F3">
            <w:pPr>
              <w:jc w:val="center"/>
              <w:rPr>
                <w:b/>
                <w:sz w:val="26"/>
                <w:szCs w:val="26"/>
              </w:rPr>
            </w:pPr>
            <w:r w:rsidRPr="00A7641D">
              <w:rPr>
                <w:b/>
                <w:sz w:val="26"/>
                <w:szCs w:val="26"/>
              </w:rPr>
              <w:t xml:space="preserve">Par </w:t>
            </w:r>
            <w:r w:rsidR="00B331BA" w:rsidRPr="00A7641D">
              <w:rPr>
                <w:b/>
                <w:sz w:val="26"/>
                <w:szCs w:val="26"/>
              </w:rPr>
              <w:t>Ministru kabineta noteikumu projektu</w:t>
            </w:r>
            <w:r w:rsidR="009C4059" w:rsidRPr="00A7641D">
              <w:rPr>
                <w:b/>
                <w:sz w:val="26"/>
                <w:szCs w:val="26"/>
              </w:rPr>
              <w:t xml:space="preserve"> “</w:t>
            </w:r>
            <w:r w:rsidR="00B331BA" w:rsidRPr="00A7641D">
              <w:rPr>
                <w:b/>
                <w:sz w:val="26"/>
                <w:szCs w:val="26"/>
              </w:rPr>
              <w:t>Gro</w:t>
            </w:r>
            <w:r w:rsidR="00F9441A" w:rsidRPr="00A7641D">
              <w:rPr>
                <w:b/>
                <w:sz w:val="26"/>
                <w:szCs w:val="26"/>
              </w:rPr>
              <w:t>zījumi  Ministru kabineta 2014.</w:t>
            </w:r>
            <w:r w:rsidR="00B331BA" w:rsidRPr="00A7641D">
              <w:rPr>
                <w:b/>
                <w:sz w:val="26"/>
                <w:szCs w:val="26"/>
              </w:rPr>
              <w:t xml:space="preserve">gada </w:t>
            </w:r>
            <w:r w:rsidR="00F9441A" w:rsidRPr="00A7641D">
              <w:rPr>
                <w:b/>
                <w:sz w:val="26"/>
                <w:szCs w:val="26"/>
              </w:rPr>
              <w:t>11.</w:t>
            </w:r>
            <w:r w:rsidR="009C4059" w:rsidRPr="00A7641D">
              <w:rPr>
                <w:b/>
                <w:sz w:val="26"/>
                <w:szCs w:val="26"/>
              </w:rPr>
              <w:t xml:space="preserve">februāra </w:t>
            </w:r>
            <w:r w:rsidR="00F9441A" w:rsidRPr="00A7641D">
              <w:rPr>
                <w:b/>
                <w:sz w:val="26"/>
                <w:szCs w:val="26"/>
              </w:rPr>
              <w:t>noteikumos Nr.</w:t>
            </w:r>
            <w:r w:rsidR="009C4059" w:rsidRPr="00A7641D">
              <w:rPr>
                <w:b/>
                <w:sz w:val="26"/>
                <w:szCs w:val="26"/>
              </w:rPr>
              <w:t>96 “</w:t>
            </w:r>
            <w:r w:rsidR="00B331BA" w:rsidRPr="00A7641D">
              <w:rPr>
                <w:b/>
                <w:sz w:val="26"/>
                <w:szCs w:val="26"/>
              </w:rPr>
              <w:t>Nodokļu un citu maksājumu reģistrēšanas elektronisko ierīču</w:t>
            </w:r>
            <w:r w:rsidR="009C4059" w:rsidRPr="00A7641D">
              <w:rPr>
                <w:b/>
                <w:sz w:val="26"/>
                <w:szCs w:val="26"/>
              </w:rPr>
              <w:t xml:space="preserve"> un iekārtu lietošanas kārtība””</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1.</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Projekta izstrādes nepieciešamības pamatojums</w:t>
            </w:r>
          </w:p>
        </w:tc>
        <w:tc>
          <w:tcPr>
            <w:tcW w:w="6176" w:type="dxa"/>
            <w:tcBorders>
              <w:top w:val="single" w:sz="4" w:space="0" w:color="000000"/>
              <w:left w:val="single" w:sz="4" w:space="0" w:color="000000"/>
              <w:bottom w:val="single" w:sz="4" w:space="0" w:color="000000"/>
              <w:right w:val="single" w:sz="4" w:space="0" w:color="000000"/>
            </w:tcBorders>
          </w:tcPr>
          <w:p w:rsidR="00737973" w:rsidRPr="00A7641D" w:rsidRDefault="001F4FB0" w:rsidP="00737973">
            <w:pPr>
              <w:rPr>
                <w:iCs/>
                <w:color w:val="000000" w:themeColor="text1"/>
                <w:sz w:val="26"/>
                <w:szCs w:val="26"/>
              </w:rPr>
            </w:pPr>
            <w:r>
              <w:rPr>
                <w:color w:val="000000" w:themeColor="text1"/>
                <w:sz w:val="26"/>
                <w:szCs w:val="26"/>
              </w:rPr>
              <w:t>Noteikumu p</w:t>
            </w:r>
            <w:r w:rsidR="00737973" w:rsidRPr="00A7641D">
              <w:rPr>
                <w:color w:val="000000" w:themeColor="text1"/>
                <w:sz w:val="26"/>
                <w:szCs w:val="26"/>
              </w:rPr>
              <w:t>rojekts izstrādāts, ņemot vērā</w:t>
            </w:r>
            <w:r w:rsidR="00C43C6F" w:rsidRPr="00A7641D">
              <w:rPr>
                <w:color w:val="000000" w:themeColor="text1"/>
                <w:sz w:val="26"/>
                <w:szCs w:val="26"/>
              </w:rPr>
              <w:t xml:space="preserve"> </w:t>
            </w:r>
            <w:r w:rsidR="00C423DF" w:rsidRPr="00A7641D">
              <w:rPr>
                <w:rFonts w:eastAsia="Calibri"/>
                <w:sz w:val="26"/>
                <w:szCs w:val="26"/>
              </w:rPr>
              <w:t>Valsts kontroles revīzijas ziņojum</w:t>
            </w:r>
            <w:r w:rsidR="00737973" w:rsidRPr="00A7641D">
              <w:rPr>
                <w:rFonts w:eastAsia="Calibri"/>
                <w:sz w:val="26"/>
                <w:szCs w:val="26"/>
              </w:rPr>
              <w:t>a</w:t>
            </w:r>
            <w:r w:rsidR="00C423DF" w:rsidRPr="00A7641D">
              <w:rPr>
                <w:rFonts w:eastAsia="Calibri"/>
                <w:sz w:val="26"/>
                <w:szCs w:val="26"/>
              </w:rPr>
              <w:t xml:space="preserve"> Nr.2.4.1-10/2018 “Vai kases aparātu reforma ir pamatota un sasniedz izvirzītos mērķus?”</w:t>
            </w:r>
            <w:r w:rsidR="00737973" w:rsidRPr="00A7641D">
              <w:rPr>
                <w:rFonts w:eastAsia="Calibri"/>
                <w:sz w:val="26"/>
                <w:szCs w:val="26"/>
              </w:rPr>
              <w:t xml:space="preserve"> ieteikumu</w:t>
            </w:r>
            <w:r w:rsidR="00D92E28" w:rsidRPr="00A7641D">
              <w:rPr>
                <w:rFonts w:eastAsia="Calibri"/>
                <w:sz w:val="26"/>
                <w:szCs w:val="26"/>
              </w:rPr>
              <w:t xml:space="preserve"> </w:t>
            </w:r>
            <w:r w:rsidR="00AF6B90">
              <w:rPr>
                <w:rFonts w:eastAsia="Calibri"/>
                <w:sz w:val="26"/>
                <w:szCs w:val="26"/>
              </w:rPr>
              <w:t>–</w:t>
            </w:r>
            <w:r w:rsidR="00737973" w:rsidRPr="00A7641D">
              <w:rPr>
                <w:rFonts w:eastAsia="Calibri"/>
                <w:sz w:val="26"/>
                <w:szCs w:val="26"/>
              </w:rPr>
              <w:t xml:space="preserve"> l</w:t>
            </w:r>
            <w:r w:rsidR="00737973" w:rsidRPr="00A7641D">
              <w:rPr>
                <w:iCs/>
                <w:color w:val="000000" w:themeColor="text1"/>
                <w:sz w:val="26"/>
                <w:szCs w:val="26"/>
              </w:rPr>
              <w:t>ai nodrošinātu EKA apkalpojošo dienestu kompetences izvērtējumu un to darbības uzraudzību pēc būtības, VID definēt skaidras un nepārprotamas prasības, uz kuru pamata būtu iespējams izvērtēt apkalpojošo dienestu kompetenci un to spēju veikt EKA apkalpošanu.</w:t>
            </w:r>
          </w:p>
          <w:p w:rsidR="00737973" w:rsidRPr="00A7641D" w:rsidRDefault="00737973" w:rsidP="00737973">
            <w:pPr>
              <w:rPr>
                <w:iCs/>
                <w:color w:val="000000" w:themeColor="text1"/>
                <w:sz w:val="26"/>
                <w:szCs w:val="26"/>
              </w:rPr>
            </w:pPr>
          </w:p>
          <w:p w:rsidR="00C423DF" w:rsidRDefault="00D92E28" w:rsidP="00452D1F">
            <w:pPr>
              <w:rPr>
                <w:sz w:val="26"/>
                <w:szCs w:val="26"/>
              </w:rPr>
            </w:pPr>
            <w:r w:rsidRPr="00A7641D">
              <w:rPr>
                <w:sz w:val="26"/>
                <w:szCs w:val="26"/>
              </w:rPr>
              <w:t>Saskaņā ar Ministru kabineta 2018.gada 18.decembra sēdē nolemto (prot. Nr.60, 94.§, 4.punkts) Finanšu ministrijai ir uzdots uzdevums pārskatīt Ministru kabineta noteikumu</w:t>
            </w:r>
            <w:r w:rsidR="001F4FB0">
              <w:rPr>
                <w:sz w:val="26"/>
                <w:szCs w:val="26"/>
              </w:rPr>
              <w:t>s</w:t>
            </w:r>
            <w:r w:rsidRPr="00A7641D">
              <w:rPr>
                <w:sz w:val="26"/>
                <w:szCs w:val="26"/>
              </w:rPr>
              <w:t>, izvērtējot iespēju nodrošināt vienlīdzīgas prasības tirdzniecības dalībniekiem attiecībā uz nodokļu un citu maksājumu reģistrēšanas elektronisko ierīču un iekārtu (kases aparātu) lietošanu. Uzdevums uzdots saistībā ar Ekonomikas ministrijas sagatavoto informatīvo ziņojumu “Par situāciju ielu tirdzniecībā”.</w:t>
            </w:r>
          </w:p>
          <w:p w:rsidR="00B422A2" w:rsidRDefault="00B422A2" w:rsidP="00452D1F">
            <w:pPr>
              <w:rPr>
                <w:sz w:val="26"/>
                <w:szCs w:val="26"/>
              </w:rPr>
            </w:pPr>
          </w:p>
          <w:p w:rsidR="006C27F3" w:rsidRDefault="006C27F3" w:rsidP="006C27F3">
            <w:pPr>
              <w:rPr>
                <w:sz w:val="26"/>
                <w:szCs w:val="26"/>
              </w:rPr>
            </w:pPr>
            <w:r>
              <w:rPr>
                <w:sz w:val="26"/>
                <w:szCs w:val="26"/>
              </w:rPr>
              <w:t>Lai samazinātu elektronisko ierīču un iekārtu lietotāju administratīvo slogu, noteikumu projekts paredz elektroniskās tehniskās pases sagatavošanu VID elektroniskās deklarēšanas sistēmā, tādējādi turpmāk</w:t>
            </w:r>
            <w:r w:rsidR="002164E9">
              <w:rPr>
                <w:sz w:val="26"/>
                <w:szCs w:val="26"/>
              </w:rPr>
              <w:t xml:space="preserve"> tehniskā pase tiks sagatavota un uzglabāta tikai VID elektroniskās deklarēšanas sistēmā, nepieciešamības gadījumā, sagatavojot tās atvasinājumu</w:t>
            </w:r>
            <w:r>
              <w:rPr>
                <w:sz w:val="26"/>
                <w:szCs w:val="26"/>
              </w:rPr>
              <w:t xml:space="preserve"> papīra vai elektroniskā formā.</w:t>
            </w:r>
          </w:p>
          <w:p w:rsidR="006C27F3" w:rsidRDefault="006C27F3" w:rsidP="006C27F3">
            <w:pPr>
              <w:rPr>
                <w:sz w:val="26"/>
                <w:szCs w:val="26"/>
              </w:rPr>
            </w:pPr>
          </w:p>
          <w:p w:rsidR="00E71CB9" w:rsidRDefault="00E71CB9" w:rsidP="00452D1F">
            <w:pPr>
              <w:rPr>
                <w:sz w:val="26"/>
                <w:szCs w:val="26"/>
              </w:rPr>
            </w:pPr>
            <w:r w:rsidRPr="00E71CB9">
              <w:rPr>
                <w:bCs/>
                <w:sz w:val="26"/>
                <w:szCs w:val="26"/>
              </w:rPr>
              <w:t xml:space="preserve">Noteikumu projektā turpmāk pastāvīgai piemērošanai ir </w:t>
            </w:r>
            <w:r w:rsidR="00F408FC">
              <w:rPr>
                <w:bCs/>
                <w:sz w:val="26"/>
                <w:szCs w:val="26"/>
              </w:rPr>
              <w:t>jā</w:t>
            </w:r>
            <w:r w:rsidRPr="00E71CB9">
              <w:rPr>
                <w:bCs/>
                <w:sz w:val="26"/>
                <w:szCs w:val="26"/>
              </w:rPr>
              <w:t xml:space="preserve">pārņem </w:t>
            </w:r>
            <w:r w:rsidR="0060204D" w:rsidRPr="0060204D">
              <w:rPr>
                <w:bCs/>
                <w:sz w:val="26"/>
                <w:szCs w:val="26"/>
              </w:rPr>
              <w:t>Covid-19 infekcijas izp</w:t>
            </w:r>
            <w:r w:rsidR="0060204D">
              <w:rPr>
                <w:bCs/>
                <w:sz w:val="26"/>
                <w:szCs w:val="26"/>
              </w:rPr>
              <w:t xml:space="preserve">latības seku pārvarēšanas likuma </w:t>
            </w:r>
            <w:r w:rsidR="00F408FC">
              <w:rPr>
                <w:bCs/>
                <w:sz w:val="26"/>
                <w:szCs w:val="26"/>
              </w:rPr>
              <w:t>41.pantā noteiktais</w:t>
            </w:r>
            <w:r w:rsidRPr="00E71CB9">
              <w:rPr>
                <w:bCs/>
                <w:sz w:val="26"/>
                <w:szCs w:val="26"/>
              </w:rPr>
              <w:t>, kas nosaka</w:t>
            </w:r>
            <w:r w:rsidR="00F408FC">
              <w:rPr>
                <w:bCs/>
                <w:sz w:val="26"/>
                <w:szCs w:val="26"/>
              </w:rPr>
              <w:t xml:space="preserve"> līdz 2020.gada 30.septembrim</w:t>
            </w:r>
            <w:r w:rsidRPr="00E71CB9">
              <w:rPr>
                <w:sz w:val="26"/>
                <w:szCs w:val="26"/>
              </w:rPr>
              <w:t xml:space="preserve"> pasta komersantiem, saņemot samaksu par pēcmaksas pasta sūtījumiem, tiesības piemērot atbrīvojumu no elektronisko ierīču un iekārtu lietošanas, darījumu apliecinot ar elektroniski sagatavotu VID reģistrēto kvīti, kuras numurs ir saņemts VID elektroniskās deklarēšanas sistēmā</w:t>
            </w:r>
            <w:r w:rsidR="006C27F3">
              <w:rPr>
                <w:sz w:val="26"/>
                <w:szCs w:val="26"/>
              </w:rPr>
              <w:t>, tādējādi tiek samazināts pasta komersantu administratīvais slogs, izpildot prasības</w:t>
            </w:r>
            <w:r w:rsidR="0084660F">
              <w:rPr>
                <w:sz w:val="26"/>
                <w:szCs w:val="26"/>
              </w:rPr>
              <w:t>, kas noteiktas darījumu apliecinošu dokumentu izsniegšanai</w:t>
            </w:r>
            <w:r>
              <w:rPr>
                <w:sz w:val="26"/>
                <w:szCs w:val="26"/>
              </w:rPr>
              <w:t>.</w:t>
            </w:r>
          </w:p>
          <w:p w:rsidR="00E71CB9" w:rsidRDefault="00E71CB9" w:rsidP="00452D1F">
            <w:pPr>
              <w:rPr>
                <w:sz w:val="26"/>
                <w:szCs w:val="26"/>
              </w:rPr>
            </w:pPr>
          </w:p>
          <w:p w:rsidR="00C03F39" w:rsidRPr="00A7641D" w:rsidRDefault="00B422A2" w:rsidP="00F257F7">
            <w:pPr>
              <w:rPr>
                <w:sz w:val="26"/>
                <w:szCs w:val="26"/>
              </w:rPr>
            </w:pPr>
            <w:r>
              <w:rPr>
                <w:sz w:val="26"/>
                <w:szCs w:val="26"/>
              </w:rPr>
              <w:lastRenderedPageBreak/>
              <w:t xml:space="preserve">Ņemot vērā plānoto </w:t>
            </w:r>
            <w:r w:rsidRPr="00B422A2">
              <w:rPr>
                <w:sz w:val="26"/>
                <w:szCs w:val="26"/>
              </w:rPr>
              <w:t>vienotas sabiedriskā transporta biļešu sistēmas izveidi braukšanas maršrutos Latvijas teritorijā</w:t>
            </w:r>
            <w:r>
              <w:rPr>
                <w:sz w:val="26"/>
                <w:szCs w:val="26"/>
              </w:rPr>
              <w:t>, nepieciešams pagarināt prasībām atbilstošu elektronisko ierīču un iekārtu lietošanas uzsākšanas termiņu  sabiedriskā transporta nozar</w:t>
            </w:r>
            <w:r w:rsidR="00E746EE">
              <w:rPr>
                <w:sz w:val="26"/>
                <w:szCs w:val="26"/>
              </w:rPr>
              <w:t>ei</w:t>
            </w:r>
            <w:r>
              <w:rPr>
                <w:sz w:val="26"/>
                <w:szCs w:val="26"/>
              </w:rPr>
              <w:t xml:space="preserve"> līdz 2022.gada 1.janvārim</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lastRenderedPageBreak/>
              <w:t>2.</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B331BA">
            <w:pPr>
              <w:rPr>
                <w:sz w:val="26"/>
                <w:szCs w:val="26"/>
              </w:rPr>
            </w:pPr>
            <w:r w:rsidRPr="00A7641D">
              <w:rPr>
                <w:sz w:val="26"/>
                <w:szCs w:val="26"/>
              </w:rPr>
              <w:t>Vad</w:t>
            </w:r>
            <w:r w:rsidR="00B331BA" w:rsidRPr="00A7641D">
              <w:rPr>
                <w:sz w:val="26"/>
                <w:szCs w:val="26"/>
              </w:rPr>
              <w:t>ības darba plāna uzdevuma numurs un tā izpildes termiņš</w:t>
            </w:r>
            <w:r w:rsidRPr="00A7641D">
              <w:rPr>
                <w:sz w:val="26"/>
                <w:szCs w:val="26"/>
              </w:rPr>
              <w:t xml:space="preserve"> </w:t>
            </w:r>
          </w:p>
        </w:tc>
        <w:tc>
          <w:tcPr>
            <w:tcW w:w="6176" w:type="dxa"/>
            <w:tcBorders>
              <w:top w:val="single" w:sz="4" w:space="0" w:color="000000"/>
              <w:left w:val="single" w:sz="4" w:space="0" w:color="000000"/>
              <w:bottom w:val="single" w:sz="4" w:space="0" w:color="000000"/>
              <w:right w:val="single" w:sz="4" w:space="0" w:color="000000"/>
            </w:tcBorders>
          </w:tcPr>
          <w:p w:rsidR="00262985" w:rsidRPr="00A7641D" w:rsidRDefault="00452D1F" w:rsidP="0095633C">
            <w:pPr>
              <w:rPr>
                <w:sz w:val="26"/>
                <w:szCs w:val="26"/>
              </w:rPr>
            </w:pPr>
            <w:r w:rsidRPr="00A7641D">
              <w:rPr>
                <w:sz w:val="26"/>
                <w:szCs w:val="26"/>
              </w:rPr>
              <w:t>Nav</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3.</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Projekta īss saturs</w:t>
            </w:r>
          </w:p>
        </w:tc>
        <w:tc>
          <w:tcPr>
            <w:tcW w:w="6176" w:type="dxa"/>
            <w:tcBorders>
              <w:top w:val="single" w:sz="4" w:space="0" w:color="000000"/>
              <w:left w:val="single" w:sz="4" w:space="0" w:color="000000"/>
              <w:bottom w:val="single" w:sz="4" w:space="0" w:color="000000"/>
              <w:right w:val="single" w:sz="4" w:space="0" w:color="000000"/>
            </w:tcBorders>
          </w:tcPr>
          <w:p w:rsidR="00725423" w:rsidRPr="00A7641D" w:rsidRDefault="00383CF2" w:rsidP="00F07D22">
            <w:pPr>
              <w:widowControl w:val="0"/>
              <w:rPr>
                <w:sz w:val="26"/>
                <w:szCs w:val="26"/>
              </w:rPr>
            </w:pPr>
            <w:r w:rsidRPr="00A7641D">
              <w:rPr>
                <w:sz w:val="26"/>
                <w:szCs w:val="26"/>
              </w:rPr>
              <w:t>Noteikumu projekts paredz:</w:t>
            </w:r>
          </w:p>
          <w:p w:rsidR="00CE36FE" w:rsidRPr="00A7641D" w:rsidRDefault="0085209A" w:rsidP="0085209A">
            <w:pPr>
              <w:widowControl w:val="0"/>
              <w:rPr>
                <w:sz w:val="26"/>
                <w:szCs w:val="26"/>
              </w:rPr>
            </w:pPr>
            <w:r w:rsidRPr="00A7641D">
              <w:rPr>
                <w:sz w:val="26"/>
                <w:szCs w:val="26"/>
              </w:rPr>
              <w:t xml:space="preserve">1. </w:t>
            </w:r>
            <w:r w:rsidR="00CE36FE" w:rsidRPr="00A7641D">
              <w:rPr>
                <w:sz w:val="26"/>
                <w:szCs w:val="26"/>
              </w:rPr>
              <w:t>Precizē</w:t>
            </w:r>
            <w:r w:rsidR="00711E3C">
              <w:rPr>
                <w:sz w:val="26"/>
                <w:szCs w:val="26"/>
              </w:rPr>
              <w:t>t</w:t>
            </w:r>
            <w:r w:rsidR="00CE36FE" w:rsidRPr="00A7641D">
              <w:rPr>
                <w:sz w:val="26"/>
                <w:szCs w:val="26"/>
              </w:rPr>
              <w:t xml:space="preserve"> un skaidri definē</w:t>
            </w:r>
            <w:r w:rsidR="00711E3C">
              <w:rPr>
                <w:sz w:val="26"/>
                <w:szCs w:val="26"/>
              </w:rPr>
              <w:t>t</w:t>
            </w:r>
            <w:r w:rsidR="00CE36FE" w:rsidRPr="00A7641D">
              <w:rPr>
                <w:sz w:val="26"/>
                <w:szCs w:val="26"/>
              </w:rPr>
              <w:t xml:space="preserve"> prasības elektronisko ierīču un iekārtu apkalpojošo dienestu un atbilstības pārbaudes institūciju reģistrācijai un </w:t>
            </w:r>
            <w:r w:rsidR="00522390" w:rsidRPr="00A7641D">
              <w:rPr>
                <w:sz w:val="26"/>
                <w:szCs w:val="26"/>
              </w:rPr>
              <w:t xml:space="preserve">to </w:t>
            </w:r>
            <w:r w:rsidR="00CE36FE" w:rsidRPr="00A7641D">
              <w:rPr>
                <w:sz w:val="26"/>
                <w:szCs w:val="26"/>
              </w:rPr>
              <w:t>darbības uzraudzībai.</w:t>
            </w:r>
          </w:p>
          <w:p w:rsidR="00CE36FE" w:rsidRPr="00A7641D" w:rsidRDefault="00CE36FE" w:rsidP="0085209A">
            <w:pPr>
              <w:widowControl w:val="0"/>
              <w:rPr>
                <w:sz w:val="26"/>
                <w:szCs w:val="26"/>
              </w:rPr>
            </w:pPr>
            <w:r w:rsidRPr="00A7641D">
              <w:rPr>
                <w:sz w:val="26"/>
                <w:szCs w:val="26"/>
              </w:rPr>
              <w:t>2. Precizē</w:t>
            </w:r>
            <w:r w:rsidR="00711E3C">
              <w:rPr>
                <w:sz w:val="26"/>
                <w:szCs w:val="26"/>
              </w:rPr>
              <w:t>t</w:t>
            </w:r>
            <w:r w:rsidRPr="00A7641D">
              <w:rPr>
                <w:sz w:val="26"/>
                <w:szCs w:val="26"/>
              </w:rPr>
              <w:t xml:space="preserve"> apkalpojošā dienesta</w:t>
            </w:r>
            <w:r w:rsidR="004E1C9B" w:rsidRPr="00A7641D">
              <w:rPr>
                <w:sz w:val="26"/>
                <w:szCs w:val="26"/>
              </w:rPr>
              <w:t xml:space="preserve"> </w:t>
            </w:r>
            <w:r w:rsidR="00AF7A50" w:rsidRPr="00A7641D">
              <w:rPr>
                <w:sz w:val="26"/>
                <w:szCs w:val="26"/>
              </w:rPr>
              <w:t>atbildīg</w:t>
            </w:r>
            <w:r w:rsidR="00711E3C">
              <w:rPr>
                <w:sz w:val="26"/>
                <w:szCs w:val="26"/>
              </w:rPr>
              <w:t>o</w:t>
            </w:r>
            <w:r w:rsidR="00AF7A50" w:rsidRPr="00A7641D">
              <w:rPr>
                <w:sz w:val="26"/>
                <w:szCs w:val="26"/>
              </w:rPr>
              <w:t xml:space="preserve"> person</w:t>
            </w:r>
            <w:r w:rsidR="00711E3C">
              <w:rPr>
                <w:sz w:val="26"/>
                <w:szCs w:val="26"/>
              </w:rPr>
              <w:t>u</w:t>
            </w:r>
            <w:r w:rsidR="00AF7A50" w:rsidRPr="00A7641D">
              <w:rPr>
                <w:sz w:val="26"/>
                <w:szCs w:val="26"/>
              </w:rPr>
              <w:t>, kura veic elektronisko ierīču un iekārtu apkalpošanu, definīciju, nodrošin</w:t>
            </w:r>
            <w:r w:rsidR="000B2FB2" w:rsidRPr="00A7641D">
              <w:rPr>
                <w:sz w:val="26"/>
                <w:szCs w:val="26"/>
              </w:rPr>
              <w:t>ā</w:t>
            </w:r>
            <w:r w:rsidR="00711E3C">
              <w:rPr>
                <w:sz w:val="26"/>
                <w:szCs w:val="26"/>
              </w:rPr>
              <w:t>t</w:t>
            </w:r>
            <w:r w:rsidR="00AF7A50" w:rsidRPr="00A7641D">
              <w:rPr>
                <w:sz w:val="26"/>
                <w:szCs w:val="26"/>
              </w:rPr>
              <w:t xml:space="preserve"> viennozīmīgu izpratni par apkalpojošā dienesta atbildīgai personai nepieciešamo izglītību.</w:t>
            </w:r>
          </w:p>
          <w:p w:rsidR="00AF7A50" w:rsidRPr="00A7641D" w:rsidRDefault="00E746EE" w:rsidP="0085209A">
            <w:pPr>
              <w:widowControl w:val="0"/>
              <w:rPr>
                <w:sz w:val="26"/>
                <w:szCs w:val="26"/>
              </w:rPr>
            </w:pPr>
            <w:r>
              <w:rPr>
                <w:sz w:val="26"/>
                <w:szCs w:val="26"/>
              </w:rPr>
              <w:t>3</w:t>
            </w:r>
            <w:r w:rsidR="00AF7A50" w:rsidRPr="00A7641D">
              <w:rPr>
                <w:sz w:val="26"/>
                <w:szCs w:val="26"/>
              </w:rPr>
              <w:t>. No</w:t>
            </w:r>
            <w:r w:rsidR="00E92117" w:rsidRPr="00A7641D">
              <w:rPr>
                <w:sz w:val="26"/>
                <w:szCs w:val="26"/>
              </w:rPr>
              <w:t>teik</w:t>
            </w:r>
            <w:r w:rsidR="00711E3C">
              <w:rPr>
                <w:sz w:val="26"/>
                <w:szCs w:val="26"/>
              </w:rPr>
              <w:t>t</w:t>
            </w:r>
            <w:r w:rsidR="00AF7A50" w:rsidRPr="00A7641D">
              <w:rPr>
                <w:sz w:val="26"/>
                <w:szCs w:val="26"/>
              </w:rPr>
              <w:t xml:space="preserve"> atbilstības pārbaudes institūcijām prasību iesniegt speciālistu, kas veiks elektronisko ierīču un iekārtu atbilstības pārbaudes, sarakstu.</w:t>
            </w:r>
          </w:p>
          <w:p w:rsidR="00AF7A50" w:rsidRPr="00A7641D" w:rsidRDefault="00E746EE" w:rsidP="0085209A">
            <w:pPr>
              <w:widowControl w:val="0"/>
              <w:rPr>
                <w:sz w:val="26"/>
                <w:szCs w:val="26"/>
              </w:rPr>
            </w:pPr>
            <w:r>
              <w:rPr>
                <w:sz w:val="26"/>
                <w:szCs w:val="26"/>
              </w:rPr>
              <w:t>4</w:t>
            </w:r>
            <w:r w:rsidR="00AF7A50" w:rsidRPr="00A7641D">
              <w:rPr>
                <w:sz w:val="26"/>
                <w:szCs w:val="26"/>
              </w:rPr>
              <w:t>. Main</w:t>
            </w:r>
            <w:r w:rsidR="00E92117" w:rsidRPr="00A7641D">
              <w:rPr>
                <w:sz w:val="26"/>
                <w:szCs w:val="26"/>
              </w:rPr>
              <w:t>ī</w:t>
            </w:r>
            <w:r w:rsidR="00711E3C">
              <w:rPr>
                <w:sz w:val="26"/>
                <w:szCs w:val="26"/>
              </w:rPr>
              <w:t>t</w:t>
            </w:r>
            <w:r w:rsidR="00AF7A50" w:rsidRPr="00A7641D">
              <w:rPr>
                <w:sz w:val="26"/>
                <w:szCs w:val="26"/>
              </w:rPr>
              <w:t xml:space="preserve"> nosacījumus atbrīvojumu no elektronisko ierīču un iekārtu lietošanas piemērošanai ārpus pastāvīgās darbības vietas (struktūrvienības), tirgos un ielu tirdzniecības vietās</w:t>
            </w:r>
            <w:r w:rsidR="00BB75AF" w:rsidRPr="00A7641D">
              <w:rPr>
                <w:sz w:val="26"/>
                <w:szCs w:val="26"/>
              </w:rPr>
              <w:t>.</w:t>
            </w:r>
          </w:p>
          <w:p w:rsidR="00AF7A50" w:rsidRPr="00A7641D" w:rsidRDefault="00E746EE" w:rsidP="0085209A">
            <w:pPr>
              <w:widowControl w:val="0"/>
              <w:rPr>
                <w:sz w:val="26"/>
                <w:szCs w:val="26"/>
              </w:rPr>
            </w:pPr>
            <w:r>
              <w:rPr>
                <w:sz w:val="26"/>
                <w:szCs w:val="26"/>
              </w:rPr>
              <w:t>5</w:t>
            </w:r>
            <w:r w:rsidR="00AF7A50" w:rsidRPr="00A7641D">
              <w:rPr>
                <w:sz w:val="26"/>
                <w:szCs w:val="26"/>
              </w:rPr>
              <w:t>. Noteik</w:t>
            </w:r>
            <w:r w:rsidR="00711E3C">
              <w:rPr>
                <w:sz w:val="26"/>
                <w:szCs w:val="26"/>
              </w:rPr>
              <w:t>t</w:t>
            </w:r>
            <w:r w:rsidR="00AF7A50" w:rsidRPr="00A7641D">
              <w:rPr>
                <w:sz w:val="26"/>
                <w:szCs w:val="26"/>
              </w:rPr>
              <w:t xml:space="preserve"> iespēju elektroniskās ierīce</w:t>
            </w:r>
            <w:r w:rsidR="00E92117" w:rsidRPr="00A7641D">
              <w:rPr>
                <w:sz w:val="26"/>
                <w:szCs w:val="26"/>
              </w:rPr>
              <w:t>s</w:t>
            </w:r>
            <w:r w:rsidR="00AF7A50" w:rsidRPr="00A7641D">
              <w:rPr>
                <w:sz w:val="26"/>
                <w:szCs w:val="26"/>
              </w:rPr>
              <w:t xml:space="preserve"> vai iekārtas tehnisko pasi sagatavot VID elektroniskās deklarēšanas sistēmā.</w:t>
            </w:r>
          </w:p>
          <w:p w:rsidR="00AF7A50" w:rsidRDefault="00E746EE" w:rsidP="00AF7A50">
            <w:pPr>
              <w:widowControl w:val="0"/>
              <w:rPr>
                <w:sz w:val="26"/>
                <w:szCs w:val="26"/>
              </w:rPr>
            </w:pPr>
            <w:r>
              <w:rPr>
                <w:sz w:val="26"/>
                <w:szCs w:val="26"/>
              </w:rPr>
              <w:t>6</w:t>
            </w:r>
            <w:r w:rsidR="00AF7A50" w:rsidRPr="00A7641D">
              <w:rPr>
                <w:sz w:val="26"/>
                <w:szCs w:val="26"/>
              </w:rPr>
              <w:t xml:space="preserve">. </w:t>
            </w:r>
            <w:r w:rsidR="00F408FC">
              <w:rPr>
                <w:sz w:val="26"/>
                <w:szCs w:val="26"/>
              </w:rPr>
              <w:t>P</w:t>
            </w:r>
            <w:r w:rsidR="00AF7A50" w:rsidRPr="00A7641D">
              <w:rPr>
                <w:sz w:val="26"/>
                <w:szCs w:val="26"/>
              </w:rPr>
              <w:t>recizē</w:t>
            </w:r>
            <w:r w:rsidR="00F408FC">
              <w:rPr>
                <w:sz w:val="26"/>
                <w:szCs w:val="26"/>
              </w:rPr>
              <w:t>t</w:t>
            </w:r>
            <w:r w:rsidR="00AF7A50" w:rsidRPr="00A7641D">
              <w:rPr>
                <w:sz w:val="26"/>
                <w:szCs w:val="26"/>
              </w:rPr>
              <w:t xml:space="preserve"> norādāmo informāciju attiecībā uz elektroniskās ierīces vai iekārtas lietošanas vietu</w:t>
            </w:r>
            <w:r w:rsidR="0060204D">
              <w:rPr>
                <w:sz w:val="26"/>
                <w:szCs w:val="26"/>
              </w:rPr>
              <w:t>, kā arī n</w:t>
            </w:r>
            <w:r w:rsidR="00AF7A50" w:rsidRPr="00A7641D">
              <w:rPr>
                <w:sz w:val="26"/>
                <w:szCs w:val="26"/>
              </w:rPr>
              <w:t>oteik</w:t>
            </w:r>
            <w:r w:rsidR="0060204D">
              <w:rPr>
                <w:sz w:val="26"/>
                <w:szCs w:val="26"/>
              </w:rPr>
              <w:t>t</w:t>
            </w:r>
            <w:r w:rsidR="00AF7A50" w:rsidRPr="00A7641D">
              <w:rPr>
                <w:sz w:val="26"/>
                <w:szCs w:val="26"/>
              </w:rPr>
              <w:t xml:space="preserve"> atvieglotu elektronisko ierīču un iekārtu lietošanas vietas reģistrācijas kārtību izbraukuma tirdzniecībai.</w:t>
            </w:r>
          </w:p>
          <w:p w:rsidR="00420B4E" w:rsidRDefault="006C27F3" w:rsidP="00D7411E">
            <w:pPr>
              <w:widowControl w:val="0"/>
              <w:rPr>
                <w:sz w:val="26"/>
                <w:szCs w:val="26"/>
              </w:rPr>
            </w:pPr>
            <w:r>
              <w:rPr>
                <w:sz w:val="26"/>
                <w:szCs w:val="26"/>
              </w:rPr>
              <w:t>7</w:t>
            </w:r>
            <w:r w:rsidR="00292ACF">
              <w:rPr>
                <w:sz w:val="26"/>
                <w:szCs w:val="26"/>
              </w:rPr>
              <w:t>. Noteik</w:t>
            </w:r>
            <w:r w:rsidR="00711E3C">
              <w:rPr>
                <w:sz w:val="26"/>
                <w:szCs w:val="26"/>
              </w:rPr>
              <w:t>t</w:t>
            </w:r>
            <w:r w:rsidR="00292ACF">
              <w:rPr>
                <w:sz w:val="26"/>
                <w:szCs w:val="26"/>
              </w:rPr>
              <w:t xml:space="preserve"> </w:t>
            </w:r>
            <w:r w:rsidR="00292ACF" w:rsidRPr="00292ACF">
              <w:rPr>
                <w:sz w:val="26"/>
                <w:szCs w:val="26"/>
              </w:rPr>
              <w:t>pasta komersantiem, saņemot samaksu par pēcmaksas pasta sūtījumiem, tiesības piemērot atbrīvojumu no elektronisko ierīču un iekārtu lietošanas, darījumu apliecinot ar elektroniski sagatavotu VID reģistrēto kvīti</w:t>
            </w:r>
            <w:r w:rsidR="00292ACF">
              <w:rPr>
                <w:sz w:val="26"/>
                <w:szCs w:val="26"/>
              </w:rPr>
              <w:t>.</w:t>
            </w:r>
          </w:p>
          <w:p w:rsidR="00C615D0" w:rsidRDefault="006C27F3" w:rsidP="00F408FC">
            <w:pPr>
              <w:widowControl w:val="0"/>
              <w:rPr>
                <w:sz w:val="26"/>
                <w:szCs w:val="26"/>
              </w:rPr>
            </w:pPr>
            <w:r>
              <w:rPr>
                <w:sz w:val="26"/>
                <w:szCs w:val="26"/>
              </w:rPr>
              <w:t>8.</w:t>
            </w:r>
            <w:r w:rsidR="00711E3C">
              <w:rPr>
                <w:sz w:val="26"/>
                <w:szCs w:val="26"/>
              </w:rPr>
              <w:t xml:space="preserve"> </w:t>
            </w:r>
            <w:r w:rsidR="00F408FC">
              <w:rPr>
                <w:sz w:val="26"/>
                <w:szCs w:val="26"/>
              </w:rPr>
              <w:t>P</w:t>
            </w:r>
            <w:r w:rsidR="00711E3C">
              <w:rPr>
                <w:sz w:val="26"/>
                <w:szCs w:val="26"/>
              </w:rPr>
              <w:t>agarināt</w:t>
            </w:r>
            <w:r>
              <w:rPr>
                <w:sz w:val="26"/>
                <w:szCs w:val="26"/>
              </w:rPr>
              <w:t xml:space="preserve"> tehniskām prasībām </w:t>
            </w:r>
            <w:r w:rsidRPr="00292ACF">
              <w:rPr>
                <w:sz w:val="26"/>
                <w:szCs w:val="26"/>
              </w:rPr>
              <w:t>atbilstošu elektronisko ierīču un iekārtu lietošanas uzsākšanas termiņu sabiedriskā transporta nozarē līdz 2022.gada 1.janvārim</w:t>
            </w:r>
            <w:r w:rsidR="00C615D0">
              <w:rPr>
                <w:sz w:val="26"/>
                <w:szCs w:val="26"/>
              </w:rPr>
              <w:t>.</w:t>
            </w:r>
          </w:p>
          <w:p w:rsidR="006B3A0B" w:rsidRPr="00A7641D" w:rsidRDefault="006C27F3" w:rsidP="00F408FC">
            <w:pPr>
              <w:widowControl w:val="0"/>
              <w:rPr>
                <w:sz w:val="26"/>
                <w:szCs w:val="26"/>
              </w:rPr>
            </w:pPr>
            <w:r w:rsidRPr="00A7641D">
              <w:rPr>
                <w:sz w:val="26"/>
                <w:szCs w:val="26"/>
              </w:rPr>
              <w:t xml:space="preserve"> </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4.</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Iespējamie ris</w:t>
            </w:r>
            <w:r w:rsidR="00B331BA" w:rsidRPr="00A7641D">
              <w:rPr>
                <w:sz w:val="26"/>
                <w:szCs w:val="26"/>
              </w:rPr>
              <w:t>inājuma varianti (ja nepieciešams)</w:t>
            </w:r>
          </w:p>
        </w:tc>
        <w:tc>
          <w:tcPr>
            <w:tcW w:w="6176" w:type="dxa"/>
            <w:tcBorders>
              <w:top w:val="single" w:sz="4" w:space="0" w:color="000000"/>
              <w:left w:val="single" w:sz="4" w:space="0" w:color="000000"/>
              <w:bottom w:val="single" w:sz="4" w:space="0" w:color="000000"/>
              <w:right w:val="single" w:sz="4" w:space="0" w:color="000000"/>
            </w:tcBorders>
          </w:tcPr>
          <w:p w:rsidR="00074A83" w:rsidRPr="00A7641D" w:rsidRDefault="004D2F7D" w:rsidP="00DE344F">
            <w:pPr>
              <w:rPr>
                <w:sz w:val="26"/>
                <w:szCs w:val="26"/>
              </w:rPr>
            </w:pPr>
            <w:r w:rsidRPr="00A7641D">
              <w:rPr>
                <w:color w:val="000000" w:themeColor="text1"/>
                <w:sz w:val="26"/>
                <w:szCs w:val="26"/>
              </w:rPr>
              <w:t>Nav</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5.</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Par projektu nosakāmā atbildīgā amatpersona</w:t>
            </w:r>
          </w:p>
        </w:tc>
        <w:tc>
          <w:tcPr>
            <w:tcW w:w="6176" w:type="dxa"/>
            <w:tcBorders>
              <w:top w:val="single" w:sz="4" w:space="0" w:color="000000"/>
              <w:left w:val="single" w:sz="4" w:space="0" w:color="000000"/>
              <w:bottom w:val="single" w:sz="4" w:space="0" w:color="000000"/>
              <w:right w:val="single" w:sz="4" w:space="0" w:color="000000"/>
            </w:tcBorders>
          </w:tcPr>
          <w:p w:rsidR="00074A83" w:rsidRPr="00A7641D" w:rsidRDefault="00F817E1" w:rsidP="00F817E1">
            <w:pPr>
              <w:rPr>
                <w:sz w:val="26"/>
                <w:szCs w:val="26"/>
              </w:rPr>
            </w:pPr>
            <w:r w:rsidRPr="00A7641D">
              <w:rPr>
                <w:sz w:val="26"/>
                <w:szCs w:val="26"/>
              </w:rPr>
              <w:t xml:space="preserve">Valsts ieņēmumu dienesta Nodokļu </w:t>
            </w:r>
            <w:r w:rsidR="00292ACF">
              <w:rPr>
                <w:sz w:val="26"/>
                <w:szCs w:val="26"/>
              </w:rPr>
              <w:t xml:space="preserve">nomaksas veicināšanas </w:t>
            </w:r>
            <w:r w:rsidRPr="00A7641D">
              <w:rPr>
                <w:sz w:val="26"/>
                <w:szCs w:val="26"/>
              </w:rPr>
              <w:t>pārvaldes direktora vietniece Inese Bindemane</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6.</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Nosakāmais projekta sagatavotājs</w:t>
            </w:r>
            <w:r w:rsidR="00B331BA" w:rsidRPr="00A7641D">
              <w:rPr>
                <w:sz w:val="26"/>
                <w:szCs w:val="26"/>
              </w:rPr>
              <w:t xml:space="preserve"> (ja nepieciešams)</w:t>
            </w:r>
          </w:p>
        </w:tc>
        <w:tc>
          <w:tcPr>
            <w:tcW w:w="6176" w:type="dxa"/>
            <w:tcBorders>
              <w:top w:val="single" w:sz="4" w:space="0" w:color="000000"/>
              <w:left w:val="single" w:sz="4" w:space="0" w:color="000000"/>
              <w:bottom w:val="single" w:sz="4" w:space="0" w:color="000000"/>
              <w:right w:val="single" w:sz="4" w:space="0" w:color="000000"/>
            </w:tcBorders>
          </w:tcPr>
          <w:p w:rsidR="00074A83" w:rsidRPr="00A7641D" w:rsidRDefault="002E120B" w:rsidP="00292ACF">
            <w:pPr>
              <w:rPr>
                <w:sz w:val="26"/>
                <w:szCs w:val="26"/>
              </w:rPr>
            </w:pPr>
            <w:r w:rsidRPr="00A7641D">
              <w:rPr>
                <w:sz w:val="26"/>
                <w:szCs w:val="26"/>
              </w:rPr>
              <w:t xml:space="preserve">Valsts ieņēmumu dienesta Nodokļu </w:t>
            </w:r>
            <w:r w:rsidR="00292ACF">
              <w:rPr>
                <w:sz w:val="26"/>
                <w:szCs w:val="26"/>
              </w:rPr>
              <w:t xml:space="preserve">nomaksas veicināšanas </w:t>
            </w:r>
            <w:r w:rsidRPr="00A7641D">
              <w:rPr>
                <w:sz w:val="26"/>
                <w:szCs w:val="26"/>
              </w:rPr>
              <w:t xml:space="preserve">pārvaldes </w:t>
            </w:r>
            <w:r w:rsidR="00292ACF" w:rsidRPr="00292ACF">
              <w:rPr>
                <w:sz w:val="26"/>
                <w:szCs w:val="26"/>
              </w:rPr>
              <w:t>Digitālās vides datu kontroles un zinātības daļa</w:t>
            </w:r>
            <w:r w:rsidR="00F408FC">
              <w:rPr>
                <w:sz w:val="26"/>
                <w:szCs w:val="26"/>
              </w:rPr>
              <w:t>s galvenā nodokļu inspektore Agate Kalniņa</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lastRenderedPageBreak/>
              <w:t>7.</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074A83" w:rsidP="004F60B2">
            <w:pPr>
              <w:rPr>
                <w:sz w:val="26"/>
                <w:szCs w:val="26"/>
              </w:rPr>
            </w:pPr>
            <w:r w:rsidRPr="00A7641D">
              <w:rPr>
                <w:sz w:val="26"/>
                <w:szCs w:val="26"/>
              </w:rPr>
              <w:t>Darba grupas vadītājs un iespējamais sastāvs</w:t>
            </w:r>
            <w:r w:rsidR="00B331BA" w:rsidRPr="00A7641D">
              <w:rPr>
                <w:sz w:val="26"/>
                <w:szCs w:val="26"/>
              </w:rPr>
              <w:t xml:space="preserve"> (ja nepieciešams)</w:t>
            </w:r>
          </w:p>
        </w:tc>
        <w:tc>
          <w:tcPr>
            <w:tcW w:w="6176" w:type="dxa"/>
            <w:tcBorders>
              <w:top w:val="single" w:sz="4" w:space="0" w:color="000000"/>
              <w:left w:val="single" w:sz="4" w:space="0" w:color="000000"/>
              <w:bottom w:val="single" w:sz="4" w:space="0" w:color="000000"/>
              <w:right w:val="single" w:sz="4" w:space="0" w:color="000000"/>
            </w:tcBorders>
          </w:tcPr>
          <w:p w:rsidR="00074A83" w:rsidRPr="00A7641D" w:rsidRDefault="002E4471" w:rsidP="004F60B2">
            <w:pPr>
              <w:rPr>
                <w:sz w:val="26"/>
                <w:szCs w:val="26"/>
              </w:rPr>
            </w:pPr>
            <w:r w:rsidRPr="00A7641D">
              <w:rPr>
                <w:sz w:val="26"/>
                <w:szCs w:val="26"/>
              </w:rPr>
              <w:t>Darba grupa netiek veidota</w:t>
            </w:r>
          </w:p>
        </w:tc>
      </w:tr>
      <w:tr w:rsidR="009941D1"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9941D1" w:rsidRPr="00A7641D" w:rsidRDefault="009941D1" w:rsidP="004F60B2">
            <w:pPr>
              <w:contextualSpacing/>
              <w:rPr>
                <w:sz w:val="26"/>
                <w:szCs w:val="26"/>
              </w:rPr>
            </w:pPr>
            <w:r w:rsidRPr="00A7641D">
              <w:rPr>
                <w:sz w:val="26"/>
                <w:szCs w:val="26"/>
              </w:rPr>
              <w:t>8.</w:t>
            </w:r>
          </w:p>
        </w:tc>
        <w:tc>
          <w:tcPr>
            <w:tcW w:w="2864" w:type="dxa"/>
            <w:tcBorders>
              <w:top w:val="single" w:sz="4" w:space="0" w:color="000000"/>
              <w:left w:val="single" w:sz="4" w:space="0" w:color="000000"/>
              <w:bottom w:val="single" w:sz="4" w:space="0" w:color="000000"/>
              <w:right w:val="single" w:sz="4" w:space="0" w:color="000000"/>
            </w:tcBorders>
            <w:hideMark/>
          </w:tcPr>
          <w:p w:rsidR="009941D1" w:rsidRPr="00A7641D" w:rsidRDefault="009941D1" w:rsidP="004F60B2">
            <w:pPr>
              <w:rPr>
                <w:sz w:val="26"/>
                <w:szCs w:val="26"/>
              </w:rPr>
            </w:pPr>
            <w:r w:rsidRPr="00A7641D">
              <w:rPr>
                <w:sz w:val="26"/>
                <w:szCs w:val="26"/>
              </w:rPr>
              <w:t>Sabiedrības līdzdalība</w:t>
            </w:r>
          </w:p>
        </w:tc>
        <w:tc>
          <w:tcPr>
            <w:tcW w:w="6176" w:type="dxa"/>
            <w:tcBorders>
              <w:top w:val="single" w:sz="4" w:space="0" w:color="000000"/>
              <w:left w:val="single" w:sz="4" w:space="0" w:color="000000"/>
              <w:bottom w:val="single" w:sz="4" w:space="0" w:color="000000"/>
              <w:right w:val="single" w:sz="4" w:space="0" w:color="000000"/>
            </w:tcBorders>
          </w:tcPr>
          <w:p w:rsidR="009941D1" w:rsidRPr="00A7641D" w:rsidRDefault="00F45FD7" w:rsidP="00F408FC">
            <w:pPr>
              <w:rPr>
                <w:sz w:val="26"/>
                <w:szCs w:val="26"/>
              </w:rPr>
            </w:pPr>
            <w:r w:rsidRPr="00A7641D">
              <w:rPr>
                <w:rFonts w:eastAsia="Calibri"/>
                <w:sz w:val="26"/>
                <w:szCs w:val="26"/>
              </w:rPr>
              <w:t>Uzziņa par n</w:t>
            </w:r>
            <w:r w:rsidR="00452D1F" w:rsidRPr="00A7641D">
              <w:rPr>
                <w:rFonts w:eastAsia="Calibri"/>
                <w:sz w:val="26"/>
                <w:szCs w:val="26"/>
              </w:rPr>
              <w:t>oteikumu projektu tiks publicēta</w:t>
            </w:r>
            <w:r w:rsidR="00AB0E0E" w:rsidRPr="00A7641D">
              <w:rPr>
                <w:rFonts w:eastAsia="Calibri"/>
                <w:sz w:val="26"/>
                <w:szCs w:val="26"/>
              </w:rPr>
              <w:t xml:space="preserve"> Finanšu ministrijas mājas</w:t>
            </w:r>
            <w:r w:rsidR="00371F30" w:rsidRPr="00A7641D">
              <w:rPr>
                <w:rFonts w:eastAsia="Calibri"/>
                <w:sz w:val="26"/>
                <w:szCs w:val="26"/>
              </w:rPr>
              <w:t>lapā</w:t>
            </w:r>
            <w:r w:rsidR="00F408FC">
              <w:rPr>
                <w:rFonts w:eastAsia="Calibri"/>
                <w:sz w:val="26"/>
                <w:szCs w:val="26"/>
              </w:rPr>
              <w:t>. Sabiedrība par noteikumu projektu var izteikt viedokli līdz 9.jūlijam</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9.</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DE344F" w:rsidP="00AB0E0E">
            <w:pPr>
              <w:ind w:right="34"/>
              <w:rPr>
                <w:sz w:val="26"/>
                <w:szCs w:val="26"/>
              </w:rPr>
            </w:pPr>
            <w:r w:rsidRPr="00A7641D">
              <w:rPr>
                <w:sz w:val="26"/>
                <w:szCs w:val="26"/>
              </w:rPr>
              <w:t>Ministrijas struktūrvienības un padotības iestād</w:t>
            </w:r>
            <w:r w:rsidR="00AB0E0E" w:rsidRPr="00A7641D">
              <w:rPr>
                <w:sz w:val="26"/>
                <w:szCs w:val="26"/>
              </w:rPr>
              <w:t>es</w:t>
            </w:r>
            <w:r w:rsidR="00A44BFE" w:rsidRPr="00A7641D">
              <w:rPr>
                <w:sz w:val="26"/>
                <w:szCs w:val="26"/>
              </w:rPr>
              <w:t>,</w:t>
            </w:r>
            <w:r w:rsidRPr="00A7641D">
              <w:rPr>
                <w:sz w:val="26"/>
                <w:szCs w:val="26"/>
              </w:rPr>
              <w:t xml:space="preserve"> ar kurām projekts jāsaskaņo</w:t>
            </w:r>
          </w:p>
        </w:tc>
        <w:tc>
          <w:tcPr>
            <w:tcW w:w="6176" w:type="dxa"/>
            <w:tcBorders>
              <w:top w:val="single" w:sz="4" w:space="0" w:color="000000"/>
              <w:left w:val="single" w:sz="4" w:space="0" w:color="000000"/>
              <w:bottom w:val="single" w:sz="4" w:space="0" w:color="000000"/>
              <w:right w:val="single" w:sz="4" w:space="0" w:color="000000"/>
            </w:tcBorders>
          </w:tcPr>
          <w:p w:rsidR="002E120B" w:rsidRPr="00A7641D" w:rsidRDefault="00B8396B" w:rsidP="00452D1F">
            <w:pPr>
              <w:rPr>
                <w:sz w:val="26"/>
                <w:szCs w:val="26"/>
              </w:rPr>
            </w:pPr>
            <w:r w:rsidRPr="00A7641D">
              <w:rPr>
                <w:sz w:val="26"/>
                <w:szCs w:val="26"/>
              </w:rPr>
              <w:t xml:space="preserve">Finanšu ministrijas </w:t>
            </w:r>
            <w:r w:rsidR="006A48C1" w:rsidRPr="00A7641D">
              <w:rPr>
                <w:sz w:val="26"/>
                <w:szCs w:val="26"/>
              </w:rPr>
              <w:t>Nodokļu administrēšanas un sabiedrības interešu politiku departaments</w:t>
            </w:r>
            <w:r w:rsidR="00EE0CAC" w:rsidRPr="00A7641D">
              <w:rPr>
                <w:sz w:val="26"/>
                <w:szCs w:val="26"/>
              </w:rPr>
              <w:t>;</w:t>
            </w:r>
            <w:r w:rsidR="00925338" w:rsidRPr="00A7641D">
              <w:rPr>
                <w:sz w:val="26"/>
                <w:szCs w:val="26"/>
              </w:rPr>
              <w:t xml:space="preserve"> </w:t>
            </w:r>
            <w:r w:rsidRPr="00A7641D">
              <w:rPr>
                <w:sz w:val="26"/>
                <w:szCs w:val="26"/>
              </w:rPr>
              <w:t xml:space="preserve">Finanšu ministrijas </w:t>
            </w:r>
            <w:r w:rsidR="00466FB2" w:rsidRPr="00A7641D">
              <w:rPr>
                <w:sz w:val="26"/>
                <w:szCs w:val="26"/>
              </w:rPr>
              <w:t>Juridiskais departaments</w:t>
            </w:r>
          </w:p>
        </w:tc>
      </w:tr>
      <w:tr w:rsidR="00074A83"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074A83" w:rsidRPr="00A7641D" w:rsidRDefault="009941D1" w:rsidP="004F60B2">
            <w:pPr>
              <w:rPr>
                <w:sz w:val="26"/>
                <w:szCs w:val="26"/>
              </w:rPr>
            </w:pPr>
            <w:r w:rsidRPr="00A7641D">
              <w:rPr>
                <w:sz w:val="26"/>
                <w:szCs w:val="26"/>
              </w:rPr>
              <w:t>10.</w:t>
            </w:r>
          </w:p>
        </w:tc>
        <w:tc>
          <w:tcPr>
            <w:tcW w:w="2864" w:type="dxa"/>
            <w:tcBorders>
              <w:top w:val="single" w:sz="4" w:space="0" w:color="000000"/>
              <w:left w:val="single" w:sz="4" w:space="0" w:color="000000"/>
              <w:bottom w:val="single" w:sz="4" w:space="0" w:color="000000"/>
              <w:right w:val="single" w:sz="4" w:space="0" w:color="000000"/>
            </w:tcBorders>
            <w:hideMark/>
          </w:tcPr>
          <w:p w:rsidR="00074A83" w:rsidRPr="00A7641D" w:rsidRDefault="00B331BA" w:rsidP="00B331BA">
            <w:pPr>
              <w:rPr>
                <w:sz w:val="26"/>
                <w:szCs w:val="26"/>
              </w:rPr>
            </w:pPr>
            <w:r w:rsidRPr="00A7641D">
              <w:rPr>
                <w:sz w:val="26"/>
                <w:szCs w:val="26"/>
              </w:rPr>
              <w:t>Nosūtīšanas saskaņošanai termiņš, s</w:t>
            </w:r>
            <w:r w:rsidR="00074A83" w:rsidRPr="00A7641D">
              <w:rPr>
                <w:sz w:val="26"/>
                <w:szCs w:val="26"/>
              </w:rPr>
              <w:t>askaņošanas termiņ</w:t>
            </w:r>
            <w:r w:rsidR="009941D1" w:rsidRPr="00A7641D">
              <w:rPr>
                <w:sz w:val="26"/>
                <w:szCs w:val="26"/>
              </w:rPr>
              <w:t>š</w:t>
            </w:r>
          </w:p>
        </w:tc>
        <w:tc>
          <w:tcPr>
            <w:tcW w:w="6176" w:type="dxa"/>
            <w:tcBorders>
              <w:top w:val="single" w:sz="4" w:space="0" w:color="000000"/>
              <w:left w:val="single" w:sz="4" w:space="0" w:color="000000"/>
              <w:bottom w:val="single" w:sz="4" w:space="0" w:color="000000"/>
              <w:right w:val="single" w:sz="4" w:space="0" w:color="000000"/>
            </w:tcBorders>
          </w:tcPr>
          <w:p w:rsidR="00925338" w:rsidRPr="00A7641D" w:rsidRDefault="00C615D0" w:rsidP="00C615D0">
            <w:pPr>
              <w:rPr>
                <w:sz w:val="26"/>
                <w:szCs w:val="26"/>
              </w:rPr>
            </w:pPr>
            <w:r>
              <w:rPr>
                <w:sz w:val="26"/>
                <w:szCs w:val="26"/>
              </w:rPr>
              <w:t xml:space="preserve">Noteikumu projekts saskaņots ar Finanšu ministriju </w:t>
            </w:r>
            <w:r w:rsidR="00292ACF">
              <w:rPr>
                <w:sz w:val="26"/>
                <w:szCs w:val="26"/>
              </w:rPr>
              <w:t xml:space="preserve">2020.gada </w:t>
            </w:r>
            <w:r>
              <w:rPr>
                <w:sz w:val="26"/>
                <w:szCs w:val="26"/>
              </w:rPr>
              <w:t>11.jūnijā</w:t>
            </w:r>
          </w:p>
        </w:tc>
      </w:tr>
      <w:tr w:rsidR="009941D1"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9941D1" w:rsidRPr="00A7641D" w:rsidRDefault="009941D1" w:rsidP="004F60B2">
            <w:pPr>
              <w:rPr>
                <w:sz w:val="26"/>
                <w:szCs w:val="26"/>
              </w:rPr>
            </w:pPr>
            <w:r w:rsidRPr="00A7641D">
              <w:rPr>
                <w:sz w:val="26"/>
                <w:szCs w:val="26"/>
              </w:rPr>
              <w:t>11.</w:t>
            </w:r>
          </w:p>
        </w:tc>
        <w:tc>
          <w:tcPr>
            <w:tcW w:w="2864" w:type="dxa"/>
            <w:tcBorders>
              <w:top w:val="single" w:sz="4" w:space="0" w:color="000000"/>
              <w:left w:val="single" w:sz="4" w:space="0" w:color="000000"/>
              <w:bottom w:val="single" w:sz="4" w:space="0" w:color="000000"/>
              <w:right w:val="single" w:sz="4" w:space="0" w:color="000000"/>
            </w:tcBorders>
          </w:tcPr>
          <w:p w:rsidR="009941D1" w:rsidRPr="00A7641D" w:rsidRDefault="009941D1" w:rsidP="004F60B2">
            <w:pPr>
              <w:rPr>
                <w:sz w:val="26"/>
                <w:szCs w:val="26"/>
              </w:rPr>
            </w:pPr>
            <w:r w:rsidRPr="00A7641D">
              <w:rPr>
                <w:sz w:val="26"/>
                <w:szCs w:val="26"/>
              </w:rPr>
              <w:t>Prognozējamā projekta finansiālā ietekme uz valsts budžetu</w:t>
            </w:r>
          </w:p>
        </w:tc>
        <w:tc>
          <w:tcPr>
            <w:tcW w:w="6176" w:type="dxa"/>
            <w:tcBorders>
              <w:top w:val="single" w:sz="4" w:space="0" w:color="000000"/>
              <w:left w:val="single" w:sz="4" w:space="0" w:color="000000"/>
              <w:bottom w:val="single" w:sz="4" w:space="0" w:color="000000"/>
              <w:right w:val="single" w:sz="4" w:space="0" w:color="000000"/>
            </w:tcBorders>
          </w:tcPr>
          <w:p w:rsidR="00E01B7B" w:rsidRPr="00A7641D" w:rsidRDefault="00336E49" w:rsidP="00336E49">
            <w:pPr>
              <w:rPr>
                <w:sz w:val="26"/>
                <w:szCs w:val="26"/>
              </w:rPr>
            </w:pPr>
            <w:r w:rsidRPr="00A7641D">
              <w:rPr>
                <w:sz w:val="26"/>
                <w:szCs w:val="26"/>
              </w:rPr>
              <w:t xml:space="preserve">Noteikumu projektam nav paredzama ietekme uz valsts </w:t>
            </w:r>
            <w:r w:rsidR="00F9441A" w:rsidRPr="00A7641D">
              <w:rPr>
                <w:sz w:val="26"/>
                <w:szCs w:val="26"/>
              </w:rPr>
              <w:t>budžetu un pašvaldību budžetiem</w:t>
            </w:r>
          </w:p>
        </w:tc>
      </w:tr>
      <w:tr w:rsidR="009941D1"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9941D1" w:rsidRPr="00A7641D" w:rsidRDefault="009941D1" w:rsidP="004F60B2">
            <w:pPr>
              <w:rPr>
                <w:sz w:val="26"/>
                <w:szCs w:val="26"/>
              </w:rPr>
            </w:pPr>
            <w:r w:rsidRPr="00A7641D">
              <w:rPr>
                <w:sz w:val="26"/>
                <w:szCs w:val="26"/>
              </w:rPr>
              <w:t>12.</w:t>
            </w:r>
          </w:p>
        </w:tc>
        <w:tc>
          <w:tcPr>
            <w:tcW w:w="2864" w:type="dxa"/>
            <w:tcBorders>
              <w:top w:val="single" w:sz="4" w:space="0" w:color="000000"/>
              <w:left w:val="single" w:sz="4" w:space="0" w:color="000000"/>
              <w:bottom w:val="single" w:sz="4" w:space="0" w:color="000000"/>
              <w:right w:val="single" w:sz="4" w:space="0" w:color="000000"/>
            </w:tcBorders>
          </w:tcPr>
          <w:p w:rsidR="009941D1" w:rsidRPr="00A7641D" w:rsidRDefault="009941D1" w:rsidP="004F60B2">
            <w:pPr>
              <w:rPr>
                <w:sz w:val="26"/>
                <w:szCs w:val="26"/>
              </w:rPr>
            </w:pPr>
            <w:r w:rsidRPr="00A7641D">
              <w:rPr>
                <w:sz w:val="26"/>
                <w:szCs w:val="26"/>
              </w:rPr>
              <w:t>Tiesību ak</w:t>
            </w:r>
            <w:r w:rsidR="00B331BA" w:rsidRPr="00A7641D">
              <w:rPr>
                <w:sz w:val="26"/>
                <w:szCs w:val="26"/>
              </w:rPr>
              <w:t>ta ieviešanas</w:t>
            </w:r>
            <w:r w:rsidR="00E613FF" w:rsidRPr="00A7641D">
              <w:rPr>
                <w:sz w:val="26"/>
                <w:szCs w:val="26"/>
              </w:rPr>
              <w:t xml:space="preserve"> kalendārais plāns</w:t>
            </w:r>
          </w:p>
        </w:tc>
        <w:tc>
          <w:tcPr>
            <w:tcW w:w="6176" w:type="dxa"/>
            <w:tcBorders>
              <w:top w:val="single" w:sz="4" w:space="0" w:color="000000"/>
              <w:left w:val="single" w:sz="4" w:space="0" w:color="000000"/>
              <w:bottom w:val="single" w:sz="4" w:space="0" w:color="000000"/>
              <w:right w:val="single" w:sz="4" w:space="0" w:color="000000"/>
            </w:tcBorders>
          </w:tcPr>
          <w:p w:rsidR="005A64B5" w:rsidRDefault="005A64B5" w:rsidP="00087370">
            <w:pPr>
              <w:rPr>
                <w:sz w:val="26"/>
                <w:szCs w:val="26"/>
              </w:rPr>
            </w:pPr>
            <w:r>
              <w:rPr>
                <w:sz w:val="26"/>
                <w:szCs w:val="26"/>
              </w:rPr>
              <w:t xml:space="preserve">Izsludināts VSS </w:t>
            </w:r>
            <w:r w:rsidR="00C615D0">
              <w:rPr>
                <w:sz w:val="26"/>
                <w:szCs w:val="26"/>
              </w:rPr>
              <w:t xml:space="preserve">2020.gada </w:t>
            </w:r>
            <w:r>
              <w:rPr>
                <w:sz w:val="26"/>
                <w:szCs w:val="26"/>
              </w:rPr>
              <w:t>9.jūlijā.</w:t>
            </w:r>
          </w:p>
          <w:p w:rsidR="00087370" w:rsidRPr="00A7641D" w:rsidRDefault="00087370" w:rsidP="00087370">
            <w:pPr>
              <w:rPr>
                <w:sz w:val="26"/>
                <w:szCs w:val="26"/>
              </w:rPr>
            </w:pPr>
            <w:r w:rsidRPr="00A7641D">
              <w:rPr>
                <w:sz w:val="26"/>
                <w:szCs w:val="26"/>
              </w:rPr>
              <w:t xml:space="preserve">Iesniegts </w:t>
            </w:r>
            <w:r w:rsidR="00C615D0">
              <w:rPr>
                <w:sz w:val="26"/>
                <w:szCs w:val="26"/>
              </w:rPr>
              <w:t xml:space="preserve">MK </w:t>
            </w:r>
            <w:r w:rsidR="00292ACF">
              <w:rPr>
                <w:sz w:val="26"/>
                <w:szCs w:val="26"/>
              </w:rPr>
              <w:t>2020.gada 1.septembr</w:t>
            </w:r>
            <w:r w:rsidR="003C13A0">
              <w:rPr>
                <w:sz w:val="26"/>
                <w:szCs w:val="26"/>
              </w:rPr>
              <w:t>ī</w:t>
            </w:r>
            <w:r w:rsidR="00292ACF">
              <w:rPr>
                <w:sz w:val="26"/>
                <w:szCs w:val="26"/>
              </w:rPr>
              <w:t>.</w:t>
            </w:r>
          </w:p>
          <w:p w:rsidR="00277704" w:rsidRPr="00A7641D" w:rsidRDefault="00087370" w:rsidP="00087370">
            <w:pPr>
              <w:rPr>
                <w:sz w:val="26"/>
                <w:szCs w:val="26"/>
              </w:rPr>
            </w:pPr>
            <w:r w:rsidRPr="00A7641D">
              <w:rPr>
                <w:sz w:val="26"/>
                <w:szCs w:val="26"/>
              </w:rPr>
              <w:t>Ministru kabineta noteikumi stājas spēkā pēc publicēšanas.</w:t>
            </w:r>
          </w:p>
          <w:p w:rsidR="00292ACF" w:rsidRDefault="002F1FB6" w:rsidP="0008685E">
            <w:pPr>
              <w:rPr>
                <w:sz w:val="26"/>
                <w:szCs w:val="26"/>
              </w:rPr>
            </w:pPr>
            <w:r w:rsidRPr="00A7641D">
              <w:rPr>
                <w:sz w:val="26"/>
                <w:szCs w:val="26"/>
              </w:rPr>
              <w:t>Noteikumu projekta r</w:t>
            </w:r>
            <w:r w:rsidR="00105E1A" w:rsidRPr="00A7641D">
              <w:rPr>
                <w:sz w:val="26"/>
                <w:szCs w:val="26"/>
              </w:rPr>
              <w:t>egulējumam</w:t>
            </w:r>
            <w:r w:rsidR="00087370" w:rsidRPr="00A7641D">
              <w:rPr>
                <w:sz w:val="26"/>
                <w:szCs w:val="26"/>
              </w:rPr>
              <w:t xml:space="preserve"> attiecībā uz </w:t>
            </w:r>
            <w:r w:rsidR="00292ACF" w:rsidRPr="00A7641D">
              <w:rPr>
                <w:sz w:val="26"/>
                <w:szCs w:val="26"/>
              </w:rPr>
              <w:t>elektroniskās ierīces vai iekārtas tehnisk</w:t>
            </w:r>
            <w:r w:rsidR="00292ACF">
              <w:rPr>
                <w:sz w:val="26"/>
                <w:szCs w:val="26"/>
              </w:rPr>
              <w:t>ās</w:t>
            </w:r>
            <w:r w:rsidR="00292ACF" w:rsidRPr="00A7641D">
              <w:rPr>
                <w:sz w:val="26"/>
                <w:szCs w:val="26"/>
              </w:rPr>
              <w:t xml:space="preserve"> pas</w:t>
            </w:r>
            <w:r w:rsidR="00292ACF">
              <w:rPr>
                <w:sz w:val="26"/>
                <w:szCs w:val="26"/>
              </w:rPr>
              <w:t>es</w:t>
            </w:r>
            <w:r w:rsidR="00292ACF" w:rsidRPr="00A7641D">
              <w:rPr>
                <w:sz w:val="26"/>
                <w:szCs w:val="26"/>
              </w:rPr>
              <w:t xml:space="preserve"> sagatavo</w:t>
            </w:r>
            <w:r w:rsidR="00292ACF">
              <w:rPr>
                <w:sz w:val="26"/>
                <w:szCs w:val="26"/>
              </w:rPr>
              <w:t>šanu</w:t>
            </w:r>
            <w:r w:rsidR="00292ACF" w:rsidRPr="00A7641D">
              <w:rPr>
                <w:sz w:val="26"/>
                <w:szCs w:val="26"/>
              </w:rPr>
              <w:t xml:space="preserve"> VID elektroniskās deklarēšanas sistēmā</w:t>
            </w:r>
            <w:r w:rsidR="00292ACF">
              <w:rPr>
                <w:sz w:val="26"/>
                <w:szCs w:val="26"/>
              </w:rPr>
              <w:t xml:space="preserve"> tiks noteikts pārejas periods līdz 2020.gada 1.novembrim.</w:t>
            </w:r>
          </w:p>
          <w:p w:rsidR="00BB75AF" w:rsidRPr="00A7641D" w:rsidRDefault="00BB75AF" w:rsidP="0008685E">
            <w:pPr>
              <w:rPr>
                <w:sz w:val="26"/>
                <w:szCs w:val="26"/>
              </w:rPr>
            </w:pPr>
            <w:r w:rsidRPr="00A7641D">
              <w:rPr>
                <w:sz w:val="26"/>
                <w:szCs w:val="26"/>
              </w:rPr>
              <w:t>Pārejas periods normatīvā regulējuma prasību ieviešanai līdz 2020.gada 1.</w:t>
            </w:r>
            <w:r w:rsidR="00292ACF">
              <w:rPr>
                <w:sz w:val="26"/>
                <w:szCs w:val="26"/>
              </w:rPr>
              <w:t>novembrim</w:t>
            </w:r>
            <w:r w:rsidRPr="00A7641D">
              <w:rPr>
                <w:sz w:val="26"/>
                <w:szCs w:val="26"/>
              </w:rPr>
              <w:t xml:space="preserve"> tiks noteikts </w:t>
            </w:r>
            <w:r w:rsidR="00845D21" w:rsidRPr="00A7641D">
              <w:rPr>
                <w:sz w:val="26"/>
                <w:szCs w:val="26"/>
              </w:rPr>
              <w:t xml:space="preserve">arī attiecībā uz </w:t>
            </w:r>
            <w:r w:rsidR="00C312F5" w:rsidRPr="00A7641D">
              <w:rPr>
                <w:sz w:val="26"/>
                <w:szCs w:val="26"/>
              </w:rPr>
              <w:t>izmaiņām</w:t>
            </w:r>
            <w:r w:rsidRPr="00A7641D">
              <w:rPr>
                <w:sz w:val="26"/>
                <w:szCs w:val="26"/>
              </w:rPr>
              <w:t xml:space="preserve"> atbrīvojum</w:t>
            </w:r>
            <w:r w:rsidR="00A7641D" w:rsidRPr="00A7641D">
              <w:rPr>
                <w:sz w:val="26"/>
                <w:szCs w:val="26"/>
              </w:rPr>
              <w:t>iem</w:t>
            </w:r>
            <w:r w:rsidRPr="00A7641D">
              <w:rPr>
                <w:sz w:val="26"/>
                <w:szCs w:val="26"/>
              </w:rPr>
              <w:t xml:space="preserve"> no elektronisko ierīču un iekārtu lietošanas ārpus pastāvīgās darbības vietas (struktūrvienības), tirgos un ielu tirdzniecības viet</w:t>
            </w:r>
            <w:r w:rsidR="0083657A" w:rsidRPr="00A7641D">
              <w:rPr>
                <w:sz w:val="26"/>
                <w:szCs w:val="26"/>
              </w:rPr>
              <w:t>ās</w:t>
            </w:r>
            <w:r w:rsidR="00C615D0">
              <w:rPr>
                <w:sz w:val="26"/>
                <w:szCs w:val="26"/>
              </w:rPr>
              <w:t>.</w:t>
            </w:r>
          </w:p>
        </w:tc>
      </w:tr>
      <w:tr w:rsidR="00B331BA"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B331BA" w:rsidRPr="00A7641D" w:rsidRDefault="00B331BA" w:rsidP="004F60B2">
            <w:pPr>
              <w:rPr>
                <w:sz w:val="26"/>
                <w:szCs w:val="26"/>
              </w:rPr>
            </w:pPr>
            <w:r w:rsidRPr="00A7641D">
              <w:rPr>
                <w:sz w:val="26"/>
                <w:szCs w:val="26"/>
              </w:rPr>
              <w:t>13.</w:t>
            </w:r>
          </w:p>
        </w:tc>
        <w:tc>
          <w:tcPr>
            <w:tcW w:w="2864" w:type="dxa"/>
            <w:tcBorders>
              <w:top w:val="single" w:sz="4" w:space="0" w:color="000000"/>
              <w:left w:val="single" w:sz="4" w:space="0" w:color="000000"/>
              <w:bottom w:val="single" w:sz="4" w:space="0" w:color="000000"/>
              <w:right w:val="single" w:sz="4" w:space="0" w:color="000000"/>
            </w:tcBorders>
          </w:tcPr>
          <w:p w:rsidR="00B331BA" w:rsidRPr="00A7641D" w:rsidRDefault="00B331BA" w:rsidP="004F60B2">
            <w:pPr>
              <w:rPr>
                <w:sz w:val="26"/>
                <w:szCs w:val="26"/>
              </w:rPr>
            </w:pPr>
            <w:r w:rsidRPr="00A7641D">
              <w:rPr>
                <w:sz w:val="26"/>
                <w:szCs w:val="26"/>
              </w:rPr>
              <w:t>Politikas joma</w:t>
            </w:r>
          </w:p>
        </w:tc>
        <w:tc>
          <w:tcPr>
            <w:tcW w:w="6176" w:type="dxa"/>
            <w:tcBorders>
              <w:top w:val="single" w:sz="4" w:space="0" w:color="000000"/>
              <w:left w:val="single" w:sz="4" w:space="0" w:color="000000"/>
              <w:bottom w:val="single" w:sz="4" w:space="0" w:color="000000"/>
              <w:right w:val="single" w:sz="4" w:space="0" w:color="000000"/>
            </w:tcBorders>
          </w:tcPr>
          <w:p w:rsidR="00B331BA" w:rsidRPr="00A7641D" w:rsidRDefault="00916B39" w:rsidP="00296132">
            <w:pPr>
              <w:rPr>
                <w:sz w:val="26"/>
                <w:szCs w:val="26"/>
              </w:rPr>
            </w:pPr>
            <w:r w:rsidRPr="00A7641D">
              <w:rPr>
                <w:sz w:val="26"/>
                <w:szCs w:val="26"/>
              </w:rPr>
              <w:t>Budžeta un finanšu politika</w:t>
            </w:r>
          </w:p>
        </w:tc>
      </w:tr>
      <w:tr w:rsidR="009941D1" w:rsidRPr="00A7641D" w:rsidTr="0008685E">
        <w:trPr>
          <w:gridAfter w:val="1"/>
          <w:wAfter w:w="35" w:type="dxa"/>
        </w:trPr>
        <w:tc>
          <w:tcPr>
            <w:tcW w:w="675" w:type="dxa"/>
            <w:tcBorders>
              <w:top w:val="single" w:sz="4" w:space="0" w:color="000000"/>
              <w:left w:val="single" w:sz="4" w:space="0" w:color="000000"/>
              <w:bottom w:val="single" w:sz="4" w:space="0" w:color="000000"/>
              <w:right w:val="single" w:sz="4" w:space="0" w:color="000000"/>
            </w:tcBorders>
          </w:tcPr>
          <w:p w:rsidR="009941D1" w:rsidRPr="00A7641D" w:rsidRDefault="009941D1" w:rsidP="00B331BA">
            <w:pPr>
              <w:rPr>
                <w:sz w:val="26"/>
                <w:szCs w:val="26"/>
              </w:rPr>
            </w:pPr>
            <w:r w:rsidRPr="00A7641D">
              <w:rPr>
                <w:sz w:val="26"/>
                <w:szCs w:val="26"/>
              </w:rPr>
              <w:t>1</w:t>
            </w:r>
            <w:r w:rsidR="00B331BA" w:rsidRPr="00A7641D">
              <w:rPr>
                <w:sz w:val="26"/>
                <w:szCs w:val="26"/>
              </w:rPr>
              <w:t>4</w:t>
            </w:r>
            <w:r w:rsidRPr="00A7641D">
              <w:rPr>
                <w:sz w:val="26"/>
                <w:szCs w:val="26"/>
              </w:rPr>
              <w:t>.</w:t>
            </w:r>
          </w:p>
        </w:tc>
        <w:tc>
          <w:tcPr>
            <w:tcW w:w="2864" w:type="dxa"/>
            <w:tcBorders>
              <w:top w:val="single" w:sz="4" w:space="0" w:color="000000"/>
              <w:left w:val="single" w:sz="4" w:space="0" w:color="000000"/>
              <w:bottom w:val="single" w:sz="4" w:space="0" w:color="000000"/>
              <w:right w:val="single" w:sz="4" w:space="0" w:color="000000"/>
            </w:tcBorders>
            <w:hideMark/>
          </w:tcPr>
          <w:p w:rsidR="009941D1" w:rsidRPr="00A7641D" w:rsidRDefault="009941D1" w:rsidP="004F60B2">
            <w:pPr>
              <w:rPr>
                <w:sz w:val="26"/>
                <w:szCs w:val="26"/>
              </w:rPr>
            </w:pPr>
            <w:r w:rsidRPr="00A7641D">
              <w:rPr>
                <w:sz w:val="26"/>
                <w:szCs w:val="26"/>
              </w:rPr>
              <w:t>Uzziņas sagatavotājs</w:t>
            </w:r>
          </w:p>
        </w:tc>
        <w:tc>
          <w:tcPr>
            <w:tcW w:w="6176" w:type="dxa"/>
            <w:tcBorders>
              <w:top w:val="single" w:sz="4" w:space="0" w:color="000000"/>
              <w:left w:val="single" w:sz="4" w:space="0" w:color="000000"/>
              <w:bottom w:val="single" w:sz="4" w:space="0" w:color="000000"/>
              <w:right w:val="single" w:sz="4" w:space="0" w:color="000000"/>
            </w:tcBorders>
          </w:tcPr>
          <w:p w:rsidR="009941D1" w:rsidRPr="00A7641D" w:rsidRDefault="002E120B" w:rsidP="00C615D0">
            <w:pPr>
              <w:rPr>
                <w:sz w:val="26"/>
                <w:szCs w:val="26"/>
              </w:rPr>
            </w:pPr>
            <w:r w:rsidRPr="00A7641D">
              <w:rPr>
                <w:sz w:val="26"/>
                <w:szCs w:val="26"/>
              </w:rPr>
              <w:t xml:space="preserve">Valsts ieņēmumu dienesta </w:t>
            </w:r>
            <w:r w:rsidR="00292ACF" w:rsidRPr="00292ACF">
              <w:rPr>
                <w:sz w:val="26"/>
                <w:szCs w:val="26"/>
              </w:rPr>
              <w:t>Nodokļu nomaksas veicināšanas pārvaldes Digitālās vides datu kontroles un zinātības daļa</w:t>
            </w:r>
            <w:r w:rsidR="00C615D0">
              <w:rPr>
                <w:sz w:val="26"/>
                <w:szCs w:val="26"/>
              </w:rPr>
              <w:t>s galvenā nodokļu inspektore Agate Kalniņa</w:t>
            </w:r>
          </w:p>
        </w:tc>
      </w:tr>
      <w:tr w:rsidR="009941D1" w:rsidRPr="00A7641D" w:rsidTr="009941D1">
        <w:trPr>
          <w:gridAfter w:val="1"/>
          <w:wAfter w:w="35" w:type="dxa"/>
          <w:trHeight w:val="272"/>
        </w:trPr>
        <w:tc>
          <w:tcPr>
            <w:tcW w:w="9715" w:type="dxa"/>
            <w:gridSpan w:val="3"/>
            <w:tcBorders>
              <w:top w:val="single" w:sz="4" w:space="0" w:color="000000"/>
              <w:left w:val="nil"/>
              <w:bottom w:val="nil"/>
              <w:right w:val="nil"/>
            </w:tcBorders>
          </w:tcPr>
          <w:p w:rsidR="009941D1" w:rsidRPr="00A7641D" w:rsidRDefault="009941D1" w:rsidP="004F60B2">
            <w:pPr>
              <w:rPr>
                <w:sz w:val="26"/>
                <w:szCs w:val="26"/>
              </w:rPr>
            </w:pPr>
          </w:p>
        </w:tc>
      </w:tr>
      <w:tr w:rsidR="009941D1" w:rsidRPr="00A7641D" w:rsidTr="009941D1">
        <w:trPr>
          <w:trHeight w:val="369"/>
        </w:trPr>
        <w:tc>
          <w:tcPr>
            <w:tcW w:w="9750" w:type="dxa"/>
            <w:gridSpan w:val="4"/>
            <w:tcBorders>
              <w:top w:val="nil"/>
              <w:left w:val="nil"/>
              <w:bottom w:val="nil"/>
              <w:right w:val="nil"/>
            </w:tcBorders>
            <w:hideMark/>
          </w:tcPr>
          <w:p w:rsidR="00986225" w:rsidRDefault="00395B89" w:rsidP="00627373">
            <w:pPr>
              <w:rPr>
                <w:sz w:val="26"/>
                <w:szCs w:val="26"/>
              </w:rPr>
            </w:pPr>
            <w:r>
              <w:rPr>
                <w:sz w:val="26"/>
                <w:szCs w:val="26"/>
              </w:rPr>
              <w:t>Uzziņu iesniedza:</w:t>
            </w:r>
            <w:r w:rsidR="00617840" w:rsidRPr="00617840">
              <w:rPr>
                <w:sz w:val="26"/>
                <w:szCs w:val="26"/>
              </w:rPr>
              <w:t xml:space="preserve"> Valsts ieņēmumu dienesta Nodokļu nomaksas veicināšanas pārvaldes direktora vietniece Inese Bindemane</w:t>
            </w:r>
          </w:p>
          <w:p w:rsidR="00C615D0" w:rsidRPr="00C615D0" w:rsidRDefault="00C615D0" w:rsidP="00C615D0">
            <w:pPr>
              <w:rPr>
                <w:sz w:val="26"/>
                <w:szCs w:val="26"/>
              </w:rPr>
            </w:pPr>
            <w:r w:rsidRPr="00C615D0">
              <w:rPr>
                <w:sz w:val="26"/>
                <w:szCs w:val="26"/>
              </w:rPr>
              <w:t>Tālrunis 67121</w:t>
            </w:r>
            <w:r>
              <w:rPr>
                <w:sz w:val="26"/>
                <w:szCs w:val="26"/>
              </w:rPr>
              <w:t>149</w:t>
            </w:r>
            <w:r w:rsidRPr="00C615D0">
              <w:rPr>
                <w:sz w:val="26"/>
                <w:szCs w:val="26"/>
              </w:rPr>
              <w:t xml:space="preserve">, e-pasts: </w:t>
            </w:r>
            <w:r>
              <w:rPr>
                <w:sz w:val="26"/>
                <w:szCs w:val="26"/>
              </w:rPr>
              <w:t>Inese.Bindemane</w:t>
            </w:r>
            <w:r w:rsidRPr="00C615D0">
              <w:rPr>
                <w:sz w:val="26"/>
                <w:szCs w:val="26"/>
              </w:rPr>
              <w:t xml:space="preserve">@vid.gov.lv </w:t>
            </w:r>
          </w:p>
          <w:p w:rsidR="00C615D0" w:rsidRPr="00A7641D" w:rsidRDefault="00C615D0" w:rsidP="00C615D0">
            <w:pPr>
              <w:rPr>
                <w:sz w:val="26"/>
                <w:szCs w:val="26"/>
              </w:rPr>
            </w:pPr>
            <w:r>
              <w:rPr>
                <w:sz w:val="26"/>
                <w:szCs w:val="26"/>
              </w:rPr>
              <w:t>Uzziņa iesniegta 18.06.2020.</w:t>
            </w:r>
          </w:p>
          <w:p w:rsidR="009941D1" w:rsidRPr="00A7641D" w:rsidRDefault="009941D1" w:rsidP="00627373">
            <w:pPr>
              <w:rPr>
                <w:sz w:val="26"/>
                <w:szCs w:val="26"/>
              </w:rPr>
            </w:pPr>
          </w:p>
        </w:tc>
      </w:tr>
      <w:tr w:rsidR="00617840" w:rsidRPr="00A7641D" w:rsidTr="009941D1">
        <w:trPr>
          <w:trHeight w:val="369"/>
        </w:trPr>
        <w:tc>
          <w:tcPr>
            <w:tcW w:w="9750" w:type="dxa"/>
            <w:gridSpan w:val="4"/>
            <w:tcBorders>
              <w:top w:val="nil"/>
              <w:left w:val="nil"/>
              <w:bottom w:val="nil"/>
              <w:right w:val="nil"/>
            </w:tcBorders>
          </w:tcPr>
          <w:p w:rsidR="00617840" w:rsidRDefault="00617840" w:rsidP="00627373">
            <w:pPr>
              <w:rPr>
                <w:sz w:val="26"/>
                <w:szCs w:val="26"/>
              </w:rPr>
            </w:pPr>
          </w:p>
        </w:tc>
      </w:tr>
      <w:tr w:rsidR="00617840" w:rsidRPr="00A7641D" w:rsidTr="009941D1">
        <w:trPr>
          <w:trHeight w:val="369"/>
        </w:trPr>
        <w:tc>
          <w:tcPr>
            <w:tcW w:w="9750" w:type="dxa"/>
            <w:gridSpan w:val="4"/>
            <w:tcBorders>
              <w:top w:val="nil"/>
              <w:left w:val="nil"/>
              <w:bottom w:val="nil"/>
              <w:right w:val="nil"/>
            </w:tcBorders>
          </w:tcPr>
          <w:p w:rsidR="00617840" w:rsidRDefault="00617840" w:rsidP="00627373">
            <w:pPr>
              <w:rPr>
                <w:sz w:val="26"/>
                <w:szCs w:val="26"/>
              </w:rPr>
            </w:pPr>
          </w:p>
        </w:tc>
      </w:tr>
    </w:tbl>
    <w:p w:rsidR="001F1CDB" w:rsidRPr="00A7641D" w:rsidRDefault="001F1CDB" w:rsidP="002F3C03">
      <w:pPr>
        <w:tabs>
          <w:tab w:val="left" w:pos="1134"/>
        </w:tabs>
        <w:rPr>
          <w:sz w:val="26"/>
          <w:szCs w:val="26"/>
        </w:rPr>
      </w:pPr>
    </w:p>
    <w:sectPr w:rsidR="001F1CDB" w:rsidRPr="00A7641D" w:rsidSect="00986225">
      <w:headerReference w:type="default" r:id="rId11"/>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14" w:rsidRDefault="00A52814" w:rsidP="004D2F7D">
      <w:r>
        <w:separator/>
      </w:r>
    </w:p>
  </w:endnote>
  <w:endnote w:type="continuationSeparator" w:id="0">
    <w:p w:rsidR="00A52814" w:rsidRDefault="00A52814" w:rsidP="004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14" w:rsidRDefault="00A52814" w:rsidP="004D2F7D">
      <w:r>
        <w:separator/>
      </w:r>
    </w:p>
  </w:footnote>
  <w:footnote w:type="continuationSeparator" w:id="0">
    <w:p w:rsidR="00A52814" w:rsidRDefault="00A52814" w:rsidP="004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5E" w:rsidRDefault="0008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545"/>
    <w:multiLevelType w:val="hybridMultilevel"/>
    <w:tmpl w:val="9CA0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C398C"/>
    <w:multiLevelType w:val="hybridMultilevel"/>
    <w:tmpl w:val="F3CEB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1EA04DEA"/>
    <w:lvl w:ilvl="0" w:tplc="7E0634C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26CC"/>
    <w:multiLevelType w:val="hybridMultilevel"/>
    <w:tmpl w:val="53F42566"/>
    <w:lvl w:ilvl="0" w:tplc="452AEF2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5B53D2"/>
    <w:multiLevelType w:val="hybridMultilevel"/>
    <w:tmpl w:val="C4A6CF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3"/>
    <w:rsid w:val="00021795"/>
    <w:rsid w:val="00060DA2"/>
    <w:rsid w:val="000743D1"/>
    <w:rsid w:val="00074A83"/>
    <w:rsid w:val="0008685E"/>
    <w:rsid w:val="00087370"/>
    <w:rsid w:val="000A2202"/>
    <w:rsid w:val="000B2FB2"/>
    <w:rsid w:val="000B6B5F"/>
    <w:rsid w:val="000B6E86"/>
    <w:rsid w:val="000C1BC6"/>
    <w:rsid w:val="000C2C7A"/>
    <w:rsid w:val="000C79FD"/>
    <w:rsid w:val="000D37D1"/>
    <w:rsid w:val="000D3E2F"/>
    <w:rsid w:val="000E5554"/>
    <w:rsid w:val="000E608C"/>
    <w:rsid w:val="00102DBC"/>
    <w:rsid w:val="00105E1A"/>
    <w:rsid w:val="00106EB7"/>
    <w:rsid w:val="001139DA"/>
    <w:rsid w:val="0011695C"/>
    <w:rsid w:val="00134B8D"/>
    <w:rsid w:val="0014334C"/>
    <w:rsid w:val="00167416"/>
    <w:rsid w:val="00195995"/>
    <w:rsid w:val="0019716D"/>
    <w:rsid w:val="00197538"/>
    <w:rsid w:val="001A43C1"/>
    <w:rsid w:val="001B000F"/>
    <w:rsid w:val="001C2D47"/>
    <w:rsid w:val="001C52E3"/>
    <w:rsid w:val="001C5679"/>
    <w:rsid w:val="001F1CDB"/>
    <w:rsid w:val="001F2044"/>
    <w:rsid w:val="001F2CEC"/>
    <w:rsid w:val="001F4FB0"/>
    <w:rsid w:val="002164E9"/>
    <w:rsid w:val="00232BEB"/>
    <w:rsid w:val="002358C1"/>
    <w:rsid w:val="00247134"/>
    <w:rsid w:val="00262985"/>
    <w:rsid w:val="00277704"/>
    <w:rsid w:val="00292ACF"/>
    <w:rsid w:val="00296132"/>
    <w:rsid w:val="002B1351"/>
    <w:rsid w:val="002B27D6"/>
    <w:rsid w:val="002B4393"/>
    <w:rsid w:val="002B6D10"/>
    <w:rsid w:val="002E120B"/>
    <w:rsid w:val="002E4471"/>
    <w:rsid w:val="002F1FB6"/>
    <w:rsid w:val="002F3C03"/>
    <w:rsid w:val="002F7336"/>
    <w:rsid w:val="00305DD7"/>
    <w:rsid w:val="00305FDC"/>
    <w:rsid w:val="003158CF"/>
    <w:rsid w:val="00336E49"/>
    <w:rsid w:val="00346B57"/>
    <w:rsid w:val="003525AC"/>
    <w:rsid w:val="003548BE"/>
    <w:rsid w:val="00356C67"/>
    <w:rsid w:val="003603B3"/>
    <w:rsid w:val="003678D2"/>
    <w:rsid w:val="00371F30"/>
    <w:rsid w:val="00383CF2"/>
    <w:rsid w:val="003878BF"/>
    <w:rsid w:val="00395B89"/>
    <w:rsid w:val="003A26EC"/>
    <w:rsid w:val="003A4651"/>
    <w:rsid w:val="003B52E3"/>
    <w:rsid w:val="003B5BED"/>
    <w:rsid w:val="003B70DE"/>
    <w:rsid w:val="003C13A0"/>
    <w:rsid w:val="003C44BA"/>
    <w:rsid w:val="003D1405"/>
    <w:rsid w:val="003D73F0"/>
    <w:rsid w:val="003E0120"/>
    <w:rsid w:val="003E1B34"/>
    <w:rsid w:val="003F5489"/>
    <w:rsid w:val="00402652"/>
    <w:rsid w:val="0040678E"/>
    <w:rsid w:val="00420B4E"/>
    <w:rsid w:val="00452D1F"/>
    <w:rsid w:val="00466FB2"/>
    <w:rsid w:val="0048242D"/>
    <w:rsid w:val="0048641C"/>
    <w:rsid w:val="00493B94"/>
    <w:rsid w:val="004A0372"/>
    <w:rsid w:val="004C478F"/>
    <w:rsid w:val="004C4AFE"/>
    <w:rsid w:val="004C52D4"/>
    <w:rsid w:val="004C7572"/>
    <w:rsid w:val="004D2F7D"/>
    <w:rsid w:val="004E1C9B"/>
    <w:rsid w:val="004E5612"/>
    <w:rsid w:val="004E6298"/>
    <w:rsid w:val="004E71AE"/>
    <w:rsid w:val="004F1FA8"/>
    <w:rsid w:val="004F50BB"/>
    <w:rsid w:val="004F60B2"/>
    <w:rsid w:val="005026D4"/>
    <w:rsid w:val="005112E8"/>
    <w:rsid w:val="0051591C"/>
    <w:rsid w:val="00521E1B"/>
    <w:rsid w:val="00522390"/>
    <w:rsid w:val="00526A45"/>
    <w:rsid w:val="005466FC"/>
    <w:rsid w:val="0056037A"/>
    <w:rsid w:val="00560FCA"/>
    <w:rsid w:val="00571B96"/>
    <w:rsid w:val="005A07A2"/>
    <w:rsid w:val="005A1990"/>
    <w:rsid w:val="005A64B5"/>
    <w:rsid w:val="005E6C60"/>
    <w:rsid w:val="005F6C7E"/>
    <w:rsid w:val="0060179E"/>
    <w:rsid w:val="00601A7F"/>
    <w:rsid w:val="0060204D"/>
    <w:rsid w:val="00612CE1"/>
    <w:rsid w:val="00617840"/>
    <w:rsid w:val="00627373"/>
    <w:rsid w:val="0062797E"/>
    <w:rsid w:val="00637726"/>
    <w:rsid w:val="00653DE1"/>
    <w:rsid w:val="00676999"/>
    <w:rsid w:val="006868F3"/>
    <w:rsid w:val="00695BBA"/>
    <w:rsid w:val="006A4632"/>
    <w:rsid w:val="006A48C1"/>
    <w:rsid w:val="006B02E4"/>
    <w:rsid w:val="006B07C3"/>
    <w:rsid w:val="006B3A0B"/>
    <w:rsid w:val="006B7B14"/>
    <w:rsid w:val="006C27F3"/>
    <w:rsid w:val="006D2E60"/>
    <w:rsid w:val="00703B35"/>
    <w:rsid w:val="00711E3C"/>
    <w:rsid w:val="00720AFD"/>
    <w:rsid w:val="007242BA"/>
    <w:rsid w:val="00725423"/>
    <w:rsid w:val="0072619F"/>
    <w:rsid w:val="0072696D"/>
    <w:rsid w:val="00733702"/>
    <w:rsid w:val="00733FA9"/>
    <w:rsid w:val="007367F0"/>
    <w:rsid w:val="00737973"/>
    <w:rsid w:val="00783C08"/>
    <w:rsid w:val="00793DA4"/>
    <w:rsid w:val="007A7EDB"/>
    <w:rsid w:val="007B0FD5"/>
    <w:rsid w:val="007E4307"/>
    <w:rsid w:val="00800FB3"/>
    <w:rsid w:val="00820FC0"/>
    <w:rsid w:val="008303C4"/>
    <w:rsid w:val="0083111D"/>
    <w:rsid w:val="00834904"/>
    <w:rsid w:val="008357B0"/>
    <w:rsid w:val="0083657A"/>
    <w:rsid w:val="0083797F"/>
    <w:rsid w:val="00840A9B"/>
    <w:rsid w:val="00845D21"/>
    <w:rsid w:val="0084660F"/>
    <w:rsid w:val="0085209A"/>
    <w:rsid w:val="0086761C"/>
    <w:rsid w:val="00882F01"/>
    <w:rsid w:val="0089362E"/>
    <w:rsid w:val="008B6C6E"/>
    <w:rsid w:val="008C7D7D"/>
    <w:rsid w:val="008F44E4"/>
    <w:rsid w:val="009065D5"/>
    <w:rsid w:val="009163B3"/>
    <w:rsid w:val="00916B39"/>
    <w:rsid w:val="00924582"/>
    <w:rsid w:val="00925338"/>
    <w:rsid w:val="00945CC4"/>
    <w:rsid w:val="009518C4"/>
    <w:rsid w:val="0095633C"/>
    <w:rsid w:val="00962B3E"/>
    <w:rsid w:val="00983136"/>
    <w:rsid w:val="00986225"/>
    <w:rsid w:val="009941D1"/>
    <w:rsid w:val="009B273A"/>
    <w:rsid w:val="009C033B"/>
    <w:rsid w:val="009C4059"/>
    <w:rsid w:val="009C5FBE"/>
    <w:rsid w:val="009E0D38"/>
    <w:rsid w:val="009E3B36"/>
    <w:rsid w:val="009F14B4"/>
    <w:rsid w:val="00A024B3"/>
    <w:rsid w:val="00A02840"/>
    <w:rsid w:val="00A13C64"/>
    <w:rsid w:val="00A26780"/>
    <w:rsid w:val="00A31E21"/>
    <w:rsid w:val="00A32D36"/>
    <w:rsid w:val="00A3494B"/>
    <w:rsid w:val="00A36F56"/>
    <w:rsid w:val="00A4036F"/>
    <w:rsid w:val="00A404AA"/>
    <w:rsid w:val="00A42FC2"/>
    <w:rsid w:val="00A44BFE"/>
    <w:rsid w:val="00A45EF9"/>
    <w:rsid w:val="00A52814"/>
    <w:rsid w:val="00A5446F"/>
    <w:rsid w:val="00A55B55"/>
    <w:rsid w:val="00A56D9B"/>
    <w:rsid w:val="00A720F5"/>
    <w:rsid w:val="00A7641D"/>
    <w:rsid w:val="00A81DBB"/>
    <w:rsid w:val="00A904AE"/>
    <w:rsid w:val="00A942F2"/>
    <w:rsid w:val="00AB0E0E"/>
    <w:rsid w:val="00AC27E7"/>
    <w:rsid w:val="00AC540A"/>
    <w:rsid w:val="00AC62E0"/>
    <w:rsid w:val="00AD158C"/>
    <w:rsid w:val="00AE3D2D"/>
    <w:rsid w:val="00AF1B4D"/>
    <w:rsid w:val="00AF3E9A"/>
    <w:rsid w:val="00AF6B90"/>
    <w:rsid w:val="00AF7A50"/>
    <w:rsid w:val="00B10B2D"/>
    <w:rsid w:val="00B15650"/>
    <w:rsid w:val="00B331BA"/>
    <w:rsid w:val="00B422A2"/>
    <w:rsid w:val="00B553A5"/>
    <w:rsid w:val="00B5687F"/>
    <w:rsid w:val="00B81AA6"/>
    <w:rsid w:val="00B82C87"/>
    <w:rsid w:val="00B8396B"/>
    <w:rsid w:val="00B96C55"/>
    <w:rsid w:val="00BB75AF"/>
    <w:rsid w:val="00BD186F"/>
    <w:rsid w:val="00BE38A4"/>
    <w:rsid w:val="00BF2410"/>
    <w:rsid w:val="00BF5A0C"/>
    <w:rsid w:val="00C03F39"/>
    <w:rsid w:val="00C312F5"/>
    <w:rsid w:val="00C423DF"/>
    <w:rsid w:val="00C43C6F"/>
    <w:rsid w:val="00C578CB"/>
    <w:rsid w:val="00C60D96"/>
    <w:rsid w:val="00C615D0"/>
    <w:rsid w:val="00C966C9"/>
    <w:rsid w:val="00CA0547"/>
    <w:rsid w:val="00CD2123"/>
    <w:rsid w:val="00CE36FE"/>
    <w:rsid w:val="00CE3F16"/>
    <w:rsid w:val="00D2202A"/>
    <w:rsid w:val="00D3647D"/>
    <w:rsid w:val="00D42E06"/>
    <w:rsid w:val="00D622B0"/>
    <w:rsid w:val="00D7411E"/>
    <w:rsid w:val="00D747C6"/>
    <w:rsid w:val="00D90F92"/>
    <w:rsid w:val="00D92E28"/>
    <w:rsid w:val="00D93FC2"/>
    <w:rsid w:val="00DA534E"/>
    <w:rsid w:val="00DB57D6"/>
    <w:rsid w:val="00DB797A"/>
    <w:rsid w:val="00DD36D7"/>
    <w:rsid w:val="00DD7DE2"/>
    <w:rsid w:val="00DE2280"/>
    <w:rsid w:val="00DE344F"/>
    <w:rsid w:val="00DF0574"/>
    <w:rsid w:val="00E01B7B"/>
    <w:rsid w:val="00E17795"/>
    <w:rsid w:val="00E24BCA"/>
    <w:rsid w:val="00E25989"/>
    <w:rsid w:val="00E479A1"/>
    <w:rsid w:val="00E613FF"/>
    <w:rsid w:val="00E62C12"/>
    <w:rsid w:val="00E7136D"/>
    <w:rsid w:val="00E71CB9"/>
    <w:rsid w:val="00E746EE"/>
    <w:rsid w:val="00E92117"/>
    <w:rsid w:val="00E94FC1"/>
    <w:rsid w:val="00E9533B"/>
    <w:rsid w:val="00EA198A"/>
    <w:rsid w:val="00EE0CAC"/>
    <w:rsid w:val="00EF6E8F"/>
    <w:rsid w:val="00F07D22"/>
    <w:rsid w:val="00F20DD8"/>
    <w:rsid w:val="00F257F7"/>
    <w:rsid w:val="00F408FC"/>
    <w:rsid w:val="00F45FD7"/>
    <w:rsid w:val="00F45FDA"/>
    <w:rsid w:val="00F55685"/>
    <w:rsid w:val="00F56818"/>
    <w:rsid w:val="00F705B4"/>
    <w:rsid w:val="00F80F9C"/>
    <w:rsid w:val="00F817E1"/>
    <w:rsid w:val="00F82179"/>
    <w:rsid w:val="00F9441A"/>
    <w:rsid w:val="00F944E1"/>
    <w:rsid w:val="00F974F1"/>
    <w:rsid w:val="00FD13B6"/>
    <w:rsid w:val="00FD6EE1"/>
    <w:rsid w:val="00FF44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DB13A-A131-4EB7-843F-E2844D5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8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2F7D"/>
    <w:rPr>
      <w:sz w:val="20"/>
    </w:rPr>
  </w:style>
  <w:style w:type="character" w:customStyle="1" w:styleId="FootnoteTextChar">
    <w:name w:val="Footnote Text Char"/>
    <w:basedOn w:val="DefaultParagraphFont"/>
    <w:link w:val="FootnoteText"/>
    <w:uiPriority w:val="99"/>
    <w:semiHidden/>
    <w:rsid w:val="004D2F7D"/>
    <w:rPr>
      <w:rFonts w:ascii="Times New Roman" w:eastAsia="Times New Roman" w:hAnsi="Times New Roman" w:cs="Times New Roman"/>
      <w:sz w:val="20"/>
      <w:szCs w:val="20"/>
    </w:rPr>
  </w:style>
  <w:style w:type="character" w:styleId="FootnoteReference">
    <w:name w:val="footnote reference"/>
    <w:basedOn w:val="DefaultParagraphFont"/>
    <w:unhideWhenUsed/>
    <w:rsid w:val="004D2F7D"/>
    <w:rPr>
      <w:vertAlign w:val="superscript"/>
    </w:rPr>
  </w:style>
  <w:style w:type="paragraph" w:styleId="BalloonText">
    <w:name w:val="Balloon Text"/>
    <w:basedOn w:val="Normal"/>
    <w:link w:val="BalloonTextChar"/>
    <w:uiPriority w:val="99"/>
    <w:semiHidden/>
    <w:unhideWhenUsed/>
    <w:rsid w:val="00B82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87"/>
    <w:rPr>
      <w:rFonts w:ascii="Segoe UI" w:eastAsia="Times New Roman" w:hAnsi="Segoe UI" w:cs="Segoe UI"/>
      <w:sz w:val="18"/>
      <w:szCs w:val="18"/>
    </w:rPr>
  </w:style>
  <w:style w:type="character" w:styleId="Hyperlink">
    <w:name w:val="Hyperlink"/>
    <w:basedOn w:val="DefaultParagraphFont"/>
    <w:uiPriority w:val="99"/>
    <w:unhideWhenUsed/>
    <w:rsid w:val="004F60B2"/>
    <w:rPr>
      <w:color w:val="0563C1" w:themeColor="hyperlink"/>
      <w:u w:val="single"/>
    </w:rPr>
  </w:style>
  <w:style w:type="paragraph" w:customStyle="1" w:styleId="Default">
    <w:name w:val="Default"/>
    <w:rsid w:val="007261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1CDB"/>
    <w:pPr>
      <w:ind w:left="720"/>
      <w:contextualSpacing/>
    </w:pPr>
  </w:style>
  <w:style w:type="character" w:styleId="CommentReference">
    <w:name w:val="annotation reference"/>
    <w:basedOn w:val="DefaultParagraphFont"/>
    <w:uiPriority w:val="99"/>
    <w:semiHidden/>
    <w:unhideWhenUsed/>
    <w:rsid w:val="002E120B"/>
    <w:rPr>
      <w:sz w:val="16"/>
      <w:szCs w:val="16"/>
    </w:rPr>
  </w:style>
  <w:style w:type="paragraph" w:styleId="CommentText">
    <w:name w:val="annotation text"/>
    <w:basedOn w:val="Normal"/>
    <w:link w:val="CommentTextChar"/>
    <w:uiPriority w:val="99"/>
    <w:semiHidden/>
    <w:unhideWhenUsed/>
    <w:rsid w:val="002E120B"/>
    <w:rPr>
      <w:sz w:val="20"/>
    </w:rPr>
  </w:style>
  <w:style w:type="character" w:customStyle="1" w:styleId="CommentTextChar">
    <w:name w:val="Comment Text Char"/>
    <w:basedOn w:val="DefaultParagraphFont"/>
    <w:link w:val="CommentText"/>
    <w:uiPriority w:val="99"/>
    <w:semiHidden/>
    <w:rsid w:val="002E12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120B"/>
    <w:rPr>
      <w:b/>
      <w:bCs/>
    </w:rPr>
  </w:style>
  <w:style w:type="character" w:customStyle="1" w:styleId="CommentSubjectChar">
    <w:name w:val="Comment Subject Char"/>
    <w:basedOn w:val="CommentTextChar"/>
    <w:link w:val="CommentSubject"/>
    <w:uiPriority w:val="99"/>
    <w:semiHidden/>
    <w:rsid w:val="002E120B"/>
    <w:rPr>
      <w:rFonts w:ascii="Times New Roman" w:eastAsia="Times New Roman" w:hAnsi="Times New Roman" w:cs="Times New Roman"/>
      <w:b/>
      <w:bCs/>
      <w:sz w:val="20"/>
      <w:szCs w:val="20"/>
    </w:rPr>
  </w:style>
  <w:style w:type="paragraph" w:styleId="Revision">
    <w:name w:val="Revision"/>
    <w:hidden/>
    <w:uiPriority w:val="99"/>
    <w:semiHidden/>
    <w:rsid w:val="000A220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8685E"/>
    <w:pPr>
      <w:tabs>
        <w:tab w:val="center" w:pos="4153"/>
        <w:tab w:val="right" w:pos="8306"/>
      </w:tabs>
    </w:pPr>
  </w:style>
  <w:style w:type="character" w:customStyle="1" w:styleId="HeaderChar">
    <w:name w:val="Header Char"/>
    <w:basedOn w:val="DefaultParagraphFont"/>
    <w:link w:val="Header"/>
    <w:uiPriority w:val="99"/>
    <w:rsid w:val="000868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85E"/>
    <w:pPr>
      <w:tabs>
        <w:tab w:val="center" w:pos="4153"/>
        <w:tab w:val="right" w:pos="8306"/>
      </w:tabs>
    </w:pPr>
  </w:style>
  <w:style w:type="character" w:customStyle="1" w:styleId="FooterChar">
    <w:name w:val="Footer Char"/>
    <w:basedOn w:val="DefaultParagraphFont"/>
    <w:link w:val="Footer"/>
    <w:uiPriority w:val="99"/>
    <w:rsid w:val="000868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1678">
      <w:bodyDiv w:val="1"/>
      <w:marLeft w:val="0"/>
      <w:marRight w:val="0"/>
      <w:marTop w:val="0"/>
      <w:marBottom w:val="0"/>
      <w:divBdr>
        <w:top w:val="none" w:sz="0" w:space="0" w:color="auto"/>
        <w:left w:val="none" w:sz="0" w:space="0" w:color="auto"/>
        <w:bottom w:val="none" w:sz="0" w:space="0" w:color="auto"/>
        <w:right w:val="none" w:sz="0" w:space="0" w:color="auto"/>
      </w:divBdr>
    </w:div>
    <w:div w:id="20969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Zinotajs xmlns="076bee50-7a25-411a-a5a6-8097026bde27">I.Bindemane (VID)</Zinotajs>
    <NPK xmlns="bf0a44d4-cc3b-414c-aa68-884178465e3a">4.</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7F09-2541-45AF-B980-C150C42E8C04}">
  <ds:schemaRefs>
    <ds:schemaRef ds:uri="http://schemas.microsoft.com/office/2006/metadata/propertie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5E3405B2-D691-4C6F-AAA4-7CE0314CB9E5}">
  <ds:schemaRefs>
    <ds:schemaRef ds:uri="http://schemas.microsoft.com/sharepoint/v3/contenttype/forms"/>
  </ds:schemaRefs>
</ds:datastoreItem>
</file>

<file path=customXml/itemProps3.xml><?xml version="1.0" encoding="utf-8"?>
<ds:datastoreItem xmlns:ds="http://schemas.openxmlformats.org/officeDocument/2006/customXml" ds:itemID="{6D21E21F-FA32-46A0-87D2-E47C1304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5F191-A8F3-44AB-A136-A8BF4711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4070</Words>
  <Characters>2321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Uzziņa par MK noteikumu projektu “Grozījumi  Ministru kabineta 2014.gada 11.februāra noteikumos Nr.96 “Nodokļu un citu maksājumu reģistrēšanas elektronisko ierīču un iekārtu lietošanas kārtība””</vt:lpstr>
    </vt:vector>
  </TitlesOfParts>
  <Company>Valsts ieņēmumu dienests</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“Grozījumi  Ministru kabineta 2014.gada 11.februāra noteikumos Nr.96 “Nodokļu un citu maksājumu reģistrēšanas elektronisko ierīču un iekārtu lietošanas kārtība””</dc:title>
  <dc:creator>I.Bindemane (VID)</dc:creator>
  <cp:keywords>Uzziņa Vadības komitejai (pagarinājums)</cp:keywords>
  <dc:description>Uzziņa par informatīvo ziņojumu
“Par tehnoloģiskajiem risinājumiem elektronisko kases aparātu krāpšanas apkarošanai, ieviešot elektronisko parakstu un tiešsaisti ar Valsts ieņēmumu dienestu”</dc:description>
  <cp:lastModifiedBy>Inguna Dancīte</cp:lastModifiedBy>
  <cp:revision>2</cp:revision>
  <cp:lastPrinted>2018-07-05T05:24:00Z</cp:lastPrinted>
  <dcterms:created xsi:type="dcterms:W3CDTF">2020-06-18T12:02:00Z</dcterms:created>
  <dcterms:modified xsi:type="dcterms:W3CDTF">2020-06-18T12:02:00Z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