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41" w:rsidRPr="00514709" w:rsidRDefault="000E1C41" w:rsidP="000E1C41">
      <w:pPr>
        <w:jc w:val="center"/>
        <w:rPr>
          <w:rFonts w:ascii="Times New Roman" w:hAnsi="Times New Roman"/>
          <w:b/>
          <w:sz w:val="28"/>
          <w:szCs w:val="24"/>
          <w:lang w:val="en-GB"/>
        </w:rPr>
      </w:pPr>
      <w:r w:rsidRPr="00514709">
        <w:rPr>
          <w:rFonts w:ascii="Times New Roman" w:hAnsi="Times New Roman"/>
          <w:b/>
          <w:sz w:val="28"/>
          <w:szCs w:val="24"/>
          <w:lang w:val="en-GB"/>
        </w:rPr>
        <w:t>Training on</w:t>
      </w:r>
      <w:r w:rsidRPr="00514709">
        <w:rPr>
          <w:rFonts w:ascii="Times New Roman" w:hAnsi="Times New Roman"/>
          <w:b/>
          <w:sz w:val="28"/>
          <w:szCs w:val="24"/>
          <w:lang w:val="en-GB"/>
        </w:rPr>
        <w:t xml:space="preserve"> </w:t>
      </w:r>
      <w:r w:rsidRPr="00514709">
        <w:rPr>
          <w:rFonts w:ascii="Times New Roman" w:hAnsi="Times New Roman"/>
          <w:b/>
          <w:sz w:val="28"/>
          <w:szCs w:val="24"/>
          <w:lang w:val="en-GB"/>
        </w:rPr>
        <w:t>International Financial Reporting Standards</w:t>
      </w:r>
    </w:p>
    <w:p w:rsidR="00514709" w:rsidRPr="00514709" w:rsidRDefault="00514709" w:rsidP="000E1C41">
      <w:pPr>
        <w:jc w:val="center"/>
        <w:rPr>
          <w:rFonts w:ascii="Times New Roman" w:hAnsi="Times New Roman"/>
          <w:b/>
          <w:sz w:val="24"/>
          <w:szCs w:val="24"/>
          <w:lang w:val="en-GB"/>
        </w:rPr>
      </w:pPr>
    </w:p>
    <w:p w:rsidR="000E1C41" w:rsidRPr="00514709" w:rsidRDefault="000E1C41" w:rsidP="000E1C41">
      <w:pPr>
        <w:rPr>
          <w:rFonts w:ascii="Times New Roman" w:hAnsi="Times New Roman"/>
          <w:sz w:val="24"/>
          <w:szCs w:val="24"/>
        </w:rPr>
      </w:pPr>
      <w:r w:rsidRPr="00514709">
        <w:rPr>
          <w:rFonts w:ascii="Times New Roman" w:hAnsi="Times New Roman"/>
          <w:i/>
          <w:sz w:val="24"/>
          <w:szCs w:val="24"/>
        </w:rPr>
        <w:t xml:space="preserve">(a) </w:t>
      </w:r>
      <w:r w:rsidRPr="00514709">
        <w:rPr>
          <w:rFonts w:ascii="Times New Roman" w:hAnsi="Times New Roman"/>
          <w:i/>
          <w:sz w:val="24"/>
          <w:szCs w:val="24"/>
        </w:rPr>
        <w:t>IFRS Comprehensive Course</w:t>
      </w:r>
    </w:p>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first offering of the IFRS Comprehensive Course was delivered at the Riga Business School on twelve days between 10 August and 30 September.  The thirty participants, the maximum class size for which the course is designed, were from the following institutions: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540"/>
      </w:tblGrid>
      <w:tr w:rsidR="000E1C41" w:rsidRPr="00514709" w:rsidTr="00455D58">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Ministry of Finance</w:t>
            </w:r>
          </w:p>
        </w:tc>
        <w:tc>
          <w:tcPr>
            <w:tcW w:w="540" w:type="dxa"/>
            <w:vAlign w:val="bottom"/>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6</w:t>
            </w:r>
          </w:p>
        </w:tc>
      </w:tr>
      <w:tr w:rsidR="000E1C41" w:rsidRPr="00514709" w:rsidTr="00455D58">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State Revenue Service</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10</w:t>
            </w:r>
          </w:p>
        </w:tc>
      </w:tr>
      <w:tr w:rsidR="000E1C41" w:rsidRPr="00514709" w:rsidTr="00455D58">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Treasury</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3</w:t>
            </w:r>
          </w:p>
        </w:tc>
      </w:tr>
      <w:tr w:rsidR="000E1C41" w:rsidRPr="00514709" w:rsidTr="00455D58">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Financial and Capital Markets Commission</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10</w:t>
            </w:r>
          </w:p>
        </w:tc>
      </w:tr>
      <w:tr w:rsidR="000E1C41" w:rsidRPr="00514709" w:rsidTr="00455D58">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Accounting Board - LASA</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1</w:t>
            </w:r>
          </w:p>
        </w:tc>
      </w:tr>
    </w:tbl>
    <w:p w:rsidR="00514709" w:rsidRPr="00514709" w:rsidRDefault="00514709" w:rsidP="00514709">
      <w:pPr>
        <w:jc w:val="both"/>
        <w:rPr>
          <w:rFonts w:ascii="Times New Roman" w:hAnsi="Times New Roman"/>
          <w:sz w:val="24"/>
          <w:szCs w:val="24"/>
        </w:rPr>
      </w:pPr>
    </w:p>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Twenty four of the thirty participants in the initial offering of the course (i.e., 80%) returned completed evaluation forms from which it is apparent that there was a high level of satisfaction with the quality of the training.  In summary, 96% of the evaluations indicated that the training (</w:t>
      </w:r>
      <w:proofErr w:type="spellStart"/>
      <w:r w:rsidRPr="00514709">
        <w:rPr>
          <w:rFonts w:ascii="Times New Roman" w:hAnsi="Times New Roman"/>
          <w:sz w:val="24"/>
          <w:szCs w:val="24"/>
        </w:rPr>
        <w:t>i</w:t>
      </w:r>
      <w:proofErr w:type="spellEnd"/>
      <w:r w:rsidRPr="00514709">
        <w:rPr>
          <w:rFonts w:ascii="Times New Roman" w:hAnsi="Times New Roman"/>
          <w:sz w:val="24"/>
          <w:szCs w:val="24"/>
        </w:rPr>
        <w:t>) matched their expectations and (ii) would be useful to them in their professional practice.  While a small number of participants (5) indicated some dissatisfaction with the extent to which the training met their needs, this does not appear to be a major cause for concern in the context of the overall positive ratings.  The source of the concern cannot be determined because evaluations are provided anonymously.</w:t>
      </w:r>
    </w:p>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Further details of the evaluations are provided in the following charts.</w:t>
      </w:r>
    </w:p>
    <w:p w:rsidR="000E1C41" w:rsidRPr="00514709" w:rsidRDefault="000E1C41" w:rsidP="000E1C41">
      <w:pPr>
        <w:rPr>
          <w:rFonts w:ascii="Times New Roman" w:hAnsi="Times New Roman"/>
          <w:b/>
          <w:sz w:val="24"/>
          <w:szCs w:val="24"/>
        </w:rPr>
      </w:pPr>
      <w:r w:rsidRPr="00514709">
        <w:rPr>
          <w:rFonts w:ascii="Times New Roman" w:hAnsi="Times New Roman"/>
          <w:b/>
          <w:sz w:val="24"/>
          <w:szCs w:val="24"/>
          <w:u w:val="single"/>
        </w:rPr>
        <w:t>Question</w:t>
      </w:r>
      <w:r w:rsidRPr="00514709">
        <w:rPr>
          <w:rFonts w:ascii="Times New Roman" w:hAnsi="Times New Roman"/>
          <w:b/>
          <w:sz w:val="24"/>
          <w:szCs w:val="24"/>
        </w:rPr>
        <w:t>:</w:t>
      </w:r>
      <w:r w:rsidRPr="00514709">
        <w:rPr>
          <w:rFonts w:ascii="Times New Roman" w:hAnsi="Times New Roman"/>
          <w:sz w:val="24"/>
          <w:szCs w:val="24"/>
        </w:rPr>
        <w:t xml:space="preserve"> </w:t>
      </w:r>
      <w:r w:rsidRPr="00514709">
        <w:rPr>
          <w:rFonts w:ascii="Times New Roman" w:hAnsi="Times New Roman"/>
          <w:b/>
          <w:sz w:val="24"/>
          <w:szCs w:val="24"/>
        </w:rPr>
        <w:t>To what extent did the training match your expectations?</w:t>
      </w:r>
    </w:p>
    <w:p w:rsidR="000E1C41" w:rsidRPr="00514709" w:rsidRDefault="000E1C41" w:rsidP="000E1C41">
      <w:pPr>
        <w:rPr>
          <w:rFonts w:ascii="Times New Roman" w:hAnsi="Times New Roman"/>
          <w:sz w:val="24"/>
          <w:szCs w:val="24"/>
        </w:rPr>
      </w:pPr>
      <w:r w:rsidRPr="00514709">
        <w:rPr>
          <w:rFonts w:ascii="Times New Roman" w:hAnsi="Times New Roman"/>
          <w:noProof/>
          <w:sz w:val="24"/>
          <w:szCs w:val="24"/>
          <w:lang w:val="lv-LV" w:eastAsia="lv-LV"/>
        </w:rPr>
        <w:drawing>
          <wp:inline distT="0" distB="0" distL="0" distR="0" wp14:anchorId="3C1D9C0A" wp14:editId="56F811C2">
            <wp:extent cx="44196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1C41" w:rsidRDefault="000E1C41" w:rsidP="000E1C41">
      <w:pPr>
        <w:rPr>
          <w:rFonts w:ascii="Times New Roman" w:hAnsi="Times New Roman"/>
          <w:sz w:val="24"/>
          <w:szCs w:val="24"/>
        </w:rPr>
      </w:pPr>
    </w:p>
    <w:p w:rsidR="00514709" w:rsidRPr="00514709" w:rsidRDefault="00514709" w:rsidP="000E1C41">
      <w:pPr>
        <w:rPr>
          <w:rFonts w:ascii="Times New Roman" w:hAnsi="Times New Roman"/>
          <w:sz w:val="24"/>
          <w:szCs w:val="24"/>
        </w:rPr>
      </w:pPr>
    </w:p>
    <w:p w:rsidR="00514709" w:rsidRPr="00514709" w:rsidRDefault="00514709" w:rsidP="000E1C41">
      <w:pPr>
        <w:rPr>
          <w:rFonts w:ascii="Times New Roman" w:hAnsi="Times New Roman"/>
          <w:sz w:val="24"/>
          <w:szCs w:val="24"/>
        </w:rPr>
      </w:pPr>
    </w:p>
    <w:p w:rsidR="000E1C41" w:rsidRPr="00514709" w:rsidRDefault="000E1C41" w:rsidP="000E1C41">
      <w:pPr>
        <w:rPr>
          <w:rFonts w:ascii="Times New Roman" w:hAnsi="Times New Roman"/>
          <w:b/>
          <w:sz w:val="24"/>
          <w:szCs w:val="24"/>
        </w:rPr>
      </w:pPr>
      <w:r w:rsidRPr="00514709">
        <w:rPr>
          <w:rFonts w:ascii="Times New Roman" w:hAnsi="Times New Roman"/>
          <w:b/>
          <w:sz w:val="24"/>
          <w:szCs w:val="24"/>
          <w:u w:val="single"/>
        </w:rPr>
        <w:lastRenderedPageBreak/>
        <w:t>Question</w:t>
      </w:r>
      <w:r w:rsidRPr="00514709">
        <w:rPr>
          <w:rFonts w:ascii="Times New Roman" w:hAnsi="Times New Roman"/>
          <w:b/>
          <w:sz w:val="24"/>
          <w:szCs w:val="24"/>
        </w:rPr>
        <w:t>: To what extent did the training match your needs?</w:t>
      </w: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05CE2F6C" wp14:editId="51FE03F2">
            <wp:extent cx="4572000" cy="27432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4709" w:rsidRPr="00514709" w:rsidRDefault="00514709" w:rsidP="000E1C41">
      <w:pPr>
        <w:rPr>
          <w:rFonts w:ascii="Times New Roman" w:hAnsi="Times New Roman"/>
          <w:b/>
          <w:sz w:val="24"/>
          <w:szCs w:val="24"/>
          <w:u w:val="single"/>
        </w:rPr>
      </w:pPr>
    </w:p>
    <w:p w:rsidR="000E1C41" w:rsidRPr="00514709" w:rsidRDefault="000E1C41" w:rsidP="000E1C41">
      <w:pPr>
        <w:rPr>
          <w:rFonts w:ascii="Times New Roman" w:hAnsi="Times New Roman"/>
          <w:b/>
          <w:sz w:val="24"/>
          <w:szCs w:val="24"/>
        </w:rPr>
      </w:pPr>
      <w:r w:rsidRPr="00514709">
        <w:rPr>
          <w:rFonts w:ascii="Times New Roman" w:hAnsi="Times New Roman"/>
          <w:b/>
          <w:sz w:val="24"/>
          <w:szCs w:val="24"/>
          <w:u w:val="single"/>
        </w:rPr>
        <w:t>Question</w:t>
      </w:r>
      <w:r w:rsidRPr="00514709">
        <w:rPr>
          <w:rFonts w:ascii="Times New Roman" w:hAnsi="Times New Roman"/>
          <w:b/>
          <w:sz w:val="24"/>
          <w:szCs w:val="24"/>
        </w:rPr>
        <w:t>: Do you believe the training will be useful in your professional practice?</w:t>
      </w: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18EA4038" wp14:editId="6DAE6DFF">
            <wp:extent cx="4572000" cy="27432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1C41" w:rsidRPr="00514709" w:rsidRDefault="000E1C41" w:rsidP="000E1C41">
      <w:pPr>
        <w:spacing w:after="0"/>
        <w:rPr>
          <w:rFonts w:ascii="Times New Roman" w:hAnsi="Times New Roman"/>
          <w:sz w:val="24"/>
          <w:szCs w:val="24"/>
        </w:rPr>
      </w:pPr>
    </w:p>
    <w:p w:rsidR="000E1C41" w:rsidRPr="00514709" w:rsidRDefault="000E1C41" w:rsidP="00514709">
      <w:pPr>
        <w:spacing w:after="0"/>
        <w:jc w:val="both"/>
        <w:rPr>
          <w:rFonts w:ascii="Times New Roman" w:hAnsi="Times New Roman"/>
          <w:sz w:val="24"/>
          <w:szCs w:val="24"/>
        </w:rPr>
      </w:pPr>
      <w:r w:rsidRPr="00514709">
        <w:rPr>
          <w:rFonts w:ascii="Times New Roman" w:hAnsi="Times New Roman"/>
          <w:sz w:val="24"/>
          <w:szCs w:val="24"/>
        </w:rPr>
        <w:t>As indicated in the following chart, participants also indicated a high level of satisfaction with the quality of the training materials provided, 87% rating the materials as good, very good or excellent.</w:t>
      </w:r>
    </w:p>
    <w:p w:rsidR="00514709" w:rsidRPr="00514709" w:rsidRDefault="00514709" w:rsidP="000E1C41">
      <w:pPr>
        <w:rPr>
          <w:rFonts w:ascii="Times New Roman" w:hAnsi="Times New Roman"/>
          <w:b/>
          <w:sz w:val="24"/>
          <w:szCs w:val="24"/>
          <w:u w:val="single"/>
        </w:rPr>
      </w:pPr>
    </w:p>
    <w:p w:rsidR="00514709" w:rsidRDefault="00514709" w:rsidP="000E1C41">
      <w:pPr>
        <w:rPr>
          <w:rFonts w:ascii="Times New Roman" w:hAnsi="Times New Roman"/>
          <w:b/>
          <w:sz w:val="24"/>
          <w:szCs w:val="24"/>
          <w:u w:val="single"/>
        </w:rPr>
      </w:pPr>
    </w:p>
    <w:p w:rsidR="00514709" w:rsidRDefault="00514709" w:rsidP="000E1C41">
      <w:pPr>
        <w:rPr>
          <w:rFonts w:ascii="Times New Roman" w:hAnsi="Times New Roman"/>
          <w:b/>
          <w:sz w:val="24"/>
          <w:szCs w:val="24"/>
          <w:u w:val="single"/>
        </w:rPr>
      </w:pPr>
    </w:p>
    <w:p w:rsidR="00514709" w:rsidRDefault="00514709" w:rsidP="000E1C41">
      <w:pPr>
        <w:rPr>
          <w:rFonts w:ascii="Times New Roman" w:hAnsi="Times New Roman"/>
          <w:b/>
          <w:sz w:val="24"/>
          <w:szCs w:val="24"/>
          <w:u w:val="single"/>
        </w:rPr>
      </w:pPr>
    </w:p>
    <w:p w:rsidR="00514709" w:rsidRDefault="00514709" w:rsidP="000E1C41">
      <w:pPr>
        <w:rPr>
          <w:rFonts w:ascii="Times New Roman" w:hAnsi="Times New Roman"/>
          <w:b/>
          <w:sz w:val="24"/>
          <w:szCs w:val="24"/>
          <w:u w:val="single"/>
        </w:rPr>
      </w:pPr>
    </w:p>
    <w:p w:rsidR="000E1C41" w:rsidRPr="00514709" w:rsidRDefault="000E1C41" w:rsidP="000E1C41">
      <w:pPr>
        <w:rPr>
          <w:rFonts w:ascii="Times New Roman" w:hAnsi="Times New Roman"/>
          <w:b/>
          <w:sz w:val="24"/>
          <w:szCs w:val="24"/>
        </w:rPr>
      </w:pPr>
      <w:bookmarkStart w:id="0" w:name="_GoBack"/>
      <w:bookmarkEnd w:id="0"/>
      <w:r w:rsidRPr="00514709">
        <w:rPr>
          <w:rFonts w:ascii="Times New Roman" w:hAnsi="Times New Roman"/>
          <w:b/>
          <w:sz w:val="24"/>
          <w:szCs w:val="24"/>
          <w:u w:val="single"/>
        </w:rPr>
        <w:lastRenderedPageBreak/>
        <w:t>Question</w:t>
      </w:r>
      <w:r w:rsidRPr="00514709">
        <w:rPr>
          <w:rFonts w:ascii="Times New Roman" w:hAnsi="Times New Roman"/>
          <w:b/>
          <w:sz w:val="24"/>
          <w:szCs w:val="24"/>
        </w:rPr>
        <w:t>: How do you rate the quality of the training materials?</w:t>
      </w: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57BEBEAE" wp14:editId="4BA5FA64">
            <wp:extent cx="4572000" cy="27432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1C41" w:rsidRPr="00514709" w:rsidRDefault="000E1C41" w:rsidP="000E1C41">
      <w:pPr>
        <w:rPr>
          <w:rFonts w:ascii="Times New Roman" w:hAnsi="Times New Roman"/>
          <w:sz w:val="24"/>
          <w:szCs w:val="24"/>
        </w:rPr>
      </w:pPr>
    </w:p>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Consistent with the overall high levels of satisfaction indicated above, participants also gave high marks to the Latvian instructors retained by BPP for their delivery of the training.</w:t>
      </w:r>
    </w:p>
    <w:p w:rsidR="000E1C41" w:rsidRPr="00514709" w:rsidRDefault="000E1C41" w:rsidP="000E1C41">
      <w:pPr>
        <w:rPr>
          <w:rFonts w:ascii="Times New Roman" w:hAnsi="Times New Roman"/>
          <w:sz w:val="24"/>
          <w:szCs w:val="24"/>
        </w:rPr>
      </w:pPr>
    </w:p>
    <w:p w:rsidR="000E1C41" w:rsidRPr="00514709" w:rsidRDefault="000E1C41" w:rsidP="00514709">
      <w:pPr>
        <w:jc w:val="both"/>
        <w:rPr>
          <w:rFonts w:ascii="Times New Roman" w:hAnsi="Times New Roman"/>
          <w:i/>
          <w:sz w:val="24"/>
          <w:szCs w:val="24"/>
        </w:rPr>
      </w:pPr>
      <w:r w:rsidRPr="00514709">
        <w:rPr>
          <w:rFonts w:ascii="Times New Roman" w:hAnsi="Times New Roman"/>
          <w:i/>
          <w:sz w:val="24"/>
          <w:szCs w:val="24"/>
        </w:rPr>
        <w:t xml:space="preserve">(b) </w:t>
      </w:r>
      <w:r w:rsidRPr="00514709">
        <w:rPr>
          <w:rFonts w:ascii="Times New Roman" w:hAnsi="Times New Roman"/>
          <w:i/>
          <w:sz w:val="24"/>
          <w:szCs w:val="24"/>
        </w:rPr>
        <w:t>IFRS Advanced Course</w:t>
      </w:r>
    </w:p>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first offering of the IFRS Advanced Course was delivered at the Riga Business School on six days between 3 October and 1 November.  The thirty participants, the maximum class size for which the course is designed, were from the following institutions: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540"/>
      </w:tblGrid>
      <w:tr w:rsidR="000E1C41" w:rsidRPr="00514709" w:rsidTr="00455D58">
        <w:trPr>
          <w:trHeight w:hRule="exact" w:val="360"/>
        </w:trPr>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Ministry of Finance</w:t>
            </w:r>
          </w:p>
        </w:tc>
        <w:tc>
          <w:tcPr>
            <w:tcW w:w="540" w:type="dxa"/>
            <w:vAlign w:val="bottom"/>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2</w:t>
            </w:r>
          </w:p>
        </w:tc>
      </w:tr>
      <w:tr w:rsidR="000E1C41" w:rsidRPr="00514709" w:rsidTr="00455D58">
        <w:trPr>
          <w:trHeight w:hRule="exact" w:val="360"/>
        </w:trPr>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State Revenue Service</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10</w:t>
            </w:r>
          </w:p>
        </w:tc>
      </w:tr>
      <w:tr w:rsidR="000E1C41" w:rsidRPr="00514709" w:rsidTr="00455D58">
        <w:trPr>
          <w:trHeight w:hRule="exact" w:val="360"/>
        </w:trPr>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Treasury</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3</w:t>
            </w:r>
          </w:p>
        </w:tc>
      </w:tr>
      <w:tr w:rsidR="000E1C41" w:rsidRPr="00514709" w:rsidTr="00455D58">
        <w:trPr>
          <w:trHeight w:hRule="exact" w:val="360"/>
        </w:trPr>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Financial and Capital Markets Commission</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10</w:t>
            </w:r>
          </w:p>
        </w:tc>
      </w:tr>
      <w:tr w:rsidR="000E1C41" w:rsidRPr="00514709" w:rsidTr="00455D58">
        <w:trPr>
          <w:trHeight w:hRule="exact" w:val="360"/>
        </w:trPr>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The Accounting Board - LASA</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1</w:t>
            </w:r>
          </w:p>
        </w:tc>
      </w:tr>
      <w:tr w:rsidR="000E1C41" w:rsidRPr="00514709" w:rsidTr="00455D58">
        <w:trPr>
          <w:trHeight w:hRule="exact" w:val="360"/>
        </w:trPr>
        <w:tc>
          <w:tcPr>
            <w:tcW w:w="6750" w:type="dxa"/>
            <w:vAlign w:val="center"/>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LASA</w:t>
            </w:r>
          </w:p>
        </w:tc>
        <w:tc>
          <w:tcPr>
            <w:tcW w:w="540" w:type="dxa"/>
          </w:tcPr>
          <w:p w:rsidR="000E1C41" w:rsidRPr="00514709" w:rsidRDefault="000E1C41" w:rsidP="00514709">
            <w:pPr>
              <w:jc w:val="both"/>
              <w:rPr>
                <w:rFonts w:ascii="Times New Roman" w:hAnsi="Times New Roman"/>
                <w:sz w:val="24"/>
                <w:szCs w:val="24"/>
              </w:rPr>
            </w:pPr>
            <w:r w:rsidRPr="00514709">
              <w:rPr>
                <w:rFonts w:ascii="Times New Roman" w:hAnsi="Times New Roman"/>
                <w:sz w:val="24"/>
                <w:szCs w:val="24"/>
              </w:rPr>
              <w:t>4</w:t>
            </w:r>
          </w:p>
        </w:tc>
      </w:tr>
    </w:tbl>
    <w:p w:rsidR="00514709" w:rsidRPr="00514709" w:rsidRDefault="00514709" w:rsidP="00514709">
      <w:pPr>
        <w:spacing w:after="0"/>
        <w:jc w:val="both"/>
        <w:rPr>
          <w:rFonts w:ascii="Times New Roman" w:hAnsi="Times New Roman"/>
          <w:sz w:val="24"/>
          <w:szCs w:val="24"/>
        </w:rPr>
      </w:pPr>
    </w:p>
    <w:p w:rsidR="000E1C41" w:rsidRPr="00514709" w:rsidRDefault="000E1C41" w:rsidP="00514709">
      <w:pPr>
        <w:spacing w:after="0"/>
        <w:jc w:val="both"/>
        <w:rPr>
          <w:rFonts w:ascii="Times New Roman" w:hAnsi="Times New Roman"/>
          <w:sz w:val="24"/>
          <w:szCs w:val="24"/>
        </w:rPr>
      </w:pPr>
      <w:r w:rsidRPr="00514709">
        <w:rPr>
          <w:rFonts w:ascii="Times New Roman" w:hAnsi="Times New Roman"/>
          <w:sz w:val="24"/>
          <w:szCs w:val="24"/>
        </w:rPr>
        <w:t>Twenty nine of the thirty participants (i.e., 97%) returned completed evaluation forms but not everyone responded to every question.  As in the case of the Comprehensive Course, it is apparent there was a high level of satisfaction with the quality of the training.  In summary, more than 90% of the evaluations indicated that the training (</w:t>
      </w:r>
      <w:proofErr w:type="spellStart"/>
      <w:r w:rsidRPr="00514709">
        <w:rPr>
          <w:rFonts w:ascii="Times New Roman" w:hAnsi="Times New Roman"/>
          <w:sz w:val="24"/>
          <w:szCs w:val="24"/>
        </w:rPr>
        <w:t>i</w:t>
      </w:r>
      <w:proofErr w:type="spellEnd"/>
      <w:r w:rsidRPr="00514709">
        <w:rPr>
          <w:rFonts w:ascii="Times New Roman" w:hAnsi="Times New Roman"/>
          <w:sz w:val="24"/>
          <w:szCs w:val="24"/>
        </w:rPr>
        <w:t xml:space="preserve">) matched their expectations and (ii) would be useful to them in their professional practice.  While 6 people constituting 20% of the participants indicated some dissatisfaction with the extent to which the training matched their needs, this does not appear to be a major cause for concern in the context of the overall positive ratings.  While the source of the concern cannot be determined with any assurance because evaluations are provided anonymously, a possible reason for the dissatisfaction might be that the participants lacked the base level of knowledge of financial </w:t>
      </w:r>
      <w:r w:rsidRPr="00514709">
        <w:rPr>
          <w:rFonts w:ascii="Times New Roman" w:hAnsi="Times New Roman"/>
          <w:sz w:val="24"/>
          <w:szCs w:val="24"/>
        </w:rPr>
        <w:lastRenderedPageBreak/>
        <w:t>reporting in general and of IFRS in particular to benefit fully from the training.  Interestingly, only eleven of the nominated participants had first participated in the Comprehensive Course which raises a question as to whether successful completion of this or an equivalent course should be a pre-requisite for participation in the Advanced Course.</w:t>
      </w:r>
    </w:p>
    <w:p w:rsidR="000E1C41" w:rsidRPr="00514709" w:rsidRDefault="000E1C41" w:rsidP="00514709">
      <w:pPr>
        <w:spacing w:before="240" w:after="0"/>
        <w:jc w:val="both"/>
        <w:rPr>
          <w:rFonts w:ascii="Times New Roman" w:hAnsi="Times New Roman"/>
          <w:sz w:val="24"/>
          <w:szCs w:val="24"/>
        </w:rPr>
      </w:pPr>
      <w:r w:rsidRPr="00514709">
        <w:rPr>
          <w:rFonts w:ascii="Times New Roman" w:hAnsi="Times New Roman"/>
          <w:sz w:val="24"/>
          <w:szCs w:val="24"/>
        </w:rPr>
        <w:t>Further details of the evaluations are provided in the following charts.</w:t>
      </w:r>
    </w:p>
    <w:p w:rsidR="000E1C41" w:rsidRPr="00514709" w:rsidRDefault="000E1C41" w:rsidP="000E1C41">
      <w:pPr>
        <w:spacing w:after="0"/>
        <w:rPr>
          <w:rFonts w:ascii="Times New Roman" w:hAnsi="Times New Roman"/>
          <w:b/>
          <w:sz w:val="24"/>
          <w:szCs w:val="24"/>
          <w:u w:val="single"/>
        </w:rPr>
      </w:pPr>
    </w:p>
    <w:p w:rsidR="000E1C41" w:rsidRPr="00514709" w:rsidRDefault="000E1C41" w:rsidP="000E1C41">
      <w:pPr>
        <w:spacing w:after="0"/>
        <w:rPr>
          <w:rFonts w:ascii="Times New Roman" w:hAnsi="Times New Roman"/>
          <w:b/>
          <w:sz w:val="24"/>
          <w:szCs w:val="24"/>
          <w:u w:val="single"/>
        </w:rPr>
      </w:pPr>
      <w:r w:rsidRPr="00514709">
        <w:rPr>
          <w:rFonts w:ascii="Times New Roman" w:hAnsi="Times New Roman"/>
          <w:b/>
          <w:sz w:val="24"/>
          <w:szCs w:val="24"/>
          <w:u w:val="single"/>
        </w:rPr>
        <w:t>Question</w:t>
      </w:r>
      <w:r w:rsidRPr="00514709">
        <w:rPr>
          <w:rFonts w:ascii="Times New Roman" w:hAnsi="Times New Roman"/>
          <w:b/>
          <w:sz w:val="24"/>
          <w:szCs w:val="24"/>
        </w:rPr>
        <w:t>:</w:t>
      </w:r>
      <w:r w:rsidRPr="00514709">
        <w:rPr>
          <w:rFonts w:ascii="Times New Roman" w:hAnsi="Times New Roman"/>
          <w:sz w:val="24"/>
          <w:szCs w:val="24"/>
        </w:rPr>
        <w:t xml:space="preserve"> </w:t>
      </w:r>
      <w:r w:rsidRPr="00514709">
        <w:rPr>
          <w:rFonts w:ascii="Times New Roman" w:hAnsi="Times New Roman"/>
          <w:b/>
          <w:sz w:val="24"/>
          <w:szCs w:val="24"/>
        </w:rPr>
        <w:t>To what extent did the training match your expectations?</w:t>
      </w: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3983BEB9" wp14:editId="0E38845F">
            <wp:extent cx="4572000" cy="22574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1C41" w:rsidRPr="00514709" w:rsidRDefault="000E1C41" w:rsidP="000E1C41">
      <w:pPr>
        <w:spacing w:after="0" w:line="240" w:lineRule="auto"/>
        <w:rPr>
          <w:rFonts w:ascii="Times New Roman" w:hAnsi="Times New Roman"/>
          <w:b/>
          <w:sz w:val="24"/>
          <w:szCs w:val="24"/>
          <w:u w:val="single"/>
        </w:rPr>
      </w:pPr>
    </w:p>
    <w:p w:rsidR="000E1C41" w:rsidRPr="00514709" w:rsidRDefault="000E1C41" w:rsidP="000E1C41">
      <w:pPr>
        <w:spacing w:after="0" w:line="240" w:lineRule="auto"/>
        <w:rPr>
          <w:rFonts w:ascii="Times New Roman" w:hAnsi="Times New Roman"/>
          <w:b/>
          <w:sz w:val="24"/>
          <w:szCs w:val="24"/>
        </w:rPr>
      </w:pPr>
      <w:r w:rsidRPr="00514709">
        <w:rPr>
          <w:rFonts w:ascii="Times New Roman" w:hAnsi="Times New Roman"/>
          <w:b/>
          <w:sz w:val="24"/>
          <w:szCs w:val="24"/>
          <w:u w:val="single"/>
        </w:rPr>
        <w:t>Question</w:t>
      </w:r>
      <w:r w:rsidRPr="00514709">
        <w:rPr>
          <w:rFonts w:ascii="Times New Roman" w:hAnsi="Times New Roman"/>
          <w:b/>
          <w:sz w:val="24"/>
          <w:szCs w:val="24"/>
        </w:rPr>
        <w:t>: To what extent did the training match your needs?</w:t>
      </w:r>
    </w:p>
    <w:p w:rsidR="000E1C41" w:rsidRPr="00514709" w:rsidRDefault="000E1C41" w:rsidP="000E1C41">
      <w:pPr>
        <w:spacing w:after="0" w:line="240" w:lineRule="auto"/>
        <w:rPr>
          <w:rFonts w:ascii="Times New Roman" w:hAnsi="Times New Roman"/>
          <w:b/>
          <w:sz w:val="24"/>
          <w:szCs w:val="24"/>
          <w:u w:val="single"/>
        </w:rPr>
      </w:pP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293AD6BA" wp14:editId="514C6979">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1C41" w:rsidRPr="00514709" w:rsidRDefault="000E1C41" w:rsidP="000E1C41">
      <w:pPr>
        <w:rPr>
          <w:rFonts w:ascii="Times New Roman" w:hAnsi="Times New Roman"/>
          <w:b/>
          <w:sz w:val="24"/>
          <w:szCs w:val="24"/>
          <w:u w:val="single"/>
        </w:rPr>
      </w:pPr>
    </w:p>
    <w:p w:rsidR="00514709" w:rsidRPr="00514709" w:rsidRDefault="00514709" w:rsidP="000E1C41">
      <w:pPr>
        <w:rPr>
          <w:rFonts w:ascii="Times New Roman" w:hAnsi="Times New Roman"/>
          <w:b/>
          <w:sz w:val="24"/>
          <w:szCs w:val="24"/>
          <w:u w:val="single"/>
        </w:rPr>
      </w:pPr>
    </w:p>
    <w:p w:rsidR="00514709" w:rsidRPr="00514709" w:rsidRDefault="00514709" w:rsidP="000E1C41">
      <w:pPr>
        <w:rPr>
          <w:rFonts w:ascii="Times New Roman" w:hAnsi="Times New Roman"/>
          <w:b/>
          <w:sz w:val="24"/>
          <w:szCs w:val="24"/>
          <w:u w:val="single"/>
        </w:rPr>
      </w:pPr>
    </w:p>
    <w:p w:rsidR="00514709" w:rsidRPr="00514709" w:rsidRDefault="00514709" w:rsidP="000E1C41">
      <w:pPr>
        <w:rPr>
          <w:rFonts w:ascii="Times New Roman" w:hAnsi="Times New Roman"/>
          <w:b/>
          <w:sz w:val="24"/>
          <w:szCs w:val="24"/>
          <w:u w:val="single"/>
        </w:rPr>
      </w:pPr>
    </w:p>
    <w:p w:rsidR="00514709" w:rsidRPr="00514709" w:rsidRDefault="00514709" w:rsidP="000E1C41">
      <w:pPr>
        <w:rPr>
          <w:rFonts w:ascii="Times New Roman" w:hAnsi="Times New Roman"/>
          <w:b/>
          <w:sz w:val="24"/>
          <w:szCs w:val="24"/>
          <w:u w:val="single"/>
        </w:rPr>
      </w:pPr>
    </w:p>
    <w:p w:rsidR="00514709" w:rsidRPr="00514709" w:rsidRDefault="00514709" w:rsidP="000E1C41">
      <w:pPr>
        <w:rPr>
          <w:rFonts w:ascii="Times New Roman" w:hAnsi="Times New Roman"/>
          <w:b/>
          <w:sz w:val="24"/>
          <w:szCs w:val="24"/>
          <w:u w:val="single"/>
        </w:rPr>
      </w:pPr>
    </w:p>
    <w:p w:rsidR="000E1C41" w:rsidRPr="00514709" w:rsidRDefault="000E1C41" w:rsidP="000E1C41">
      <w:pPr>
        <w:rPr>
          <w:rFonts w:ascii="Times New Roman" w:hAnsi="Times New Roman"/>
          <w:b/>
          <w:sz w:val="24"/>
          <w:szCs w:val="24"/>
        </w:rPr>
      </w:pPr>
      <w:r w:rsidRPr="00514709">
        <w:rPr>
          <w:rFonts w:ascii="Times New Roman" w:hAnsi="Times New Roman"/>
          <w:b/>
          <w:sz w:val="24"/>
          <w:szCs w:val="24"/>
          <w:u w:val="single"/>
        </w:rPr>
        <w:t>Question</w:t>
      </w:r>
      <w:r w:rsidRPr="00514709">
        <w:rPr>
          <w:rFonts w:ascii="Times New Roman" w:hAnsi="Times New Roman"/>
          <w:b/>
          <w:sz w:val="24"/>
          <w:szCs w:val="24"/>
        </w:rPr>
        <w:t>: Do you believe the training will be useful in your professional practice?</w:t>
      </w: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7B7720DE" wp14:editId="2434E3A7">
            <wp:extent cx="4572000" cy="27432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1C41" w:rsidRPr="00514709" w:rsidRDefault="000E1C41" w:rsidP="000E1C41">
      <w:pPr>
        <w:spacing w:after="0" w:line="240" w:lineRule="auto"/>
        <w:rPr>
          <w:rFonts w:ascii="Times New Roman" w:hAnsi="Times New Roman"/>
          <w:b/>
          <w:sz w:val="24"/>
          <w:szCs w:val="24"/>
          <w:u w:val="single"/>
        </w:rPr>
      </w:pPr>
    </w:p>
    <w:p w:rsidR="000E1C41" w:rsidRPr="00514709" w:rsidRDefault="000E1C41" w:rsidP="00514709">
      <w:pPr>
        <w:spacing w:after="0" w:line="240" w:lineRule="auto"/>
        <w:jc w:val="both"/>
        <w:rPr>
          <w:rFonts w:ascii="Times New Roman" w:hAnsi="Times New Roman"/>
          <w:sz w:val="24"/>
          <w:szCs w:val="24"/>
        </w:rPr>
      </w:pPr>
      <w:r w:rsidRPr="00514709">
        <w:rPr>
          <w:rFonts w:ascii="Times New Roman" w:hAnsi="Times New Roman"/>
          <w:sz w:val="24"/>
          <w:szCs w:val="24"/>
        </w:rPr>
        <w:t>As indicated in the following chart, participants also indicated a high level of satisfaction with the quality of the training materials provided, 86% rating the materials as good, very good or excellent.</w:t>
      </w:r>
    </w:p>
    <w:p w:rsidR="000E1C41" w:rsidRPr="00514709" w:rsidRDefault="000E1C41" w:rsidP="000E1C41">
      <w:pPr>
        <w:spacing w:after="0" w:line="240" w:lineRule="auto"/>
        <w:rPr>
          <w:rFonts w:ascii="Times New Roman" w:hAnsi="Times New Roman"/>
          <w:b/>
          <w:sz w:val="24"/>
          <w:szCs w:val="24"/>
          <w:u w:val="single"/>
        </w:rPr>
      </w:pPr>
    </w:p>
    <w:p w:rsidR="000E1C41" w:rsidRPr="00514709" w:rsidRDefault="000E1C41" w:rsidP="000E1C41">
      <w:pPr>
        <w:spacing w:after="0" w:line="240" w:lineRule="auto"/>
        <w:rPr>
          <w:rFonts w:ascii="Times New Roman" w:hAnsi="Times New Roman"/>
          <w:b/>
          <w:sz w:val="24"/>
          <w:szCs w:val="24"/>
        </w:rPr>
      </w:pPr>
      <w:r w:rsidRPr="00514709">
        <w:rPr>
          <w:rFonts w:ascii="Times New Roman" w:hAnsi="Times New Roman"/>
          <w:b/>
          <w:sz w:val="24"/>
          <w:szCs w:val="24"/>
          <w:u w:val="single"/>
        </w:rPr>
        <w:t>Question</w:t>
      </w:r>
      <w:r w:rsidRPr="00514709">
        <w:rPr>
          <w:rFonts w:ascii="Times New Roman" w:hAnsi="Times New Roman"/>
          <w:b/>
          <w:sz w:val="24"/>
          <w:szCs w:val="24"/>
        </w:rPr>
        <w:t>: How do you rate the quality of the training materials?</w:t>
      </w:r>
    </w:p>
    <w:p w:rsidR="000E1C41" w:rsidRPr="00514709" w:rsidRDefault="000E1C41" w:rsidP="000E1C41">
      <w:pPr>
        <w:spacing w:after="0" w:line="240" w:lineRule="auto"/>
        <w:rPr>
          <w:rFonts w:ascii="Times New Roman" w:hAnsi="Times New Roman"/>
          <w:b/>
          <w:sz w:val="24"/>
          <w:szCs w:val="24"/>
          <w:u w:val="single"/>
        </w:rPr>
      </w:pPr>
    </w:p>
    <w:p w:rsidR="000E1C41" w:rsidRPr="00514709" w:rsidRDefault="000E1C41" w:rsidP="000E1C41">
      <w:pPr>
        <w:rPr>
          <w:rFonts w:ascii="Times New Roman" w:hAnsi="Times New Roman"/>
          <w:b/>
          <w:sz w:val="24"/>
          <w:szCs w:val="24"/>
        </w:rPr>
      </w:pPr>
      <w:r w:rsidRPr="00514709">
        <w:rPr>
          <w:rFonts w:ascii="Times New Roman" w:hAnsi="Times New Roman"/>
          <w:b/>
          <w:noProof/>
          <w:sz w:val="24"/>
          <w:szCs w:val="24"/>
          <w:lang w:val="lv-LV" w:eastAsia="lv-LV"/>
        </w:rPr>
        <w:drawing>
          <wp:inline distT="0" distB="0" distL="0" distR="0" wp14:anchorId="1C0E5304" wp14:editId="6C936FA8">
            <wp:extent cx="4572000" cy="2743200"/>
            <wp:effectExtent l="19050" t="0" r="1905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1C41" w:rsidRPr="00514709" w:rsidRDefault="000E1C41" w:rsidP="000E1C41">
      <w:pPr>
        <w:rPr>
          <w:rFonts w:ascii="Times New Roman" w:hAnsi="Times New Roman"/>
          <w:iCs/>
          <w:sz w:val="24"/>
          <w:szCs w:val="24"/>
        </w:rPr>
      </w:pPr>
    </w:p>
    <w:p w:rsidR="000E1C41" w:rsidRPr="00514709" w:rsidRDefault="000E1C41" w:rsidP="00514709">
      <w:pPr>
        <w:jc w:val="both"/>
        <w:rPr>
          <w:rFonts w:ascii="Times New Roman" w:hAnsi="Times New Roman"/>
          <w:iCs/>
          <w:sz w:val="24"/>
          <w:szCs w:val="24"/>
        </w:rPr>
      </w:pPr>
      <w:r w:rsidRPr="00514709">
        <w:rPr>
          <w:rFonts w:ascii="Times New Roman" w:hAnsi="Times New Roman"/>
          <w:iCs/>
          <w:sz w:val="24"/>
          <w:szCs w:val="24"/>
        </w:rPr>
        <w:t>Consistent with the overall high levels of satisfaction indicated above, participants also gave high marks to the Latvian instructors retained by BPP, particularly the lead instructor, for the quality of their delivery of the training.</w:t>
      </w:r>
    </w:p>
    <w:p w:rsidR="00E60B56" w:rsidRPr="00514709" w:rsidRDefault="00E60B56">
      <w:pPr>
        <w:rPr>
          <w:rFonts w:ascii="Times New Roman" w:hAnsi="Times New Roman"/>
          <w:sz w:val="24"/>
          <w:szCs w:val="24"/>
        </w:rPr>
      </w:pPr>
    </w:p>
    <w:sectPr w:rsidR="00E60B56" w:rsidRPr="00514709" w:rsidSect="00514709">
      <w:headerReference w:type="default" r:id="rId15"/>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09" w:rsidRDefault="00514709" w:rsidP="00514709">
      <w:pPr>
        <w:spacing w:after="0" w:line="240" w:lineRule="auto"/>
      </w:pPr>
      <w:r>
        <w:separator/>
      </w:r>
    </w:p>
  </w:endnote>
  <w:endnote w:type="continuationSeparator" w:id="0">
    <w:p w:rsidR="00514709" w:rsidRDefault="00514709" w:rsidP="0051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09" w:rsidRDefault="00514709" w:rsidP="00514709">
      <w:pPr>
        <w:spacing w:after="0" w:line="240" w:lineRule="auto"/>
      </w:pPr>
      <w:r>
        <w:separator/>
      </w:r>
    </w:p>
  </w:footnote>
  <w:footnote w:type="continuationSeparator" w:id="0">
    <w:p w:rsidR="00514709" w:rsidRDefault="00514709" w:rsidP="00514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584299"/>
      <w:docPartObj>
        <w:docPartGallery w:val="Page Numbers (Top of Page)"/>
        <w:docPartUnique/>
      </w:docPartObj>
    </w:sdtPr>
    <w:sdtEndPr>
      <w:rPr>
        <w:rFonts w:ascii="Times New Roman" w:hAnsi="Times New Roman"/>
        <w:noProof/>
      </w:rPr>
    </w:sdtEndPr>
    <w:sdtContent>
      <w:p w:rsidR="00514709" w:rsidRPr="00514709" w:rsidRDefault="00514709">
        <w:pPr>
          <w:pStyle w:val="Header"/>
          <w:jc w:val="center"/>
          <w:rPr>
            <w:rFonts w:ascii="Times New Roman" w:hAnsi="Times New Roman"/>
          </w:rPr>
        </w:pPr>
        <w:r w:rsidRPr="00514709">
          <w:rPr>
            <w:rFonts w:ascii="Times New Roman" w:hAnsi="Times New Roman"/>
          </w:rPr>
          <w:fldChar w:fldCharType="begin"/>
        </w:r>
        <w:r w:rsidRPr="00514709">
          <w:rPr>
            <w:rFonts w:ascii="Times New Roman" w:hAnsi="Times New Roman"/>
          </w:rPr>
          <w:instrText xml:space="preserve"> PAGE   \* MERGEFORMAT </w:instrText>
        </w:r>
        <w:r w:rsidRPr="00514709">
          <w:rPr>
            <w:rFonts w:ascii="Times New Roman" w:hAnsi="Times New Roman"/>
          </w:rPr>
          <w:fldChar w:fldCharType="separate"/>
        </w:r>
        <w:r>
          <w:rPr>
            <w:rFonts w:ascii="Times New Roman" w:hAnsi="Times New Roman"/>
            <w:noProof/>
          </w:rPr>
          <w:t>5</w:t>
        </w:r>
        <w:r w:rsidRPr="00514709">
          <w:rPr>
            <w:rFonts w:ascii="Times New Roman" w:hAnsi="Times New Roman"/>
            <w:noProof/>
          </w:rPr>
          <w:fldChar w:fldCharType="end"/>
        </w:r>
      </w:p>
    </w:sdtContent>
  </w:sdt>
  <w:p w:rsidR="00514709" w:rsidRDefault="00514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41"/>
    <w:rsid w:val="000E1C41"/>
    <w:rsid w:val="00514709"/>
    <w:rsid w:val="00E60B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1C41"/>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C41"/>
    <w:rPr>
      <w:rFonts w:ascii="Tahoma" w:eastAsia="Calibri" w:hAnsi="Tahoma" w:cs="Tahoma"/>
      <w:sz w:val="16"/>
      <w:szCs w:val="16"/>
      <w:lang w:val="en-US"/>
    </w:rPr>
  </w:style>
  <w:style w:type="paragraph" w:styleId="ListParagraph">
    <w:name w:val="List Paragraph"/>
    <w:basedOn w:val="Normal"/>
    <w:uiPriority w:val="34"/>
    <w:qFormat/>
    <w:rsid w:val="000E1C41"/>
    <w:pPr>
      <w:ind w:left="720"/>
      <w:contextualSpacing/>
    </w:pPr>
  </w:style>
  <w:style w:type="paragraph" w:styleId="Header">
    <w:name w:val="header"/>
    <w:basedOn w:val="Normal"/>
    <w:link w:val="HeaderChar"/>
    <w:uiPriority w:val="99"/>
    <w:unhideWhenUsed/>
    <w:rsid w:val="00514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4709"/>
    <w:rPr>
      <w:rFonts w:ascii="Calibri" w:eastAsia="Calibri" w:hAnsi="Calibri" w:cs="Times New Roman"/>
      <w:lang w:val="en-US"/>
    </w:rPr>
  </w:style>
  <w:style w:type="paragraph" w:styleId="Footer">
    <w:name w:val="footer"/>
    <w:basedOn w:val="Normal"/>
    <w:link w:val="FooterChar"/>
    <w:uiPriority w:val="99"/>
    <w:unhideWhenUsed/>
    <w:rsid w:val="00514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470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1C41"/>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C41"/>
    <w:rPr>
      <w:rFonts w:ascii="Tahoma" w:eastAsia="Calibri" w:hAnsi="Tahoma" w:cs="Tahoma"/>
      <w:sz w:val="16"/>
      <w:szCs w:val="16"/>
      <w:lang w:val="en-US"/>
    </w:rPr>
  </w:style>
  <w:style w:type="paragraph" w:styleId="ListParagraph">
    <w:name w:val="List Paragraph"/>
    <w:basedOn w:val="Normal"/>
    <w:uiPriority w:val="34"/>
    <w:qFormat/>
    <w:rsid w:val="000E1C41"/>
    <w:pPr>
      <w:ind w:left="720"/>
      <w:contextualSpacing/>
    </w:pPr>
  </w:style>
  <w:style w:type="paragraph" w:styleId="Header">
    <w:name w:val="header"/>
    <w:basedOn w:val="Normal"/>
    <w:link w:val="HeaderChar"/>
    <w:uiPriority w:val="99"/>
    <w:unhideWhenUsed/>
    <w:rsid w:val="00514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4709"/>
    <w:rPr>
      <w:rFonts w:ascii="Calibri" w:eastAsia="Calibri" w:hAnsi="Calibri" w:cs="Times New Roman"/>
      <w:lang w:val="en-US"/>
    </w:rPr>
  </w:style>
  <w:style w:type="paragraph" w:styleId="Footer">
    <w:name w:val="footer"/>
    <w:basedOn w:val="Normal"/>
    <w:link w:val="FooterChar"/>
    <w:uiPriority w:val="99"/>
    <w:unhideWhenUsed/>
    <w:rsid w:val="00514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470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b213058\AppData\Local\Temp\notes23C52C\Summary%20of%20evaluation%20forms%20IFRS%2010.08-30.09.2011%20c.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b213058\AppData\Local\Temp\notes23C52C\Summary%20of%20evaluation%20forms%20IFRS%2010.08-30.09.2011%20c.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b213058\Documents\BPP%20Latvia%20Eval'n%20summaries\IFRS%20Comp%20G%201%20eval'n%20summa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b213058\AppData\Local\Temp\notes23C52C\Summary%20of%20evaluation%20forms%20IFRS%2010.08-30.09.2011%20c.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b213058\Documents\BPP%20Latvia%20Eval'n%20summaries\IFRS%20Advanced%20revised%20eval'n%20summary%20G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b213058\Documents\BPP%20Latvia%20Eval'n%20summaries\IFRS%20Advanced%20revised%20eval'n%20summary%20G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b213058\Documents\BPP%20Latvia%20Eval'n%20summaries\IFRS%20Advanced%20revised%20eval'n%20summary%20G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wb213058\Documents\BPP%20Latvia%20Eval'n%20summaries\IFRS%20Advanced%20revised%20eval'n%20summary%20G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13"/>
          <c:dLbls>
            <c:dLbl>
              <c:idx val="0"/>
              <c:layout>
                <c:manualLayout>
                  <c:x val="-2.5000000000000022E-2"/>
                  <c:y val="-5.0925925925925951E-2"/>
                </c:manualLayout>
              </c:layout>
              <c:dLblPos val="bestFit"/>
              <c:showLegendKey val="0"/>
              <c:showVal val="1"/>
              <c:showCatName val="1"/>
              <c:showSerName val="0"/>
              <c:showPercent val="1"/>
              <c:showBubbleSize val="0"/>
              <c:separator>
</c:separator>
            </c:dLbl>
            <c:dLbl>
              <c:idx val="1"/>
              <c:layout>
                <c:manualLayout>
                  <c:x val="1.388888888888893E-2"/>
                  <c:y val="6.94444444444446E-2"/>
                </c:manualLayout>
              </c:layout>
              <c:dLblPos val="bestFit"/>
              <c:showLegendKey val="0"/>
              <c:showVal val="1"/>
              <c:showCatName val="1"/>
              <c:showSerName val="0"/>
              <c:showPercent val="1"/>
              <c:showBubbleSize val="0"/>
              <c:separator>
</c:separator>
            </c:dLbl>
            <c:dLbl>
              <c:idx val="2"/>
              <c:layout>
                <c:manualLayout>
                  <c:x val="3.6111111111111163E-2"/>
                  <c:y val="-9.2592592592593038E-3"/>
                </c:manualLayout>
              </c:layout>
              <c:dLblPos val="bestFit"/>
              <c:showLegendKey val="0"/>
              <c:showVal val="1"/>
              <c:showCatName val="1"/>
              <c:showSerName val="0"/>
              <c:showPercent val="1"/>
              <c:showBubbleSize val="0"/>
              <c:separator>
</c:separator>
            </c:dLbl>
            <c:dLbl>
              <c:idx val="3"/>
              <c:layout>
                <c:manualLayout>
                  <c:x val="9.1666666666666993E-2"/>
                  <c:y val="-9.2592592592593004E-3"/>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Stats!$K$22:$N$22</c:f>
              <c:strCache>
                <c:ptCount val="4"/>
                <c:pt idx="0">
                  <c:v>Definitively yes</c:v>
                </c:pt>
                <c:pt idx="1">
                  <c:v>Yes</c:v>
                </c:pt>
                <c:pt idx="2">
                  <c:v>Unsatisfactory</c:v>
                </c:pt>
                <c:pt idx="3">
                  <c:v>Not at all</c:v>
                </c:pt>
              </c:strCache>
            </c:strRef>
          </c:cat>
          <c:val>
            <c:numRef>
              <c:f>Stats!$K$24:$N$24</c:f>
              <c:numCache>
                <c:formatCode>0</c:formatCode>
                <c:ptCount val="4"/>
                <c:pt idx="0">
                  <c:v>9</c:v>
                </c:pt>
                <c:pt idx="1">
                  <c:v>14</c:v>
                </c:pt>
                <c:pt idx="2">
                  <c:v>1</c:v>
                </c:pt>
                <c:pt idx="3">
                  <c:v>0</c:v>
                </c:pt>
              </c:numCache>
            </c:numRef>
          </c:val>
        </c:ser>
        <c:ser>
          <c:idx val="1"/>
          <c:order val="1"/>
          <c:cat>
            <c:strRef>
              <c:f>Stats!$K$22:$N$22</c:f>
              <c:strCache>
                <c:ptCount val="4"/>
                <c:pt idx="0">
                  <c:v>Definitively yes</c:v>
                </c:pt>
                <c:pt idx="1">
                  <c:v>Yes</c:v>
                </c:pt>
                <c:pt idx="2">
                  <c:v>Unsatisfactory</c:v>
                </c:pt>
                <c:pt idx="3">
                  <c:v>Not at all</c:v>
                </c:pt>
              </c:strCache>
            </c:strRef>
          </c:cat>
          <c:val>
            <c:numRef>
              <c:f>Stats!$K$25:$N$25</c:f>
              <c:numCache>
                <c:formatCode>0</c:formatCode>
                <c:ptCount val="4"/>
                <c:pt idx="0">
                  <c:v>3</c:v>
                </c:pt>
                <c:pt idx="1">
                  <c:v>16</c:v>
                </c:pt>
                <c:pt idx="2">
                  <c:v>5</c:v>
                </c:pt>
                <c:pt idx="3">
                  <c:v>0</c:v>
                </c:pt>
              </c:numCache>
            </c:numRef>
          </c:val>
        </c:ser>
        <c:ser>
          <c:idx val="2"/>
          <c:order val="2"/>
          <c:cat>
            <c:strRef>
              <c:f>Stats!$K$22:$N$22</c:f>
              <c:strCache>
                <c:ptCount val="4"/>
                <c:pt idx="0">
                  <c:v>Definitively yes</c:v>
                </c:pt>
                <c:pt idx="1">
                  <c:v>Yes</c:v>
                </c:pt>
                <c:pt idx="2">
                  <c:v>Unsatisfactory</c:v>
                </c:pt>
                <c:pt idx="3">
                  <c:v>Not at all</c:v>
                </c:pt>
              </c:strCache>
            </c:strRef>
          </c:cat>
          <c:val>
            <c:numRef>
              <c:f>Stats!$K$26:$N$26</c:f>
              <c:numCache>
                <c:formatCode>0</c:formatCode>
                <c:ptCount val="4"/>
                <c:pt idx="0">
                  <c:v>9</c:v>
                </c:pt>
                <c:pt idx="1">
                  <c:v>14</c:v>
                </c:pt>
                <c:pt idx="2">
                  <c:v>1</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Pos val="outEnd"/>
            <c:showLegendKey val="0"/>
            <c:showVal val="1"/>
            <c:showCatName val="1"/>
            <c:showSerName val="0"/>
            <c:showPercent val="1"/>
            <c:showBubbleSize val="0"/>
            <c:separator>
</c:separator>
            <c:showLeaderLines val="1"/>
          </c:dLbls>
          <c:cat>
            <c:strRef>
              <c:f>Stats!$K$22:$N$22</c:f>
              <c:strCache>
                <c:ptCount val="4"/>
                <c:pt idx="0">
                  <c:v>Definitively yes</c:v>
                </c:pt>
                <c:pt idx="1">
                  <c:v>Yes</c:v>
                </c:pt>
                <c:pt idx="2">
                  <c:v>Unsatisfactory</c:v>
                </c:pt>
                <c:pt idx="3">
                  <c:v>Not at all</c:v>
                </c:pt>
              </c:strCache>
            </c:strRef>
          </c:cat>
          <c:val>
            <c:numRef>
              <c:f>Stats!$K$25:$N$25</c:f>
              <c:numCache>
                <c:formatCode>0</c:formatCode>
                <c:ptCount val="4"/>
                <c:pt idx="0">
                  <c:v>3</c:v>
                </c:pt>
                <c:pt idx="1">
                  <c:v>16</c:v>
                </c:pt>
                <c:pt idx="2">
                  <c:v>5</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666666666666668E-2"/>
                  <c:y val="-7.407407407407407E-2"/>
                </c:manualLayout>
              </c:layout>
              <c:dLblPos val="bestFit"/>
              <c:showLegendKey val="0"/>
              <c:showVal val="1"/>
              <c:showCatName val="1"/>
              <c:showSerName val="0"/>
              <c:showPercent val="1"/>
              <c:showBubbleSize val="0"/>
              <c:separator>
</c:separator>
            </c:dLbl>
            <c:dLbl>
              <c:idx val="3"/>
              <c:layout>
                <c:manualLayout>
                  <c:x val="4.1666666666666623E-2"/>
                  <c:y val="0"/>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Sheet1!$K$9:$N$9</c:f>
              <c:strCache>
                <c:ptCount val="4"/>
                <c:pt idx="0">
                  <c:v>Definitively yes</c:v>
                </c:pt>
                <c:pt idx="1">
                  <c:v>Yes</c:v>
                </c:pt>
                <c:pt idx="2">
                  <c:v>Unsatisfactory</c:v>
                </c:pt>
                <c:pt idx="3">
                  <c:v>Not at all</c:v>
                </c:pt>
              </c:strCache>
            </c:strRef>
          </c:cat>
          <c:val>
            <c:numRef>
              <c:f>Sheet1!$K$10:$N$10</c:f>
              <c:numCache>
                <c:formatCode>General</c:formatCode>
                <c:ptCount val="4"/>
                <c:pt idx="0">
                  <c:v>9</c:v>
                </c:pt>
                <c:pt idx="1">
                  <c:v>14</c:v>
                </c:pt>
                <c:pt idx="2">
                  <c:v>1</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1"/>
              <c:layout>
                <c:manualLayout>
                  <c:x val="4.4444444444444502E-2"/>
                  <c:y val="1.8518518518518552E-2"/>
                </c:manualLayout>
              </c:layout>
              <c:dLblPos val="bestFit"/>
              <c:showLegendKey val="0"/>
              <c:showVal val="1"/>
              <c:showCatName val="1"/>
              <c:showSerName val="0"/>
              <c:showPercent val="1"/>
              <c:showBubbleSize val="0"/>
              <c:separator>
</c:separator>
            </c:dLbl>
            <c:dLbl>
              <c:idx val="5"/>
              <c:layout>
                <c:manualLayout>
                  <c:x val="4.7222222222222318E-2"/>
                  <c:y val="0"/>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Stats!$K$29:$P$29</c:f>
              <c:strCache>
                <c:ptCount val="6"/>
                <c:pt idx="0">
                  <c:v>Excellent</c:v>
                </c:pt>
                <c:pt idx="1">
                  <c:v>Very good</c:v>
                </c:pt>
                <c:pt idx="2">
                  <c:v>Good</c:v>
                </c:pt>
                <c:pt idx="3">
                  <c:v>Fair</c:v>
                </c:pt>
                <c:pt idx="4">
                  <c:v>Poor</c:v>
                </c:pt>
                <c:pt idx="5">
                  <c:v>Very poor</c:v>
                </c:pt>
              </c:strCache>
            </c:strRef>
          </c:cat>
          <c:val>
            <c:numRef>
              <c:f>Stats!$K$31:$P$31</c:f>
              <c:numCache>
                <c:formatCode>0</c:formatCode>
                <c:ptCount val="6"/>
                <c:pt idx="0">
                  <c:v>6</c:v>
                </c:pt>
                <c:pt idx="1">
                  <c:v>12</c:v>
                </c:pt>
                <c:pt idx="2">
                  <c:v>2</c:v>
                </c:pt>
                <c:pt idx="3">
                  <c:v>2</c:v>
                </c:pt>
                <c:pt idx="4">
                  <c:v>1</c:v>
                </c:pt>
                <c:pt idx="5">
                  <c:v>0</c:v>
                </c:pt>
              </c:numCache>
            </c:numRef>
          </c:val>
        </c:ser>
        <c:ser>
          <c:idx val="0"/>
          <c:order val="0"/>
          <c:explosion val="25"/>
          <c:cat>
            <c:strRef>
              <c:f>Stats!$K$29:$P$29</c:f>
              <c:strCache>
                <c:ptCount val="6"/>
                <c:pt idx="0">
                  <c:v>Excellent</c:v>
                </c:pt>
                <c:pt idx="1">
                  <c:v>Very good</c:v>
                </c:pt>
                <c:pt idx="2">
                  <c:v>Good</c:v>
                </c:pt>
                <c:pt idx="3">
                  <c:v>Fair</c:v>
                </c:pt>
                <c:pt idx="4">
                  <c:v>Poor</c:v>
                </c:pt>
                <c:pt idx="5">
                  <c:v>Very poor</c:v>
                </c:pt>
              </c:strCache>
            </c:strRef>
          </c:cat>
          <c:val>
            <c:numRef>
              <c:f>Stats!$K$30:$P$30</c:f>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Pos val="outEnd"/>
            <c:showLegendKey val="0"/>
            <c:showVal val="1"/>
            <c:showCatName val="1"/>
            <c:showSerName val="0"/>
            <c:showPercent val="1"/>
            <c:showBubbleSize val="0"/>
            <c:separator>
</c:separator>
            <c:showLeaderLines val="1"/>
          </c:dLbls>
          <c:cat>
            <c:strRef>
              <c:f>Sheet1!$K$5:$N$5</c:f>
              <c:strCache>
                <c:ptCount val="4"/>
                <c:pt idx="0">
                  <c:v>Definitively yes</c:v>
                </c:pt>
                <c:pt idx="1">
                  <c:v>Yes</c:v>
                </c:pt>
                <c:pt idx="2">
                  <c:v>Unsatisfactory</c:v>
                </c:pt>
                <c:pt idx="3">
                  <c:v>Not at all</c:v>
                </c:pt>
              </c:strCache>
            </c:strRef>
          </c:cat>
          <c:val>
            <c:numRef>
              <c:f>Sheet1!$K$6:$N$6</c:f>
              <c:numCache>
                <c:formatCode>General</c:formatCode>
                <c:ptCount val="4"/>
                <c:pt idx="0">
                  <c:v>7</c:v>
                </c:pt>
                <c:pt idx="1">
                  <c:v>19</c:v>
                </c:pt>
                <c:pt idx="2">
                  <c:v>2</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Pos val="outEnd"/>
            <c:showLegendKey val="0"/>
            <c:showVal val="1"/>
            <c:showCatName val="1"/>
            <c:showSerName val="0"/>
            <c:showPercent val="1"/>
            <c:showBubbleSize val="0"/>
            <c:separator>
</c:separator>
            <c:showLeaderLines val="1"/>
          </c:dLbls>
          <c:cat>
            <c:strRef>
              <c:f>Sheet1!$K$7:$N$7</c:f>
              <c:strCache>
                <c:ptCount val="4"/>
                <c:pt idx="0">
                  <c:v>Definitively yes</c:v>
                </c:pt>
                <c:pt idx="1">
                  <c:v>Yes</c:v>
                </c:pt>
                <c:pt idx="2">
                  <c:v>Unsatisfactory</c:v>
                </c:pt>
                <c:pt idx="3">
                  <c:v>Not at all</c:v>
                </c:pt>
              </c:strCache>
            </c:strRef>
          </c:cat>
          <c:val>
            <c:numRef>
              <c:f>Sheet1!$K$8:$N$8</c:f>
              <c:numCache>
                <c:formatCode>General</c:formatCode>
                <c:ptCount val="4"/>
                <c:pt idx="0">
                  <c:v>4</c:v>
                </c:pt>
                <c:pt idx="1">
                  <c:v>17</c:v>
                </c:pt>
                <c:pt idx="2">
                  <c:v>6</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3"/>
              <c:layout>
                <c:manualLayout>
                  <c:x val="6.3888888888888842E-2"/>
                  <c:y val="-1.3888888888888944E-2"/>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Sheet1!$K$9:$N$9</c:f>
              <c:strCache>
                <c:ptCount val="4"/>
                <c:pt idx="0">
                  <c:v>Definitively yes</c:v>
                </c:pt>
                <c:pt idx="1">
                  <c:v>Yes</c:v>
                </c:pt>
                <c:pt idx="2">
                  <c:v>Unsatisfactory</c:v>
                </c:pt>
                <c:pt idx="3">
                  <c:v>Not at all</c:v>
                </c:pt>
              </c:strCache>
            </c:strRef>
          </c:cat>
          <c:val>
            <c:numRef>
              <c:f>Sheet1!$K$10:$N$10</c:f>
              <c:numCache>
                <c:formatCode>General</c:formatCode>
                <c:ptCount val="4"/>
                <c:pt idx="0">
                  <c:v>6</c:v>
                </c:pt>
                <c:pt idx="1">
                  <c:v>21</c:v>
                </c:pt>
                <c:pt idx="2">
                  <c:v>1</c:v>
                </c:pt>
                <c:pt idx="3">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0.05"/>
                  <c:y val="0.15277777777777779"/>
                </c:manualLayout>
              </c:layout>
              <c:dLblPos val="bestFit"/>
              <c:showLegendKey val="0"/>
              <c:showVal val="1"/>
              <c:showCatName val="1"/>
              <c:showSerName val="0"/>
              <c:showPercent val="1"/>
              <c:showBubbleSize val="0"/>
              <c:separator>
</c:separator>
            </c:dLbl>
            <c:dLblPos val="outEnd"/>
            <c:showLegendKey val="0"/>
            <c:showVal val="1"/>
            <c:showCatName val="1"/>
            <c:showSerName val="0"/>
            <c:showPercent val="1"/>
            <c:showBubbleSize val="0"/>
            <c:separator>
</c:separator>
            <c:showLeaderLines val="1"/>
          </c:dLbls>
          <c:cat>
            <c:strRef>
              <c:f>Sheet1!$K$13:$O$13</c:f>
              <c:strCache>
                <c:ptCount val="5"/>
                <c:pt idx="0">
                  <c:v>Excellent</c:v>
                </c:pt>
                <c:pt idx="1">
                  <c:v>Very good</c:v>
                </c:pt>
                <c:pt idx="2">
                  <c:v>Good</c:v>
                </c:pt>
                <c:pt idx="3">
                  <c:v>Fair</c:v>
                </c:pt>
                <c:pt idx="4">
                  <c:v>Poor</c:v>
                </c:pt>
              </c:strCache>
            </c:strRef>
          </c:cat>
          <c:val>
            <c:numRef>
              <c:f>Sheet1!$K$14:$O$14</c:f>
              <c:numCache>
                <c:formatCode>General</c:formatCode>
                <c:ptCount val="5"/>
                <c:pt idx="0">
                  <c:v>3</c:v>
                </c:pt>
                <c:pt idx="1">
                  <c:v>11</c:v>
                </c:pt>
                <c:pt idx="2">
                  <c:v>11</c:v>
                </c:pt>
                <c:pt idx="3">
                  <c:v>4</c:v>
                </c:pt>
                <c:pt idx="4">
                  <c:v>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2870</Words>
  <Characters>1636</Characters>
  <Application>Microsoft Office Word</Application>
  <DocSecurity>0</DocSecurity>
  <Lines>13</Lines>
  <Paragraphs>8</Paragraphs>
  <ScaleCrop>false</ScaleCrop>
  <Company>Finanšu ministrija</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Agnese Paulsone</cp:lastModifiedBy>
  <cp:revision>2</cp:revision>
  <dcterms:created xsi:type="dcterms:W3CDTF">2012-04-02T08:08:00Z</dcterms:created>
  <dcterms:modified xsi:type="dcterms:W3CDTF">2012-04-02T08:16:00Z</dcterms:modified>
</cp:coreProperties>
</file>