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6E" w:rsidRDefault="00EE38D3" w:rsidP="00A3716E">
      <w:pPr>
        <w:jc w:val="center"/>
        <w:rPr>
          <w:rFonts w:ascii="Times New Roman" w:hAnsi="Times New Roman"/>
          <w:b/>
          <w:sz w:val="28"/>
          <w:szCs w:val="28"/>
        </w:rPr>
      </w:pPr>
      <w:bookmarkStart w:id="0" w:name="_GoBack"/>
      <w:r>
        <w:rPr>
          <w:rFonts w:ascii="Times New Roman" w:hAnsi="Times New Roman"/>
          <w:b/>
          <w:sz w:val="28"/>
          <w:szCs w:val="28"/>
          <w:lang w:val="en-GB"/>
        </w:rPr>
        <w:t>Training on</w:t>
      </w:r>
      <w:r w:rsidR="00A3716E" w:rsidRPr="00A3716E">
        <w:rPr>
          <w:rFonts w:ascii="Times New Roman" w:hAnsi="Times New Roman"/>
          <w:b/>
          <w:sz w:val="28"/>
          <w:szCs w:val="28"/>
          <w:lang w:val="en-GB"/>
        </w:rPr>
        <w:t xml:space="preserve"> </w:t>
      </w:r>
      <w:bookmarkEnd w:id="0"/>
      <w:r w:rsidR="00A3716E" w:rsidRPr="00A3716E">
        <w:rPr>
          <w:rFonts w:ascii="Times New Roman" w:hAnsi="Times New Roman"/>
          <w:b/>
          <w:sz w:val="28"/>
          <w:szCs w:val="28"/>
        </w:rPr>
        <w:t>International Standards on Auditing</w:t>
      </w:r>
    </w:p>
    <w:p w:rsidR="00A3716E" w:rsidRPr="00A3716E" w:rsidRDefault="00A3716E" w:rsidP="00A3716E">
      <w:pPr>
        <w:jc w:val="center"/>
        <w:rPr>
          <w:rFonts w:ascii="Times New Roman" w:hAnsi="Times New Roman"/>
          <w:b/>
          <w:sz w:val="28"/>
          <w:szCs w:val="28"/>
        </w:rPr>
      </w:pPr>
    </w:p>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A total of five offerings of the Comprehensive ISA Course were delivered at the Riga Business School on thirty days between 24 August and 29 November.  The one hundred and fifty participants were divided into groups of thirty, the maximum class size for which the course is designed, and were made up as follows: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576"/>
      </w:tblGrid>
      <w:tr w:rsidR="00A3716E" w:rsidRPr="00A3716E" w:rsidTr="00A3716E">
        <w:tc>
          <w:tcPr>
            <w:tcW w:w="6750" w:type="dxa"/>
            <w:vAlign w:val="center"/>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The Ministry of Finance</w:t>
            </w:r>
          </w:p>
        </w:tc>
        <w:tc>
          <w:tcPr>
            <w:tcW w:w="540" w:type="dxa"/>
            <w:vAlign w:val="bottom"/>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20</w:t>
            </w:r>
          </w:p>
        </w:tc>
      </w:tr>
      <w:tr w:rsidR="00A3716E" w:rsidRPr="00A3716E" w:rsidTr="00A3716E">
        <w:tc>
          <w:tcPr>
            <w:tcW w:w="6750" w:type="dxa"/>
            <w:vAlign w:val="center"/>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Audit Advisory Board</w:t>
            </w:r>
          </w:p>
        </w:tc>
        <w:tc>
          <w:tcPr>
            <w:tcW w:w="540" w:type="dxa"/>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2</w:t>
            </w:r>
          </w:p>
        </w:tc>
      </w:tr>
      <w:tr w:rsidR="00A3716E" w:rsidRPr="00A3716E" w:rsidTr="00A3716E">
        <w:tc>
          <w:tcPr>
            <w:tcW w:w="6750" w:type="dxa"/>
            <w:vAlign w:val="center"/>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The State Audit Office of Latvia</w:t>
            </w:r>
          </w:p>
        </w:tc>
        <w:tc>
          <w:tcPr>
            <w:tcW w:w="540" w:type="dxa"/>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25</w:t>
            </w:r>
          </w:p>
        </w:tc>
      </w:tr>
      <w:tr w:rsidR="00A3716E" w:rsidRPr="00A3716E" w:rsidTr="00A3716E">
        <w:tc>
          <w:tcPr>
            <w:tcW w:w="6750" w:type="dxa"/>
            <w:vAlign w:val="center"/>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LASA members</w:t>
            </w:r>
          </w:p>
        </w:tc>
        <w:tc>
          <w:tcPr>
            <w:tcW w:w="540" w:type="dxa"/>
            <w:hideMark/>
          </w:tcPr>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103</w:t>
            </w:r>
          </w:p>
        </w:tc>
      </w:tr>
    </w:tbl>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The participation by LASA members represents approximately three quarters of the total population of certified auditors working outside the “Big 4” audit firms.  Participation in the training by LASA members working in “Big 4” firms would not have been expected since those firms would deliver internally to their staff comparable ISA training.</w:t>
      </w:r>
    </w:p>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One hundred and forty one of the participants (i.e., 94%) returned completed evaluation forms but not everyone responded to every question.  As in the case of the IFRS training, it is apparent there was a high level of satisfaction with the quality of the training.  In summary, more than 96% of the evaluations indicated that the training (</w:t>
      </w:r>
      <w:proofErr w:type="spellStart"/>
      <w:r w:rsidRPr="00A3716E">
        <w:rPr>
          <w:rFonts w:ascii="Times New Roman" w:hAnsi="Times New Roman"/>
          <w:sz w:val="24"/>
          <w:szCs w:val="24"/>
        </w:rPr>
        <w:t>i</w:t>
      </w:r>
      <w:proofErr w:type="spellEnd"/>
      <w:r w:rsidRPr="00A3716E">
        <w:rPr>
          <w:rFonts w:ascii="Times New Roman" w:hAnsi="Times New Roman"/>
          <w:sz w:val="24"/>
          <w:szCs w:val="24"/>
        </w:rPr>
        <w:t>) matched their expectations and (ii) would be useful to them in their professional practice.  While 10 people constituting fewer than 7% of the participants indicated some dissatisfaction with the extent to which the training matched their needs, this does not appear to be a major cause for concern in the context of the overall positive ratings.  The specific nature and source of the dissatisfaction cannot be determined because participants provide the evaluations anonymously.  It should be noted, however, that a number of participants did not appear to have a background of professional training and experience as financial statement auditors and may therefore have lacked the base level of audit expertise assumed in the design of the courses.</w:t>
      </w:r>
    </w:p>
    <w:p w:rsidR="00A3716E" w:rsidRPr="00A3716E" w:rsidRDefault="00A3716E" w:rsidP="00A3716E">
      <w:pPr>
        <w:spacing w:after="120"/>
        <w:jc w:val="both"/>
        <w:rPr>
          <w:rFonts w:ascii="Times New Roman" w:hAnsi="Times New Roman"/>
          <w:sz w:val="24"/>
          <w:szCs w:val="24"/>
        </w:rPr>
      </w:pPr>
      <w:r w:rsidRPr="00A3716E">
        <w:rPr>
          <w:rFonts w:ascii="Times New Roman" w:hAnsi="Times New Roman"/>
          <w:sz w:val="24"/>
          <w:szCs w:val="24"/>
        </w:rPr>
        <w:t>Further details of the evaluations are provided in the following charts.</w:t>
      </w:r>
    </w:p>
    <w:p w:rsidR="00A3716E" w:rsidRPr="00A3716E" w:rsidRDefault="00A3716E" w:rsidP="00A3716E">
      <w:pPr>
        <w:rPr>
          <w:rFonts w:ascii="Times New Roman" w:hAnsi="Times New Roman"/>
          <w:b/>
          <w:sz w:val="24"/>
          <w:szCs w:val="24"/>
        </w:rPr>
      </w:pPr>
      <w:r w:rsidRPr="00A3716E">
        <w:rPr>
          <w:rFonts w:ascii="Times New Roman" w:hAnsi="Times New Roman"/>
          <w:b/>
          <w:sz w:val="24"/>
          <w:szCs w:val="24"/>
          <w:u w:val="single"/>
        </w:rPr>
        <w:t>Question</w:t>
      </w:r>
      <w:r w:rsidRPr="00A3716E">
        <w:rPr>
          <w:rFonts w:ascii="Times New Roman" w:hAnsi="Times New Roman"/>
          <w:b/>
          <w:sz w:val="24"/>
          <w:szCs w:val="24"/>
        </w:rPr>
        <w:t>:</w:t>
      </w:r>
      <w:r w:rsidRPr="00A3716E">
        <w:rPr>
          <w:rFonts w:ascii="Times New Roman" w:hAnsi="Times New Roman"/>
          <w:sz w:val="24"/>
          <w:szCs w:val="24"/>
        </w:rPr>
        <w:t xml:space="preserve"> </w:t>
      </w:r>
      <w:r w:rsidRPr="00A3716E">
        <w:rPr>
          <w:rFonts w:ascii="Times New Roman" w:hAnsi="Times New Roman"/>
          <w:b/>
          <w:sz w:val="24"/>
          <w:szCs w:val="24"/>
        </w:rPr>
        <w:t>To what extent did the training match your expectations?</w:t>
      </w:r>
    </w:p>
    <w:p w:rsidR="00A3716E" w:rsidRPr="00A3716E" w:rsidRDefault="00A3716E" w:rsidP="00A3716E">
      <w:pPr>
        <w:rPr>
          <w:rFonts w:ascii="Times New Roman" w:hAnsi="Times New Roman"/>
          <w:b/>
          <w:sz w:val="24"/>
          <w:szCs w:val="24"/>
        </w:rPr>
      </w:pPr>
      <w:r w:rsidRPr="00A3716E">
        <w:rPr>
          <w:rFonts w:ascii="Times New Roman" w:hAnsi="Times New Roman"/>
          <w:b/>
          <w:noProof/>
          <w:sz w:val="24"/>
          <w:szCs w:val="24"/>
          <w:lang w:val="lv-LV" w:eastAsia="lv-LV"/>
        </w:rPr>
        <w:drawing>
          <wp:inline distT="0" distB="0" distL="0" distR="0" wp14:anchorId="057541A4" wp14:editId="7E63D165">
            <wp:extent cx="4514850" cy="24574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716E" w:rsidRDefault="00A3716E" w:rsidP="00A3716E">
      <w:pPr>
        <w:rPr>
          <w:rFonts w:ascii="Times New Roman" w:hAnsi="Times New Roman"/>
          <w:b/>
          <w:sz w:val="24"/>
          <w:szCs w:val="24"/>
        </w:rPr>
      </w:pPr>
      <w:r w:rsidRPr="00A3716E">
        <w:rPr>
          <w:rFonts w:ascii="Times New Roman" w:hAnsi="Times New Roman"/>
          <w:b/>
          <w:sz w:val="24"/>
          <w:szCs w:val="24"/>
          <w:u w:val="single"/>
        </w:rPr>
        <w:lastRenderedPageBreak/>
        <w:t>Question</w:t>
      </w:r>
      <w:r w:rsidRPr="00A3716E">
        <w:rPr>
          <w:rFonts w:ascii="Times New Roman" w:hAnsi="Times New Roman"/>
          <w:b/>
          <w:sz w:val="24"/>
          <w:szCs w:val="24"/>
        </w:rPr>
        <w:t>: To what extent did the training match your needs?</w:t>
      </w:r>
    </w:p>
    <w:p w:rsidR="00A3716E" w:rsidRPr="00A3716E" w:rsidRDefault="00A3716E" w:rsidP="00A3716E">
      <w:pPr>
        <w:rPr>
          <w:rFonts w:ascii="Times New Roman" w:hAnsi="Times New Roman"/>
          <w:b/>
          <w:sz w:val="24"/>
          <w:szCs w:val="24"/>
        </w:rPr>
      </w:pPr>
    </w:p>
    <w:p w:rsidR="00A3716E" w:rsidRPr="00A3716E" w:rsidRDefault="00A3716E" w:rsidP="00A3716E">
      <w:pPr>
        <w:rPr>
          <w:rFonts w:ascii="Times New Roman" w:hAnsi="Times New Roman"/>
          <w:b/>
          <w:sz w:val="24"/>
          <w:szCs w:val="24"/>
        </w:rPr>
      </w:pPr>
      <w:r w:rsidRPr="00A3716E">
        <w:rPr>
          <w:rFonts w:ascii="Times New Roman" w:hAnsi="Times New Roman"/>
          <w:b/>
          <w:noProof/>
          <w:sz w:val="24"/>
          <w:szCs w:val="24"/>
          <w:lang w:val="lv-LV" w:eastAsia="lv-LV"/>
        </w:rPr>
        <w:drawing>
          <wp:inline distT="0" distB="0" distL="0" distR="0" wp14:anchorId="5664FEF5" wp14:editId="7B95F32A">
            <wp:extent cx="4581525" cy="27527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716E" w:rsidRDefault="00A3716E" w:rsidP="00A3716E">
      <w:pPr>
        <w:spacing w:after="0" w:line="240" w:lineRule="auto"/>
        <w:rPr>
          <w:rFonts w:ascii="Times New Roman" w:hAnsi="Times New Roman"/>
          <w:b/>
          <w:sz w:val="24"/>
          <w:szCs w:val="24"/>
          <w:u w:val="single"/>
        </w:rPr>
      </w:pPr>
    </w:p>
    <w:p w:rsidR="00A3716E" w:rsidRPr="00A3716E" w:rsidRDefault="00A3716E" w:rsidP="00A3716E">
      <w:pPr>
        <w:spacing w:after="0" w:line="240" w:lineRule="auto"/>
        <w:rPr>
          <w:rFonts w:ascii="Times New Roman" w:hAnsi="Times New Roman"/>
          <w:b/>
          <w:sz w:val="24"/>
          <w:szCs w:val="24"/>
          <w:u w:val="single"/>
        </w:rPr>
      </w:pPr>
    </w:p>
    <w:p w:rsidR="00A3716E" w:rsidRDefault="00A3716E" w:rsidP="00A3716E">
      <w:pPr>
        <w:rPr>
          <w:rFonts w:ascii="Times New Roman" w:hAnsi="Times New Roman"/>
          <w:b/>
          <w:sz w:val="24"/>
          <w:szCs w:val="24"/>
        </w:rPr>
      </w:pPr>
      <w:r w:rsidRPr="00A3716E">
        <w:rPr>
          <w:rFonts w:ascii="Times New Roman" w:hAnsi="Times New Roman"/>
          <w:b/>
          <w:sz w:val="24"/>
          <w:szCs w:val="24"/>
          <w:u w:val="single"/>
        </w:rPr>
        <w:t>Question</w:t>
      </w:r>
      <w:r w:rsidRPr="00A3716E">
        <w:rPr>
          <w:rFonts w:ascii="Times New Roman" w:hAnsi="Times New Roman"/>
          <w:b/>
          <w:sz w:val="24"/>
          <w:szCs w:val="24"/>
        </w:rPr>
        <w:t>: Do you believe the training will be useful in your professional practice?</w:t>
      </w:r>
    </w:p>
    <w:p w:rsidR="00A3716E" w:rsidRPr="00A3716E" w:rsidRDefault="00A3716E" w:rsidP="00A3716E">
      <w:pPr>
        <w:rPr>
          <w:rFonts w:ascii="Times New Roman" w:hAnsi="Times New Roman"/>
          <w:b/>
          <w:sz w:val="24"/>
          <w:szCs w:val="24"/>
        </w:rPr>
      </w:pPr>
    </w:p>
    <w:p w:rsidR="00A3716E" w:rsidRPr="00A3716E" w:rsidRDefault="00A3716E" w:rsidP="00A3716E">
      <w:pPr>
        <w:rPr>
          <w:rFonts w:ascii="Times New Roman" w:hAnsi="Times New Roman"/>
          <w:b/>
          <w:sz w:val="24"/>
          <w:szCs w:val="24"/>
        </w:rPr>
      </w:pPr>
      <w:r w:rsidRPr="00A3716E">
        <w:rPr>
          <w:rFonts w:ascii="Times New Roman" w:hAnsi="Times New Roman"/>
          <w:b/>
          <w:noProof/>
          <w:sz w:val="24"/>
          <w:szCs w:val="24"/>
          <w:lang w:val="lv-LV" w:eastAsia="lv-LV"/>
        </w:rPr>
        <w:drawing>
          <wp:inline distT="0" distB="0" distL="0" distR="0" wp14:anchorId="429E7D41" wp14:editId="55380F23">
            <wp:extent cx="4581525" cy="27527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716E" w:rsidRDefault="00A3716E" w:rsidP="00A3716E">
      <w:pPr>
        <w:spacing w:before="240"/>
        <w:jc w:val="both"/>
        <w:rPr>
          <w:rFonts w:ascii="Times New Roman" w:hAnsi="Times New Roman"/>
          <w:sz w:val="24"/>
          <w:szCs w:val="24"/>
        </w:rPr>
      </w:pPr>
    </w:p>
    <w:p w:rsidR="00A3716E" w:rsidRDefault="00A3716E" w:rsidP="00A3716E">
      <w:pPr>
        <w:spacing w:before="240"/>
        <w:jc w:val="both"/>
        <w:rPr>
          <w:rFonts w:ascii="Times New Roman" w:hAnsi="Times New Roman"/>
          <w:sz w:val="24"/>
          <w:szCs w:val="24"/>
        </w:rPr>
      </w:pPr>
      <w:r w:rsidRPr="00A3716E">
        <w:rPr>
          <w:rFonts w:ascii="Times New Roman" w:hAnsi="Times New Roman"/>
          <w:sz w:val="24"/>
          <w:szCs w:val="24"/>
        </w:rPr>
        <w:t>As indicated in the following chart, participants also indicated a high level of satisfaction with the quality of the training materials provided, 99% rating the materials as good, very good or excellent.</w:t>
      </w:r>
    </w:p>
    <w:p w:rsidR="00A3716E" w:rsidRDefault="00A3716E" w:rsidP="00A3716E">
      <w:pPr>
        <w:spacing w:before="240"/>
        <w:jc w:val="both"/>
        <w:rPr>
          <w:rFonts w:ascii="Times New Roman" w:hAnsi="Times New Roman"/>
          <w:sz w:val="24"/>
          <w:szCs w:val="24"/>
        </w:rPr>
      </w:pPr>
    </w:p>
    <w:p w:rsidR="00A3716E" w:rsidRPr="00A3716E" w:rsidRDefault="00A3716E" w:rsidP="00A3716E">
      <w:pPr>
        <w:spacing w:before="240"/>
        <w:jc w:val="both"/>
        <w:rPr>
          <w:rFonts w:ascii="Times New Roman" w:hAnsi="Times New Roman"/>
          <w:sz w:val="24"/>
          <w:szCs w:val="24"/>
        </w:rPr>
      </w:pPr>
    </w:p>
    <w:p w:rsidR="00A3716E" w:rsidRDefault="00A3716E" w:rsidP="00A3716E">
      <w:pPr>
        <w:rPr>
          <w:rFonts w:ascii="Times New Roman" w:hAnsi="Times New Roman"/>
          <w:b/>
          <w:sz w:val="24"/>
          <w:szCs w:val="24"/>
        </w:rPr>
      </w:pPr>
      <w:r w:rsidRPr="00A3716E">
        <w:rPr>
          <w:rFonts w:ascii="Times New Roman" w:hAnsi="Times New Roman"/>
          <w:b/>
          <w:sz w:val="24"/>
          <w:szCs w:val="24"/>
          <w:u w:val="single"/>
        </w:rPr>
        <w:lastRenderedPageBreak/>
        <w:t>Question</w:t>
      </w:r>
      <w:r w:rsidRPr="00A3716E">
        <w:rPr>
          <w:rFonts w:ascii="Times New Roman" w:hAnsi="Times New Roman"/>
          <w:b/>
          <w:sz w:val="24"/>
          <w:szCs w:val="24"/>
        </w:rPr>
        <w:t>: How do you rate the quality of the training materials?</w:t>
      </w:r>
    </w:p>
    <w:p w:rsidR="00A3716E" w:rsidRPr="00A3716E" w:rsidRDefault="00A3716E" w:rsidP="00A3716E">
      <w:pPr>
        <w:rPr>
          <w:rFonts w:ascii="Times New Roman" w:hAnsi="Times New Roman"/>
          <w:b/>
          <w:sz w:val="24"/>
          <w:szCs w:val="24"/>
        </w:rPr>
      </w:pPr>
    </w:p>
    <w:p w:rsidR="00A3716E" w:rsidRPr="00A3716E" w:rsidRDefault="00A3716E" w:rsidP="00A3716E">
      <w:pPr>
        <w:rPr>
          <w:rFonts w:ascii="Times New Roman" w:hAnsi="Times New Roman"/>
          <w:sz w:val="24"/>
          <w:szCs w:val="24"/>
        </w:rPr>
      </w:pPr>
      <w:r w:rsidRPr="00A3716E">
        <w:rPr>
          <w:rFonts w:ascii="Times New Roman" w:hAnsi="Times New Roman"/>
          <w:noProof/>
          <w:sz w:val="24"/>
          <w:szCs w:val="24"/>
          <w:lang w:val="lv-LV" w:eastAsia="lv-LV"/>
        </w:rPr>
        <w:drawing>
          <wp:inline distT="0" distB="0" distL="0" distR="0" wp14:anchorId="62A99A76" wp14:editId="1F979E86">
            <wp:extent cx="4581525" cy="27527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716E" w:rsidRPr="00A3716E" w:rsidRDefault="00A3716E" w:rsidP="00A3716E">
      <w:pPr>
        <w:rPr>
          <w:rFonts w:ascii="Times New Roman" w:hAnsi="Times New Roman"/>
          <w:sz w:val="24"/>
          <w:szCs w:val="24"/>
        </w:rPr>
      </w:pPr>
    </w:p>
    <w:p w:rsidR="000A5665" w:rsidRPr="00A3716E" w:rsidRDefault="00A3716E" w:rsidP="00A3716E">
      <w:pPr>
        <w:jc w:val="both"/>
        <w:rPr>
          <w:rFonts w:ascii="Times New Roman" w:hAnsi="Times New Roman"/>
          <w:sz w:val="24"/>
          <w:szCs w:val="24"/>
        </w:rPr>
      </w:pPr>
      <w:r w:rsidRPr="00A3716E">
        <w:rPr>
          <w:rFonts w:ascii="Times New Roman" w:hAnsi="Times New Roman"/>
          <w:sz w:val="24"/>
          <w:szCs w:val="24"/>
        </w:rPr>
        <w:t>Consistent with the overall high levels of satisfaction indicated above, participants also gave high marks to the Latvian instructors retained by BPP for their delivery of the training.</w:t>
      </w:r>
    </w:p>
    <w:sectPr w:rsidR="000A5665" w:rsidRPr="00A3716E" w:rsidSect="00EC14AB">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AB" w:rsidRDefault="00EC14AB" w:rsidP="00EC14AB">
      <w:pPr>
        <w:spacing w:after="0" w:line="240" w:lineRule="auto"/>
      </w:pPr>
      <w:r>
        <w:separator/>
      </w:r>
    </w:p>
  </w:endnote>
  <w:endnote w:type="continuationSeparator" w:id="0">
    <w:p w:rsidR="00EC14AB" w:rsidRDefault="00EC14AB" w:rsidP="00EC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AB" w:rsidRDefault="00EC14AB" w:rsidP="00EC14AB">
      <w:pPr>
        <w:spacing w:after="0" w:line="240" w:lineRule="auto"/>
      </w:pPr>
      <w:r>
        <w:separator/>
      </w:r>
    </w:p>
  </w:footnote>
  <w:footnote w:type="continuationSeparator" w:id="0">
    <w:p w:rsidR="00EC14AB" w:rsidRDefault="00EC14AB" w:rsidP="00EC1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04584"/>
      <w:docPartObj>
        <w:docPartGallery w:val="Page Numbers (Top of Page)"/>
        <w:docPartUnique/>
      </w:docPartObj>
    </w:sdtPr>
    <w:sdtEndPr>
      <w:rPr>
        <w:rFonts w:ascii="Times New Roman" w:hAnsi="Times New Roman"/>
        <w:noProof/>
      </w:rPr>
    </w:sdtEndPr>
    <w:sdtContent>
      <w:p w:rsidR="00EC14AB" w:rsidRPr="00EC14AB" w:rsidRDefault="00EC14AB">
        <w:pPr>
          <w:pStyle w:val="Header"/>
          <w:jc w:val="center"/>
          <w:rPr>
            <w:rFonts w:ascii="Times New Roman" w:hAnsi="Times New Roman"/>
          </w:rPr>
        </w:pPr>
        <w:r w:rsidRPr="00EC14AB">
          <w:rPr>
            <w:rFonts w:ascii="Times New Roman" w:hAnsi="Times New Roman"/>
          </w:rPr>
          <w:fldChar w:fldCharType="begin"/>
        </w:r>
        <w:r w:rsidRPr="00EC14AB">
          <w:rPr>
            <w:rFonts w:ascii="Times New Roman" w:hAnsi="Times New Roman"/>
          </w:rPr>
          <w:instrText xml:space="preserve"> PAGE   \* MERGEFORMAT </w:instrText>
        </w:r>
        <w:r w:rsidRPr="00EC14AB">
          <w:rPr>
            <w:rFonts w:ascii="Times New Roman" w:hAnsi="Times New Roman"/>
          </w:rPr>
          <w:fldChar w:fldCharType="separate"/>
        </w:r>
        <w:r>
          <w:rPr>
            <w:rFonts w:ascii="Times New Roman" w:hAnsi="Times New Roman"/>
            <w:noProof/>
          </w:rPr>
          <w:t>2</w:t>
        </w:r>
        <w:r w:rsidRPr="00EC14AB">
          <w:rPr>
            <w:rFonts w:ascii="Times New Roman" w:hAnsi="Times New Roman"/>
            <w:noProof/>
          </w:rPr>
          <w:fldChar w:fldCharType="end"/>
        </w:r>
      </w:p>
    </w:sdtContent>
  </w:sdt>
  <w:p w:rsidR="00EC14AB" w:rsidRDefault="00EC1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1A57"/>
    <w:multiLevelType w:val="hybridMultilevel"/>
    <w:tmpl w:val="5CD23A74"/>
    <w:lvl w:ilvl="0" w:tplc="B55AB1E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233"/>
        </w:tabs>
        <w:ind w:left="1233" w:hanging="360"/>
      </w:pPr>
      <w:rPr>
        <w:rFonts w:ascii="Courier New" w:hAnsi="Courier New" w:cs="Times New Roman" w:hint="default"/>
      </w:rPr>
    </w:lvl>
    <w:lvl w:ilvl="2" w:tplc="08090005">
      <w:start w:val="1"/>
      <w:numFmt w:val="bullet"/>
      <w:lvlText w:val=""/>
      <w:lvlJc w:val="left"/>
      <w:pPr>
        <w:tabs>
          <w:tab w:val="num" w:pos="1953"/>
        </w:tabs>
        <w:ind w:left="1953" w:hanging="360"/>
      </w:pPr>
      <w:rPr>
        <w:rFonts w:ascii="Wingdings" w:hAnsi="Wingdings" w:hint="default"/>
      </w:rPr>
    </w:lvl>
    <w:lvl w:ilvl="3" w:tplc="08090001">
      <w:start w:val="1"/>
      <w:numFmt w:val="bullet"/>
      <w:lvlText w:val=""/>
      <w:lvlJc w:val="left"/>
      <w:pPr>
        <w:tabs>
          <w:tab w:val="num" w:pos="2673"/>
        </w:tabs>
        <w:ind w:left="2673" w:hanging="360"/>
      </w:pPr>
      <w:rPr>
        <w:rFonts w:ascii="Symbol" w:hAnsi="Symbol" w:hint="default"/>
      </w:rPr>
    </w:lvl>
    <w:lvl w:ilvl="4" w:tplc="08090003">
      <w:start w:val="1"/>
      <w:numFmt w:val="bullet"/>
      <w:lvlText w:val="o"/>
      <w:lvlJc w:val="left"/>
      <w:pPr>
        <w:tabs>
          <w:tab w:val="num" w:pos="3393"/>
        </w:tabs>
        <w:ind w:left="3393" w:hanging="360"/>
      </w:pPr>
      <w:rPr>
        <w:rFonts w:ascii="Courier New" w:hAnsi="Courier New" w:cs="Times New Roman" w:hint="default"/>
      </w:rPr>
    </w:lvl>
    <w:lvl w:ilvl="5" w:tplc="08090005">
      <w:start w:val="1"/>
      <w:numFmt w:val="bullet"/>
      <w:lvlText w:val=""/>
      <w:lvlJc w:val="left"/>
      <w:pPr>
        <w:tabs>
          <w:tab w:val="num" w:pos="4113"/>
        </w:tabs>
        <w:ind w:left="4113" w:hanging="360"/>
      </w:pPr>
      <w:rPr>
        <w:rFonts w:ascii="Wingdings" w:hAnsi="Wingdings" w:hint="default"/>
      </w:rPr>
    </w:lvl>
    <w:lvl w:ilvl="6" w:tplc="08090001">
      <w:start w:val="1"/>
      <w:numFmt w:val="bullet"/>
      <w:lvlText w:val=""/>
      <w:lvlJc w:val="left"/>
      <w:pPr>
        <w:tabs>
          <w:tab w:val="num" w:pos="4833"/>
        </w:tabs>
        <w:ind w:left="4833" w:hanging="360"/>
      </w:pPr>
      <w:rPr>
        <w:rFonts w:ascii="Symbol" w:hAnsi="Symbol" w:hint="default"/>
      </w:rPr>
    </w:lvl>
    <w:lvl w:ilvl="7" w:tplc="08090003">
      <w:start w:val="1"/>
      <w:numFmt w:val="bullet"/>
      <w:lvlText w:val="o"/>
      <w:lvlJc w:val="left"/>
      <w:pPr>
        <w:tabs>
          <w:tab w:val="num" w:pos="5553"/>
        </w:tabs>
        <w:ind w:left="5553" w:hanging="360"/>
      </w:pPr>
      <w:rPr>
        <w:rFonts w:ascii="Courier New" w:hAnsi="Courier New" w:cs="Times New Roman" w:hint="default"/>
      </w:rPr>
    </w:lvl>
    <w:lvl w:ilvl="8" w:tplc="08090005">
      <w:start w:val="1"/>
      <w:numFmt w:val="bullet"/>
      <w:lvlText w:val=""/>
      <w:lvlJc w:val="left"/>
      <w:pPr>
        <w:tabs>
          <w:tab w:val="num" w:pos="6273"/>
        </w:tabs>
        <w:ind w:left="62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6E"/>
    <w:rsid w:val="000A5665"/>
    <w:rsid w:val="00A3716E"/>
    <w:rsid w:val="00EC14AB"/>
    <w:rsid w:val="00EE38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6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716E"/>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7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6E"/>
    <w:rPr>
      <w:rFonts w:ascii="Tahoma" w:eastAsia="Calibri" w:hAnsi="Tahoma" w:cs="Tahoma"/>
      <w:sz w:val="16"/>
      <w:szCs w:val="16"/>
      <w:lang w:val="en-US"/>
    </w:rPr>
  </w:style>
  <w:style w:type="paragraph" w:styleId="Header">
    <w:name w:val="header"/>
    <w:basedOn w:val="Normal"/>
    <w:link w:val="HeaderChar"/>
    <w:uiPriority w:val="99"/>
    <w:unhideWhenUsed/>
    <w:rsid w:val="00EC14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14AB"/>
    <w:rPr>
      <w:rFonts w:ascii="Calibri" w:eastAsia="Calibri" w:hAnsi="Calibri" w:cs="Times New Roman"/>
      <w:lang w:val="en-US"/>
    </w:rPr>
  </w:style>
  <w:style w:type="paragraph" w:styleId="Footer">
    <w:name w:val="footer"/>
    <w:basedOn w:val="Normal"/>
    <w:link w:val="FooterChar"/>
    <w:uiPriority w:val="99"/>
    <w:unhideWhenUsed/>
    <w:rsid w:val="00EC14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14A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6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716E"/>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7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6E"/>
    <w:rPr>
      <w:rFonts w:ascii="Tahoma" w:eastAsia="Calibri" w:hAnsi="Tahoma" w:cs="Tahoma"/>
      <w:sz w:val="16"/>
      <w:szCs w:val="16"/>
      <w:lang w:val="en-US"/>
    </w:rPr>
  </w:style>
  <w:style w:type="paragraph" w:styleId="Header">
    <w:name w:val="header"/>
    <w:basedOn w:val="Normal"/>
    <w:link w:val="HeaderChar"/>
    <w:uiPriority w:val="99"/>
    <w:unhideWhenUsed/>
    <w:rsid w:val="00EC14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14AB"/>
    <w:rPr>
      <w:rFonts w:ascii="Calibri" w:eastAsia="Calibri" w:hAnsi="Calibri" w:cs="Times New Roman"/>
      <w:lang w:val="en-US"/>
    </w:rPr>
  </w:style>
  <w:style w:type="paragraph" w:styleId="Footer">
    <w:name w:val="footer"/>
    <w:basedOn w:val="Normal"/>
    <w:link w:val="FooterChar"/>
    <w:uiPriority w:val="99"/>
    <w:unhideWhenUsed/>
    <w:rsid w:val="00EC14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14A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b213058\Documents\BPP%20Latvia%20Eval'n%20summaries\ISA%20eval'n%20summary%20G1%20to%20G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b213058\Documents\BPP%20Latvia%20Eval'n%20summaries\ISA%20eval'n%20summary%20G1%20to%20G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b213058\Documents\BPP%20Latvia%20Eval'n%20summaries\ISA%20eval'n%20summary%20G1%20to%20G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b213058\Documents\BPP%20Latvia%20Eval'n%20summaries\ISA%20eval'n%20summary%20G1%20to%20G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1666666666666664E-2"/>
                  <c:y val="-4.629629629629646E-2"/>
                </c:manualLayout>
              </c:layout>
              <c:dLblPos val="bestFit"/>
              <c:showLegendKey val="0"/>
              <c:showVal val="1"/>
              <c:showCatName val="1"/>
              <c:showSerName val="0"/>
              <c:showPercent val="1"/>
              <c:showBubbleSize val="0"/>
              <c:separator>
</c:separator>
            </c:dLbl>
            <c:dLbl>
              <c:idx val="3"/>
              <c:layout>
                <c:manualLayout>
                  <c:x val="4.4444444444444432E-2"/>
                  <c:y val="-4.6296296296296493E-3"/>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Sheet1!$K$5:$N$5</c:f>
              <c:strCache>
                <c:ptCount val="4"/>
                <c:pt idx="0">
                  <c:v>Definitively yes</c:v>
                </c:pt>
                <c:pt idx="1">
                  <c:v>Yes</c:v>
                </c:pt>
                <c:pt idx="2">
                  <c:v>Unsatisfactory</c:v>
                </c:pt>
                <c:pt idx="3">
                  <c:v>Not at all</c:v>
                </c:pt>
              </c:strCache>
            </c:strRef>
          </c:cat>
          <c:val>
            <c:numRef>
              <c:f>Sheet1!$K$6:$N$6</c:f>
              <c:numCache>
                <c:formatCode>General</c:formatCode>
                <c:ptCount val="4"/>
                <c:pt idx="0">
                  <c:v>33</c:v>
                </c:pt>
                <c:pt idx="1">
                  <c:v>102</c:v>
                </c:pt>
                <c:pt idx="2">
                  <c:v>6</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1111111111111123E-2"/>
                  <c:y val="-8.7962962962963312E-2"/>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Sheet1!$K$7:$N$7</c:f>
              <c:strCache>
                <c:ptCount val="4"/>
                <c:pt idx="0">
                  <c:v>Definitively yes</c:v>
                </c:pt>
                <c:pt idx="1">
                  <c:v>Yes</c:v>
                </c:pt>
                <c:pt idx="2">
                  <c:v>Unsatisfactory</c:v>
                </c:pt>
                <c:pt idx="3">
                  <c:v>Not at all</c:v>
                </c:pt>
              </c:strCache>
            </c:strRef>
          </c:cat>
          <c:val>
            <c:numRef>
              <c:f>Sheet1!$K$8:$N$8</c:f>
              <c:numCache>
                <c:formatCode>General</c:formatCode>
                <c:ptCount val="4"/>
                <c:pt idx="0">
                  <c:v>52</c:v>
                </c:pt>
                <c:pt idx="1">
                  <c:v>78</c:v>
                </c:pt>
                <c:pt idx="2">
                  <c:v>10</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7.7777777777777779E-2"/>
                  <c:y val="0.18055519101778941"/>
                </c:manualLayout>
              </c:layout>
              <c:dLblPos val="bestFit"/>
              <c:showLegendKey val="0"/>
              <c:showVal val="1"/>
              <c:showCatName val="1"/>
              <c:showSerName val="0"/>
              <c:showPercent val="1"/>
              <c:showBubbleSize val="0"/>
              <c:separator>
</c:separator>
            </c:dLbl>
            <c:dLbl>
              <c:idx val="3"/>
              <c:layout>
                <c:manualLayout>
                  <c:x val="4.1666666666666623E-2"/>
                  <c:y val="-4.6296296296296493E-3"/>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Sheet1!$K$9:$N$9</c:f>
              <c:strCache>
                <c:ptCount val="4"/>
                <c:pt idx="0">
                  <c:v>Definitively yes</c:v>
                </c:pt>
                <c:pt idx="1">
                  <c:v>Yes</c:v>
                </c:pt>
                <c:pt idx="2">
                  <c:v>Unsatisfactory</c:v>
                </c:pt>
                <c:pt idx="3">
                  <c:v>Not at all</c:v>
                </c:pt>
              </c:strCache>
            </c:strRef>
          </c:cat>
          <c:val>
            <c:numRef>
              <c:f>Sheet1!$K$10:$N$10</c:f>
              <c:numCache>
                <c:formatCode>General</c:formatCode>
                <c:ptCount val="4"/>
                <c:pt idx="0">
                  <c:v>87</c:v>
                </c:pt>
                <c:pt idx="1">
                  <c:v>48</c:v>
                </c:pt>
                <c:pt idx="2">
                  <c:v>6</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0761373578302714E-2"/>
          <c:y val="0.13657407407407407"/>
          <c:w val="0.65732589676290465"/>
          <c:h val="0.77314814814815025"/>
        </c:manualLayout>
      </c:layout>
      <c:pie3DChart>
        <c:varyColors val="1"/>
        <c:ser>
          <c:idx val="0"/>
          <c:order val="0"/>
          <c:explosion val="25"/>
          <c:dLbls>
            <c:dLbl>
              <c:idx val="0"/>
              <c:layout>
                <c:manualLayout>
                  <c:x val="-1.1111111111111125E-2"/>
                  <c:y val="-3.7037037037037056E-2"/>
                </c:manualLayout>
              </c:layout>
              <c:dLblPos val="bestFit"/>
              <c:showLegendKey val="0"/>
              <c:showVal val="1"/>
              <c:showCatName val="1"/>
              <c:showSerName val="0"/>
              <c:showPercent val="1"/>
              <c:showBubbleSize val="0"/>
              <c:separator>
</c:separator>
            </c:dLbl>
            <c:dLbl>
              <c:idx val="1"/>
              <c:layout>
                <c:manualLayout>
                  <c:x val="1.6666666666666701E-2"/>
                  <c:y val="-4.6296296296296493E-3"/>
                </c:manualLayout>
              </c:layout>
              <c:dLblPos val="bestFit"/>
              <c:showLegendKey val="0"/>
              <c:showVal val="1"/>
              <c:showCatName val="1"/>
              <c:showSerName val="0"/>
              <c:showPercent val="1"/>
              <c:showBubbleSize val="0"/>
              <c:separator>
</c:separator>
            </c:dLbl>
            <c:dLbl>
              <c:idx val="2"/>
              <c:layout>
                <c:manualLayout>
                  <c:x val="3.0555555555555582E-2"/>
                  <c:y val="-8.3333333333333343E-2"/>
                </c:manualLayout>
              </c:layout>
              <c:dLblPos val="bestFit"/>
              <c:showLegendKey val="0"/>
              <c:showVal val="1"/>
              <c:showCatName val="1"/>
              <c:showSerName val="0"/>
              <c:showPercent val="1"/>
              <c:showBubbleSize val="0"/>
              <c:separator>
</c:separator>
            </c:dLbl>
            <c:dLbl>
              <c:idx val="3"/>
              <c:layout>
                <c:manualLayout>
                  <c:x val="-1.9444444444444445E-2"/>
                  <c:y val="-1.851851851851857E-2"/>
                </c:manualLayout>
              </c:layout>
              <c:dLblPos val="bestFit"/>
              <c:showLegendKey val="0"/>
              <c:showVal val="1"/>
              <c:showCatName val="1"/>
              <c:showSerName val="0"/>
              <c:showPercent val="1"/>
              <c:showBubbleSize val="0"/>
              <c:separator>
</c:separator>
            </c:dLbl>
            <c:dLbl>
              <c:idx val="4"/>
              <c:layout>
                <c:manualLayout>
                  <c:x val="3.333333333333334E-2"/>
                  <c:y val="0"/>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Sheet1!$K$13:$O$13</c:f>
              <c:strCache>
                <c:ptCount val="5"/>
                <c:pt idx="0">
                  <c:v>Excellent</c:v>
                </c:pt>
                <c:pt idx="1">
                  <c:v>Very good</c:v>
                </c:pt>
                <c:pt idx="2">
                  <c:v>Good</c:v>
                </c:pt>
                <c:pt idx="3">
                  <c:v>Fair</c:v>
                </c:pt>
                <c:pt idx="4">
                  <c:v>Poor</c:v>
                </c:pt>
              </c:strCache>
            </c:strRef>
          </c:cat>
          <c:val>
            <c:numRef>
              <c:f>Sheet1!$K$14:$O$14</c:f>
              <c:numCache>
                <c:formatCode>General</c:formatCode>
                <c:ptCount val="5"/>
                <c:pt idx="0">
                  <c:v>30</c:v>
                </c:pt>
                <c:pt idx="1">
                  <c:v>72</c:v>
                </c:pt>
                <c:pt idx="2">
                  <c:v>37</c:v>
                </c:pt>
                <c:pt idx="3">
                  <c:v>1</c:v>
                </c:pt>
                <c:pt idx="4">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1698</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Agnese Paulsone</cp:lastModifiedBy>
  <cp:revision>2</cp:revision>
  <dcterms:created xsi:type="dcterms:W3CDTF">2012-03-30T13:38:00Z</dcterms:created>
  <dcterms:modified xsi:type="dcterms:W3CDTF">2012-04-02T08:17:00Z</dcterms:modified>
</cp:coreProperties>
</file>